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5A0F7">
      <w:pPr>
        <w:spacing w:line="360" w:lineRule="auto"/>
        <w:jc w:val="center"/>
        <w:rPr>
          <w:rFonts w:ascii="宋体" w:hAnsi="宋体" w:cs="宋体"/>
          <w:b/>
          <w:color w:val="auto"/>
          <w:sz w:val="24"/>
          <w:highlight w:val="none"/>
        </w:rPr>
      </w:pPr>
    </w:p>
    <w:p w14:paraId="731D86A5">
      <w:pPr>
        <w:adjustRightInd/>
        <w:spacing w:line="360" w:lineRule="auto"/>
        <w:jc w:val="center"/>
        <w:rPr>
          <w:rFonts w:ascii="宋体" w:hAnsi="宋体" w:cs="宋体"/>
          <w:b/>
          <w:color w:val="auto"/>
          <w:sz w:val="48"/>
          <w:szCs w:val="48"/>
          <w:highlight w:val="none"/>
        </w:rPr>
      </w:pPr>
    </w:p>
    <w:p w14:paraId="0BF0FACF">
      <w:pPr>
        <w:adjustRightInd/>
        <w:spacing w:line="360" w:lineRule="auto"/>
        <w:jc w:val="center"/>
        <w:rPr>
          <w:rFonts w:hint="eastAsia" w:ascii="宋体" w:hAnsi="宋体" w:cs="宋体"/>
          <w:color w:val="auto"/>
          <w:sz w:val="44"/>
          <w:szCs w:val="44"/>
          <w:highlight w:val="none"/>
          <w:lang w:eastAsia="zh-CN"/>
        </w:rPr>
      </w:pPr>
    </w:p>
    <w:p w14:paraId="714A72E1">
      <w:pPr>
        <w:adjustRightInd/>
        <w:spacing w:line="360" w:lineRule="auto"/>
        <w:jc w:val="center"/>
        <w:rPr>
          <w:rFonts w:hint="eastAsia" w:ascii="宋体" w:hAnsi="宋体" w:eastAsia="宋体" w:cs="宋体"/>
          <w:color w:val="auto"/>
          <w:sz w:val="44"/>
          <w:szCs w:val="44"/>
          <w:highlight w:val="none"/>
          <w:lang w:eastAsia="zh-CN"/>
        </w:rPr>
      </w:pPr>
      <w:r>
        <w:rPr>
          <w:rFonts w:hint="eastAsia" w:ascii="宋体" w:hAnsi="宋体" w:cs="宋体"/>
          <w:color w:val="auto"/>
          <w:sz w:val="44"/>
          <w:szCs w:val="44"/>
          <w:highlight w:val="none"/>
          <w:lang w:eastAsia="zh-CN"/>
        </w:rPr>
        <w:t>滨江区科技创新综合体及周边配套项目厨房设备采购（重新招标）</w:t>
      </w:r>
    </w:p>
    <w:p w14:paraId="13CFD8F1">
      <w:pPr>
        <w:adjustRightInd/>
        <w:spacing w:line="360" w:lineRule="auto"/>
        <w:jc w:val="center"/>
        <w:rPr>
          <w:rFonts w:hint="eastAsia" w:ascii="宋体" w:hAnsi="宋体" w:cs="宋体"/>
          <w:color w:val="auto"/>
          <w:sz w:val="48"/>
          <w:szCs w:val="48"/>
          <w:highlight w:val="none"/>
        </w:rPr>
      </w:pPr>
    </w:p>
    <w:p w14:paraId="396508D6">
      <w:pPr>
        <w:adjustRightInd/>
        <w:spacing w:line="360" w:lineRule="auto"/>
        <w:jc w:val="center"/>
        <w:rPr>
          <w:rFonts w:ascii="宋体" w:hAnsi="宋体" w:cs="宋体"/>
          <w:color w:val="auto"/>
          <w:sz w:val="48"/>
          <w:szCs w:val="48"/>
          <w:highlight w:val="none"/>
        </w:rPr>
      </w:pPr>
      <w:r>
        <w:rPr>
          <w:rFonts w:hint="eastAsia" w:ascii="宋体" w:hAnsi="宋体" w:cs="宋体"/>
          <w:color w:val="auto"/>
          <w:sz w:val="48"/>
          <w:szCs w:val="48"/>
          <w:highlight w:val="none"/>
        </w:rPr>
        <w:t xml:space="preserve">招标文件 </w:t>
      </w:r>
    </w:p>
    <w:p w14:paraId="50A8B14A">
      <w:pPr>
        <w:adjustRightInd/>
        <w:spacing w:line="360" w:lineRule="auto"/>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 xml:space="preserve"> </w:t>
      </w:r>
    </w:p>
    <w:p w14:paraId="462BA5ED">
      <w:pPr>
        <w:adjustRightInd/>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（电子招投标）</w:t>
      </w:r>
    </w:p>
    <w:p w14:paraId="18351F7B">
      <w:pPr>
        <w:snapToGrid w:val="0"/>
        <w:spacing w:line="360" w:lineRule="auto"/>
        <w:jc w:val="center"/>
        <w:rPr>
          <w:rFonts w:hint="eastAsia" w:ascii="宋体" w:hAnsi="宋体" w:eastAsia="宋体" w:cs="宋体"/>
          <w:color w:val="auto"/>
          <w:sz w:val="30"/>
          <w:szCs w:val="30"/>
          <w:highlight w:val="none"/>
          <w:lang w:eastAsia="zh-CN"/>
        </w:rPr>
      </w:pPr>
      <w:r>
        <w:rPr>
          <w:rFonts w:hint="eastAsia" w:ascii="宋体" w:hAnsi="宋体" w:cs="宋体"/>
          <w:color w:val="auto"/>
          <w:sz w:val="30"/>
          <w:szCs w:val="30"/>
          <w:highlight w:val="none"/>
        </w:rPr>
        <w:t>编号:</w:t>
      </w:r>
      <w:r>
        <w:rPr>
          <w:rFonts w:hint="eastAsia" w:ascii="宋体" w:hAnsi="宋体" w:cs="宋体"/>
          <w:color w:val="auto"/>
          <w:sz w:val="30"/>
          <w:szCs w:val="30"/>
          <w:highlight w:val="none"/>
          <w:lang w:eastAsia="zh-CN"/>
        </w:rPr>
        <w:t>浙房咨2024【D-224】-0001-1</w:t>
      </w:r>
    </w:p>
    <w:p w14:paraId="59F7552B">
      <w:pPr>
        <w:adjustRightInd/>
        <w:spacing w:line="360" w:lineRule="auto"/>
        <w:rPr>
          <w:rFonts w:ascii="宋体" w:hAnsi="宋体" w:cs="宋体"/>
          <w:color w:val="auto"/>
          <w:sz w:val="28"/>
          <w:szCs w:val="20"/>
          <w:highlight w:val="none"/>
        </w:rPr>
      </w:pPr>
    </w:p>
    <w:p w14:paraId="16A38EED">
      <w:pPr>
        <w:pStyle w:val="65"/>
        <w:rPr>
          <w:rFonts w:ascii="宋体" w:hAnsi="宋体" w:cs="宋体"/>
          <w:color w:val="auto"/>
          <w:sz w:val="28"/>
          <w:szCs w:val="20"/>
          <w:highlight w:val="none"/>
        </w:rPr>
      </w:pPr>
    </w:p>
    <w:p w14:paraId="38BE56A9">
      <w:pPr>
        <w:pStyle w:val="65"/>
        <w:rPr>
          <w:rFonts w:ascii="宋体" w:hAnsi="宋体" w:cs="宋体"/>
          <w:color w:val="auto"/>
          <w:sz w:val="28"/>
          <w:szCs w:val="20"/>
          <w:highlight w:val="none"/>
        </w:rPr>
      </w:pPr>
    </w:p>
    <w:p w14:paraId="1F5F5257">
      <w:pPr>
        <w:pStyle w:val="65"/>
        <w:rPr>
          <w:rFonts w:ascii="宋体" w:hAnsi="宋体" w:cs="宋体"/>
          <w:color w:val="auto"/>
          <w:sz w:val="28"/>
          <w:szCs w:val="20"/>
          <w:highlight w:val="none"/>
        </w:rPr>
      </w:pPr>
    </w:p>
    <w:p w14:paraId="78AF428D">
      <w:pPr>
        <w:spacing w:line="360" w:lineRule="auto"/>
        <w:jc w:val="center"/>
        <w:rPr>
          <w:rFonts w:ascii="宋体" w:hAnsi="宋体" w:cs="宋体"/>
          <w:b/>
          <w:color w:val="auto"/>
          <w:sz w:val="44"/>
          <w:szCs w:val="44"/>
          <w:highlight w:val="none"/>
        </w:rPr>
      </w:pPr>
    </w:p>
    <w:p w14:paraId="17ACFD16">
      <w:pPr>
        <w:spacing w:line="360" w:lineRule="auto"/>
        <w:jc w:val="center"/>
        <w:rPr>
          <w:rFonts w:ascii="宋体" w:hAnsi="宋体" w:cs="宋体"/>
          <w:color w:val="auto"/>
          <w:sz w:val="24"/>
          <w:highlight w:val="none"/>
        </w:rPr>
      </w:pPr>
    </w:p>
    <w:p w14:paraId="7264F0E9">
      <w:pPr>
        <w:spacing w:line="360" w:lineRule="auto"/>
        <w:jc w:val="center"/>
        <w:rPr>
          <w:rFonts w:ascii="宋体" w:hAnsi="宋体" w:cs="宋体"/>
          <w:color w:val="auto"/>
          <w:sz w:val="24"/>
          <w:highlight w:val="none"/>
        </w:rPr>
      </w:pPr>
    </w:p>
    <w:p w14:paraId="08E57D61">
      <w:pPr>
        <w:spacing w:line="360" w:lineRule="auto"/>
        <w:rPr>
          <w:rFonts w:ascii="宋体" w:hAnsi="宋体" w:cs="宋体"/>
          <w:color w:val="auto"/>
          <w:sz w:val="32"/>
          <w:szCs w:val="32"/>
          <w:highlight w:val="none"/>
        </w:rPr>
      </w:pPr>
    </w:p>
    <w:p w14:paraId="4235885A">
      <w:pPr>
        <w:snapToGrid w:val="0"/>
        <w:spacing w:line="360" w:lineRule="auto"/>
        <w:jc w:val="center"/>
        <w:rPr>
          <w:rFonts w:hint="eastAsia" w:ascii="宋体" w:hAnsi="宋体" w:eastAsia="宋体" w:cs="宋体"/>
          <w:bCs/>
          <w:color w:val="auto"/>
          <w:sz w:val="32"/>
          <w:szCs w:val="32"/>
          <w:highlight w:val="none"/>
          <w:lang w:eastAsia="zh-CN"/>
        </w:rPr>
      </w:pPr>
      <w:r>
        <w:rPr>
          <w:rFonts w:hint="eastAsia" w:ascii="宋体" w:hAnsi="宋体" w:cs="宋体"/>
          <w:bCs/>
          <w:color w:val="auto"/>
          <w:sz w:val="32"/>
          <w:szCs w:val="32"/>
          <w:highlight w:val="none"/>
          <w:lang w:eastAsia="zh-CN"/>
        </w:rPr>
        <w:t>杭州滨江城建发展有限公司</w:t>
      </w:r>
    </w:p>
    <w:p w14:paraId="6921F5D3">
      <w:pPr>
        <w:snapToGrid w:val="0"/>
        <w:spacing w:line="360" w:lineRule="auto"/>
        <w:jc w:val="center"/>
        <w:rPr>
          <w:rFonts w:hint="eastAsia" w:ascii="宋体" w:hAnsi="宋体" w:eastAsia="宋体" w:cs="宋体"/>
          <w:bCs/>
          <w:color w:val="auto"/>
          <w:sz w:val="32"/>
          <w:szCs w:val="32"/>
          <w:highlight w:val="none"/>
          <w:lang w:eastAsia="zh-CN"/>
        </w:rPr>
      </w:pPr>
      <w:r>
        <w:rPr>
          <w:rFonts w:hint="eastAsia" w:ascii="宋体" w:hAnsi="宋体" w:cs="宋体"/>
          <w:bCs/>
          <w:color w:val="auto"/>
          <w:sz w:val="32"/>
          <w:szCs w:val="32"/>
          <w:highlight w:val="none"/>
          <w:lang w:eastAsia="zh-CN"/>
        </w:rPr>
        <w:t>浙江省房地产管理咨询有限公司</w:t>
      </w:r>
    </w:p>
    <w:p w14:paraId="1F035AB5">
      <w:pPr>
        <w:snapToGrid w:val="0"/>
        <w:spacing w:line="360" w:lineRule="auto"/>
        <w:jc w:val="center"/>
        <w:rPr>
          <w:rFonts w:hint="eastAsia" w:ascii="宋体" w:hAnsi="宋体" w:cs="宋体"/>
          <w:bCs/>
          <w:color w:val="auto"/>
          <w:sz w:val="32"/>
          <w:szCs w:val="32"/>
          <w:highlight w:val="none"/>
        </w:rPr>
      </w:pPr>
      <w:r>
        <w:rPr>
          <w:rFonts w:hint="eastAsia" w:ascii="宋体" w:hAnsi="宋体" w:cs="宋体"/>
          <w:bCs/>
          <w:color w:val="auto"/>
          <w:sz w:val="32"/>
          <w:szCs w:val="32"/>
          <w:highlight w:val="none"/>
          <w:lang w:val="en-US" w:eastAsia="zh-CN"/>
        </w:rPr>
        <w:t>2024</w:t>
      </w:r>
      <w:r>
        <w:rPr>
          <w:rFonts w:hint="eastAsia" w:ascii="宋体" w:hAnsi="宋体" w:cs="宋体"/>
          <w:bCs/>
          <w:color w:val="auto"/>
          <w:sz w:val="32"/>
          <w:szCs w:val="32"/>
          <w:highlight w:val="none"/>
        </w:rPr>
        <w:t>年</w:t>
      </w:r>
      <w:r>
        <w:rPr>
          <w:rFonts w:hint="eastAsia" w:ascii="宋体" w:hAnsi="宋体" w:cs="宋体"/>
          <w:bCs/>
          <w:color w:val="auto"/>
          <w:sz w:val="32"/>
          <w:szCs w:val="32"/>
          <w:highlight w:val="none"/>
          <w:lang w:val="en-US" w:eastAsia="zh-CN"/>
        </w:rPr>
        <w:t>9</w:t>
      </w:r>
      <w:r>
        <w:rPr>
          <w:rFonts w:hint="eastAsia" w:ascii="宋体" w:hAnsi="宋体" w:cs="宋体"/>
          <w:bCs/>
          <w:color w:val="auto"/>
          <w:sz w:val="32"/>
          <w:szCs w:val="32"/>
          <w:highlight w:val="none"/>
        </w:rPr>
        <w:t>月</w:t>
      </w:r>
      <w:r>
        <w:rPr>
          <w:rFonts w:hint="eastAsia" w:ascii="宋体" w:hAnsi="宋体" w:cs="宋体"/>
          <w:bCs/>
          <w:color w:val="auto"/>
          <w:sz w:val="32"/>
          <w:szCs w:val="32"/>
          <w:highlight w:val="none"/>
          <w:lang w:val="en-US" w:eastAsia="zh-CN"/>
        </w:rPr>
        <w:t>1</w:t>
      </w:r>
      <w:r>
        <w:rPr>
          <w:rFonts w:hint="eastAsia" w:ascii="宋体" w:hAnsi="宋体" w:cs="宋体"/>
          <w:bCs/>
          <w:color w:val="auto"/>
          <w:sz w:val="32"/>
          <w:szCs w:val="32"/>
          <w:highlight w:val="none"/>
          <w:u w:val="none"/>
          <w:lang w:val="en-US" w:eastAsia="zh-CN"/>
        </w:rPr>
        <w:t>8</w:t>
      </w:r>
      <w:r>
        <w:rPr>
          <w:rFonts w:hint="eastAsia" w:ascii="宋体" w:hAnsi="宋体" w:cs="宋体"/>
          <w:bCs/>
          <w:color w:val="auto"/>
          <w:sz w:val="32"/>
          <w:szCs w:val="32"/>
          <w:highlight w:val="none"/>
        </w:rPr>
        <w:t>日</w:t>
      </w:r>
    </w:p>
    <w:p w14:paraId="44FF368F">
      <w:pPr>
        <w:spacing w:line="360" w:lineRule="auto"/>
        <w:jc w:val="center"/>
        <w:rPr>
          <w:rFonts w:ascii="宋体" w:hAnsi="宋体" w:cs="宋体"/>
          <w:color w:val="auto"/>
          <w:sz w:val="24"/>
          <w:highlight w:val="none"/>
        </w:rPr>
      </w:pPr>
      <w:r>
        <w:rPr>
          <w:rFonts w:hint="eastAsia" w:ascii="宋体" w:hAnsi="宋体" w:cs="宋体"/>
          <w:color w:val="auto"/>
          <w:sz w:val="24"/>
          <w:highlight w:val="none"/>
        </w:rPr>
        <w:br w:type="page"/>
      </w:r>
      <w:bookmarkStart w:id="0" w:name="_Hlt67893495"/>
      <w:bookmarkEnd w:id="0"/>
    </w:p>
    <w:p w14:paraId="72ACECC9">
      <w:pPr>
        <w:spacing w:line="360" w:lineRule="auto"/>
        <w:jc w:val="center"/>
        <w:rPr>
          <w:rFonts w:ascii="宋体" w:hAnsi="宋体" w:cs="宋体"/>
          <w:color w:val="auto"/>
          <w:sz w:val="24"/>
          <w:highlight w:val="none"/>
        </w:rPr>
      </w:pPr>
    </w:p>
    <w:p w14:paraId="4524457E">
      <w:pPr>
        <w:spacing w:line="360" w:lineRule="auto"/>
        <w:jc w:val="center"/>
        <w:rPr>
          <w:rFonts w:ascii="宋体" w:hAnsi="宋体" w:cs="宋体"/>
          <w:b/>
          <w:color w:val="auto"/>
          <w:sz w:val="48"/>
          <w:szCs w:val="48"/>
          <w:highlight w:val="none"/>
        </w:rPr>
      </w:pPr>
      <w:r>
        <w:rPr>
          <w:rFonts w:hint="eastAsia" w:ascii="宋体" w:hAnsi="宋体" w:cs="宋体"/>
          <w:b/>
          <w:color w:val="auto"/>
          <w:sz w:val="48"/>
          <w:szCs w:val="48"/>
          <w:highlight w:val="none"/>
        </w:rPr>
        <w:t>目  录</w:t>
      </w:r>
    </w:p>
    <w:p w14:paraId="37419A57">
      <w:pPr>
        <w:spacing w:line="360" w:lineRule="auto"/>
        <w:rPr>
          <w:rFonts w:ascii="宋体" w:hAnsi="宋体" w:cs="宋体"/>
          <w:color w:val="auto"/>
          <w:sz w:val="32"/>
          <w:szCs w:val="32"/>
          <w:highlight w:val="none"/>
        </w:rPr>
      </w:pPr>
    </w:p>
    <w:p w14:paraId="6495E50D">
      <w:pPr>
        <w:spacing w:line="360" w:lineRule="auto"/>
        <w:rPr>
          <w:rFonts w:ascii="宋体" w:hAnsi="宋体" w:cs="宋体"/>
          <w:color w:val="auto"/>
          <w:sz w:val="32"/>
          <w:szCs w:val="32"/>
          <w:highlight w:val="none"/>
        </w:rPr>
      </w:pPr>
    </w:p>
    <w:p w14:paraId="3F6B41BF">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第一部分      招标公告</w:t>
      </w:r>
    </w:p>
    <w:p w14:paraId="32279D1A">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第二部分      投标人须知</w:t>
      </w:r>
    </w:p>
    <w:p w14:paraId="7EF0EF20">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第三部分      采购需求</w:t>
      </w:r>
    </w:p>
    <w:p w14:paraId="49B7F451">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第四部分      评标办法</w:t>
      </w:r>
    </w:p>
    <w:p w14:paraId="3661415F">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第五部分      拟签订的合同文本</w:t>
      </w:r>
    </w:p>
    <w:p w14:paraId="7D96F201">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第六部分      应提交的有关格式范例</w:t>
      </w:r>
    </w:p>
    <w:p w14:paraId="2F20FAD2">
      <w:pPr>
        <w:spacing w:line="360" w:lineRule="auto"/>
        <w:ind w:firstLine="549" w:firstLineChars="229"/>
        <w:rPr>
          <w:rFonts w:ascii="宋体" w:hAnsi="宋体" w:cs="宋体"/>
          <w:color w:val="auto"/>
          <w:sz w:val="24"/>
          <w:highlight w:val="none"/>
        </w:rPr>
      </w:pPr>
      <w:bookmarkStart w:id="1" w:name="_Hlt91233176"/>
      <w:bookmarkEnd w:id="1"/>
      <w:bookmarkStart w:id="2" w:name="_Toc91899869"/>
    </w:p>
    <w:p w14:paraId="04100993">
      <w:pPr>
        <w:spacing w:line="360" w:lineRule="auto"/>
        <w:ind w:firstLine="549" w:firstLineChars="229"/>
        <w:rPr>
          <w:rFonts w:ascii="宋体" w:hAnsi="宋体" w:cs="宋体"/>
          <w:color w:val="auto"/>
          <w:sz w:val="24"/>
          <w:highlight w:val="none"/>
        </w:rPr>
      </w:pPr>
    </w:p>
    <w:p w14:paraId="7ADB7EE6">
      <w:pPr>
        <w:spacing w:line="360" w:lineRule="auto"/>
        <w:ind w:firstLine="549" w:firstLineChars="229"/>
        <w:rPr>
          <w:rFonts w:ascii="宋体" w:hAnsi="宋体" w:cs="宋体"/>
          <w:color w:val="auto"/>
          <w:sz w:val="24"/>
          <w:highlight w:val="none"/>
        </w:rPr>
      </w:pPr>
    </w:p>
    <w:p w14:paraId="2D8E15AC">
      <w:pPr>
        <w:spacing w:line="360" w:lineRule="auto"/>
        <w:ind w:firstLine="549" w:firstLineChars="229"/>
        <w:rPr>
          <w:rFonts w:ascii="宋体" w:hAnsi="宋体" w:cs="宋体"/>
          <w:color w:val="auto"/>
          <w:sz w:val="24"/>
          <w:highlight w:val="none"/>
        </w:rPr>
      </w:pPr>
    </w:p>
    <w:p w14:paraId="1AB981F2">
      <w:pPr>
        <w:spacing w:line="360" w:lineRule="auto"/>
        <w:ind w:firstLine="549" w:firstLineChars="229"/>
        <w:rPr>
          <w:rFonts w:ascii="宋体" w:hAnsi="宋体" w:cs="宋体"/>
          <w:color w:val="auto"/>
          <w:sz w:val="24"/>
          <w:highlight w:val="none"/>
        </w:rPr>
      </w:pPr>
    </w:p>
    <w:p w14:paraId="231E20D8">
      <w:pPr>
        <w:spacing w:line="360" w:lineRule="auto"/>
        <w:ind w:firstLine="549" w:firstLineChars="229"/>
        <w:rPr>
          <w:rFonts w:ascii="宋体" w:hAnsi="宋体" w:cs="宋体"/>
          <w:color w:val="auto"/>
          <w:sz w:val="24"/>
          <w:highlight w:val="none"/>
        </w:rPr>
      </w:pPr>
    </w:p>
    <w:p w14:paraId="6649C31E">
      <w:pPr>
        <w:spacing w:line="360" w:lineRule="auto"/>
        <w:ind w:firstLine="549" w:firstLineChars="229"/>
        <w:rPr>
          <w:rFonts w:ascii="宋体" w:hAnsi="宋体" w:cs="宋体"/>
          <w:color w:val="auto"/>
          <w:sz w:val="24"/>
          <w:highlight w:val="none"/>
        </w:rPr>
      </w:pPr>
    </w:p>
    <w:p w14:paraId="110C246D">
      <w:pPr>
        <w:spacing w:line="360" w:lineRule="auto"/>
        <w:ind w:firstLine="549" w:firstLineChars="229"/>
        <w:rPr>
          <w:rFonts w:ascii="宋体" w:hAnsi="宋体" w:cs="宋体"/>
          <w:color w:val="auto"/>
          <w:sz w:val="24"/>
          <w:highlight w:val="none"/>
        </w:rPr>
      </w:pPr>
    </w:p>
    <w:p w14:paraId="37D2E0A5">
      <w:pPr>
        <w:spacing w:line="360" w:lineRule="auto"/>
        <w:ind w:firstLine="549" w:firstLineChars="229"/>
        <w:rPr>
          <w:rFonts w:ascii="宋体" w:hAnsi="宋体" w:cs="宋体"/>
          <w:color w:val="auto"/>
          <w:sz w:val="24"/>
          <w:highlight w:val="none"/>
        </w:rPr>
      </w:pPr>
    </w:p>
    <w:p w14:paraId="79826B0D">
      <w:pPr>
        <w:spacing w:line="360" w:lineRule="auto"/>
        <w:ind w:firstLine="549" w:firstLineChars="229"/>
        <w:rPr>
          <w:rFonts w:ascii="宋体" w:hAnsi="宋体" w:cs="宋体"/>
          <w:color w:val="auto"/>
          <w:sz w:val="24"/>
          <w:highlight w:val="none"/>
        </w:rPr>
      </w:pPr>
    </w:p>
    <w:p w14:paraId="74C70549">
      <w:pPr>
        <w:spacing w:line="360" w:lineRule="auto"/>
        <w:ind w:firstLine="549" w:firstLineChars="229"/>
        <w:rPr>
          <w:rFonts w:ascii="宋体" w:hAnsi="宋体" w:cs="宋体"/>
          <w:color w:val="auto"/>
          <w:sz w:val="24"/>
          <w:highlight w:val="none"/>
        </w:rPr>
      </w:pPr>
    </w:p>
    <w:p w14:paraId="65E7F038">
      <w:pPr>
        <w:spacing w:line="360" w:lineRule="auto"/>
        <w:ind w:firstLine="549" w:firstLineChars="229"/>
        <w:rPr>
          <w:rFonts w:ascii="宋体" w:hAnsi="宋体" w:cs="宋体"/>
          <w:color w:val="auto"/>
          <w:sz w:val="24"/>
          <w:highlight w:val="none"/>
        </w:rPr>
      </w:pPr>
    </w:p>
    <w:p w14:paraId="0BEDD5EB">
      <w:pPr>
        <w:spacing w:line="360" w:lineRule="auto"/>
        <w:ind w:firstLine="549" w:firstLineChars="229"/>
        <w:rPr>
          <w:rFonts w:ascii="宋体" w:hAnsi="宋体" w:cs="宋体"/>
          <w:color w:val="auto"/>
          <w:sz w:val="24"/>
          <w:highlight w:val="none"/>
        </w:rPr>
      </w:pPr>
    </w:p>
    <w:p w14:paraId="4BB559D3">
      <w:pPr>
        <w:spacing w:line="360" w:lineRule="auto"/>
        <w:rPr>
          <w:rFonts w:ascii="宋体" w:hAnsi="宋体" w:cs="宋体"/>
          <w:color w:val="auto"/>
          <w:sz w:val="24"/>
          <w:highlight w:val="none"/>
        </w:rPr>
      </w:pPr>
    </w:p>
    <w:p w14:paraId="4640EBF4">
      <w:pPr>
        <w:adjustRightInd/>
        <w:spacing w:line="360" w:lineRule="auto"/>
        <w:jc w:val="center"/>
        <w:outlineLvl w:val="0"/>
        <w:rPr>
          <w:rFonts w:ascii="宋体" w:hAnsi="宋体" w:cs="宋体"/>
          <w:b/>
          <w:color w:val="auto"/>
          <w:sz w:val="36"/>
          <w:szCs w:val="20"/>
          <w:highlight w:val="none"/>
        </w:rPr>
      </w:pPr>
      <w:bookmarkStart w:id="3" w:name="第一部分"/>
      <w:r>
        <w:rPr>
          <w:rFonts w:hint="eastAsia" w:ascii="宋体" w:hAnsi="宋体" w:cs="宋体"/>
          <w:b/>
          <w:color w:val="auto"/>
          <w:sz w:val="36"/>
          <w:szCs w:val="36"/>
          <w:highlight w:val="none"/>
        </w:rPr>
        <w:br w:type="page"/>
      </w:r>
      <w:bookmarkEnd w:id="2"/>
      <w:bookmarkEnd w:id="3"/>
      <w:bookmarkStart w:id="4" w:name="_Hlt74728647"/>
      <w:bookmarkEnd w:id="4"/>
      <w:bookmarkStart w:id="5" w:name="_Hlt74707423"/>
      <w:bookmarkEnd w:id="5"/>
      <w:bookmarkStart w:id="6" w:name="_Hlt74729822"/>
      <w:bookmarkEnd w:id="6"/>
      <w:bookmarkStart w:id="7" w:name="_Hlt74649545"/>
      <w:bookmarkEnd w:id="7"/>
      <w:bookmarkStart w:id="8" w:name="第二部分"/>
      <w:bookmarkStart w:id="9" w:name="_Toc91899870"/>
      <w:bookmarkStart w:id="10" w:name="_Toc91899871"/>
      <w:r>
        <w:rPr>
          <w:rFonts w:hint="eastAsia" w:ascii="宋体" w:hAnsi="宋体" w:cs="宋体"/>
          <w:b/>
          <w:color w:val="auto"/>
          <w:sz w:val="36"/>
          <w:szCs w:val="20"/>
          <w:highlight w:val="none"/>
        </w:rPr>
        <w:t>第一部分 招标公告</w:t>
      </w:r>
    </w:p>
    <w:p w14:paraId="465722E9">
      <w:pPr>
        <w:pBdr>
          <w:top w:val="single" w:color="auto" w:sz="4" w:space="1"/>
          <w:left w:val="single" w:color="auto" w:sz="4" w:space="4"/>
          <w:bottom w:val="single" w:color="auto" w:sz="4" w:space="2"/>
          <w:right w:val="single" w:color="auto" w:sz="4" w:space="4"/>
        </w:pBd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项目概况</w:t>
      </w:r>
    </w:p>
    <w:p w14:paraId="570E534D">
      <w:pPr>
        <w:pBdr>
          <w:top w:val="single" w:color="auto" w:sz="4" w:space="1"/>
          <w:left w:val="single" w:color="auto" w:sz="4" w:space="4"/>
          <w:bottom w:val="single" w:color="auto" w:sz="4" w:space="2"/>
          <w:right w:val="single" w:color="auto" w:sz="4" w:space="4"/>
        </w:pBdr>
        <w:spacing w:line="360" w:lineRule="auto"/>
        <w:ind w:firstLine="480" w:firstLineChars="200"/>
        <w:rPr>
          <w:rFonts w:asciiTheme="minorEastAsia" w:hAnsiTheme="minorEastAsia" w:eastAsiaTheme="minorEastAsia"/>
          <w:color w:val="auto"/>
          <w:sz w:val="24"/>
          <w:highlight w:val="none"/>
          <w:u w:val="single"/>
        </w:rPr>
      </w:pPr>
      <w:r>
        <w:rPr>
          <w:rFonts w:hint="eastAsia" w:ascii="宋体" w:hAnsi="宋体" w:cs="宋体"/>
          <w:color w:val="auto"/>
          <w:sz w:val="24"/>
          <w:highlight w:val="none"/>
          <w:u w:val="single"/>
          <w:lang w:eastAsia="zh-CN"/>
        </w:rPr>
        <w:t>滨江区科技创新综合体及周边配套项目厨房设备采购（重新招标）</w:t>
      </w:r>
      <w:r>
        <w:rPr>
          <w:rFonts w:hint="eastAsia" w:asciiTheme="minorEastAsia" w:hAnsiTheme="minorEastAsia" w:eastAsiaTheme="minorEastAsia"/>
          <w:color w:val="auto"/>
          <w:sz w:val="24"/>
          <w:highlight w:val="none"/>
        </w:rPr>
        <w:t>招标项目的潜在投标人应在</w:t>
      </w:r>
      <w:r>
        <w:rPr>
          <w:rFonts w:hint="eastAsia" w:asciiTheme="minorEastAsia" w:hAnsiTheme="minorEastAsia" w:eastAsiaTheme="minorEastAsia"/>
          <w:color w:val="auto"/>
          <w:sz w:val="24"/>
          <w:highlight w:val="none"/>
          <w:lang w:eastAsia="zh-CN"/>
        </w:rPr>
        <w:t>乐采云</w:t>
      </w:r>
      <w:r>
        <w:rPr>
          <w:rFonts w:hint="eastAsia" w:asciiTheme="minorEastAsia" w:hAnsiTheme="minorEastAsia" w:eastAsiaTheme="minorEastAsia"/>
          <w:color w:val="auto"/>
          <w:sz w:val="24"/>
          <w:highlight w:val="none"/>
        </w:rPr>
        <w:t>平台（</w:t>
      </w:r>
      <w:r>
        <w:rPr>
          <w:color w:val="auto"/>
          <w:highlight w:val="none"/>
        </w:rPr>
        <w:fldChar w:fldCharType="begin"/>
      </w:r>
      <w:r>
        <w:rPr>
          <w:color w:val="auto"/>
          <w:highlight w:val="none"/>
        </w:rPr>
        <w:instrText xml:space="preserve"> HYPERLINK "https://www.zcygov.cn/）获取（下载）招标文件，并于202%20年%20月%20日%20点%20分00秒" </w:instrText>
      </w:r>
      <w:r>
        <w:rPr>
          <w:color w:val="auto"/>
          <w:highlight w:val="none"/>
        </w:rPr>
        <w:fldChar w:fldCharType="separate"/>
      </w:r>
      <w:r>
        <w:rPr>
          <w:rStyle w:val="80"/>
          <w:rFonts w:cs="Times New Roman" w:asciiTheme="minorEastAsia" w:hAnsiTheme="minorEastAsia" w:eastAsiaTheme="minorEastAsia"/>
          <w:snapToGrid/>
          <w:color w:val="auto"/>
          <w:kern w:val="2"/>
          <w:sz w:val="24"/>
          <w:szCs w:val="24"/>
          <w:highlight w:val="none"/>
        </w:rPr>
        <w:t>https://</w:t>
      </w:r>
      <w:r>
        <w:rPr>
          <w:rStyle w:val="80"/>
          <w:rFonts w:hint="eastAsia" w:cs="Times New Roman" w:asciiTheme="minorEastAsia" w:hAnsiTheme="minorEastAsia" w:eastAsiaTheme="minorEastAsia"/>
          <w:snapToGrid/>
          <w:color w:val="auto"/>
          <w:kern w:val="2"/>
          <w:sz w:val="24"/>
          <w:szCs w:val="24"/>
          <w:highlight w:val="none"/>
          <w:lang w:eastAsia="zh-CN"/>
        </w:rPr>
        <w:t>www.lecaiyun.com</w:t>
      </w:r>
      <w:r>
        <w:rPr>
          <w:rStyle w:val="80"/>
          <w:rFonts w:cs="Times New Roman" w:asciiTheme="minorEastAsia" w:hAnsiTheme="minorEastAsia" w:eastAsiaTheme="minorEastAsia"/>
          <w:snapToGrid/>
          <w:color w:val="auto"/>
          <w:kern w:val="2"/>
          <w:sz w:val="24"/>
          <w:szCs w:val="24"/>
          <w:highlight w:val="none"/>
        </w:rPr>
        <w:t>/）获取（下载）招标文件，并于</w:t>
      </w:r>
      <w:r>
        <w:rPr>
          <w:rStyle w:val="80"/>
          <w:rFonts w:hint="eastAsia" w:cs="Times New Roman" w:asciiTheme="minorEastAsia" w:hAnsiTheme="minorEastAsia" w:eastAsiaTheme="minorEastAsia"/>
          <w:snapToGrid/>
          <w:color w:val="auto"/>
          <w:kern w:val="2"/>
          <w:sz w:val="24"/>
          <w:szCs w:val="24"/>
          <w:highlight w:val="none"/>
        </w:rPr>
        <w:t>20</w:t>
      </w:r>
      <w:r>
        <w:rPr>
          <w:rStyle w:val="80"/>
          <w:rFonts w:hint="eastAsia" w:cs="Times New Roman" w:asciiTheme="minorEastAsia" w:hAnsiTheme="minorEastAsia" w:eastAsiaTheme="minorEastAsia"/>
          <w:snapToGrid/>
          <w:color w:val="auto"/>
          <w:kern w:val="2"/>
          <w:sz w:val="24"/>
          <w:szCs w:val="24"/>
          <w:highlight w:val="none"/>
          <w:lang w:eastAsia="zh-CN"/>
        </w:rPr>
        <w:t>2</w:t>
      </w:r>
      <w:r>
        <w:rPr>
          <w:rStyle w:val="80"/>
          <w:rFonts w:hint="eastAsia" w:cs="Times New Roman" w:asciiTheme="minorEastAsia" w:hAnsiTheme="minorEastAsia" w:eastAsiaTheme="minorEastAsia"/>
          <w:snapToGrid/>
          <w:color w:val="auto"/>
          <w:kern w:val="2"/>
          <w:sz w:val="24"/>
          <w:szCs w:val="24"/>
          <w:highlight w:val="none"/>
          <w:lang w:val="en-US" w:eastAsia="zh-CN"/>
        </w:rPr>
        <w:t>4</w:t>
      </w:r>
      <w:r>
        <w:rPr>
          <w:rStyle w:val="80"/>
          <w:rFonts w:cs="Times New Roman" w:asciiTheme="minorEastAsia" w:hAnsiTheme="minorEastAsia" w:eastAsiaTheme="minorEastAsia"/>
          <w:snapToGrid/>
          <w:color w:val="auto"/>
          <w:kern w:val="2"/>
          <w:sz w:val="24"/>
          <w:szCs w:val="24"/>
          <w:highlight w:val="none"/>
        </w:rPr>
        <w:t>年</w:t>
      </w:r>
      <w:r>
        <w:rPr>
          <w:rStyle w:val="80"/>
          <w:rFonts w:hint="eastAsia" w:cs="Times New Roman" w:asciiTheme="minorEastAsia" w:hAnsiTheme="minorEastAsia" w:eastAsiaTheme="minorEastAsia"/>
          <w:snapToGrid/>
          <w:color w:val="auto"/>
          <w:kern w:val="2"/>
          <w:sz w:val="24"/>
          <w:szCs w:val="24"/>
          <w:highlight w:val="none"/>
          <w:lang w:val="en-US" w:eastAsia="zh-CN"/>
        </w:rPr>
        <w:t>10</w:t>
      </w:r>
      <w:r>
        <w:rPr>
          <w:rStyle w:val="80"/>
          <w:rFonts w:hint="eastAsia" w:cs="Times New Roman" w:asciiTheme="minorEastAsia" w:hAnsiTheme="minorEastAsia" w:eastAsiaTheme="minorEastAsia"/>
          <w:snapToGrid/>
          <w:color w:val="auto"/>
          <w:kern w:val="2"/>
          <w:sz w:val="24"/>
          <w:szCs w:val="24"/>
          <w:highlight w:val="none"/>
        </w:rPr>
        <w:t>月</w:t>
      </w:r>
      <w:r>
        <w:rPr>
          <w:rStyle w:val="80"/>
          <w:rFonts w:hint="eastAsia" w:cs="Times New Roman" w:asciiTheme="minorEastAsia" w:hAnsiTheme="minorEastAsia" w:eastAsiaTheme="minorEastAsia"/>
          <w:snapToGrid/>
          <w:color w:val="auto"/>
          <w:kern w:val="2"/>
          <w:sz w:val="24"/>
          <w:szCs w:val="24"/>
          <w:highlight w:val="none"/>
          <w:lang w:val="en-US" w:eastAsia="zh-CN"/>
        </w:rPr>
        <w:t xml:space="preserve"> 09</w:t>
      </w:r>
      <w:r>
        <w:rPr>
          <w:rStyle w:val="80"/>
          <w:rFonts w:hint="eastAsia" w:cs="Times New Roman" w:asciiTheme="minorEastAsia" w:hAnsiTheme="minorEastAsia" w:eastAsiaTheme="minorEastAsia"/>
          <w:snapToGrid/>
          <w:color w:val="auto"/>
          <w:kern w:val="2"/>
          <w:sz w:val="24"/>
          <w:szCs w:val="24"/>
          <w:highlight w:val="none"/>
        </w:rPr>
        <w:t>日</w:t>
      </w:r>
      <w:r>
        <w:rPr>
          <w:rStyle w:val="80"/>
          <w:rFonts w:hint="eastAsia" w:cs="Times New Roman" w:asciiTheme="minorEastAsia" w:hAnsiTheme="minorEastAsia" w:eastAsiaTheme="minorEastAsia"/>
          <w:snapToGrid/>
          <w:color w:val="auto"/>
          <w:kern w:val="2"/>
          <w:sz w:val="24"/>
          <w:szCs w:val="24"/>
          <w:highlight w:val="none"/>
          <w:lang w:val="en-US" w:eastAsia="zh-CN"/>
        </w:rPr>
        <w:t>10</w:t>
      </w:r>
      <w:r>
        <w:rPr>
          <w:rStyle w:val="80"/>
          <w:rFonts w:hint="eastAsia" w:cs="Times New Roman" w:asciiTheme="minorEastAsia" w:hAnsiTheme="minorEastAsia" w:eastAsiaTheme="minorEastAsia"/>
          <w:snapToGrid/>
          <w:color w:val="auto"/>
          <w:kern w:val="2"/>
          <w:sz w:val="24"/>
          <w:szCs w:val="24"/>
          <w:highlight w:val="none"/>
        </w:rPr>
        <w:t>点</w:t>
      </w:r>
      <w:r>
        <w:rPr>
          <w:rStyle w:val="80"/>
          <w:rFonts w:hint="eastAsia" w:cs="Times New Roman" w:asciiTheme="minorEastAsia" w:hAnsiTheme="minorEastAsia" w:eastAsiaTheme="minorEastAsia"/>
          <w:snapToGrid/>
          <w:color w:val="auto"/>
          <w:kern w:val="2"/>
          <w:sz w:val="24"/>
          <w:szCs w:val="24"/>
          <w:highlight w:val="none"/>
          <w:lang w:val="en-US" w:eastAsia="zh-CN"/>
        </w:rPr>
        <w:t>00</w:t>
      </w:r>
      <w:r>
        <w:rPr>
          <w:rStyle w:val="80"/>
          <w:rFonts w:hint="eastAsia" w:cs="Times New Roman" w:asciiTheme="minorEastAsia" w:hAnsiTheme="minorEastAsia" w:eastAsiaTheme="minorEastAsia"/>
          <w:snapToGrid/>
          <w:color w:val="auto"/>
          <w:kern w:val="2"/>
          <w:sz w:val="24"/>
          <w:szCs w:val="24"/>
          <w:highlight w:val="none"/>
        </w:rPr>
        <w:t>分</w:t>
      </w:r>
      <w:r>
        <w:rPr>
          <w:rStyle w:val="80"/>
          <w:rFonts w:hint="eastAsia" w:cs="Times New Roman" w:asciiTheme="minorEastAsia" w:hAnsiTheme="minorEastAsia" w:eastAsiaTheme="minorEastAsia"/>
          <w:bCs/>
          <w:snapToGrid/>
          <w:color w:val="auto"/>
          <w:kern w:val="2"/>
          <w:sz w:val="24"/>
          <w:szCs w:val="24"/>
          <w:highlight w:val="none"/>
        </w:rPr>
        <w:t>00秒</w:t>
      </w:r>
      <w:r>
        <w:rPr>
          <w:rStyle w:val="80"/>
          <w:rFonts w:hint="eastAsia" w:cs="Times New Roman" w:asciiTheme="minorEastAsia" w:hAnsiTheme="minorEastAsia" w:eastAsiaTheme="minorEastAsia"/>
          <w:bCs/>
          <w:snapToGrid/>
          <w:color w:val="auto"/>
          <w:kern w:val="2"/>
          <w:sz w:val="24"/>
          <w:szCs w:val="24"/>
          <w:highlight w:val="none"/>
        </w:rPr>
        <w:fldChar w:fldCharType="end"/>
      </w:r>
      <w:r>
        <w:rPr>
          <w:rFonts w:hint="eastAsia" w:asciiTheme="minorEastAsia" w:hAnsiTheme="minorEastAsia" w:eastAsiaTheme="minorEastAsia"/>
          <w:bCs/>
          <w:color w:val="auto"/>
          <w:sz w:val="24"/>
          <w:highlight w:val="none"/>
        </w:rPr>
        <w:t>（北京时间）前</w:t>
      </w:r>
      <w:r>
        <w:rPr>
          <w:rFonts w:hint="eastAsia" w:asciiTheme="minorEastAsia" w:hAnsiTheme="minorEastAsia" w:eastAsiaTheme="minorEastAsia"/>
          <w:color w:val="auto"/>
          <w:sz w:val="24"/>
          <w:highlight w:val="none"/>
        </w:rPr>
        <w:t>递交（上传）投标文件。</w:t>
      </w:r>
    </w:p>
    <w:p w14:paraId="40ACA905">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一、项目基本情况                                            </w:t>
      </w:r>
    </w:p>
    <w:p w14:paraId="72752B1D">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 xml:space="preserve">    </w:t>
      </w:r>
      <w:r>
        <w:rPr>
          <w:rFonts w:hint="eastAsia" w:ascii="宋体" w:hAnsi="宋体" w:cs="宋体"/>
          <w:b/>
          <w:color w:val="auto"/>
          <w:sz w:val="24"/>
          <w:highlight w:val="none"/>
        </w:rPr>
        <w:t>项目编号：</w:t>
      </w:r>
      <w:r>
        <w:rPr>
          <w:rFonts w:hint="eastAsia" w:ascii="宋体" w:hAnsi="宋体" w:cs="宋体"/>
          <w:color w:val="auto"/>
          <w:sz w:val="24"/>
          <w:highlight w:val="none"/>
          <w:lang w:eastAsia="zh-CN"/>
        </w:rPr>
        <w:t>浙房咨2024【D-224】-0001-1</w:t>
      </w:r>
    </w:p>
    <w:p w14:paraId="307751F9">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b/>
          <w:color w:val="auto"/>
          <w:sz w:val="24"/>
          <w:highlight w:val="none"/>
        </w:rPr>
        <w:t xml:space="preserve"> 项目名称：</w:t>
      </w:r>
      <w:r>
        <w:rPr>
          <w:rFonts w:hint="eastAsia" w:ascii="宋体" w:hAnsi="宋体" w:cs="宋体"/>
          <w:color w:val="auto"/>
          <w:sz w:val="24"/>
          <w:highlight w:val="none"/>
          <w:u w:val="none"/>
          <w:lang w:eastAsia="zh-CN"/>
        </w:rPr>
        <w:t>滨江区科技创新综合体及周边配套项目厨房设备采购（重新招标）</w:t>
      </w:r>
    </w:p>
    <w:p w14:paraId="57082740">
      <w:pPr>
        <w:spacing w:line="360" w:lineRule="auto"/>
        <w:rPr>
          <w:rFonts w:hint="default" w:ascii="宋体" w:hAnsi="宋体" w:cs="宋体"/>
          <w:color w:val="auto"/>
          <w:sz w:val="24"/>
          <w:highlight w:val="none"/>
          <w:lang w:val="en-US"/>
        </w:rPr>
      </w:pPr>
      <w:r>
        <w:rPr>
          <w:rFonts w:hint="eastAsia" w:ascii="宋体" w:hAnsi="宋体" w:cs="宋体"/>
          <w:color w:val="auto"/>
          <w:sz w:val="24"/>
          <w:highlight w:val="none"/>
        </w:rPr>
        <w:t xml:space="preserve">   </w:t>
      </w:r>
      <w:r>
        <w:rPr>
          <w:rFonts w:hint="eastAsia" w:ascii="宋体" w:hAnsi="宋体" w:cs="宋体"/>
          <w:b/>
          <w:color w:val="auto"/>
          <w:sz w:val="24"/>
          <w:highlight w:val="none"/>
        </w:rPr>
        <w:t xml:space="preserve"> 预算金额（元）：</w:t>
      </w:r>
      <w:r>
        <w:rPr>
          <w:rFonts w:hint="eastAsia" w:ascii="宋体" w:hAnsi="宋体" w:cs="宋体"/>
          <w:b/>
          <w:color w:val="auto"/>
          <w:sz w:val="24"/>
          <w:highlight w:val="none"/>
          <w:lang w:val="en-US" w:eastAsia="zh-CN"/>
        </w:rPr>
        <w:t>3195380</w:t>
      </w:r>
    </w:p>
    <w:p w14:paraId="630C5D2E">
      <w:pPr>
        <w:spacing w:line="360" w:lineRule="auto"/>
        <w:ind w:firstLine="480"/>
        <w:rPr>
          <w:rFonts w:hint="default" w:ascii="宋体" w:hAnsi="宋体" w:cs="宋体"/>
          <w:color w:val="auto"/>
          <w:sz w:val="24"/>
          <w:highlight w:val="none"/>
          <w:lang w:val="en-US"/>
        </w:rPr>
      </w:pPr>
      <w:r>
        <w:rPr>
          <w:rFonts w:hint="eastAsia" w:ascii="宋体" w:hAnsi="宋体" w:cs="宋体"/>
          <w:b/>
          <w:color w:val="auto"/>
          <w:sz w:val="24"/>
          <w:highlight w:val="none"/>
        </w:rPr>
        <w:t>最高限价（元）：</w:t>
      </w:r>
      <w:r>
        <w:rPr>
          <w:rFonts w:hint="eastAsia" w:ascii="宋体" w:hAnsi="宋体" w:cs="宋体"/>
          <w:b/>
          <w:color w:val="auto"/>
          <w:sz w:val="24"/>
          <w:highlight w:val="none"/>
          <w:lang w:val="en-US" w:eastAsia="zh-CN"/>
        </w:rPr>
        <w:t>3195380</w:t>
      </w:r>
    </w:p>
    <w:p w14:paraId="08E8987B">
      <w:pPr>
        <w:pStyle w:val="15"/>
        <w:spacing w:line="360" w:lineRule="auto"/>
        <w:ind w:firstLine="480"/>
        <w:rPr>
          <w:rFonts w:hAnsi="宋体" w:cs="宋体"/>
          <w:bCs/>
          <w:snapToGrid/>
          <w:color w:val="auto"/>
          <w:kern w:val="2"/>
          <w:sz w:val="24"/>
          <w:szCs w:val="24"/>
          <w:highlight w:val="none"/>
        </w:rPr>
      </w:pPr>
      <w:r>
        <w:rPr>
          <w:rFonts w:hint="eastAsia" w:hAnsi="宋体" w:cs="宋体"/>
          <w:b/>
          <w:color w:val="auto"/>
          <w:sz w:val="24"/>
          <w:highlight w:val="none"/>
        </w:rPr>
        <w:t>采购需求：</w:t>
      </w:r>
      <w:r>
        <w:rPr>
          <w:rFonts w:hint="eastAsia" w:hAnsi="宋体" w:cs="宋体"/>
          <w:color w:val="auto"/>
          <w:sz w:val="24"/>
          <w:highlight w:val="none"/>
          <w:u w:val="none"/>
          <w:lang w:eastAsia="zh-CN"/>
        </w:rPr>
        <w:t>滨江区科技创新综合体及周边配套项目厨房设备采购（重新招标），</w:t>
      </w:r>
      <w:r>
        <w:rPr>
          <w:rFonts w:hint="eastAsia" w:hAnsi="宋体" w:cs="宋体"/>
          <w:bCs/>
          <w:snapToGrid/>
          <w:color w:val="auto"/>
          <w:kern w:val="2"/>
          <w:sz w:val="24"/>
          <w:szCs w:val="24"/>
          <w:highlight w:val="none"/>
        </w:rPr>
        <w:t>主要内容：</w:t>
      </w:r>
      <w:r>
        <w:rPr>
          <w:rFonts w:hint="eastAsia" w:ascii="宋体" w:hAnsi="宋体" w:eastAsia="宋体" w:cs="宋体"/>
          <w:color w:val="auto"/>
          <w:sz w:val="24"/>
          <w:szCs w:val="28"/>
          <w:highlight w:val="none"/>
          <w:shd w:val="clear" w:color="auto" w:fill="auto"/>
          <w:lang w:eastAsia="zh-CN"/>
        </w:rPr>
        <w:t>厨房设备采购</w:t>
      </w:r>
      <w:r>
        <w:rPr>
          <w:rFonts w:hint="eastAsia" w:hAnsi="宋体" w:cs="宋体"/>
          <w:bCs/>
          <w:snapToGrid/>
          <w:color w:val="auto"/>
          <w:kern w:val="2"/>
          <w:sz w:val="24"/>
          <w:szCs w:val="24"/>
          <w:highlight w:val="none"/>
        </w:rPr>
        <w:t>。</w:t>
      </w:r>
      <w:r>
        <w:rPr>
          <w:rFonts w:hint="eastAsia" w:asciiTheme="minorEastAsia" w:hAnsiTheme="minorEastAsia" w:eastAsiaTheme="minorEastAsia"/>
          <w:snapToGrid/>
          <w:color w:val="auto"/>
          <w:kern w:val="2"/>
          <w:sz w:val="24"/>
          <w:szCs w:val="24"/>
          <w:highlight w:val="none"/>
        </w:rPr>
        <w:t>具体以招标文件第三部分采购需求为准，供应商可点击本公告下方“浏览采购文件”查看采购需求。</w:t>
      </w:r>
    </w:p>
    <w:p w14:paraId="232D2EC4">
      <w:pPr>
        <w:pStyle w:val="134"/>
        <w:ind w:firstLine="482"/>
        <w:outlineLvl w:val="2"/>
        <w:rPr>
          <w:rFonts w:ascii="宋体" w:hAnsi="宋体" w:cs="宋体"/>
          <w:color w:val="auto"/>
          <w:highlight w:val="none"/>
        </w:rPr>
      </w:pPr>
      <w:r>
        <w:rPr>
          <w:rFonts w:hint="eastAsia" w:ascii="宋体" w:hAnsi="宋体" w:cs="宋体"/>
          <w:b/>
          <w:color w:val="auto"/>
          <w:highlight w:val="none"/>
        </w:rPr>
        <w:t>合同履约期限：</w:t>
      </w:r>
      <w:r>
        <w:rPr>
          <w:rFonts w:hint="eastAsia" w:ascii="宋体" w:hAnsi="宋体" w:cs="宋体"/>
          <w:bCs/>
          <w:color w:val="auto"/>
          <w:szCs w:val="21"/>
          <w:highlight w:val="none"/>
        </w:rPr>
        <w:t>合同签订之日起</w:t>
      </w:r>
      <w:r>
        <w:rPr>
          <w:rFonts w:hint="eastAsia" w:ascii="宋体" w:hAnsi="宋体" w:cs="宋体"/>
          <w:bCs/>
          <w:color w:val="auto"/>
          <w:szCs w:val="21"/>
          <w:highlight w:val="none"/>
          <w:lang w:val="en-US" w:eastAsia="zh-CN"/>
        </w:rPr>
        <w:t>60</w:t>
      </w:r>
      <w:r>
        <w:rPr>
          <w:rFonts w:hint="eastAsia" w:ascii="宋体" w:hAnsi="宋体" w:cs="宋体"/>
          <w:bCs/>
          <w:color w:val="auto"/>
          <w:szCs w:val="21"/>
          <w:highlight w:val="none"/>
        </w:rPr>
        <w:t>日历天内完成本项目的供货、安装及调试，并通过验收。</w:t>
      </w:r>
      <w:r>
        <w:rPr>
          <w:rFonts w:hint="eastAsia" w:ascii="宋体" w:hAnsi="宋体" w:cs="宋体"/>
          <w:b/>
          <w:color w:val="auto"/>
          <w:highlight w:val="none"/>
        </w:rPr>
        <w:t xml:space="preserve"> </w:t>
      </w:r>
    </w:p>
    <w:p w14:paraId="4A8BA792">
      <w:pPr>
        <w:pStyle w:val="15"/>
        <w:spacing w:line="360" w:lineRule="auto"/>
        <w:ind w:firstLine="480"/>
        <w:rPr>
          <w:rFonts w:hAnsi="宋体" w:cs="宋体"/>
          <w:color w:val="auto"/>
          <w:kern w:val="0"/>
          <w:sz w:val="24"/>
          <w:highlight w:val="none"/>
        </w:rPr>
      </w:pPr>
      <w:r>
        <w:rPr>
          <w:rFonts w:hint="eastAsia" w:hAnsi="宋体" w:cs="宋体"/>
          <w:b/>
          <w:color w:val="auto"/>
          <w:sz w:val="24"/>
          <w:highlight w:val="none"/>
        </w:rPr>
        <w:t>本项目接受联合体投标：</w:t>
      </w:r>
      <w:sdt>
        <w:sdtPr>
          <w:rPr>
            <w:rFonts w:hint="eastAsia" w:ascii="宋体" w:hAnsi="宋体" w:cs="宋体"/>
            <w:color w:val="auto"/>
            <w:kern w:val="0"/>
            <w:sz w:val="24"/>
            <w:highlight w:val="none"/>
          </w:rPr>
          <w:id w:val="-1276331357"/>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宋体" w:cs="宋体"/>
              <w:snapToGrid/>
              <w:color w:val="auto"/>
              <w:kern w:val="2"/>
              <w:sz w:val="24"/>
              <w:szCs w:val="24"/>
              <w:highlight w:val="none"/>
              <w:lang w:val="en-US" w:eastAsia="zh-CN" w:bidi="ar-SA"/>
            </w:rPr>
            <w:t>☐</w:t>
          </w:r>
        </w:sdtContent>
      </w:sdt>
      <w:r>
        <w:rPr>
          <w:rFonts w:hint="eastAsia" w:ascii="宋体" w:hAnsi="宋体" w:cs="宋体"/>
          <w:snapToGrid/>
          <w:color w:val="auto"/>
          <w:kern w:val="2"/>
          <w:sz w:val="24"/>
          <w:szCs w:val="24"/>
          <w:highlight w:val="none"/>
        </w:rPr>
        <w:t xml:space="preserve"> </w:t>
      </w:r>
      <w:r>
        <w:rPr>
          <w:rFonts w:hint="eastAsia" w:hAnsi="宋体" w:cs="宋体"/>
          <w:b w:val="0"/>
          <w:snapToGrid/>
          <w:color w:val="auto"/>
          <w:kern w:val="2"/>
          <w:sz w:val="24"/>
          <w:szCs w:val="24"/>
          <w:highlight w:val="none"/>
          <w:lang w:val="en-US" w:eastAsia="zh-CN"/>
        </w:rPr>
        <w:t>是；</w:t>
      </w:r>
      <w:sdt>
        <w:sdtPr>
          <w:rPr>
            <w:rFonts w:hint="eastAsia" w:ascii="宋体" w:hAnsi="宋体" w:cs="宋体"/>
            <w:snapToGrid/>
            <w:color w:val="auto"/>
            <w:kern w:val="2"/>
            <w:sz w:val="24"/>
            <w:szCs w:val="24"/>
            <w:highlight w:val="none"/>
          </w:rPr>
          <w:id w:val="147474025"/>
          <w14:checkbox>
            <w14:checked w14:val="1"/>
            <w14:checkedState w14:val="00FE" w14:font="Wingdings"/>
            <w14:uncheckedState w14:val="2610" w14:font="MS Gothic"/>
          </w14:checkbox>
        </w:sdtPr>
        <w:sdtEndPr>
          <w:rPr>
            <w:rFonts w:hint="eastAsia" w:ascii="宋体" w:hAnsi="宋体" w:cs="宋体"/>
            <w:snapToGrid/>
            <w:color w:val="auto"/>
            <w:kern w:val="2"/>
            <w:sz w:val="24"/>
            <w:szCs w:val="24"/>
            <w:highlight w:val="none"/>
          </w:rPr>
        </w:sdtEndPr>
        <w:sdtContent>
          <w:r>
            <w:rPr>
              <w:rFonts w:hint="eastAsia" w:ascii="Wingdings" w:hAnsi="Wingdings" w:eastAsia="宋体" w:cs="宋体"/>
              <w:snapToGrid/>
              <w:color w:val="auto"/>
              <w:kern w:val="2"/>
              <w:sz w:val="24"/>
              <w:szCs w:val="24"/>
              <w:highlight w:val="none"/>
              <w:lang w:val="en-US" w:eastAsia="zh-CN" w:bidi="ar-SA"/>
            </w:rPr>
            <w:t>þ</w:t>
          </w:r>
        </w:sdtContent>
      </w:sdt>
      <w:r>
        <w:rPr>
          <w:rFonts w:hint="eastAsia" w:ascii="宋体" w:hAnsi="宋体" w:cs="宋体"/>
          <w:snapToGrid/>
          <w:color w:val="auto"/>
          <w:kern w:val="2"/>
          <w:sz w:val="24"/>
          <w:szCs w:val="24"/>
          <w:highlight w:val="none"/>
        </w:rPr>
        <w:t xml:space="preserve"> </w:t>
      </w:r>
      <w:r>
        <w:rPr>
          <w:rFonts w:hint="eastAsia" w:hAnsi="宋体" w:cs="宋体"/>
          <w:b w:val="0"/>
          <w:snapToGrid/>
          <w:color w:val="auto"/>
          <w:kern w:val="2"/>
          <w:sz w:val="24"/>
          <w:szCs w:val="24"/>
          <w:highlight w:val="none"/>
          <w:lang w:val="en-US" w:eastAsia="zh-CN"/>
        </w:rPr>
        <w:t>否</w:t>
      </w:r>
    </w:p>
    <w:p w14:paraId="051B3F88">
      <w:pPr>
        <w:spacing w:line="360" w:lineRule="auto"/>
        <w:rPr>
          <w:rFonts w:ascii="宋体" w:hAnsi="宋体" w:cs="宋体"/>
          <w:b/>
          <w:color w:val="auto"/>
          <w:sz w:val="24"/>
          <w:highlight w:val="none"/>
        </w:rPr>
      </w:pPr>
      <w:r>
        <w:rPr>
          <w:rFonts w:hint="eastAsia" w:ascii="宋体" w:hAnsi="宋体" w:cs="宋体"/>
          <w:b/>
          <w:color w:val="auto"/>
          <w:sz w:val="24"/>
          <w:highlight w:val="none"/>
        </w:rPr>
        <w:t>二、</w:t>
      </w:r>
      <w:bookmarkStart w:id="11" w:name="_Hlk101132948"/>
      <w:r>
        <w:rPr>
          <w:rFonts w:hint="eastAsia" w:ascii="宋体" w:hAnsi="宋体" w:cs="宋体"/>
          <w:b/>
          <w:color w:val="auto"/>
          <w:sz w:val="24"/>
          <w:highlight w:val="none"/>
        </w:rPr>
        <w:t>申请人的资格要求</w:t>
      </w:r>
      <w:bookmarkEnd w:id="11"/>
      <w:r>
        <w:rPr>
          <w:rFonts w:hint="eastAsia" w:ascii="宋体" w:hAnsi="宋体" w:cs="宋体"/>
          <w:b/>
          <w:color w:val="auto"/>
          <w:sz w:val="24"/>
          <w:highlight w:val="none"/>
        </w:rPr>
        <w:t>：</w:t>
      </w:r>
    </w:p>
    <w:p w14:paraId="06B91D8B">
      <w:pPr>
        <w:spacing w:line="360" w:lineRule="auto"/>
        <w:ind w:firstLine="480"/>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14:paraId="2DA2F1DE">
      <w:pPr>
        <w:spacing w:line="360" w:lineRule="auto"/>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 xml:space="preserve">    </w:t>
      </w:r>
      <w:r>
        <w:rPr>
          <w:rFonts w:ascii="宋体" w:hAnsi="宋体" w:cs="宋体"/>
          <w:snapToGrid w:val="0"/>
          <w:color w:val="auto"/>
          <w:kern w:val="28"/>
          <w:sz w:val="24"/>
          <w:szCs w:val="20"/>
          <w:highlight w:val="none"/>
        </w:rPr>
        <w:t>2</w:t>
      </w:r>
      <w:r>
        <w:rPr>
          <w:rFonts w:hint="eastAsia" w:ascii="宋体" w:hAnsi="宋体" w:cs="宋体"/>
          <w:snapToGrid w:val="0"/>
          <w:color w:val="auto"/>
          <w:kern w:val="28"/>
          <w:sz w:val="24"/>
          <w:szCs w:val="20"/>
          <w:highlight w:val="none"/>
        </w:rPr>
        <w:t>.本项目不接受联合体投标或者投标人不以联合体形式投标的，则不需要提供；</w:t>
      </w:r>
    </w:p>
    <w:p w14:paraId="46915BBF">
      <w:pPr>
        <w:spacing w:line="360" w:lineRule="auto"/>
        <w:ind w:firstLine="480" w:firstLineChars="200"/>
        <w:rPr>
          <w:rFonts w:ascii="宋体" w:hAnsi="宋体" w:cs="宋体"/>
          <w:snapToGrid w:val="0"/>
          <w:color w:val="auto"/>
          <w:kern w:val="28"/>
          <w:sz w:val="24"/>
          <w:szCs w:val="20"/>
          <w:highlight w:val="none"/>
        </w:rPr>
      </w:pPr>
      <w:r>
        <w:rPr>
          <w:rFonts w:ascii="宋体" w:hAnsi="宋体" w:cs="宋体"/>
          <w:snapToGrid w:val="0"/>
          <w:color w:val="auto"/>
          <w:kern w:val="28"/>
          <w:sz w:val="24"/>
          <w:szCs w:val="20"/>
          <w:highlight w:val="none"/>
        </w:rPr>
        <w:t>3</w:t>
      </w:r>
      <w:r>
        <w:rPr>
          <w:rFonts w:hint="eastAsia" w:ascii="宋体" w:hAnsi="宋体" w:cs="宋体"/>
          <w:snapToGrid w:val="0"/>
          <w:color w:val="auto"/>
          <w:kern w:val="28"/>
          <w:sz w:val="24"/>
          <w:szCs w:val="20"/>
          <w:highlight w:val="none"/>
        </w:rPr>
        <w:t>.落实政府采购政策需满足的资格要求：</w:t>
      </w:r>
    </w:p>
    <w:p w14:paraId="0B0636E9">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47472342"/>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cs="宋体"/>
          <w:color w:val="auto"/>
          <w:kern w:val="0"/>
          <w:sz w:val="24"/>
          <w:highlight w:val="none"/>
        </w:rPr>
        <w:t xml:space="preserve"> </w:t>
      </w:r>
      <w:r>
        <w:rPr>
          <w:rFonts w:hint="eastAsia" w:ascii="宋体" w:hAnsi="宋体" w:cs="宋体"/>
          <w:color w:val="auto"/>
          <w:sz w:val="24"/>
          <w:highlight w:val="none"/>
        </w:rPr>
        <w:t>无</w:t>
      </w:r>
      <w:r>
        <w:rPr>
          <w:rFonts w:hint="eastAsia" w:ascii="宋体" w:hAnsi="宋体" w:cs="宋体"/>
          <w:snapToGrid w:val="0"/>
          <w:color w:val="auto"/>
          <w:kern w:val="28"/>
          <w:sz w:val="24"/>
          <w:szCs w:val="20"/>
          <w:highlight w:val="none"/>
        </w:rPr>
        <w:t>（注：不得限制大中型企业与小微企业组成联合体参与投标）</w:t>
      </w:r>
      <w:r>
        <w:rPr>
          <w:rFonts w:hint="eastAsia" w:ascii="宋体" w:hAnsi="宋体" w:cs="宋体"/>
          <w:color w:val="auto"/>
          <w:sz w:val="24"/>
          <w:highlight w:val="none"/>
        </w:rPr>
        <w:t>；</w:t>
      </w:r>
    </w:p>
    <w:p w14:paraId="063E37BA">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47480895"/>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rPr>
        <w:t xml:space="preserve"> 专</w:t>
      </w:r>
      <w:r>
        <w:rPr>
          <w:rFonts w:hint="eastAsia" w:ascii="宋体" w:hAnsi="宋体" w:cs="宋体"/>
          <w:color w:val="auto"/>
          <w:sz w:val="24"/>
          <w:highlight w:val="none"/>
        </w:rPr>
        <w:t>门面向中小企业</w:t>
      </w:r>
    </w:p>
    <w:p w14:paraId="0CD40CFB">
      <w:pPr>
        <w:spacing w:line="360" w:lineRule="auto"/>
        <w:ind w:firstLine="897" w:firstLineChars="374"/>
        <w:rPr>
          <w:rFonts w:ascii="宋体" w:hAnsi="宋体" w:cs="宋体"/>
          <w:color w:val="auto"/>
          <w:sz w:val="24"/>
          <w:highlight w:val="none"/>
          <w:u w:val="single"/>
        </w:rPr>
      </w:pPr>
      <w:sdt>
        <w:sdtPr>
          <w:rPr>
            <w:rFonts w:hint="eastAsia" w:ascii="宋体" w:hAnsi="宋体" w:cs="宋体"/>
            <w:color w:val="auto"/>
            <w:kern w:val="0"/>
            <w:sz w:val="24"/>
            <w:highlight w:val="none"/>
          </w:rPr>
          <w:id w:val="14747379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rPr>
        <w:t xml:space="preserve"> </w:t>
      </w:r>
      <w:r>
        <w:rPr>
          <w:rFonts w:hint="eastAsia" w:ascii="宋体" w:hAnsi="宋体" w:cs="宋体"/>
          <w:color w:val="auto"/>
          <w:sz w:val="24"/>
          <w:highlight w:val="none"/>
        </w:rPr>
        <w:t>货物全部由符合政策要求的中小企业制造，提供中小企业声明函；</w:t>
      </w:r>
    </w:p>
    <w:p w14:paraId="7A6AC0DF">
      <w:pPr>
        <w:spacing w:line="360" w:lineRule="auto"/>
        <w:ind w:firstLine="897" w:firstLineChars="374"/>
        <w:rPr>
          <w:rFonts w:ascii="宋体" w:hAnsi="宋体" w:cs="宋体"/>
          <w:color w:val="auto"/>
          <w:sz w:val="24"/>
          <w:highlight w:val="none"/>
        </w:rPr>
      </w:pPr>
      <w:sdt>
        <w:sdtPr>
          <w:rPr>
            <w:rFonts w:hint="eastAsia" w:ascii="宋体" w:hAnsi="宋体" w:cs="宋体"/>
            <w:color w:val="auto"/>
            <w:kern w:val="0"/>
            <w:sz w:val="24"/>
            <w:highlight w:val="none"/>
          </w:rPr>
          <w:id w:val="147466872"/>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 xml:space="preserve"> </w:t>
      </w:r>
      <w:r>
        <w:rPr>
          <w:rFonts w:hint="eastAsia" w:ascii="宋体" w:hAnsi="宋体" w:cs="宋体"/>
          <w:color w:val="auto"/>
          <w:sz w:val="24"/>
          <w:highlight w:val="none"/>
        </w:rPr>
        <w:t>货物全部由符合政策要求的小微企业制造，提供中小企业声明函；</w:t>
      </w:r>
    </w:p>
    <w:p w14:paraId="4E2A4E8B">
      <w:pPr>
        <w:spacing w:line="360" w:lineRule="auto"/>
        <w:ind w:firstLine="480" w:firstLineChars="200"/>
        <w:rPr>
          <w:rFonts w:ascii="宋体" w:hAnsi="宋体" w:cs="宋体"/>
          <w:color w:val="auto"/>
          <w:sz w:val="24"/>
          <w:highlight w:val="none"/>
        </w:rPr>
      </w:pPr>
      <w:bookmarkStart w:id="12" w:name="_Hlk101132524"/>
      <w:sdt>
        <w:sdtPr>
          <w:rPr>
            <w:rFonts w:hint="eastAsia" w:ascii="宋体" w:hAnsi="宋体" w:cs="宋体"/>
            <w:color w:val="auto"/>
            <w:kern w:val="0"/>
            <w:sz w:val="24"/>
            <w:highlight w:val="none"/>
          </w:rPr>
          <w:id w:val="147473500"/>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cs="宋体"/>
          <w:color w:val="auto"/>
          <w:kern w:val="0"/>
          <w:sz w:val="24"/>
          <w:highlight w:val="none"/>
        </w:rPr>
        <w:t xml:space="preserve"> </w:t>
      </w:r>
      <w:r>
        <w:rPr>
          <w:rFonts w:hint="eastAsia" w:ascii="宋体" w:hAnsi="宋体" w:cs="宋体"/>
          <w:color w:val="auto"/>
          <w:sz w:val="24"/>
          <w:highlight w:val="none"/>
        </w:rPr>
        <w:t>要求以联合体形式参加，提供联合协议和中小企业声明函，联合协议中中小企业合同金额应当达到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pacing w:val="8"/>
          <w:kern w:val="0"/>
          <w:sz w:val="24"/>
          <w:highlight w:val="none"/>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cs="宋体"/>
          <w:color w:val="auto"/>
          <w:sz w:val="24"/>
          <w:highlight w:val="none"/>
        </w:rPr>
        <w:t>；</w:t>
      </w:r>
    </w:p>
    <w:bookmarkEnd w:id="12"/>
    <w:p w14:paraId="283C6793">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47481179"/>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 xml:space="preserve"> </w:t>
      </w:r>
      <w:r>
        <w:rPr>
          <w:rFonts w:hint="eastAsia" w:ascii="宋体" w:hAnsi="宋体" w:cs="宋体"/>
          <w:color w:val="auto"/>
          <w:sz w:val="24"/>
          <w:highlight w:val="none"/>
        </w:rPr>
        <w:t>要求合同分包，提供分包意向协议和中小企业声明函，分包意向协议中中小企业合同金额应当达到达到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r>
        <w:rPr>
          <w:rFonts w:hint="eastAsia" w:ascii="宋体" w:hAnsi="宋体" w:cs="宋体"/>
          <w:color w:val="auto"/>
          <w:spacing w:val="8"/>
          <w:kern w:val="0"/>
          <w:sz w:val="24"/>
          <w:highlight w:val="none"/>
        </w:rPr>
        <w:t>如果供应商本身提供所有标的均由中小企业制造、承建或承接，并相应达到了前述比例要求，视同符合了资格条件，无需再向中小企业分包，无需提供分包意向协议</w:t>
      </w:r>
      <w:r>
        <w:rPr>
          <w:rFonts w:hint="eastAsia" w:ascii="宋体" w:hAnsi="宋体" w:cs="宋体"/>
          <w:color w:val="auto"/>
          <w:sz w:val="24"/>
          <w:highlight w:val="none"/>
        </w:rPr>
        <w:t>；</w:t>
      </w:r>
    </w:p>
    <w:p w14:paraId="324F73CB">
      <w:pPr>
        <w:numPr>
          <w:ilvl w:val="0"/>
          <w:numId w:val="1"/>
        </w:numPr>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本项目的特定资格要求</w:t>
      </w:r>
      <w:r>
        <w:rPr>
          <w:rFonts w:hint="eastAsia" w:ascii="宋体" w:hAnsi="宋体" w:cs="宋体"/>
          <w:color w:val="auto"/>
          <w:sz w:val="24"/>
          <w:highlight w:val="none"/>
          <w:lang w:eastAsia="zh-CN"/>
        </w:rPr>
        <w:t>：</w:t>
      </w:r>
      <w:sdt>
        <w:sdtPr>
          <w:rPr>
            <w:rFonts w:hint="eastAsia" w:ascii="宋体" w:hAnsi="宋体" w:cs="宋体"/>
            <w:color w:val="auto"/>
            <w:kern w:val="0"/>
            <w:sz w:val="24"/>
            <w:highlight w:val="none"/>
          </w:rPr>
          <w:id w:val="-1607112291"/>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lang w:val="en-US" w:eastAsia="zh-CN"/>
        </w:rPr>
        <w:t>无</w:t>
      </w:r>
    </w:p>
    <w:p w14:paraId="364EB2DF">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5CC57C83">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三、获取招标文件 </w:t>
      </w:r>
    </w:p>
    <w:p w14:paraId="16BA140E">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时间：</w:t>
      </w:r>
      <w:r>
        <w:rPr>
          <w:rFonts w:hint="eastAsia" w:ascii="宋体" w:hAnsi="宋体" w:cs="宋体"/>
          <w:color w:val="auto"/>
          <w:sz w:val="24"/>
          <w:highlight w:val="none"/>
        </w:rPr>
        <w:t>/至</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日</w:t>
      </w:r>
      <w:r>
        <w:rPr>
          <w:rFonts w:hint="eastAsia" w:ascii="宋体" w:hAnsi="宋体" w:cs="宋体"/>
          <w:color w:val="auto"/>
          <w:sz w:val="24"/>
          <w:highlight w:val="none"/>
        </w:rPr>
        <w:t>，每天上午00:00至12:00 ，下午12:00至23:59（北京时间，线上获取法定节假日均可，线下获取文件法定节假日除外）</w:t>
      </w:r>
    </w:p>
    <w:p w14:paraId="0EDAF5B1">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平台（https://</w:t>
      </w:r>
      <w:r>
        <w:rPr>
          <w:rFonts w:hint="eastAsia" w:ascii="宋体" w:hAnsi="宋体" w:cs="宋体"/>
          <w:color w:val="auto"/>
          <w:sz w:val="24"/>
          <w:highlight w:val="none"/>
          <w:lang w:eastAsia="zh-CN"/>
        </w:rPr>
        <w:t>www.lecaiyun.com</w:t>
      </w:r>
      <w:r>
        <w:rPr>
          <w:rFonts w:hint="eastAsia" w:ascii="宋体" w:hAnsi="宋体" w:cs="宋体"/>
          <w:color w:val="auto"/>
          <w:sz w:val="24"/>
          <w:highlight w:val="none"/>
        </w:rPr>
        <w:t xml:space="preserve">/） </w:t>
      </w:r>
    </w:p>
    <w:p w14:paraId="610E0651">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方式：</w:t>
      </w:r>
      <w:r>
        <w:rPr>
          <w:rFonts w:hint="eastAsia" w:ascii="宋体" w:hAnsi="宋体" w:cs="宋体"/>
          <w:color w:val="auto"/>
          <w:sz w:val="24"/>
          <w:highlight w:val="none"/>
        </w:rPr>
        <w:t>供应商登录</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平台https://</w:t>
      </w:r>
      <w:r>
        <w:rPr>
          <w:rFonts w:hint="eastAsia" w:ascii="宋体" w:hAnsi="宋体" w:cs="宋体"/>
          <w:color w:val="auto"/>
          <w:sz w:val="24"/>
          <w:highlight w:val="none"/>
          <w:lang w:eastAsia="zh-CN"/>
        </w:rPr>
        <w:t>www.lecaiyun.com</w:t>
      </w:r>
      <w:r>
        <w:rPr>
          <w:rFonts w:hint="eastAsia" w:ascii="宋体" w:hAnsi="宋体" w:cs="宋体"/>
          <w:color w:val="auto"/>
          <w:sz w:val="24"/>
          <w:highlight w:val="none"/>
        </w:rPr>
        <w:t xml:space="preserve">/在线申请获取采购文件（进入“项目采购”应用，在获取采购文件菜单中选择项目，申请获取采购文件）。 </w:t>
      </w:r>
    </w:p>
    <w:p w14:paraId="4C95E097">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售价（元）：</w:t>
      </w:r>
      <w:r>
        <w:rPr>
          <w:rFonts w:hint="eastAsia" w:ascii="宋体" w:hAnsi="宋体" w:cs="宋体"/>
          <w:color w:val="auto"/>
          <w:sz w:val="24"/>
          <w:highlight w:val="none"/>
        </w:rPr>
        <w:t xml:space="preserve">0 </w:t>
      </w:r>
      <w:r>
        <w:rPr>
          <w:rFonts w:hint="eastAsia" w:ascii="宋体" w:hAnsi="宋体" w:cs="宋体"/>
          <w:color w:val="auto"/>
          <w:sz w:val="24"/>
          <w:highlight w:val="none"/>
        </w:rPr>
        <w:tab/>
      </w:r>
    </w:p>
    <w:p w14:paraId="0F065FA5">
      <w:pPr>
        <w:spacing w:line="360" w:lineRule="auto"/>
        <w:rPr>
          <w:rFonts w:ascii="宋体" w:hAnsi="宋体" w:cs="宋体"/>
          <w:b/>
          <w:color w:val="auto"/>
          <w:sz w:val="24"/>
          <w:highlight w:val="none"/>
        </w:rPr>
      </w:pPr>
      <w:r>
        <w:rPr>
          <w:rFonts w:hint="eastAsia" w:ascii="宋体" w:hAnsi="宋体" w:cs="宋体"/>
          <w:b/>
          <w:color w:val="auto"/>
          <w:sz w:val="24"/>
          <w:highlight w:val="none"/>
        </w:rPr>
        <w:t>四、提交投标文件截止时间、开标时间和地点</w:t>
      </w:r>
    </w:p>
    <w:p w14:paraId="0F7B2DFD">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提交投标文件截止时间：</w:t>
      </w:r>
      <w:r>
        <w:rPr>
          <w:rFonts w:hint="eastAsia" w:ascii="宋体" w:hAnsi="宋体" w:cs="宋体"/>
          <w:color w:val="auto"/>
          <w:sz w:val="24"/>
          <w:highlight w:val="none"/>
          <w:u w:val="single"/>
        </w:rPr>
        <w:t xml:space="preserve"> 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 xml:space="preserve"> 00</w:t>
      </w:r>
      <w:r>
        <w:rPr>
          <w:rFonts w:hint="eastAsia" w:ascii="宋体" w:hAnsi="宋体" w:cs="宋体"/>
          <w:color w:val="auto"/>
          <w:sz w:val="24"/>
          <w:highlight w:val="none"/>
          <w:u w:val="single"/>
        </w:rPr>
        <w:t>分00秒</w:t>
      </w:r>
      <w:r>
        <w:rPr>
          <w:rFonts w:hint="eastAsia" w:ascii="宋体" w:hAnsi="宋体" w:cs="宋体"/>
          <w:color w:val="auto"/>
          <w:sz w:val="24"/>
          <w:highlight w:val="none"/>
        </w:rPr>
        <w:t>（北京时间）</w:t>
      </w:r>
    </w:p>
    <w:p w14:paraId="2CEA98E9">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投标地点（网址）：</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平台（https://</w:t>
      </w:r>
      <w:r>
        <w:rPr>
          <w:rFonts w:hint="eastAsia" w:ascii="宋体" w:hAnsi="宋体" w:cs="宋体"/>
          <w:color w:val="auto"/>
          <w:sz w:val="24"/>
          <w:highlight w:val="none"/>
          <w:lang w:eastAsia="zh-CN"/>
        </w:rPr>
        <w:t>www.lecaiyun.com</w:t>
      </w:r>
      <w:r>
        <w:rPr>
          <w:rFonts w:hint="eastAsia" w:ascii="宋体" w:hAnsi="宋体" w:cs="宋体"/>
          <w:color w:val="auto"/>
          <w:sz w:val="24"/>
          <w:highlight w:val="none"/>
        </w:rPr>
        <w:t xml:space="preserve">/） </w:t>
      </w:r>
    </w:p>
    <w:p w14:paraId="7442774F">
      <w:pPr>
        <w:spacing w:line="360" w:lineRule="auto"/>
        <w:ind w:firstLine="482" w:firstLineChars="200"/>
        <w:rPr>
          <w:rFonts w:ascii="宋体" w:hAnsi="宋体" w:cs="宋体"/>
          <w:bCs/>
          <w:color w:val="auto"/>
          <w:sz w:val="24"/>
          <w:highlight w:val="none"/>
          <w:u w:val="single"/>
        </w:rPr>
      </w:pPr>
      <w:r>
        <w:rPr>
          <w:rFonts w:hint="eastAsia" w:ascii="宋体" w:hAnsi="宋体" w:cs="宋体"/>
          <w:b/>
          <w:color w:val="auto"/>
          <w:sz w:val="24"/>
          <w:highlight w:val="none"/>
        </w:rPr>
        <w:t>开标时间：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分00秒</w:t>
      </w:r>
    </w:p>
    <w:p w14:paraId="24B7C12A">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开标地点（网址）：</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平台（https://</w:t>
      </w:r>
      <w:r>
        <w:rPr>
          <w:rFonts w:hint="eastAsia" w:ascii="宋体" w:hAnsi="宋体" w:cs="宋体"/>
          <w:color w:val="auto"/>
          <w:sz w:val="24"/>
          <w:highlight w:val="none"/>
          <w:lang w:eastAsia="zh-CN"/>
        </w:rPr>
        <w:t>www.lecaiyun.com</w:t>
      </w:r>
      <w:r>
        <w:rPr>
          <w:rFonts w:hint="eastAsia" w:ascii="宋体" w:hAnsi="宋体" w:cs="宋体"/>
          <w:color w:val="auto"/>
          <w:sz w:val="24"/>
          <w:highlight w:val="none"/>
        </w:rPr>
        <w:t>/）</w:t>
      </w:r>
    </w:p>
    <w:p w14:paraId="15B014E6">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五、公告期限 </w:t>
      </w:r>
    </w:p>
    <w:p w14:paraId="0E7D265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自本公告发布之日起5个工作日。</w:t>
      </w:r>
    </w:p>
    <w:p w14:paraId="48DD1C06">
      <w:pPr>
        <w:spacing w:line="360" w:lineRule="auto"/>
        <w:rPr>
          <w:rFonts w:ascii="宋体" w:hAnsi="宋体" w:cs="宋体"/>
          <w:b/>
          <w:color w:val="auto"/>
          <w:sz w:val="24"/>
          <w:highlight w:val="none"/>
        </w:rPr>
      </w:pPr>
      <w:r>
        <w:rPr>
          <w:rFonts w:hint="eastAsia" w:ascii="宋体" w:hAnsi="宋体" w:cs="宋体"/>
          <w:b/>
          <w:color w:val="auto"/>
          <w:sz w:val="24"/>
          <w:highlight w:val="none"/>
          <w:lang w:val="en-US" w:eastAsia="zh-CN"/>
        </w:rPr>
        <w:t>六</w:t>
      </w:r>
      <w:r>
        <w:rPr>
          <w:rFonts w:hint="eastAsia" w:ascii="宋体" w:hAnsi="宋体" w:cs="宋体"/>
          <w:b/>
          <w:color w:val="auto"/>
          <w:sz w:val="24"/>
          <w:highlight w:val="none"/>
        </w:rPr>
        <w:t>、其他补充事宜</w:t>
      </w:r>
    </w:p>
    <w:p w14:paraId="3D5F8DA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1. </w:t>
      </w:r>
      <w:r>
        <w:rPr>
          <w:rFonts w:ascii="宋体" w:hAnsi="宋体" w:cs="宋体"/>
          <w:color w:val="auto"/>
          <w:sz w:val="24"/>
          <w:highlight w:val="none"/>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Pr>
          <w:rFonts w:hint="eastAsia" w:ascii="宋体" w:hAnsi="宋体" w:cs="宋体"/>
          <w:color w:val="auto"/>
          <w:sz w:val="24"/>
          <w:highlight w:val="none"/>
        </w:rPr>
        <w:t>。</w:t>
      </w:r>
    </w:p>
    <w:p w14:paraId="21525C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2.根据《浙江省财政厅关于进一步促进政府采购公平竞争打造最优营商环境的通知》（浙财采监（2021）22号）文件关于“健全行政裁决机制”要求，鼓励供应商在线提起询问，路径为：</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-项目采购-询问质疑投诉-询问列表:鼓励供应商在线提起质疑，路径为：</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-项目采购-询问质疑投诉-质疑列表。质疑供应商对在线质疑答复不满意的，可在线提起投诉，路径为：浙江政府服务网-政府采购投诉处理-在线办理。</w:t>
      </w:r>
    </w:p>
    <w:p w14:paraId="441F6DD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18F6404">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其他事项：（1）需要落实的政府采购政策：包括节约资源、保护环境、支持创新、促进中小企业发展等。详见招标文件的第二部分总则。（2）电子招投标的说明：①电子招投标：本项目以数据电文形式，依托“</w:t>
      </w:r>
      <w:r>
        <w:rPr>
          <w:rFonts w:hint="eastAsia" w:ascii="宋体" w:hAnsi="宋体" w:cs="宋体"/>
          <w:color w:val="auto"/>
          <w:sz w:val="24"/>
          <w:highlight w:val="none"/>
          <w:lang w:eastAsia="zh-CN"/>
        </w:rPr>
        <w:t>乐采云平台</w:t>
      </w:r>
      <w:r>
        <w:rPr>
          <w:rFonts w:hint="eastAsia" w:ascii="宋体" w:hAnsi="宋体" w:cs="宋体"/>
          <w:color w:val="auto"/>
          <w:sz w:val="24"/>
          <w:highlight w:val="none"/>
        </w:rPr>
        <w:t>（</w:t>
      </w:r>
      <w:r>
        <w:rPr>
          <w:rFonts w:hint="eastAsia" w:ascii="宋体" w:hAnsi="宋体" w:cs="宋体"/>
          <w:color w:val="auto"/>
          <w:sz w:val="24"/>
          <w:highlight w:val="none"/>
          <w:lang w:eastAsia="zh-CN"/>
        </w:rPr>
        <w:t>www.lecaiyun.com</w:t>
      </w:r>
      <w:r>
        <w:rPr>
          <w:rFonts w:hint="eastAsia" w:ascii="宋体" w:hAnsi="宋体" w:cs="宋体"/>
          <w:color w:val="auto"/>
          <w:sz w:val="24"/>
          <w:highlight w:val="none"/>
        </w:rPr>
        <w:t>）”进行招投标活动，不接受纸质投标文件；②投标准备：各供应商应及时完成CA数字证书办理，拿到CA后在乐采云平台进行绑定。因未办理CA数字证书等原因造成无法投标或投标失败等后果由供应商自行承担；安装“</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电子交易客户端”</w:t>
      </w:r>
      <w:r>
        <w:rPr>
          <w:rFonts w:hint="eastAsia" w:ascii="宋体" w:hAnsi="宋体" w:cs="宋体"/>
          <w:color w:val="auto"/>
          <w:sz w:val="24"/>
          <w:highlight w:val="none"/>
          <w:lang w:eastAsia="zh-CN"/>
        </w:rPr>
        <w:t>：</w:t>
      </w:r>
      <w:r>
        <w:rPr>
          <w:rFonts w:hint="eastAsia" w:ascii="宋体" w:hAnsi="宋体" w:cs="宋体"/>
          <w:color w:val="auto"/>
          <w:sz w:val="24"/>
          <w:highlight w:val="none"/>
        </w:rPr>
        <w:t>（下载链接：https://b.zhengcaiyun.cn/luban/category?parentId=550045&amp;childrenCode=qicaiCategory17&amp;utm=luban.luban-PC-39026.959-pc-websitegroup-navBar-front.8.c8789bc0520b11efb86dbfa49a87be0d）；③招标文件的获取：使用账号登录或者使用CA登录</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平台；进入“项目采购”应用，在获取采购文件菜单中选择项目，获取招标文件；④投标文件的制作：在“</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电子交易客户端”中完成“填写基本信息”、“导入投标文件”、“标书关联”、“标书检查”、“电子签名”、“生成电子标书”等操作；⑤采购人、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将依托</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w:t>
      </w:r>
      <w:r>
        <w:rPr>
          <w:rFonts w:hint="eastAsia" w:ascii="宋体" w:hAnsi="宋体" w:cs="宋体"/>
          <w:color w:val="auto"/>
          <w:sz w:val="24"/>
          <w:highlight w:val="none"/>
          <w:lang w:eastAsia="zh-CN"/>
        </w:rPr>
        <w:t>乐采云平台</w:t>
      </w:r>
      <w:r>
        <w:rPr>
          <w:rFonts w:hint="eastAsia" w:ascii="宋体" w:hAnsi="宋体" w:cs="宋体"/>
          <w:color w:val="auto"/>
          <w:sz w:val="24"/>
          <w:highlight w:val="none"/>
        </w:rPr>
        <w:t>，还可以在投标截止时间前直接提交或者以邮政快递方式递交备份投标文件1份。备份投标文件的制作、存储、密封详见招标文件第二部分第15点—“备份投标文件”；</w:t>
      </w:r>
      <w:r>
        <w:rPr>
          <w:rFonts w:hint="eastAsia" w:ascii="宋体" w:hAnsi="宋体" w:cs="宋体"/>
          <w:color w:val="auto"/>
          <w:sz w:val="24"/>
          <w:highlight w:val="none"/>
          <w:lang w:val="en-US" w:eastAsia="zh-CN"/>
        </w:rPr>
        <w:t>项目是否接收备份文件，以前附表说明为准。</w:t>
      </w:r>
      <w:r>
        <w:rPr>
          <w:rFonts w:hint="eastAsia" w:ascii="宋体" w:hAnsi="宋体" w:cs="宋体"/>
          <w:color w:val="auto"/>
          <w:sz w:val="24"/>
          <w:highlight w:val="none"/>
        </w:rPr>
        <w:t>⑨投标文件的解密：投标人按照平台提示和招标文件的规定在半小时内完成在线解密。通过“</w:t>
      </w:r>
      <w:r>
        <w:rPr>
          <w:rFonts w:hint="eastAsia" w:ascii="宋体" w:hAnsi="宋体" w:cs="宋体"/>
          <w:color w:val="auto"/>
          <w:sz w:val="24"/>
          <w:highlight w:val="none"/>
          <w:lang w:eastAsia="zh-CN"/>
        </w:rPr>
        <w:t>乐采云平台</w:t>
      </w:r>
      <w:r>
        <w:rPr>
          <w:rFonts w:hint="eastAsia" w:ascii="宋体" w:hAnsi="宋体" w:cs="宋体"/>
          <w:color w:val="auto"/>
          <w:sz w:val="24"/>
          <w:highlight w:val="none"/>
        </w:rPr>
        <w:t>”上传递交的投标文件无法按时解密，投标供应商递交了备份投标文件的，以备份投标文件为依据，否则视为投标文件撤回。通过“</w:t>
      </w:r>
      <w:r>
        <w:rPr>
          <w:rFonts w:hint="eastAsia" w:ascii="宋体" w:hAnsi="宋体" w:cs="宋体"/>
          <w:color w:val="auto"/>
          <w:sz w:val="24"/>
          <w:highlight w:val="none"/>
          <w:lang w:eastAsia="zh-CN"/>
        </w:rPr>
        <w:t>乐采云平台</w:t>
      </w:r>
      <w:r>
        <w:rPr>
          <w:rFonts w:hint="eastAsia" w:ascii="宋体" w:hAnsi="宋体" w:cs="宋体"/>
          <w:color w:val="auto"/>
          <w:sz w:val="24"/>
          <w:highlight w:val="none"/>
        </w:rPr>
        <w:t>”上传递交的投标文件已按时解密的，备份投标文件自动失效。投标人仅提交备份投标文件，未在电子交易平台传输递交投标文件的，投标无效；⑩具体操作指南：详见</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平台“服务中心-帮助文档-项目采购-电子招投标</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公开招标</w:t>
      </w:r>
      <w:r>
        <w:rPr>
          <w:rFonts w:hint="eastAsia" w:ascii="宋体" w:hAnsi="宋体" w:cs="宋体"/>
          <w:color w:val="auto"/>
          <w:sz w:val="24"/>
          <w:highlight w:val="none"/>
          <w:lang w:eastAsia="zh-CN"/>
        </w:rPr>
        <w:t>）</w:t>
      </w:r>
      <w:r>
        <w:rPr>
          <w:rFonts w:hint="eastAsia" w:ascii="宋体" w:hAnsi="宋体" w:cs="宋体"/>
          <w:color w:val="auto"/>
          <w:sz w:val="24"/>
          <w:highlight w:val="none"/>
        </w:rPr>
        <w:t>供应商”。（3）招标文件公告期限与招标公告的公告期限一致。</w:t>
      </w:r>
    </w:p>
    <w:p w14:paraId="644C8603">
      <w:pPr>
        <w:spacing w:line="360" w:lineRule="auto"/>
        <w:rPr>
          <w:rFonts w:ascii="宋体" w:hAnsi="宋体" w:cs="宋体"/>
          <w:b/>
          <w:color w:val="auto"/>
          <w:sz w:val="24"/>
          <w:highlight w:val="none"/>
        </w:rPr>
      </w:pPr>
      <w:r>
        <w:rPr>
          <w:rFonts w:hint="eastAsia" w:ascii="宋体" w:hAnsi="宋体" w:cs="宋体"/>
          <w:b/>
          <w:color w:val="auto"/>
          <w:sz w:val="24"/>
          <w:highlight w:val="none"/>
          <w:lang w:val="en-US" w:eastAsia="zh-CN"/>
        </w:rPr>
        <w:t>七</w:t>
      </w:r>
      <w:r>
        <w:rPr>
          <w:rFonts w:hint="eastAsia" w:ascii="宋体" w:hAnsi="宋体" w:cs="宋体"/>
          <w:b/>
          <w:color w:val="auto"/>
          <w:sz w:val="24"/>
          <w:highlight w:val="none"/>
        </w:rPr>
        <w:t>、对本次采购提出询问、质疑、投诉，请按以下方式联系</w:t>
      </w:r>
    </w:p>
    <w:p w14:paraId="2982E7A1">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1.采购人信息</w:t>
      </w:r>
    </w:p>
    <w:p w14:paraId="7EF0389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名    称：</w:t>
      </w:r>
      <w:r>
        <w:rPr>
          <w:rFonts w:hint="eastAsia" w:ascii="宋体" w:hAnsi="宋体" w:cs="宋体"/>
          <w:color w:val="auto"/>
          <w:sz w:val="24"/>
          <w:highlight w:val="none"/>
          <w:lang w:eastAsia="zh-CN"/>
        </w:rPr>
        <w:t>杭州滨江城建发展有限公司</w:t>
      </w:r>
      <w:r>
        <w:rPr>
          <w:rFonts w:hint="eastAsia" w:ascii="宋体" w:hAnsi="宋体" w:eastAsia="宋体" w:cs="宋体"/>
          <w:color w:val="auto"/>
          <w:sz w:val="24"/>
          <w:highlight w:val="none"/>
        </w:rPr>
        <w:t xml:space="preserve">  </w:t>
      </w:r>
    </w:p>
    <w:p w14:paraId="0EB2853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地    址：</w:t>
      </w:r>
      <w:r>
        <w:rPr>
          <w:rFonts w:hint="eastAsia" w:ascii="宋体" w:hAnsi="宋体" w:cs="宋体"/>
          <w:color w:val="auto"/>
          <w:sz w:val="24"/>
          <w:highlight w:val="none"/>
          <w:lang w:eastAsia="zh-CN"/>
        </w:rPr>
        <w:t xml:space="preserve">杭州市滨江区春晓路558号 </w:t>
      </w:r>
      <w:r>
        <w:rPr>
          <w:rFonts w:hint="eastAsia" w:ascii="宋体" w:hAnsi="宋体" w:eastAsia="宋体" w:cs="宋体"/>
          <w:color w:val="auto"/>
          <w:sz w:val="24"/>
          <w:highlight w:val="none"/>
        </w:rPr>
        <w:t xml:space="preserve">        </w:t>
      </w:r>
    </w:p>
    <w:p w14:paraId="4B784494">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 /</w:t>
      </w:r>
    </w:p>
    <w:p w14:paraId="4C162DFA">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项目联系人（询问）：</w:t>
      </w:r>
      <w:r>
        <w:rPr>
          <w:rFonts w:hint="eastAsia" w:ascii="宋体" w:hAnsi="宋体" w:cs="宋体"/>
          <w:color w:val="auto"/>
          <w:sz w:val="24"/>
          <w:highlight w:val="none"/>
          <w:lang w:val="en-US" w:eastAsia="zh-CN"/>
        </w:rPr>
        <w:t>来工</w:t>
      </w:r>
    </w:p>
    <w:p w14:paraId="174709C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项目联系方式（询问）：</w:t>
      </w:r>
      <w:r>
        <w:rPr>
          <w:rFonts w:hint="eastAsia" w:ascii="宋体" w:hAnsi="宋体" w:cs="宋体"/>
          <w:color w:val="auto"/>
          <w:sz w:val="24"/>
          <w:highlight w:val="none"/>
          <w:lang w:eastAsia="zh-CN"/>
        </w:rPr>
        <w:t>0571-86623153</w:t>
      </w:r>
      <w:r>
        <w:rPr>
          <w:rFonts w:hint="eastAsia" w:ascii="宋体" w:hAnsi="宋体" w:eastAsia="宋体" w:cs="宋体"/>
          <w:color w:val="auto"/>
          <w:sz w:val="24"/>
          <w:highlight w:val="none"/>
        </w:rPr>
        <w:t xml:space="preserve"> </w:t>
      </w:r>
    </w:p>
    <w:p w14:paraId="7D56171E">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质疑联系人：</w:t>
      </w:r>
      <w:r>
        <w:rPr>
          <w:rFonts w:hint="eastAsia" w:ascii="宋体" w:hAnsi="宋体" w:cs="宋体"/>
          <w:color w:val="auto"/>
          <w:sz w:val="24"/>
          <w:highlight w:val="none"/>
          <w:lang w:val="en-US" w:eastAsia="zh-CN"/>
        </w:rPr>
        <w:t>盛工</w:t>
      </w:r>
      <w:r>
        <w:rPr>
          <w:rFonts w:hint="eastAsia" w:ascii="宋体" w:hAnsi="宋体" w:eastAsia="宋体" w:cs="宋体"/>
          <w:color w:val="auto"/>
          <w:sz w:val="24"/>
          <w:highlight w:val="none"/>
        </w:rPr>
        <w:t xml:space="preserve">    </w:t>
      </w:r>
    </w:p>
    <w:p w14:paraId="0015DF76">
      <w:pPr>
        <w:spacing w:line="360" w:lineRule="auto"/>
        <w:ind w:firstLine="48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质疑联系方式：0571-86627817</w:t>
      </w:r>
    </w:p>
    <w:p w14:paraId="4DB33C9C">
      <w:pPr>
        <w:numPr>
          <w:ilvl w:val="0"/>
          <w:numId w:val="2"/>
        </w:numPr>
        <w:spacing w:line="360" w:lineRule="auto"/>
        <w:ind w:left="480" w:leftChars="0"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采购代理机构信息            </w:t>
      </w:r>
    </w:p>
    <w:p w14:paraId="1F6755FD">
      <w:pPr>
        <w:numPr>
          <w:ilvl w:val="0"/>
          <w:numId w:val="0"/>
        </w:numPr>
        <w:spacing w:line="360" w:lineRule="auto"/>
        <w:ind w:left="480" w:leftChars="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名  称：</w:t>
      </w:r>
      <w:r>
        <w:rPr>
          <w:rFonts w:hint="eastAsia" w:ascii="宋体" w:hAnsi="宋体" w:cs="宋体"/>
          <w:color w:val="auto"/>
          <w:sz w:val="24"/>
          <w:highlight w:val="none"/>
          <w:lang w:val="en-US" w:eastAsia="zh-CN"/>
        </w:rPr>
        <w:t>浙江省房地产管理咨询有限公司</w:t>
      </w:r>
    </w:p>
    <w:p w14:paraId="71CCB848">
      <w:pPr>
        <w:pageBreakBefore w:val="0"/>
        <w:kinsoku/>
        <w:overflowPunct/>
        <w:topLinePunct w:val="0"/>
        <w:bidi w:val="0"/>
        <w:spacing w:line="360" w:lineRule="auto"/>
        <w:ind w:firstLine="480" w:firstLineChars="200"/>
        <w:jc w:val="left"/>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地  址：</w:t>
      </w:r>
      <w:bookmarkStart w:id="13" w:name="_Toc28359087"/>
      <w:bookmarkStart w:id="14" w:name="_Toc28359010"/>
      <w:r>
        <w:rPr>
          <w:rFonts w:hint="eastAsia" w:ascii="宋体" w:hAnsi="宋体" w:cs="宋体"/>
          <w:color w:val="auto"/>
          <w:sz w:val="24"/>
          <w:highlight w:val="none"/>
        </w:rPr>
        <w:t xml:space="preserve">杭州市拱墅区绍兴路538号三立时代广场1206室   </w:t>
      </w:r>
    </w:p>
    <w:p w14:paraId="2997B9A0">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传    真：</w:t>
      </w:r>
      <w:r>
        <w:rPr>
          <w:rFonts w:hint="eastAsia" w:ascii="宋体" w:hAnsi="宋体" w:cs="宋体"/>
          <w:color w:val="auto"/>
          <w:sz w:val="24"/>
          <w:highlight w:val="none"/>
          <w:lang w:val="en-US" w:eastAsia="zh-CN"/>
        </w:rPr>
        <w:t>/</w:t>
      </w:r>
    </w:p>
    <w:p w14:paraId="377ABF22">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项目联系人（询问）：</w:t>
      </w:r>
      <w:r>
        <w:rPr>
          <w:rFonts w:hint="eastAsia" w:ascii="宋体" w:hAnsi="宋体" w:cs="宋体"/>
          <w:color w:val="auto"/>
          <w:sz w:val="24"/>
          <w:highlight w:val="none"/>
          <w:lang w:eastAsia="zh-CN"/>
        </w:rPr>
        <w:t>鲁文鑫、郑晓鸯</w:t>
      </w:r>
    </w:p>
    <w:bookmarkEnd w:id="13"/>
    <w:bookmarkEnd w:id="14"/>
    <w:p w14:paraId="68D4802D">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项目联系方式（询问）：</w:t>
      </w:r>
      <w:r>
        <w:rPr>
          <w:rFonts w:hint="eastAsia" w:ascii="宋体" w:hAnsi="宋体" w:cs="宋体"/>
          <w:color w:val="auto"/>
          <w:sz w:val="24"/>
          <w:highlight w:val="none"/>
          <w:lang w:eastAsia="zh-CN"/>
        </w:rPr>
        <w:t>13396593621、15888860402</w:t>
      </w:r>
    </w:p>
    <w:p w14:paraId="55E92EAA">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质疑联系人：</w:t>
      </w:r>
      <w:r>
        <w:rPr>
          <w:rFonts w:hint="eastAsia" w:ascii="宋体" w:hAnsi="宋体" w:cs="宋体"/>
          <w:color w:val="auto"/>
          <w:sz w:val="24"/>
          <w:highlight w:val="none"/>
          <w:lang w:val="en-US" w:eastAsia="zh-CN"/>
        </w:rPr>
        <w:t>姜理敏</w:t>
      </w:r>
      <w:r>
        <w:rPr>
          <w:rFonts w:hint="eastAsia" w:ascii="宋体" w:hAnsi="宋体" w:cs="宋体"/>
          <w:color w:val="auto"/>
          <w:sz w:val="24"/>
          <w:highlight w:val="none"/>
        </w:rPr>
        <w:t xml:space="preserve"> </w:t>
      </w:r>
    </w:p>
    <w:p w14:paraId="705D8C66">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 xml:space="preserve">    质疑联系方式：</w:t>
      </w:r>
      <w:r>
        <w:rPr>
          <w:rFonts w:hint="eastAsia" w:ascii="宋体" w:hAnsi="宋体" w:cs="宋体"/>
          <w:color w:val="auto"/>
          <w:sz w:val="24"/>
          <w:highlight w:val="none"/>
          <w:lang w:val="en-US" w:eastAsia="zh-CN"/>
        </w:rPr>
        <w:t>13606709692</w:t>
      </w:r>
    </w:p>
    <w:p w14:paraId="79B2A867">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w:t>
      </w:r>
      <w:r>
        <w:rPr>
          <w:rFonts w:hint="eastAsia"/>
          <w:color w:val="auto"/>
          <w:highlight w:val="none"/>
        </w:rPr>
        <w:t xml:space="preserve"> </w:t>
      </w:r>
      <w:r>
        <w:rPr>
          <w:rFonts w:hint="eastAsia" w:ascii="宋体" w:hAnsi="宋体" w:cs="宋体"/>
          <w:color w:val="auto"/>
          <w:sz w:val="24"/>
          <w:highlight w:val="none"/>
        </w:rPr>
        <w:t xml:space="preserve">同级政府采购监督管理部门            </w:t>
      </w:r>
    </w:p>
    <w:p w14:paraId="664261E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名    称：</w:t>
      </w:r>
      <w:r>
        <w:rPr>
          <w:rFonts w:hint="eastAsia" w:ascii="宋体" w:hAnsi="宋体" w:cs="宋体"/>
          <w:color w:val="auto"/>
          <w:sz w:val="24"/>
          <w:highlight w:val="none"/>
          <w:lang w:eastAsia="zh-CN"/>
        </w:rPr>
        <w:t>杭州市滨江区财政局</w:t>
      </w:r>
      <w:r>
        <w:rPr>
          <w:rFonts w:hint="eastAsia" w:ascii="宋体" w:hAnsi="宋体" w:eastAsia="宋体" w:cs="宋体"/>
          <w:color w:val="auto"/>
          <w:sz w:val="24"/>
          <w:highlight w:val="none"/>
        </w:rPr>
        <w:t xml:space="preserve">、浙江省政府采购行政裁决服务中心（杭州） </w:t>
      </w:r>
    </w:p>
    <w:p w14:paraId="63DF66F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地    址：杭州市上城区四季青街道新业路市民之家G03办公室（快递仅限ems或顺丰）</w:t>
      </w:r>
    </w:p>
    <w:p w14:paraId="54C616FC">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传    真：/</w:t>
      </w:r>
    </w:p>
    <w:p w14:paraId="7061772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联系人 ：朱女士、王女士</w:t>
      </w:r>
    </w:p>
    <w:p w14:paraId="4D49333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监督投诉电话：0571-85252453</w:t>
      </w:r>
    </w:p>
    <w:p w14:paraId="1E41796B">
      <w:pPr>
        <w:spacing w:line="360" w:lineRule="auto"/>
        <w:ind w:firstLine="480" w:firstLineChars="200"/>
        <w:jc w:val="left"/>
        <w:rPr>
          <w:rFonts w:hint="eastAsia" w:ascii="宋体" w:hAnsi="宋体" w:cs="宋体"/>
          <w:color w:val="auto"/>
          <w:sz w:val="24"/>
          <w:highlight w:val="none"/>
        </w:rPr>
      </w:pPr>
    </w:p>
    <w:p w14:paraId="758ABEF4">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若对项目采购电子交易系统操作有疑问，可登录</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（https://</w:t>
      </w:r>
      <w:r>
        <w:rPr>
          <w:rFonts w:hint="eastAsia" w:ascii="宋体" w:hAnsi="宋体" w:cs="宋体"/>
          <w:color w:val="auto"/>
          <w:sz w:val="24"/>
          <w:highlight w:val="none"/>
          <w:lang w:eastAsia="zh-CN"/>
        </w:rPr>
        <w:t>www.lecaiyun.com</w:t>
      </w:r>
      <w:r>
        <w:rPr>
          <w:rFonts w:hint="eastAsia" w:ascii="宋体" w:hAnsi="宋体" w:cs="宋体"/>
          <w:color w:val="auto"/>
          <w:sz w:val="24"/>
          <w:highlight w:val="none"/>
        </w:rPr>
        <w:t>/），点击右侧咨询小采，获取采小蜜智能服务管家帮助，或拨打</w:t>
      </w:r>
      <w:r>
        <w:rPr>
          <w:rFonts w:hint="eastAsia" w:ascii="宋体" w:hAnsi="宋体" w:cs="宋体"/>
          <w:color w:val="auto"/>
          <w:sz w:val="24"/>
          <w:highlight w:val="none"/>
          <w:lang w:eastAsia="zh-CN"/>
        </w:rPr>
        <w:t>乐采云</w:t>
      </w:r>
      <w:r>
        <w:rPr>
          <w:rFonts w:hint="eastAsia" w:ascii="宋体" w:hAnsi="宋体" w:cs="宋体"/>
          <w:color w:val="auto"/>
          <w:sz w:val="24"/>
          <w:highlight w:val="none"/>
        </w:rPr>
        <w:t>服务热线95763获取热线服务帮助。</w:t>
      </w:r>
    </w:p>
    <w:p w14:paraId="7144893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CA问题联系电话（人工）：汇信CA 400-888-4636；天谷CA 400-087-8198。</w:t>
      </w:r>
    </w:p>
    <w:p w14:paraId="6A2B9E3A">
      <w:pPr>
        <w:pStyle w:val="36"/>
        <w:spacing w:line="360" w:lineRule="auto"/>
        <w:jc w:val="left"/>
        <w:rPr>
          <w:rFonts w:hAnsi="宋体" w:cs="宋体"/>
          <w:b/>
          <w:color w:val="auto"/>
          <w:sz w:val="36"/>
          <w:szCs w:val="20"/>
          <w:highlight w:val="none"/>
        </w:rPr>
      </w:pPr>
      <w:r>
        <w:rPr>
          <w:rFonts w:hint="eastAsia" w:hAnsi="宋体" w:cs="宋体"/>
          <w:color w:val="auto"/>
          <w:sz w:val="24"/>
          <w:highlight w:val="none"/>
        </w:rPr>
        <w:t xml:space="preserve">                        </w:t>
      </w:r>
      <w:r>
        <w:rPr>
          <w:rFonts w:hAnsi="宋体" w:cs="宋体"/>
          <w:b/>
          <w:color w:val="auto"/>
          <w:sz w:val="36"/>
          <w:szCs w:val="20"/>
          <w:highlight w:val="none"/>
        </w:rPr>
        <w:t xml:space="preserve"> </w:t>
      </w:r>
    </w:p>
    <w:p w14:paraId="4925D9C2">
      <w:pPr>
        <w:pStyle w:val="3"/>
        <w:rPr>
          <w:rFonts w:ascii="宋体"/>
          <w:snapToGrid w:val="0"/>
          <w:color w:val="auto"/>
          <w:highlight w:val="none"/>
        </w:rPr>
      </w:pPr>
      <w:r>
        <w:rPr>
          <w:color w:val="auto"/>
          <w:highlight w:val="none"/>
        </w:rPr>
        <w:br w:type="page"/>
      </w:r>
    </w:p>
    <w:p w14:paraId="5B0BDF27">
      <w:pPr>
        <w:adjustRightInd/>
        <w:spacing w:line="360" w:lineRule="auto"/>
        <w:jc w:val="center"/>
        <w:outlineLvl w:val="0"/>
        <w:rPr>
          <w:rFonts w:ascii="宋体" w:hAnsi="宋体" w:cs="宋体"/>
          <w:b/>
          <w:color w:val="auto"/>
          <w:sz w:val="36"/>
          <w:szCs w:val="20"/>
          <w:highlight w:val="none"/>
        </w:rPr>
      </w:pPr>
      <w:r>
        <w:rPr>
          <w:rFonts w:hint="eastAsia" w:ascii="宋体" w:hAnsi="宋体" w:cs="宋体"/>
          <w:b/>
          <w:color w:val="auto"/>
          <w:sz w:val="36"/>
          <w:szCs w:val="20"/>
          <w:highlight w:val="none"/>
        </w:rPr>
        <w:t>第二部分</w:t>
      </w:r>
      <w:bookmarkEnd w:id="8"/>
      <w:r>
        <w:rPr>
          <w:rFonts w:hint="eastAsia" w:ascii="宋体" w:hAnsi="宋体" w:cs="宋体"/>
          <w:b/>
          <w:color w:val="auto"/>
          <w:sz w:val="36"/>
          <w:szCs w:val="20"/>
          <w:highlight w:val="none"/>
        </w:rPr>
        <w:t xml:space="preserve"> 投标人须知</w:t>
      </w:r>
      <w:bookmarkEnd w:id="9"/>
    </w:p>
    <w:p w14:paraId="1DACA6D2">
      <w:pPr>
        <w:adjustRightInd/>
        <w:spacing w:line="360" w:lineRule="auto"/>
        <w:ind w:firstLine="3845" w:firstLineChars="1197"/>
        <w:outlineLvl w:val="0"/>
        <w:rPr>
          <w:rFonts w:ascii="宋体" w:hAnsi="宋体" w:cs="宋体"/>
          <w:b/>
          <w:color w:val="auto"/>
          <w:sz w:val="32"/>
          <w:szCs w:val="20"/>
          <w:highlight w:val="none"/>
        </w:rPr>
      </w:pPr>
      <w:r>
        <w:rPr>
          <w:rFonts w:hint="eastAsia" w:ascii="宋体" w:hAnsi="宋体" w:cs="宋体"/>
          <w:b/>
          <w:color w:val="auto"/>
          <w:sz w:val="32"/>
          <w:szCs w:val="20"/>
          <w:highlight w:val="none"/>
        </w:rPr>
        <w:t>前附表</w:t>
      </w:r>
    </w:p>
    <w:tbl>
      <w:tblPr>
        <w:tblStyle w:val="6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788"/>
        <w:gridCol w:w="6150"/>
      </w:tblGrid>
      <w:tr w14:paraId="2785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3603AE13">
            <w:pPr>
              <w:snapToGrid w:val="0"/>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788" w:type="dxa"/>
            <w:tcBorders>
              <w:top w:val="single" w:color="000000" w:sz="8" w:space="0"/>
              <w:left w:val="single" w:color="auto" w:sz="4" w:space="0"/>
              <w:bottom w:val="single" w:color="000000" w:sz="8" w:space="0"/>
              <w:right w:val="single" w:color="000000" w:sz="8" w:space="0"/>
            </w:tcBorders>
            <w:vAlign w:val="center"/>
          </w:tcPr>
          <w:p w14:paraId="6BB5EF30">
            <w:pPr>
              <w:snapToGrid w:val="0"/>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事项</w:t>
            </w:r>
          </w:p>
        </w:tc>
        <w:tc>
          <w:tcPr>
            <w:tcW w:w="6150" w:type="dxa"/>
            <w:tcBorders>
              <w:top w:val="single" w:color="000000" w:sz="8" w:space="0"/>
              <w:left w:val="single" w:color="000000" w:sz="2" w:space="0"/>
              <w:bottom w:val="single" w:color="000000" w:sz="8" w:space="0"/>
              <w:right w:val="single" w:color="000000" w:sz="8" w:space="0"/>
            </w:tcBorders>
            <w:vAlign w:val="center"/>
          </w:tcPr>
          <w:p w14:paraId="2AD15F8F">
            <w:pPr>
              <w:snapToGrid w:val="0"/>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本项目的特别规定</w:t>
            </w:r>
          </w:p>
        </w:tc>
      </w:tr>
      <w:tr w14:paraId="52CD89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367A2BFB">
            <w:pPr>
              <w:snapToGrid w:val="0"/>
              <w:spacing w:line="240" w:lineRule="auto"/>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w:t>
            </w:r>
          </w:p>
        </w:tc>
        <w:tc>
          <w:tcPr>
            <w:tcW w:w="1788" w:type="dxa"/>
            <w:tcBorders>
              <w:top w:val="single" w:color="000000" w:sz="8" w:space="0"/>
              <w:left w:val="single" w:color="auto" w:sz="4" w:space="0"/>
              <w:bottom w:val="single" w:color="000000" w:sz="8" w:space="0"/>
              <w:right w:val="single" w:color="000000" w:sz="8" w:space="0"/>
            </w:tcBorders>
            <w:vAlign w:val="center"/>
          </w:tcPr>
          <w:p w14:paraId="4B183966">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ascii="宋体" w:hAnsi="宋体" w:cs="宋体"/>
                <w:b/>
                <w:color w:val="auto"/>
                <w:sz w:val="24"/>
                <w:highlight w:val="none"/>
              </w:rPr>
            </w:pPr>
            <w:r>
              <w:rPr>
                <w:rFonts w:hint="eastAsia" w:ascii="宋体" w:hAnsi="宋体" w:cs="宋体"/>
                <w:b/>
                <w:color w:val="auto"/>
                <w:sz w:val="24"/>
                <w:highlight w:val="none"/>
              </w:rPr>
              <w:t>项目属性与核心产品</w:t>
            </w:r>
          </w:p>
        </w:tc>
        <w:tc>
          <w:tcPr>
            <w:tcW w:w="6150" w:type="dxa"/>
            <w:tcBorders>
              <w:top w:val="single" w:color="000000" w:sz="8" w:space="0"/>
              <w:left w:val="single" w:color="000000" w:sz="2" w:space="0"/>
              <w:bottom w:val="single" w:color="000000" w:sz="8" w:space="0"/>
              <w:right w:val="single" w:color="000000" w:sz="8" w:space="0"/>
            </w:tcBorders>
            <w:vAlign w:val="center"/>
          </w:tcPr>
          <w:p w14:paraId="26DFF652">
            <w:pPr>
              <w:keepNext w:val="0"/>
              <w:keepLines w:val="0"/>
              <w:pageBreakBefore w:val="0"/>
              <w:widowControl w:val="0"/>
              <w:kinsoku/>
              <w:wordWrap/>
              <w:overflowPunct/>
              <w:topLinePunct w:val="0"/>
              <w:autoSpaceDE/>
              <w:autoSpaceDN/>
              <w:bidi w:val="0"/>
              <w:adjustRightInd w:val="0"/>
              <w:spacing w:line="312" w:lineRule="auto"/>
              <w:textAlignment w:val="auto"/>
              <w:rPr>
                <w:rFonts w:ascii="宋体" w:hAnsi="宋体" w:cs="宋体"/>
                <w:color w:val="auto"/>
                <w:sz w:val="24"/>
                <w:highlight w:val="none"/>
              </w:rPr>
            </w:pPr>
            <w:r>
              <w:rPr>
                <w:rFonts w:hint="eastAsia" w:ascii="宋体" w:hAnsi="宋体" w:cs="宋体"/>
                <w:color w:val="auto"/>
                <w:sz w:val="24"/>
                <w:highlight w:val="none"/>
              </w:rPr>
              <w:t>货物类，单一产品或</w:t>
            </w:r>
            <w:r>
              <w:rPr>
                <w:rFonts w:hint="eastAsia" w:ascii="宋体" w:hAnsi="宋体" w:cs="宋体"/>
                <w:color w:val="auto"/>
                <w:kern w:val="0"/>
                <w:sz w:val="24"/>
                <w:highlight w:val="none"/>
              </w:rPr>
              <w:t>核心产品为：</w:t>
            </w:r>
            <w:r>
              <w:rPr>
                <w:rFonts w:hint="eastAsia" w:ascii="宋体" w:hAnsi="宋体" w:cs="宋体"/>
                <w:color w:val="auto"/>
                <w:kern w:val="0"/>
                <w:sz w:val="24"/>
                <w:highlight w:val="none"/>
                <w:u w:val="single"/>
                <w:lang w:val="en-US" w:eastAsia="zh-CN"/>
              </w:rPr>
              <w:t>长龙式洗碗机</w:t>
            </w:r>
            <w:r>
              <w:rPr>
                <w:rFonts w:hint="eastAsia" w:ascii="宋体" w:hAnsi="宋体" w:cs="宋体"/>
                <w:color w:val="auto"/>
                <w:sz w:val="24"/>
                <w:highlight w:val="none"/>
                <w:u w:val="single"/>
                <w:lang w:val="en-US" w:eastAsia="zh-CN"/>
              </w:rPr>
              <w:t>；</w:t>
            </w:r>
          </w:p>
        </w:tc>
      </w:tr>
      <w:tr w14:paraId="3841C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1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1DB7B8FF">
            <w:pPr>
              <w:snapToGrid w:val="0"/>
              <w:spacing w:line="24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788" w:type="dxa"/>
            <w:tcBorders>
              <w:top w:val="single" w:color="000000" w:sz="8" w:space="0"/>
              <w:left w:val="single" w:color="auto" w:sz="4" w:space="0"/>
              <w:bottom w:val="single" w:color="000000" w:sz="8" w:space="0"/>
              <w:right w:val="single" w:color="000000" w:sz="8" w:space="0"/>
            </w:tcBorders>
            <w:vAlign w:val="center"/>
          </w:tcPr>
          <w:p w14:paraId="143150A2">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ascii="宋体" w:hAnsi="宋体" w:cs="宋体"/>
                <w:b/>
                <w:color w:val="auto"/>
                <w:sz w:val="24"/>
                <w:highlight w:val="none"/>
              </w:rPr>
            </w:pPr>
            <w:r>
              <w:rPr>
                <w:rFonts w:hint="eastAsia" w:ascii="宋体" w:hAnsi="宋体" w:cs="宋体"/>
                <w:b/>
                <w:color w:val="auto"/>
                <w:sz w:val="24"/>
                <w:highlight w:val="none"/>
              </w:rPr>
              <w:t>采购标的及其对应的中小企业划分标准所属行业</w:t>
            </w:r>
          </w:p>
        </w:tc>
        <w:tc>
          <w:tcPr>
            <w:tcW w:w="6150" w:type="dxa"/>
            <w:tcBorders>
              <w:top w:val="single" w:color="000000" w:sz="8" w:space="0"/>
              <w:left w:val="single" w:color="000000" w:sz="2" w:space="0"/>
              <w:bottom w:val="single" w:color="000000" w:sz="8" w:space="0"/>
              <w:right w:val="single" w:color="000000" w:sz="8" w:space="0"/>
            </w:tcBorders>
            <w:vAlign w:val="center"/>
          </w:tcPr>
          <w:p w14:paraId="18AA49C1">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（1）标的：</w:t>
            </w:r>
            <w:r>
              <w:rPr>
                <w:rFonts w:hint="eastAsia" w:ascii="宋体" w:hAnsi="宋体" w:cs="宋体"/>
                <w:color w:val="auto"/>
                <w:sz w:val="24"/>
                <w:szCs w:val="24"/>
                <w:highlight w:val="none"/>
                <w:lang w:val="en-US" w:eastAsia="zh-CN"/>
              </w:rPr>
              <w:t>第三部分采购需求-七、</w:t>
            </w:r>
            <w:r>
              <w:rPr>
                <w:rFonts w:hint="eastAsia" w:ascii="宋体" w:hAnsi="宋体" w:cs="宋体"/>
                <w:color w:val="auto"/>
                <w:sz w:val="24"/>
                <w:highlight w:val="none"/>
                <w:u w:val="single"/>
                <w:lang w:val="en-US" w:eastAsia="zh-CN"/>
              </w:rPr>
              <w:t>货物清单中的全部产品</w:t>
            </w:r>
            <w:r>
              <w:rPr>
                <w:rFonts w:hint="eastAsia" w:ascii="宋体" w:hAnsi="宋体" w:eastAsia="宋体" w:cs="宋体"/>
                <w:color w:val="auto"/>
                <w:sz w:val="24"/>
                <w:szCs w:val="24"/>
                <w:highlight w:val="none"/>
              </w:rPr>
              <w:t>，属于</w:t>
            </w:r>
            <w:r>
              <w:rPr>
                <w:rFonts w:hint="eastAsia" w:ascii="宋体" w:hAnsi="宋体" w:cs="宋体"/>
                <w:color w:val="auto"/>
                <w:sz w:val="24"/>
                <w:highlight w:val="none"/>
                <w:u w:val="single"/>
              </w:rPr>
              <w:t>工业</w:t>
            </w:r>
            <w:r>
              <w:rPr>
                <w:rFonts w:hint="eastAsia" w:ascii="宋体" w:hAnsi="宋体" w:eastAsia="宋体" w:cs="宋体"/>
                <w:color w:val="auto"/>
                <w:sz w:val="24"/>
                <w:szCs w:val="24"/>
                <w:highlight w:val="none"/>
              </w:rPr>
              <w:t>行业；</w:t>
            </w:r>
          </w:p>
          <w:p w14:paraId="39CF96C1">
            <w:pPr>
              <w:keepNext w:val="0"/>
              <w:keepLines w:val="0"/>
              <w:pageBreakBefore w:val="0"/>
              <w:widowControl w:val="0"/>
              <w:tabs>
                <w:tab w:val="left" w:pos="1470"/>
              </w:tabs>
              <w:kinsoku/>
              <w:wordWrap/>
              <w:overflowPunct/>
              <w:topLinePunct w:val="0"/>
              <w:autoSpaceDE/>
              <w:autoSpaceDN/>
              <w:bidi w:val="0"/>
              <w:adjustRightInd w:val="0"/>
              <w:spacing w:line="312" w:lineRule="auto"/>
              <w:textAlignment w:val="auto"/>
              <w:rPr>
                <w:rFonts w:hint="eastAsia" w:ascii="宋体" w:hAnsi="宋体" w:eastAsia="宋体" w:cs="宋体"/>
                <w:snapToGrid/>
                <w:color w:val="auto"/>
                <w:sz w:val="24"/>
                <w:highlight w:val="none"/>
              </w:rPr>
            </w:pPr>
            <w:r>
              <w:rPr>
                <w:rFonts w:hint="eastAsia" w:ascii="宋体" w:hAnsi="宋体" w:eastAsia="宋体" w:cs="宋体"/>
                <w:color w:val="auto"/>
                <w:sz w:val="24"/>
                <w:szCs w:val="24"/>
                <w:highlight w:val="none"/>
              </w:rPr>
              <w:t>《关于印发中小企业划型标准规定的通知》工信部联企业〔2011〕300号</w:t>
            </w:r>
            <w:r>
              <w:rPr>
                <w:rFonts w:hint="eastAsia" w:ascii="宋体" w:hAnsi="宋体" w:cs="宋体"/>
                <w:color w:val="auto"/>
                <w:sz w:val="24"/>
                <w:szCs w:val="24"/>
                <w:highlight w:val="none"/>
                <w:lang w:eastAsia="zh-CN"/>
              </w:rPr>
              <w:t>文件规定，</w:t>
            </w:r>
            <w:r>
              <w:rPr>
                <w:rFonts w:hint="eastAsia" w:ascii="宋体" w:hAnsi="宋体" w:eastAsia="宋体" w:cs="宋体"/>
                <w:snapToGrid/>
                <w:color w:val="auto"/>
                <w:sz w:val="24"/>
                <w:highlight w:val="none"/>
                <w:u w:val="single"/>
              </w:rPr>
              <w:t>工业</w:t>
            </w:r>
            <w:r>
              <w:rPr>
                <w:rFonts w:hint="eastAsia" w:ascii="宋体" w:hAnsi="宋体" w:eastAsia="宋体" w:cs="宋体"/>
                <w:snapToGrid/>
                <w:color w:val="auto"/>
                <w:sz w:val="24"/>
                <w:highlight w:val="none"/>
                <w:lang w:eastAsia="zh-CN"/>
              </w:rPr>
              <w:t>中小企业划分标准如下：</w:t>
            </w:r>
            <w:r>
              <w:rPr>
                <w:rFonts w:hint="eastAsia" w:ascii="宋体" w:hAnsi="宋体" w:eastAsia="宋体" w:cs="宋体"/>
                <w:snapToGrid/>
                <w:color w:val="auto"/>
                <w:sz w:val="24"/>
                <w:highlight w:val="none"/>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DE0AB34">
            <w:pPr>
              <w:rPr>
                <w:rFonts w:hint="default"/>
                <w:color w:val="auto"/>
                <w:highlight w:val="none"/>
                <w:lang w:val="en-US" w:eastAsia="zh-CN"/>
              </w:rPr>
            </w:pPr>
            <w:r>
              <w:rPr>
                <w:rFonts w:hint="eastAsia"/>
                <w:b/>
                <w:bCs/>
                <w:color w:val="auto"/>
                <w:sz w:val="24"/>
                <w:highlight w:val="none"/>
                <w:lang w:val="en-US" w:eastAsia="zh-CN"/>
              </w:rPr>
              <w:t>供应商投标时，需按照货物清单中产品名称逐一列出并填写入《中小企业声明函》。</w:t>
            </w:r>
          </w:p>
        </w:tc>
      </w:tr>
      <w:tr w14:paraId="7F2A02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61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11F07703">
            <w:pPr>
              <w:snapToGrid w:val="0"/>
              <w:spacing w:line="24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1788" w:type="dxa"/>
            <w:tcBorders>
              <w:top w:val="single" w:color="000000" w:sz="8" w:space="0"/>
              <w:left w:val="single" w:color="auto" w:sz="4" w:space="0"/>
              <w:bottom w:val="single" w:color="000000" w:sz="8" w:space="0"/>
              <w:right w:val="single" w:color="000000" w:sz="8" w:space="0"/>
            </w:tcBorders>
            <w:vAlign w:val="center"/>
          </w:tcPr>
          <w:p w14:paraId="1E70C0FF">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ascii="宋体" w:hAnsi="宋体" w:cs="宋体"/>
                <w:b/>
                <w:color w:val="auto"/>
                <w:sz w:val="24"/>
                <w:highlight w:val="none"/>
              </w:rPr>
            </w:pPr>
            <w:r>
              <w:rPr>
                <w:rFonts w:hint="eastAsia" w:ascii="宋体" w:hAnsi="宋体" w:cs="宋体"/>
                <w:b/>
                <w:color w:val="auto"/>
                <w:sz w:val="24"/>
                <w:highlight w:val="none"/>
              </w:rPr>
              <w:t>是否允许采购进口产品</w:t>
            </w:r>
          </w:p>
        </w:tc>
        <w:tc>
          <w:tcPr>
            <w:tcW w:w="6150" w:type="dxa"/>
            <w:tcBorders>
              <w:top w:val="single" w:color="000000" w:sz="8" w:space="0"/>
              <w:left w:val="single" w:color="000000" w:sz="2" w:space="0"/>
              <w:bottom w:val="single" w:color="000000" w:sz="8" w:space="0"/>
              <w:right w:val="single" w:color="000000" w:sz="8" w:space="0"/>
            </w:tcBorders>
            <w:vAlign w:val="center"/>
          </w:tcPr>
          <w:p w14:paraId="40BAE8BD">
            <w:pPr>
              <w:keepNext w:val="0"/>
              <w:keepLines w:val="0"/>
              <w:pageBreakBefore w:val="0"/>
              <w:widowControl w:val="0"/>
              <w:kinsoku/>
              <w:wordWrap/>
              <w:overflowPunct/>
              <w:topLinePunct w:val="0"/>
              <w:autoSpaceDE/>
              <w:autoSpaceDN/>
              <w:bidi w:val="0"/>
              <w:adjustRightInd w:val="0"/>
              <w:spacing w:line="312" w:lineRule="auto"/>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sz w:val="24"/>
                  <w:szCs w:val="24"/>
                  <w:highlight w:val="none"/>
                </w:rPr>
                <w:id w:val="-1828425707"/>
                <w14:checkbox>
                  <w14:checked w14:val="1"/>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sym w:font="Wingdings" w:char="F0FE"/>
                </w:r>
              </w:sdtContent>
            </w:sdt>
            <w:r>
              <w:rPr>
                <w:rFonts w:hint="eastAsia" w:ascii="宋体" w:hAnsi="宋体" w:eastAsia="宋体" w:cs="宋体"/>
                <w:color w:val="auto"/>
                <w:sz w:val="24"/>
                <w:szCs w:val="24"/>
                <w:highlight w:val="none"/>
              </w:rPr>
              <w:t>本项目不允许采购进口产品。</w:t>
            </w:r>
          </w:p>
          <w:p w14:paraId="37BD6796">
            <w:pPr>
              <w:keepNext w:val="0"/>
              <w:keepLines w:val="0"/>
              <w:pageBreakBefore w:val="0"/>
              <w:widowControl w:val="0"/>
              <w:kinsoku/>
              <w:wordWrap/>
              <w:overflowPunct/>
              <w:topLinePunct w:val="0"/>
              <w:autoSpaceDE/>
              <w:autoSpaceDN/>
              <w:bidi w:val="0"/>
              <w:adjustRightInd w:val="0"/>
              <w:spacing w:line="312" w:lineRule="auto"/>
              <w:textAlignment w:val="auto"/>
              <w:rPr>
                <w:color w:val="auto"/>
                <w:highlight w:val="none"/>
              </w:rPr>
            </w:pPr>
            <w:sdt>
              <w:sdtPr>
                <w:rPr>
                  <w:rFonts w:hint="eastAsia" w:ascii="宋体" w:hAnsi="宋体" w:eastAsia="宋体" w:cs="宋体"/>
                  <w:color w:val="auto"/>
                  <w:sz w:val="24"/>
                  <w:szCs w:val="24"/>
                  <w:highlight w:val="none"/>
                </w:rPr>
                <w:id w:val="-52852824"/>
                <w14:checkbox>
                  <w14:checked w14:val="0"/>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t>☐</w:t>
                </w:r>
              </w:sdtContent>
            </w:sdt>
            <w:r>
              <w:rPr>
                <w:rFonts w:hint="eastAsia" w:ascii="宋体" w:hAnsi="宋体" w:eastAsia="宋体" w:cs="宋体"/>
                <w:color w:val="auto"/>
                <w:sz w:val="24"/>
                <w:szCs w:val="24"/>
                <w:highlight w:val="none"/>
              </w:rPr>
              <w:t>可以就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采购进口产品。</w:t>
            </w:r>
            <w:r>
              <w:rPr>
                <w:rFonts w:hint="eastAsia" w:ascii="宋体" w:hAnsi="宋体" w:eastAsia="宋体" w:cs="宋体"/>
                <w:color w:val="auto"/>
                <w:kern w:val="0"/>
                <w:sz w:val="24"/>
                <w:szCs w:val="24"/>
                <w:highlight w:val="none"/>
              </w:rPr>
              <w:t>优先采购向我国企业转让技术、与我国企业签订消化吸收再创新方案的供应商的进口产品，详见</w:t>
            </w:r>
            <w:r>
              <w:rPr>
                <w:rFonts w:hint="eastAsia" w:ascii="宋体" w:hAnsi="宋体" w:eastAsia="宋体" w:cs="宋体"/>
                <w:color w:val="auto"/>
                <w:kern w:val="0"/>
                <w:sz w:val="24"/>
                <w:szCs w:val="24"/>
                <w:highlight w:val="none"/>
                <w:u w:val="single"/>
              </w:rPr>
              <w:t>评分标准</w:t>
            </w:r>
            <w:r>
              <w:rPr>
                <w:rFonts w:hint="eastAsia" w:ascii="宋体" w:hAnsi="宋体" w:eastAsia="宋体" w:cs="宋体"/>
                <w:color w:val="auto"/>
                <w:kern w:val="0"/>
                <w:sz w:val="24"/>
                <w:szCs w:val="24"/>
                <w:highlight w:val="none"/>
              </w:rPr>
              <w:t>。</w:t>
            </w:r>
          </w:p>
        </w:tc>
      </w:tr>
      <w:tr w14:paraId="499D1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43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64474366">
            <w:pPr>
              <w:snapToGrid w:val="0"/>
              <w:spacing w:line="24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1788" w:type="dxa"/>
            <w:tcBorders>
              <w:top w:val="single" w:color="000000" w:sz="8" w:space="0"/>
              <w:left w:val="single" w:color="auto" w:sz="4" w:space="0"/>
              <w:bottom w:val="single" w:color="000000" w:sz="8" w:space="0"/>
              <w:right w:val="single" w:color="000000" w:sz="8" w:space="0"/>
            </w:tcBorders>
            <w:vAlign w:val="center"/>
          </w:tcPr>
          <w:p w14:paraId="63D6F2E6">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分包</w:t>
            </w:r>
          </w:p>
        </w:tc>
        <w:tc>
          <w:tcPr>
            <w:tcW w:w="6150" w:type="dxa"/>
            <w:tcBorders>
              <w:top w:val="single" w:color="000000" w:sz="8" w:space="0"/>
              <w:left w:val="single" w:color="000000" w:sz="2" w:space="0"/>
              <w:bottom w:val="single" w:color="000000" w:sz="8" w:space="0"/>
              <w:right w:val="single" w:color="000000" w:sz="8" w:space="0"/>
            </w:tcBorders>
            <w:vAlign w:val="center"/>
          </w:tcPr>
          <w:p w14:paraId="2A5201E8">
            <w:pPr>
              <w:keepNext w:val="0"/>
              <w:keepLines w:val="0"/>
              <w:pageBreakBefore w:val="0"/>
              <w:widowControl w:val="0"/>
              <w:kinsoku/>
              <w:wordWrap/>
              <w:overflowPunct/>
              <w:topLinePunct w:val="0"/>
              <w:autoSpaceDE/>
              <w:autoSpaceDN/>
              <w:bidi w:val="0"/>
              <w:adjustRightInd w:val="0"/>
              <w:spacing w:line="312" w:lineRule="auto"/>
              <w:textAlignment w:val="auto"/>
              <w:rPr>
                <w:rFonts w:hint="eastAsia" w:ascii="宋体" w:hAnsi="宋体" w:cs="宋体"/>
                <w:color w:val="auto"/>
                <w:sz w:val="24"/>
                <w:highlight w:val="none"/>
              </w:rPr>
            </w:pPr>
            <w:sdt>
              <w:sdtPr>
                <w:rPr>
                  <w:rFonts w:hint="eastAsia" w:ascii="宋体" w:hAnsi="宋体" w:cs="宋体"/>
                  <w:color w:val="auto"/>
                  <w:kern w:val="0"/>
                  <w:sz w:val="24"/>
                  <w:highlight w:val="none"/>
                </w:rPr>
                <w:id w:val="-1477286927"/>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 xml:space="preserve"> A</w:t>
            </w:r>
            <w:r>
              <w:rPr>
                <w:rFonts w:hint="eastAsia" w:ascii="宋体" w:hAnsi="宋体" w:cs="宋体"/>
                <w:color w:val="auto"/>
                <w:sz w:val="24"/>
                <w:highlight w:val="none"/>
              </w:rPr>
              <w:t>同意将非主体、非关键性的</w:t>
            </w:r>
            <w:r>
              <w:rPr>
                <w:rFonts w:hint="eastAsia" w:ascii="宋体" w:hAnsi="宋体" w:cs="宋体"/>
                <w:color w:val="auto"/>
                <w:sz w:val="24"/>
                <w:highlight w:val="none"/>
                <w:u w:val="single"/>
                <w:lang w:val="en-US" w:eastAsia="zh-CN"/>
              </w:rPr>
              <w:t>货物运输</w:t>
            </w:r>
            <w:r>
              <w:rPr>
                <w:rFonts w:hint="eastAsia" w:ascii="宋体" w:hAnsi="宋体" w:cs="宋体"/>
                <w:color w:val="auto"/>
                <w:sz w:val="24"/>
                <w:highlight w:val="none"/>
              </w:rPr>
              <w:t>工作分包。</w:t>
            </w:r>
          </w:p>
          <w:p w14:paraId="38DA8C83">
            <w:pPr>
              <w:spacing w:line="360" w:lineRule="auto"/>
              <w:rPr>
                <w:rFonts w:ascii="宋体" w:hAnsi="宋体" w:cs="宋体"/>
                <w:color w:val="auto"/>
                <w:sz w:val="24"/>
                <w:highlight w:val="none"/>
              </w:rPr>
            </w:pPr>
            <w:sdt>
              <w:sdtPr>
                <w:rPr>
                  <w:rFonts w:hint="eastAsia" w:ascii="宋体" w:hAnsi="宋体" w:eastAsia="宋体" w:cs="宋体"/>
                  <w:color w:val="auto"/>
                  <w:kern w:val="0"/>
                  <w:sz w:val="24"/>
                  <w:szCs w:val="24"/>
                  <w:highlight w:val="none"/>
                </w:rPr>
                <w:id w:val="147468503"/>
              </w:sdtPr>
              <w:sdtEndPr>
                <w:rPr>
                  <w:rFonts w:hint="eastAsia" w:ascii="宋体" w:hAnsi="宋体" w:eastAsia="宋体" w:cs="宋体"/>
                  <w:color w:val="auto"/>
                  <w:kern w:val="0"/>
                  <w:sz w:val="24"/>
                  <w:szCs w:val="24"/>
                  <w:highlight w:val="none"/>
                </w:rPr>
              </w:sdtEndPr>
              <w:sdtContent>
                <w:sdt>
                  <w:sdtPr>
                    <w:rPr>
                      <w:rFonts w:hint="eastAsia" w:ascii="宋体" w:hAnsi="宋体" w:eastAsia="宋体" w:cs="宋体"/>
                      <w:color w:val="auto"/>
                      <w:kern w:val="0"/>
                      <w:sz w:val="24"/>
                      <w:szCs w:val="24"/>
                      <w:highlight w:val="none"/>
                    </w:rPr>
                    <w:id w:val="-924730588"/>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sdt>
                  <w:sdtPr>
                    <w:rPr>
                      <w:rFonts w:hint="eastAsia" w:ascii="宋体" w:hAnsi="宋体" w:eastAsia="宋体" w:cs="宋体"/>
                      <w:color w:val="auto"/>
                      <w:kern w:val="0"/>
                      <w:sz w:val="24"/>
                      <w:szCs w:val="24"/>
                      <w:highlight w:val="none"/>
                    </w:rPr>
                    <w:id w:val="147469293"/>
                    <w:showingPlcHdr/>
                  </w:sdtPr>
                  <w:sdtEndPr>
                    <w:rPr>
                      <w:rFonts w:hint="eastAsia" w:ascii="宋体" w:hAnsi="宋体" w:eastAsia="宋体" w:cs="宋体"/>
                      <w:color w:val="auto"/>
                      <w:kern w:val="0"/>
                      <w:sz w:val="24"/>
                      <w:szCs w:val="24"/>
                      <w:highlight w:val="none"/>
                    </w:rPr>
                  </w:sdtEndPr>
                  <w:sdtContent/>
                </w:sdt>
              </w:sdtContent>
            </w:sdt>
            <w:r>
              <w:rPr>
                <w:rFonts w:hint="eastAsia" w:ascii="宋体" w:hAnsi="宋体" w:eastAsia="宋体" w:cs="宋体"/>
                <w:color w:val="auto"/>
                <w:kern w:val="0"/>
                <w:sz w:val="24"/>
                <w:szCs w:val="24"/>
                <w:highlight w:val="none"/>
              </w:rPr>
              <w:t xml:space="preserve"> B</w:t>
            </w:r>
            <w:r>
              <w:rPr>
                <w:rFonts w:hint="eastAsia" w:ascii="宋体" w:hAnsi="宋体" w:cs="宋体"/>
                <w:color w:val="auto"/>
                <w:sz w:val="24"/>
                <w:highlight w:val="none"/>
              </w:rPr>
              <w:t>不同意分包。</w:t>
            </w:r>
          </w:p>
          <w:p w14:paraId="716461E9">
            <w:pPr>
              <w:keepNext w:val="0"/>
              <w:keepLines w:val="0"/>
              <w:pageBreakBefore w:val="0"/>
              <w:widowControl w:val="0"/>
              <w:kinsoku/>
              <w:wordWrap/>
              <w:overflowPunct/>
              <w:topLinePunct w:val="0"/>
              <w:autoSpaceDE/>
              <w:autoSpaceDN/>
              <w:bidi w:val="0"/>
              <w:adjustRightInd w:val="0"/>
              <w:spacing w:line="312" w:lineRule="auto"/>
              <w:textAlignment w:val="auto"/>
              <w:rPr>
                <w:rFonts w:ascii="宋体" w:hAnsi="宋体" w:cs="宋体"/>
                <w:color w:val="auto"/>
                <w:sz w:val="24"/>
                <w:highlight w:val="none"/>
              </w:rPr>
            </w:pPr>
            <w:r>
              <w:rPr>
                <w:rFonts w:hint="eastAsia" w:ascii="宋体" w:hAnsi="宋体" w:cs="宋体"/>
                <w:color w:val="auto"/>
                <w:sz w:val="24"/>
                <w:highlight w:val="none"/>
              </w:rPr>
              <w:t>注：不得限制大中型企业向小微企业合理分包。</w:t>
            </w:r>
          </w:p>
        </w:tc>
      </w:tr>
      <w:tr w14:paraId="435D4D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4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4F70A16">
            <w:pPr>
              <w:snapToGrid w:val="0"/>
              <w:spacing w:line="24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1788" w:type="dxa"/>
            <w:tcBorders>
              <w:top w:val="single" w:color="000000" w:sz="8" w:space="0"/>
              <w:left w:val="single" w:color="auto" w:sz="4" w:space="0"/>
              <w:bottom w:val="single" w:color="000000" w:sz="8" w:space="0"/>
              <w:right w:val="single" w:color="000000" w:sz="8" w:space="0"/>
            </w:tcBorders>
            <w:vAlign w:val="center"/>
          </w:tcPr>
          <w:p w14:paraId="13CE6D75">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ascii="宋体" w:hAnsi="宋体" w:cs="宋体"/>
                <w:b/>
                <w:color w:val="auto"/>
                <w:sz w:val="24"/>
                <w:highlight w:val="none"/>
              </w:rPr>
            </w:pPr>
            <w:r>
              <w:rPr>
                <w:rFonts w:hint="eastAsia" w:ascii="宋体" w:hAnsi="宋体" w:cs="宋体"/>
                <w:b/>
                <w:color w:val="auto"/>
                <w:sz w:val="24"/>
                <w:highlight w:val="none"/>
              </w:rPr>
              <w:t>开标前答疑会或现场考察</w:t>
            </w:r>
          </w:p>
        </w:tc>
        <w:tc>
          <w:tcPr>
            <w:tcW w:w="6150" w:type="dxa"/>
            <w:tcBorders>
              <w:top w:val="single" w:color="000000" w:sz="8" w:space="0"/>
              <w:left w:val="single" w:color="000000" w:sz="2" w:space="0"/>
              <w:bottom w:val="single" w:color="000000" w:sz="8" w:space="0"/>
              <w:right w:val="single" w:color="000000" w:sz="8" w:space="0"/>
            </w:tcBorders>
            <w:vAlign w:val="center"/>
          </w:tcPr>
          <w:p w14:paraId="4BFCC9D0">
            <w:pPr>
              <w:keepNext w:val="0"/>
              <w:keepLines w:val="0"/>
              <w:pageBreakBefore w:val="0"/>
              <w:widowControl w:val="0"/>
              <w:kinsoku/>
              <w:wordWrap/>
              <w:overflowPunct/>
              <w:topLinePunct w:val="0"/>
              <w:autoSpaceDE/>
              <w:autoSpaceDN/>
              <w:bidi w:val="0"/>
              <w:adjustRightInd w:val="0"/>
              <w:spacing w:line="312" w:lineRule="auto"/>
              <w:textAlignment w:val="auto"/>
              <w:rPr>
                <w:rFonts w:ascii="宋体" w:hAnsi="宋体" w:cs="宋体"/>
                <w:color w:val="auto"/>
                <w:sz w:val="24"/>
                <w:highlight w:val="none"/>
              </w:rPr>
            </w:pPr>
            <w:sdt>
              <w:sdtPr>
                <w:rPr>
                  <w:rFonts w:hint="eastAsia" w:ascii="宋体" w:hAnsi="宋体" w:cs="宋体"/>
                  <w:color w:val="auto"/>
                  <w:kern w:val="0"/>
                  <w:sz w:val="24"/>
                  <w:highlight w:val="none"/>
                </w:rPr>
                <w:id w:val="-21296641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1A63C472">
            <w:pPr>
              <w:keepNext w:val="0"/>
              <w:keepLines w:val="0"/>
              <w:pageBreakBefore w:val="0"/>
              <w:widowControl w:val="0"/>
              <w:kinsoku/>
              <w:wordWrap/>
              <w:overflowPunct/>
              <w:topLinePunct w:val="0"/>
              <w:autoSpaceDE/>
              <w:autoSpaceDN/>
              <w:bidi w:val="0"/>
              <w:adjustRightInd w:val="0"/>
              <w:spacing w:line="312" w:lineRule="auto"/>
              <w:textAlignment w:val="auto"/>
              <w:rPr>
                <w:rFonts w:ascii="宋体" w:hAnsi="宋体" w:cs="宋体"/>
                <w:color w:val="auto"/>
                <w:sz w:val="24"/>
                <w:szCs w:val="20"/>
                <w:highlight w:val="none"/>
              </w:rPr>
            </w:pPr>
            <w:sdt>
              <w:sdtPr>
                <w:rPr>
                  <w:rFonts w:hint="eastAsia" w:ascii="宋体" w:hAnsi="宋体" w:cs="宋体"/>
                  <w:color w:val="auto"/>
                  <w:kern w:val="0"/>
                  <w:sz w:val="24"/>
                  <w:highlight w:val="none"/>
                </w:rPr>
                <w:id w:val="-99980297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B组织，</w:t>
            </w:r>
            <w:r>
              <w:rPr>
                <w:rFonts w:hint="eastAsia" w:ascii="宋体" w:hAnsi="宋体" w:cs="宋体"/>
                <w:color w:val="auto"/>
                <w:sz w:val="24"/>
                <w:highlight w:val="none"/>
              </w:rPr>
              <w:t>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，联系方式：</w:t>
            </w:r>
            <w:r>
              <w:rPr>
                <w:rFonts w:hint="eastAsia" w:ascii="宋体" w:hAnsi="宋体" w:cs="宋体"/>
                <w:color w:val="auto"/>
                <w:sz w:val="24"/>
                <w:highlight w:val="none"/>
                <w:u w:val="single"/>
              </w:rPr>
              <w:t xml:space="preserve">      </w:t>
            </w:r>
            <w:r>
              <w:rPr>
                <w:rFonts w:hint="eastAsia" w:ascii="宋体" w:hAnsi="宋体" w:cs="宋体"/>
                <w:color w:val="auto"/>
                <w:sz w:val="24"/>
                <w:szCs w:val="20"/>
                <w:highlight w:val="none"/>
              </w:rPr>
              <w:t>。</w:t>
            </w:r>
          </w:p>
        </w:tc>
      </w:tr>
      <w:tr w14:paraId="0E7484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55D586C0">
            <w:pPr>
              <w:snapToGrid w:val="0"/>
              <w:spacing w:line="240" w:lineRule="auto"/>
              <w:jc w:val="center"/>
              <w:rPr>
                <w:rFonts w:ascii="宋体" w:hAnsi="宋体" w:cs="宋体"/>
                <w:color w:val="auto"/>
                <w:sz w:val="24"/>
                <w:highlight w:val="none"/>
              </w:rPr>
            </w:pPr>
          </w:p>
          <w:p w14:paraId="285A40D9">
            <w:pPr>
              <w:snapToGrid w:val="0"/>
              <w:spacing w:line="240" w:lineRule="auto"/>
              <w:jc w:val="center"/>
              <w:rPr>
                <w:rFonts w:ascii="宋体" w:hAnsi="宋体" w:cs="宋体"/>
                <w:color w:val="auto"/>
                <w:sz w:val="24"/>
                <w:highlight w:val="none"/>
              </w:rPr>
            </w:pPr>
          </w:p>
          <w:p w14:paraId="2284827A">
            <w:pPr>
              <w:snapToGrid w:val="0"/>
              <w:spacing w:line="240" w:lineRule="auto"/>
              <w:jc w:val="center"/>
              <w:rPr>
                <w:rFonts w:ascii="宋体" w:hAnsi="宋体" w:cs="宋体"/>
                <w:color w:val="auto"/>
                <w:sz w:val="24"/>
                <w:highlight w:val="none"/>
              </w:rPr>
            </w:pPr>
          </w:p>
          <w:p w14:paraId="3E08CD57">
            <w:pPr>
              <w:snapToGrid w:val="0"/>
              <w:spacing w:line="240" w:lineRule="auto"/>
              <w:jc w:val="center"/>
              <w:rPr>
                <w:rFonts w:ascii="宋体" w:hAnsi="宋体" w:cs="宋体"/>
                <w:color w:val="auto"/>
                <w:sz w:val="24"/>
                <w:highlight w:val="none"/>
              </w:rPr>
            </w:pPr>
          </w:p>
          <w:p w14:paraId="6C87AEDF">
            <w:pPr>
              <w:snapToGrid w:val="0"/>
              <w:spacing w:line="240" w:lineRule="auto"/>
              <w:jc w:val="center"/>
              <w:rPr>
                <w:rFonts w:ascii="宋体" w:hAnsi="宋体" w:cs="宋体"/>
                <w:color w:val="auto"/>
                <w:sz w:val="24"/>
                <w:highlight w:val="none"/>
              </w:rPr>
            </w:pPr>
          </w:p>
          <w:p w14:paraId="5AB90B53">
            <w:pPr>
              <w:snapToGrid w:val="0"/>
              <w:spacing w:line="240" w:lineRule="auto"/>
              <w:jc w:val="center"/>
              <w:rPr>
                <w:rFonts w:ascii="宋体" w:hAnsi="宋体" w:cs="宋体"/>
                <w:color w:val="auto"/>
                <w:sz w:val="24"/>
                <w:highlight w:val="none"/>
              </w:rPr>
            </w:pPr>
          </w:p>
          <w:p w14:paraId="59ECCC70">
            <w:pPr>
              <w:snapToGrid w:val="0"/>
              <w:spacing w:line="240" w:lineRule="auto"/>
              <w:jc w:val="center"/>
              <w:rPr>
                <w:rFonts w:ascii="宋体" w:hAnsi="宋体" w:cs="宋体"/>
                <w:color w:val="auto"/>
                <w:sz w:val="24"/>
                <w:highlight w:val="none"/>
              </w:rPr>
            </w:pPr>
          </w:p>
          <w:p w14:paraId="5B5B1D03">
            <w:pPr>
              <w:snapToGrid w:val="0"/>
              <w:spacing w:line="240" w:lineRule="auto"/>
              <w:jc w:val="center"/>
              <w:rPr>
                <w:rFonts w:ascii="宋体" w:hAnsi="宋体" w:cs="宋体"/>
                <w:color w:val="auto"/>
                <w:sz w:val="24"/>
                <w:highlight w:val="none"/>
              </w:rPr>
            </w:pPr>
          </w:p>
          <w:p w14:paraId="040AEBEB">
            <w:pPr>
              <w:snapToGrid w:val="0"/>
              <w:spacing w:line="240" w:lineRule="auto"/>
              <w:jc w:val="center"/>
              <w:rPr>
                <w:rFonts w:ascii="宋体" w:hAnsi="宋体" w:cs="宋体"/>
                <w:color w:val="auto"/>
                <w:sz w:val="24"/>
                <w:highlight w:val="none"/>
              </w:rPr>
            </w:pPr>
          </w:p>
          <w:p w14:paraId="5EE9D994">
            <w:pPr>
              <w:snapToGrid w:val="0"/>
              <w:spacing w:line="24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1788" w:type="dxa"/>
            <w:tcBorders>
              <w:top w:val="single" w:color="000000" w:sz="8" w:space="0"/>
              <w:left w:val="single" w:color="auto" w:sz="4" w:space="0"/>
              <w:bottom w:val="single" w:color="000000" w:sz="8" w:space="0"/>
              <w:right w:val="single" w:color="000000" w:sz="8" w:space="0"/>
            </w:tcBorders>
            <w:vAlign w:val="center"/>
          </w:tcPr>
          <w:p w14:paraId="3546D0D3">
            <w:pPr>
              <w:snapToGrid w:val="0"/>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样品提供</w:t>
            </w:r>
          </w:p>
        </w:tc>
        <w:tc>
          <w:tcPr>
            <w:tcW w:w="6150" w:type="dxa"/>
            <w:tcBorders>
              <w:top w:val="single" w:color="000000" w:sz="8" w:space="0"/>
              <w:left w:val="single" w:color="000000" w:sz="2" w:space="0"/>
              <w:bottom w:val="single" w:color="000000" w:sz="8" w:space="0"/>
              <w:right w:val="single" w:color="000000" w:sz="8" w:space="0"/>
            </w:tcBorders>
            <w:vAlign w:val="center"/>
          </w:tcPr>
          <w:p w14:paraId="6761CAAC">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sz w:val="24"/>
                  <w:szCs w:val="24"/>
                  <w:highlight w:val="none"/>
                </w:rPr>
                <w:id w:val="-1639946486"/>
                <w14:checkbox>
                  <w14:checked w14:val="0"/>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t>☐</w:t>
                </w:r>
              </w:sdtContent>
            </w:sdt>
            <w:r>
              <w:rPr>
                <w:rFonts w:hint="eastAsia" w:ascii="宋体" w:hAnsi="宋体" w:eastAsia="宋体" w:cs="宋体"/>
                <w:color w:val="auto"/>
                <w:sz w:val="24"/>
                <w:szCs w:val="24"/>
                <w:highlight w:val="none"/>
              </w:rPr>
              <w:t>A不要求提供。</w:t>
            </w:r>
          </w:p>
          <w:p w14:paraId="5F64E8F2">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sz w:val="24"/>
                  <w:szCs w:val="24"/>
                  <w:highlight w:val="none"/>
                </w:rPr>
                <w:id w:val="1026831988"/>
                <w14:checkbox>
                  <w14:checked w14:val="1"/>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Wingdings" w:hAnsi="Wingdings" w:eastAsia="宋体" w:cs="宋体"/>
                    <w:color w:val="auto"/>
                    <w:kern w:val="2"/>
                    <w:sz w:val="24"/>
                    <w:szCs w:val="24"/>
                    <w:highlight w:val="none"/>
                    <w:lang w:val="en-US" w:eastAsia="zh-CN" w:bidi="ar-SA"/>
                  </w:rPr>
                  <w:t>þ</w:t>
                </w:r>
              </w:sdtContent>
            </w:sdt>
            <w:r>
              <w:rPr>
                <w:rFonts w:hint="eastAsia" w:ascii="宋体" w:hAnsi="宋体" w:eastAsia="宋体" w:cs="宋体"/>
                <w:color w:val="auto"/>
                <w:sz w:val="24"/>
                <w:szCs w:val="24"/>
                <w:highlight w:val="none"/>
              </w:rPr>
              <w:t>B要求提供，</w:t>
            </w:r>
          </w:p>
          <w:p w14:paraId="57350EF9">
            <w:pPr>
              <w:keepNext w:val="0"/>
              <w:keepLines w:val="0"/>
              <w:pageBreakBefore w:val="0"/>
              <w:widowControl w:val="0"/>
              <w:numPr>
                <w:ilvl w:val="0"/>
                <w:numId w:val="0"/>
              </w:numPr>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样品：</w:t>
            </w:r>
            <w:r>
              <w:rPr>
                <w:rFonts w:hint="eastAsia" w:ascii="宋体" w:hAnsi="宋体" w:eastAsia="宋体" w:cs="宋体"/>
                <w:color w:val="auto"/>
                <w:sz w:val="24"/>
                <w:highlight w:val="none"/>
                <w:u w:val="single"/>
                <w:lang w:val="en-US" w:eastAsia="zh-CN"/>
              </w:rPr>
              <w:t>投标人须提供以下小样（不限定尺寸）：</w:t>
            </w:r>
          </w:p>
          <w:p w14:paraId="174D6CD9">
            <w:pPr>
              <w:keepNext w:val="0"/>
              <w:keepLines w:val="0"/>
              <w:pageBreakBefore w:val="0"/>
              <w:widowControl w:val="0"/>
              <w:numPr>
                <w:ilvl w:val="0"/>
                <w:numId w:val="0"/>
              </w:numPr>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u w:val="single"/>
                <w:lang w:val="en-US" w:eastAsia="zh-CN"/>
              </w:rPr>
              <w:t>①炉头（炊用燃气大锅灶部件）</w:t>
            </w:r>
          </w:p>
          <w:p w14:paraId="5B400F30">
            <w:pPr>
              <w:keepNext w:val="0"/>
              <w:keepLines w:val="0"/>
              <w:pageBreakBefore w:val="0"/>
              <w:widowControl w:val="0"/>
              <w:numPr>
                <w:ilvl w:val="0"/>
                <w:numId w:val="0"/>
              </w:numPr>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u w:val="single"/>
                <w:lang w:val="en-US" w:eastAsia="zh-CN"/>
              </w:rPr>
              <w:t>②摇摆龙头（炊用燃气大锅灶部件）</w:t>
            </w:r>
          </w:p>
          <w:p w14:paraId="0B98DF0E">
            <w:pPr>
              <w:keepNext w:val="0"/>
              <w:keepLines w:val="0"/>
              <w:pageBreakBefore w:val="0"/>
              <w:widowControl w:val="0"/>
              <w:numPr>
                <w:ilvl w:val="0"/>
                <w:numId w:val="0"/>
              </w:numPr>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u w:val="single"/>
                <w:lang w:val="en-US" w:eastAsia="zh-CN"/>
              </w:rPr>
              <w:t>③灶具的前邦局部或</w:t>
            </w:r>
            <w:r>
              <w:rPr>
                <w:rFonts w:hint="eastAsia" w:ascii="宋体" w:hAnsi="宋体" w:cs="宋体"/>
                <w:color w:val="auto"/>
                <w:sz w:val="24"/>
                <w:highlight w:val="none"/>
                <w:u w:val="single"/>
                <w:lang w:val="en-US" w:eastAsia="zh-CN"/>
              </w:rPr>
              <w:t>面前</w:t>
            </w:r>
            <w:r>
              <w:rPr>
                <w:rFonts w:hint="eastAsia" w:ascii="宋体" w:hAnsi="宋体" w:eastAsia="宋体" w:cs="宋体"/>
                <w:color w:val="auto"/>
                <w:sz w:val="24"/>
                <w:highlight w:val="none"/>
                <w:u w:val="single"/>
                <w:lang w:val="en-US" w:eastAsia="zh-CN"/>
              </w:rPr>
              <w:t>扶手（炊用燃气大锅灶部件）</w:t>
            </w:r>
          </w:p>
          <w:p w14:paraId="3E2F1A9A">
            <w:pPr>
              <w:keepNext w:val="0"/>
              <w:keepLines w:val="0"/>
              <w:pageBreakBefore w:val="0"/>
              <w:widowControl w:val="0"/>
              <w:numPr>
                <w:ilvl w:val="0"/>
                <w:numId w:val="0"/>
              </w:numPr>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u w:val="single"/>
                <w:lang w:val="en-US" w:eastAsia="zh-CN"/>
              </w:rPr>
              <w:t>④脚轮（带刹车掣）</w:t>
            </w:r>
            <w:r>
              <w:rPr>
                <w:rFonts w:hint="eastAsia" w:ascii="宋体" w:hAnsi="宋体" w:eastAsia="宋体" w:cs="宋体"/>
                <w:color w:val="auto"/>
                <w:sz w:val="24"/>
                <w:szCs w:val="24"/>
                <w:highlight w:val="none"/>
              </w:rPr>
              <w:t>；</w:t>
            </w:r>
          </w:p>
          <w:p w14:paraId="51FE7A3E">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（2）样品制作的标准和要求：</w:t>
            </w:r>
            <w:r>
              <w:rPr>
                <w:rFonts w:hint="eastAsia" w:ascii="宋体" w:hAnsi="宋体" w:cs="宋体"/>
                <w:color w:val="auto"/>
                <w:sz w:val="24"/>
                <w:highlight w:val="none"/>
                <w:u w:val="single"/>
              </w:rPr>
              <w:t>同实际供货要求</w:t>
            </w:r>
            <w:r>
              <w:rPr>
                <w:rFonts w:hint="eastAsia" w:ascii="宋体" w:hAnsi="宋体" w:eastAsia="宋体" w:cs="宋体"/>
                <w:color w:val="auto"/>
                <w:sz w:val="24"/>
                <w:szCs w:val="24"/>
                <w:highlight w:val="none"/>
              </w:rPr>
              <w:t>；</w:t>
            </w:r>
          </w:p>
          <w:p w14:paraId="586EA17E">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（3）样品的评审方法以及评审标准：详见评标办法；</w:t>
            </w:r>
            <w:r>
              <w:rPr>
                <w:rFonts w:hint="eastAsia" w:ascii="宋体" w:hAnsi="宋体" w:eastAsia="宋体" w:cs="宋体"/>
                <w:color w:val="auto"/>
                <w:sz w:val="24"/>
                <w:szCs w:val="24"/>
                <w:highlight w:val="none"/>
              </w:rPr>
              <w:br w:type="textWrapping"/>
            </w:r>
            <w:sdt>
              <w:sdtPr>
                <w:rPr>
                  <w:rFonts w:hint="eastAsia" w:ascii="宋体" w:hAnsi="宋体" w:eastAsia="宋体" w:cs="宋体"/>
                  <w:color w:val="auto"/>
                  <w:kern w:val="0"/>
                  <w:sz w:val="24"/>
                  <w:szCs w:val="24"/>
                  <w:highlight w:val="none"/>
                </w:rPr>
                <w:id w:val="-1350092240"/>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2"/>
                    <w:sz w:val="24"/>
                    <w:szCs w:val="24"/>
                    <w:highlight w:val="none"/>
                    <w:lang w:val="en-US" w:eastAsia="zh-CN" w:bidi="ar-SA"/>
                  </w:rPr>
                  <w:t>þ</w:t>
                </w:r>
              </w:sdtContent>
            </w:sdt>
            <w:r>
              <w:rPr>
                <w:rFonts w:hint="eastAsia" w:ascii="宋体" w:hAnsi="宋体" w:eastAsia="宋体" w:cs="宋体"/>
                <w:color w:val="auto"/>
                <w:sz w:val="24"/>
                <w:szCs w:val="24"/>
                <w:highlight w:val="none"/>
              </w:rPr>
              <w:t>样品分未超过价格分的50%；</w:t>
            </w:r>
          </w:p>
          <w:p w14:paraId="24D280E8">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sz w:val="24"/>
                  <w:szCs w:val="24"/>
                  <w:highlight w:val="none"/>
                </w:rPr>
                <w:id w:val="-1485540415"/>
                <w14:checkbox>
                  <w14:checked w14:val="0"/>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t>☐</w:t>
                </w:r>
              </w:sdtContent>
            </w:sdt>
            <w:r>
              <w:rPr>
                <w:rFonts w:hint="eastAsia" w:ascii="宋体" w:hAnsi="宋体" w:eastAsia="宋体" w:cs="宋体"/>
                <w:color w:val="auto"/>
                <w:sz w:val="24"/>
                <w:szCs w:val="24"/>
                <w:highlight w:val="none"/>
              </w:rPr>
              <w:t>样品分超过价格分的50%，理由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652918D">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详见招标文件第四部分评标办分法。 </w:t>
            </w:r>
          </w:p>
          <w:p w14:paraId="77A1D126">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（4）是否需要随样品提交检测报告：</w:t>
            </w:r>
            <w:sdt>
              <w:sdtPr>
                <w:rPr>
                  <w:rFonts w:hint="eastAsia" w:ascii="宋体" w:hAnsi="宋体" w:eastAsia="宋体" w:cs="宋体"/>
                  <w:color w:val="auto"/>
                  <w:sz w:val="24"/>
                  <w:szCs w:val="24"/>
                  <w:highlight w:val="none"/>
                </w:rPr>
                <w:id w:val="1303421454"/>
                <w14:checkbox>
                  <w14:checked w14:val="1"/>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Wingdings" w:hAnsi="Wingdings" w:eastAsia="宋体" w:cs="宋体"/>
                    <w:color w:val="auto"/>
                    <w:kern w:val="2"/>
                    <w:sz w:val="24"/>
                    <w:szCs w:val="24"/>
                    <w:highlight w:val="none"/>
                    <w:lang w:val="en-US" w:eastAsia="zh-CN" w:bidi="ar-SA"/>
                  </w:rPr>
                  <w:t>þ</w:t>
                </w:r>
              </w:sdtContent>
            </w:sdt>
            <w:r>
              <w:rPr>
                <w:rFonts w:hint="eastAsia" w:ascii="宋体" w:hAnsi="宋体" w:eastAsia="宋体" w:cs="宋体"/>
                <w:color w:val="auto"/>
                <w:sz w:val="24"/>
                <w:szCs w:val="24"/>
                <w:highlight w:val="none"/>
              </w:rPr>
              <w:t>否；</w:t>
            </w:r>
            <w:sdt>
              <w:sdtPr>
                <w:rPr>
                  <w:rFonts w:hint="eastAsia" w:ascii="宋体" w:hAnsi="宋体" w:eastAsia="宋体" w:cs="宋体"/>
                  <w:color w:val="auto"/>
                  <w:sz w:val="24"/>
                  <w:szCs w:val="24"/>
                  <w:highlight w:val="none"/>
                </w:rPr>
                <w:id w:val="1621728433"/>
                <w14:checkbox>
                  <w14:checked w14:val="0"/>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t>☐</w:t>
                </w:r>
              </w:sdtContent>
            </w:sdt>
            <w:r>
              <w:rPr>
                <w:rFonts w:hint="eastAsia" w:ascii="宋体" w:hAnsi="宋体" w:eastAsia="宋体" w:cs="宋体"/>
                <w:color w:val="auto"/>
                <w:sz w:val="24"/>
                <w:szCs w:val="24"/>
                <w:highlight w:val="none"/>
              </w:rPr>
              <w:t>是，检测机构的要求：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；检测内容：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9D03F9">
            <w:pPr>
              <w:keepNext w:val="0"/>
              <w:keepLines w:val="0"/>
              <w:pageBreakBefore w:val="0"/>
              <w:widowControl w:val="0"/>
              <w:kinsoku/>
              <w:wordWrap/>
              <w:overflowPunct/>
              <w:topLinePunct w:val="0"/>
              <w:autoSpaceDE/>
              <w:autoSpaceDN/>
              <w:bidi w:val="0"/>
              <w:adjustRightInd w:val="0"/>
              <w:snapToGrid/>
              <w:spacing w:after="0"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（5）提供样品的时间：</w:t>
            </w:r>
            <w:r>
              <w:rPr>
                <w:rFonts w:hint="eastAsia" w:ascii="宋体" w:hAnsi="宋体" w:cs="宋体"/>
                <w:color w:val="auto"/>
                <w:sz w:val="24"/>
                <w:highlight w:val="none"/>
                <w:u w:val="single"/>
                <w:lang w:val="en-US" w:eastAsia="zh-CN"/>
              </w:rPr>
              <w:t>2024年10月09日8:30至10:00</w:t>
            </w:r>
            <w:bookmarkStart w:id="605" w:name="_GoBack"/>
            <w:bookmarkEnd w:id="605"/>
            <w:r>
              <w:rPr>
                <w:rFonts w:hint="eastAsia" w:ascii="宋体" w:hAnsi="宋体" w:eastAsia="宋体" w:cs="宋体"/>
                <w:color w:val="auto"/>
                <w:sz w:val="24"/>
                <w:szCs w:val="24"/>
                <w:highlight w:val="none"/>
              </w:rPr>
              <w:t xml:space="preserve"> ；地点：</w:t>
            </w:r>
            <w:r>
              <w:rPr>
                <w:rFonts w:hint="eastAsia" w:ascii="宋体" w:hAnsi="宋体" w:cs="宋体"/>
                <w:color w:val="auto"/>
                <w:sz w:val="24"/>
                <w:highlight w:val="none"/>
                <w:u w:val="single"/>
                <w:lang w:eastAsia="zh-CN"/>
              </w:rPr>
              <w:t>杭州市绍兴路538号三立时代广场A幢1201室</w:t>
            </w: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u w:val="single"/>
                <w:lang w:eastAsia="zh-CN"/>
              </w:rPr>
              <w:t>鲁</w:t>
            </w:r>
            <w:r>
              <w:rPr>
                <w:rFonts w:hint="eastAsia" w:ascii="宋体" w:hAnsi="宋体" w:cs="宋体"/>
                <w:color w:val="auto"/>
                <w:sz w:val="24"/>
                <w:szCs w:val="24"/>
                <w:highlight w:val="none"/>
                <w:u w:val="single"/>
                <w:lang w:val="en-US" w:eastAsia="zh-CN"/>
              </w:rPr>
              <w:t>工</w:t>
            </w:r>
            <w:r>
              <w:rPr>
                <w:rFonts w:hint="eastAsia" w:ascii="宋体" w:hAnsi="宋体" w:eastAsia="宋体" w:cs="宋体"/>
                <w:color w:val="auto"/>
                <w:sz w:val="24"/>
                <w:szCs w:val="24"/>
                <w:highlight w:val="none"/>
              </w:rPr>
              <w:t>，联系电话：</w:t>
            </w:r>
            <w:r>
              <w:rPr>
                <w:rFonts w:hint="eastAsia" w:ascii="宋体" w:hAnsi="宋体" w:cs="宋体"/>
                <w:color w:val="auto"/>
                <w:sz w:val="24"/>
                <w:highlight w:val="none"/>
                <w:u w:val="single"/>
                <w:lang w:val="en-US" w:eastAsia="zh-CN"/>
              </w:rPr>
              <w:t>13396593621</w:t>
            </w:r>
            <w:r>
              <w:rPr>
                <w:rFonts w:hint="eastAsia" w:ascii="宋体" w:hAnsi="宋体" w:cs="宋体"/>
                <w:color w:val="auto"/>
                <w:sz w:val="24"/>
                <w:highlight w:val="none"/>
                <w:u w:val="none"/>
                <w:lang w:val="en-US" w:eastAsia="zh-CN"/>
              </w:rPr>
              <w:t>。</w:t>
            </w:r>
            <w:r>
              <w:rPr>
                <w:rFonts w:hint="eastAsia" w:ascii="宋体" w:hAnsi="宋体" w:eastAsia="宋体" w:cs="宋体"/>
                <w:color w:val="auto"/>
                <w:sz w:val="24"/>
                <w:szCs w:val="24"/>
                <w:highlight w:val="none"/>
              </w:rPr>
              <w:t>请投标人在上述时间内提供样品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样品递交人须提供投标人的授权书（见附件格式，法人代表请携带身份证复件及营业执照复印件）、身份证</w:t>
            </w:r>
            <w:r>
              <w:rPr>
                <w:rFonts w:hint="eastAsia" w:ascii="宋体" w:hAnsi="宋体" w:eastAsia="宋体" w:cs="宋体"/>
                <w:color w:val="auto"/>
                <w:sz w:val="24"/>
                <w:szCs w:val="24"/>
                <w:highlight w:val="none"/>
                <w:lang w:val="en-US" w:eastAsia="zh-CN"/>
              </w:rPr>
              <w:t>明</w:t>
            </w:r>
            <w:r>
              <w:rPr>
                <w:rFonts w:hint="eastAsia" w:ascii="宋体" w:hAnsi="宋体" w:eastAsia="宋体" w:cs="宋体"/>
                <w:color w:val="auto"/>
                <w:sz w:val="24"/>
                <w:szCs w:val="24"/>
                <w:highlight w:val="none"/>
              </w:rPr>
              <w:t>。超过截止时间的，采购人或采购代理机构将不予接收，并将清场并封闭样品现场。</w:t>
            </w:r>
          </w:p>
          <w:p w14:paraId="6BFD0F1A">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(6)采购活动结束后，对于未中标人提供的样品，采购人、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将通知未中标人在规定的时间内取回，逾期未取回的，采购人、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不负保管义务；对于中标人提供的样品，采购人将进行保管、封存，并作为履约验收的参考。</w:t>
            </w:r>
          </w:p>
          <w:p w14:paraId="048B1D3B">
            <w:pPr>
              <w:keepNext w:val="0"/>
              <w:keepLines w:val="0"/>
              <w:pageBreakBefore w:val="0"/>
              <w:widowControl w:val="0"/>
              <w:kinsoku/>
              <w:wordWrap/>
              <w:overflowPunct/>
              <w:topLinePunct w:val="0"/>
              <w:autoSpaceDE/>
              <w:autoSpaceDN/>
              <w:bidi w:val="0"/>
              <w:adjustRightInd w:val="0"/>
              <w:snapToGrid/>
              <w:spacing w:line="312" w:lineRule="auto"/>
              <w:textAlignment w:val="auto"/>
              <w:rPr>
                <w:color w:val="auto"/>
                <w:highlight w:val="none"/>
              </w:rPr>
            </w:pPr>
            <w:r>
              <w:rPr>
                <w:rFonts w:hint="eastAsia" w:ascii="宋体" w:hAnsi="宋体" w:eastAsia="宋体" w:cs="宋体"/>
                <w:color w:val="auto"/>
                <w:sz w:val="24"/>
                <w:szCs w:val="24"/>
                <w:highlight w:val="none"/>
              </w:rPr>
              <w:t>（7）制作、运输、安装和保管样品所发生的一切费用由投标人自理。</w:t>
            </w:r>
          </w:p>
        </w:tc>
      </w:tr>
      <w:tr w14:paraId="3AFCD9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18E88628">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color w:val="auto"/>
                <w:sz w:val="24"/>
                <w:highlight w:val="none"/>
              </w:rPr>
            </w:pPr>
            <w:r>
              <w:rPr>
                <w:rFonts w:hint="eastAsia" w:ascii="宋体" w:hAnsi="宋体" w:cs="宋体"/>
                <w:color w:val="auto"/>
                <w:sz w:val="24"/>
                <w:highlight w:val="none"/>
              </w:rPr>
              <w:t>7</w:t>
            </w:r>
          </w:p>
        </w:tc>
        <w:tc>
          <w:tcPr>
            <w:tcW w:w="1788" w:type="dxa"/>
            <w:tcBorders>
              <w:top w:val="single" w:color="000000" w:sz="8" w:space="0"/>
              <w:left w:val="single" w:color="auto" w:sz="4" w:space="0"/>
              <w:bottom w:val="single" w:color="000000" w:sz="8" w:space="0"/>
              <w:right w:val="single" w:color="000000" w:sz="8" w:space="0"/>
            </w:tcBorders>
            <w:vAlign w:val="center"/>
          </w:tcPr>
          <w:p w14:paraId="56784E0C">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bCs/>
                <w:color w:val="auto"/>
                <w:sz w:val="24"/>
                <w:highlight w:val="none"/>
              </w:rPr>
            </w:pPr>
            <w:r>
              <w:rPr>
                <w:rFonts w:hint="eastAsia" w:ascii="宋体" w:hAnsi="宋体" w:cs="宋体"/>
                <w:b/>
                <w:color w:val="auto"/>
                <w:sz w:val="24"/>
                <w:highlight w:val="none"/>
              </w:rPr>
              <w:t>方案讲解演示</w:t>
            </w:r>
          </w:p>
        </w:tc>
        <w:tc>
          <w:tcPr>
            <w:tcW w:w="6150" w:type="dxa"/>
            <w:tcBorders>
              <w:top w:val="single" w:color="000000" w:sz="8" w:space="0"/>
              <w:left w:val="single" w:color="000000" w:sz="2" w:space="0"/>
              <w:bottom w:val="single" w:color="000000" w:sz="8" w:space="0"/>
              <w:right w:val="single" w:color="000000" w:sz="8" w:space="0"/>
            </w:tcBorders>
            <w:vAlign w:val="center"/>
          </w:tcPr>
          <w:p w14:paraId="4EE0DEEA">
            <w:pPr>
              <w:pageBreakBefore w:val="0"/>
              <w:widowControl w:val="0"/>
              <w:kinsoku/>
              <w:wordWrap/>
              <w:overflowPunct/>
              <w:topLinePunct w:val="0"/>
              <w:autoSpaceDE/>
              <w:autoSpaceDN/>
              <w:bidi w:val="0"/>
              <w:spacing w:line="312" w:lineRule="auto"/>
              <w:ind w:left="0"/>
              <w:textAlignment w:val="auto"/>
              <w:rPr>
                <w:rFonts w:ascii="宋体" w:hAnsi="宋体" w:cs="宋体"/>
                <w:color w:val="auto"/>
                <w:sz w:val="24"/>
                <w:highlight w:val="none"/>
              </w:rPr>
            </w:pPr>
            <w:sdt>
              <w:sdtPr>
                <w:rPr>
                  <w:rFonts w:hint="eastAsia" w:ascii="宋体" w:hAnsi="宋体" w:cs="宋体"/>
                  <w:color w:val="auto"/>
                  <w:kern w:val="0"/>
                  <w:sz w:val="24"/>
                  <w:highlight w:val="none"/>
                </w:rPr>
                <w:id w:val="-185934854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4983E963">
            <w:pPr>
              <w:pageBreakBefore w:val="0"/>
              <w:widowControl w:val="0"/>
              <w:kinsoku/>
              <w:wordWrap/>
              <w:overflowPunct/>
              <w:topLinePunct w:val="0"/>
              <w:autoSpaceDE/>
              <w:autoSpaceDN/>
              <w:bidi w:val="0"/>
              <w:snapToGrid w:val="0"/>
              <w:spacing w:line="312" w:lineRule="auto"/>
              <w:ind w:left="0"/>
              <w:textAlignment w:val="auto"/>
              <w:rPr>
                <w:rFonts w:ascii="宋体" w:hAnsi="宋体" w:cs="宋体"/>
                <w:b/>
                <w:color w:val="auto"/>
                <w:kern w:val="0"/>
                <w:sz w:val="24"/>
                <w:highlight w:val="none"/>
                <w:lang w:val="zh-CN"/>
              </w:rPr>
            </w:pPr>
          </w:p>
        </w:tc>
      </w:tr>
      <w:tr w14:paraId="7FD85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14:paraId="7D6216F1">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color w:val="auto"/>
                <w:sz w:val="24"/>
                <w:highlight w:val="none"/>
              </w:rPr>
            </w:pPr>
          </w:p>
          <w:p w14:paraId="27EB3652">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color w:val="auto"/>
                <w:sz w:val="24"/>
                <w:highlight w:val="none"/>
              </w:rPr>
            </w:pPr>
          </w:p>
          <w:p w14:paraId="116CBA1A">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color w:val="auto"/>
                <w:sz w:val="24"/>
                <w:highlight w:val="none"/>
              </w:rPr>
            </w:pPr>
            <w:r>
              <w:rPr>
                <w:rFonts w:hint="eastAsia" w:ascii="宋体" w:hAnsi="宋体" w:cs="宋体"/>
                <w:color w:val="auto"/>
                <w:sz w:val="24"/>
                <w:highlight w:val="none"/>
              </w:rPr>
              <w:t>8</w:t>
            </w:r>
          </w:p>
        </w:tc>
        <w:tc>
          <w:tcPr>
            <w:tcW w:w="1788" w:type="dxa"/>
            <w:vMerge w:val="restart"/>
            <w:tcBorders>
              <w:top w:val="single" w:color="000000" w:sz="8" w:space="0"/>
              <w:left w:val="single" w:color="auto" w:sz="4" w:space="0"/>
              <w:right w:val="single" w:color="000000" w:sz="8" w:space="0"/>
            </w:tcBorders>
            <w:vAlign w:val="center"/>
          </w:tcPr>
          <w:p w14:paraId="384329B6">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b/>
                <w:color w:val="auto"/>
                <w:sz w:val="24"/>
                <w:highlight w:val="none"/>
              </w:rPr>
            </w:pPr>
            <w:r>
              <w:rPr>
                <w:rFonts w:hint="eastAsia" w:ascii="宋体" w:hAnsi="宋体" w:cs="宋体"/>
                <w:b/>
                <w:color w:val="auto"/>
                <w:sz w:val="24"/>
                <w:highlight w:val="none"/>
              </w:rPr>
              <w:t>投标人应当提供的资格、资信证明文件</w:t>
            </w:r>
          </w:p>
        </w:tc>
        <w:tc>
          <w:tcPr>
            <w:tcW w:w="6150" w:type="dxa"/>
            <w:tcBorders>
              <w:top w:val="single" w:color="000000" w:sz="8" w:space="0"/>
              <w:left w:val="single" w:color="000000" w:sz="2" w:space="0"/>
              <w:bottom w:val="single" w:color="auto" w:sz="4" w:space="0"/>
              <w:right w:val="single" w:color="000000" w:sz="8" w:space="0"/>
            </w:tcBorders>
            <w:vAlign w:val="center"/>
          </w:tcPr>
          <w:p w14:paraId="00A89DD8">
            <w:pPr>
              <w:pageBreakBefore w:val="0"/>
              <w:widowControl w:val="0"/>
              <w:kinsoku/>
              <w:wordWrap/>
              <w:overflowPunct/>
              <w:topLinePunct w:val="0"/>
              <w:autoSpaceDE/>
              <w:autoSpaceDN/>
              <w:bidi w:val="0"/>
              <w:spacing w:line="312" w:lineRule="auto"/>
              <w:ind w:left="0"/>
              <w:textAlignment w:val="auto"/>
              <w:rPr>
                <w:rFonts w:ascii="宋体" w:hAnsi="宋体" w:cs="宋体"/>
                <w:color w:val="auto"/>
                <w:sz w:val="24"/>
                <w:highlight w:val="none"/>
              </w:rPr>
            </w:pPr>
            <w:r>
              <w:rPr>
                <w:rFonts w:hint="eastAsia" w:ascii="宋体" w:hAnsi="宋体" w:cs="宋体"/>
                <w:color w:val="auto"/>
                <w:sz w:val="24"/>
                <w:highlight w:val="none"/>
              </w:rPr>
              <w:t>（1）资格证明文件：见招标文件第二部分11.1。</w:t>
            </w:r>
          </w:p>
          <w:p w14:paraId="3D1568A7">
            <w:pPr>
              <w:pageBreakBefore w:val="0"/>
              <w:widowControl w:val="0"/>
              <w:kinsoku/>
              <w:wordWrap/>
              <w:overflowPunct/>
              <w:topLinePunct w:val="0"/>
              <w:autoSpaceDE/>
              <w:autoSpaceDN/>
              <w:bidi w:val="0"/>
              <w:spacing w:line="312" w:lineRule="auto"/>
              <w:ind w:left="0"/>
              <w:textAlignment w:val="auto"/>
              <w:rPr>
                <w:rFonts w:ascii="宋体" w:hAnsi="宋体" w:cs="宋体"/>
                <w:snapToGrid w:val="0"/>
                <w:color w:val="auto"/>
                <w:kern w:val="0"/>
                <w:szCs w:val="21"/>
                <w:highlight w:val="none"/>
              </w:rPr>
            </w:pPr>
            <w:r>
              <w:rPr>
                <w:rFonts w:hint="eastAsia" w:ascii="宋体" w:hAnsi="宋体" w:cs="宋体"/>
                <w:color w:val="auto"/>
                <w:kern w:val="0"/>
                <w:sz w:val="24"/>
                <w:highlight w:val="none"/>
                <w:lang w:val="zh-CN"/>
              </w:rPr>
              <w:t>投标人未提供有效的资格证明文件的，视为投标人不具备招标文件中规定的资格要求，投标无效。</w:t>
            </w:r>
          </w:p>
        </w:tc>
      </w:tr>
      <w:tr w14:paraId="3DAFAB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14:paraId="6AF7E640">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color w:val="auto"/>
                <w:sz w:val="24"/>
                <w:highlight w:val="none"/>
              </w:rPr>
            </w:pPr>
          </w:p>
        </w:tc>
        <w:tc>
          <w:tcPr>
            <w:tcW w:w="1788" w:type="dxa"/>
            <w:vMerge w:val="continue"/>
            <w:tcBorders>
              <w:left w:val="single" w:color="auto" w:sz="4" w:space="0"/>
              <w:bottom w:val="single" w:color="000000" w:sz="8" w:space="0"/>
              <w:right w:val="single" w:color="000000" w:sz="8" w:space="0"/>
            </w:tcBorders>
            <w:vAlign w:val="center"/>
          </w:tcPr>
          <w:p w14:paraId="2B65199F">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b/>
                <w:color w:val="auto"/>
                <w:sz w:val="24"/>
                <w:highlight w:val="none"/>
              </w:rPr>
            </w:pPr>
          </w:p>
        </w:tc>
        <w:tc>
          <w:tcPr>
            <w:tcW w:w="6150" w:type="dxa"/>
            <w:tcBorders>
              <w:top w:val="single" w:color="auto" w:sz="4" w:space="0"/>
              <w:left w:val="single" w:color="000000" w:sz="2" w:space="0"/>
              <w:bottom w:val="single" w:color="000000" w:sz="8" w:space="0"/>
              <w:right w:val="single" w:color="000000" w:sz="8" w:space="0"/>
            </w:tcBorders>
            <w:vAlign w:val="center"/>
          </w:tcPr>
          <w:p w14:paraId="1C1F7C20">
            <w:pPr>
              <w:pageBreakBefore w:val="0"/>
              <w:widowControl w:val="0"/>
              <w:kinsoku/>
              <w:wordWrap/>
              <w:overflowPunct/>
              <w:topLinePunct w:val="0"/>
              <w:autoSpaceDE/>
              <w:autoSpaceDN/>
              <w:bidi w:val="0"/>
              <w:spacing w:line="312" w:lineRule="auto"/>
              <w:ind w:left="0"/>
              <w:textAlignment w:val="auto"/>
              <w:rPr>
                <w:rFonts w:ascii="宋体" w:hAnsi="宋体" w:cs="宋体"/>
                <w:color w:val="auto"/>
                <w:sz w:val="24"/>
                <w:highlight w:val="none"/>
              </w:rPr>
            </w:pPr>
            <w:r>
              <w:rPr>
                <w:rFonts w:hint="eastAsia" w:ascii="宋体" w:hAnsi="宋体" w:cs="宋体"/>
                <w:color w:val="auto"/>
                <w:sz w:val="24"/>
                <w:highlight w:val="none"/>
              </w:rPr>
              <w:t>（2）资信证明文件：根据招标文件第四部分评标标准提供。</w:t>
            </w:r>
          </w:p>
        </w:tc>
      </w:tr>
      <w:tr w14:paraId="22722E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7300EE82">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color w:val="auto"/>
                <w:sz w:val="24"/>
                <w:highlight w:val="none"/>
              </w:rPr>
            </w:pPr>
          </w:p>
          <w:p w14:paraId="47E953B6">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color w:val="auto"/>
                <w:sz w:val="24"/>
                <w:highlight w:val="none"/>
              </w:rPr>
            </w:pPr>
          </w:p>
          <w:p w14:paraId="0429FCD8">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color w:val="auto"/>
                <w:sz w:val="24"/>
                <w:highlight w:val="none"/>
              </w:rPr>
            </w:pPr>
            <w:r>
              <w:rPr>
                <w:rFonts w:hint="eastAsia" w:ascii="宋体" w:hAnsi="宋体" w:cs="宋体"/>
                <w:color w:val="auto"/>
                <w:sz w:val="24"/>
                <w:highlight w:val="none"/>
              </w:rPr>
              <w:t>9</w:t>
            </w:r>
          </w:p>
        </w:tc>
        <w:tc>
          <w:tcPr>
            <w:tcW w:w="1788" w:type="dxa"/>
            <w:tcBorders>
              <w:top w:val="single" w:color="000000" w:sz="8" w:space="0"/>
              <w:left w:val="single" w:color="000000" w:sz="2" w:space="0"/>
              <w:bottom w:val="single" w:color="000000" w:sz="8" w:space="0"/>
              <w:right w:val="single" w:color="000000" w:sz="8" w:space="0"/>
            </w:tcBorders>
            <w:vAlign w:val="center"/>
          </w:tcPr>
          <w:p w14:paraId="51B81B87">
            <w:pPr>
              <w:pageBreakBefore w:val="0"/>
              <w:widowControl w:val="0"/>
              <w:kinsoku/>
              <w:wordWrap/>
              <w:overflowPunct/>
              <w:topLinePunct w:val="0"/>
              <w:autoSpaceDE/>
              <w:autoSpaceDN/>
              <w:bidi w:val="0"/>
              <w:snapToGrid w:val="0"/>
              <w:spacing w:line="312" w:lineRule="auto"/>
              <w:ind w:left="0"/>
              <w:jc w:val="center"/>
              <w:textAlignment w:val="auto"/>
              <w:rPr>
                <w:rFonts w:ascii="宋体" w:hAnsi="宋体" w:cs="宋体"/>
                <w:b/>
                <w:color w:val="auto"/>
                <w:sz w:val="24"/>
                <w:highlight w:val="none"/>
              </w:rPr>
            </w:pPr>
            <w:r>
              <w:rPr>
                <w:rFonts w:hint="eastAsia" w:ascii="宋体" w:hAnsi="宋体" w:cs="宋体"/>
                <w:b/>
                <w:color w:val="auto"/>
                <w:sz w:val="24"/>
                <w:highlight w:val="none"/>
              </w:rPr>
              <w:t>节能产品、环境标志产品</w:t>
            </w:r>
          </w:p>
        </w:tc>
        <w:tc>
          <w:tcPr>
            <w:tcW w:w="6150" w:type="dxa"/>
            <w:tcBorders>
              <w:top w:val="single" w:color="000000" w:sz="8" w:space="0"/>
              <w:left w:val="single" w:color="000000" w:sz="2" w:space="0"/>
              <w:bottom w:val="single" w:color="000000" w:sz="8" w:space="0"/>
              <w:right w:val="single" w:color="000000" w:sz="8" w:space="0"/>
            </w:tcBorders>
            <w:vAlign w:val="center"/>
          </w:tcPr>
          <w:p w14:paraId="56E67262">
            <w:pPr>
              <w:spacing w:line="360" w:lineRule="auto"/>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采购人拟采购的产品属于品目清单范围的，采购人及其委托的采购代理机构将依据国家确定的认证机构出具的、处于有效期之内的节能产品</w:t>
            </w:r>
            <w:r>
              <w:rPr>
                <w:rFonts w:hint="eastAsia" w:ascii="宋体" w:hAnsi="宋体" w:eastAsia="宋体" w:cs="宋体"/>
                <w:color w:val="auto"/>
                <w:kern w:val="0"/>
                <w:sz w:val="24"/>
                <w:highlight w:val="none"/>
              </w:rPr>
              <w:t>、环境标志产品认证证书，对获得证书的产品实施政府优先采购或强制采购</w:t>
            </w:r>
            <w:r>
              <w:rPr>
                <w:rFonts w:hint="eastAsia" w:ascii="宋体" w:hAnsi="宋体" w:eastAsia="宋体" w:cs="宋体"/>
                <w:color w:val="auto"/>
                <w:kern w:val="0"/>
                <w:sz w:val="24"/>
                <w:highlight w:val="none"/>
                <w:lang w:eastAsia="zh-CN"/>
              </w:rPr>
              <w:t>。</w:t>
            </w:r>
          </w:p>
          <w:p w14:paraId="696469B6">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47474512"/>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szCs w:val="24"/>
                    <w:highlight w:val="none"/>
                    <w:lang w:val="en-US" w:eastAsia="zh-CN" w:bidi="ar-SA"/>
                  </w:rPr>
                  <w:t>☐</w:t>
                </w:r>
              </w:sdtContent>
            </w:sdt>
            <w:sdt>
              <w:sdtPr>
                <w:rPr>
                  <w:rFonts w:hint="eastAsia" w:ascii="宋体" w:hAnsi="宋体" w:eastAsia="宋体" w:cs="宋体"/>
                  <w:color w:val="auto"/>
                  <w:kern w:val="0"/>
                  <w:sz w:val="24"/>
                  <w:highlight w:val="none"/>
                </w:rPr>
                <w:id w:val="147451406"/>
                <w:showingPlcHdr/>
              </w:sdtPr>
              <w:sdtEndPr>
                <w:rPr>
                  <w:rFonts w:hint="eastAsia" w:ascii="宋体" w:hAnsi="宋体" w:eastAsia="宋体" w:cs="宋体"/>
                  <w:color w:val="auto"/>
                  <w:kern w:val="0"/>
                  <w:sz w:val="24"/>
                  <w:highlight w:val="none"/>
                </w:rPr>
              </w:sdtEndPr>
              <w:sdtContent/>
            </w:sdt>
            <w:r>
              <w:rPr>
                <w:rFonts w:hint="eastAsia" w:ascii="宋体" w:hAnsi="宋体" w:eastAsia="宋体" w:cs="宋体"/>
                <w:color w:val="auto"/>
                <w:kern w:val="0"/>
                <w:sz w:val="24"/>
                <w:highlight w:val="none"/>
              </w:rPr>
              <w:t>A无</w:t>
            </w:r>
          </w:p>
          <w:p w14:paraId="06EE5DEB">
            <w:pPr>
              <w:pStyle w:val="23"/>
              <w:rPr>
                <w:rFonts w:hint="eastAsia" w:ascii="宋体" w:hAnsi="宋体" w:eastAsia="宋体" w:cs="宋体"/>
                <w:color w:val="auto"/>
                <w:kern w:val="0"/>
                <w:highlight w:val="none"/>
              </w:rPr>
            </w:pPr>
            <w:sdt>
              <w:sdtPr>
                <w:rPr>
                  <w:rFonts w:hint="eastAsia" w:ascii="宋体" w:hAnsi="宋体" w:eastAsia="宋体" w:cs="宋体"/>
                  <w:color w:val="auto"/>
                  <w:kern w:val="0"/>
                  <w:sz w:val="24"/>
                  <w:highlight w:val="none"/>
                </w:rPr>
                <w:id w:val="147469286"/>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snapToGrid w:val="0"/>
                    <w:color w:val="auto"/>
                    <w:kern w:val="0"/>
                    <w:sz w:val="24"/>
                    <w:szCs w:val="24"/>
                    <w:highlight w:val="none"/>
                    <w:lang w:val="en-US" w:eastAsia="zh-CN" w:bidi="ar-SA"/>
                  </w:rPr>
                  <w:t>þ</w:t>
                </w:r>
              </w:sdtContent>
            </w:sdt>
            <w:sdt>
              <w:sdtPr>
                <w:rPr>
                  <w:rFonts w:hint="eastAsia" w:ascii="宋体" w:hAnsi="宋体" w:eastAsia="宋体" w:cs="宋体"/>
                  <w:color w:val="auto"/>
                  <w:kern w:val="0"/>
                  <w:sz w:val="24"/>
                  <w:highlight w:val="none"/>
                </w:rPr>
                <w:id w:val="147458677"/>
                <w:showingPlcHdr/>
              </w:sdtPr>
              <w:sdtEndPr>
                <w:rPr>
                  <w:rFonts w:hint="eastAsia" w:ascii="宋体" w:hAnsi="宋体" w:eastAsia="宋体" w:cs="宋体"/>
                  <w:color w:val="auto"/>
                  <w:kern w:val="0"/>
                  <w:sz w:val="24"/>
                  <w:highlight w:val="none"/>
                </w:rPr>
              </w:sdtEndPr>
              <w:sdtContent/>
            </w:sdt>
            <w:r>
              <w:rPr>
                <w:rFonts w:hint="eastAsia" w:ascii="宋体" w:hAnsi="宋体" w:eastAsia="宋体" w:cs="宋体"/>
                <w:color w:val="auto"/>
                <w:kern w:val="0"/>
                <w:highlight w:val="none"/>
              </w:rPr>
              <w:t>B</w:t>
            </w:r>
            <w:r>
              <w:rPr>
                <w:rFonts w:hint="eastAsia" w:ascii="宋体" w:hAnsi="宋体" w:eastAsia="宋体" w:cs="宋体"/>
                <w:color w:val="auto"/>
                <w:kern w:val="0"/>
                <w:highlight w:val="none"/>
                <w:lang w:val="en-US"/>
              </w:rPr>
              <w:t xml:space="preserve"> 政府</w:t>
            </w:r>
            <w:r>
              <w:rPr>
                <w:rFonts w:hint="eastAsia" w:ascii="宋体" w:hAnsi="宋体" w:eastAsia="宋体" w:cs="宋体"/>
                <w:color w:val="auto"/>
                <w:highlight w:val="none"/>
                <w:lang w:val="en-US"/>
              </w:rPr>
              <w:t>强制采购节能产品</w:t>
            </w:r>
            <w:r>
              <w:rPr>
                <w:rFonts w:hint="eastAsia" w:ascii="宋体" w:hAnsi="宋体" w:eastAsia="宋体" w:cs="宋体"/>
                <w:color w:val="auto"/>
                <w:kern w:val="0"/>
                <w:highlight w:val="none"/>
              </w:rPr>
              <w:t>：</w:t>
            </w:r>
          </w:p>
          <w:p w14:paraId="73E82D33">
            <w:pPr>
              <w:pStyle w:val="23"/>
              <w:numPr>
                <w:ilvl w:val="0"/>
                <w:numId w:val="3"/>
              </w:numPr>
              <w:ind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u w:val="single"/>
              </w:rPr>
              <w:t>A060806 水嘴</w:t>
            </w:r>
            <w:r>
              <w:rPr>
                <w:rFonts w:hint="eastAsia" w:ascii="宋体" w:hAnsi="宋体" w:eastAsia="宋体" w:cs="宋体"/>
                <w:color w:val="auto"/>
                <w:highlight w:val="none"/>
                <w:u w:val="single"/>
                <w:lang w:eastAsia="zh-CN"/>
              </w:rPr>
              <w:t>（即采购清单中的</w:t>
            </w:r>
            <w:r>
              <w:rPr>
                <w:rFonts w:hint="eastAsia" w:ascii="宋体" w:hAnsi="宋体" w:eastAsia="宋体" w:cs="宋体"/>
                <w:color w:val="auto"/>
                <w:highlight w:val="none"/>
                <w:u w:val="single"/>
                <w:lang w:val="en-US" w:eastAsia="zh-CN"/>
              </w:rPr>
              <w:t>台式混水厨房龙头</w:t>
            </w:r>
            <w:r>
              <w:rPr>
                <w:rFonts w:hint="eastAsia" w:ascii="宋体" w:hAnsi="宋体" w:eastAsia="宋体" w:cs="宋体"/>
                <w:color w:val="auto"/>
                <w:highlight w:val="none"/>
                <w:u w:val="single"/>
                <w:lang w:eastAsia="zh-CN"/>
              </w:rPr>
              <w:t>、感应龙头</w:t>
            </w:r>
            <w:r>
              <w:rPr>
                <w:rFonts w:hint="eastAsia" w:hAnsi="宋体" w:cs="宋体"/>
                <w:color w:val="auto"/>
                <w:highlight w:val="none"/>
                <w:u w:val="single"/>
                <w:lang w:eastAsia="zh-CN"/>
              </w:rPr>
              <w:t>、</w:t>
            </w:r>
            <w:r>
              <w:rPr>
                <w:rFonts w:hint="eastAsia" w:hAnsi="宋体" w:cs="宋体"/>
                <w:color w:val="auto"/>
                <w:highlight w:val="none"/>
                <w:u w:val="single"/>
                <w:lang w:val="en-US" w:eastAsia="zh-CN"/>
              </w:rPr>
              <w:t>洗地龙头</w:t>
            </w:r>
            <w:r>
              <w:rPr>
                <w:rFonts w:hint="eastAsia" w:ascii="宋体" w:hAnsi="宋体" w:eastAsia="宋体" w:cs="宋体"/>
                <w:color w:val="auto"/>
                <w:highlight w:val="none"/>
                <w:u w:val="single"/>
                <w:lang w:eastAsia="zh-CN"/>
              </w:rPr>
              <w:t>）</w:t>
            </w:r>
            <w:r>
              <w:rPr>
                <w:rFonts w:hint="eastAsia" w:hAnsi="宋体" w:cs="宋体"/>
                <w:color w:val="auto"/>
                <w:highlight w:val="none"/>
                <w:lang w:val="en-US" w:eastAsia="zh-CN"/>
              </w:rPr>
              <w:t>。</w:t>
            </w:r>
          </w:p>
          <w:p w14:paraId="797AC98E">
            <w:pPr>
              <w:pStyle w:val="23"/>
              <w:numPr>
                <w:ilvl w:val="0"/>
                <w:numId w:val="0"/>
              </w:numPr>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highlight w:val="none"/>
              </w:rPr>
              <w:t>水嘴</w:t>
            </w:r>
            <w:r>
              <w:rPr>
                <w:rFonts w:hint="eastAsia" w:ascii="宋体" w:hAnsi="宋体" w:eastAsia="宋体" w:cs="宋体"/>
                <w:b/>
                <w:bCs/>
                <w:color w:val="auto"/>
                <w:sz w:val="24"/>
                <w:highlight w:val="none"/>
                <w:lang w:eastAsia="zh-CN"/>
              </w:rPr>
              <w:t>（即采购清单中的</w:t>
            </w:r>
            <w:r>
              <w:rPr>
                <w:rFonts w:hint="eastAsia" w:ascii="宋体" w:hAnsi="宋体" w:eastAsia="宋体" w:cs="宋体"/>
                <w:b/>
                <w:bCs/>
                <w:color w:val="auto"/>
                <w:sz w:val="24"/>
                <w:highlight w:val="none"/>
                <w:lang w:val="en-US" w:eastAsia="zh-CN"/>
              </w:rPr>
              <w:t>台式混水厨房龙头</w:t>
            </w:r>
            <w:r>
              <w:rPr>
                <w:rFonts w:hint="eastAsia" w:ascii="宋体" w:hAnsi="宋体" w:eastAsia="宋体" w:cs="宋体"/>
                <w:b/>
                <w:bCs/>
                <w:color w:val="auto"/>
                <w:sz w:val="24"/>
                <w:highlight w:val="none"/>
                <w:lang w:eastAsia="zh-CN"/>
              </w:rPr>
              <w:t>、感应龙头、</w:t>
            </w:r>
            <w:r>
              <w:rPr>
                <w:rFonts w:hint="eastAsia" w:ascii="宋体" w:hAnsi="宋体" w:eastAsia="宋体" w:cs="宋体"/>
                <w:b/>
                <w:bCs/>
                <w:color w:val="auto"/>
                <w:sz w:val="24"/>
                <w:highlight w:val="none"/>
                <w:lang w:val="en-US" w:eastAsia="zh-CN"/>
              </w:rPr>
              <w:t>洗地龙头</w:t>
            </w:r>
            <w:r>
              <w:rPr>
                <w:rFonts w:hint="eastAsia" w:ascii="宋体" w:hAnsi="宋体" w:eastAsia="宋体" w:cs="宋体"/>
                <w:b/>
                <w:bCs/>
                <w:color w:val="auto"/>
                <w:sz w:val="24"/>
                <w:highlight w:val="none"/>
                <w:lang w:eastAsia="zh-CN"/>
              </w:rPr>
              <w:t>）需提供</w:t>
            </w:r>
            <w:r>
              <w:rPr>
                <w:rFonts w:hint="eastAsia" w:ascii="宋体" w:hAnsi="宋体" w:eastAsia="宋体" w:cs="宋体"/>
                <w:b/>
                <w:bCs/>
                <w:color w:val="auto"/>
                <w:sz w:val="24"/>
                <w:highlight w:val="none"/>
              </w:rPr>
              <w:t>节</w:t>
            </w:r>
            <w:r>
              <w:rPr>
                <w:rFonts w:hint="eastAsia" w:ascii="宋体" w:hAnsi="宋体" w:cs="宋体"/>
                <w:b/>
                <w:bCs/>
                <w:color w:val="auto"/>
                <w:sz w:val="24"/>
                <w:highlight w:val="none"/>
              </w:rPr>
              <w:t>能产品认证证书</w:t>
            </w:r>
            <w:r>
              <w:rPr>
                <w:rFonts w:hint="eastAsia" w:ascii="宋体" w:hAnsi="宋体" w:cs="宋体"/>
                <w:b/>
                <w:bCs/>
                <w:color w:val="auto"/>
                <w:sz w:val="24"/>
                <w:highlight w:val="none"/>
                <w:lang w:eastAsia="zh-CN"/>
              </w:rPr>
              <w:t>。</w:t>
            </w:r>
          </w:p>
          <w:p w14:paraId="4BC5FA1B">
            <w:pPr>
              <w:pStyle w:val="23"/>
              <w:rPr>
                <w:rFonts w:hint="eastAsia" w:ascii="宋体" w:hAnsi="宋体" w:eastAsia="宋体" w:cs="宋体"/>
                <w:color w:val="auto"/>
                <w:kern w:val="0"/>
                <w:highlight w:val="none"/>
              </w:rPr>
            </w:pPr>
            <w:sdt>
              <w:sdtPr>
                <w:rPr>
                  <w:rFonts w:hint="eastAsia" w:ascii="宋体" w:hAnsi="宋体" w:eastAsia="宋体" w:cs="宋体"/>
                  <w:color w:val="auto"/>
                  <w:kern w:val="0"/>
                  <w:sz w:val="24"/>
                  <w:highlight w:val="none"/>
                </w:rPr>
                <w:id w:val="147482260"/>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snapToGrid w:val="0"/>
                    <w:color w:val="auto"/>
                    <w:kern w:val="0"/>
                    <w:sz w:val="24"/>
                    <w:szCs w:val="24"/>
                    <w:highlight w:val="none"/>
                    <w:lang w:val="en-US" w:eastAsia="zh-CN" w:bidi="ar-SA"/>
                  </w:rPr>
                  <w:t>þ</w:t>
                </w:r>
              </w:sdtContent>
            </w:sdt>
            <w:sdt>
              <w:sdtPr>
                <w:rPr>
                  <w:rFonts w:hint="eastAsia" w:ascii="宋体" w:hAnsi="宋体" w:eastAsia="宋体" w:cs="宋体"/>
                  <w:color w:val="auto"/>
                  <w:kern w:val="0"/>
                  <w:sz w:val="24"/>
                  <w:highlight w:val="none"/>
                </w:rPr>
                <w:id w:val="147483300"/>
                <w:showingPlcHdr/>
              </w:sdtPr>
              <w:sdtEndPr>
                <w:rPr>
                  <w:rFonts w:hint="eastAsia" w:ascii="宋体" w:hAnsi="宋体" w:eastAsia="宋体" w:cs="宋体"/>
                  <w:color w:val="auto"/>
                  <w:kern w:val="0"/>
                  <w:sz w:val="24"/>
                  <w:highlight w:val="none"/>
                </w:rPr>
              </w:sdtEndPr>
              <w:sdtContent/>
            </w:sdt>
            <w:r>
              <w:rPr>
                <w:rFonts w:hint="eastAsia" w:ascii="宋体" w:hAnsi="宋体" w:eastAsia="宋体" w:cs="宋体"/>
                <w:color w:val="auto"/>
                <w:kern w:val="0"/>
                <w:highlight w:val="none"/>
                <w:lang w:val="en-US"/>
              </w:rPr>
              <w:t xml:space="preserve">C </w:t>
            </w:r>
            <w:r>
              <w:rPr>
                <w:rFonts w:hint="eastAsia" w:ascii="宋体" w:hAnsi="宋体" w:eastAsia="宋体" w:cs="宋体"/>
                <w:color w:val="auto"/>
                <w:highlight w:val="none"/>
                <w:lang w:val="en-US"/>
              </w:rPr>
              <w:t>政府优先采购节能产品</w:t>
            </w:r>
            <w:r>
              <w:rPr>
                <w:rFonts w:hint="eastAsia" w:ascii="宋体" w:hAnsi="宋体" w:eastAsia="宋体" w:cs="宋体"/>
                <w:color w:val="auto"/>
                <w:kern w:val="0"/>
                <w:highlight w:val="none"/>
              </w:rPr>
              <w:t>：</w:t>
            </w:r>
          </w:p>
          <w:p w14:paraId="3D75E999">
            <w:pPr>
              <w:pStyle w:val="23"/>
              <w:ind w:firstLine="480" w:firstLineChars="200"/>
              <w:rPr>
                <w:rFonts w:ascii="宋体" w:hAnsi="宋体" w:cs="宋体"/>
                <w:color w:val="auto"/>
                <w:highlight w:val="none"/>
              </w:rPr>
            </w:pPr>
            <w:r>
              <w:rPr>
                <w:rFonts w:hint="eastAsia" w:ascii="宋体" w:hAnsi="宋体" w:eastAsia="宋体" w:cs="宋体"/>
                <w:color w:val="auto"/>
                <w:kern w:val="0"/>
                <w:highlight w:val="none"/>
                <w:lang w:val="en-US"/>
              </w:rPr>
              <w:t>（1）</w:t>
            </w:r>
            <w:r>
              <w:rPr>
                <w:rFonts w:hint="eastAsia" w:ascii="宋体" w:hAnsi="宋体" w:eastAsia="宋体" w:cs="宋体"/>
                <w:color w:val="auto"/>
                <w:highlight w:val="none"/>
                <w:u w:val="single"/>
              </w:rPr>
              <w:t>A031210 饮食炊事机械</w:t>
            </w:r>
            <w:r>
              <w:rPr>
                <w:rFonts w:hint="eastAsia" w:ascii="宋体" w:hAnsi="宋体" w:eastAsia="宋体" w:cs="宋体"/>
                <w:color w:val="auto"/>
                <w:highlight w:val="none"/>
                <w:u w:val="single"/>
                <w:lang w:val="en-US"/>
              </w:rPr>
              <w:t xml:space="preserve"> 商用燃气灶具</w:t>
            </w:r>
            <w:r>
              <w:rPr>
                <w:rFonts w:hint="eastAsia" w:ascii="宋体" w:hAnsi="宋体" w:eastAsia="宋体" w:cs="宋体"/>
                <w:color w:val="auto"/>
                <w:highlight w:val="none"/>
                <w:u w:val="single"/>
                <w:lang w:eastAsia="zh-CN"/>
              </w:rPr>
              <w:t>（即</w:t>
            </w:r>
            <w:r>
              <w:rPr>
                <w:rFonts w:hint="eastAsia" w:ascii="宋体" w:hAnsi="宋体" w:eastAsia="宋体" w:cs="宋体"/>
                <w:color w:val="auto"/>
                <w:highlight w:val="none"/>
                <w:u w:val="single"/>
                <w:lang w:val="en-US" w:eastAsia="zh-CN"/>
              </w:rPr>
              <w:t>（中餐燃气炒菜灶）双炒单尾撑广式炉</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（中餐燃气炒菜灶）双炒双尾撑广式炉</w:t>
            </w:r>
            <w:r>
              <w:rPr>
                <w:rFonts w:hint="eastAsia" w:hAnsi="宋体" w:cs="宋体"/>
                <w:color w:val="auto"/>
                <w:highlight w:val="none"/>
                <w:u w:val="single"/>
                <w:lang w:eastAsia="zh-CN"/>
              </w:rPr>
              <w:t>、</w:t>
            </w:r>
            <w:r>
              <w:rPr>
                <w:rFonts w:hint="eastAsia" w:hAnsi="宋体" w:cs="宋体"/>
                <w:color w:val="auto"/>
                <w:highlight w:val="none"/>
                <w:u w:val="single"/>
                <w:lang w:val="en-US" w:eastAsia="zh-CN"/>
              </w:rPr>
              <w:t>可倾燃气汤锅 （200L）</w:t>
            </w:r>
            <w:r>
              <w:rPr>
                <w:rFonts w:hint="eastAsia" w:hAnsi="宋体" w:cs="宋体"/>
                <w:color w:val="auto"/>
                <w:highlight w:val="none"/>
                <w:u w:val="single"/>
                <w:lang w:eastAsia="zh-CN"/>
              </w:rPr>
              <w:t>、</w:t>
            </w:r>
            <w:r>
              <w:rPr>
                <w:rFonts w:hint="eastAsia" w:hAnsi="宋体" w:cs="宋体"/>
                <w:color w:val="auto"/>
                <w:highlight w:val="none"/>
                <w:u w:val="single"/>
                <w:lang w:val="en-US" w:eastAsia="zh-CN"/>
              </w:rPr>
              <w:t>双眼矮仔炉</w:t>
            </w:r>
            <w:r>
              <w:rPr>
                <w:rFonts w:hint="eastAsia" w:hAnsi="宋体" w:cs="宋体"/>
                <w:color w:val="auto"/>
                <w:highlight w:val="none"/>
                <w:u w:val="single"/>
                <w:lang w:eastAsia="zh-CN"/>
              </w:rPr>
              <w:t>、三门燃气蒸柜、</w:t>
            </w:r>
            <w:r>
              <w:rPr>
                <w:rFonts w:hint="eastAsia" w:hAnsi="宋体" w:cs="宋体"/>
                <w:color w:val="auto"/>
                <w:highlight w:val="none"/>
                <w:u w:val="single"/>
                <w:lang w:val="en-US" w:eastAsia="zh-CN"/>
              </w:rPr>
              <w:t>商用柜式炊饭机</w:t>
            </w:r>
            <w:r>
              <w:rPr>
                <w:rFonts w:hint="eastAsia" w:ascii="宋体" w:hAnsi="宋体" w:eastAsia="宋体" w:cs="宋体"/>
                <w:color w:val="auto"/>
                <w:highlight w:val="none"/>
                <w:u w:val="single"/>
                <w:lang w:eastAsia="zh-CN"/>
              </w:rPr>
              <w:t>）</w:t>
            </w:r>
            <w:r>
              <w:rPr>
                <w:rFonts w:hint="eastAsia" w:hAnsi="宋体" w:cs="宋体"/>
                <w:color w:val="auto"/>
                <w:highlight w:val="none"/>
                <w:u w:val="single"/>
                <w:lang w:val="en-US" w:eastAsia="zh-CN"/>
              </w:rPr>
              <w:t>。</w:t>
            </w:r>
          </w:p>
        </w:tc>
      </w:tr>
      <w:tr w14:paraId="2A6B65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2BC53821">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ascii="宋体" w:hAnsi="宋体" w:cs="宋体"/>
                <w:color w:val="auto"/>
                <w:sz w:val="24"/>
                <w:highlight w:val="none"/>
              </w:rPr>
            </w:pPr>
            <w:r>
              <w:rPr>
                <w:rFonts w:hint="eastAsia" w:ascii="宋体" w:hAnsi="宋体" w:cs="宋体"/>
                <w:color w:val="auto"/>
                <w:sz w:val="24"/>
                <w:highlight w:val="none"/>
              </w:rPr>
              <w:t>10</w:t>
            </w:r>
          </w:p>
        </w:tc>
        <w:tc>
          <w:tcPr>
            <w:tcW w:w="1788" w:type="dxa"/>
            <w:tcBorders>
              <w:top w:val="single" w:color="000000" w:sz="8" w:space="0"/>
              <w:left w:val="single" w:color="000000" w:sz="2" w:space="0"/>
              <w:bottom w:val="single" w:color="000000" w:sz="8" w:space="0"/>
              <w:right w:val="single" w:color="000000" w:sz="8" w:space="0"/>
            </w:tcBorders>
            <w:vAlign w:val="center"/>
          </w:tcPr>
          <w:p w14:paraId="67F86CE1">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ascii="宋体" w:hAnsi="宋体" w:cs="宋体"/>
                <w:b/>
                <w:color w:val="auto"/>
                <w:sz w:val="24"/>
                <w:highlight w:val="none"/>
              </w:rPr>
            </w:pPr>
            <w:r>
              <w:rPr>
                <w:rFonts w:hint="eastAsia" w:ascii="宋体" w:hAnsi="宋体" w:cs="宋体"/>
                <w:b/>
                <w:color w:val="auto"/>
                <w:sz w:val="24"/>
                <w:highlight w:val="none"/>
              </w:rPr>
              <w:t>报价要求</w:t>
            </w:r>
          </w:p>
        </w:tc>
        <w:tc>
          <w:tcPr>
            <w:tcW w:w="6150" w:type="dxa"/>
            <w:tcBorders>
              <w:top w:val="single" w:color="000000" w:sz="8" w:space="0"/>
              <w:left w:val="single" w:color="000000" w:sz="2" w:space="0"/>
              <w:bottom w:val="single" w:color="000000" w:sz="8" w:space="0"/>
              <w:right w:val="single" w:color="000000" w:sz="8" w:space="0"/>
            </w:tcBorders>
            <w:vAlign w:val="center"/>
          </w:tcPr>
          <w:p w14:paraId="3A4F0251">
            <w:pPr>
              <w:keepNext w:val="0"/>
              <w:keepLines w:val="0"/>
              <w:pageBreakBefore w:val="0"/>
              <w:widowControl w:val="0"/>
              <w:kinsoku/>
              <w:wordWrap/>
              <w:overflowPunct/>
              <w:topLinePunct w:val="0"/>
              <w:autoSpaceDE/>
              <w:autoSpaceDN/>
              <w:bidi w:val="0"/>
              <w:adjustRightInd w:val="0"/>
              <w:snapToGrid w:val="0"/>
              <w:spacing w:line="312" w:lineRule="auto"/>
              <w:jc w:val="left"/>
              <w:textAlignment w:val="auto"/>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有关本项目实施所需的所有费用（含税费）均计入报价。</w:t>
            </w:r>
            <w:r>
              <w:rPr>
                <w:rFonts w:hint="eastAsia" w:ascii="宋体" w:hAnsi="宋体" w:cs="宋体"/>
                <w:b/>
                <w:bCs/>
                <w:color w:val="auto"/>
                <w:kern w:val="0"/>
                <w:sz w:val="24"/>
                <w:highlight w:val="none"/>
                <w:lang w:val="zh-CN"/>
              </w:rPr>
              <w:t>投标文件</w:t>
            </w:r>
            <w:r>
              <w:rPr>
                <w:rFonts w:hint="eastAsia" w:ascii="宋体" w:hAnsi="宋体" w:cs="宋体"/>
                <w:b/>
                <w:bCs/>
                <w:color w:val="auto"/>
                <w:sz w:val="24"/>
                <w:highlight w:val="none"/>
              </w:rPr>
              <w:t>开标一览表（报价表）是报价的唯一载体，如投标人在</w:t>
            </w:r>
            <w:r>
              <w:rPr>
                <w:rFonts w:hint="eastAsia" w:ascii="宋体" w:hAnsi="宋体" w:cs="宋体"/>
                <w:b/>
                <w:bCs/>
                <w:color w:val="auto"/>
                <w:sz w:val="24"/>
                <w:highlight w:val="none"/>
                <w:lang w:eastAsia="zh-CN"/>
              </w:rPr>
              <w:t>乐采云平台</w:t>
            </w:r>
            <w:r>
              <w:rPr>
                <w:rFonts w:hint="eastAsia" w:ascii="宋体" w:hAnsi="宋体" w:cs="宋体"/>
                <w:b/>
                <w:bCs/>
                <w:color w:val="auto"/>
                <w:sz w:val="24"/>
                <w:highlight w:val="none"/>
              </w:rPr>
              <w:t>填写的投标报价与投标文件报价文件中开标一览表（报价表）不一致的，以报价文件中开标一览表（报价表）为准。</w:t>
            </w:r>
            <w:r>
              <w:rPr>
                <w:rFonts w:hint="eastAsia" w:ascii="宋体" w:hAnsi="宋体" w:cs="宋体"/>
                <w:color w:val="auto"/>
                <w:kern w:val="0"/>
                <w:sz w:val="24"/>
                <w:highlight w:val="none"/>
                <w:lang w:val="zh-CN"/>
              </w:rPr>
              <w:t>投标文件中价格全部采用人民币报价。招标文件未列明，而投标人认为必需的费用也需列入报价。</w:t>
            </w:r>
            <w:r>
              <w:rPr>
                <w:rFonts w:hint="eastAsia" w:ascii="宋体" w:hAnsi="宋体" w:cs="宋体"/>
                <w:b/>
                <w:color w:val="auto"/>
                <w:kern w:val="0"/>
                <w:sz w:val="24"/>
                <w:highlight w:val="none"/>
                <w:lang w:val="zh-CN"/>
              </w:rPr>
              <w:t>提醒：验收时检测费用由采购人承担，不包含在投标总价中。</w:t>
            </w:r>
          </w:p>
          <w:p w14:paraId="2485553C">
            <w:pPr>
              <w:keepNext w:val="0"/>
              <w:keepLines w:val="0"/>
              <w:pageBreakBefore w:val="0"/>
              <w:widowControl w:val="0"/>
              <w:kinsoku/>
              <w:wordWrap/>
              <w:overflowPunct/>
              <w:topLinePunct w:val="0"/>
              <w:autoSpaceDE/>
              <w:autoSpaceDN/>
              <w:bidi w:val="0"/>
              <w:adjustRightInd w:val="0"/>
              <w:snapToGrid w:val="0"/>
              <w:spacing w:line="312" w:lineRule="auto"/>
              <w:jc w:val="left"/>
              <w:textAlignment w:val="auto"/>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投标报价出现下列情形的，投标无效：</w:t>
            </w:r>
          </w:p>
          <w:p w14:paraId="3647FEC5">
            <w:pPr>
              <w:keepNext w:val="0"/>
              <w:keepLines w:val="0"/>
              <w:pageBreakBefore w:val="0"/>
              <w:widowControl w:val="0"/>
              <w:kinsoku/>
              <w:wordWrap/>
              <w:overflowPunct/>
              <w:topLinePunct w:val="0"/>
              <w:autoSpaceDE/>
              <w:autoSpaceDN/>
              <w:bidi w:val="0"/>
              <w:adjustRightInd w:val="0"/>
              <w:snapToGrid w:val="0"/>
              <w:spacing w:line="312" w:lineRule="auto"/>
              <w:ind w:firstLine="241" w:firstLineChars="100"/>
              <w:jc w:val="left"/>
              <w:textAlignment w:val="auto"/>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投标文件出现不是唯一的、有选择性投标报价的；</w:t>
            </w:r>
          </w:p>
          <w:p w14:paraId="1A5964A7">
            <w:pPr>
              <w:keepNext w:val="0"/>
              <w:keepLines w:val="0"/>
              <w:pageBreakBefore w:val="0"/>
              <w:widowControl w:val="0"/>
              <w:kinsoku/>
              <w:wordWrap/>
              <w:overflowPunct/>
              <w:topLinePunct w:val="0"/>
              <w:autoSpaceDE/>
              <w:autoSpaceDN/>
              <w:bidi w:val="0"/>
              <w:adjustRightInd w:val="0"/>
              <w:snapToGrid w:val="0"/>
              <w:spacing w:line="312" w:lineRule="auto"/>
              <w:ind w:firstLine="241" w:firstLineChars="100"/>
              <w:jc w:val="left"/>
              <w:textAlignment w:val="auto"/>
              <w:rPr>
                <w:rFonts w:ascii="宋体" w:hAnsi="宋体" w:cs="宋体"/>
                <w:color w:val="auto"/>
                <w:kern w:val="0"/>
                <w:sz w:val="24"/>
                <w:highlight w:val="none"/>
                <w:lang w:val="zh-CN"/>
              </w:rPr>
            </w:pPr>
            <w:r>
              <w:rPr>
                <w:rFonts w:hint="eastAsia" w:ascii="宋体" w:hAnsi="宋体" w:cs="宋体"/>
                <w:b/>
                <w:color w:val="auto"/>
                <w:kern w:val="0"/>
                <w:sz w:val="24"/>
                <w:highlight w:val="none"/>
                <w:lang w:val="zh-CN"/>
              </w:rPr>
              <w:t>投标报价超过招标文件中规定的预算金额或者最高限价的;</w:t>
            </w:r>
          </w:p>
          <w:p w14:paraId="065EB9A2">
            <w:pPr>
              <w:keepNext w:val="0"/>
              <w:keepLines w:val="0"/>
              <w:pageBreakBefore w:val="0"/>
              <w:widowControl w:val="0"/>
              <w:kinsoku/>
              <w:wordWrap/>
              <w:overflowPunct/>
              <w:topLinePunct w:val="0"/>
              <w:autoSpaceDE/>
              <w:autoSpaceDN/>
              <w:bidi w:val="0"/>
              <w:adjustRightInd w:val="0"/>
              <w:spacing w:line="312" w:lineRule="auto"/>
              <w:ind w:firstLine="241" w:firstLineChars="100"/>
              <w:textAlignment w:val="auto"/>
              <w:rPr>
                <w:rFonts w:ascii="宋体" w:hAnsi="宋体" w:cs="宋体"/>
                <w:b/>
                <w:color w:val="auto"/>
                <w:sz w:val="24"/>
                <w:highlight w:val="none"/>
              </w:rPr>
            </w:pPr>
            <w:r>
              <w:rPr>
                <w:rFonts w:hint="eastAsia" w:ascii="宋体" w:hAnsi="宋体" w:cs="宋体"/>
                <w:b/>
                <w:color w:val="auto"/>
                <w:kern w:val="0"/>
                <w:sz w:val="24"/>
                <w:highlight w:val="none"/>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auto"/>
                <w:sz w:val="24"/>
                <w:szCs w:val="21"/>
                <w:highlight w:val="none"/>
              </w:rPr>
              <w:t>;</w:t>
            </w:r>
          </w:p>
          <w:p w14:paraId="2A3438F8">
            <w:pPr>
              <w:keepNext w:val="0"/>
              <w:keepLines w:val="0"/>
              <w:pageBreakBefore w:val="0"/>
              <w:widowControl w:val="0"/>
              <w:kinsoku/>
              <w:wordWrap/>
              <w:overflowPunct/>
              <w:topLinePunct w:val="0"/>
              <w:autoSpaceDE/>
              <w:autoSpaceDN/>
              <w:bidi w:val="0"/>
              <w:adjustRightInd w:val="0"/>
              <w:spacing w:line="312" w:lineRule="auto"/>
              <w:ind w:firstLine="241" w:firstLineChars="100"/>
              <w:textAlignment w:val="auto"/>
              <w:rPr>
                <w:rFonts w:ascii="宋体" w:hAnsi="宋体" w:cs="宋体"/>
                <w:color w:val="auto"/>
                <w:sz w:val="24"/>
                <w:highlight w:val="none"/>
              </w:rPr>
            </w:pPr>
            <w:r>
              <w:rPr>
                <w:rFonts w:hint="eastAsia" w:ascii="宋体" w:hAnsi="宋体" w:cs="宋体"/>
                <w:b/>
                <w:color w:val="auto"/>
                <w:kern w:val="0"/>
                <w:sz w:val="24"/>
                <w:highlight w:val="none"/>
              </w:rPr>
              <w:t>投标人对根据修正原则修正后的报价不确认的</w:t>
            </w:r>
            <w:r>
              <w:rPr>
                <w:rFonts w:hint="eastAsia" w:ascii="宋体" w:hAnsi="宋体" w:cs="宋体"/>
                <w:b/>
                <w:color w:val="auto"/>
                <w:sz w:val="24"/>
                <w:highlight w:val="none"/>
              </w:rPr>
              <w:t>。</w:t>
            </w:r>
          </w:p>
        </w:tc>
      </w:tr>
      <w:tr w14:paraId="478A70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594B5F49">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1</w:t>
            </w:r>
          </w:p>
        </w:tc>
        <w:tc>
          <w:tcPr>
            <w:tcW w:w="1788" w:type="dxa"/>
            <w:tcBorders>
              <w:top w:val="single" w:color="000000" w:sz="8" w:space="0"/>
              <w:left w:val="single" w:color="000000" w:sz="2" w:space="0"/>
              <w:bottom w:val="single" w:color="000000" w:sz="8" w:space="0"/>
              <w:right w:val="single" w:color="000000" w:sz="8" w:space="0"/>
            </w:tcBorders>
            <w:vAlign w:val="center"/>
          </w:tcPr>
          <w:p w14:paraId="71E0D6E5">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ascii="宋体" w:hAnsi="宋体" w:cs="宋体"/>
                <w:b/>
                <w:color w:val="auto"/>
                <w:sz w:val="24"/>
                <w:highlight w:val="none"/>
              </w:rPr>
            </w:pPr>
            <w:r>
              <w:rPr>
                <w:rFonts w:hint="eastAsia" w:ascii="宋体" w:hAnsi="宋体" w:cs="宋体"/>
                <w:b/>
                <w:color w:val="auto"/>
                <w:sz w:val="24"/>
                <w:highlight w:val="none"/>
              </w:rPr>
              <w:t xml:space="preserve">备份投标文件送达地点和签收人员 </w:t>
            </w:r>
          </w:p>
        </w:tc>
        <w:tc>
          <w:tcPr>
            <w:tcW w:w="6150" w:type="dxa"/>
            <w:tcBorders>
              <w:top w:val="single" w:color="000000" w:sz="8" w:space="0"/>
              <w:left w:val="single" w:color="000000" w:sz="2" w:space="0"/>
              <w:bottom w:val="single" w:color="000000" w:sz="8" w:space="0"/>
              <w:right w:val="single" w:color="000000" w:sz="8" w:space="0"/>
            </w:tcBorders>
            <w:vAlign w:val="center"/>
          </w:tcPr>
          <w:p w14:paraId="3C10808C">
            <w:pPr>
              <w:pStyle w:val="36"/>
              <w:keepNext w:val="0"/>
              <w:keepLines w:val="0"/>
              <w:pageBreakBefore w:val="0"/>
              <w:widowControl w:val="0"/>
              <w:kinsoku/>
              <w:wordWrap/>
              <w:overflowPunct/>
              <w:topLinePunct w:val="0"/>
              <w:autoSpaceDE/>
              <w:autoSpaceDN/>
              <w:bidi w:val="0"/>
              <w:adjustRightInd w:val="0"/>
              <w:spacing w:line="312" w:lineRule="auto"/>
              <w:textAlignment w:val="auto"/>
              <w:rPr>
                <w:rFonts w:hAnsi="宋体" w:cs="宋体"/>
                <w:color w:val="auto"/>
                <w:kern w:val="28"/>
                <w:sz w:val="24"/>
                <w:highlight w:val="none"/>
              </w:rPr>
            </w:pPr>
            <w:r>
              <w:rPr>
                <w:rFonts w:hint="eastAsia" w:ascii="宋体" w:hAnsi="宋体" w:eastAsia="宋体" w:cs="宋体"/>
                <w:color w:val="auto"/>
                <w:kern w:val="28"/>
                <w:sz w:val="24"/>
                <w:szCs w:val="24"/>
                <w:highlight w:val="none"/>
              </w:rPr>
              <w:t>备份投标文件送达地点：</w:t>
            </w:r>
            <w:r>
              <w:rPr>
                <w:rFonts w:hint="eastAsia" w:hAnsi="宋体" w:cs="宋体"/>
                <w:color w:val="auto"/>
                <w:sz w:val="24"/>
                <w:highlight w:val="none"/>
                <w:u w:val="single"/>
              </w:rPr>
              <w:t>杭州市拱墅区绍兴路538号三立时代广场A座1206室</w:t>
            </w:r>
            <w:r>
              <w:rPr>
                <w:rFonts w:hint="eastAsia" w:ascii="宋体" w:hAnsi="宋体" w:eastAsia="宋体" w:cs="宋体"/>
                <w:color w:val="auto"/>
                <w:kern w:val="28"/>
                <w:sz w:val="24"/>
                <w:szCs w:val="24"/>
                <w:highlight w:val="none"/>
              </w:rPr>
              <w:t>；备份投标文件签收人员联系电话：</w:t>
            </w:r>
            <w:r>
              <w:rPr>
                <w:rFonts w:hint="eastAsia" w:hAnsi="宋体" w:cs="宋体"/>
                <w:color w:val="auto"/>
                <w:sz w:val="24"/>
                <w:highlight w:val="none"/>
                <w:u w:val="single"/>
                <w:lang w:val="en-US" w:eastAsia="zh-CN"/>
              </w:rPr>
              <w:t>鲁工，13396593621</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采购人、采购机构不强制或变相强制投标人提交备份投标文件。</w:t>
            </w:r>
          </w:p>
        </w:tc>
      </w:tr>
      <w:tr w14:paraId="68740B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8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05E62278">
            <w:pPr>
              <w:keepNext w:val="0"/>
              <w:keepLines w:val="0"/>
              <w:pageBreakBefore w:val="0"/>
              <w:widowControl w:val="0"/>
              <w:kinsoku/>
              <w:wordWrap/>
              <w:overflowPunct/>
              <w:topLinePunct w:val="0"/>
              <w:bidi w:val="0"/>
              <w:adjustRightInd w:val="0"/>
              <w:snapToGrid/>
              <w:spacing w:after="0" w:line="26" w:lineRule="atLeas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2</w:t>
            </w:r>
          </w:p>
        </w:tc>
        <w:tc>
          <w:tcPr>
            <w:tcW w:w="1788" w:type="dxa"/>
            <w:tcBorders>
              <w:top w:val="single" w:color="000000" w:sz="8" w:space="0"/>
              <w:left w:val="single" w:color="000000" w:sz="2" w:space="0"/>
              <w:bottom w:val="single" w:color="000000" w:sz="8" w:space="0"/>
              <w:right w:val="single" w:color="000000" w:sz="8" w:space="0"/>
            </w:tcBorders>
            <w:vAlign w:val="center"/>
          </w:tcPr>
          <w:p w14:paraId="5ED9A36C">
            <w:pPr>
              <w:keepNext w:val="0"/>
              <w:keepLines w:val="0"/>
              <w:pageBreakBefore w:val="0"/>
              <w:widowControl w:val="0"/>
              <w:kinsoku/>
              <w:wordWrap/>
              <w:overflowPunct/>
              <w:topLinePunct w:val="0"/>
              <w:bidi w:val="0"/>
              <w:adjustRightInd w:val="0"/>
              <w:snapToGrid/>
              <w:spacing w:after="0" w:line="26" w:lineRule="atLeas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color w:val="auto"/>
                <w:sz w:val="24"/>
                <w:szCs w:val="24"/>
                <w:highlight w:val="none"/>
              </w:rPr>
              <w:t>资格审查和信用信息审查</w:t>
            </w:r>
          </w:p>
        </w:tc>
        <w:tc>
          <w:tcPr>
            <w:tcW w:w="6150" w:type="dxa"/>
            <w:tcBorders>
              <w:top w:val="single" w:color="000000" w:sz="8" w:space="0"/>
              <w:left w:val="single" w:color="000000" w:sz="2" w:space="0"/>
              <w:bottom w:val="single" w:color="000000" w:sz="8" w:space="0"/>
              <w:right w:val="single" w:color="000000" w:sz="8" w:space="0"/>
            </w:tcBorders>
            <w:vAlign w:val="center"/>
          </w:tcPr>
          <w:p w14:paraId="12AC0914">
            <w:pPr>
              <w:keepNext w:val="0"/>
              <w:keepLines w:val="0"/>
              <w:pageBreakBefore w:val="0"/>
              <w:widowControl w:val="0"/>
              <w:kinsoku/>
              <w:wordWrap/>
              <w:overflowPunct/>
              <w:topLinePunct w:val="0"/>
              <w:autoSpaceDE/>
              <w:autoSpaceDN/>
              <w:bidi w:val="0"/>
              <w:adjustRightInd w:val="0"/>
              <w:snapToGrid/>
              <w:spacing w:after="0" w:line="312"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本项目由采购人进行资格</w:t>
            </w:r>
            <w:r>
              <w:rPr>
                <w:rFonts w:hint="eastAsia" w:ascii="宋体" w:hAnsi="宋体" w:cs="宋体"/>
                <w:color w:val="auto"/>
                <w:sz w:val="24"/>
                <w:szCs w:val="24"/>
                <w:highlight w:val="none"/>
                <w:lang w:eastAsia="zh-CN"/>
              </w:rPr>
              <w:t>审查</w:t>
            </w:r>
            <w:r>
              <w:rPr>
                <w:rFonts w:hint="eastAsia" w:ascii="宋体" w:hAnsi="宋体" w:eastAsia="宋体" w:cs="宋体"/>
                <w:color w:val="auto"/>
                <w:sz w:val="24"/>
                <w:szCs w:val="24"/>
                <w:highlight w:val="none"/>
              </w:rPr>
              <w:t>及信用信息查询。</w:t>
            </w:r>
          </w:p>
        </w:tc>
      </w:tr>
      <w:tr w14:paraId="3A504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034B778B">
            <w:pPr>
              <w:keepNext w:val="0"/>
              <w:keepLines w:val="0"/>
              <w:pageBreakBefore w:val="0"/>
              <w:widowControl w:val="0"/>
              <w:kinsoku/>
              <w:wordWrap/>
              <w:overflowPunct/>
              <w:topLinePunct w:val="0"/>
              <w:bidi w:val="0"/>
              <w:adjustRightInd w:val="0"/>
              <w:snapToGrid/>
              <w:spacing w:after="0" w:line="26" w:lineRule="atLeas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3</w:t>
            </w:r>
          </w:p>
        </w:tc>
        <w:tc>
          <w:tcPr>
            <w:tcW w:w="1788" w:type="dxa"/>
            <w:tcBorders>
              <w:top w:val="single" w:color="000000" w:sz="8" w:space="0"/>
              <w:left w:val="single" w:color="000000" w:sz="2" w:space="0"/>
              <w:bottom w:val="single" w:color="000000" w:sz="8" w:space="0"/>
              <w:right w:val="single" w:color="000000" w:sz="8" w:space="0"/>
            </w:tcBorders>
            <w:vAlign w:val="center"/>
          </w:tcPr>
          <w:p w14:paraId="6E2D61B2">
            <w:pPr>
              <w:keepNext w:val="0"/>
              <w:keepLines w:val="0"/>
              <w:pageBreakBefore w:val="0"/>
              <w:widowControl w:val="0"/>
              <w:kinsoku/>
              <w:wordWrap/>
              <w:overflowPunct/>
              <w:topLinePunct w:val="0"/>
              <w:bidi w:val="0"/>
              <w:adjustRightInd w:val="0"/>
              <w:snapToGrid/>
              <w:spacing w:after="0" w:line="26" w:lineRule="atLeas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质疑接收人及答复</w:t>
            </w:r>
          </w:p>
        </w:tc>
        <w:tc>
          <w:tcPr>
            <w:tcW w:w="6150" w:type="dxa"/>
            <w:tcBorders>
              <w:top w:val="single" w:color="000000" w:sz="8" w:space="0"/>
              <w:left w:val="single" w:color="000000" w:sz="2" w:space="0"/>
              <w:bottom w:val="single" w:color="000000" w:sz="8" w:space="0"/>
              <w:right w:val="single" w:color="000000" w:sz="8" w:space="0"/>
            </w:tcBorders>
            <w:vAlign w:val="center"/>
          </w:tcPr>
          <w:p w14:paraId="0649FB74">
            <w:pPr>
              <w:keepNext w:val="0"/>
              <w:keepLines w:val="0"/>
              <w:pageBreakBefore w:val="0"/>
              <w:widowControl w:val="0"/>
              <w:kinsoku/>
              <w:wordWrap/>
              <w:overflowPunct/>
              <w:topLinePunct w:val="0"/>
              <w:autoSpaceDE/>
              <w:autoSpaceDN/>
              <w:bidi w:val="0"/>
              <w:adjustRightInd w:val="0"/>
              <w:snapToGrid/>
              <w:spacing w:after="0" w:line="312"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采购人、采购机构质疑接收人、联系方式：详见公告</w:t>
            </w:r>
          </w:p>
          <w:p w14:paraId="3B38044E">
            <w:pPr>
              <w:keepNext w:val="0"/>
              <w:keepLines w:val="0"/>
              <w:pageBreakBefore w:val="0"/>
              <w:widowControl w:val="0"/>
              <w:kinsoku/>
              <w:wordWrap/>
              <w:overflowPunct/>
              <w:topLinePunct w:val="0"/>
              <w:autoSpaceDE/>
              <w:autoSpaceDN/>
              <w:bidi w:val="0"/>
              <w:adjustRightInd w:val="0"/>
              <w:snapToGrid/>
              <w:spacing w:after="0" w:line="312"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线上提交质疑方式：</w:t>
            </w:r>
            <w:r>
              <w:rPr>
                <w:rFonts w:hint="eastAsia" w:ascii="宋体" w:hAnsi="宋体" w:cs="宋体"/>
                <w:b/>
                <w:color w:val="auto"/>
                <w:sz w:val="24"/>
                <w:szCs w:val="24"/>
                <w:highlight w:val="none"/>
                <w:lang w:eastAsia="zh-CN"/>
              </w:rPr>
              <w:t>乐采云</w:t>
            </w:r>
            <w:r>
              <w:rPr>
                <w:rFonts w:hint="eastAsia" w:ascii="宋体" w:hAnsi="宋体" w:eastAsia="宋体" w:cs="宋体"/>
                <w:b/>
                <w:color w:val="auto"/>
                <w:sz w:val="24"/>
                <w:szCs w:val="24"/>
                <w:highlight w:val="none"/>
              </w:rPr>
              <w:t>线上质疑路径：项目采购-询问质疑投诉-质疑列表。请使用ca签章在每一页质疑文件中加盖电子公章，上传完整附件。</w:t>
            </w:r>
          </w:p>
          <w:p w14:paraId="50FFD6F6">
            <w:pPr>
              <w:keepNext w:val="0"/>
              <w:keepLines w:val="0"/>
              <w:pageBreakBefore w:val="0"/>
              <w:widowControl w:val="0"/>
              <w:kinsoku/>
              <w:wordWrap/>
              <w:overflowPunct/>
              <w:topLinePunct w:val="0"/>
              <w:autoSpaceDE/>
              <w:autoSpaceDN/>
              <w:bidi w:val="0"/>
              <w:adjustRightInd w:val="0"/>
              <w:snapToGrid/>
              <w:spacing w:after="0"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本项目涉及资格条件、采购需求、评分办法及采购过程中有关现场考察或开标前答疑会等事项由采购人进行答复。</w:t>
            </w:r>
          </w:p>
          <w:p w14:paraId="75B034A6">
            <w:pPr>
              <w:keepNext w:val="0"/>
              <w:keepLines w:val="0"/>
              <w:pageBreakBefore w:val="0"/>
              <w:widowControl w:val="0"/>
              <w:kinsoku/>
              <w:wordWrap/>
              <w:overflowPunct/>
              <w:topLinePunct w:val="0"/>
              <w:autoSpaceDE/>
              <w:autoSpaceDN/>
              <w:bidi w:val="0"/>
              <w:adjustRightInd w:val="0"/>
              <w:snapToGrid/>
              <w:spacing w:after="0" w:line="312"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涉及流程规范性、组织程序等相关事项，由采购机构进行答复。</w:t>
            </w:r>
          </w:p>
        </w:tc>
      </w:tr>
      <w:tr w14:paraId="0C7A9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0FBA95B5">
            <w:pPr>
              <w:keepNext w:val="0"/>
              <w:keepLines w:val="0"/>
              <w:pageBreakBefore w:val="0"/>
              <w:widowControl w:val="0"/>
              <w:kinsoku/>
              <w:wordWrap/>
              <w:overflowPunct/>
              <w:topLinePunct w:val="0"/>
              <w:bidi w:val="0"/>
              <w:adjustRightInd w:val="0"/>
              <w:snapToGrid/>
              <w:spacing w:after="0" w:line="26" w:lineRule="atLeast"/>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w:t>
            </w:r>
          </w:p>
        </w:tc>
        <w:tc>
          <w:tcPr>
            <w:tcW w:w="1788" w:type="dxa"/>
            <w:tcBorders>
              <w:top w:val="single" w:color="000000" w:sz="8" w:space="0"/>
              <w:left w:val="single" w:color="000000" w:sz="2" w:space="0"/>
              <w:bottom w:val="single" w:color="000000" w:sz="8" w:space="0"/>
              <w:right w:val="single" w:color="000000" w:sz="8" w:space="0"/>
            </w:tcBorders>
            <w:vAlign w:val="center"/>
          </w:tcPr>
          <w:p w14:paraId="04EADCB6">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采购代理服务费</w:t>
            </w:r>
          </w:p>
        </w:tc>
        <w:tc>
          <w:tcPr>
            <w:tcW w:w="6150" w:type="dxa"/>
            <w:tcBorders>
              <w:top w:val="single" w:color="000000" w:sz="8" w:space="0"/>
              <w:left w:val="single" w:color="000000" w:sz="2" w:space="0"/>
              <w:bottom w:val="single" w:color="000000" w:sz="8" w:space="0"/>
              <w:right w:val="single" w:color="000000" w:sz="8" w:space="0"/>
            </w:tcBorders>
            <w:vAlign w:val="center"/>
          </w:tcPr>
          <w:p w14:paraId="6C3A0511">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本项目的采购代理费由中标人支付。计费标准：</w:t>
            </w:r>
          </w:p>
          <w:p w14:paraId="28C8FC2A">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以中标（成交）金额为计费基准，</w:t>
            </w:r>
            <w:r>
              <w:rPr>
                <w:rFonts w:hint="eastAsia" w:ascii="宋体" w:hAnsi="宋体" w:eastAsia="宋体" w:cs="宋体"/>
                <w:b/>
                <w:color w:val="auto"/>
                <w:sz w:val="24"/>
                <w:szCs w:val="24"/>
                <w:highlight w:val="none"/>
                <w:u w:val="single"/>
              </w:rPr>
              <w:t>按国家计委 [2002］1980号文件</w:t>
            </w:r>
            <w:r>
              <w:rPr>
                <w:rFonts w:hint="eastAsia" w:ascii="宋体" w:hAnsi="宋体" w:eastAsia="宋体" w:cs="宋体"/>
                <w:color w:val="auto"/>
                <w:sz w:val="24"/>
                <w:szCs w:val="24"/>
                <w:highlight w:val="none"/>
              </w:rPr>
              <w:t>标准</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0%向中标人收取，</w:t>
            </w:r>
            <w:r>
              <w:rPr>
                <w:rFonts w:hint="eastAsia" w:ascii="宋体" w:hAnsi="宋体" w:eastAsia="宋体" w:cs="宋体"/>
                <w:color w:val="auto"/>
                <w:sz w:val="24"/>
                <w:highlight w:val="none"/>
              </w:rPr>
              <w:t>即：</w:t>
            </w:r>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0"/>
              <w:gridCol w:w="1980"/>
            </w:tblGrid>
            <w:tr w14:paraId="285C6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0" w:type="dxa"/>
                  <w:noWrap w:val="0"/>
                  <w:vAlign w:val="top"/>
                </w:tcPr>
                <w:p w14:paraId="4F1AB3C1">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中标金额</w:t>
                  </w:r>
                </w:p>
              </w:tc>
              <w:tc>
                <w:tcPr>
                  <w:tcW w:w="1980" w:type="dxa"/>
                  <w:noWrap w:val="0"/>
                  <w:vAlign w:val="top"/>
                </w:tcPr>
                <w:p w14:paraId="2B89FC93">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标准费率</w:t>
                  </w:r>
                </w:p>
              </w:tc>
            </w:tr>
            <w:tr w14:paraId="7556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0" w:type="dxa"/>
                  <w:noWrap w:val="0"/>
                  <w:vAlign w:val="top"/>
                </w:tcPr>
                <w:p w14:paraId="553A3BC3">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≤100万元</w:t>
                  </w:r>
                </w:p>
              </w:tc>
              <w:tc>
                <w:tcPr>
                  <w:tcW w:w="1980" w:type="dxa"/>
                  <w:noWrap w:val="0"/>
                  <w:vAlign w:val="top"/>
                </w:tcPr>
                <w:p w14:paraId="6D200033">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1.5%</w:t>
                  </w:r>
                </w:p>
              </w:tc>
            </w:tr>
            <w:tr w14:paraId="43D4F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0" w:type="dxa"/>
                  <w:noWrap w:val="0"/>
                  <w:vAlign w:val="top"/>
                </w:tcPr>
                <w:p w14:paraId="4C23DC24">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100万元-500万元</w:t>
                  </w:r>
                </w:p>
              </w:tc>
              <w:tc>
                <w:tcPr>
                  <w:tcW w:w="1980" w:type="dxa"/>
                  <w:noWrap w:val="0"/>
                  <w:vAlign w:val="top"/>
                </w:tcPr>
                <w:p w14:paraId="49E00346">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r>
            <w:tr w14:paraId="09AA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0" w:type="dxa"/>
                  <w:noWrap w:val="0"/>
                  <w:vAlign w:val="top"/>
                </w:tcPr>
                <w:p w14:paraId="4287FF63">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500-1000万元</w:t>
                  </w:r>
                </w:p>
              </w:tc>
              <w:tc>
                <w:tcPr>
                  <w:tcW w:w="1980" w:type="dxa"/>
                  <w:noWrap w:val="0"/>
                  <w:vAlign w:val="top"/>
                </w:tcPr>
                <w:p w14:paraId="2DCE6B3E">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0.8%</w:t>
                  </w:r>
                </w:p>
              </w:tc>
            </w:tr>
          </w:tbl>
          <w:p w14:paraId="623F688C">
            <w:pPr>
              <w:numPr>
                <w:ilvl w:val="0"/>
                <w:numId w:val="4"/>
              </w:num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结算方式及时间为：在领取中标通知书时由中标人一次性向招标代理机构付清。</w:t>
            </w:r>
          </w:p>
          <w:p w14:paraId="21CFED98">
            <w:pPr>
              <w:adjustRightInd w:val="0"/>
              <w:snapToGri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代理费账户：</w:t>
            </w:r>
          </w:p>
          <w:p w14:paraId="1D10E360">
            <w:pPr>
              <w:adjustRightInd w:val="0"/>
              <w:snapToGrid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收款单位（户名）:</w:t>
            </w:r>
            <w:r>
              <w:rPr>
                <w:rFonts w:hint="eastAsia" w:ascii="宋体" w:hAnsi="宋体" w:eastAsia="宋体" w:cs="宋体"/>
                <w:color w:val="auto"/>
                <w:sz w:val="24"/>
                <w:highlight w:val="none"/>
                <w:lang w:eastAsia="zh-CN"/>
              </w:rPr>
              <w:t>浙江省房地产管理咨询有限公司</w:t>
            </w:r>
          </w:p>
          <w:p w14:paraId="68298ABE">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r>
              <w:rPr>
                <w:rFonts w:hint="eastAsia" w:ascii="宋体" w:hAnsi="宋体" w:eastAsia="宋体" w:cs="宋体"/>
                <w:color w:val="auto"/>
                <w:kern w:val="28"/>
                <w:sz w:val="24"/>
                <w:szCs w:val="24"/>
                <w:highlight w:val="none"/>
              </w:rPr>
              <w:t>杭州银行保俶支行</w:t>
            </w:r>
          </w:p>
          <w:p w14:paraId="71962AD8">
            <w:pPr>
              <w:pStyle w:val="36"/>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银行账号：</w:t>
            </w:r>
            <w:r>
              <w:rPr>
                <w:rFonts w:hint="eastAsia" w:ascii="宋体" w:hAnsi="宋体" w:eastAsia="宋体" w:cs="宋体"/>
                <w:color w:val="auto"/>
                <w:kern w:val="28"/>
                <w:sz w:val="24"/>
                <w:szCs w:val="24"/>
                <w:highlight w:val="none"/>
              </w:rPr>
              <w:t>77508100150602</w:t>
            </w:r>
          </w:p>
        </w:tc>
      </w:tr>
      <w:tr w14:paraId="44BDD8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vAlign w:val="center"/>
          </w:tcPr>
          <w:p w14:paraId="29582F11">
            <w:pPr>
              <w:keepNext w:val="0"/>
              <w:keepLines w:val="0"/>
              <w:pageBreakBefore w:val="0"/>
              <w:widowControl w:val="0"/>
              <w:kinsoku/>
              <w:wordWrap/>
              <w:overflowPunct/>
              <w:topLinePunct w:val="0"/>
              <w:bidi w:val="0"/>
              <w:adjustRightInd w:val="0"/>
              <w:snapToGrid/>
              <w:spacing w:line="26" w:lineRule="atLeast"/>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15</w:t>
            </w:r>
          </w:p>
        </w:tc>
        <w:tc>
          <w:tcPr>
            <w:tcW w:w="1788" w:type="dxa"/>
            <w:vMerge w:val="restart"/>
            <w:tcBorders>
              <w:top w:val="single" w:color="000000" w:sz="8" w:space="0"/>
              <w:left w:val="single" w:color="000000" w:sz="2" w:space="0"/>
              <w:right w:val="single" w:color="000000" w:sz="8" w:space="0"/>
            </w:tcBorders>
            <w:vAlign w:val="center"/>
          </w:tcPr>
          <w:p w14:paraId="7D3DE4F7">
            <w:pPr>
              <w:keepNext w:val="0"/>
              <w:keepLines w:val="0"/>
              <w:pageBreakBefore w:val="0"/>
              <w:widowControl w:val="0"/>
              <w:kinsoku/>
              <w:wordWrap/>
              <w:overflowPunct/>
              <w:topLinePunct w:val="0"/>
              <w:bidi w:val="0"/>
              <w:adjustRightInd w:val="0"/>
              <w:snapToGrid/>
              <w:spacing w:line="26" w:lineRule="atLeas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特别说明</w:t>
            </w:r>
          </w:p>
        </w:tc>
        <w:tc>
          <w:tcPr>
            <w:tcW w:w="6150" w:type="dxa"/>
            <w:tcBorders>
              <w:top w:val="single" w:color="000000" w:sz="8" w:space="0"/>
              <w:left w:val="single" w:color="000000" w:sz="2" w:space="0"/>
              <w:bottom w:val="single" w:color="000000" w:sz="8" w:space="0"/>
              <w:right w:val="single" w:color="000000" w:sz="8" w:space="0"/>
            </w:tcBorders>
            <w:vAlign w:val="center"/>
          </w:tcPr>
          <w:p w14:paraId="3755EA66">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sym w:font="Wingdings 2" w:char="00A3"/>
            </w:r>
            <w:r>
              <w:rPr>
                <w:rFonts w:hint="eastAsia" w:ascii="宋体" w:hAnsi="宋体" w:eastAsia="宋体" w:cs="宋体"/>
                <w:snapToGrid w:val="0"/>
                <w:color w:val="auto"/>
                <w:kern w:val="28"/>
                <w:sz w:val="24"/>
                <w:szCs w:val="24"/>
                <w:highlight w:val="none"/>
              </w:rPr>
              <w:t>联合体投标的，联合体各方分别提供与联合体协议中规定的分工内容相应的业绩证明材料，业绩数量以提供材料较少的一方为准。</w:t>
            </w:r>
          </w:p>
          <w:p w14:paraId="723860EB">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snapToGrid w:val="0"/>
                <w:color w:val="auto"/>
                <w:kern w:val="28"/>
                <w:sz w:val="24"/>
                <w:szCs w:val="24"/>
                <w:highlight w:val="none"/>
                <w:lang w:eastAsia="zh-CN"/>
              </w:rPr>
            </w:pPr>
            <w:r>
              <w:rPr>
                <w:rFonts w:hint="eastAsia" w:ascii="宋体" w:hAnsi="宋体" w:eastAsia="宋体" w:cs="宋体"/>
                <w:snapToGrid w:val="0"/>
                <w:color w:val="auto"/>
                <w:kern w:val="28"/>
                <w:sz w:val="24"/>
                <w:szCs w:val="24"/>
                <w:highlight w:val="none"/>
              </w:rPr>
              <w:sym w:font="Wingdings 2" w:char="0052"/>
            </w:r>
            <w:r>
              <w:rPr>
                <w:rFonts w:hint="eastAsia" w:ascii="宋体" w:hAnsi="宋体" w:eastAsia="宋体" w:cs="宋体"/>
                <w:snapToGrid w:val="0"/>
                <w:color w:val="auto"/>
                <w:kern w:val="28"/>
                <w:sz w:val="24"/>
                <w:szCs w:val="24"/>
                <w:highlight w:val="none"/>
              </w:rPr>
              <w:t>联合体投标的，由联合体牵头方出具相应的业绩证明</w:t>
            </w:r>
            <w:r>
              <w:rPr>
                <w:rFonts w:hint="eastAsia" w:ascii="宋体" w:hAnsi="宋体" w:cs="宋体"/>
                <w:snapToGrid w:val="0"/>
                <w:color w:val="auto"/>
                <w:kern w:val="28"/>
                <w:sz w:val="24"/>
                <w:szCs w:val="24"/>
                <w:highlight w:val="none"/>
                <w:lang w:eastAsia="zh-CN"/>
              </w:rPr>
              <w:t>材料。</w:t>
            </w:r>
          </w:p>
        </w:tc>
      </w:tr>
      <w:tr w14:paraId="76479F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right w:val="single" w:color="000000" w:sz="2" w:space="0"/>
            </w:tcBorders>
          </w:tcPr>
          <w:p w14:paraId="55581512">
            <w:pPr>
              <w:keepNext w:val="0"/>
              <w:keepLines w:val="0"/>
              <w:pageBreakBefore w:val="0"/>
              <w:widowControl w:val="0"/>
              <w:kinsoku/>
              <w:wordWrap/>
              <w:overflowPunct/>
              <w:topLinePunct w:val="0"/>
              <w:bidi w:val="0"/>
              <w:adjustRightInd w:val="0"/>
              <w:snapToGrid/>
              <w:spacing w:line="26" w:lineRule="atLeast"/>
              <w:jc w:val="center"/>
              <w:textAlignment w:val="auto"/>
              <w:rPr>
                <w:rFonts w:hint="eastAsia" w:ascii="宋体" w:hAnsi="宋体" w:eastAsia="宋体" w:cs="宋体"/>
                <w:color w:val="auto"/>
                <w:sz w:val="24"/>
                <w:szCs w:val="24"/>
                <w:highlight w:val="none"/>
              </w:rPr>
            </w:pPr>
          </w:p>
        </w:tc>
        <w:tc>
          <w:tcPr>
            <w:tcW w:w="1788" w:type="dxa"/>
            <w:vMerge w:val="continue"/>
            <w:tcBorders>
              <w:left w:val="single" w:color="000000" w:sz="2" w:space="0"/>
              <w:right w:val="single" w:color="000000" w:sz="8" w:space="0"/>
            </w:tcBorders>
            <w:vAlign w:val="center"/>
          </w:tcPr>
          <w:p w14:paraId="51D480AD">
            <w:pPr>
              <w:keepNext w:val="0"/>
              <w:keepLines w:val="0"/>
              <w:pageBreakBefore w:val="0"/>
              <w:widowControl w:val="0"/>
              <w:kinsoku/>
              <w:wordWrap/>
              <w:overflowPunct/>
              <w:topLinePunct w:val="0"/>
              <w:bidi w:val="0"/>
              <w:adjustRightInd w:val="0"/>
              <w:snapToGrid/>
              <w:spacing w:line="26" w:lineRule="atLeast"/>
              <w:jc w:val="center"/>
              <w:textAlignment w:val="auto"/>
              <w:rPr>
                <w:rFonts w:hint="eastAsia" w:ascii="宋体" w:hAnsi="宋体" w:eastAsia="宋体" w:cs="宋体"/>
                <w:b/>
                <w:color w:val="auto"/>
                <w:sz w:val="24"/>
                <w:szCs w:val="24"/>
                <w:highlight w:val="none"/>
              </w:rPr>
            </w:pPr>
          </w:p>
        </w:tc>
        <w:tc>
          <w:tcPr>
            <w:tcW w:w="6150" w:type="dxa"/>
            <w:tcBorders>
              <w:top w:val="single" w:color="000000" w:sz="8" w:space="0"/>
              <w:left w:val="single" w:color="000000" w:sz="2" w:space="0"/>
              <w:bottom w:val="single" w:color="000000" w:sz="8" w:space="0"/>
              <w:right w:val="single" w:color="000000" w:sz="8" w:space="0"/>
            </w:tcBorders>
            <w:vAlign w:val="center"/>
          </w:tcPr>
          <w:p w14:paraId="4FA21139">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sz w:val="24"/>
                  <w:szCs w:val="24"/>
                  <w:highlight w:val="none"/>
                </w:rPr>
                <w:id w:val="-369766551"/>
                <w14:checkbox>
                  <w14:checked w14:val="0"/>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t>☐</w:t>
                </w:r>
              </w:sdtContent>
            </w:sdt>
            <w:r>
              <w:rPr>
                <w:rFonts w:hint="eastAsia" w:ascii="宋体" w:hAnsi="宋体" w:eastAsia="宋体" w:cs="宋体"/>
                <w:color w:val="auto"/>
                <w:sz w:val="24"/>
                <w:szCs w:val="24"/>
                <w:highlight w:val="none"/>
              </w:rPr>
              <w:t>联合体投标的，联合体各方均需按招标文件第四部分评标标准要求提供资信证明文件，否则视为不符合相关要求。</w:t>
            </w:r>
          </w:p>
          <w:p w14:paraId="0B6D57B2">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sz w:val="24"/>
                  <w:szCs w:val="24"/>
                  <w:highlight w:val="none"/>
                </w:rPr>
                <w:id w:val="1052570136"/>
                <w14:checkbox>
                  <w14:checked w14:val="1"/>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sym w:font="Wingdings" w:char="F0FE"/>
                </w:r>
              </w:sdtContent>
            </w:sdt>
            <w:r>
              <w:rPr>
                <w:rFonts w:hint="eastAsia" w:ascii="宋体" w:hAnsi="宋体" w:eastAsia="宋体" w:cs="宋体"/>
                <w:color w:val="auto"/>
                <w:sz w:val="24"/>
                <w:szCs w:val="24"/>
                <w:highlight w:val="none"/>
              </w:rPr>
              <w:t>联合体投标的，联合体中有一方或者联合体成员根据分工按招标文件第四部分评标标准要求提供资信证明文件的，视为符合了相关要求。</w:t>
            </w:r>
            <w:r>
              <w:rPr>
                <w:rFonts w:hint="eastAsia" w:ascii="宋体" w:hAnsi="宋体" w:eastAsia="宋体" w:cs="宋体"/>
                <w:color w:val="auto"/>
                <w:sz w:val="24"/>
                <w:szCs w:val="24"/>
                <w:highlight w:val="none"/>
              </w:rPr>
              <w:br w:type="textWrapping"/>
            </w:r>
            <w:r>
              <w:rPr>
                <w:rFonts w:hint="eastAsia" w:ascii="宋体" w:hAnsi="宋体" w:eastAsia="宋体" w:cs="宋体"/>
                <w:color w:val="auto"/>
                <w:kern w:val="0"/>
                <w:sz w:val="24"/>
                <w:szCs w:val="24"/>
                <w:highlight w:val="none"/>
              </w:rPr>
              <w:t>评审因素对应的要求视为采购需求的一部分。</w:t>
            </w:r>
          </w:p>
        </w:tc>
      </w:tr>
      <w:tr w14:paraId="20780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left w:val="single" w:color="000000" w:sz="8" w:space="0"/>
              <w:bottom w:val="single" w:color="auto" w:sz="4" w:space="0"/>
              <w:right w:val="single" w:color="000000" w:sz="2" w:space="0"/>
            </w:tcBorders>
          </w:tcPr>
          <w:p w14:paraId="194F7C63">
            <w:pPr>
              <w:keepNext w:val="0"/>
              <w:keepLines w:val="0"/>
              <w:pageBreakBefore w:val="0"/>
              <w:widowControl w:val="0"/>
              <w:kinsoku/>
              <w:wordWrap/>
              <w:overflowPunct/>
              <w:topLinePunct w:val="0"/>
              <w:bidi w:val="0"/>
              <w:adjustRightInd w:val="0"/>
              <w:snapToGrid/>
              <w:spacing w:line="26" w:lineRule="atLeast"/>
              <w:jc w:val="center"/>
              <w:textAlignment w:val="auto"/>
              <w:rPr>
                <w:rFonts w:hint="default" w:ascii="宋体" w:hAnsi="宋体" w:eastAsia="宋体" w:cs="宋体"/>
                <w:color w:val="auto"/>
                <w:sz w:val="24"/>
                <w:szCs w:val="24"/>
                <w:highlight w:val="none"/>
                <w:lang w:val="en-US" w:eastAsia="zh-CN"/>
              </w:rPr>
            </w:pPr>
            <w:bookmarkStart w:id="15" w:name="_Toc164416483"/>
            <w:bookmarkStart w:id="16" w:name="第三部分"/>
            <w:r>
              <w:rPr>
                <w:rFonts w:hint="eastAsia" w:ascii="宋体" w:hAnsi="宋体" w:cs="宋体"/>
                <w:color w:val="auto"/>
                <w:sz w:val="24"/>
                <w:szCs w:val="24"/>
                <w:highlight w:val="none"/>
                <w:lang w:val="en-US" w:eastAsia="zh-CN"/>
              </w:rPr>
              <w:t>16</w:t>
            </w:r>
          </w:p>
        </w:tc>
        <w:tc>
          <w:tcPr>
            <w:tcW w:w="1788" w:type="dxa"/>
            <w:tcBorders>
              <w:left w:val="single" w:color="000000" w:sz="2" w:space="0"/>
              <w:bottom w:val="single" w:color="000000" w:sz="8" w:space="0"/>
              <w:right w:val="single" w:color="000000" w:sz="8" w:space="0"/>
            </w:tcBorders>
            <w:vAlign w:val="center"/>
          </w:tcPr>
          <w:p w14:paraId="001C13F5">
            <w:pPr>
              <w:keepNext w:val="0"/>
              <w:keepLines w:val="0"/>
              <w:pageBreakBefore w:val="0"/>
              <w:widowControl w:val="0"/>
              <w:kinsoku/>
              <w:wordWrap/>
              <w:overflowPunct/>
              <w:topLinePunct w:val="0"/>
              <w:bidi w:val="0"/>
              <w:adjustRightInd w:val="0"/>
              <w:snapToGrid/>
              <w:spacing w:line="26" w:lineRule="atLeast"/>
              <w:jc w:val="center"/>
              <w:textAlignment w:val="auto"/>
              <w:rPr>
                <w:rFonts w:hint="default"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解释权</w:t>
            </w:r>
          </w:p>
        </w:tc>
        <w:tc>
          <w:tcPr>
            <w:tcW w:w="6150" w:type="dxa"/>
            <w:tcBorders>
              <w:top w:val="single" w:color="000000" w:sz="8" w:space="0"/>
              <w:left w:val="single" w:color="000000" w:sz="2" w:space="0"/>
              <w:bottom w:val="single" w:color="000000" w:sz="8" w:space="0"/>
              <w:right w:val="single" w:color="000000" w:sz="8" w:space="0"/>
            </w:tcBorders>
            <w:vAlign w:val="center"/>
          </w:tcPr>
          <w:p w14:paraId="169EFB00">
            <w:pPr>
              <w:keepNext w:val="0"/>
              <w:keepLines w:val="0"/>
              <w:pageBreakBefore w:val="0"/>
              <w:widowControl w:val="0"/>
              <w:kinsoku/>
              <w:wordWrap/>
              <w:overflowPunct/>
              <w:topLinePunct w:val="0"/>
              <w:autoSpaceDE/>
              <w:autoSpaceDN/>
              <w:bidi w:val="0"/>
              <w:adjustRightInd w:val="0"/>
              <w:snapToGrid/>
              <w:spacing w:line="312" w:lineRule="auto"/>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本项目为非政府采购项目，</w:t>
            </w:r>
            <w:r>
              <w:rPr>
                <w:rFonts w:hint="eastAsia" w:ascii="宋体" w:hAnsi="宋体" w:eastAsia="宋体" w:cs="宋体"/>
                <w:color w:val="auto"/>
                <w:sz w:val="24"/>
                <w:highlight w:val="none"/>
                <w:lang w:eastAsia="zh-CN"/>
              </w:rPr>
              <w:t>本采购文件的解释权属于采购人、招标代理机构所有。</w:t>
            </w:r>
          </w:p>
        </w:tc>
      </w:tr>
      <w:bookmarkEnd w:id="10"/>
    </w:tbl>
    <w:p w14:paraId="7BD1024E">
      <w:pPr>
        <w:rPr>
          <w:rFonts w:hint="eastAsia" w:ascii="宋体" w:hAnsi="宋体" w:cs="宋体"/>
          <w:b/>
          <w:color w:val="auto"/>
          <w:sz w:val="32"/>
          <w:szCs w:val="20"/>
          <w:highlight w:val="none"/>
        </w:rPr>
      </w:pPr>
      <w:r>
        <w:rPr>
          <w:rFonts w:hint="eastAsia" w:ascii="宋体" w:hAnsi="宋体" w:cs="宋体"/>
          <w:b/>
          <w:color w:val="auto"/>
          <w:sz w:val="32"/>
          <w:szCs w:val="20"/>
          <w:highlight w:val="none"/>
        </w:rPr>
        <w:br w:type="page"/>
      </w:r>
    </w:p>
    <w:p w14:paraId="3F4AD749">
      <w:pPr>
        <w:adjustRightInd/>
        <w:spacing w:line="360" w:lineRule="auto"/>
        <w:ind w:firstLine="3845" w:firstLineChars="1197"/>
        <w:outlineLvl w:val="0"/>
        <w:rPr>
          <w:rFonts w:ascii="宋体" w:hAnsi="宋体" w:cs="宋体"/>
          <w:b/>
          <w:color w:val="auto"/>
          <w:sz w:val="32"/>
          <w:szCs w:val="20"/>
          <w:highlight w:val="none"/>
        </w:rPr>
      </w:pPr>
      <w:r>
        <w:rPr>
          <w:rFonts w:hint="eastAsia" w:ascii="宋体" w:hAnsi="宋体" w:cs="宋体"/>
          <w:b/>
          <w:color w:val="auto"/>
          <w:sz w:val="32"/>
          <w:szCs w:val="20"/>
          <w:highlight w:val="none"/>
        </w:rPr>
        <w:t>一、总则</w:t>
      </w:r>
    </w:p>
    <w:p w14:paraId="2CC9FB5D">
      <w:pPr>
        <w:snapToGrid w:val="0"/>
        <w:spacing w:line="360" w:lineRule="auto"/>
        <w:ind w:firstLine="361" w:firstLineChars="150"/>
        <w:jc w:val="left"/>
        <w:outlineLvl w:val="1"/>
        <w:rPr>
          <w:rFonts w:ascii="宋体" w:hAnsi="宋体" w:cs="宋体"/>
          <w:b/>
          <w:color w:val="auto"/>
          <w:sz w:val="24"/>
          <w:highlight w:val="none"/>
        </w:rPr>
      </w:pPr>
      <w:r>
        <w:rPr>
          <w:rFonts w:hint="eastAsia" w:ascii="宋体" w:hAnsi="宋体" w:cs="宋体"/>
          <w:b/>
          <w:color w:val="auto"/>
          <w:sz w:val="24"/>
          <w:highlight w:val="none"/>
        </w:rPr>
        <w:t>1. 适用范围</w:t>
      </w:r>
    </w:p>
    <w:p w14:paraId="61B21432">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本招标文件适用于该项目的招标、投标、开标、资格审查及信用信息查询、评标、定标、合同、验收等行为（法律、法规另有规定的，从其规定）。</w:t>
      </w:r>
    </w:p>
    <w:p w14:paraId="2CD4BC3F">
      <w:pPr>
        <w:adjustRightInd/>
        <w:spacing w:line="360" w:lineRule="auto"/>
        <w:outlineLvl w:val="0"/>
        <w:rPr>
          <w:rFonts w:ascii="宋体" w:hAnsi="宋体" w:cs="宋体"/>
          <w:b/>
          <w:color w:val="auto"/>
          <w:sz w:val="24"/>
          <w:highlight w:val="none"/>
        </w:rPr>
      </w:pPr>
      <w:r>
        <w:rPr>
          <w:rFonts w:hint="eastAsia" w:ascii="宋体" w:hAnsi="宋体" w:cs="宋体"/>
          <w:b/>
          <w:color w:val="auto"/>
          <w:sz w:val="24"/>
          <w:highlight w:val="none"/>
        </w:rPr>
        <w:t xml:space="preserve">   2.定义</w:t>
      </w:r>
    </w:p>
    <w:p w14:paraId="25D6D96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 “采购人”系指招标公告中载明的本项目的采购人。</w:t>
      </w:r>
    </w:p>
    <w:p w14:paraId="1BAE771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2.2 “</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”系指招标公告中载明的本项目的</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w:t>
      </w:r>
    </w:p>
    <w:p w14:paraId="104F06F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 “投标人”系指是指响应招标、参加投标竞争的法人、其他组织或者自然人。</w:t>
      </w:r>
    </w:p>
    <w:p w14:paraId="7996026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 “负责人”系指法人企业的法定负责人，或其他组织为法律、行政法规规定代表单位行使职权的主要负责人，或自然人本人。</w:t>
      </w:r>
    </w:p>
    <w:p w14:paraId="62DAB6E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603AE48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2.6“电子交易平台”</w:t>
      </w:r>
      <w:r>
        <w:rPr>
          <w:rFonts w:hint="eastAsia" w:ascii="宋体" w:hAnsi="宋体" w:cs="宋体"/>
          <w:color w:val="auto"/>
          <w:sz w:val="24"/>
          <w:highlight w:val="none"/>
          <w:lang w:val="en-US" w:eastAsia="zh-CN"/>
        </w:rPr>
        <w:t>系</w:t>
      </w:r>
      <w:r>
        <w:rPr>
          <w:rFonts w:hint="eastAsia" w:ascii="宋体" w:hAnsi="宋体" w:cs="宋体"/>
          <w:color w:val="auto"/>
          <w:sz w:val="24"/>
          <w:highlight w:val="none"/>
        </w:rPr>
        <w:t>指本项目政府采购活动所依托的</w:t>
      </w:r>
      <w:r>
        <w:rPr>
          <w:rFonts w:hint="eastAsia" w:ascii="宋体" w:hAnsi="宋体" w:cs="宋体"/>
          <w:color w:val="auto"/>
          <w:sz w:val="24"/>
          <w:highlight w:val="none"/>
          <w:lang w:eastAsia="zh-CN"/>
        </w:rPr>
        <w:t>乐采云平台</w:t>
      </w:r>
      <w:r>
        <w:rPr>
          <w:rFonts w:hint="eastAsia" w:ascii="宋体" w:hAnsi="宋体" w:cs="宋体"/>
          <w:color w:val="auto"/>
          <w:sz w:val="24"/>
          <w:highlight w:val="none"/>
        </w:rPr>
        <w:t>（https://</w:t>
      </w:r>
      <w:r>
        <w:rPr>
          <w:rFonts w:hint="eastAsia" w:ascii="宋体" w:hAnsi="宋体" w:cs="宋体"/>
          <w:color w:val="auto"/>
          <w:sz w:val="24"/>
          <w:highlight w:val="none"/>
          <w:lang w:eastAsia="zh-CN"/>
        </w:rPr>
        <w:t>www.lecaiyun.com</w:t>
      </w:r>
      <w:r>
        <w:rPr>
          <w:rFonts w:hint="eastAsia" w:ascii="宋体" w:hAnsi="宋体" w:cs="宋体"/>
          <w:color w:val="auto"/>
          <w:sz w:val="24"/>
          <w:highlight w:val="none"/>
        </w:rPr>
        <w:t>/）。</w:t>
      </w:r>
    </w:p>
    <w:p w14:paraId="4DAAD2A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2.7 “▲” 系指实质性要求条款，</w:t>
      </w:r>
      <w:r>
        <w:rPr>
          <w:rFonts w:hint="eastAsia" w:ascii="宋体" w:hAnsi="宋体" w:eastAsia="宋体" w:cs="宋体"/>
          <w:color w:val="auto"/>
          <w:sz w:val="24"/>
          <w:highlight w:val="none"/>
        </w:rPr>
        <w:t>“★”系产品采购项目中单一产品或核心产品，</w:t>
      </w:r>
      <w:r>
        <w:rPr>
          <w:rFonts w:hint="eastAsia" w:ascii="宋体" w:hAnsi="宋体" w:cs="宋体"/>
          <w:color w:val="auto"/>
          <w:sz w:val="24"/>
          <w:highlight w:val="none"/>
        </w:rPr>
        <w:t>“</w:t>
      </w:r>
      <w:sdt>
        <w:sdtPr>
          <w:rPr>
            <w:rFonts w:hint="eastAsia" w:ascii="宋体" w:hAnsi="宋体" w:cs="宋体"/>
            <w:color w:val="auto"/>
            <w:kern w:val="0"/>
            <w:sz w:val="24"/>
            <w:highlight w:val="none"/>
          </w:rPr>
          <w:id w:val="51297023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sz w:val="24"/>
          <w:highlight w:val="none"/>
        </w:rPr>
        <w:t>” 系指适用本项目的要求，“</w:t>
      </w:r>
      <w:sdt>
        <w:sdtPr>
          <w:rPr>
            <w:rFonts w:hint="eastAsia" w:ascii="宋体" w:hAnsi="宋体" w:cs="宋体"/>
            <w:color w:val="auto"/>
            <w:kern w:val="0"/>
            <w:sz w:val="24"/>
            <w:highlight w:val="none"/>
          </w:rPr>
          <w:id w:val="40488885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 系指不适用本项目的要求。</w:t>
      </w:r>
    </w:p>
    <w:p w14:paraId="0A32FDBC">
      <w:pPr>
        <w:spacing w:line="360" w:lineRule="auto"/>
        <w:ind w:firstLine="241" w:firstLineChars="100"/>
        <w:rPr>
          <w:rFonts w:ascii="宋体" w:hAnsi="宋体" w:cs="宋体"/>
          <w:b/>
          <w:color w:val="auto"/>
          <w:sz w:val="24"/>
          <w:highlight w:val="none"/>
        </w:rPr>
      </w:pPr>
      <w:r>
        <w:rPr>
          <w:rFonts w:hint="eastAsia" w:ascii="宋体" w:hAnsi="宋体" w:cs="宋体"/>
          <w:b/>
          <w:color w:val="auto"/>
          <w:sz w:val="24"/>
          <w:highlight w:val="none"/>
        </w:rPr>
        <w:t>3.</w:t>
      </w:r>
      <w:r>
        <w:rPr>
          <w:rFonts w:hint="eastAsia" w:ascii="宋体" w:hAnsi="宋体" w:cs="宋体"/>
          <w:color w:val="auto"/>
          <w:highlight w:val="none"/>
        </w:rPr>
        <w:t xml:space="preserve"> </w:t>
      </w:r>
      <w:r>
        <w:rPr>
          <w:rFonts w:hint="eastAsia" w:ascii="宋体" w:hAnsi="宋体" w:cs="宋体"/>
          <w:b/>
          <w:color w:val="auto"/>
          <w:sz w:val="24"/>
          <w:highlight w:val="none"/>
        </w:rPr>
        <w:t>采购项目需要落实的政府采购政策</w:t>
      </w:r>
    </w:p>
    <w:p w14:paraId="3F0EF2D1">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不会对其加以限制，仍将按照公平竞争原则实施采购）；</w:t>
      </w:r>
      <w:r>
        <w:rPr>
          <w:rFonts w:hint="eastAsia" w:ascii="宋体" w:hAnsi="宋体" w:cs="宋体"/>
          <w:color w:val="auto"/>
          <w:kern w:val="0"/>
          <w:sz w:val="24"/>
          <w:highlight w:val="none"/>
        </w:rPr>
        <w:t>优先采购向我国企业转让技术、与我国企业签订消化吸收再创新方案的供应商的进口产品</w:t>
      </w:r>
      <w:r>
        <w:rPr>
          <w:rFonts w:hint="eastAsia" w:ascii="宋体" w:hAnsi="宋体" w:cs="宋体"/>
          <w:color w:val="auto"/>
          <w:sz w:val="24"/>
          <w:highlight w:val="none"/>
        </w:rPr>
        <w:t>。</w:t>
      </w:r>
    </w:p>
    <w:p w14:paraId="3965BE87">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3.2 支持绿色发展</w:t>
      </w:r>
    </w:p>
    <w:p w14:paraId="0C1F2515">
      <w:pPr>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auto"/>
          <w:sz w:val="24"/>
          <w:highlight w:val="none"/>
        </w:rPr>
        <w:t>▲采购人拟采购的产品属于政府强制采购的节能产品品目清单范围的，投标人相应的投标产品未获得国家确定的认证机构出具的、处于有效期之内的节能产品认证证书的，投标无效。</w:t>
      </w:r>
    </w:p>
    <w:p w14:paraId="577B343A">
      <w:pPr>
        <w:spacing w:line="360" w:lineRule="auto"/>
        <w:ind w:firstLine="0" w:firstLineChars="0"/>
        <w:rPr>
          <w:rFonts w:ascii="仿宋" w:hAnsi="仿宋" w:eastAsia="仿宋"/>
          <w:b/>
          <w:i/>
          <w:color w:val="auto"/>
          <w:sz w:val="24"/>
          <w:highlight w:val="none"/>
        </w:rPr>
      </w:pPr>
      <w:r>
        <w:rPr>
          <w:rFonts w:hint="eastAsia" w:ascii="仿宋" w:hAnsi="仿宋" w:eastAsia="仿宋"/>
          <w:b/>
          <w:i/>
          <w:color w:val="auto"/>
          <w:sz w:val="24"/>
          <w:highlight w:val="none"/>
        </w:rPr>
        <w:t>附:《节能产品政府采购品目清单（强制采购部分）》（如遇调整，按最新清单执行）</w:t>
      </w:r>
    </w:p>
    <w:tbl>
      <w:tblPr>
        <w:tblStyle w:val="66"/>
        <w:tblW w:w="9214" w:type="dxa"/>
        <w:tblInd w:w="-34" w:type="dxa"/>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Layout w:type="fixed"/>
        <w:tblCellMar>
          <w:top w:w="0" w:type="dxa"/>
          <w:left w:w="108" w:type="dxa"/>
          <w:bottom w:w="0" w:type="dxa"/>
          <w:right w:w="108" w:type="dxa"/>
        </w:tblCellMar>
      </w:tblPr>
      <w:tblGrid>
        <w:gridCol w:w="993"/>
        <w:gridCol w:w="2268"/>
        <w:gridCol w:w="5953"/>
      </w:tblGrid>
      <w:tr w14:paraId="4808CAB4">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993" w:type="dxa"/>
            <w:shd w:val="clear" w:color="auto" w:fill="DAEEF3"/>
            <w:vAlign w:val="center"/>
          </w:tcPr>
          <w:p w14:paraId="72BE0AA0">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品目清单序号</w:t>
            </w:r>
          </w:p>
        </w:tc>
        <w:tc>
          <w:tcPr>
            <w:tcW w:w="8221" w:type="dxa"/>
            <w:gridSpan w:val="2"/>
            <w:shd w:val="clear" w:color="auto" w:fill="DAEEF3"/>
            <w:vAlign w:val="center"/>
          </w:tcPr>
          <w:p w14:paraId="523B2B4E">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产品名称（本表内以</w:t>
            </w:r>
            <w:r>
              <w:rPr>
                <w:rFonts w:ascii="仿宋" w:hAnsi="仿宋" w:eastAsia="仿宋"/>
                <w:b/>
                <w:color w:val="auto"/>
                <w:w w:val="90"/>
                <w:sz w:val="24"/>
                <w:highlight w:val="none"/>
              </w:rPr>
              <w:t>“</w:t>
            </w:r>
            <w:r>
              <w:rPr>
                <w:rFonts w:hint="eastAsia" w:ascii="仿宋" w:hAnsi="仿宋" w:eastAsia="仿宋"/>
                <w:b/>
                <w:color w:val="auto"/>
                <w:w w:val="90"/>
                <w:sz w:val="24"/>
                <w:highlight w:val="none"/>
              </w:rPr>
              <w:t>☆</w:t>
            </w:r>
            <w:r>
              <w:rPr>
                <w:rFonts w:ascii="仿宋" w:hAnsi="仿宋" w:eastAsia="仿宋"/>
                <w:b/>
                <w:color w:val="auto"/>
                <w:w w:val="90"/>
                <w:sz w:val="24"/>
                <w:highlight w:val="none"/>
              </w:rPr>
              <w:t>”</w:t>
            </w:r>
            <w:r>
              <w:rPr>
                <w:rFonts w:hint="eastAsia" w:ascii="仿宋" w:hAnsi="仿宋" w:eastAsia="仿宋"/>
                <w:b/>
                <w:color w:val="auto"/>
                <w:w w:val="90"/>
                <w:sz w:val="24"/>
                <w:highlight w:val="none"/>
              </w:rPr>
              <w:t>标注的为政府强制采购产品）</w:t>
            </w:r>
          </w:p>
        </w:tc>
      </w:tr>
      <w:tr w14:paraId="623346A4">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7D3A4561">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1</w:t>
            </w:r>
          </w:p>
        </w:tc>
        <w:tc>
          <w:tcPr>
            <w:tcW w:w="2268" w:type="dxa"/>
            <w:vAlign w:val="center"/>
          </w:tcPr>
          <w:p w14:paraId="110741D8">
            <w:pPr>
              <w:adjustRightInd w:val="0"/>
              <w:snapToGrid w:val="0"/>
              <w:spacing w:line="276" w:lineRule="auto"/>
              <w:rPr>
                <w:rFonts w:ascii="仿宋" w:hAnsi="仿宋" w:eastAsia="仿宋"/>
                <w:color w:val="auto"/>
                <w:w w:val="90"/>
                <w:sz w:val="24"/>
                <w:highlight w:val="none"/>
              </w:rPr>
            </w:pPr>
            <w:r>
              <w:rPr>
                <w:rFonts w:hint="eastAsia" w:ascii="仿宋" w:hAnsi="仿宋" w:eastAsia="仿宋"/>
                <w:color w:val="auto"/>
                <w:w w:val="90"/>
                <w:sz w:val="24"/>
                <w:highlight w:val="none"/>
              </w:rPr>
              <w:t>A020101计算机设备</w:t>
            </w:r>
          </w:p>
        </w:tc>
        <w:tc>
          <w:tcPr>
            <w:tcW w:w="5953" w:type="dxa"/>
            <w:vAlign w:val="center"/>
          </w:tcPr>
          <w:p w14:paraId="396D791A">
            <w:pPr>
              <w:adjustRightInd w:val="0"/>
              <w:snapToGrid w:val="0"/>
              <w:spacing w:line="276" w:lineRule="auto"/>
              <w:rPr>
                <w:rFonts w:ascii="仿宋" w:hAnsi="仿宋" w:eastAsia="仿宋"/>
                <w:color w:val="auto"/>
                <w:w w:val="90"/>
                <w:sz w:val="24"/>
                <w:highlight w:val="none"/>
              </w:rPr>
            </w:pPr>
            <w:r>
              <w:rPr>
                <w:rFonts w:hint="eastAsia" w:ascii="仿宋" w:hAnsi="仿宋" w:eastAsia="仿宋"/>
                <w:b/>
                <w:color w:val="auto"/>
                <w:w w:val="90"/>
                <w:sz w:val="24"/>
                <w:highlight w:val="none"/>
              </w:rPr>
              <w:t>☆A02010104台式计算机</w:t>
            </w:r>
            <w:r>
              <w:rPr>
                <w:rFonts w:hint="eastAsia" w:ascii="仿宋" w:hAnsi="仿宋" w:eastAsia="仿宋"/>
                <w:color w:val="auto"/>
                <w:w w:val="90"/>
                <w:sz w:val="24"/>
                <w:highlight w:val="none"/>
              </w:rPr>
              <w:t>；</w:t>
            </w:r>
          </w:p>
          <w:p w14:paraId="5EF71C73">
            <w:pPr>
              <w:adjustRightInd w:val="0"/>
              <w:snapToGrid w:val="0"/>
              <w:spacing w:line="276" w:lineRule="auto"/>
              <w:rPr>
                <w:rFonts w:ascii="仿宋" w:hAnsi="仿宋" w:eastAsia="仿宋"/>
                <w:color w:val="auto"/>
                <w:w w:val="90"/>
                <w:sz w:val="24"/>
                <w:highlight w:val="none"/>
              </w:rPr>
            </w:pPr>
            <w:r>
              <w:rPr>
                <w:rFonts w:hint="eastAsia" w:ascii="仿宋" w:hAnsi="仿宋" w:eastAsia="仿宋"/>
                <w:b/>
                <w:color w:val="auto"/>
                <w:w w:val="90"/>
                <w:sz w:val="24"/>
                <w:highlight w:val="none"/>
              </w:rPr>
              <w:t>☆A02010105便携式计算机</w:t>
            </w:r>
            <w:r>
              <w:rPr>
                <w:rFonts w:hint="eastAsia" w:ascii="仿宋" w:hAnsi="仿宋" w:eastAsia="仿宋"/>
                <w:color w:val="auto"/>
                <w:w w:val="90"/>
                <w:sz w:val="24"/>
                <w:highlight w:val="none"/>
              </w:rPr>
              <w:t>；</w:t>
            </w:r>
          </w:p>
          <w:p w14:paraId="341210F4">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☆A02010107平板式微型计算机</w:t>
            </w:r>
            <w:r>
              <w:rPr>
                <w:rFonts w:hint="eastAsia" w:ascii="仿宋" w:hAnsi="仿宋" w:eastAsia="仿宋"/>
                <w:color w:val="auto"/>
                <w:w w:val="90"/>
                <w:sz w:val="24"/>
                <w:highlight w:val="none"/>
              </w:rPr>
              <w:t>。</w:t>
            </w:r>
          </w:p>
        </w:tc>
      </w:tr>
      <w:tr w14:paraId="41A441C3">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05A99B79">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2</w:t>
            </w:r>
          </w:p>
        </w:tc>
        <w:tc>
          <w:tcPr>
            <w:tcW w:w="2268" w:type="dxa"/>
            <w:vAlign w:val="center"/>
          </w:tcPr>
          <w:p w14:paraId="5C39E439">
            <w:pPr>
              <w:adjustRightInd w:val="0"/>
              <w:snapToGrid w:val="0"/>
              <w:spacing w:line="276" w:lineRule="auto"/>
              <w:rPr>
                <w:rFonts w:ascii="仿宋" w:hAnsi="仿宋" w:eastAsia="仿宋"/>
                <w:color w:val="auto"/>
                <w:w w:val="90"/>
                <w:sz w:val="24"/>
                <w:highlight w:val="none"/>
              </w:rPr>
            </w:pPr>
            <w:r>
              <w:rPr>
                <w:rFonts w:hint="eastAsia" w:ascii="仿宋" w:hAnsi="仿宋" w:eastAsia="仿宋"/>
                <w:color w:val="auto"/>
                <w:w w:val="90"/>
                <w:sz w:val="24"/>
                <w:highlight w:val="none"/>
              </w:rPr>
              <w:t>A020106输入输出设备</w:t>
            </w:r>
          </w:p>
        </w:tc>
        <w:tc>
          <w:tcPr>
            <w:tcW w:w="5953" w:type="dxa"/>
            <w:vAlign w:val="center"/>
          </w:tcPr>
          <w:p w14:paraId="21C5C8D9">
            <w:pPr>
              <w:adjustRightInd w:val="0"/>
              <w:snapToGrid w:val="0"/>
              <w:spacing w:line="276" w:lineRule="auto"/>
              <w:rPr>
                <w:rFonts w:ascii="仿宋" w:hAnsi="仿宋" w:eastAsia="仿宋"/>
                <w:color w:val="auto"/>
                <w:w w:val="90"/>
                <w:sz w:val="24"/>
                <w:highlight w:val="none"/>
              </w:rPr>
            </w:pPr>
            <w:r>
              <w:rPr>
                <w:rFonts w:hint="eastAsia" w:ascii="仿宋" w:hAnsi="仿宋" w:eastAsia="仿宋"/>
                <w:b/>
                <w:color w:val="auto"/>
                <w:w w:val="90"/>
                <w:sz w:val="24"/>
                <w:highlight w:val="none"/>
              </w:rPr>
              <w:t>☆A0201060102激光打印机</w:t>
            </w:r>
            <w:r>
              <w:rPr>
                <w:rFonts w:hint="eastAsia" w:ascii="仿宋" w:hAnsi="仿宋" w:eastAsia="仿宋"/>
                <w:color w:val="auto"/>
                <w:w w:val="90"/>
                <w:sz w:val="24"/>
                <w:highlight w:val="none"/>
              </w:rPr>
              <w:t>；</w:t>
            </w:r>
          </w:p>
          <w:p w14:paraId="2DC85BB5">
            <w:pPr>
              <w:adjustRightInd w:val="0"/>
              <w:snapToGrid w:val="0"/>
              <w:spacing w:line="276" w:lineRule="auto"/>
              <w:rPr>
                <w:rFonts w:ascii="仿宋" w:hAnsi="仿宋" w:eastAsia="仿宋"/>
                <w:color w:val="auto"/>
                <w:w w:val="90"/>
                <w:sz w:val="24"/>
                <w:highlight w:val="none"/>
              </w:rPr>
            </w:pPr>
            <w:r>
              <w:rPr>
                <w:rFonts w:hint="eastAsia" w:ascii="仿宋" w:hAnsi="仿宋" w:eastAsia="仿宋"/>
                <w:b/>
                <w:color w:val="auto"/>
                <w:w w:val="90"/>
                <w:sz w:val="24"/>
                <w:highlight w:val="none"/>
              </w:rPr>
              <w:t>☆A0201060104针式打印机</w:t>
            </w:r>
            <w:r>
              <w:rPr>
                <w:rFonts w:hint="eastAsia" w:ascii="仿宋" w:hAnsi="仿宋" w:eastAsia="仿宋"/>
                <w:color w:val="auto"/>
                <w:w w:val="90"/>
                <w:sz w:val="24"/>
                <w:highlight w:val="none"/>
              </w:rPr>
              <w:t>；</w:t>
            </w:r>
          </w:p>
          <w:p w14:paraId="072ABBCD">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☆A0201060401液晶显示器</w:t>
            </w:r>
            <w:r>
              <w:rPr>
                <w:rFonts w:hint="eastAsia" w:ascii="仿宋" w:hAnsi="仿宋" w:eastAsia="仿宋"/>
                <w:color w:val="auto"/>
                <w:w w:val="90"/>
                <w:sz w:val="24"/>
                <w:highlight w:val="none"/>
              </w:rPr>
              <w:t>。</w:t>
            </w:r>
          </w:p>
        </w:tc>
      </w:tr>
      <w:tr w14:paraId="40935797">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7A199C35">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6</w:t>
            </w:r>
          </w:p>
        </w:tc>
        <w:tc>
          <w:tcPr>
            <w:tcW w:w="2268" w:type="dxa"/>
            <w:vAlign w:val="center"/>
          </w:tcPr>
          <w:p w14:paraId="407C272C">
            <w:pPr>
              <w:adjustRightInd w:val="0"/>
              <w:snapToGrid w:val="0"/>
              <w:spacing w:line="276" w:lineRule="auto"/>
              <w:rPr>
                <w:rFonts w:ascii="仿宋" w:hAnsi="仿宋" w:eastAsia="仿宋"/>
                <w:color w:val="auto"/>
                <w:w w:val="90"/>
                <w:sz w:val="24"/>
                <w:highlight w:val="none"/>
              </w:rPr>
            </w:pPr>
            <w:r>
              <w:rPr>
                <w:rFonts w:hint="eastAsia" w:ascii="仿宋" w:hAnsi="仿宋" w:eastAsia="仿宋"/>
                <w:color w:val="auto"/>
                <w:w w:val="90"/>
                <w:sz w:val="24"/>
                <w:highlight w:val="none"/>
              </w:rPr>
              <w:t>A020523制冷空调设备</w:t>
            </w:r>
          </w:p>
        </w:tc>
        <w:tc>
          <w:tcPr>
            <w:tcW w:w="5953" w:type="dxa"/>
            <w:vAlign w:val="center"/>
          </w:tcPr>
          <w:p w14:paraId="4E8FF604">
            <w:pPr>
              <w:adjustRightInd w:val="0"/>
              <w:snapToGrid w:val="0"/>
              <w:spacing w:line="276" w:lineRule="auto"/>
              <w:rPr>
                <w:rFonts w:ascii="仿宋" w:hAnsi="仿宋" w:eastAsia="仿宋"/>
                <w:color w:val="auto"/>
                <w:w w:val="90"/>
                <w:sz w:val="24"/>
                <w:highlight w:val="none"/>
              </w:rPr>
            </w:pPr>
            <w:r>
              <w:rPr>
                <w:rFonts w:hint="eastAsia" w:ascii="仿宋" w:hAnsi="仿宋" w:eastAsia="仿宋"/>
                <w:b/>
                <w:color w:val="auto"/>
                <w:w w:val="90"/>
                <w:sz w:val="24"/>
                <w:highlight w:val="none"/>
              </w:rPr>
              <w:t>☆A02052301制冷压缩机：</w:t>
            </w:r>
            <w:r>
              <w:rPr>
                <w:rFonts w:hint="eastAsia" w:ascii="仿宋" w:hAnsi="仿宋" w:eastAsia="仿宋"/>
                <w:color w:val="auto"/>
                <w:w w:val="90"/>
                <w:sz w:val="24"/>
                <w:highlight w:val="none"/>
              </w:rPr>
              <w:t>冷水机组、水源热泵机组、溴化锂吸收式冷水机组；</w:t>
            </w:r>
          </w:p>
          <w:p w14:paraId="4BBF0D5D">
            <w:pPr>
              <w:adjustRightInd w:val="0"/>
              <w:snapToGrid w:val="0"/>
              <w:spacing w:line="276" w:lineRule="auto"/>
              <w:rPr>
                <w:rFonts w:ascii="仿宋" w:hAnsi="仿宋" w:eastAsia="仿宋"/>
                <w:color w:val="auto"/>
                <w:w w:val="90"/>
                <w:sz w:val="24"/>
                <w:highlight w:val="none"/>
              </w:rPr>
            </w:pPr>
            <w:r>
              <w:rPr>
                <w:rFonts w:hint="eastAsia" w:ascii="仿宋" w:hAnsi="仿宋" w:eastAsia="仿宋"/>
                <w:b/>
                <w:color w:val="auto"/>
                <w:w w:val="90"/>
                <w:sz w:val="24"/>
                <w:highlight w:val="none"/>
              </w:rPr>
              <w:t>☆A02052305空调机组:</w:t>
            </w:r>
            <w:r>
              <w:rPr>
                <w:rFonts w:hint="eastAsia" w:ascii="仿宋" w:hAnsi="仿宋" w:eastAsia="仿宋"/>
                <w:color w:val="auto"/>
                <w:w w:val="90"/>
                <w:sz w:val="24"/>
                <w:highlight w:val="none"/>
              </w:rPr>
              <w:t>多联式空调（热泵）机组(制冷量&gt;14000W)）、单元式空气调节机(制冷量&gt;14000W)；</w:t>
            </w:r>
          </w:p>
          <w:p w14:paraId="7B0F1311">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☆A02052309专用制冷、空调设备：</w:t>
            </w:r>
            <w:r>
              <w:rPr>
                <w:rFonts w:hint="eastAsia" w:ascii="仿宋" w:hAnsi="仿宋" w:eastAsia="仿宋"/>
                <w:color w:val="auto"/>
                <w:w w:val="90"/>
                <w:sz w:val="24"/>
                <w:highlight w:val="none"/>
              </w:rPr>
              <w:t>机房空调。</w:t>
            </w:r>
          </w:p>
        </w:tc>
      </w:tr>
      <w:tr w14:paraId="3C31C1D9">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334B631A">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9</w:t>
            </w:r>
          </w:p>
        </w:tc>
        <w:tc>
          <w:tcPr>
            <w:tcW w:w="2268" w:type="dxa"/>
            <w:vAlign w:val="center"/>
          </w:tcPr>
          <w:p w14:paraId="6BFC1C66">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☆A020609镇流器</w:t>
            </w:r>
          </w:p>
        </w:tc>
        <w:tc>
          <w:tcPr>
            <w:tcW w:w="5953" w:type="dxa"/>
            <w:vAlign w:val="center"/>
          </w:tcPr>
          <w:p w14:paraId="6BDB2D7A">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管型荧光灯镇流器</w:t>
            </w:r>
            <w:r>
              <w:rPr>
                <w:rFonts w:hint="eastAsia" w:ascii="仿宋" w:hAnsi="仿宋" w:eastAsia="仿宋"/>
                <w:color w:val="auto"/>
                <w:w w:val="90"/>
                <w:sz w:val="24"/>
                <w:highlight w:val="none"/>
              </w:rPr>
              <w:t>。</w:t>
            </w:r>
          </w:p>
        </w:tc>
      </w:tr>
      <w:tr w14:paraId="5D22B316">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356CD35E">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10</w:t>
            </w:r>
          </w:p>
        </w:tc>
        <w:tc>
          <w:tcPr>
            <w:tcW w:w="2268" w:type="dxa"/>
            <w:vAlign w:val="center"/>
          </w:tcPr>
          <w:p w14:paraId="7A275D52">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A020618生活用电器</w:t>
            </w:r>
          </w:p>
        </w:tc>
        <w:tc>
          <w:tcPr>
            <w:tcW w:w="5953" w:type="dxa"/>
            <w:vAlign w:val="center"/>
          </w:tcPr>
          <w:p w14:paraId="54839D46">
            <w:pPr>
              <w:adjustRightInd w:val="0"/>
              <w:snapToGrid w:val="0"/>
              <w:spacing w:line="276" w:lineRule="auto"/>
              <w:rPr>
                <w:rFonts w:ascii="仿宋" w:hAnsi="仿宋" w:eastAsia="仿宋"/>
                <w:color w:val="auto"/>
                <w:w w:val="90"/>
                <w:sz w:val="24"/>
                <w:highlight w:val="none"/>
              </w:rPr>
            </w:pPr>
            <w:r>
              <w:rPr>
                <w:rFonts w:hint="eastAsia" w:ascii="仿宋" w:hAnsi="仿宋" w:eastAsia="仿宋"/>
                <w:b/>
                <w:color w:val="auto"/>
                <w:w w:val="90"/>
                <w:sz w:val="24"/>
                <w:highlight w:val="none"/>
              </w:rPr>
              <w:t>☆A0206180203空调机：</w:t>
            </w:r>
            <w:r>
              <w:rPr>
                <w:rFonts w:hint="eastAsia" w:ascii="仿宋" w:hAnsi="仿宋" w:eastAsia="仿宋"/>
                <w:color w:val="auto"/>
                <w:w w:val="90"/>
                <w:sz w:val="24"/>
                <w:highlight w:val="none"/>
              </w:rPr>
              <w:t>房间空气调节器、多联式空调（热泵）机组（制冷量≤14000W）、单元式空气调节机(制冷量≤14000W)）；</w:t>
            </w:r>
          </w:p>
          <w:p w14:paraId="79DE7405">
            <w:pPr>
              <w:adjustRightInd w:val="0"/>
              <w:snapToGrid w:val="0"/>
              <w:spacing w:line="276" w:lineRule="auto"/>
              <w:rPr>
                <w:rFonts w:ascii="仿宋" w:hAnsi="仿宋" w:eastAsia="仿宋"/>
                <w:b/>
                <w:color w:val="auto"/>
                <w:w w:val="90"/>
                <w:sz w:val="24"/>
                <w:highlight w:val="none"/>
              </w:rPr>
            </w:pPr>
            <w:r>
              <w:rPr>
                <w:rFonts w:hint="eastAsia" w:ascii="仿宋" w:hAnsi="仿宋" w:eastAsia="仿宋"/>
                <w:color w:val="auto"/>
                <w:w w:val="90"/>
                <w:sz w:val="24"/>
                <w:highlight w:val="none"/>
              </w:rPr>
              <w:t>A02061808热水器：</w:t>
            </w:r>
            <w:r>
              <w:rPr>
                <w:rFonts w:hint="eastAsia" w:ascii="仿宋" w:hAnsi="仿宋" w:eastAsia="仿宋"/>
                <w:b/>
                <w:color w:val="auto"/>
                <w:w w:val="90"/>
                <w:sz w:val="24"/>
                <w:highlight w:val="none"/>
              </w:rPr>
              <w:t>☆电热水器</w:t>
            </w:r>
            <w:r>
              <w:rPr>
                <w:rFonts w:hint="eastAsia" w:ascii="仿宋" w:hAnsi="仿宋" w:eastAsia="仿宋"/>
                <w:color w:val="auto"/>
                <w:w w:val="90"/>
                <w:sz w:val="24"/>
                <w:highlight w:val="none"/>
              </w:rPr>
              <w:t>。</w:t>
            </w:r>
          </w:p>
        </w:tc>
      </w:tr>
      <w:tr w14:paraId="7C665C53">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598F403F">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11</w:t>
            </w:r>
          </w:p>
        </w:tc>
        <w:tc>
          <w:tcPr>
            <w:tcW w:w="2268" w:type="dxa"/>
            <w:vAlign w:val="center"/>
          </w:tcPr>
          <w:p w14:paraId="0283AAB6">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A020619照明设备</w:t>
            </w:r>
          </w:p>
        </w:tc>
        <w:tc>
          <w:tcPr>
            <w:tcW w:w="5953" w:type="dxa"/>
            <w:vAlign w:val="center"/>
          </w:tcPr>
          <w:p w14:paraId="5D4634D0">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☆普通照明用双端荧光灯</w:t>
            </w:r>
            <w:r>
              <w:rPr>
                <w:rFonts w:hint="eastAsia" w:ascii="仿宋" w:hAnsi="仿宋" w:eastAsia="仿宋"/>
                <w:color w:val="auto"/>
                <w:w w:val="90"/>
                <w:sz w:val="24"/>
                <w:highlight w:val="none"/>
              </w:rPr>
              <w:t>。</w:t>
            </w:r>
          </w:p>
        </w:tc>
      </w:tr>
      <w:tr w14:paraId="20913C60">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2E510F0F">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12</w:t>
            </w:r>
          </w:p>
        </w:tc>
        <w:tc>
          <w:tcPr>
            <w:tcW w:w="2268" w:type="dxa"/>
            <w:vAlign w:val="center"/>
          </w:tcPr>
          <w:p w14:paraId="20E1F00D">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☆A020910电视设备</w:t>
            </w:r>
          </w:p>
        </w:tc>
        <w:tc>
          <w:tcPr>
            <w:tcW w:w="5953" w:type="dxa"/>
            <w:vAlign w:val="center"/>
          </w:tcPr>
          <w:p w14:paraId="17CCB49B">
            <w:pPr>
              <w:adjustRightInd w:val="0"/>
              <w:snapToGrid w:val="0"/>
              <w:spacing w:line="276" w:lineRule="auto"/>
              <w:rPr>
                <w:rFonts w:ascii="仿宋" w:hAnsi="仿宋" w:eastAsia="仿宋"/>
                <w:b/>
                <w:color w:val="auto"/>
                <w:w w:val="90"/>
                <w:sz w:val="24"/>
                <w:highlight w:val="none"/>
              </w:rPr>
            </w:pPr>
            <w:r>
              <w:rPr>
                <w:rFonts w:hint="eastAsia" w:ascii="仿宋" w:hAnsi="仿宋" w:eastAsia="仿宋"/>
                <w:color w:val="auto"/>
                <w:w w:val="90"/>
                <w:sz w:val="24"/>
                <w:highlight w:val="none"/>
              </w:rPr>
              <w:t>A02091001普通电视设备（电视机）。</w:t>
            </w:r>
          </w:p>
        </w:tc>
      </w:tr>
      <w:tr w14:paraId="6AD9AA7A">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726C99A1">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13</w:t>
            </w:r>
          </w:p>
        </w:tc>
        <w:tc>
          <w:tcPr>
            <w:tcW w:w="2268" w:type="dxa"/>
            <w:vAlign w:val="center"/>
          </w:tcPr>
          <w:p w14:paraId="6E059555">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☆A020911视频设备</w:t>
            </w:r>
          </w:p>
        </w:tc>
        <w:tc>
          <w:tcPr>
            <w:tcW w:w="5953" w:type="dxa"/>
            <w:vAlign w:val="center"/>
          </w:tcPr>
          <w:p w14:paraId="07ED9DAC">
            <w:pPr>
              <w:adjustRightInd w:val="0"/>
              <w:snapToGrid w:val="0"/>
              <w:spacing w:line="276" w:lineRule="auto"/>
              <w:rPr>
                <w:rFonts w:ascii="仿宋" w:hAnsi="仿宋" w:eastAsia="仿宋"/>
                <w:b/>
                <w:color w:val="auto"/>
                <w:w w:val="90"/>
                <w:sz w:val="24"/>
                <w:highlight w:val="none"/>
              </w:rPr>
            </w:pPr>
            <w:r>
              <w:rPr>
                <w:rFonts w:hint="eastAsia" w:ascii="仿宋" w:hAnsi="仿宋" w:eastAsia="仿宋"/>
                <w:color w:val="auto"/>
                <w:w w:val="90"/>
                <w:sz w:val="24"/>
                <w:highlight w:val="none"/>
              </w:rPr>
              <w:t>监视器。</w:t>
            </w:r>
          </w:p>
        </w:tc>
      </w:tr>
      <w:tr w14:paraId="79948A76">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353F1E09">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15</w:t>
            </w:r>
          </w:p>
        </w:tc>
        <w:tc>
          <w:tcPr>
            <w:tcW w:w="2268" w:type="dxa"/>
            <w:vAlign w:val="center"/>
          </w:tcPr>
          <w:p w14:paraId="53DE9338">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☆A060805便器</w:t>
            </w:r>
          </w:p>
        </w:tc>
        <w:tc>
          <w:tcPr>
            <w:tcW w:w="5953" w:type="dxa"/>
            <w:vAlign w:val="center"/>
          </w:tcPr>
          <w:p w14:paraId="44707690">
            <w:pPr>
              <w:adjustRightInd w:val="0"/>
              <w:snapToGrid w:val="0"/>
              <w:spacing w:line="276" w:lineRule="auto"/>
              <w:rPr>
                <w:rFonts w:ascii="仿宋" w:hAnsi="仿宋" w:eastAsia="仿宋"/>
                <w:b/>
                <w:color w:val="auto"/>
                <w:w w:val="90"/>
                <w:sz w:val="24"/>
                <w:highlight w:val="none"/>
              </w:rPr>
            </w:pPr>
            <w:r>
              <w:rPr>
                <w:rFonts w:hint="eastAsia" w:ascii="仿宋" w:hAnsi="仿宋" w:eastAsia="仿宋"/>
                <w:color w:val="auto"/>
                <w:w w:val="90"/>
                <w:sz w:val="24"/>
                <w:highlight w:val="none"/>
              </w:rPr>
              <w:t>坐便器、蹲便器、小便器。</w:t>
            </w:r>
          </w:p>
        </w:tc>
      </w:tr>
      <w:tr w14:paraId="312E4704">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993" w:type="dxa"/>
            <w:vAlign w:val="center"/>
          </w:tcPr>
          <w:p w14:paraId="4631D6B3">
            <w:pPr>
              <w:adjustRightInd w:val="0"/>
              <w:snapToGrid w:val="0"/>
              <w:spacing w:line="276" w:lineRule="auto"/>
              <w:jc w:val="center"/>
              <w:rPr>
                <w:rFonts w:ascii="仿宋" w:hAnsi="仿宋" w:eastAsia="仿宋"/>
                <w:b/>
                <w:color w:val="auto"/>
                <w:w w:val="90"/>
                <w:sz w:val="24"/>
                <w:highlight w:val="none"/>
              </w:rPr>
            </w:pPr>
            <w:r>
              <w:rPr>
                <w:rFonts w:hint="eastAsia" w:ascii="仿宋" w:hAnsi="仿宋" w:eastAsia="仿宋"/>
                <w:b/>
                <w:color w:val="auto"/>
                <w:w w:val="90"/>
                <w:sz w:val="24"/>
                <w:highlight w:val="none"/>
              </w:rPr>
              <w:t>16</w:t>
            </w:r>
          </w:p>
        </w:tc>
        <w:tc>
          <w:tcPr>
            <w:tcW w:w="2268" w:type="dxa"/>
            <w:vAlign w:val="center"/>
          </w:tcPr>
          <w:p w14:paraId="1FA6ED79">
            <w:pPr>
              <w:adjustRightInd w:val="0"/>
              <w:snapToGrid w:val="0"/>
              <w:spacing w:line="276" w:lineRule="auto"/>
              <w:rPr>
                <w:rFonts w:ascii="仿宋" w:hAnsi="仿宋" w:eastAsia="仿宋"/>
                <w:b/>
                <w:color w:val="auto"/>
                <w:w w:val="90"/>
                <w:sz w:val="24"/>
                <w:highlight w:val="none"/>
              </w:rPr>
            </w:pPr>
            <w:r>
              <w:rPr>
                <w:rFonts w:hint="eastAsia" w:ascii="仿宋" w:hAnsi="仿宋" w:eastAsia="仿宋"/>
                <w:b/>
                <w:color w:val="auto"/>
                <w:w w:val="90"/>
                <w:sz w:val="24"/>
                <w:highlight w:val="none"/>
              </w:rPr>
              <w:t>☆A060806水嘴</w:t>
            </w:r>
          </w:p>
        </w:tc>
        <w:tc>
          <w:tcPr>
            <w:tcW w:w="5953" w:type="dxa"/>
            <w:vAlign w:val="center"/>
          </w:tcPr>
          <w:p w14:paraId="3D2C078E">
            <w:pPr>
              <w:adjustRightInd w:val="0"/>
              <w:snapToGrid w:val="0"/>
              <w:spacing w:line="276" w:lineRule="auto"/>
              <w:rPr>
                <w:rFonts w:ascii="仿宋" w:hAnsi="仿宋" w:eastAsia="仿宋"/>
                <w:b/>
                <w:color w:val="auto"/>
                <w:w w:val="90"/>
                <w:sz w:val="24"/>
                <w:highlight w:val="none"/>
              </w:rPr>
            </w:pPr>
            <w:r>
              <w:rPr>
                <w:rFonts w:hint="eastAsia" w:ascii="仿宋" w:hAnsi="仿宋" w:eastAsia="仿宋"/>
                <w:color w:val="auto"/>
                <w:w w:val="90"/>
                <w:sz w:val="24"/>
                <w:highlight w:val="none"/>
              </w:rPr>
              <w:t>水嘴。</w:t>
            </w:r>
          </w:p>
        </w:tc>
      </w:tr>
    </w:tbl>
    <w:p w14:paraId="7201799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3.2.2 纳入政府采购管理的修缮、装修类项目采购建材的，鼓励采购单位将绿色建材性能、指标等作为实质性条件纳入采购文件和合同，具体性能指标要求参考相关绿色建材政府采购需求标准。</w:t>
      </w:r>
    </w:p>
    <w:p w14:paraId="3A48ADB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7" w:name="_Hlk107568539"/>
      <w:r>
        <w:rPr>
          <w:rFonts w:hint="eastAsia" w:ascii="宋体" w:hAnsi="宋体" w:cs="宋体"/>
          <w:color w:val="auto"/>
          <w:sz w:val="24"/>
          <w:highlight w:val="none"/>
        </w:rPr>
        <w:t>鼓励采购单位优先采购秸秆环保板材等资源综合利用产品。鼓励采购单位优先采购绿色物流配送服务、提供新能源交通工具的租赁服务。</w:t>
      </w:r>
    </w:p>
    <w:p w14:paraId="7B97200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3.2.4 鼓励供应商在参加政府采购过程中开展绿色设计、选择绿色材料、打造绿色制造工艺、开展绿色运输、做好废弃产品回收处理，实现产品全周期的绿色环保。鼓励采购单位对其提高预付款比例、免收履约保证金。</w:t>
      </w:r>
      <w:bookmarkEnd w:id="17"/>
    </w:p>
    <w:p w14:paraId="0EB2AA99">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3.3支持中小企业发展</w:t>
      </w:r>
    </w:p>
    <w:p w14:paraId="1DEF51D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39AEA1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符合中小企业划分标准的个体工商户，在政府采购活动中视同中小企业。</w:t>
      </w:r>
    </w:p>
    <w:p w14:paraId="4BA4F7E1">
      <w:pPr>
        <w:widowControl/>
        <w:spacing w:line="360" w:lineRule="auto"/>
        <w:ind w:firstLine="480" w:firstLineChars="200"/>
        <w:jc w:val="left"/>
        <w:rPr>
          <w:rFonts w:ascii="宋体" w:hAnsi="宋体" w:cs="宋体"/>
          <w:color w:val="auto"/>
          <w:kern w:val="0"/>
          <w:sz w:val="24"/>
          <w:highlight w:val="none"/>
        </w:rPr>
      </w:pPr>
      <w:r>
        <w:rPr>
          <w:rFonts w:ascii="宋体" w:hAnsi="宋体" w:cs="宋体"/>
          <w:bCs/>
          <w:color w:val="auto"/>
          <w:sz w:val="24"/>
          <w:highlight w:val="none"/>
        </w:rPr>
        <w:t>3.3.2</w:t>
      </w:r>
      <w:r>
        <w:rPr>
          <w:rFonts w:hint="eastAsia" w:ascii="宋体" w:hAnsi="宋体" w:cs="宋体"/>
          <w:color w:val="auto"/>
          <w:kern w:val="0"/>
          <w:sz w:val="24"/>
          <w:highlight w:val="none"/>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77C3392D">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以联合体形式参加政府采购活动，联合体各方均为中小企业的，联合体视同中小企业。其中，联合体各方均为小微企业的，联合体视同小微企业。</w:t>
      </w:r>
    </w:p>
    <w:p w14:paraId="269FAAA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3.3.3对于未预留份额专门面向中小企业的政府采购货物项目，以及预留份额政府采购货物项目中的非预留部分标项，对小型和微型企业的投标报价给予10%-</w:t>
      </w:r>
      <w:r>
        <w:rPr>
          <w:rFonts w:ascii="宋体" w:hAnsi="宋体" w:cs="宋体"/>
          <w:color w:val="auto"/>
          <w:sz w:val="24"/>
          <w:highlight w:val="none"/>
        </w:rPr>
        <w:t>20</w:t>
      </w:r>
      <w:r>
        <w:rPr>
          <w:rFonts w:hint="eastAsia" w:ascii="宋体" w:hAnsi="宋体" w:cs="宋体"/>
          <w:color w:val="auto"/>
          <w:sz w:val="24"/>
          <w:highlight w:val="none"/>
        </w:rPr>
        <w:t>%的扣除（</w:t>
      </w:r>
      <w:r>
        <w:rPr>
          <w:rFonts w:hint="eastAsia" w:ascii="宋体" w:hAnsi="宋体" w:cs="宋体"/>
          <w:snapToGrid w:val="0"/>
          <w:color w:val="auto"/>
          <w:kern w:val="28"/>
          <w:sz w:val="24"/>
          <w:highlight w:val="none"/>
        </w:rPr>
        <w:t>招标文件第四部分</w:t>
      </w:r>
      <w:r>
        <w:rPr>
          <w:rFonts w:hint="eastAsia" w:ascii="宋体" w:hAnsi="宋体" w:cs="宋体"/>
          <w:color w:val="auto"/>
          <w:sz w:val="24"/>
          <w:highlight w:val="none"/>
          <w:u w:val="single"/>
        </w:rPr>
        <w:t>评标办分法明确具体的扣除比例，未明确的，</w:t>
      </w:r>
      <w:r>
        <w:rPr>
          <w:rFonts w:hint="eastAsia" w:ascii="宋体" w:hAnsi="宋体" w:cs="宋体"/>
          <w:color w:val="auto"/>
          <w:sz w:val="24"/>
          <w:highlight w:val="none"/>
        </w:rPr>
        <w:t>给予</w:t>
      </w:r>
      <w:r>
        <w:rPr>
          <w:rFonts w:hint="eastAsia" w:ascii="宋体" w:hAnsi="宋体" w:cs="宋体"/>
          <w:color w:val="auto"/>
          <w:sz w:val="24"/>
          <w:highlight w:val="none"/>
          <w:lang w:val="en-US" w:eastAsia="zh-CN"/>
        </w:rPr>
        <w:t>2</w:t>
      </w:r>
      <w:r>
        <w:rPr>
          <w:rFonts w:ascii="宋体" w:hAnsi="宋体" w:cs="宋体"/>
          <w:color w:val="auto"/>
          <w:sz w:val="24"/>
          <w:highlight w:val="none"/>
        </w:rPr>
        <w:t>0</w:t>
      </w:r>
      <w:r>
        <w:rPr>
          <w:rFonts w:hint="eastAsia" w:ascii="宋体" w:hAnsi="宋体" w:cs="宋体"/>
          <w:color w:val="auto"/>
          <w:sz w:val="24"/>
          <w:highlight w:val="none"/>
        </w:rPr>
        <w:t>%的扣除），用扣除后的价格参与评审。接受大中型企业与小微企业组成联合体或者允许大中型企业向一家或者多家小微企业分包的政府采购货物项目，对于</w:t>
      </w:r>
      <w:bookmarkStart w:id="18" w:name="_Hlk101132181"/>
      <w:r>
        <w:rPr>
          <w:rFonts w:hint="eastAsia" w:ascii="宋体" w:hAnsi="宋体" w:cs="宋体"/>
          <w:color w:val="auto"/>
          <w:sz w:val="24"/>
          <w:highlight w:val="none"/>
        </w:rPr>
        <w:t>联合协议或者分包意向协议约定小微企业的合同份额占到合同总金额30%以上的</w:t>
      </w:r>
      <w:bookmarkEnd w:id="18"/>
      <w:r>
        <w:rPr>
          <w:rFonts w:hint="eastAsia" w:ascii="宋体" w:hAnsi="宋体" w:cs="宋体"/>
          <w:color w:val="auto"/>
          <w:sz w:val="24"/>
          <w:highlight w:val="none"/>
        </w:rPr>
        <w:t>，对联合体或者大中型企业的报价给予4%-</w:t>
      </w:r>
      <w:r>
        <w:rPr>
          <w:rFonts w:ascii="宋体" w:hAnsi="宋体" w:cs="宋体"/>
          <w:color w:val="auto"/>
          <w:sz w:val="24"/>
          <w:highlight w:val="none"/>
        </w:rPr>
        <w:t>6</w:t>
      </w:r>
      <w:r>
        <w:rPr>
          <w:rFonts w:hint="eastAsia" w:ascii="宋体" w:hAnsi="宋体" w:cs="宋体"/>
          <w:color w:val="auto"/>
          <w:sz w:val="24"/>
          <w:highlight w:val="none"/>
        </w:rPr>
        <w:t>%（</w:t>
      </w:r>
      <w:r>
        <w:rPr>
          <w:rFonts w:hint="eastAsia" w:ascii="宋体" w:hAnsi="宋体" w:cs="宋体"/>
          <w:snapToGrid w:val="0"/>
          <w:color w:val="auto"/>
          <w:kern w:val="28"/>
          <w:sz w:val="24"/>
          <w:highlight w:val="none"/>
        </w:rPr>
        <w:t>招标文件第四部分</w:t>
      </w:r>
      <w:r>
        <w:rPr>
          <w:rFonts w:hint="eastAsia" w:ascii="宋体" w:hAnsi="宋体" w:cs="宋体"/>
          <w:color w:val="auto"/>
          <w:sz w:val="24"/>
          <w:highlight w:val="none"/>
          <w:u w:val="single"/>
        </w:rPr>
        <w:t>评标办分法明确具体的扣除比例，未明确的，</w:t>
      </w:r>
      <w:r>
        <w:rPr>
          <w:rFonts w:hint="eastAsia" w:ascii="宋体" w:hAnsi="宋体" w:cs="宋体"/>
          <w:color w:val="auto"/>
          <w:sz w:val="24"/>
          <w:highlight w:val="none"/>
        </w:rPr>
        <w:t>给予</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%的扣除）的扣除，用扣除后的价格参加评审。组成联合体或者接受分包的小微企业与联合体内其他企业、分包企业之间存在直接控股、管理关系的，不享受价格扣除优惠政策。</w:t>
      </w:r>
    </w:p>
    <w:p w14:paraId="4A2130F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3.3.4符合《关于促进残疾人就业政府采购政策的通知》（财库〔2017〕141号）规定的条件并提供《残疾人福利性单位声明函》（附件1）的残疾人福利性单位视同小型、微型企业；</w:t>
      </w:r>
    </w:p>
    <w:p w14:paraId="78897FB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1BAFDF6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6B19988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3.3.7中小企业享受扶持政策获得政府采购合同的，小微企业不得将合同分包给大中型企业，中型企业不得将合同分包给大型企业。</w:t>
      </w:r>
    </w:p>
    <w:p w14:paraId="50EA03A3">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3.4</w:t>
      </w:r>
      <w:r>
        <w:rPr>
          <w:rFonts w:hint="eastAsia" w:ascii="宋体" w:hAnsi="宋体" w:cs="宋体"/>
          <w:bCs/>
          <w:color w:val="auto"/>
          <w:sz w:val="24"/>
          <w:highlight w:val="none"/>
        </w:rPr>
        <w:t>支持创新发展</w:t>
      </w:r>
    </w:p>
    <w:p w14:paraId="50624CC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3.4.1 采购人优先采购被认定为首台套产品和“制造精品”的自主创新产品。</w:t>
      </w:r>
    </w:p>
    <w:p w14:paraId="25A8DBE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3.4.2首台套产品被纳入《首台套产品推广应用指导目录》之日起</w:t>
      </w:r>
      <w:r>
        <w:rPr>
          <w:rFonts w:ascii="宋体" w:hAnsi="宋体" w:cs="宋体"/>
          <w:color w:val="auto"/>
          <w:sz w:val="24"/>
          <w:highlight w:val="none"/>
        </w:rPr>
        <w:t>3</w:t>
      </w:r>
      <w:r>
        <w:rPr>
          <w:rFonts w:hint="eastAsia" w:ascii="宋体" w:hAnsi="宋体" w:cs="宋体"/>
          <w:color w:val="auto"/>
          <w:sz w:val="24"/>
          <w:highlight w:val="none"/>
        </w:rPr>
        <w:t>年内，以及产品核心技术高于国内领先水平，并具有明晰自主知识产权的“制造精品”产品，自认定之日起2年内视同已具备相应销售业绩，参加政府采购活动时业绩分值为满分。</w:t>
      </w:r>
    </w:p>
    <w:p w14:paraId="44FA16DF">
      <w:pPr>
        <w:pStyle w:val="3"/>
        <w:adjustRightInd w:val="0"/>
        <w:ind w:left="433" w:leftChars="202" w:hanging="9" w:hangingChars="4"/>
        <w:rPr>
          <w:color w:val="auto"/>
          <w:highlight w:val="none"/>
        </w:rPr>
      </w:pPr>
      <w:r>
        <w:rPr>
          <w:rFonts w:hint="eastAsia" w:ascii="宋体" w:hAnsi="宋体" w:eastAsia="宋体" w:cs="仿宋"/>
          <w:b w:val="0"/>
          <w:bCs w:val="0"/>
          <w:color w:val="auto"/>
          <w:sz w:val="24"/>
          <w:szCs w:val="24"/>
          <w:highlight w:val="none"/>
          <w:lang w:val="en-US"/>
        </w:rPr>
        <w:t xml:space="preserve">3.4.3 </w:t>
      </w:r>
      <w:r>
        <w:rPr>
          <w:rFonts w:hint="eastAsia" w:ascii="宋体" w:hAnsi="宋体" w:eastAsia="宋体" w:cs="仿宋"/>
          <w:b w:val="0"/>
          <w:bCs w:val="0"/>
          <w:color w:val="auto"/>
          <w:sz w:val="24"/>
          <w:szCs w:val="24"/>
          <w:highlight w:val="none"/>
          <w:lang w:val="en-US" w:eastAsia="zh-CN"/>
        </w:rPr>
        <w:t>采购人应当贯彻落实知识产权保护相关法律法规，</w:t>
      </w:r>
      <w:r>
        <w:rPr>
          <w:rFonts w:hint="eastAsia" w:ascii="宋体" w:hAnsi="宋体" w:eastAsia="宋体" w:cs="仿宋"/>
          <w:b w:val="0"/>
          <w:bCs w:val="0"/>
          <w:color w:val="auto"/>
          <w:sz w:val="24"/>
          <w:szCs w:val="24"/>
          <w:highlight w:val="none"/>
          <w:lang w:val="en-US"/>
        </w:rPr>
        <w:t>应当采购使用正版软件。</w:t>
      </w:r>
    </w:p>
    <w:p w14:paraId="155B2C55">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3.5平等对待内外资企业和符合条件的破产重整企业</w:t>
      </w:r>
    </w:p>
    <w:p w14:paraId="519C170C">
      <w:pPr>
        <w:spacing w:line="360" w:lineRule="auto"/>
        <w:ind w:firstLine="480" w:firstLineChars="200"/>
        <w:rPr>
          <w:b/>
          <w:color w:val="auto"/>
          <w:highlight w:val="none"/>
        </w:rPr>
      </w:pPr>
      <w:r>
        <w:rPr>
          <w:rFonts w:hint="eastAsia" w:ascii="宋体" w:hAnsi="宋体" w:cs="宋体"/>
          <w:color w:val="auto"/>
          <w:sz w:val="24"/>
          <w:highlight w:val="none"/>
        </w:rPr>
        <w:t>平等对待内外资企业和符合条件的破产重整企业，切实保障企业公平竞争，平等维护企业的合法利益。</w:t>
      </w:r>
      <w:r>
        <w:rPr>
          <w:rFonts w:hint="eastAsia" w:ascii="宋体" w:hAnsi="宋体" w:cs="宋体"/>
          <w:color w:val="auto"/>
          <w:sz w:val="24"/>
          <w:highlight w:val="none"/>
        </w:rPr>
        <w:cr/>
      </w:r>
      <w:r>
        <w:rPr>
          <w:rFonts w:hint="eastAsia"/>
          <w:b/>
          <w:color w:val="auto"/>
          <w:highlight w:val="none"/>
        </w:rPr>
        <w:t>4. 询问、质疑、投诉、补偿救济</w:t>
      </w:r>
    </w:p>
    <w:p w14:paraId="1B229091">
      <w:pPr>
        <w:pStyle w:val="890"/>
        <w:shd w:val="clear" w:color="auto" w:fill="FFFFFF"/>
        <w:snapToGrid w:val="0"/>
        <w:spacing w:after="240" w:afterAutospacing="0" w:line="360" w:lineRule="auto"/>
        <w:ind w:firstLine="400"/>
        <w:contextualSpacing/>
        <w:rPr>
          <w:color w:val="auto"/>
          <w:highlight w:val="none"/>
          <w:lang w:val="zh-CN"/>
        </w:rPr>
      </w:pPr>
      <w:r>
        <w:rPr>
          <w:rFonts w:hint="eastAsia"/>
          <w:color w:val="auto"/>
          <w:highlight w:val="none"/>
          <w:lang w:val="zh-CN"/>
        </w:rPr>
        <w:t>4.1在线询问、质疑、投诉</w:t>
      </w:r>
    </w:p>
    <w:p w14:paraId="18E80C91">
      <w:pPr>
        <w:pStyle w:val="890"/>
        <w:shd w:val="clear" w:color="auto" w:fill="FFFFFF"/>
        <w:snapToGrid w:val="0"/>
        <w:spacing w:after="240" w:afterAutospacing="0" w:line="360" w:lineRule="auto"/>
        <w:ind w:firstLine="400"/>
        <w:contextualSpacing/>
        <w:rPr>
          <w:color w:val="auto"/>
          <w:highlight w:val="none"/>
          <w:lang w:val="zh-CN"/>
        </w:rPr>
      </w:pPr>
      <w:r>
        <w:rPr>
          <w:rFonts w:hint="eastAsia"/>
          <w:color w:val="auto"/>
          <w:highlight w:val="none"/>
          <w:lang w:val="zh-CN"/>
        </w:rPr>
        <w:t>根据《浙江省财政厅关于进一步促进政府采购公平竞争打造最优营商环境的通知》（浙财采监（2021）22号）文件关于“健全行政裁决机制”要求，鼓励供应商在线提起询问，路径为：乐采云-项目采购-询问质疑投诉-询问列表；鼓励供应商在线提起质疑，路径为：乐采云-项目采购-询问质疑投诉-质疑列表。质疑供应商对在线质疑答复不满意的，可在线提起投诉，路径为：浙江政府服务网-政府采购投诉处理-在线办理。</w:t>
      </w:r>
    </w:p>
    <w:p w14:paraId="40105F29">
      <w:pPr>
        <w:autoSpaceDE w:val="0"/>
        <w:autoSpaceDN w:val="0"/>
        <w:spacing w:line="360" w:lineRule="auto"/>
        <w:ind w:firstLine="240" w:firstLineChars="1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4.2供应商询问</w:t>
      </w:r>
    </w:p>
    <w:p w14:paraId="7EA9095A">
      <w:pPr>
        <w:autoSpaceDE w:val="0"/>
        <w:autoSpaceDN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1A74080E">
      <w:pPr>
        <w:autoSpaceDE w:val="0"/>
        <w:autoSpaceDN w:val="0"/>
        <w:spacing w:line="360" w:lineRule="auto"/>
        <w:ind w:firstLine="240" w:firstLineChars="1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4.3供应商质疑</w:t>
      </w:r>
    </w:p>
    <w:p w14:paraId="62A74FCE">
      <w:pPr>
        <w:pStyle w:val="36"/>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.1提出质疑的供应商应当是参与所质疑项目采购活动的供应商。潜在供应商已依法获取其可质疑的招标文件的，可以对该文件提出质疑。</w:t>
      </w:r>
    </w:p>
    <w:p w14:paraId="5725B4B2">
      <w:pPr>
        <w:pStyle w:val="36"/>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.2供应商认为招标文件、采购过程和中标结果使自己的权益受到损害的，可以在知道或者应知其权益受到损害之日起七个工作日内，以书面形式向采购人或者</w:t>
      </w:r>
      <w:r>
        <w:rPr>
          <w:rFonts w:hint="eastAsia" w:hAnsi="宋体" w:cs="宋体"/>
          <w:color w:val="auto"/>
          <w:sz w:val="24"/>
          <w:highlight w:val="none"/>
          <w:lang w:eastAsia="zh-CN"/>
        </w:rPr>
        <w:t>采购代理机构</w:t>
      </w:r>
      <w:r>
        <w:rPr>
          <w:rFonts w:hint="eastAsia" w:hAnsi="宋体" w:cs="宋体"/>
          <w:color w:val="auto"/>
          <w:sz w:val="24"/>
          <w:highlight w:val="none"/>
        </w:rPr>
        <w:t>提出质疑，否则，采购人或者</w:t>
      </w:r>
      <w:r>
        <w:rPr>
          <w:rFonts w:hint="eastAsia" w:hAnsi="宋体" w:cs="宋体"/>
          <w:color w:val="auto"/>
          <w:sz w:val="24"/>
          <w:highlight w:val="none"/>
          <w:lang w:eastAsia="zh-CN"/>
        </w:rPr>
        <w:t>采购代理机构</w:t>
      </w:r>
      <w:r>
        <w:rPr>
          <w:rFonts w:hint="eastAsia" w:hAnsi="宋体" w:cs="宋体"/>
          <w:color w:val="auto"/>
          <w:sz w:val="24"/>
          <w:highlight w:val="none"/>
        </w:rPr>
        <w:t>不予受理：</w:t>
      </w:r>
    </w:p>
    <w:p w14:paraId="2A78FA03">
      <w:pPr>
        <w:pStyle w:val="15"/>
        <w:spacing w:line="360" w:lineRule="auto"/>
        <w:ind w:firstLine="480" w:firstLineChars="200"/>
        <w:rPr>
          <w:rFonts w:hAnsi="宋体" w:cs="宋体"/>
          <w:snapToGrid/>
          <w:color w:val="auto"/>
          <w:kern w:val="2"/>
          <w:sz w:val="24"/>
          <w:highlight w:val="none"/>
        </w:rPr>
      </w:pPr>
      <w:r>
        <w:rPr>
          <w:rFonts w:hint="eastAsia" w:hAnsi="宋体" w:cs="宋体"/>
          <w:snapToGrid/>
          <w:color w:val="auto"/>
          <w:kern w:val="2"/>
          <w:sz w:val="24"/>
          <w:highlight w:val="none"/>
        </w:rPr>
        <w:t>4.3.2.1对招标文件提出质疑的，质疑期限为供应商获得招标文件之日或者招标文件公告期限届满之日起计算。</w:t>
      </w:r>
    </w:p>
    <w:p w14:paraId="05730C87">
      <w:pPr>
        <w:pStyle w:val="36"/>
        <w:spacing w:line="360" w:lineRule="auto"/>
        <w:ind w:left="479" w:leftChars="228"/>
        <w:rPr>
          <w:rFonts w:hAnsi="宋体" w:cs="宋体"/>
          <w:color w:val="auto"/>
          <w:sz w:val="24"/>
          <w:highlight w:val="none"/>
        </w:rPr>
      </w:pPr>
      <w:r>
        <w:rPr>
          <w:rFonts w:hint="eastAsia" w:hAnsi="宋体" w:cs="宋体"/>
          <w:color w:val="auto"/>
          <w:sz w:val="24"/>
          <w:highlight w:val="none"/>
        </w:rPr>
        <w:t>4.3.2.2对采购过程提出质疑的，质疑期限为各采购程序环节结束之日起计算。4.3.2.3对采购结果提出质疑的，质疑期限自采购结果公告期限届满之日起计算。</w:t>
      </w:r>
    </w:p>
    <w:p w14:paraId="455E5CB6">
      <w:pPr>
        <w:pStyle w:val="36"/>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4.3.3</w:t>
      </w:r>
      <w:r>
        <w:rPr>
          <w:rFonts w:hint="eastAsia" w:hAnsi="宋体" w:cs="宋体"/>
          <w:color w:val="auto"/>
          <w:sz w:val="24"/>
          <w:highlight w:val="none"/>
        </w:rPr>
        <w:t>供应商提出质疑应当提交质疑函和必要的证明材料。质疑函应当包括下列内容：</w:t>
      </w:r>
    </w:p>
    <w:p w14:paraId="4EABF9E9">
      <w:pPr>
        <w:pStyle w:val="36"/>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4.3.3.1供应商的姓名或者名称、地址、邮编、联系人及联系电话；</w:t>
      </w:r>
    </w:p>
    <w:p w14:paraId="77859961">
      <w:pPr>
        <w:pStyle w:val="36"/>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4.3.3.2质疑项目的名称、编号；</w:t>
      </w:r>
    </w:p>
    <w:p w14:paraId="52F7AAA3">
      <w:pPr>
        <w:pStyle w:val="36"/>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4.3.3.3具体、明确的质疑事项和与质疑事项相关的请求；</w:t>
      </w:r>
    </w:p>
    <w:p w14:paraId="748DDE8F">
      <w:pPr>
        <w:pStyle w:val="36"/>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4.3.3.4事实依据；</w:t>
      </w:r>
    </w:p>
    <w:p w14:paraId="3B6C89F7">
      <w:pPr>
        <w:pStyle w:val="36"/>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4.3.3.5必要的法律依据；</w:t>
      </w:r>
    </w:p>
    <w:p w14:paraId="765ED91D">
      <w:pPr>
        <w:pStyle w:val="36"/>
        <w:spacing w:line="360" w:lineRule="auto"/>
        <w:ind w:firstLine="960" w:firstLineChars="400"/>
        <w:rPr>
          <w:rFonts w:hAnsi="宋体" w:cs="宋体"/>
          <w:color w:val="auto"/>
          <w:kern w:val="0"/>
          <w:sz w:val="24"/>
          <w:highlight w:val="none"/>
          <w:lang w:val="zh-CN"/>
        </w:rPr>
      </w:pPr>
      <w:r>
        <w:rPr>
          <w:rFonts w:hint="eastAsia" w:hAnsi="宋体" w:cs="宋体"/>
          <w:color w:val="auto"/>
          <w:kern w:val="0"/>
          <w:sz w:val="24"/>
          <w:highlight w:val="none"/>
          <w:lang w:val="zh-CN"/>
        </w:rPr>
        <w:t>4.3.3.6提出质疑的日期。</w:t>
      </w:r>
    </w:p>
    <w:p w14:paraId="3489EF5E">
      <w:pPr>
        <w:pStyle w:val="890"/>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供应商提交的质疑函需一式三份。供应商为自然人的，应当由本人签字；供应商为法人或者其他组织的，应当由法定代表人、主要负责人，或者其授权代表签字或者盖章，并加盖公章。</w:t>
      </w:r>
    </w:p>
    <w:p w14:paraId="15C85F86">
      <w:pPr>
        <w:pStyle w:val="890"/>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质疑函范本及制作说明详见附件2。</w:t>
      </w:r>
    </w:p>
    <w:p w14:paraId="19968D9B">
      <w:pPr>
        <w:pStyle w:val="890"/>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4.3.4对同一采购程序环节的质疑，供应商须在法定质疑期内一次性提出。</w:t>
      </w:r>
    </w:p>
    <w:p w14:paraId="1176121C">
      <w:pPr>
        <w:pStyle w:val="890"/>
        <w:shd w:val="clear" w:color="auto" w:fill="FFFFFF"/>
        <w:snapToGrid w:val="0"/>
        <w:spacing w:after="240" w:afterAutospacing="0" w:line="360" w:lineRule="auto"/>
        <w:ind w:firstLine="400"/>
        <w:contextualSpacing/>
        <w:rPr>
          <w:color w:val="auto"/>
          <w:highlight w:val="none"/>
        </w:rPr>
      </w:pPr>
      <w:r>
        <w:rPr>
          <w:rFonts w:hint="eastAsia"/>
          <w:color w:val="auto"/>
          <w:highlight w:val="none"/>
          <w:lang w:val="zh-CN"/>
        </w:rPr>
        <w:t>4.3</w:t>
      </w:r>
      <w:r>
        <w:rPr>
          <w:rFonts w:hint="eastAsia"/>
          <w:color w:val="auto"/>
          <w:highlight w:val="none"/>
        </w:rPr>
        <w:t>.5采购人或者</w:t>
      </w:r>
      <w:r>
        <w:rPr>
          <w:rFonts w:hint="eastAsia"/>
          <w:color w:val="auto"/>
          <w:highlight w:val="none"/>
          <w:lang w:eastAsia="zh-CN"/>
        </w:rPr>
        <w:t>采购代理机构</w:t>
      </w:r>
      <w:r>
        <w:rPr>
          <w:rFonts w:hint="eastAsia"/>
          <w:color w:val="auto"/>
          <w:highlight w:val="none"/>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color w:val="auto"/>
          <w:highlight w:val="none"/>
          <w:lang w:eastAsia="zh-CN"/>
        </w:rPr>
        <w:t>采购代理机构</w:t>
      </w:r>
      <w:r>
        <w:rPr>
          <w:rFonts w:hint="eastAsia"/>
          <w:color w:val="auto"/>
          <w:highlight w:val="none"/>
        </w:rPr>
        <w:t>在质疑回复后5个工作日内，在</w:t>
      </w:r>
      <w:r>
        <w:rPr>
          <w:rFonts w:hint="eastAsia"/>
          <w:color w:val="auto"/>
          <w:highlight w:val="none"/>
          <w:lang w:eastAsia="zh-CN"/>
        </w:rPr>
        <w:t>乐采云平台</w:t>
      </w:r>
      <w:r>
        <w:rPr>
          <w:rFonts w:hint="eastAsia"/>
          <w:color w:val="auto"/>
          <w:highlight w:val="none"/>
        </w:rPr>
        <w:t>的“其他公告”栏目公开质疑答复，答复内容应当完整。质疑函作为附件上传。</w:t>
      </w:r>
    </w:p>
    <w:p w14:paraId="09A500F6">
      <w:pPr>
        <w:pStyle w:val="890"/>
        <w:shd w:val="clear" w:color="auto" w:fill="FFFFFF"/>
        <w:snapToGrid w:val="0"/>
        <w:spacing w:after="240" w:afterAutospacing="0" w:line="360" w:lineRule="auto"/>
        <w:ind w:firstLine="400"/>
        <w:contextualSpacing/>
        <w:rPr>
          <w:color w:val="auto"/>
          <w:highlight w:val="none"/>
        </w:rPr>
      </w:pPr>
      <w:r>
        <w:rPr>
          <w:rFonts w:hint="eastAsia"/>
          <w:color w:val="auto"/>
          <w:highlight w:val="none"/>
          <w:lang w:val="zh-CN"/>
        </w:rPr>
        <w:t>4.3</w:t>
      </w:r>
      <w:r>
        <w:rPr>
          <w:rFonts w:hint="eastAsia"/>
          <w:color w:val="auto"/>
          <w:highlight w:val="none"/>
        </w:rPr>
        <w:t>.6询问或者质疑事项可能影响采购结果的，采购人应当暂停签订合同，已经签订合同的，应当中止履行合同。</w:t>
      </w:r>
    </w:p>
    <w:p w14:paraId="08C22187">
      <w:pPr>
        <w:pStyle w:val="890"/>
        <w:shd w:val="clear" w:color="auto" w:fill="FFFFFF"/>
        <w:snapToGrid w:val="0"/>
        <w:spacing w:after="240" w:afterAutospacing="0" w:line="360" w:lineRule="auto"/>
        <w:ind w:firstLine="480" w:firstLineChars="200"/>
        <w:contextualSpacing/>
        <w:rPr>
          <w:color w:val="auto"/>
          <w:highlight w:val="none"/>
          <w:lang w:val="zh-CN"/>
        </w:rPr>
      </w:pPr>
      <w:r>
        <w:rPr>
          <w:rFonts w:hint="eastAsia"/>
          <w:color w:val="auto"/>
          <w:highlight w:val="none"/>
          <w:lang w:val="zh-CN"/>
        </w:rPr>
        <w:t>4.4供应商投诉</w:t>
      </w:r>
    </w:p>
    <w:p w14:paraId="00C69C11">
      <w:pPr>
        <w:pStyle w:val="890"/>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4.4.1质疑供应商对采购人、</w:t>
      </w:r>
      <w:r>
        <w:rPr>
          <w:rFonts w:hint="eastAsia"/>
          <w:color w:val="auto"/>
          <w:highlight w:val="none"/>
          <w:lang w:eastAsia="zh-CN"/>
        </w:rPr>
        <w:t>采购代理机构</w:t>
      </w:r>
      <w:r>
        <w:rPr>
          <w:rFonts w:hint="eastAsia"/>
          <w:color w:val="auto"/>
          <w:highlight w:val="none"/>
        </w:rPr>
        <w:t>的答复不满意或者采购人、</w:t>
      </w:r>
      <w:r>
        <w:rPr>
          <w:rFonts w:hint="eastAsia"/>
          <w:color w:val="auto"/>
          <w:highlight w:val="none"/>
          <w:lang w:eastAsia="zh-CN"/>
        </w:rPr>
        <w:t>采购代理机构</w:t>
      </w:r>
      <w:r>
        <w:rPr>
          <w:rFonts w:hint="eastAsia"/>
          <w:color w:val="auto"/>
          <w:highlight w:val="none"/>
        </w:rPr>
        <w:t>未在规定的时间内作出答复的，可以在答复期满后十五个工作日内向同级政府采购监督管理部门提出投诉。</w:t>
      </w:r>
    </w:p>
    <w:p w14:paraId="452C02D9">
      <w:pPr>
        <w:pStyle w:val="890"/>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4.4.</w:t>
      </w:r>
      <w:r>
        <w:rPr>
          <w:rFonts w:hint="eastAsia"/>
          <w:color w:val="auto"/>
          <w:highlight w:val="none"/>
          <w:lang w:val="zh-CN"/>
        </w:rPr>
        <w:t>2</w:t>
      </w:r>
      <w:r>
        <w:rPr>
          <w:rFonts w:hint="eastAsia"/>
          <w:color w:val="auto"/>
          <w:highlight w:val="none"/>
        </w:rPr>
        <w:t>供应商投诉的事项不得超出已质疑事项的范围，基于质疑答复内容提出的投诉事项除外。</w:t>
      </w:r>
    </w:p>
    <w:p w14:paraId="5117ABC7">
      <w:pPr>
        <w:pStyle w:val="890"/>
        <w:shd w:val="clear" w:color="auto" w:fill="FFFFFF"/>
        <w:snapToGrid w:val="0"/>
        <w:spacing w:after="240" w:afterAutospacing="0" w:line="360" w:lineRule="auto"/>
        <w:ind w:firstLine="400"/>
        <w:contextualSpacing/>
        <w:rPr>
          <w:rFonts w:hint="eastAsia"/>
          <w:color w:val="auto"/>
          <w:highlight w:val="none"/>
        </w:rPr>
      </w:pPr>
      <w:r>
        <w:rPr>
          <w:rFonts w:hint="eastAsia"/>
          <w:color w:val="auto"/>
          <w:highlight w:val="none"/>
        </w:rPr>
        <w:t>4.4.3供应商投诉应当有明确的请求和必要的证明材料。</w:t>
      </w:r>
    </w:p>
    <w:p w14:paraId="28D590E3">
      <w:pPr>
        <w:pStyle w:val="890"/>
        <w:shd w:val="clear" w:color="auto" w:fill="FFFFFF"/>
        <w:snapToGrid w:val="0"/>
        <w:spacing w:after="240" w:afterAutospacing="0" w:line="360" w:lineRule="auto"/>
        <w:ind w:firstLine="400"/>
        <w:contextualSpacing/>
        <w:rPr>
          <w:rFonts w:hint="eastAsia"/>
          <w:color w:val="auto"/>
          <w:highlight w:val="none"/>
        </w:rPr>
      </w:pPr>
      <w:r>
        <w:rPr>
          <w:rFonts w:hint="eastAsia"/>
          <w:color w:val="auto"/>
          <w:highlight w:val="none"/>
        </w:rPr>
        <w:t>4.4.4 以联合体形式参加政府采购活动的，其投诉应当由组成联合体的所有供应商共同提出。</w:t>
      </w:r>
    </w:p>
    <w:p w14:paraId="3E5D1B44">
      <w:pPr>
        <w:pStyle w:val="890"/>
        <w:shd w:val="clear" w:color="auto" w:fill="FFFFFF"/>
        <w:snapToGrid w:val="0"/>
        <w:spacing w:after="240" w:afterAutospacing="0" w:line="360" w:lineRule="auto"/>
        <w:ind w:firstLine="400"/>
        <w:contextualSpacing/>
        <w:rPr>
          <w:rFonts w:hint="eastAsia"/>
          <w:color w:val="auto"/>
          <w:highlight w:val="none"/>
        </w:rPr>
      </w:pPr>
      <w:r>
        <w:rPr>
          <w:rFonts w:hint="eastAsia"/>
          <w:color w:val="auto"/>
          <w:highlight w:val="none"/>
        </w:rPr>
        <w:t>4.5 补偿救济</w:t>
      </w:r>
    </w:p>
    <w:p w14:paraId="5D1985A4">
      <w:pPr>
        <w:pStyle w:val="890"/>
        <w:shd w:val="clear" w:color="auto" w:fill="FFFFFF"/>
        <w:snapToGrid w:val="0"/>
        <w:spacing w:after="240" w:afterAutospacing="0" w:line="360" w:lineRule="auto"/>
        <w:ind w:firstLine="400"/>
        <w:contextualSpacing/>
        <w:rPr>
          <w:rFonts w:hint="eastAsia"/>
          <w:color w:val="auto"/>
          <w:highlight w:val="none"/>
        </w:rPr>
      </w:pPr>
      <w:r>
        <w:rPr>
          <w:rFonts w:hint="eastAsia"/>
          <w:color w:val="auto"/>
          <w:highlight w:val="none"/>
        </w:rPr>
        <w:t>采购人（行政机关）因政策变化、规划调整而不履行政府采购合同的，供应商可依据《杭州市涉企补偿救济实施办法（试行）》向采购人（行政机关）提起补偿申请。</w:t>
      </w:r>
    </w:p>
    <w:p w14:paraId="15F74169">
      <w:pPr>
        <w:pStyle w:val="890"/>
        <w:shd w:val="clear" w:color="auto" w:fill="FFFFFF"/>
        <w:snapToGrid w:val="0"/>
        <w:spacing w:after="240" w:afterAutospacing="0" w:line="360" w:lineRule="auto"/>
        <w:ind w:firstLine="400"/>
        <w:contextualSpacing/>
        <w:rPr>
          <w:rFonts w:hint="eastAsia"/>
          <w:color w:val="auto"/>
          <w:highlight w:val="none"/>
        </w:rPr>
      </w:pPr>
      <w:r>
        <w:rPr>
          <w:rFonts w:hint="eastAsia"/>
          <w:color w:val="auto"/>
          <w:highlight w:val="none"/>
        </w:rPr>
        <w:t>投诉书范本及制作说明详见附件3。</w:t>
      </w:r>
    </w:p>
    <w:p w14:paraId="2616B736">
      <w:pPr>
        <w:pStyle w:val="134"/>
        <w:snapToGrid w:val="0"/>
        <w:spacing w:before="0"/>
        <w:ind w:firstLine="360"/>
        <w:rPr>
          <w:rFonts w:ascii="宋体" w:hAnsi="宋体" w:cs="宋体"/>
          <w:color w:val="auto"/>
          <w:sz w:val="18"/>
          <w:szCs w:val="18"/>
          <w:highlight w:val="none"/>
        </w:rPr>
      </w:pPr>
    </w:p>
    <w:p w14:paraId="0D5BDBC7">
      <w:pPr>
        <w:adjustRightInd/>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 xml:space="preserve">      二、招标文件的构成、澄清、修改</w:t>
      </w:r>
    </w:p>
    <w:p w14:paraId="67A9F1E9">
      <w:pPr>
        <w:pStyle w:val="36"/>
        <w:spacing w:line="360" w:lineRule="auto"/>
        <w:rPr>
          <w:rFonts w:hAnsi="宋体" w:cs="宋体"/>
          <w:b/>
          <w:color w:val="auto"/>
          <w:sz w:val="24"/>
          <w:szCs w:val="24"/>
          <w:highlight w:val="none"/>
        </w:rPr>
      </w:pPr>
      <w:r>
        <w:rPr>
          <w:rFonts w:hint="eastAsia" w:hAnsi="宋体" w:cs="宋体"/>
          <w:b/>
          <w:color w:val="auto"/>
          <w:sz w:val="24"/>
          <w:szCs w:val="24"/>
          <w:highlight w:val="none"/>
        </w:rPr>
        <w:t>5．招标文件的构成</w:t>
      </w:r>
    </w:p>
    <w:p w14:paraId="488B0C9C">
      <w:pPr>
        <w:pStyle w:val="3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5.1 招标文件包括下列文件及附件：</w:t>
      </w:r>
    </w:p>
    <w:p w14:paraId="606731B7">
      <w:pPr>
        <w:pStyle w:val="36"/>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5.1.1招标公告；</w:t>
      </w:r>
    </w:p>
    <w:p w14:paraId="76DA5AD0">
      <w:pPr>
        <w:pStyle w:val="36"/>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5.1.2投标人须知；</w:t>
      </w:r>
    </w:p>
    <w:p w14:paraId="39A5D794">
      <w:pPr>
        <w:pStyle w:val="36"/>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5.1.3采购需求；</w:t>
      </w:r>
    </w:p>
    <w:p w14:paraId="5E2E76A1">
      <w:pPr>
        <w:pStyle w:val="36"/>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5.1.4评标办法；</w:t>
      </w:r>
    </w:p>
    <w:p w14:paraId="2C2A3A92">
      <w:pPr>
        <w:pStyle w:val="36"/>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5.1.5拟签订的合同文本；</w:t>
      </w:r>
    </w:p>
    <w:p w14:paraId="7E84FFDE">
      <w:pPr>
        <w:pStyle w:val="36"/>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highlight w:val="none"/>
        </w:rPr>
        <w:t>5.1.6</w:t>
      </w:r>
      <w:r>
        <w:rPr>
          <w:rFonts w:hint="eastAsia" w:hAnsi="宋体" w:cs="宋体"/>
          <w:color w:val="auto"/>
          <w:sz w:val="24"/>
          <w:szCs w:val="24"/>
          <w:highlight w:val="none"/>
        </w:rPr>
        <w:t>应提交的有关格式范例。</w:t>
      </w:r>
    </w:p>
    <w:p w14:paraId="238355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5.2与本项目有关的</w:t>
      </w:r>
      <w:r>
        <w:rPr>
          <w:rFonts w:hint="eastAsia" w:ascii="宋体" w:hAnsi="宋体" w:cs="宋体"/>
          <w:bCs/>
          <w:color w:val="auto"/>
          <w:sz w:val="24"/>
          <w:highlight w:val="none"/>
        </w:rPr>
        <w:t>澄清或者修改的内容为招标文件的组成部分</w:t>
      </w:r>
      <w:r>
        <w:rPr>
          <w:rFonts w:hint="eastAsia" w:ascii="宋体" w:hAnsi="宋体" w:cs="宋体"/>
          <w:color w:val="auto"/>
          <w:sz w:val="24"/>
          <w:highlight w:val="none"/>
        </w:rPr>
        <w:t>。</w:t>
      </w:r>
    </w:p>
    <w:p w14:paraId="41607F4C">
      <w:pPr>
        <w:pStyle w:val="36"/>
        <w:spacing w:line="360" w:lineRule="auto"/>
        <w:rPr>
          <w:rFonts w:hAnsi="宋体" w:cs="宋体"/>
          <w:b/>
          <w:color w:val="auto"/>
          <w:sz w:val="24"/>
          <w:szCs w:val="24"/>
          <w:highlight w:val="none"/>
        </w:rPr>
      </w:pPr>
      <w:r>
        <w:rPr>
          <w:rFonts w:hint="eastAsia" w:hAnsi="宋体" w:cs="宋体"/>
          <w:b/>
          <w:color w:val="auto"/>
          <w:sz w:val="24"/>
          <w:szCs w:val="24"/>
          <w:highlight w:val="none"/>
        </w:rPr>
        <w:t>6. 招标文件的澄清、修改</w:t>
      </w:r>
    </w:p>
    <w:p w14:paraId="6F94B13E">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6.1已获取招标文件的潜在投标人，若有问题需要澄清，应于投标截止时间前，以书面形式向</w:t>
      </w:r>
      <w:r>
        <w:rPr>
          <w:rFonts w:hint="eastAsia" w:ascii="宋体" w:hAnsi="宋体" w:cs="宋体"/>
          <w:color w:val="auto"/>
          <w:highlight w:val="none"/>
          <w:lang w:eastAsia="zh-CN"/>
        </w:rPr>
        <w:t>采购代理机构</w:t>
      </w:r>
      <w:r>
        <w:rPr>
          <w:rFonts w:hint="eastAsia" w:ascii="宋体" w:hAnsi="宋体" w:cs="宋体"/>
          <w:color w:val="auto"/>
          <w:highlight w:val="none"/>
        </w:rPr>
        <w:t>提出。</w:t>
      </w:r>
    </w:p>
    <w:p w14:paraId="5B7AA276">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 xml:space="preserve">6.2 </w:t>
      </w:r>
      <w:r>
        <w:rPr>
          <w:rFonts w:hint="eastAsia" w:ascii="宋体" w:hAnsi="宋体" w:cs="宋体"/>
          <w:color w:val="auto"/>
          <w:highlight w:val="none"/>
          <w:lang w:eastAsia="zh-CN"/>
        </w:rPr>
        <w:t>采购代理机构</w:t>
      </w:r>
      <w:r>
        <w:rPr>
          <w:rFonts w:hint="eastAsia" w:ascii="宋体" w:hAnsi="宋体" w:cs="宋体"/>
          <w:color w:val="auto"/>
          <w:highlight w:val="none"/>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05BB3A04">
      <w:pPr>
        <w:pStyle w:val="23"/>
        <w:rPr>
          <w:rFonts w:hAnsi="宋体" w:cs="宋体"/>
          <w:color w:val="auto"/>
          <w:sz w:val="18"/>
          <w:szCs w:val="18"/>
          <w:highlight w:val="none"/>
          <w:lang w:val="en-US"/>
        </w:rPr>
      </w:pPr>
      <w:r>
        <w:rPr>
          <w:rFonts w:hint="eastAsia" w:hAnsi="宋体" w:cs="宋体"/>
          <w:color w:val="auto"/>
          <w:szCs w:val="24"/>
          <w:highlight w:val="none"/>
          <w:lang w:val="en-US"/>
        </w:rPr>
        <w:t xml:space="preserve">    </w:t>
      </w:r>
    </w:p>
    <w:p w14:paraId="5C95B3A0">
      <w:pPr>
        <w:adjustRightInd/>
        <w:spacing w:line="360" w:lineRule="auto"/>
        <w:jc w:val="center"/>
        <w:outlineLvl w:val="0"/>
        <w:rPr>
          <w:rFonts w:ascii="宋体" w:hAnsi="宋体" w:cs="宋体"/>
          <w:b/>
          <w:color w:val="auto"/>
          <w:sz w:val="30"/>
          <w:szCs w:val="20"/>
          <w:highlight w:val="none"/>
        </w:rPr>
      </w:pPr>
      <w:r>
        <w:rPr>
          <w:rFonts w:hint="eastAsia" w:ascii="宋体" w:hAnsi="宋体" w:cs="宋体"/>
          <w:b/>
          <w:color w:val="auto"/>
          <w:sz w:val="30"/>
          <w:szCs w:val="20"/>
          <w:highlight w:val="none"/>
        </w:rPr>
        <w:t>三、投标</w:t>
      </w:r>
    </w:p>
    <w:p w14:paraId="5257AA68">
      <w:pPr>
        <w:pStyle w:val="36"/>
        <w:spacing w:line="360" w:lineRule="auto"/>
        <w:rPr>
          <w:rFonts w:hAnsi="宋体" w:cs="宋体"/>
          <w:b/>
          <w:color w:val="auto"/>
          <w:sz w:val="24"/>
          <w:szCs w:val="24"/>
          <w:highlight w:val="none"/>
        </w:rPr>
      </w:pPr>
      <w:r>
        <w:rPr>
          <w:rFonts w:hint="eastAsia" w:hAnsi="宋体" w:cs="宋体"/>
          <w:b/>
          <w:color w:val="auto"/>
          <w:sz w:val="24"/>
          <w:szCs w:val="24"/>
          <w:highlight w:val="none"/>
        </w:rPr>
        <w:t>7. 招标文件的获取</w:t>
      </w:r>
    </w:p>
    <w:p w14:paraId="340EA267">
      <w:pPr>
        <w:spacing w:line="360" w:lineRule="auto"/>
        <w:ind w:firstLine="480" w:firstLineChars="200"/>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详见招标公告中获取招标文件的时间期限、地点、方式及招标文件售价。</w:t>
      </w:r>
    </w:p>
    <w:p w14:paraId="4982BBDD">
      <w:pPr>
        <w:pStyle w:val="36"/>
        <w:spacing w:line="360" w:lineRule="auto"/>
        <w:rPr>
          <w:rFonts w:hAnsi="宋体" w:cs="宋体"/>
          <w:b/>
          <w:color w:val="auto"/>
          <w:sz w:val="24"/>
          <w:szCs w:val="24"/>
          <w:highlight w:val="none"/>
        </w:rPr>
      </w:pPr>
      <w:r>
        <w:rPr>
          <w:rFonts w:hint="eastAsia" w:hAnsi="宋体" w:cs="宋体"/>
          <w:b/>
          <w:color w:val="auto"/>
          <w:sz w:val="24"/>
          <w:szCs w:val="24"/>
          <w:highlight w:val="none"/>
        </w:rPr>
        <w:t>8.开标前答疑会或现场考察</w:t>
      </w:r>
    </w:p>
    <w:p w14:paraId="12AA8B67">
      <w:pPr>
        <w:pStyle w:val="3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采购人组织潜在投标人现场考察或者召开开标前答疑会的，潜在投标人按第二部分投标人须知前附表的规定参加现场考察或者开标前答疑会。</w:t>
      </w:r>
    </w:p>
    <w:p w14:paraId="2C170D02">
      <w:pPr>
        <w:pStyle w:val="36"/>
        <w:spacing w:line="360" w:lineRule="auto"/>
        <w:rPr>
          <w:rFonts w:hAnsi="宋体" w:cs="宋体"/>
          <w:b/>
          <w:color w:val="auto"/>
          <w:szCs w:val="24"/>
          <w:highlight w:val="none"/>
        </w:rPr>
      </w:pPr>
      <w:r>
        <w:rPr>
          <w:rFonts w:hint="eastAsia" w:hAnsi="宋体" w:cs="宋体"/>
          <w:b/>
          <w:color w:val="auto"/>
          <w:kern w:val="28"/>
          <w:sz w:val="24"/>
          <w:szCs w:val="24"/>
          <w:highlight w:val="none"/>
        </w:rPr>
        <w:t>9.投标保证金</w:t>
      </w:r>
    </w:p>
    <w:p w14:paraId="3BE05307">
      <w:pPr>
        <w:pStyle w:val="15"/>
        <w:spacing w:line="360" w:lineRule="auto"/>
        <w:ind w:firstLine="470" w:firstLineChars="196"/>
        <w:rPr>
          <w:rFonts w:hAnsi="宋体" w:cs="宋体"/>
          <w:color w:val="auto"/>
          <w:sz w:val="24"/>
          <w:highlight w:val="none"/>
        </w:rPr>
      </w:pPr>
      <w:r>
        <w:rPr>
          <w:rFonts w:hint="eastAsia" w:hAnsi="宋体" w:cs="宋体"/>
          <w:color w:val="auto"/>
          <w:sz w:val="24"/>
          <w:highlight w:val="none"/>
        </w:rPr>
        <w:t>本项目不需缴纳投标保证金。</w:t>
      </w:r>
    </w:p>
    <w:p w14:paraId="4EEF1C36">
      <w:pPr>
        <w:pStyle w:val="36"/>
        <w:spacing w:line="360" w:lineRule="auto"/>
        <w:rPr>
          <w:rFonts w:hAnsi="宋体" w:cs="宋体"/>
          <w:b/>
          <w:color w:val="auto"/>
          <w:sz w:val="24"/>
          <w:szCs w:val="24"/>
          <w:highlight w:val="none"/>
        </w:rPr>
      </w:pPr>
      <w:r>
        <w:rPr>
          <w:rFonts w:hint="eastAsia" w:hAnsi="宋体" w:cs="宋体"/>
          <w:b/>
          <w:color w:val="auto"/>
          <w:sz w:val="24"/>
          <w:szCs w:val="24"/>
          <w:highlight w:val="none"/>
        </w:rPr>
        <w:t>10. 投标文件的语言</w:t>
      </w:r>
    </w:p>
    <w:p w14:paraId="7C79E27A">
      <w:pPr>
        <w:autoSpaceDE w:val="0"/>
        <w:autoSpaceDN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投标文件及投标人与采购有关的来往通知、函件和文件均应使用中文。</w:t>
      </w:r>
    </w:p>
    <w:p w14:paraId="021F7551">
      <w:pPr>
        <w:pStyle w:val="36"/>
        <w:spacing w:line="360" w:lineRule="auto"/>
        <w:rPr>
          <w:rFonts w:hAnsi="宋体" w:cs="宋体"/>
          <w:b/>
          <w:color w:val="auto"/>
          <w:sz w:val="24"/>
          <w:szCs w:val="24"/>
          <w:highlight w:val="none"/>
        </w:rPr>
      </w:pPr>
      <w:r>
        <w:rPr>
          <w:rFonts w:hint="eastAsia" w:hAnsi="宋体" w:cs="宋体"/>
          <w:b/>
          <w:color w:val="auto"/>
          <w:sz w:val="24"/>
          <w:szCs w:val="24"/>
          <w:highlight w:val="none"/>
        </w:rPr>
        <w:t>11. 投标文件的组成</w:t>
      </w:r>
    </w:p>
    <w:p w14:paraId="42B5BCD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11.1</w:t>
      </w:r>
      <w:r>
        <w:rPr>
          <w:rFonts w:hint="eastAsia" w:ascii="宋体" w:hAnsi="宋体" w:cs="宋体"/>
          <w:b/>
          <w:color w:val="auto"/>
          <w:sz w:val="24"/>
          <w:highlight w:val="none"/>
        </w:rPr>
        <w:t>资格文件</w:t>
      </w:r>
      <w:r>
        <w:rPr>
          <w:rFonts w:hint="eastAsia" w:ascii="宋体" w:hAnsi="宋体" w:cs="宋体"/>
          <w:color w:val="auto"/>
          <w:sz w:val="24"/>
          <w:highlight w:val="none"/>
        </w:rPr>
        <w:t>：</w:t>
      </w:r>
    </w:p>
    <w:p w14:paraId="1B7A8220">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11.1.1符合参加政府采购活动应当具备的一般条件的承诺函；</w:t>
      </w:r>
    </w:p>
    <w:p w14:paraId="7E1E1DCF">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1.1.2</w:t>
      </w:r>
      <w:bookmarkStart w:id="19" w:name="_Hlk101259339"/>
      <w:r>
        <w:rPr>
          <w:rFonts w:hint="eastAsia" w:ascii="宋体" w:hAnsi="宋体" w:cs="宋体"/>
          <w:snapToGrid w:val="0"/>
          <w:color w:val="auto"/>
          <w:kern w:val="28"/>
          <w:sz w:val="24"/>
          <w:szCs w:val="20"/>
          <w:highlight w:val="none"/>
        </w:rPr>
        <w:t>联合协议</w:t>
      </w:r>
      <w:bookmarkEnd w:id="19"/>
      <w:r>
        <w:rPr>
          <w:rFonts w:hint="eastAsia" w:ascii="宋体" w:hAnsi="宋体" w:cs="宋体"/>
          <w:snapToGrid w:val="0"/>
          <w:color w:val="auto"/>
          <w:kern w:val="28"/>
          <w:sz w:val="24"/>
          <w:szCs w:val="20"/>
          <w:highlight w:val="none"/>
        </w:rPr>
        <w:t>（如果有)；</w:t>
      </w:r>
    </w:p>
    <w:p w14:paraId="7810A99A">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w:t>
      </w:r>
    </w:p>
    <w:p w14:paraId="3E7CD7B2">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4</w:t>
      </w:r>
      <w:r>
        <w:rPr>
          <w:rFonts w:hint="eastAsia" w:ascii="宋体" w:hAnsi="宋体" w:cs="宋体"/>
          <w:color w:val="auto"/>
          <w:sz w:val="24"/>
          <w:highlight w:val="none"/>
        </w:rPr>
        <w:t>本项目的特定资格要求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1F9F5E2D">
      <w:pPr>
        <w:snapToGrid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4514E48C">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11.2.1投标函；</w:t>
      </w:r>
      <w:r>
        <w:rPr>
          <w:rFonts w:hint="eastAsia" w:ascii="宋体" w:hAnsi="宋体" w:cs="宋体"/>
          <w:color w:val="auto"/>
          <w:sz w:val="24"/>
          <w:highlight w:val="none"/>
          <w:lang w:val="zh-CN"/>
        </w:rPr>
        <w:t xml:space="preserve"> </w:t>
      </w:r>
    </w:p>
    <w:p w14:paraId="681F29D3">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11.2.2授权委托书或法定代表人（单位负责人、自然人本人）身份证明；</w:t>
      </w:r>
    </w:p>
    <w:p w14:paraId="2A026DE2">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3</w:t>
      </w:r>
      <w:r>
        <w:rPr>
          <w:rFonts w:hint="eastAsia" w:ascii="宋体" w:hAnsi="宋体" w:cs="宋体"/>
          <w:color w:val="auto"/>
          <w:sz w:val="24"/>
          <w:highlight w:val="none"/>
        </w:rPr>
        <w:t>分包意向协议</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34E68394">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4</w:t>
      </w:r>
      <w:r>
        <w:rPr>
          <w:rFonts w:hint="eastAsia" w:ascii="宋体" w:hAnsi="宋体" w:cs="宋体"/>
          <w:color w:val="auto"/>
          <w:sz w:val="24"/>
          <w:highlight w:val="none"/>
        </w:rPr>
        <w:t>符合性审查资料；</w:t>
      </w:r>
    </w:p>
    <w:p w14:paraId="180C34ED">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5</w:t>
      </w:r>
      <w:r>
        <w:rPr>
          <w:rFonts w:hint="eastAsia" w:ascii="宋体" w:hAnsi="宋体" w:cs="宋体"/>
          <w:color w:val="auto"/>
          <w:sz w:val="24"/>
          <w:highlight w:val="none"/>
        </w:rPr>
        <w:t>评标标准相应的商务技术资料；</w:t>
      </w:r>
    </w:p>
    <w:p w14:paraId="28A1F947">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6</w:t>
      </w:r>
      <w:r>
        <w:rPr>
          <w:rFonts w:hint="eastAsia" w:ascii="宋体" w:hAnsi="宋体" w:cs="宋体"/>
          <w:color w:val="auto"/>
          <w:sz w:val="24"/>
          <w:highlight w:val="none"/>
        </w:rPr>
        <w:t>投标标的清单；</w:t>
      </w:r>
    </w:p>
    <w:p w14:paraId="54054C52">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7</w:t>
      </w:r>
      <w:r>
        <w:rPr>
          <w:rFonts w:hint="eastAsia" w:ascii="宋体" w:hAnsi="宋体" w:cs="宋体"/>
          <w:color w:val="auto"/>
          <w:sz w:val="24"/>
          <w:highlight w:val="none"/>
        </w:rPr>
        <w:t>商务技术偏离表；</w:t>
      </w:r>
    </w:p>
    <w:p w14:paraId="13D5FC16">
      <w:pPr>
        <w:snapToGrid w:val="0"/>
        <w:spacing w:line="360" w:lineRule="auto"/>
        <w:ind w:firstLine="960" w:firstLineChars="4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ascii="宋体" w:hAnsi="宋体" w:cs="宋体"/>
          <w:color w:val="auto"/>
          <w:sz w:val="24"/>
          <w:highlight w:val="none"/>
        </w:rPr>
        <w:t>8</w:t>
      </w:r>
      <w:r>
        <w:rPr>
          <w:rFonts w:hint="eastAsia" w:ascii="宋体" w:hAnsi="宋体" w:cs="宋体"/>
          <w:color w:val="auto"/>
          <w:sz w:val="24"/>
          <w:highlight w:val="none"/>
          <w:lang w:val="zh-CN"/>
        </w:rPr>
        <w:t>政府采购供应商廉洁自律承诺书；</w:t>
      </w:r>
    </w:p>
    <w:p w14:paraId="4A450EB8">
      <w:pPr>
        <w:snapToGrid w:val="0"/>
        <w:spacing w:line="360" w:lineRule="auto"/>
        <w:ind w:firstLine="480" w:firstLineChars="200"/>
        <w:rPr>
          <w:rFonts w:ascii="宋体" w:hAnsi="宋体" w:cs="宋体"/>
          <w:color w:val="auto"/>
          <w:sz w:val="24"/>
          <w:highlight w:val="none"/>
          <w:u w:val="single"/>
          <w:lang w:val="zh-CN"/>
        </w:rPr>
      </w:pPr>
      <w:r>
        <w:rPr>
          <w:rFonts w:hint="eastAsia" w:ascii="宋体" w:hAnsi="宋体" w:cs="宋体"/>
          <w:color w:val="auto"/>
          <w:kern w:val="0"/>
          <w:sz w:val="24"/>
          <w:highlight w:val="none"/>
          <w:lang w:val="zh-CN"/>
        </w:rPr>
        <w:t>11.</w:t>
      </w:r>
      <w:r>
        <w:rPr>
          <w:rFonts w:hint="eastAsia" w:ascii="宋体" w:hAnsi="宋体" w:cs="宋体"/>
          <w:color w:val="auto"/>
          <w:kern w:val="0"/>
          <w:sz w:val="24"/>
          <w:highlight w:val="none"/>
        </w:rPr>
        <w:t>3</w:t>
      </w:r>
      <w:r>
        <w:rPr>
          <w:rFonts w:hint="eastAsia" w:ascii="宋体" w:hAnsi="宋体" w:cs="宋体"/>
          <w:b/>
          <w:color w:val="auto"/>
          <w:sz w:val="24"/>
          <w:highlight w:val="none"/>
        </w:rPr>
        <w:t>报价文件：</w:t>
      </w:r>
      <w:r>
        <w:rPr>
          <w:rFonts w:hint="eastAsia" w:ascii="宋体" w:hAnsi="宋体" w:cs="宋体"/>
          <w:color w:val="auto"/>
          <w:sz w:val="24"/>
          <w:highlight w:val="none"/>
        </w:rPr>
        <w:t xml:space="preserve"> </w:t>
      </w:r>
    </w:p>
    <w:p w14:paraId="2DCDEAE2">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11.3.1开标一览表（报价表）；</w:t>
      </w:r>
    </w:p>
    <w:p w14:paraId="31131E85">
      <w:pPr>
        <w:pStyle w:val="83"/>
        <w:adjustRightInd w:val="0"/>
        <w:spacing w:line="360" w:lineRule="auto"/>
        <w:ind w:firstLine="960" w:firstLineChars="400"/>
        <w:rPr>
          <w:color w:val="auto"/>
          <w:highlight w:val="none"/>
        </w:rPr>
      </w:pPr>
      <w:r>
        <w:rPr>
          <w:rFonts w:hint="eastAsia" w:ascii="宋体" w:hAnsi="宋体" w:eastAsia="宋体" w:cs="宋体"/>
          <w:b w:val="0"/>
          <w:bCs w:val="0"/>
          <w:color w:val="auto"/>
          <w:sz w:val="24"/>
          <w:szCs w:val="24"/>
          <w:highlight w:val="none"/>
          <w:lang w:val="en-US"/>
        </w:rPr>
        <w:t>11.3.</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rPr>
        <w:t xml:space="preserve"> 报价情况说明（如供应商报价低于项目预算50%的，应当提交本文档，详细阐述不影响产品质量或者诚信履约的具体原因）</w:t>
      </w:r>
      <w:r>
        <w:rPr>
          <w:rFonts w:hint="eastAsia" w:ascii="宋体" w:hAnsi="宋体" w:eastAsia="宋体" w:cs="宋体"/>
          <w:b w:val="0"/>
          <w:bCs w:val="0"/>
          <w:color w:val="auto"/>
          <w:sz w:val="24"/>
          <w:szCs w:val="24"/>
          <w:highlight w:val="none"/>
          <w:lang w:val="en-US" w:eastAsia="zh-CN"/>
        </w:rPr>
        <w:t>；</w:t>
      </w:r>
    </w:p>
    <w:p w14:paraId="0FB6CA73">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中小企业声明函。</w:t>
      </w:r>
    </w:p>
    <w:p w14:paraId="14B2012A">
      <w:pPr>
        <w:spacing w:line="360" w:lineRule="auto"/>
        <w:ind w:firstLine="723" w:firstLineChars="300"/>
        <w:rPr>
          <w:rFonts w:ascii="宋体" w:hAnsi="宋体" w:cs="宋体"/>
          <w:b/>
          <w:color w:val="auto"/>
          <w:sz w:val="24"/>
          <w:highlight w:val="none"/>
        </w:rPr>
      </w:pPr>
      <w:r>
        <w:rPr>
          <w:rFonts w:hint="eastAsia" w:ascii="宋体" w:hAnsi="宋体" w:cs="宋体"/>
          <w:b/>
          <w:color w:val="auto"/>
          <w:sz w:val="24"/>
          <w:highlight w:val="none"/>
        </w:rPr>
        <w:t>投标文件含有采购人不能接受的附加条件的，投标无效；</w:t>
      </w:r>
    </w:p>
    <w:p w14:paraId="34CE7DB7">
      <w:pPr>
        <w:spacing w:line="360" w:lineRule="auto"/>
        <w:ind w:firstLine="723" w:firstLineChars="300"/>
        <w:rPr>
          <w:rFonts w:hint="eastAsia" w:ascii="宋体" w:hAnsi="宋体" w:cs="宋体"/>
          <w:b/>
          <w:color w:val="auto"/>
          <w:sz w:val="24"/>
          <w:highlight w:val="none"/>
        </w:rPr>
      </w:pPr>
      <w:r>
        <w:rPr>
          <w:rFonts w:hint="eastAsia" w:ascii="宋体" w:hAnsi="宋体" w:cs="宋体"/>
          <w:b/>
          <w:color w:val="auto"/>
          <w:sz w:val="24"/>
          <w:highlight w:val="none"/>
        </w:rPr>
        <w:t>投标人提供虚假材料投标的，投标无效。</w:t>
      </w:r>
    </w:p>
    <w:p w14:paraId="78246F1A">
      <w:pPr>
        <w:spacing w:line="360" w:lineRule="auto"/>
        <w:ind w:firstLine="720" w:firstLineChars="300"/>
        <w:rPr>
          <w:rFonts w:hint="eastAsia"/>
          <w:color w:val="auto"/>
          <w:sz w:val="24"/>
          <w:szCs w:val="24"/>
          <w:highlight w:val="none"/>
          <w:shd w:val="clear" w:color="auto" w:fill="FFFFFF"/>
          <w:lang w:val="en-US" w:eastAsia="zh-CN"/>
        </w:rPr>
      </w:pPr>
      <w:r>
        <w:rPr>
          <w:rFonts w:hint="eastAsia"/>
          <w:color w:val="auto"/>
          <w:sz w:val="24"/>
          <w:szCs w:val="24"/>
          <w:highlight w:val="none"/>
          <w:shd w:val="clear" w:color="auto" w:fill="FFFFFF"/>
          <w:lang w:val="en-US" w:eastAsia="zh-CN"/>
        </w:rPr>
        <w:t>投标人应对投标文件中材料的真实性、合法性负责。</w:t>
      </w:r>
    </w:p>
    <w:p w14:paraId="3F02C5A7">
      <w:pPr>
        <w:pStyle w:val="134"/>
        <w:snapToGrid w:val="0"/>
        <w:spacing w:before="0"/>
        <w:ind w:firstLine="0" w:firstLineChars="0"/>
        <w:outlineLvl w:val="0"/>
        <w:rPr>
          <w:rFonts w:hint="eastAsia" w:ascii="宋体" w:hAnsi="宋体" w:cs="宋体"/>
          <w:b/>
          <w:color w:val="auto"/>
          <w:szCs w:val="24"/>
          <w:highlight w:val="none"/>
        </w:rPr>
      </w:pPr>
    </w:p>
    <w:p w14:paraId="39A8C482">
      <w:pPr>
        <w:pStyle w:val="134"/>
        <w:snapToGrid w:val="0"/>
        <w:spacing w:before="0"/>
        <w:ind w:firstLine="0" w:firstLineChars="0"/>
        <w:outlineLvl w:val="0"/>
        <w:rPr>
          <w:rFonts w:ascii="宋体" w:hAnsi="宋体" w:cs="宋体"/>
          <w:b/>
          <w:color w:val="auto"/>
          <w:szCs w:val="24"/>
          <w:highlight w:val="none"/>
        </w:rPr>
      </w:pPr>
      <w:r>
        <w:rPr>
          <w:rFonts w:hint="eastAsia" w:ascii="宋体" w:hAnsi="宋体" w:cs="宋体"/>
          <w:b/>
          <w:color w:val="auto"/>
          <w:szCs w:val="24"/>
          <w:highlight w:val="none"/>
        </w:rPr>
        <w:t>12</w:t>
      </w:r>
      <w:r>
        <w:rPr>
          <w:rFonts w:hint="eastAsia" w:ascii="宋体" w:hAnsi="宋体" w:cs="宋体"/>
          <w:b/>
          <w:color w:val="auto"/>
          <w:kern w:val="0"/>
          <w:szCs w:val="24"/>
          <w:highlight w:val="none"/>
          <w:lang w:val="zh-CN"/>
        </w:rPr>
        <w:t xml:space="preserve">. </w:t>
      </w:r>
      <w:r>
        <w:rPr>
          <w:rFonts w:hint="eastAsia" w:ascii="宋体" w:hAnsi="宋体" w:cs="宋体"/>
          <w:b/>
          <w:color w:val="auto"/>
          <w:szCs w:val="24"/>
          <w:highlight w:val="none"/>
        </w:rPr>
        <w:t>投标文件的编制</w:t>
      </w:r>
    </w:p>
    <w:p w14:paraId="4D515805">
      <w:pPr>
        <w:spacing w:line="360" w:lineRule="auto"/>
        <w:ind w:firstLine="480" w:firstLineChars="200"/>
        <w:rPr>
          <w:rFonts w:ascii="宋体" w:hAnsi="宋体" w:cs="宋体"/>
          <w:b/>
          <w:color w:val="auto"/>
          <w:sz w:val="24"/>
          <w:highlight w:val="none"/>
        </w:rPr>
      </w:pPr>
      <w:r>
        <w:rPr>
          <w:rFonts w:hint="eastAsia" w:ascii="宋体" w:hAnsi="宋体" w:cs="宋体"/>
          <w:color w:val="auto"/>
          <w:kern w:val="0"/>
          <w:sz w:val="24"/>
          <w:highlight w:val="none"/>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4735CCB8">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12.2投标人进行电子投标应安装客户端软件—“乐采云电子交易客户端”，并按照招标文件和电子交易平台的要求编制并加密投标文件。投标人未按规定加密的投标文件，电子交易平台将拒收并提示。</w:t>
      </w:r>
    </w:p>
    <w:p w14:paraId="5878EA37">
      <w:pPr>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12.3使用“乐采云电子交易客户端”需要提前申领CA数字证书，申领流程请自行前往“乐采云平台”下载（</w:t>
      </w:r>
      <w:r>
        <w:rPr>
          <w:rFonts w:hint="eastAsia" w:ascii="宋体" w:hAnsi="宋体" w:cs="宋体"/>
          <w:color w:val="auto"/>
          <w:sz w:val="24"/>
          <w:highlight w:val="none"/>
        </w:rPr>
        <w:t>https://b.zhengcaiyun.cn/luban/category?parentId=550045&amp;childrenCode=qicaiCategory17&amp;utm=luban.luban-PC-39026.959-pc-websitegroup-navBar-front.8.c8789bc0520b11efb86dbfa49a87be0d）</w:t>
      </w:r>
      <w:r>
        <w:rPr>
          <w:rFonts w:hint="eastAsia" w:ascii="宋体" w:hAnsi="宋体" w:cs="宋体"/>
          <w:color w:val="auto"/>
          <w:kern w:val="0"/>
          <w:sz w:val="24"/>
          <w:highlight w:val="none"/>
          <w:lang w:val="zh-CN"/>
        </w:rPr>
        <w:t>）。</w:t>
      </w:r>
    </w:p>
    <w:p w14:paraId="38B6F5D1">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13.投标文件的签署、盖章</w:t>
      </w:r>
    </w:p>
    <w:p w14:paraId="000F45BA">
      <w:pPr>
        <w:pStyle w:val="134"/>
        <w:snapToGrid w:val="0"/>
        <w:spacing w:before="0"/>
        <w:ind w:firstLine="480"/>
        <w:rPr>
          <w:rFonts w:ascii="宋体" w:hAnsi="宋体" w:cs="宋体"/>
          <w:b/>
          <w:color w:val="auto"/>
          <w:highlight w:val="none"/>
        </w:rPr>
      </w:pPr>
      <w:r>
        <w:rPr>
          <w:rFonts w:hint="eastAsia" w:ascii="宋体" w:hAnsi="宋体" w:cs="宋体"/>
          <w:color w:val="auto"/>
          <w:szCs w:val="24"/>
          <w:highlight w:val="none"/>
        </w:rPr>
        <w:t>13.1投标文件按照招标文件第六部分格式要</w:t>
      </w:r>
      <w:r>
        <w:rPr>
          <w:rFonts w:hint="eastAsia" w:ascii="宋体" w:hAnsi="宋体" w:cs="宋体"/>
          <w:color w:val="auto"/>
          <w:highlight w:val="none"/>
        </w:rPr>
        <w:t>求进行签署、盖章。</w:t>
      </w:r>
      <w:r>
        <w:rPr>
          <w:rFonts w:hint="eastAsia" w:ascii="宋体" w:hAnsi="宋体" w:cs="宋体"/>
          <w:b/>
          <w:color w:val="auto"/>
          <w:highlight w:val="none"/>
        </w:rPr>
        <w:t>▲投标人的投标文件未按照招标文件要求签署、盖章的，其投标无效</w:t>
      </w:r>
      <w:r>
        <w:rPr>
          <w:rFonts w:hint="eastAsia" w:ascii="宋体" w:hAnsi="宋体" w:cs="宋体"/>
          <w:color w:val="auto"/>
          <w:szCs w:val="24"/>
          <w:highlight w:val="none"/>
        </w:rPr>
        <w:t>。</w:t>
      </w:r>
    </w:p>
    <w:p w14:paraId="138A1145">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13.2为确保网上操作合法、有效和安全，投标人应当在投标截止时间前完成在“</w:t>
      </w:r>
      <w:r>
        <w:rPr>
          <w:rFonts w:hint="eastAsia" w:ascii="宋体" w:hAnsi="宋体" w:cs="宋体"/>
          <w:color w:val="auto"/>
          <w:highlight w:val="none"/>
          <w:lang w:eastAsia="zh-CN"/>
        </w:rPr>
        <w:t>乐采云平台</w:t>
      </w:r>
      <w:r>
        <w:rPr>
          <w:rFonts w:hint="eastAsia" w:ascii="宋体" w:hAnsi="宋体" w:cs="宋体"/>
          <w:color w:val="auto"/>
          <w:highlight w:val="none"/>
        </w:rPr>
        <w:t>”的身份认证，确保在电子投标过程中能够对相关数据电文进行加密和使用电子签名。</w:t>
      </w:r>
    </w:p>
    <w:p w14:paraId="1572D021">
      <w:pPr>
        <w:pStyle w:val="134"/>
        <w:snapToGrid w:val="0"/>
        <w:spacing w:before="0"/>
        <w:ind w:firstLine="480"/>
        <w:rPr>
          <w:rFonts w:ascii="宋体" w:hAnsi="宋体" w:cs="宋体"/>
          <w:color w:val="auto"/>
          <w:szCs w:val="24"/>
          <w:highlight w:val="none"/>
        </w:rPr>
      </w:pPr>
      <w:r>
        <w:rPr>
          <w:rFonts w:hint="eastAsia" w:ascii="宋体" w:hAnsi="宋体" w:cs="宋体"/>
          <w:color w:val="auto"/>
          <w:highlight w:val="none"/>
        </w:rPr>
        <w:t>13.3招标文件对投标文件签署、盖章的要求适用于电子签名。</w:t>
      </w:r>
    </w:p>
    <w:p w14:paraId="41A3AF39">
      <w:pPr>
        <w:pStyle w:val="134"/>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14. 投标文件的提交、补充、修改、撤回</w:t>
      </w:r>
    </w:p>
    <w:p w14:paraId="3857AF0E">
      <w:pPr>
        <w:pStyle w:val="134"/>
        <w:ind w:firstLine="480"/>
        <w:rPr>
          <w:rFonts w:ascii="宋体" w:hAnsi="宋体" w:cs="宋体"/>
          <w:color w:val="auto"/>
          <w:szCs w:val="24"/>
          <w:highlight w:val="none"/>
        </w:rPr>
      </w:pPr>
      <w:r>
        <w:rPr>
          <w:rFonts w:hint="eastAsia" w:ascii="宋体" w:hAnsi="宋体" w:cs="宋体"/>
          <w:color w:val="auto"/>
          <w:szCs w:val="24"/>
          <w:highlight w:val="none"/>
        </w:rPr>
        <w:t>14.1 供应商应当在投标截止时间前完成投标文件的传输递交，并可以补充、修改或者撤回投标文件。补充或者修改投标文件的，应当先行撤回原文件，补充、修改后重新传输递交。供应商撤回投标不得损害国家利益、社会公共利益、采购人利益、代理机构利益、其他供应商利益，否则，供应商撤销（撤回）投标无效。投标截止时间前未完成传输的，视为撤回投标文件。投标截止时间后递交的投标文件，电子交易平台将拒收。</w:t>
      </w:r>
    </w:p>
    <w:p w14:paraId="1E40C241">
      <w:pPr>
        <w:pStyle w:val="134"/>
        <w:spacing w:before="0"/>
        <w:ind w:firstLine="480"/>
        <w:rPr>
          <w:rFonts w:ascii="宋体" w:hAnsi="宋体" w:cs="宋体"/>
          <w:color w:val="auto"/>
          <w:szCs w:val="24"/>
          <w:highlight w:val="none"/>
        </w:rPr>
      </w:pPr>
      <w:r>
        <w:rPr>
          <w:rFonts w:hint="eastAsia" w:ascii="宋体" w:hAnsi="宋体" w:cs="宋体"/>
          <w:color w:val="auto"/>
          <w:szCs w:val="24"/>
          <w:highlight w:val="none"/>
        </w:rPr>
        <w:t>14.2电子交易平台收到投标文件，将妥善保存并即时向供应商发出确认回执通知。在投标截止时间前，除供应商补充、修改或者撤回投标文件外，任何单位和个人不得解密或提取投标文件。</w:t>
      </w:r>
    </w:p>
    <w:p w14:paraId="64EA02DE">
      <w:pPr>
        <w:pStyle w:val="134"/>
        <w:spacing w:before="0"/>
        <w:ind w:firstLine="480"/>
        <w:rPr>
          <w:rFonts w:ascii="宋体" w:hAnsi="宋体" w:cs="宋体"/>
          <w:color w:val="auto"/>
          <w:szCs w:val="24"/>
          <w:highlight w:val="none"/>
        </w:rPr>
      </w:pPr>
      <w:r>
        <w:rPr>
          <w:rFonts w:hint="eastAsia" w:ascii="宋体" w:hAnsi="宋体" w:cs="宋体"/>
          <w:color w:val="auto"/>
          <w:szCs w:val="24"/>
          <w:highlight w:val="none"/>
        </w:rPr>
        <w:t>14.3采购人、</w:t>
      </w:r>
      <w:r>
        <w:rPr>
          <w:rFonts w:hint="eastAsia" w:ascii="宋体" w:hAnsi="宋体" w:cs="宋体"/>
          <w:color w:val="auto"/>
          <w:szCs w:val="24"/>
          <w:highlight w:val="none"/>
          <w:lang w:eastAsia="zh-CN"/>
        </w:rPr>
        <w:t>采购代理机构</w:t>
      </w:r>
      <w:r>
        <w:rPr>
          <w:rFonts w:hint="eastAsia" w:ascii="宋体" w:hAnsi="宋体" w:cs="宋体"/>
          <w:color w:val="auto"/>
          <w:szCs w:val="24"/>
          <w:highlight w:val="none"/>
        </w:rPr>
        <w:t>可以视情况延长投标文件提交的截止时间。在上述情况下，</w:t>
      </w:r>
      <w:r>
        <w:rPr>
          <w:rFonts w:hint="eastAsia" w:ascii="宋体" w:hAnsi="宋体" w:cs="宋体"/>
          <w:color w:val="auto"/>
          <w:szCs w:val="24"/>
          <w:highlight w:val="none"/>
          <w:lang w:eastAsia="zh-CN"/>
        </w:rPr>
        <w:t>采购代理机构</w:t>
      </w:r>
      <w:r>
        <w:rPr>
          <w:rFonts w:hint="eastAsia" w:ascii="宋体" w:hAnsi="宋体" w:cs="宋体"/>
          <w:color w:val="auto"/>
          <w:szCs w:val="24"/>
          <w:highlight w:val="none"/>
        </w:rPr>
        <w:t>与投标人以前在投标截止期方面的全部权利、责任和义务，将适用于延长至新的投标截止期。</w:t>
      </w:r>
    </w:p>
    <w:p w14:paraId="12DAEDB0">
      <w:pPr>
        <w:pStyle w:val="36"/>
        <w:spacing w:line="360" w:lineRule="auto"/>
        <w:rPr>
          <w:rFonts w:hAnsi="宋体" w:cs="宋体"/>
          <w:b/>
          <w:color w:val="auto"/>
          <w:sz w:val="24"/>
          <w:szCs w:val="24"/>
          <w:highlight w:val="none"/>
        </w:rPr>
      </w:pPr>
      <w:r>
        <w:rPr>
          <w:rFonts w:hint="eastAsia" w:hAnsi="宋体" w:cs="宋体"/>
          <w:b/>
          <w:color w:val="auto"/>
          <w:sz w:val="24"/>
          <w:szCs w:val="24"/>
          <w:highlight w:val="none"/>
        </w:rPr>
        <w:t>15.备份投标文件</w:t>
      </w:r>
    </w:p>
    <w:p w14:paraId="5083CD85">
      <w:pPr>
        <w:pStyle w:val="36"/>
        <w:spacing w:line="360" w:lineRule="auto"/>
        <w:ind w:firstLine="360" w:firstLineChars="150"/>
        <w:rPr>
          <w:rFonts w:hAnsi="宋体" w:cs="宋体"/>
          <w:b/>
          <w:color w:val="auto"/>
          <w:sz w:val="24"/>
          <w:szCs w:val="24"/>
          <w:highlight w:val="none"/>
        </w:rPr>
      </w:pPr>
      <w:r>
        <w:rPr>
          <w:rFonts w:hint="eastAsia" w:hAnsi="宋体" w:cs="宋体"/>
          <w:color w:val="auto"/>
          <w:sz w:val="24"/>
          <w:szCs w:val="24"/>
          <w:highlight w:val="none"/>
        </w:rPr>
        <w:t xml:space="preserve"> 15.1投标人在电子交易平台传输递交投标文件后，还可以在投标截止时间前直接提交或者以邮政快递方式递交备份投标文件1份，</w:t>
      </w:r>
      <w:r>
        <w:rPr>
          <w:rFonts w:hint="eastAsia" w:hAnsi="宋体" w:cs="宋体"/>
          <w:b/>
          <w:color w:val="auto"/>
          <w:sz w:val="24"/>
          <w:szCs w:val="24"/>
          <w:highlight w:val="none"/>
        </w:rPr>
        <w:t>但采购人、</w:t>
      </w:r>
      <w:r>
        <w:rPr>
          <w:rFonts w:hint="eastAsia" w:hAnsi="宋体" w:cs="宋体"/>
          <w:b/>
          <w:color w:val="auto"/>
          <w:sz w:val="24"/>
          <w:szCs w:val="24"/>
          <w:highlight w:val="none"/>
          <w:lang w:eastAsia="zh-CN"/>
        </w:rPr>
        <w:t>采购代理机构</w:t>
      </w:r>
      <w:r>
        <w:rPr>
          <w:rFonts w:hint="eastAsia" w:hAnsi="宋体" w:cs="宋体"/>
          <w:b/>
          <w:color w:val="auto"/>
          <w:sz w:val="24"/>
          <w:szCs w:val="24"/>
          <w:highlight w:val="none"/>
        </w:rPr>
        <w:t>不强制或变相强制投标人提交备份投标文件。</w:t>
      </w:r>
    </w:p>
    <w:p w14:paraId="02B3959C">
      <w:pPr>
        <w:pStyle w:val="36"/>
        <w:spacing w:line="360" w:lineRule="auto"/>
        <w:ind w:firstLine="480" w:firstLineChars="200"/>
        <w:rPr>
          <w:rFonts w:hAnsi="宋体" w:cs="宋体"/>
          <w:b/>
          <w:color w:val="auto"/>
          <w:sz w:val="24"/>
          <w:szCs w:val="24"/>
          <w:highlight w:val="none"/>
        </w:rPr>
      </w:pPr>
      <w:r>
        <w:rPr>
          <w:rFonts w:hint="eastAsia" w:hAnsi="宋体" w:cs="宋体"/>
          <w:color w:val="auto"/>
          <w:sz w:val="24"/>
          <w:szCs w:val="24"/>
          <w:highlight w:val="none"/>
        </w:rPr>
        <w:t>15.2备份投标文件须在“</w:t>
      </w:r>
      <w:r>
        <w:rPr>
          <w:rFonts w:hint="eastAsia" w:hAnsi="宋体" w:cs="宋体"/>
          <w:color w:val="auto"/>
          <w:sz w:val="24"/>
          <w:szCs w:val="24"/>
          <w:highlight w:val="none"/>
          <w:lang w:eastAsia="zh-CN"/>
        </w:rPr>
        <w:t>乐采云</w:t>
      </w:r>
      <w:r>
        <w:rPr>
          <w:rFonts w:hint="eastAsia" w:hAnsi="宋体" w:cs="宋体"/>
          <w:color w:val="auto"/>
          <w:sz w:val="24"/>
          <w:szCs w:val="24"/>
          <w:highlight w:val="none"/>
        </w:rPr>
        <w:t>投标客户端”制作生成，并储存在</w:t>
      </w:r>
      <w:r>
        <w:rPr>
          <w:rFonts w:hint="eastAsia" w:hAnsi="宋体" w:cs="宋体"/>
          <w:color w:val="auto"/>
          <w:sz w:val="24"/>
          <w:highlight w:val="none"/>
        </w:rPr>
        <w:t>DVD光盘</w:t>
      </w:r>
      <w:r>
        <w:rPr>
          <w:rFonts w:hint="eastAsia" w:hAnsi="宋体" w:cs="宋体"/>
          <w:color w:val="auto"/>
          <w:sz w:val="24"/>
          <w:highlight w:val="none"/>
          <w:lang w:eastAsia="zh-CN"/>
        </w:rPr>
        <w:t>或</w:t>
      </w:r>
      <w:r>
        <w:rPr>
          <w:rFonts w:hint="eastAsia" w:hAnsi="宋体" w:cs="宋体"/>
          <w:color w:val="auto"/>
          <w:sz w:val="24"/>
          <w:highlight w:val="none"/>
          <w:lang w:val="en-US" w:eastAsia="zh-CN"/>
        </w:rPr>
        <w:t>U盘等存储介质</w:t>
      </w:r>
      <w:r>
        <w:rPr>
          <w:rFonts w:hint="eastAsia" w:hAnsi="宋体" w:cs="宋体"/>
          <w:color w:val="auto"/>
          <w:sz w:val="24"/>
          <w:szCs w:val="24"/>
          <w:highlight w:val="none"/>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hAnsi="宋体" w:cs="宋体"/>
          <w:b/>
          <w:color w:val="auto"/>
          <w:sz w:val="24"/>
          <w:highlight w:val="none"/>
        </w:rPr>
        <w:t>不符合上述制作、</w:t>
      </w:r>
      <w:r>
        <w:rPr>
          <w:rFonts w:hint="eastAsia" w:hAnsi="宋体" w:cs="宋体"/>
          <w:b/>
          <w:color w:val="auto"/>
          <w:sz w:val="24"/>
          <w:szCs w:val="24"/>
          <w:highlight w:val="none"/>
        </w:rPr>
        <w:t>存储、密封规定的备份投标文件将被视为无效或者被拒绝接收。</w:t>
      </w:r>
    </w:p>
    <w:p w14:paraId="3A400402">
      <w:pPr>
        <w:pStyle w:val="3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15.3直接提交备份投标文件的，投标人应于投标截止时间前在招标公告中载明的开标地点将备份投标文件提交给</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将拒绝接受逾期送达的备份投标文件。</w:t>
      </w:r>
    </w:p>
    <w:p w14:paraId="2B5A6ABE">
      <w:pPr>
        <w:pStyle w:val="3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15.4以邮政快递方式递交备份投标文件的，投标人应先将备份投标文件按要求密封和标记，再进行邮政快递包装后邮寄。备份投标文件须在投标截止时间之前送达</w:t>
      </w:r>
      <w:r>
        <w:rPr>
          <w:rFonts w:hint="eastAsia" w:hAnsi="宋体" w:cs="宋体"/>
          <w:snapToGrid/>
          <w:color w:val="auto"/>
          <w:sz w:val="24"/>
          <w:szCs w:val="24"/>
          <w:highlight w:val="none"/>
        </w:rPr>
        <w:t>招标文件第二部分投标人须知前附表规定的备份投标文件送达地点；</w:t>
      </w:r>
      <w:r>
        <w:rPr>
          <w:rFonts w:hint="eastAsia" w:hAnsi="宋体" w:cs="宋体"/>
          <w:color w:val="auto"/>
          <w:sz w:val="24"/>
          <w:szCs w:val="24"/>
          <w:highlight w:val="none"/>
        </w:rPr>
        <w:t>送达时间以签收人签收时间为准。</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将拒绝接受逾期送达的备份投标文件。邮寄过程中，电子备份投标文件发生泄露、遗失、损坏或延期送达等情况的，由投标人自行负责。</w:t>
      </w:r>
    </w:p>
    <w:p w14:paraId="158E6D95">
      <w:pPr>
        <w:pStyle w:val="36"/>
        <w:spacing w:line="360" w:lineRule="auto"/>
        <w:ind w:firstLine="479" w:firstLineChars="199"/>
        <w:rPr>
          <w:rFonts w:hAnsi="宋体" w:cs="宋体"/>
          <w:b/>
          <w:color w:val="auto"/>
          <w:sz w:val="24"/>
          <w:szCs w:val="24"/>
          <w:highlight w:val="none"/>
        </w:rPr>
      </w:pPr>
      <w:r>
        <w:rPr>
          <w:rFonts w:hint="eastAsia" w:hAnsi="宋体" w:cs="宋体"/>
          <w:b/>
          <w:color w:val="auto"/>
          <w:sz w:val="24"/>
          <w:szCs w:val="24"/>
          <w:highlight w:val="none"/>
        </w:rPr>
        <w:t>15.5投标人仅提交备份投标文件，未在电子交易平台传输递交投标文件的，投标无效。</w:t>
      </w:r>
    </w:p>
    <w:p w14:paraId="16100F3B">
      <w:pPr>
        <w:pStyle w:val="134"/>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16.投标文件的无效处理</w:t>
      </w:r>
    </w:p>
    <w:p w14:paraId="6994A8F2">
      <w:pPr>
        <w:pStyle w:val="24"/>
        <w:spacing w:line="360" w:lineRule="auto"/>
        <w:ind w:firstLine="360" w:firstLineChars="150"/>
        <w:rPr>
          <w:rFonts w:cs="宋体"/>
          <w:color w:val="auto"/>
          <w:szCs w:val="21"/>
          <w:highlight w:val="none"/>
        </w:rPr>
      </w:pPr>
      <w:r>
        <w:rPr>
          <w:rFonts w:hint="eastAsia" w:cs="宋体"/>
          <w:color w:val="auto"/>
          <w:szCs w:val="21"/>
          <w:highlight w:val="none"/>
        </w:rPr>
        <w:t>有招标文件第四部分</w:t>
      </w:r>
      <w:r>
        <w:rPr>
          <w:rFonts w:cs="宋体"/>
          <w:color w:val="auto"/>
          <w:highlight w:val="none"/>
        </w:rPr>
        <w:t>4.2规定</w:t>
      </w:r>
      <w:r>
        <w:rPr>
          <w:rFonts w:hint="eastAsia" w:cs="宋体"/>
          <w:color w:val="auto"/>
          <w:szCs w:val="21"/>
          <w:highlight w:val="none"/>
        </w:rPr>
        <w:t>的情形之一的，投标无效：</w:t>
      </w:r>
    </w:p>
    <w:p w14:paraId="0D8BA389">
      <w:pPr>
        <w:pStyle w:val="134"/>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17.投标有效期</w:t>
      </w:r>
    </w:p>
    <w:p w14:paraId="09340863">
      <w:pPr>
        <w:spacing w:line="360" w:lineRule="auto"/>
        <w:ind w:firstLine="480" w:firstLineChars="200"/>
        <w:rPr>
          <w:rFonts w:ascii="宋体" w:hAnsi="宋体" w:cs="宋体"/>
          <w:b/>
          <w:color w:val="auto"/>
          <w:sz w:val="24"/>
          <w:szCs w:val="21"/>
          <w:highlight w:val="none"/>
        </w:rPr>
      </w:pPr>
      <w:r>
        <w:rPr>
          <w:rFonts w:hint="eastAsia" w:ascii="宋体" w:hAnsi="宋体" w:cs="宋体"/>
          <w:color w:val="auto"/>
          <w:sz w:val="24"/>
          <w:szCs w:val="20"/>
          <w:highlight w:val="none"/>
        </w:rPr>
        <w:t>17.1投标有效期为从提交投标文件的截止之日起90天。▲</w:t>
      </w:r>
      <w:r>
        <w:rPr>
          <w:rFonts w:hint="eastAsia" w:ascii="宋体" w:hAnsi="宋体" w:cs="宋体"/>
          <w:b/>
          <w:color w:val="auto"/>
          <w:sz w:val="24"/>
          <w:szCs w:val="20"/>
          <w:highlight w:val="none"/>
        </w:rPr>
        <w:t>投标人的投标文件中承</w:t>
      </w:r>
      <w:r>
        <w:rPr>
          <w:rFonts w:hint="eastAsia" w:ascii="宋体" w:hAnsi="宋体" w:cs="宋体"/>
          <w:b/>
          <w:color w:val="auto"/>
          <w:sz w:val="24"/>
          <w:szCs w:val="21"/>
          <w:highlight w:val="none"/>
        </w:rPr>
        <w:t>诺的投标有效期少于招标文件中载明的投标有效期的，投标无效。</w:t>
      </w:r>
    </w:p>
    <w:p w14:paraId="19A3B2DC">
      <w:pPr>
        <w:pStyle w:val="134"/>
        <w:spacing w:before="0"/>
        <w:ind w:firstLine="480"/>
        <w:rPr>
          <w:rFonts w:ascii="宋体" w:hAnsi="宋体" w:cs="宋体"/>
          <w:color w:val="auto"/>
          <w:highlight w:val="none"/>
        </w:rPr>
      </w:pPr>
      <w:r>
        <w:rPr>
          <w:rFonts w:hint="eastAsia" w:ascii="宋体" w:hAnsi="宋体" w:cs="宋体"/>
          <w:color w:val="auto"/>
          <w:highlight w:val="none"/>
        </w:rPr>
        <w:t>17.2投标文件合格投递后，自投标截止日期起，在投标有效期内有效。</w:t>
      </w:r>
    </w:p>
    <w:p w14:paraId="12D29FF7">
      <w:pPr>
        <w:pStyle w:val="134"/>
        <w:spacing w:before="0"/>
        <w:ind w:firstLine="480"/>
        <w:rPr>
          <w:rFonts w:hint="eastAsia" w:ascii="宋体" w:hAnsi="宋体" w:cs="宋体"/>
          <w:color w:val="auto"/>
          <w:highlight w:val="none"/>
        </w:rPr>
      </w:pPr>
      <w:r>
        <w:rPr>
          <w:rFonts w:hint="eastAsia" w:ascii="宋体" w:hAnsi="宋体" w:cs="宋体"/>
          <w:color w:val="auto"/>
          <w:highlight w:val="none"/>
        </w:rPr>
        <w:t>17.3在原定投标有效期满之前，如果出现特殊情况，</w:t>
      </w:r>
      <w:r>
        <w:rPr>
          <w:rFonts w:hint="eastAsia" w:ascii="宋体" w:hAnsi="宋体" w:cs="宋体"/>
          <w:color w:val="auto"/>
          <w:highlight w:val="none"/>
          <w:lang w:eastAsia="zh-CN"/>
        </w:rPr>
        <w:t>采购代理机构</w:t>
      </w:r>
      <w:r>
        <w:rPr>
          <w:rFonts w:hint="eastAsia" w:ascii="宋体" w:hAnsi="宋体" w:cs="宋体"/>
          <w:color w:val="auto"/>
          <w:highlight w:val="none"/>
        </w:rPr>
        <w:t>可以以书面形式通知投标人延长投标有效期。投标人同意延长的，不得要求或被允许修改其投标文件，投标人拒绝延长的，其投标无效。</w:t>
      </w:r>
    </w:p>
    <w:p w14:paraId="1A6B16AC">
      <w:pPr>
        <w:pStyle w:val="134"/>
        <w:spacing w:before="0"/>
        <w:ind w:firstLine="480"/>
        <w:rPr>
          <w:rFonts w:ascii="宋体" w:hAnsi="宋体" w:cs="宋体"/>
          <w:color w:val="auto"/>
          <w:highlight w:val="none"/>
        </w:rPr>
      </w:pPr>
      <w:r>
        <w:rPr>
          <w:rFonts w:hint="eastAsia" w:ascii="宋体" w:hAnsi="宋体" w:cs="宋体"/>
          <w:color w:val="auto"/>
          <w:highlight w:val="none"/>
        </w:rPr>
        <w:t>17.4在投标截止时间起至投标有效期届满，供应商投标文件不可撤销。</w:t>
      </w:r>
    </w:p>
    <w:p w14:paraId="129833C9">
      <w:pPr>
        <w:pStyle w:val="134"/>
        <w:spacing w:before="0"/>
        <w:ind w:firstLine="1928" w:firstLineChars="600"/>
        <w:rPr>
          <w:rFonts w:ascii="宋体" w:hAnsi="宋体" w:cs="宋体"/>
          <w:b/>
          <w:color w:val="auto"/>
          <w:sz w:val="32"/>
          <w:highlight w:val="none"/>
        </w:rPr>
      </w:pPr>
      <w:r>
        <w:rPr>
          <w:rFonts w:hint="eastAsia" w:ascii="宋体" w:hAnsi="宋体" w:cs="宋体"/>
          <w:b/>
          <w:color w:val="auto"/>
          <w:sz w:val="32"/>
          <w:highlight w:val="none"/>
        </w:rPr>
        <w:t>四、开标、资格审查与信用信息查询</w:t>
      </w:r>
    </w:p>
    <w:p w14:paraId="375DC541">
      <w:pPr>
        <w:pStyle w:val="560"/>
        <w:spacing w:before="0" w:line="360" w:lineRule="auto"/>
        <w:ind w:left="0" w:firstLine="241" w:firstLineChars="100"/>
        <w:contextualSpacing/>
        <w:rPr>
          <w:rFonts w:ascii="宋体" w:hAnsi="宋体" w:cs="宋体"/>
          <w:color w:val="auto"/>
          <w:sz w:val="24"/>
          <w:highlight w:val="none"/>
        </w:rPr>
      </w:pPr>
      <w:r>
        <w:rPr>
          <w:rFonts w:hint="eastAsia" w:ascii="宋体" w:hAnsi="宋体" w:cs="宋体"/>
          <w:b/>
          <w:color w:val="auto"/>
          <w:sz w:val="24"/>
          <w:szCs w:val="24"/>
          <w:highlight w:val="none"/>
        </w:rPr>
        <w:t>18.开标</w:t>
      </w:r>
      <w:r>
        <w:rPr>
          <w:rFonts w:hint="eastAsia" w:ascii="宋体" w:hAnsi="宋体" w:cs="宋体"/>
          <w:color w:val="auto"/>
          <w:sz w:val="24"/>
          <w:highlight w:val="none"/>
        </w:rPr>
        <w:t xml:space="preserve"> </w:t>
      </w:r>
    </w:p>
    <w:p w14:paraId="012430EA">
      <w:pPr>
        <w:pStyle w:val="56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18.1</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按照招标文件规定的时间通过电子交易平台组织开标，所有投标人均应当准时在线参加。投标人不足3家的，不得开标。</w:t>
      </w:r>
    </w:p>
    <w:p w14:paraId="7C30FCFF">
      <w:pPr>
        <w:pStyle w:val="560"/>
        <w:spacing w:before="0" w:line="360" w:lineRule="auto"/>
        <w:ind w:left="0" w:firstLine="240" w:firstLineChars="100"/>
        <w:contextualSpacing/>
        <w:rPr>
          <w:rFonts w:ascii="宋体" w:hAnsi="宋体" w:cs="宋体"/>
          <w:color w:val="auto"/>
          <w:sz w:val="24"/>
          <w:highlight w:val="none"/>
        </w:rPr>
      </w:pPr>
      <w:r>
        <w:rPr>
          <w:rFonts w:hint="eastAsia" w:ascii="宋体" w:hAnsi="宋体" w:cs="宋体"/>
          <w:color w:val="auto"/>
          <w:sz w:val="24"/>
          <w:highlight w:val="none"/>
        </w:rPr>
        <w:t>　18.2开标时，电子交易平台按开标时间自动提取所有投标文件。</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依托电子交易平台发起开始解密指令，投标人按照平台提示和招标文件的规定在半小时内完成在线解密。</w:t>
      </w:r>
    </w:p>
    <w:p w14:paraId="3AC4EC73">
      <w:pPr>
        <w:pStyle w:val="560"/>
        <w:spacing w:before="0" w:line="360" w:lineRule="auto"/>
        <w:ind w:left="0" w:firstLine="240" w:firstLineChars="100"/>
        <w:contextualSpacing/>
        <w:rPr>
          <w:rFonts w:ascii="宋体" w:hAnsi="宋体" w:cs="宋体"/>
          <w:b/>
          <w:color w:val="auto"/>
          <w:sz w:val="24"/>
          <w:highlight w:val="none"/>
        </w:rPr>
      </w:pPr>
      <w:r>
        <w:rPr>
          <w:rFonts w:hint="eastAsia" w:ascii="宋体" w:hAnsi="宋体" w:cs="宋体"/>
          <w:color w:val="auto"/>
          <w:sz w:val="24"/>
          <w:highlight w:val="none"/>
        </w:rPr>
        <w:t>　18.3</w:t>
      </w:r>
      <w:r>
        <w:rPr>
          <w:rFonts w:hint="eastAsia" w:ascii="宋体" w:hAnsi="宋体" w:cs="宋体"/>
          <w:b/>
          <w:color w:val="auto"/>
          <w:sz w:val="24"/>
          <w:highlight w:val="none"/>
        </w:rPr>
        <w:t>投标文件未按时解密，投标人提供了备份投标文件的，以备份投标文件作为依据，否则视为投标文件撤回。投标文件已按时解密的，备份投标文件自动失效。</w:t>
      </w:r>
    </w:p>
    <w:p w14:paraId="1E7C2401">
      <w:pPr>
        <w:widowControl/>
        <w:spacing w:before="100" w:beforeAutospacing="1" w:after="240" w:line="360" w:lineRule="auto"/>
        <w:jc w:val="left"/>
        <w:rPr>
          <w:rFonts w:ascii="宋体" w:hAnsi="宋体" w:cs="宋体"/>
          <w:b/>
          <w:color w:val="auto"/>
          <w:sz w:val="24"/>
          <w:szCs w:val="20"/>
          <w:highlight w:val="none"/>
        </w:rPr>
      </w:pPr>
      <w:r>
        <w:rPr>
          <w:rFonts w:hint="eastAsia" w:ascii="宋体" w:hAnsi="宋体" w:cs="宋体"/>
          <w:b/>
          <w:color w:val="auto"/>
          <w:sz w:val="24"/>
          <w:szCs w:val="20"/>
          <w:highlight w:val="none"/>
        </w:rPr>
        <w:t>　19、资格审查</w:t>
      </w:r>
    </w:p>
    <w:p w14:paraId="1DFC916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19.</w:t>
      </w:r>
      <w:r>
        <w:rPr>
          <w:rFonts w:hint="eastAsia" w:ascii="宋体" w:hAnsi="宋体" w:cs="宋体"/>
          <w:color w:val="auto"/>
          <w:kern w:val="0"/>
          <w:sz w:val="24"/>
          <w:highlight w:val="none"/>
          <w:lang w:val="en-US" w:eastAsia="zh-CN"/>
        </w:rPr>
        <w:t>1</w:t>
      </w:r>
      <w:r>
        <w:rPr>
          <w:rFonts w:hint="eastAsia" w:ascii="宋体" w:hAnsi="宋体" w:cs="宋体"/>
          <w:color w:val="auto"/>
          <w:sz w:val="24"/>
          <w:highlight w:val="none"/>
        </w:rPr>
        <w:t>采购人或</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依据法律法规和招标文件的规定，对投标人的资格进行审查。</w:t>
      </w:r>
    </w:p>
    <w:p w14:paraId="23325A17">
      <w:pPr>
        <w:pStyle w:val="134"/>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rPr>
        <w:t>投标人未按照招标文件要求提供与</w:t>
      </w:r>
      <w:r>
        <w:rPr>
          <w:rFonts w:hint="eastAsia" w:ascii="宋体" w:hAnsi="宋体" w:cs="宋体"/>
          <w:color w:val="auto"/>
          <w:highlight w:val="none"/>
        </w:rPr>
        <w:t>资格条件相应的</w:t>
      </w:r>
      <w:r>
        <w:rPr>
          <w:rFonts w:hint="eastAsia" w:ascii="宋体" w:hAnsi="宋体" w:cs="宋体"/>
          <w:color w:val="auto"/>
          <w:kern w:val="0"/>
          <w:szCs w:val="24"/>
          <w:highlight w:val="none"/>
        </w:rPr>
        <w:t>有效资格证明材料的，视为</w:t>
      </w:r>
      <w:r>
        <w:rPr>
          <w:rFonts w:hint="eastAsia" w:ascii="宋体" w:hAnsi="宋体" w:cs="宋体"/>
          <w:color w:val="auto"/>
          <w:highlight w:val="none"/>
        </w:rPr>
        <w:t>投标人不具备招标文件中规定的资格要求，其投标无效。</w:t>
      </w:r>
    </w:p>
    <w:p w14:paraId="789E99FE">
      <w:pPr>
        <w:pStyle w:val="134"/>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lang w:val="en-US" w:eastAsia="zh-CN"/>
        </w:rPr>
        <w:t>3</w:t>
      </w:r>
      <w:r>
        <w:rPr>
          <w:rFonts w:hint="eastAsia" w:ascii="宋体" w:hAnsi="宋体" w:cs="宋体"/>
          <w:color w:val="auto"/>
          <w:highlight w:val="none"/>
        </w:rPr>
        <w:t>对未通过资格审查的投标人，采购人或</w:t>
      </w:r>
      <w:r>
        <w:rPr>
          <w:rFonts w:hint="eastAsia" w:ascii="宋体" w:hAnsi="宋体" w:cs="宋体"/>
          <w:color w:val="auto"/>
          <w:highlight w:val="none"/>
          <w:lang w:eastAsia="zh-CN"/>
        </w:rPr>
        <w:t>采购代理机构</w:t>
      </w:r>
      <w:r>
        <w:rPr>
          <w:rFonts w:hint="eastAsia" w:ascii="宋体" w:hAnsi="宋体" w:cs="宋体"/>
          <w:color w:val="auto"/>
          <w:highlight w:val="none"/>
        </w:rPr>
        <w:t>告知其未通过的原因。</w:t>
      </w:r>
    </w:p>
    <w:p w14:paraId="2D091130">
      <w:pPr>
        <w:pStyle w:val="134"/>
        <w:snapToGrid w:val="0"/>
        <w:spacing w:before="0"/>
        <w:ind w:firstLine="480"/>
        <w:rPr>
          <w:rFonts w:hint="eastAsia"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lang w:val="en-US" w:eastAsia="zh-CN"/>
        </w:rPr>
        <w:t>4</w:t>
      </w:r>
      <w:r>
        <w:rPr>
          <w:rFonts w:hint="eastAsia" w:ascii="宋体" w:hAnsi="宋体" w:cs="宋体"/>
          <w:color w:val="auto"/>
          <w:highlight w:val="none"/>
        </w:rPr>
        <w:t>合格投标人不足3家的，不再评标。</w:t>
      </w:r>
    </w:p>
    <w:p w14:paraId="251AE7CE">
      <w:pPr>
        <w:pStyle w:val="134"/>
        <w:snapToGrid w:val="0"/>
        <w:spacing w:before="0"/>
        <w:ind w:firstLine="480"/>
        <w:rPr>
          <w:rFonts w:ascii="宋体" w:hAnsi="宋体" w:cs="宋体"/>
          <w:color w:val="auto"/>
          <w:highlight w:val="none"/>
        </w:rPr>
      </w:pPr>
      <w:r>
        <w:rPr>
          <w:rFonts w:hint="eastAsia" w:ascii="宋体" w:hAnsi="宋体" w:cs="宋体"/>
          <w:color w:val="auto"/>
          <w:kern w:val="0"/>
          <w:szCs w:val="24"/>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77F412D6">
      <w:pPr>
        <w:pStyle w:val="134"/>
        <w:spacing w:before="0"/>
        <w:ind w:firstLine="480"/>
        <w:rPr>
          <w:rFonts w:ascii="宋体" w:hAnsi="宋体" w:cs="宋体"/>
          <w:color w:val="auto"/>
          <w:highlight w:val="none"/>
        </w:rPr>
      </w:pPr>
    </w:p>
    <w:p w14:paraId="0F6E14B1">
      <w:pPr>
        <w:pStyle w:val="134"/>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20、信用信息查询</w:t>
      </w:r>
    </w:p>
    <w:p w14:paraId="44ADF9A3">
      <w:pPr>
        <w:pStyle w:val="134"/>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20.1信用信息查询渠道及截止时间：</w:t>
      </w:r>
      <w:r>
        <w:rPr>
          <w:rFonts w:hint="eastAsia" w:ascii="宋体" w:hAnsi="宋体" w:cs="宋体"/>
          <w:color w:val="auto"/>
          <w:kern w:val="0"/>
          <w:szCs w:val="24"/>
          <w:highlight w:val="none"/>
          <w:lang w:val="en-US" w:eastAsia="zh-CN"/>
        </w:rPr>
        <w:t>采购人或采购代理机构</w:t>
      </w:r>
      <w:r>
        <w:rPr>
          <w:rFonts w:hint="eastAsia" w:ascii="宋体" w:hAnsi="宋体" w:cs="宋体"/>
          <w:color w:val="auto"/>
          <w:kern w:val="0"/>
          <w:szCs w:val="24"/>
          <w:highlight w:val="none"/>
        </w:rPr>
        <w:t>将在资格审查时通过“信用中国”网站(www.creditchina.gov.cn)、中国政府采购网(www.ccgp.gov.cn)渠道查询投标人接受资格审查时的信用记录。</w:t>
      </w:r>
    </w:p>
    <w:p w14:paraId="15F480B0">
      <w:pPr>
        <w:pStyle w:val="134"/>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20.2信用信息查询记录和证据留存的具体方式：现场查询的投标人的信用记录、查询结果经确认后将与采购文件一起存档。</w:t>
      </w:r>
    </w:p>
    <w:p w14:paraId="1F77A13A">
      <w:pPr>
        <w:pStyle w:val="134"/>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20.3信用信息的使用规则：经查询列入失信被执行人名单、重大税收违法案件当事人名单、政府采购严重违法失信行为记录名单的投标人将被拒绝参与政府采购活动。</w:t>
      </w:r>
    </w:p>
    <w:p w14:paraId="2AF5D6FF">
      <w:pPr>
        <w:pStyle w:val="134"/>
        <w:spacing w:before="0"/>
        <w:ind w:firstLine="480"/>
        <w:rPr>
          <w:rFonts w:ascii="宋体" w:hAnsi="宋体" w:cs="宋体"/>
          <w:color w:val="auto"/>
          <w:highlight w:val="none"/>
        </w:rPr>
      </w:pPr>
      <w:r>
        <w:rPr>
          <w:rFonts w:hint="eastAsia" w:ascii="宋体" w:hAnsi="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highlight w:val="none"/>
        </w:rPr>
        <w:t>。</w:t>
      </w:r>
    </w:p>
    <w:p w14:paraId="5033EBD3">
      <w:pPr>
        <w:pStyle w:val="134"/>
        <w:spacing w:before="0"/>
        <w:ind w:firstLine="0" w:firstLineChars="0"/>
        <w:rPr>
          <w:rFonts w:ascii="宋体" w:hAnsi="宋体" w:cs="宋体"/>
          <w:color w:val="auto"/>
          <w:kern w:val="0"/>
          <w:szCs w:val="24"/>
          <w:highlight w:val="none"/>
        </w:rPr>
      </w:pPr>
    </w:p>
    <w:p w14:paraId="0EE85A17">
      <w:pPr>
        <w:snapToGrid w:val="0"/>
        <w:spacing w:line="360" w:lineRule="auto"/>
        <w:jc w:val="center"/>
        <w:outlineLvl w:val="0"/>
        <w:rPr>
          <w:rFonts w:ascii="宋体" w:hAnsi="宋体" w:cs="宋体"/>
          <w:b/>
          <w:color w:val="auto"/>
          <w:sz w:val="36"/>
          <w:szCs w:val="36"/>
          <w:highlight w:val="none"/>
        </w:rPr>
      </w:pPr>
      <w:r>
        <w:rPr>
          <w:rFonts w:hint="eastAsia" w:ascii="宋体" w:hAnsi="宋体" w:cs="宋体"/>
          <w:b/>
          <w:color w:val="auto"/>
          <w:sz w:val="36"/>
          <w:szCs w:val="36"/>
          <w:highlight w:val="none"/>
        </w:rPr>
        <w:t>五、评标</w:t>
      </w:r>
    </w:p>
    <w:p w14:paraId="6E712B02">
      <w:pPr>
        <w:spacing w:line="360" w:lineRule="auto"/>
        <w:rPr>
          <w:rFonts w:ascii="宋体" w:hAnsi="宋体" w:cs="宋体"/>
          <w:b/>
          <w:color w:val="auto"/>
          <w:sz w:val="24"/>
          <w:highlight w:val="none"/>
        </w:rPr>
      </w:pPr>
      <w:bookmarkStart w:id="20" w:name="_Toc91899903"/>
      <w:r>
        <w:rPr>
          <w:rFonts w:hint="eastAsia" w:ascii="宋体" w:hAnsi="宋体" w:cs="宋体"/>
          <w:b/>
          <w:color w:val="auto"/>
          <w:sz w:val="24"/>
          <w:highlight w:val="none"/>
        </w:rPr>
        <w:t>21.</w:t>
      </w:r>
      <w:r>
        <w:rPr>
          <w:rFonts w:hint="eastAsia" w:ascii="宋体" w:hAnsi="宋体" w:cs="宋体"/>
          <w:color w:val="auto"/>
          <w:highlight w:val="none"/>
        </w:rPr>
        <w:t xml:space="preserve"> </w:t>
      </w:r>
      <w:r>
        <w:rPr>
          <w:rFonts w:hint="eastAsia" w:ascii="宋体" w:hAnsi="宋体" w:cs="宋体"/>
          <w:color w:val="auto"/>
          <w:sz w:val="24"/>
          <w:highlight w:val="none"/>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auto"/>
          <w:sz w:val="24"/>
          <w:highlight w:val="none"/>
        </w:rPr>
        <w:t>详见招标文件第四部分评标办法。</w:t>
      </w:r>
    </w:p>
    <w:p w14:paraId="52E1F7A5">
      <w:pPr>
        <w:spacing w:line="360" w:lineRule="auto"/>
        <w:rPr>
          <w:rFonts w:ascii="宋体" w:hAnsi="宋体" w:cs="宋体"/>
          <w:b/>
          <w:color w:val="auto"/>
          <w:sz w:val="24"/>
          <w:highlight w:val="none"/>
        </w:rPr>
      </w:pPr>
    </w:p>
    <w:p w14:paraId="710DE33B">
      <w:pPr>
        <w:snapToGrid w:val="0"/>
        <w:spacing w:line="360" w:lineRule="auto"/>
        <w:jc w:val="center"/>
        <w:outlineLvl w:val="0"/>
        <w:rPr>
          <w:rFonts w:ascii="宋体" w:hAnsi="宋体" w:cs="宋体"/>
          <w:b/>
          <w:color w:val="auto"/>
          <w:sz w:val="36"/>
          <w:szCs w:val="36"/>
          <w:highlight w:val="none"/>
        </w:rPr>
      </w:pPr>
      <w:r>
        <w:rPr>
          <w:rFonts w:hint="eastAsia" w:ascii="宋体" w:hAnsi="宋体" w:cs="宋体"/>
          <w:b/>
          <w:color w:val="auto"/>
          <w:sz w:val="36"/>
          <w:szCs w:val="36"/>
          <w:highlight w:val="none"/>
        </w:rPr>
        <w:t>六、定 标</w:t>
      </w:r>
    </w:p>
    <w:p w14:paraId="22C40B88">
      <w:pPr>
        <w:pStyle w:val="24"/>
        <w:spacing w:line="360" w:lineRule="auto"/>
        <w:ind w:left="479" w:hanging="479" w:hangingChars="199"/>
        <w:rPr>
          <w:rFonts w:cs="宋体"/>
          <w:b/>
          <w:color w:val="auto"/>
          <w:highlight w:val="none"/>
        </w:rPr>
      </w:pPr>
      <w:r>
        <w:rPr>
          <w:rFonts w:hint="eastAsia" w:cs="宋体"/>
          <w:b/>
          <w:color w:val="auto"/>
          <w:highlight w:val="none"/>
        </w:rPr>
        <w:t>22. 确定中标供应商</w:t>
      </w:r>
    </w:p>
    <w:p w14:paraId="311BE909">
      <w:pPr>
        <w:pStyle w:val="134"/>
        <w:snapToGrid w:val="0"/>
        <w:spacing w:before="0"/>
        <w:ind w:firstLine="480"/>
        <w:rPr>
          <w:rFonts w:ascii="宋体" w:hAnsi="宋体" w:cs="宋体"/>
          <w:b/>
          <w:color w:val="auto"/>
          <w:szCs w:val="24"/>
          <w:highlight w:val="none"/>
        </w:rPr>
      </w:pPr>
      <w:r>
        <w:rPr>
          <w:rFonts w:hint="eastAsia" w:ascii="宋体" w:hAnsi="宋体" w:cs="宋体"/>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w:t>
      </w:r>
      <w:r>
        <w:rPr>
          <w:rFonts w:hint="eastAsia" w:ascii="宋体" w:hAnsi="宋体" w:cs="宋体"/>
          <w:color w:val="auto"/>
          <w:szCs w:val="24"/>
          <w:highlight w:val="none"/>
          <w:lang w:val="en-US" w:eastAsia="zh-CN"/>
        </w:rPr>
        <w:t>鼓励</w:t>
      </w:r>
      <w:r>
        <w:rPr>
          <w:rFonts w:hint="eastAsia" w:ascii="宋体" w:hAnsi="宋体" w:cs="宋体"/>
          <w:color w:val="auto"/>
          <w:szCs w:val="24"/>
          <w:highlight w:val="none"/>
        </w:rPr>
        <w:t>在收到评审报告当天</w:t>
      </w:r>
      <w:r>
        <w:rPr>
          <w:rFonts w:hint="eastAsia" w:ascii="宋体" w:hAnsi="宋体" w:cs="宋体"/>
          <w:color w:val="auto"/>
          <w:szCs w:val="24"/>
          <w:highlight w:val="none"/>
          <w:lang w:val="en-US" w:eastAsia="zh-CN"/>
        </w:rPr>
        <w:t>在线</w:t>
      </w:r>
      <w:r>
        <w:rPr>
          <w:rFonts w:hint="eastAsia" w:ascii="宋体" w:hAnsi="宋体" w:cs="宋体"/>
          <w:color w:val="auto"/>
          <w:szCs w:val="24"/>
          <w:highlight w:val="none"/>
        </w:rPr>
        <w:t>确定中标或者成交供应商。中标、成交通知书和中标、成交结果公告应当在规定时间内同时发出。</w:t>
      </w:r>
    </w:p>
    <w:p w14:paraId="68F065A7">
      <w:pPr>
        <w:pStyle w:val="134"/>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23. 中标通知与中标结果公告</w:t>
      </w:r>
    </w:p>
    <w:p w14:paraId="24AB779E">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23.1自中标人确定之日起2个工作日内，</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通过电子交易平台向中标人发出中标通知书，同时编制发布采购结果公告。</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也可以以纸质形式进行中标通知。</w:t>
      </w:r>
    </w:p>
    <w:p w14:paraId="29746A7B">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23.2中标结果公告内容包括采购人及其委托的</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45D4A582">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23.3公告期限为1个工作日。</w:t>
      </w:r>
    </w:p>
    <w:p w14:paraId="5CBB056B">
      <w:pPr>
        <w:pStyle w:val="134"/>
        <w:adjustRightInd w:val="0"/>
        <w:snapToGrid w:val="0"/>
        <w:spacing w:before="0"/>
        <w:ind w:firstLine="482" w:firstLineChars="200"/>
        <w:rPr>
          <w:rStyle w:val="82"/>
          <w:color w:val="auto"/>
          <w:highlight w:val="none"/>
        </w:rPr>
      </w:pPr>
      <w:r>
        <w:rPr>
          <w:rFonts w:hint="eastAsia" w:ascii="宋体" w:hAnsi="宋体" w:cs="宋体"/>
          <w:b/>
          <w:color w:val="auto"/>
          <w:szCs w:val="24"/>
          <w:highlight w:val="none"/>
        </w:rPr>
        <w:t>2</w:t>
      </w:r>
      <w:r>
        <w:rPr>
          <w:rFonts w:hint="eastAsia" w:ascii="宋体" w:hAnsi="宋体" w:cs="宋体"/>
          <w:b/>
          <w:color w:val="auto"/>
          <w:szCs w:val="24"/>
          <w:highlight w:val="none"/>
          <w:lang w:eastAsia="zh-CN"/>
        </w:rPr>
        <w:t>3</w:t>
      </w:r>
      <w:r>
        <w:rPr>
          <w:rFonts w:hint="eastAsia" w:ascii="宋体" w:hAnsi="宋体" w:cs="宋体"/>
          <w:b/>
          <w:color w:val="auto"/>
          <w:szCs w:val="24"/>
          <w:highlight w:val="none"/>
          <w:lang w:val="en-US" w:eastAsia="zh-CN"/>
        </w:rPr>
        <w:t xml:space="preserve">.4 </w:t>
      </w:r>
      <w:r>
        <w:rPr>
          <w:rFonts w:hint="eastAsia" w:ascii="宋体" w:hAnsi="宋体" w:cs="宋体"/>
          <w:b w:val="0"/>
          <w:bCs/>
          <w:color w:val="auto"/>
          <w:szCs w:val="24"/>
          <w:highlight w:val="none"/>
        </w:rPr>
        <w:t>由于</w:t>
      </w:r>
      <w:r>
        <w:rPr>
          <w:rFonts w:hint="eastAsia" w:ascii="宋体" w:hAnsi="宋体" w:cs="宋体"/>
          <w:bCs/>
          <w:color w:val="auto"/>
          <w:szCs w:val="24"/>
          <w:highlight w:val="none"/>
        </w:rPr>
        <w:t>中标、成交供应商原因导致重新采购的，应当承担支付代理费和专家评审费等费用在内的赔偿责任。</w:t>
      </w:r>
    </w:p>
    <w:p w14:paraId="66B61D54">
      <w:pPr>
        <w:snapToGrid w:val="0"/>
        <w:spacing w:line="360" w:lineRule="auto"/>
        <w:ind w:left="120" w:leftChars="57" w:firstLine="482" w:firstLineChars="150"/>
        <w:jc w:val="center"/>
        <w:rPr>
          <w:rFonts w:ascii="宋体" w:hAnsi="宋体" w:cs="宋体"/>
          <w:b/>
          <w:color w:val="auto"/>
          <w:sz w:val="32"/>
          <w:highlight w:val="none"/>
        </w:rPr>
      </w:pPr>
    </w:p>
    <w:p w14:paraId="45BB0D6E">
      <w:pPr>
        <w:snapToGrid w:val="0"/>
        <w:spacing w:line="360" w:lineRule="auto"/>
        <w:ind w:left="120" w:leftChars="57" w:firstLine="482" w:firstLineChars="150"/>
        <w:jc w:val="center"/>
        <w:rPr>
          <w:rFonts w:ascii="宋体" w:hAnsi="宋体" w:cs="宋体"/>
          <w:b/>
          <w:color w:val="auto"/>
          <w:sz w:val="32"/>
          <w:highlight w:val="none"/>
        </w:rPr>
      </w:pPr>
      <w:r>
        <w:rPr>
          <w:rFonts w:hint="eastAsia" w:ascii="宋体" w:hAnsi="宋体" w:cs="宋体"/>
          <w:b/>
          <w:color w:val="auto"/>
          <w:sz w:val="32"/>
          <w:highlight w:val="none"/>
        </w:rPr>
        <w:t>七、合同授予</w:t>
      </w:r>
    </w:p>
    <w:p w14:paraId="7E066555">
      <w:pPr>
        <w:pStyle w:val="24"/>
        <w:spacing w:line="360" w:lineRule="auto"/>
        <w:ind w:left="479" w:hanging="479" w:hangingChars="199"/>
        <w:rPr>
          <w:rFonts w:cs="宋体"/>
          <w:b/>
          <w:color w:val="auto"/>
          <w:highlight w:val="none"/>
        </w:rPr>
      </w:pPr>
      <w:r>
        <w:rPr>
          <w:rFonts w:hint="eastAsia" w:cs="宋体"/>
          <w:b/>
          <w:color w:val="auto"/>
          <w:highlight w:val="none"/>
        </w:rPr>
        <w:t xml:space="preserve">24. </w:t>
      </w:r>
      <w:r>
        <w:rPr>
          <w:rFonts w:hint="eastAsia" w:cs="宋体"/>
          <w:color w:val="auto"/>
          <w:highlight w:val="none"/>
        </w:rPr>
        <w:t>合同主要条款详见第五部分拟签订的合同文本。</w:t>
      </w:r>
    </w:p>
    <w:p w14:paraId="1A48CF55">
      <w:pPr>
        <w:pStyle w:val="24"/>
        <w:spacing w:line="360" w:lineRule="auto"/>
        <w:ind w:left="479" w:hanging="479" w:hangingChars="199"/>
        <w:rPr>
          <w:rFonts w:cs="宋体"/>
          <w:b/>
          <w:color w:val="auto"/>
          <w:highlight w:val="none"/>
        </w:rPr>
      </w:pPr>
      <w:r>
        <w:rPr>
          <w:rFonts w:hint="eastAsia" w:cs="宋体"/>
          <w:b/>
          <w:color w:val="auto"/>
          <w:highlight w:val="none"/>
        </w:rPr>
        <w:t>25. 合同的签订</w:t>
      </w:r>
    </w:p>
    <w:p w14:paraId="5BFDCE3B">
      <w:pPr>
        <w:widowControl/>
        <w:shd w:val="clear" w:color="auto" w:fill="FFFFFF"/>
        <w:spacing w:line="360" w:lineRule="auto"/>
        <w:ind w:firstLine="480"/>
        <w:jc w:val="left"/>
        <w:rPr>
          <w:rFonts w:ascii="宋体" w:hAnsi="宋体" w:cs="宋体"/>
          <w:color w:val="auto"/>
          <w:kern w:val="0"/>
          <w:sz w:val="24"/>
          <w:highlight w:val="none"/>
        </w:rPr>
      </w:pPr>
      <w:r>
        <w:rPr>
          <w:rFonts w:hint="eastAsia" w:ascii="宋体" w:hAnsi="宋体" w:cs="宋体"/>
          <w:color w:val="auto"/>
          <w:sz w:val="24"/>
          <w:highlight w:val="none"/>
        </w:rPr>
        <w:t>25.1</w:t>
      </w:r>
      <w:r>
        <w:rPr>
          <w:rFonts w:hint="eastAsia" w:ascii="宋体" w:hAnsi="宋体" w:cs="宋体"/>
          <w:color w:val="auto"/>
          <w:kern w:val="0"/>
          <w:sz w:val="24"/>
          <w:highlight w:val="none"/>
        </w:rPr>
        <w:t xml:space="preserve"> 采购人与中标人应当通过电子交易平台在中标通知书发出之日起三十日内，按照招标文件确定的事项签订政府采购合同，并在签订之日起2个工作日内将政府采购合同在</w:t>
      </w:r>
      <w:r>
        <w:rPr>
          <w:rFonts w:hint="eastAsia" w:ascii="宋体" w:hAnsi="宋体" w:cs="宋体"/>
          <w:color w:val="auto"/>
          <w:kern w:val="0"/>
          <w:sz w:val="24"/>
          <w:highlight w:val="none"/>
          <w:lang w:eastAsia="zh-CN"/>
        </w:rPr>
        <w:t>乐采云平台</w:t>
      </w:r>
      <w:r>
        <w:rPr>
          <w:rFonts w:hint="eastAsia" w:ascii="宋体" w:hAnsi="宋体" w:cs="宋体"/>
          <w:color w:val="auto"/>
          <w:kern w:val="0"/>
          <w:sz w:val="24"/>
          <w:highlight w:val="none"/>
        </w:rPr>
        <w:t>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0C929BCF">
      <w:pPr>
        <w:pStyle w:val="134"/>
        <w:snapToGrid w:val="0"/>
        <w:spacing w:before="0"/>
        <w:ind w:firstLine="480"/>
        <w:rPr>
          <w:rFonts w:ascii="宋体" w:hAnsi="宋体" w:cs="宋体"/>
          <w:color w:val="auto"/>
          <w:kern w:val="0"/>
          <w:highlight w:val="none"/>
        </w:rPr>
      </w:pPr>
      <w:r>
        <w:rPr>
          <w:rFonts w:hint="eastAsia" w:ascii="宋体" w:hAnsi="宋体" w:cs="宋体"/>
          <w:color w:val="auto"/>
          <w:kern w:val="0"/>
          <w:highlight w:val="none"/>
          <w:lang w:val="zh-CN"/>
        </w:rPr>
        <w:t>25.2中标人按规定的日期、时间、地点，由法定代表人或其授权代表与采购人代表签订合同。如中标人为联合体的，由联合体成员各方法定代表人或其授权代表与采购人代表签订合同。</w:t>
      </w:r>
    </w:p>
    <w:p w14:paraId="79F8527F">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25.3如签订合同并生效后，供应商无故拒绝或延期，除按照合同条款处理外，列入不良行为记录一次，并给予通报。</w:t>
      </w:r>
    </w:p>
    <w:p w14:paraId="0872C86D">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25.4中标供应商拒绝与采购人签订合同的，采购人可以按照评审报告推荐的中标或者成交候选人名单排序，确定下一候选人为中标供应商，也可以重新开展政府采购活动。</w:t>
      </w:r>
    </w:p>
    <w:p w14:paraId="5E7E654F">
      <w:pPr>
        <w:pStyle w:val="134"/>
        <w:snapToGrid w:val="0"/>
        <w:spacing w:before="0" w:after="120"/>
        <w:ind w:firstLine="480"/>
        <w:rPr>
          <w:rFonts w:ascii="宋体" w:hAnsi="宋体" w:cs="宋体"/>
          <w:color w:val="auto"/>
          <w:highlight w:val="none"/>
        </w:rPr>
      </w:pPr>
      <w:r>
        <w:rPr>
          <w:rFonts w:hint="eastAsia" w:ascii="宋体" w:hAnsi="宋体" w:cs="宋体"/>
          <w:color w:val="auto"/>
          <w:highlight w:val="none"/>
        </w:rPr>
        <w:t>25.5采购合同由采购人与中标供应商根据招标文件、投标文件等内容通过政府采购电子交易平台在线签订，自动备案。</w:t>
      </w:r>
    </w:p>
    <w:p w14:paraId="40304950">
      <w:pPr>
        <w:pStyle w:val="24"/>
        <w:spacing w:line="360" w:lineRule="auto"/>
        <w:ind w:left="479" w:hanging="479" w:hangingChars="199"/>
        <w:rPr>
          <w:rFonts w:cs="宋体"/>
          <w:b/>
          <w:color w:val="auto"/>
          <w:highlight w:val="none"/>
        </w:rPr>
      </w:pPr>
      <w:r>
        <w:rPr>
          <w:rFonts w:hint="eastAsia" w:cs="宋体"/>
          <w:b/>
          <w:color w:val="auto"/>
          <w:highlight w:val="none"/>
        </w:rPr>
        <w:t>26. 履约保证金</w:t>
      </w:r>
    </w:p>
    <w:p w14:paraId="77CC745E">
      <w:pPr>
        <w:tabs>
          <w:tab w:val="left" w:pos="0"/>
        </w:tabs>
        <w:spacing w:line="360" w:lineRule="auto"/>
        <w:ind w:firstLine="482"/>
        <w:rPr>
          <w:rFonts w:ascii="宋体" w:hAnsi="宋体" w:cs="宋体"/>
          <w:color w:val="auto"/>
          <w:sz w:val="24"/>
          <w:highlight w:val="none"/>
        </w:rPr>
      </w:pPr>
      <w:r>
        <w:rPr>
          <w:rFonts w:hint="eastAsia" w:ascii="宋体" w:hAnsi="宋体" w:cs="宋体"/>
          <w:color w:val="auto"/>
          <w:kern w:val="0"/>
          <w:sz w:val="24"/>
          <w:highlight w:val="none"/>
        </w:rPr>
        <w:t>拟签订的合同文本要求中标供应商提交履约保证金的，供应商应当以支票、汇票、本票或者金融机构、担保机构出具的保函等非现金形式提交</w:t>
      </w:r>
      <w:r>
        <w:rPr>
          <w:rFonts w:hint="eastAsia" w:ascii="宋体" w:hAnsi="宋体" w:cs="宋体"/>
          <w:color w:val="auto"/>
          <w:sz w:val="24"/>
          <w:highlight w:val="none"/>
        </w:rPr>
        <w:t>。履约保证金的数额不得超过政府采购合同金额的</w:t>
      </w:r>
      <w:r>
        <w:rPr>
          <w:rFonts w:ascii="宋体" w:hAnsi="宋体" w:cs="宋体"/>
          <w:color w:val="auto"/>
          <w:sz w:val="24"/>
          <w:highlight w:val="none"/>
        </w:rPr>
        <w:t>1</w:t>
      </w:r>
      <w:r>
        <w:rPr>
          <w:rFonts w:hint="eastAsia" w:ascii="宋体" w:hAnsi="宋体" w:cs="宋体"/>
          <w:color w:val="auto"/>
          <w:sz w:val="24"/>
          <w:highlight w:val="none"/>
        </w:rPr>
        <w:t>%，</w:t>
      </w:r>
      <w:r>
        <w:rPr>
          <w:rFonts w:hint="eastAsia" w:ascii="宋体" w:hAnsi="宋体" w:cs="宋体"/>
          <w:color w:val="auto"/>
          <w:kern w:val="2"/>
          <w:sz w:val="24"/>
          <w:highlight w:val="none"/>
        </w:rPr>
        <w:t>鼓励根据项目特点、供应商诚信等因素免收履约保证金或降低缴纳比例。</w:t>
      </w:r>
      <w:r>
        <w:rPr>
          <w:rFonts w:hint="eastAsia" w:ascii="宋体" w:hAnsi="宋体" w:cs="宋体"/>
          <w:color w:val="auto"/>
          <w:sz w:val="24"/>
          <w:highlight w:val="none"/>
        </w:rPr>
        <w:t>鼓励和支持供应商以银行、保险公司出具的保函形式提供履约保证金。采购人不得拒收履约保函，项目验收结束后应及时退还，</w:t>
      </w:r>
      <w:r>
        <w:rPr>
          <w:rFonts w:ascii="宋体" w:hAnsi="宋体" w:cs="宋体"/>
          <w:color w:val="auto"/>
          <w:sz w:val="24"/>
          <w:highlight w:val="none"/>
        </w:rPr>
        <w:t>延迟退还的，应当按照合同约定和法律规定承担相应的赔偿责任</w:t>
      </w:r>
      <w:r>
        <w:rPr>
          <w:rFonts w:hint="eastAsia" w:ascii="宋体" w:hAnsi="宋体" w:cs="宋体"/>
          <w:color w:val="auto"/>
          <w:sz w:val="24"/>
          <w:highlight w:val="none"/>
        </w:rPr>
        <w:t>。</w:t>
      </w:r>
    </w:p>
    <w:p w14:paraId="000F52BA">
      <w:pPr>
        <w:pStyle w:val="3"/>
        <w:rPr>
          <w:color w:val="auto"/>
          <w:highlight w:val="none"/>
        </w:rPr>
      </w:pPr>
      <w:r>
        <w:rPr>
          <w:rFonts w:ascii="宋体" w:hAnsi="宋体" w:eastAsia="宋体" w:cs="Times New Roman"/>
          <w:b/>
          <w:bCs/>
          <w:color w:val="auto"/>
          <w:kern w:val="2"/>
          <w:sz w:val="24"/>
          <w:szCs w:val="32"/>
          <w:highlight w:val="none"/>
          <w:lang w:val="en-US"/>
        </w:rPr>
        <w:t>27.预付款</w:t>
      </w:r>
    </w:p>
    <w:p w14:paraId="58023BF1">
      <w:pPr>
        <w:adjustRightInd/>
        <w:spacing w:line="360" w:lineRule="auto"/>
        <w:ind w:firstLine="480" w:firstLineChars="200"/>
        <w:rPr>
          <w:color w:val="auto"/>
          <w:highlight w:val="none"/>
        </w:rPr>
      </w:pPr>
      <w:r>
        <w:rPr>
          <w:rFonts w:hint="eastAsia" w:ascii="宋体" w:hAnsi="宋体" w:cs="Times New Roman"/>
          <w:color w:val="auto"/>
          <w:kern w:val="2"/>
          <w:sz w:val="24"/>
          <w:highlight w:val="none"/>
        </w:rPr>
        <w:t>采购单位应当在政府采购合同中约定预付款，对中小企业合同预付款比例原则上不低于合同金额的</w:t>
      </w:r>
      <w:r>
        <w:rPr>
          <w:rFonts w:ascii="宋体" w:hAnsi="宋体" w:cs="Times New Roman"/>
          <w:color w:val="auto"/>
          <w:kern w:val="2"/>
          <w:sz w:val="24"/>
          <w:highlight w:val="none"/>
        </w:rPr>
        <w:t>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70%；项目分年安排预算的，每年预付款比例</w:t>
      </w:r>
      <w:r>
        <w:rPr>
          <w:rFonts w:hint="eastAsia" w:ascii="宋体" w:hAnsi="宋体"/>
          <w:color w:val="auto"/>
          <w:sz w:val="24"/>
          <w:highlight w:val="none"/>
        </w:rPr>
        <w:t>不低于</w:t>
      </w:r>
      <w:r>
        <w:rPr>
          <w:rFonts w:ascii="宋体" w:hAnsi="宋体" w:cs="Times New Roman"/>
          <w:color w:val="auto"/>
          <w:kern w:val="2"/>
          <w:sz w:val="24"/>
          <w:highlight w:val="none"/>
        </w:rPr>
        <w:t>项目年度计划支付资金额的40％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70%；采购项目实施以人工投入为主的，</w:t>
      </w:r>
      <w:r>
        <w:rPr>
          <w:rFonts w:hint="eastAsia" w:ascii="宋体" w:hAnsi="宋体" w:cs="Times New Roman"/>
          <w:color w:val="auto"/>
          <w:kern w:val="2"/>
          <w:sz w:val="24"/>
          <w:highlight w:val="none"/>
        </w:rPr>
        <w:t>可适当降低预付款比例，但不得低于</w:t>
      </w:r>
      <w:r>
        <w:rPr>
          <w:rFonts w:ascii="宋体" w:hAnsi="宋体" w:cs="Times New Roman"/>
          <w:color w:val="auto"/>
          <w:kern w:val="2"/>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明确表示无需预付款或者主动要求降低预付款比例的，</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可不适用前述规定。</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根据项目特点、供应商诚信等因素，可以要求</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提交银行、保险公司等金融机构出具的预付款保函或其他担保措施。政府采购预付款应在合同生效以及具备实施条件后5个工作日内支付。</w:t>
      </w:r>
      <w:r>
        <w:rPr>
          <w:rFonts w:hint="eastAsia" w:ascii="宋体" w:hAnsi="宋体" w:cs="Times New Roman"/>
          <w:color w:val="auto"/>
          <w:kern w:val="2"/>
          <w:sz w:val="24"/>
          <w:highlight w:val="none"/>
        </w:rPr>
        <w:t>政府采购工程以及与工程建设有关的货物、服务，采用招标方式采购的，预付款从其相关规定。供应商可登录</w:t>
      </w:r>
      <w:r>
        <w:rPr>
          <w:rFonts w:hint="eastAsia" w:ascii="宋体" w:hAnsi="宋体" w:cs="Times New Roman"/>
          <w:color w:val="auto"/>
          <w:kern w:val="2"/>
          <w:sz w:val="24"/>
          <w:highlight w:val="none"/>
          <w:lang w:eastAsia="zh-CN"/>
        </w:rPr>
        <w:t>乐采云</w:t>
      </w:r>
      <w:r>
        <w:rPr>
          <w:rFonts w:hint="eastAsia" w:ascii="宋体" w:hAnsi="宋体" w:cs="Times New Roman"/>
          <w:color w:val="auto"/>
          <w:kern w:val="2"/>
          <w:sz w:val="24"/>
          <w:highlight w:val="none"/>
        </w:rPr>
        <w:t>前台大厅选择金融服务</w:t>
      </w:r>
      <w:r>
        <w:rPr>
          <w:rFonts w:ascii="宋体" w:hAnsi="宋体" w:cs="Times New Roman"/>
          <w:color w:val="auto"/>
          <w:kern w:val="2"/>
          <w:sz w:val="24"/>
          <w:highlight w:val="none"/>
        </w:rPr>
        <w:t xml:space="preserve"> - </w:t>
      </w:r>
      <w:r>
        <w:rPr>
          <w:rFonts w:hint="eastAsia" w:ascii="宋体" w:hAnsi="宋体" w:cs="Times New Roman"/>
          <w:color w:val="auto"/>
          <w:kern w:val="2"/>
          <w:sz w:val="24"/>
          <w:highlight w:val="none"/>
        </w:rPr>
        <w:t>【保函保险服务】出具预付款保函，具体步骤：选择产品—填写供应商信息—选择中标项目—确认信息—等待保险</w:t>
      </w:r>
      <w:r>
        <w:rPr>
          <w:rFonts w:ascii="宋体" w:hAnsi="宋体" w:cs="Times New Roman"/>
          <w:color w:val="auto"/>
          <w:kern w:val="2"/>
          <w:sz w:val="24"/>
          <w:highlight w:val="none"/>
        </w:rPr>
        <w:t>/保函受理—确认保单—支付保费—成功出单。</w:t>
      </w:r>
      <w:r>
        <w:rPr>
          <w:rFonts w:hint="eastAsia" w:ascii="宋体" w:hAnsi="宋体" w:cs="Times New Roman"/>
          <w:color w:val="auto"/>
          <w:kern w:val="2"/>
          <w:sz w:val="24"/>
          <w:highlight w:val="none"/>
          <w:lang w:eastAsia="zh-CN"/>
        </w:rPr>
        <w:t>乐采云</w:t>
      </w:r>
      <w:r>
        <w:rPr>
          <w:rFonts w:hint="eastAsia" w:ascii="宋体" w:hAnsi="宋体" w:cs="Times New Roman"/>
          <w:color w:val="auto"/>
          <w:kern w:val="2"/>
          <w:sz w:val="24"/>
          <w:highlight w:val="none"/>
        </w:rPr>
        <w:t>金融专线</w:t>
      </w:r>
      <w:r>
        <w:rPr>
          <w:rFonts w:ascii="宋体" w:hAnsi="宋体" w:cs="Times New Roman"/>
          <w:color w:val="auto"/>
          <w:kern w:val="2"/>
          <w:sz w:val="24"/>
          <w:highlight w:val="none"/>
        </w:rPr>
        <w:t>400-903-9583。</w:t>
      </w:r>
    </w:p>
    <w:p w14:paraId="3FE93ABA">
      <w:pPr>
        <w:rPr>
          <w:color w:val="auto"/>
          <w:highlight w:val="none"/>
        </w:rPr>
      </w:pPr>
    </w:p>
    <w:p w14:paraId="6CFAD700">
      <w:pPr>
        <w:snapToGrid w:val="0"/>
        <w:spacing w:line="360" w:lineRule="auto"/>
        <w:ind w:firstLine="3357" w:firstLineChars="1045"/>
        <w:rPr>
          <w:rFonts w:ascii="宋体" w:hAnsi="宋体" w:cs="宋体"/>
          <w:b/>
          <w:color w:val="auto"/>
          <w:sz w:val="32"/>
          <w:highlight w:val="none"/>
        </w:rPr>
      </w:pPr>
    </w:p>
    <w:p w14:paraId="1B3DE51D">
      <w:pPr>
        <w:snapToGrid w:val="0"/>
        <w:spacing w:line="360" w:lineRule="auto"/>
        <w:ind w:firstLine="3357" w:firstLineChars="1045"/>
        <w:rPr>
          <w:rFonts w:ascii="宋体" w:hAnsi="宋体" w:cs="宋体"/>
          <w:b/>
          <w:color w:val="auto"/>
          <w:sz w:val="24"/>
          <w:highlight w:val="none"/>
        </w:rPr>
      </w:pPr>
      <w:r>
        <w:rPr>
          <w:rFonts w:hint="eastAsia" w:ascii="宋体" w:hAnsi="宋体" w:cs="宋体"/>
          <w:b/>
          <w:color w:val="auto"/>
          <w:sz w:val="32"/>
          <w:highlight w:val="none"/>
        </w:rPr>
        <w:t>八、电子交易活动的中止</w:t>
      </w:r>
    </w:p>
    <w:p w14:paraId="5BA23B3C">
      <w:pPr>
        <w:pStyle w:val="134"/>
        <w:snapToGrid w:val="0"/>
        <w:spacing w:before="0"/>
        <w:ind w:firstLine="0" w:firstLineChars="0"/>
        <w:rPr>
          <w:rFonts w:ascii="宋体" w:hAnsi="宋体" w:cs="宋体"/>
          <w:color w:val="auto"/>
          <w:highlight w:val="none"/>
        </w:rPr>
      </w:pPr>
      <w:r>
        <w:rPr>
          <w:rFonts w:ascii="宋体" w:hAnsi="宋体" w:cs="宋体"/>
          <w:b/>
          <w:bCs/>
          <w:color w:val="auto"/>
          <w:kern w:val="2"/>
          <w:sz w:val="24"/>
          <w:szCs w:val="20"/>
          <w:highlight w:val="none"/>
        </w:rPr>
        <w:t>2</w:t>
      </w:r>
      <w:r>
        <w:rPr>
          <w:rFonts w:ascii="宋体" w:hAnsi="宋体" w:cs="宋体"/>
          <w:b/>
          <w:bCs/>
          <w:color w:val="auto"/>
          <w:kern w:val="2"/>
          <w:sz w:val="24"/>
          <w:szCs w:val="24"/>
          <w:highlight w:val="none"/>
        </w:rPr>
        <w:t>8</w:t>
      </w:r>
      <w:r>
        <w:rPr>
          <w:rFonts w:hint="eastAsia" w:ascii="宋体" w:hAnsi="宋体" w:cs="宋体"/>
          <w:b/>
          <w:color w:val="auto"/>
          <w:szCs w:val="24"/>
          <w:highlight w:val="none"/>
        </w:rPr>
        <w:t>. 电子交易活动的中止。</w:t>
      </w:r>
      <w:r>
        <w:rPr>
          <w:rFonts w:hint="eastAsia" w:ascii="宋体" w:hAnsi="宋体" w:cs="宋体"/>
          <w:color w:val="auto"/>
          <w:highlight w:val="none"/>
        </w:rPr>
        <w:t>采购过程中出现以下情形，导致电子交易平台无法正常运行，或者无法保证电子交易的公平、公正和安全时，</w:t>
      </w:r>
      <w:r>
        <w:rPr>
          <w:rFonts w:hint="eastAsia" w:ascii="宋体" w:hAnsi="宋体" w:cs="宋体"/>
          <w:color w:val="auto"/>
          <w:highlight w:val="none"/>
          <w:lang w:eastAsia="zh-CN"/>
        </w:rPr>
        <w:t>采购代理机构</w:t>
      </w:r>
      <w:r>
        <w:rPr>
          <w:rFonts w:hint="eastAsia" w:ascii="宋体" w:hAnsi="宋体" w:cs="宋体"/>
          <w:color w:val="auto"/>
          <w:highlight w:val="none"/>
        </w:rPr>
        <w:t>可中止电子交易活动：</w:t>
      </w:r>
    </w:p>
    <w:p w14:paraId="0B185F35">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 xml:space="preserve">28.1电子交易平台发生故障而无法登录访问的； </w:t>
      </w:r>
    </w:p>
    <w:p w14:paraId="796A7256">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28.2电子交易平台应用或数据库出现错误，不能进行正常操作的；</w:t>
      </w:r>
    </w:p>
    <w:p w14:paraId="01A001D2">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28.3电子交易平台发现严重安全漏洞，有潜在泄密危险的；</w:t>
      </w:r>
    </w:p>
    <w:p w14:paraId="4BCC7B42">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 xml:space="preserve">28.4病毒发作导致不能进行正常操作的； </w:t>
      </w:r>
    </w:p>
    <w:p w14:paraId="3F78E740">
      <w:pPr>
        <w:pStyle w:val="134"/>
        <w:snapToGrid w:val="0"/>
        <w:spacing w:before="0"/>
        <w:ind w:firstLine="480"/>
        <w:rPr>
          <w:rFonts w:ascii="宋体" w:hAnsi="宋体" w:cs="宋体"/>
          <w:color w:val="auto"/>
          <w:highlight w:val="none"/>
        </w:rPr>
      </w:pPr>
      <w:r>
        <w:rPr>
          <w:rFonts w:hint="eastAsia" w:ascii="宋体" w:hAnsi="宋体" w:cs="宋体"/>
          <w:color w:val="auto"/>
          <w:highlight w:val="none"/>
        </w:rPr>
        <w:t>28.5其他无法保证电子交易的公平、公正和安全的情况。</w:t>
      </w:r>
    </w:p>
    <w:p w14:paraId="4D332CD3">
      <w:pPr>
        <w:pStyle w:val="134"/>
        <w:snapToGrid w:val="0"/>
        <w:spacing w:before="0"/>
        <w:ind w:firstLine="0" w:firstLineChars="0"/>
        <w:rPr>
          <w:rFonts w:ascii="宋体" w:hAnsi="宋体" w:cs="宋体"/>
          <w:color w:val="auto"/>
          <w:highlight w:val="none"/>
        </w:rPr>
      </w:pPr>
      <w:r>
        <w:rPr>
          <w:rFonts w:hint="eastAsia" w:ascii="宋体" w:hAnsi="宋体" w:cs="宋体"/>
          <w:color w:val="auto"/>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5BD0328F">
      <w:pPr>
        <w:tabs>
          <w:tab w:val="left" w:pos="0"/>
        </w:tabs>
        <w:spacing w:line="360" w:lineRule="auto"/>
        <w:ind w:firstLine="480"/>
        <w:rPr>
          <w:rFonts w:ascii="宋体" w:hAnsi="宋体" w:cs="宋体"/>
          <w:color w:val="auto"/>
          <w:sz w:val="24"/>
          <w:highlight w:val="none"/>
        </w:rPr>
      </w:pPr>
    </w:p>
    <w:p w14:paraId="79869957">
      <w:pPr>
        <w:snapToGrid w:val="0"/>
        <w:spacing w:line="360" w:lineRule="auto"/>
        <w:ind w:left="120" w:leftChars="57" w:firstLine="482" w:firstLineChars="150"/>
        <w:jc w:val="center"/>
        <w:rPr>
          <w:rFonts w:ascii="宋体" w:hAnsi="宋体" w:cs="宋体"/>
          <w:b/>
          <w:color w:val="auto"/>
          <w:sz w:val="32"/>
          <w:highlight w:val="none"/>
        </w:rPr>
      </w:pPr>
      <w:r>
        <w:rPr>
          <w:rFonts w:hint="eastAsia" w:ascii="宋体" w:hAnsi="宋体" w:cs="宋体"/>
          <w:b/>
          <w:color w:val="auto"/>
          <w:sz w:val="32"/>
          <w:highlight w:val="none"/>
        </w:rPr>
        <w:t>九、验收</w:t>
      </w:r>
    </w:p>
    <w:p w14:paraId="7E5090B0">
      <w:pPr>
        <w:pStyle w:val="24"/>
        <w:spacing w:line="360" w:lineRule="auto"/>
        <w:ind w:firstLine="0" w:firstLineChars="0"/>
        <w:rPr>
          <w:rFonts w:cs="宋体"/>
          <w:b/>
          <w:color w:val="auto"/>
          <w:highlight w:val="none"/>
        </w:rPr>
      </w:pPr>
      <w:r>
        <w:rPr>
          <w:rFonts w:hint="eastAsia" w:cs="宋体"/>
          <w:b/>
          <w:color w:val="auto"/>
          <w:highlight w:val="none"/>
        </w:rPr>
        <w:t>30.验收</w:t>
      </w:r>
    </w:p>
    <w:p w14:paraId="2D329E0E">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31ECC505">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30.2采购人可以邀请参加本项目的其他投标人或者第三方机构参与验收。参与验收的投标人或者第三方机构的意见作为验收书的参考资料一并存档。</w:t>
      </w:r>
    </w:p>
    <w:p w14:paraId="68A718E4">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20D2F1A0">
      <w:pPr>
        <w:tabs>
          <w:tab w:val="left" w:pos="0"/>
        </w:tabs>
        <w:spacing w:line="360" w:lineRule="auto"/>
        <w:ind w:firstLine="480"/>
        <w:rPr>
          <w:rFonts w:ascii="宋体" w:hAnsi="宋体" w:cs="宋体"/>
          <w:color w:val="auto"/>
          <w:sz w:val="18"/>
          <w:szCs w:val="18"/>
          <w:highlight w:val="none"/>
        </w:rPr>
      </w:pPr>
      <w:r>
        <w:rPr>
          <w:rFonts w:hint="eastAsia" w:ascii="宋体" w:hAnsi="宋体" w:cs="宋体"/>
          <w:color w:val="auto"/>
          <w:kern w:val="0"/>
          <w:sz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20"/>
    <w:p w14:paraId="4E9A9CB7">
      <w:pPr>
        <w:pStyle w:val="3"/>
        <w:adjustRightInd w:val="0"/>
        <w:snapToGrid w:val="0"/>
        <w:ind w:left="0" w:firstLine="480" w:firstLineChars="200"/>
        <w:rPr>
          <w:rFonts w:ascii="宋体" w:hAnsi="宋体" w:eastAsia="宋体" w:cs="宋体"/>
          <w:b w:val="0"/>
          <w:bCs w:val="0"/>
          <w:color w:val="auto"/>
          <w:kern w:val="0"/>
          <w:sz w:val="24"/>
          <w:szCs w:val="24"/>
          <w:highlight w:val="none"/>
          <w:lang w:val="en-US"/>
        </w:rPr>
      </w:pPr>
      <w:bookmarkStart w:id="21" w:name="_Hlt68073093"/>
      <w:bookmarkEnd w:id="21"/>
      <w:bookmarkStart w:id="22" w:name="_Hlt68057669"/>
      <w:bookmarkEnd w:id="22"/>
      <w:bookmarkStart w:id="23" w:name="_Hlt75236101"/>
      <w:bookmarkEnd w:id="23"/>
      <w:bookmarkStart w:id="24" w:name="_Hlt74729768"/>
      <w:bookmarkEnd w:id="24"/>
      <w:bookmarkStart w:id="25" w:name="_Hlt75236011"/>
      <w:bookmarkEnd w:id="25"/>
      <w:bookmarkStart w:id="26" w:name="_Hlt68403820"/>
      <w:bookmarkEnd w:id="26"/>
      <w:bookmarkStart w:id="27" w:name="_Hlt74714665"/>
      <w:bookmarkEnd w:id="27"/>
      <w:bookmarkStart w:id="28" w:name="_Hlt74730295"/>
      <w:bookmarkEnd w:id="28"/>
      <w:bookmarkStart w:id="29" w:name="_Hlt74707468"/>
      <w:bookmarkEnd w:id="29"/>
      <w:bookmarkStart w:id="30" w:name="_Hlt75236290"/>
      <w:bookmarkEnd w:id="30"/>
      <w:bookmarkStart w:id="31" w:name="_Hlt68072998"/>
      <w:bookmarkEnd w:id="31"/>
      <w:bookmarkStart w:id="32" w:name="_Hlt68072990"/>
      <w:bookmarkEnd w:id="32"/>
      <w:r>
        <w:rPr>
          <w:rFonts w:hint="eastAsia" w:ascii="宋体" w:hAnsi="宋体" w:eastAsia="宋体" w:cs="宋体"/>
          <w:b w:val="0"/>
          <w:bCs w:val="0"/>
          <w:color w:val="auto"/>
          <w:kern w:val="0"/>
          <w:sz w:val="24"/>
          <w:szCs w:val="24"/>
          <w:highlight w:val="none"/>
          <w:lang w:val="en-US"/>
        </w:rPr>
        <w:t>30.5 对于满足合同约定的采购资金支付条件的，供应商可通过</w:t>
      </w:r>
      <w:r>
        <w:rPr>
          <w:rFonts w:hint="eastAsia" w:ascii="宋体" w:hAnsi="宋体" w:eastAsia="宋体" w:cs="宋体"/>
          <w:b w:val="0"/>
          <w:bCs w:val="0"/>
          <w:color w:val="auto"/>
          <w:kern w:val="0"/>
          <w:sz w:val="24"/>
          <w:szCs w:val="24"/>
          <w:highlight w:val="none"/>
          <w:lang w:val="en-US" w:eastAsia="zh-CN"/>
        </w:rPr>
        <w:t>乐采云</w:t>
      </w:r>
      <w:r>
        <w:rPr>
          <w:rFonts w:hint="eastAsia" w:ascii="宋体" w:hAnsi="宋体" w:eastAsia="宋体" w:cs="宋体"/>
          <w:b w:val="0"/>
          <w:bCs w:val="0"/>
          <w:color w:val="auto"/>
          <w:kern w:val="0"/>
          <w:sz w:val="24"/>
          <w:szCs w:val="24"/>
          <w:highlight w:val="none"/>
          <w:lang w:val="en-US"/>
        </w:rPr>
        <w:t>平台提起在线支付申请、查询支付结果，路径为</w:t>
      </w:r>
      <w:r>
        <w:rPr>
          <w:rFonts w:hint="eastAsia" w:ascii="宋体" w:hAnsi="宋体" w:eastAsia="宋体" w:cs="宋体"/>
          <w:b w:val="0"/>
          <w:bCs w:val="0"/>
          <w:color w:val="auto"/>
          <w:kern w:val="0"/>
          <w:sz w:val="24"/>
          <w:szCs w:val="24"/>
          <w:highlight w:val="none"/>
          <w:lang w:val="en-US" w:eastAsia="zh-CN"/>
        </w:rPr>
        <w:t>乐采云</w:t>
      </w:r>
      <w:r>
        <w:rPr>
          <w:rFonts w:hint="eastAsia" w:ascii="宋体" w:hAnsi="宋体" w:eastAsia="宋体" w:cs="宋体"/>
          <w:b w:val="0"/>
          <w:bCs w:val="0"/>
          <w:color w:val="auto"/>
          <w:kern w:val="0"/>
          <w:sz w:val="24"/>
          <w:szCs w:val="24"/>
          <w:highlight w:val="none"/>
          <w:lang w:val="en-US"/>
        </w:rPr>
        <w:t>-我的工作台-</w:t>
      </w:r>
      <w:r>
        <w:rPr>
          <w:rFonts w:hint="eastAsia" w:ascii="宋体" w:hAnsi="宋体" w:eastAsia="宋体" w:cs="宋体"/>
          <w:b w:val="0"/>
          <w:bCs w:val="0"/>
          <w:color w:val="auto"/>
          <w:kern w:val="0"/>
          <w:sz w:val="24"/>
          <w:szCs w:val="24"/>
          <w:highlight w:val="none"/>
          <w:lang w:val="en-US" w:eastAsia="zh-CN"/>
        </w:rPr>
        <w:t>合同管理</w:t>
      </w:r>
      <w:r>
        <w:rPr>
          <w:rFonts w:hint="eastAsia" w:ascii="宋体" w:hAnsi="宋体" w:eastAsia="宋体" w:cs="宋体"/>
          <w:b w:val="0"/>
          <w:bCs w:val="0"/>
          <w:color w:val="auto"/>
          <w:kern w:val="0"/>
          <w:sz w:val="24"/>
          <w:szCs w:val="24"/>
          <w:highlight w:val="none"/>
          <w:lang w:val="en-US"/>
        </w:rPr>
        <w:t>-支付管理。对于供应商提起在线支付申请的，采购</w:t>
      </w:r>
      <w:r>
        <w:rPr>
          <w:rFonts w:hint="eastAsia" w:ascii="宋体" w:hAnsi="宋体" w:eastAsia="宋体" w:cs="宋体"/>
          <w:b w:val="0"/>
          <w:bCs w:val="0"/>
          <w:color w:val="auto"/>
          <w:kern w:val="0"/>
          <w:sz w:val="24"/>
          <w:szCs w:val="24"/>
          <w:highlight w:val="none"/>
          <w:lang w:val="en-US" w:eastAsia="zh-CN"/>
        </w:rPr>
        <w:t>人</w:t>
      </w:r>
      <w:r>
        <w:rPr>
          <w:rFonts w:hint="eastAsia" w:ascii="宋体" w:hAnsi="宋体" w:eastAsia="宋体" w:cs="宋体"/>
          <w:b w:val="0"/>
          <w:bCs w:val="0"/>
          <w:color w:val="auto"/>
          <w:kern w:val="0"/>
          <w:sz w:val="24"/>
          <w:szCs w:val="24"/>
          <w:highlight w:val="none"/>
          <w:lang w:val="en-US"/>
        </w:rPr>
        <w:t>应当</w:t>
      </w:r>
      <w:r>
        <w:rPr>
          <w:rFonts w:hint="eastAsia" w:ascii="宋体" w:hAnsi="宋体" w:eastAsia="宋体" w:cs="宋体"/>
          <w:b w:val="0"/>
          <w:bCs w:val="0"/>
          <w:color w:val="auto"/>
          <w:kern w:val="0"/>
          <w:sz w:val="24"/>
          <w:szCs w:val="24"/>
          <w:highlight w:val="none"/>
          <w:lang w:val="en-US" w:eastAsia="zh-CN"/>
        </w:rPr>
        <w:t>按规定</w:t>
      </w:r>
      <w:r>
        <w:rPr>
          <w:rFonts w:hint="eastAsia" w:ascii="宋体" w:hAnsi="宋体" w:eastAsia="宋体" w:cs="宋体"/>
          <w:b w:val="0"/>
          <w:bCs w:val="0"/>
          <w:color w:val="auto"/>
          <w:kern w:val="0"/>
          <w:sz w:val="24"/>
          <w:szCs w:val="24"/>
          <w:highlight w:val="none"/>
          <w:lang w:val="en-US"/>
        </w:rPr>
        <w:t>做好审核并完成支付。</w:t>
      </w:r>
    </w:p>
    <w:p w14:paraId="1123D102">
      <w:pPr>
        <w:tabs>
          <w:tab w:val="left" w:pos="0"/>
        </w:tabs>
        <w:spacing w:line="360" w:lineRule="auto"/>
        <w:ind w:firstLine="480"/>
        <w:rPr>
          <w:rFonts w:ascii="宋体" w:hAnsi="宋体" w:cs="宋体"/>
          <w:color w:val="auto"/>
          <w:kern w:val="0"/>
          <w:sz w:val="24"/>
          <w:highlight w:val="none"/>
        </w:rPr>
        <w:sectPr>
          <w:headerReference r:id="rId4" w:type="first"/>
          <w:footerReference r:id="rId7" w:type="first"/>
          <w:headerReference r:id="rId3" w:type="default"/>
          <w:footerReference r:id="rId5" w:type="default"/>
          <w:footerReference r:id="rId6" w:type="even"/>
          <w:pgSz w:w="11906" w:h="16838"/>
          <w:pgMar w:top="1100" w:right="1418" w:bottom="468" w:left="1418" w:header="851" w:footer="992" w:gutter="0"/>
          <w:pgBorders>
            <w:top w:val="none" w:sz="0" w:space="0"/>
            <w:left w:val="none" w:sz="0" w:space="0"/>
            <w:bottom w:val="none" w:sz="0" w:space="0"/>
            <w:right w:val="none" w:sz="0" w:space="0"/>
          </w:pgBorders>
          <w:cols w:space="720" w:num="1"/>
          <w:titlePg/>
          <w:docGrid w:linePitch="312" w:charSpace="0"/>
        </w:sectPr>
      </w:pPr>
    </w:p>
    <w:bookmarkEnd w:id="15"/>
    <w:bookmarkEnd w:id="16"/>
    <w:p w14:paraId="71B62109">
      <w:pPr>
        <w:spacing w:line="360" w:lineRule="auto"/>
        <w:jc w:val="center"/>
        <w:outlineLvl w:val="0"/>
        <w:rPr>
          <w:rFonts w:ascii="宋体" w:hAnsi="宋体" w:cs="宋体"/>
          <w:b/>
          <w:color w:val="auto"/>
          <w:sz w:val="36"/>
          <w:szCs w:val="36"/>
          <w:highlight w:val="none"/>
        </w:rPr>
      </w:pPr>
      <w:bookmarkStart w:id="33" w:name="第四部分"/>
      <w:r>
        <w:rPr>
          <w:rFonts w:hint="eastAsia" w:ascii="宋体" w:hAnsi="宋体" w:cs="宋体"/>
          <w:b/>
          <w:color w:val="auto"/>
          <w:sz w:val="36"/>
          <w:szCs w:val="36"/>
          <w:highlight w:val="none"/>
        </w:rPr>
        <w:t>第三部分   采购需求</w:t>
      </w:r>
    </w:p>
    <w:p w14:paraId="29F984CB">
      <w:pPr>
        <w:snapToGrid w:val="0"/>
        <w:rPr>
          <w:rStyle w:val="966"/>
          <w:rFonts w:hint="eastAsia" w:ascii="宋体" w:hAnsi="宋体" w:eastAsia="宋体" w:cs="宋体"/>
          <w:i w:val="0"/>
          <w:iCs w:val="0"/>
          <w:color w:val="auto"/>
          <w:highlight w:val="none"/>
        </w:rPr>
      </w:pPr>
      <w:r>
        <w:rPr>
          <w:rStyle w:val="966"/>
          <w:rFonts w:hint="eastAsia" w:ascii="宋体" w:hAnsi="宋体" w:eastAsia="宋体" w:cs="宋体"/>
          <w:i w:val="0"/>
          <w:iCs w:val="0"/>
          <w:color w:val="auto"/>
          <w:highlight w:val="none"/>
        </w:rPr>
        <w:t>属于实质性要求条款的，请用符号“▲”标明，否则属于非实质性要求。</w:t>
      </w:r>
    </w:p>
    <w:p w14:paraId="6635C241">
      <w:pPr>
        <w:snapToGrid w:val="0"/>
        <w:rPr>
          <w:rStyle w:val="966"/>
          <w:rFonts w:hint="eastAsia" w:ascii="宋体" w:hAnsi="宋体" w:eastAsia="宋体" w:cs="宋体"/>
          <w:i w:val="0"/>
          <w:iCs w:val="0"/>
          <w:color w:val="auto"/>
          <w:highlight w:val="none"/>
        </w:rPr>
      </w:pPr>
      <w:r>
        <w:rPr>
          <w:rStyle w:val="966"/>
          <w:rFonts w:hint="eastAsia" w:ascii="宋体" w:hAnsi="宋体" w:eastAsia="宋体" w:cs="宋体"/>
          <w:i w:val="0"/>
          <w:iCs w:val="0"/>
          <w:color w:val="auto"/>
          <w:highlight w:val="none"/>
        </w:rPr>
        <w:t>“★”系产品采购项目中单一产品或核心产品。</w:t>
      </w:r>
    </w:p>
    <w:p w14:paraId="3B606EDC">
      <w:pPr>
        <w:pStyle w:val="3"/>
        <w:pageBreakBefore w:val="0"/>
        <w:widowControl w:val="0"/>
        <w:numPr>
          <w:ilvl w:val="0"/>
          <w:numId w:val="5"/>
        </w:numPr>
        <w:kinsoku/>
        <w:wordWrap/>
        <w:overflowPunct/>
        <w:topLinePunct w:val="0"/>
        <w:autoSpaceDE/>
        <w:autoSpaceDN/>
        <w:bidi w:val="0"/>
        <w:adjustRightInd w:val="0"/>
        <w:snapToGrid w:val="0"/>
        <w:spacing w:line="400" w:lineRule="exact"/>
        <w:ind w:firstLine="643" w:firstLineChars="200"/>
        <w:textAlignment w:val="auto"/>
        <w:rPr>
          <w:rFonts w:hint="eastAsia" w:ascii="宋体" w:hAnsi="宋体" w:eastAsia="宋体" w:cs="宋体"/>
          <w:color w:val="auto"/>
          <w:highlight w:val="none"/>
        </w:rPr>
      </w:pPr>
      <w:bookmarkStart w:id="34" w:name="_Toc298856057"/>
      <w:bookmarkStart w:id="35" w:name="_Toc388261186"/>
      <w:r>
        <w:rPr>
          <w:rFonts w:hint="eastAsia" w:ascii="宋体" w:hAnsi="宋体" w:eastAsia="宋体" w:cs="宋体"/>
          <w:color w:val="auto"/>
          <w:highlight w:val="none"/>
        </w:rPr>
        <w:t>项目概况</w:t>
      </w:r>
      <w:bookmarkEnd w:id="34"/>
      <w:r>
        <w:rPr>
          <w:rFonts w:hint="eastAsia" w:ascii="宋体" w:hAnsi="宋体" w:eastAsia="宋体" w:cs="宋体"/>
          <w:color w:val="auto"/>
          <w:highlight w:val="none"/>
        </w:rPr>
        <w:t>及内容</w:t>
      </w:r>
      <w:bookmarkEnd w:id="35"/>
    </w:p>
    <w:p w14:paraId="26CA3127">
      <w:pPr>
        <w:pStyle w:val="336"/>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、本次采购内容为</w:t>
      </w:r>
      <w:r>
        <w:rPr>
          <w:rFonts w:hint="eastAsia" w:ascii="宋体" w:hAnsi="宋体" w:cs="宋体"/>
          <w:color w:val="auto"/>
          <w:highlight w:val="none"/>
          <w:lang w:eastAsia="zh-CN"/>
        </w:rPr>
        <w:t>滨江区科技创新综合体及周边配套项目</w:t>
      </w:r>
      <w:r>
        <w:rPr>
          <w:rFonts w:hint="eastAsia" w:ascii="宋体" w:hAnsi="宋体" w:cs="宋体"/>
          <w:color w:val="auto"/>
          <w:highlight w:val="none"/>
          <w:lang w:val="en-US" w:eastAsia="zh-CN"/>
        </w:rPr>
        <w:t>的</w:t>
      </w:r>
      <w:r>
        <w:rPr>
          <w:rFonts w:hint="eastAsia" w:ascii="宋体" w:hAnsi="宋体" w:eastAsia="宋体" w:cs="宋体"/>
          <w:color w:val="auto"/>
          <w:highlight w:val="none"/>
        </w:rPr>
        <w:t>厨房设备</w:t>
      </w:r>
      <w:r>
        <w:rPr>
          <w:rFonts w:hint="eastAsia" w:ascii="宋体" w:hAnsi="宋体" w:eastAsia="宋体" w:cs="宋体"/>
          <w:color w:val="auto"/>
          <w:highlight w:val="none"/>
          <w:lang w:val="en-US" w:eastAsia="zh-CN"/>
        </w:rPr>
        <w:t>采购、安装及质保期内售后服务等，包括现有设备布置图深化设计</w:t>
      </w:r>
      <w:r>
        <w:rPr>
          <w:rFonts w:hint="eastAsia" w:ascii="宋体" w:hAnsi="宋体" w:eastAsia="宋体" w:cs="宋体"/>
          <w:color w:val="auto"/>
          <w:highlight w:val="none"/>
        </w:rPr>
        <w:t>。具体采购</w:t>
      </w:r>
      <w:r>
        <w:rPr>
          <w:rFonts w:hint="eastAsia" w:ascii="宋体" w:hAnsi="宋体" w:eastAsia="宋体" w:cs="宋体"/>
          <w:color w:val="auto"/>
          <w:highlight w:val="none"/>
          <w:lang w:val="en-US" w:eastAsia="zh-CN"/>
        </w:rPr>
        <w:t>设备的</w:t>
      </w:r>
      <w:r>
        <w:rPr>
          <w:rFonts w:hint="eastAsia" w:ascii="宋体" w:hAnsi="宋体" w:eastAsia="宋体" w:cs="宋体"/>
          <w:color w:val="auto"/>
          <w:highlight w:val="none"/>
        </w:rPr>
        <w:t>数量</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规格及技术见采购清单。</w:t>
      </w:r>
    </w:p>
    <w:p w14:paraId="1F0F990D">
      <w:pPr>
        <w:pStyle w:val="336"/>
        <w:pageBreakBefore w:val="0"/>
        <w:widowControl w:val="0"/>
        <w:kinsoku/>
        <w:wordWrap/>
        <w:overflowPunct/>
        <w:topLinePunct w:val="0"/>
        <w:autoSpaceDE/>
        <w:autoSpaceDN/>
        <w:bidi w:val="0"/>
        <w:adjustRightInd w:val="0"/>
        <w:snapToGrid w:val="0"/>
        <w:spacing w:line="420" w:lineRule="exact"/>
        <w:ind w:firstLine="643" w:firstLineChars="200"/>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二、项目要求</w:t>
      </w:r>
    </w:p>
    <w:p w14:paraId="2A19063F">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w:t>
      </w:r>
      <w:r>
        <w:rPr>
          <w:rFonts w:hint="eastAsia" w:ascii="宋体" w:hAnsi="宋体" w:eastAsia="宋体" w:cs="宋体"/>
          <w:b w:val="0"/>
          <w:bCs/>
          <w:color w:val="auto"/>
          <w:sz w:val="24"/>
          <w:highlight w:val="none"/>
          <w:lang w:eastAsia="zh-CN"/>
        </w:rPr>
        <w:t>.</w:t>
      </w:r>
      <w:r>
        <w:rPr>
          <w:rFonts w:hint="eastAsia" w:ascii="宋体" w:hAnsi="宋体" w:eastAsia="宋体" w:cs="宋体"/>
          <w:b w:val="0"/>
          <w:bCs/>
          <w:color w:val="auto"/>
          <w:sz w:val="24"/>
          <w:highlight w:val="none"/>
        </w:rPr>
        <w:t>本项目的报价应包括所供清单项目的设备费、材料费、人工费、运输费、保险费、采购人指定地点的卸货费、成品保管费、就位及安装费、安装材料费、安装调试费、</w:t>
      </w:r>
      <w:r>
        <w:rPr>
          <w:rFonts w:hint="eastAsia" w:ascii="宋体" w:hAnsi="宋体" w:eastAsia="宋体" w:cs="宋体"/>
          <w:b w:val="0"/>
          <w:bCs/>
          <w:color w:val="auto"/>
          <w:sz w:val="24"/>
          <w:highlight w:val="none"/>
          <w:lang w:val="en-US" w:eastAsia="zh-CN"/>
        </w:rPr>
        <w:t>场地保洁费、总包配合费</w:t>
      </w:r>
      <w:r>
        <w:rPr>
          <w:rFonts w:hint="eastAsia" w:ascii="宋体" w:hAnsi="宋体" w:cs="宋体"/>
          <w:b w:val="0"/>
          <w:bCs/>
          <w:color w:val="auto"/>
          <w:sz w:val="24"/>
          <w:highlight w:val="none"/>
          <w:lang w:val="en-US" w:eastAsia="zh-CN"/>
        </w:rPr>
        <w:t>、</w:t>
      </w:r>
      <w:r>
        <w:rPr>
          <w:rFonts w:hint="eastAsia" w:ascii="宋体" w:hAnsi="宋体" w:eastAsia="宋体" w:cs="宋体"/>
          <w:b w:val="0"/>
          <w:bCs/>
          <w:color w:val="auto"/>
          <w:sz w:val="24"/>
          <w:highlight w:val="none"/>
        </w:rPr>
        <w:t>深化设计费、检验试验费、售后服务、税费、利润等全部费用。</w:t>
      </w:r>
    </w:p>
    <w:p w14:paraId="724EE30D">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以下费用请投标供应商在投标报价中自行考虑，并包含在投标报价中：施工用水电费、仓库、宿舍、预留孔洞修补、临时存放场地、升降设备和其它可能使用</w:t>
      </w:r>
      <w:r>
        <w:rPr>
          <w:rFonts w:hint="eastAsia" w:ascii="宋体" w:hAnsi="宋体" w:eastAsia="宋体" w:cs="宋体"/>
          <w:b w:val="0"/>
          <w:bCs/>
          <w:color w:val="auto"/>
          <w:sz w:val="24"/>
          <w:highlight w:val="none"/>
          <w:lang w:val="en-US" w:eastAsia="zh-CN"/>
        </w:rPr>
        <w:t>第三方</w:t>
      </w:r>
      <w:r>
        <w:rPr>
          <w:rFonts w:hint="eastAsia" w:ascii="宋体" w:hAnsi="宋体" w:eastAsia="宋体" w:cs="宋体"/>
          <w:b w:val="0"/>
          <w:bCs/>
          <w:color w:val="auto"/>
          <w:sz w:val="24"/>
          <w:highlight w:val="none"/>
        </w:rPr>
        <w:t>现场已有的临时设施等由此产生的费用。</w:t>
      </w:r>
    </w:p>
    <w:p w14:paraId="22DBC278">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lang w:val="en-US" w:eastAsia="zh-CN"/>
        </w:rPr>
        <w:t>2.</w:t>
      </w:r>
      <w:r>
        <w:rPr>
          <w:rFonts w:hint="eastAsia" w:ascii="宋体" w:hAnsi="宋体" w:eastAsia="宋体" w:cs="宋体"/>
          <w:b w:val="0"/>
          <w:bCs/>
          <w:color w:val="auto"/>
          <w:sz w:val="24"/>
          <w:highlight w:val="none"/>
        </w:rPr>
        <w:t>投标供应商报价为含税价（人民币报价），投标报价包含但不仅限于采购清单内所有货物的设计与优化（不限于定制类产品、厂家设计二次深化）、预留点位的一米接驳、制造、运输、装卸及上下楼、安装（含配套施工、辅材辅料）、调试、场地保洁、外围（如电梯、精装修、进户门等）成品保护、验收配合、第三方检测、技术培训、售后服务以及其他一切伴随的服务、检验试验、管理配合等全部内容。</w:t>
      </w:r>
    </w:p>
    <w:p w14:paraId="429CE68F">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3．供应商提供设备时，需同时提供设备维护维修所必备的工具；本项目安装、调试、集成直至能够正常使用所实际需要的线缆、配件、安装材料、辅助材料均包含在招标范围内，供应商不得以需求文件中未具体列出为由拒绝提供。与安装及使用有关的线缆、配件、安装材料、辅助材料的工程量由投标供应商根据本采购文件及所投产品情况自行计算，其规格、数量必须满足项目要求，投标供应商要自行承担漏算、漏报的风险。</w:t>
      </w:r>
    </w:p>
    <w:p w14:paraId="604C96A6">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4．本项目须投标供应商提前踏勘现场，如出现个别设备尺寸大于门窗洞口需要破除墙面的费用需要包含在综合报价内，今后不另计，如在成品安装阶段出现破墙、破窗、破门等整改工作及产生的整改费用由中标人自理。</w:t>
      </w:r>
    </w:p>
    <w:p w14:paraId="15114DD8">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5．本项目采购文件未明确，但加工及安装工艺要求的工作内容所需费用由投标供应商在相应综合单价中综合考虑，以后不得调整。</w:t>
      </w:r>
    </w:p>
    <w:p w14:paraId="456742DC">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6．本项目为交钥匙项目，由投标供应商自行供货并负责安装、调试、协助验收并承担质保期内的维修费用。安装用的所有材料费、安装调试费及质保期内的维修费应全部包含在综合单价中。</w:t>
      </w:r>
    </w:p>
    <w:p w14:paraId="2A48A2E8">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7．安装须发生的措施费由投标供应商综合考虑，并将其全部体现在综合单价中，今后不得调整。</w:t>
      </w:r>
    </w:p>
    <w:p w14:paraId="49366E74">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8．本项目在验收中，如采购人对产品质量有异议，有权对产品的相关材质、质量、环保性能数据等进行复检，经检验不合格，复检费用仍由中标人承担。产品检验不通过，投标供应商应无条件退货，由此造成的损失由投标供应商负责，采购人保留追究的权利。</w:t>
      </w:r>
    </w:p>
    <w:p w14:paraId="375A2B86">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9．清单中的所有产品清单中的参考图片颜色并非最终供货成品颜色，中标人需将各材质色卡交由用户选择；清单中各产品的规格需在下单下料前进一步与用户核准。颜色和规格需用户书面确认后，中标人可下料制作。</w:t>
      </w:r>
    </w:p>
    <w:p w14:paraId="42549A4D">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10．所投产品应是目前市场上的主流产品，产品及主要部件均须非停产设备，并提供备件、附件和耗材的供应。</w:t>
      </w:r>
    </w:p>
    <w:p w14:paraId="05698FC4">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11．所有设备必须是全新的，未曾使用过的。所投产品及主要部件必须为成熟的产品,须充分考虑产品的使用者和使用环境,不得提供对师生安全和健康存在威胁的方案或产品。投标供应商须保证所提供产品包括相关附件为相应厂家原装正品，符合国家有关规定。</w:t>
      </w:r>
    </w:p>
    <w:p w14:paraId="53343F7A">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12．投标供应商须保证所提供产品具有合法的版权或使用权，本项目采购的产品，如在本项目范围内使用过程中出现版权或使用权纠纷，应由中标人负责，采购人不承担责任。</w:t>
      </w:r>
    </w:p>
    <w:p w14:paraId="3DA10C85">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13．所投产品的应详细列明投标设备的所有技术指标（包括所投产品的品牌、规格型号、详细配置、主要技术参数等），同时还须包括产品说明书或产品主要技术资料和性能的详细描述，产品制造、安装、验收标准，详细的交货时所配文件清单、主要部件明细表（包括品牌、制造厂名和主要技术参数）等，任何含糊不清的表述对评标结果的影响将是投标供应商的责任;部分难以描述规格参数的产品提供了参考品牌或型号,投标供应商可以选用功能相同，档次相近的产品投标。</w:t>
      </w:r>
    </w:p>
    <w:p w14:paraId="1771AA40">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14．要求投标供应商提供的服务不得低于标准服务，即与投标产品制造厂商通过网站等对外公布的有效服务标准相一致（投标供应商不得另行制作网页）。在标准服务基础上，投标供应商还应达到以下标准：</w:t>
      </w:r>
    </w:p>
    <w:p w14:paraId="09CF39F6">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①投标供应商应明确说明此次投标的服务策略，提供此次投标货物的服务计划（售后服务内容、等级、相关服务指标、售后服务组织机构及人员安排情况及其联络信息）。</w:t>
      </w:r>
    </w:p>
    <w:p w14:paraId="5ED5FC1D">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②除在质保期内提供产品标准现场保修和技术支持服务外，还应另外提供质保期满后3年服务的承诺及备品、备件支持，以满足最终用户硬件故障、升级的要求。</w:t>
      </w:r>
    </w:p>
    <w:p w14:paraId="47BBC9E9">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③在质保期内供应商必须为最终用户提供技术服务热线（7*24小时），负责解答用户在设备使用中遇到的问题，并及时提出解决问题的建议和操作方法。技术服务热线支持应是中文服务。</w:t>
      </w:r>
    </w:p>
    <w:p w14:paraId="4B247424">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④当投标货物发生非招标方人为因素严重故障时，供应商应当免费在七日内将补充或者更换的货物运抵发生故障的货物所在地，由此产生的一切相关费用由供应商负担。</w:t>
      </w:r>
    </w:p>
    <w:p w14:paraId="415C5899">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⑤质保期内所有因更换或修理货物或部件而导致无法使用的时间应从其质保期内扣除，质保期做相应时间的顺延。</w:t>
      </w:r>
    </w:p>
    <w:p w14:paraId="070BD617">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⑥供应商在质保期内安装的任何产品，必须是其投标产品制造厂商原产的或是经其认可的。</w:t>
      </w:r>
    </w:p>
    <w:p w14:paraId="7409E351">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⑦所有的替代零配件必须是新的未使用和未经修复的，除非最终用户提供书面许可，否则不可使用此范围外的其他（非新的）配件。</w:t>
      </w:r>
    </w:p>
    <w:p w14:paraId="4F913FF1">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⑧供应商必须为维修和技术支持所未能解决的问题和故障提供正式的升级方案。</w:t>
      </w:r>
    </w:p>
    <w:p w14:paraId="0EC65449">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⑨在质保期内，供应商有责任解决所提供的投标设备的任何问题，在质保期满后，当需要时，供应商仍须对因投标设备本身的固有缺陷和瑕疵承担相应责任。</w:t>
      </w:r>
    </w:p>
    <w:p w14:paraId="6D6D45F4">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15．培训要求：培训工作是整个产品得以正常运行的保障，培训要确保最终用户熟悉产品的原理、构造等，充分掌握产品正常运行的技术知识，从而快捷的维护产品日常运行，能独立解决产品、产品使用中的一般故障。具体要求如下：</w:t>
      </w:r>
    </w:p>
    <w:p w14:paraId="500C4914">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①投标供应商必须提供满足产品维护要求的技术培训服务，包括产品的安装、调试、日常操作和管理维护，以及基本的故障诊断与排错。并达到预定的培训目标。</w:t>
      </w:r>
    </w:p>
    <w:p w14:paraId="44159D55">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②投标供应商必须根据采购人需求书文件所制定的目标和范围，提出相应的培训内容及计划，包括培训项目、人数、地点、日程、住宿、交通、培训教材、其它等详细内容。并作为投标文件的一部分提交。</w:t>
      </w:r>
    </w:p>
    <w:p w14:paraId="240846EE">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③投标供应商必须提供技术水平高、质量高的培训服务，培训人员必须是原厂商的资深培训讲师。培训成果应在培训计划及课程中予以明确说明。</w:t>
      </w:r>
    </w:p>
    <w:p w14:paraId="305C6864">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④培训费用包含在项目总价内。</w:t>
      </w:r>
    </w:p>
    <w:p w14:paraId="243E1979">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rPr>
        <w:t>16．技术服务：（1）投标供应商应确保其技术建议以及所提供的设备的完整性、实用性，保证全部系统及时投入正常运行。否则若出现因投标供应商提供的设备不满足要求、不合理，或者其所提供的技术支持和服务不全面，而导致系统无法实现或不能完全实现的状况，投标供应商负全部责任。（2）若设备在质保期内发生设备故障，投标供应商应及时予以响应（免费上门服务），否则采购人将自行采取必要的措施，由此产生的风险和费用由投标供应商承担。本项目通过正式验收合格出具项目终验报告交付使用后进入免费质保期。投标供应商对其提供的所有设备均应提供</w:t>
      </w:r>
      <w:r>
        <w:rPr>
          <w:rFonts w:hint="eastAsia" w:ascii="宋体" w:hAnsi="宋体" w:eastAsia="宋体" w:cs="宋体"/>
          <w:b w:val="0"/>
          <w:bCs/>
          <w:color w:val="auto"/>
          <w:sz w:val="24"/>
          <w:highlight w:val="none"/>
          <w:lang w:val="en-US" w:eastAsia="zh-CN"/>
        </w:rPr>
        <w:t>2</w:t>
      </w:r>
      <w:r>
        <w:rPr>
          <w:rFonts w:hint="eastAsia" w:ascii="宋体" w:hAnsi="宋体" w:eastAsia="宋体" w:cs="宋体"/>
          <w:b w:val="0"/>
          <w:bCs/>
          <w:color w:val="auto"/>
          <w:sz w:val="24"/>
          <w:highlight w:val="none"/>
        </w:rPr>
        <w:t>年及以上质保（耗材除外）</w:t>
      </w:r>
      <w:r>
        <w:rPr>
          <w:rFonts w:hint="eastAsia" w:ascii="宋体" w:hAnsi="宋体" w:eastAsia="宋体" w:cs="宋体"/>
          <w:b w:val="0"/>
          <w:bCs/>
          <w:color w:val="auto"/>
          <w:sz w:val="24"/>
          <w:highlight w:val="none"/>
          <w:lang w:eastAsia="zh-CN"/>
        </w:rPr>
        <w:t>。</w:t>
      </w:r>
    </w:p>
    <w:p w14:paraId="2A6BF881">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17．投标设备或原材料如系进口，由供应商负责办理有关进口手续，并在交货时提供相关进口资料（包括但不限于报关单、增值税发票等）。</w:t>
      </w:r>
    </w:p>
    <w:p w14:paraId="598F3FD3">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18．中标人</w:t>
      </w:r>
      <w:r>
        <w:rPr>
          <w:rFonts w:hint="eastAsia" w:ascii="宋体" w:hAnsi="宋体" w:eastAsia="宋体" w:cs="宋体"/>
          <w:b w:val="0"/>
          <w:bCs/>
          <w:color w:val="auto"/>
          <w:sz w:val="24"/>
          <w:highlight w:val="none"/>
          <w:lang w:val="en-US" w:eastAsia="zh-CN"/>
        </w:rPr>
        <w:t>须</w:t>
      </w:r>
      <w:r>
        <w:rPr>
          <w:rFonts w:hint="eastAsia" w:ascii="宋体" w:hAnsi="宋体" w:eastAsia="宋体" w:cs="宋体"/>
          <w:b w:val="0"/>
          <w:bCs/>
          <w:color w:val="auto"/>
          <w:sz w:val="24"/>
          <w:highlight w:val="none"/>
        </w:rPr>
        <w:t>做好厨房设备水、电、暖通预埋管线的指导工作，如</w:t>
      </w:r>
      <w:r>
        <w:rPr>
          <w:rFonts w:hint="eastAsia" w:ascii="宋体" w:hAnsi="宋体" w:eastAsia="宋体" w:cs="宋体"/>
          <w:b w:val="0"/>
          <w:bCs/>
          <w:color w:val="auto"/>
          <w:sz w:val="24"/>
          <w:highlight w:val="none"/>
          <w:lang w:val="en-US" w:eastAsia="zh-CN"/>
        </w:rPr>
        <w:t>在成品安装阶段发现</w:t>
      </w:r>
      <w:r>
        <w:rPr>
          <w:rFonts w:hint="eastAsia" w:ascii="宋体" w:hAnsi="宋体" w:eastAsia="宋体" w:cs="宋体"/>
          <w:b w:val="0"/>
          <w:bCs/>
          <w:color w:val="auto"/>
          <w:sz w:val="24"/>
          <w:highlight w:val="none"/>
        </w:rPr>
        <w:t>水、电、暖通的预埋管线位置不正确，整改工作及产生的整改费用由中标人自理。</w:t>
      </w:r>
      <w:r>
        <w:rPr>
          <w:rFonts w:hint="eastAsia" w:ascii="宋体" w:hAnsi="宋体" w:eastAsia="宋体" w:cs="宋体"/>
          <w:b w:val="0"/>
          <w:bCs/>
          <w:color w:val="auto"/>
          <w:sz w:val="24"/>
          <w:highlight w:val="none"/>
          <w:lang w:val="en-US" w:eastAsia="zh-CN"/>
        </w:rPr>
        <w:t>供应</w:t>
      </w:r>
      <w:r>
        <w:rPr>
          <w:rFonts w:hint="eastAsia" w:ascii="宋体" w:hAnsi="宋体" w:eastAsia="宋体" w:cs="宋体"/>
          <w:b w:val="0"/>
          <w:bCs/>
          <w:color w:val="auto"/>
          <w:sz w:val="24"/>
          <w:highlight w:val="none"/>
        </w:rPr>
        <w:t>商</w:t>
      </w:r>
      <w:r>
        <w:rPr>
          <w:rFonts w:hint="eastAsia" w:ascii="宋体" w:hAnsi="宋体" w:eastAsia="宋体" w:cs="宋体"/>
          <w:b w:val="0"/>
          <w:bCs/>
          <w:color w:val="auto"/>
          <w:sz w:val="24"/>
          <w:highlight w:val="none"/>
          <w:lang w:val="en-US" w:eastAsia="zh-CN"/>
        </w:rPr>
        <w:t>中标后需设立完善</w:t>
      </w:r>
      <w:r>
        <w:rPr>
          <w:rFonts w:hint="eastAsia" w:ascii="宋体" w:hAnsi="宋体" w:eastAsia="宋体" w:cs="宋体"/>
          <w:b w:val="0"/>
          <w:bCs/>
          <w:color w:val="auto"/>
          <w:sz w:val="24"/>
          <w:highlight w:val="none"/>
        </w:rPr>
        <w:t>服务保障体系（在最终供货地有直接设立或授权的售后服务机构，配备有足够的、有相应资质的专业技术人员</w:t>
      </w:r>
      <w:r>
        <w:rPr>
          <w:rFonts w:hint="eastAsia" w:ascii="宋体" w:hAnsi="宋体" w:eastAsia="宋体" w:cs="宋体"/>
          <w:b w:val="0"/>
          <w:bCs/>
          <w:color w:val="auto"/>
          <w:sz w:val="24"/>
          <w:highlight w:val="none"/>
          <w:lang w:eastAsia="zh-CN"/>
        </w:rPr>
        <w:t>，如需使用特殊工种的，相应操作人员必须持证上岗，人证合一</w:t>
      </w:r>
      <w:r>
        <w:rPr>
          <w:rFonts w:hint="eastAsia" w:ascii="宋体" w:hAnsi="宋体" w:eastAsia="宋体" w:cs="宋体"/>
          <w:b w:val="0"/>
          <w:bCs/>
          <w:color w:val="auto"/>
          <w:sz w:val="24"/>
          <w:highlight w:val="none"/>
        </w:rPr>
        <w:t>）；供应商也应就投标货物的品质和服务对采购机构和采购人负责。</w:t>
      </w:r>
    </w:p>
    <w:p w14:paraId="56F0046F">
      <w:pPr>
        <w:pStyle w:val="54"/>
        <w:pageBreakBefore w:val="0"/>
        <w:widowControl w:val="0"/>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lang w:val="en-US" w:eastAsia="zh-CN"/>
        </w:rPr>
        <w:t>19.</w:t>
      </w:r>
      <w:r>
        <w:rPr>
          <w:rFonts w:hint="eastAsia" w:ascii="宋体" w:hAnsi="宋体" w:eastAsia="宋体" w:cs="宋体"/>
          <w:b w:val="0"/>
          <w:bCs/>
          <w:color w:val="auto"/>
          <w:sz w:val="24"/>
          <w:highlight w:val="none"/>
        </w:rPr>
        <w:t>特别提示：如采购文件中遗漏了必须具备的设备、配件或服务，请投标供应商在投标文件中指出，并提出解决方案供采购人、采购机构参考；中标人有义务保证采购人系统的完整性，如项目实施过程中因缺少设备、配件或服务导致采购人系统无法正常运行，中标人须承诺免费提供。</w:t>
      </w:r>
    </w:p>
    <w:p w14:paraId="34ECD7C2">
      <w:pPr>
        <w:rPr>
          <w:rFonts w:hint="eastAsia" w:ascii="宋体" w:hAnsi="宋体" w:eastAsia="宋体" w:cs="宋体"/>
          <w:color w:val="auto"/>
          <w:highlight w:val="none"/>
        </w:rPr>
      </w:pPr>
    </w:p>
    <w:p w14:paraId="3BF9D129">
      <w:pPr>
        <w:pStyle w:val="3"/>
        <w:spacing w:line="400" w:lineRule="exact"/>
        <w:ind w:left="502" w:leftChars="233" w:hanging="13" w:hangingChars="4"/>
        <w:rPr>
          <w:rFonts w:hint="eastAsia" w:ascii="宋体" w:hAnsi="宋体" w:eastAsia="宋体" w:cs="宋体"/>
          <w:color w:val="auto"/>
          <w:highlight w:val="none"/>
        </w:rPr>
      </w:pPr>
      <w:bookmarkStart w:id="36" w:name="_Toc307387198"/>
      <w:r>
        <w:rPr>
          <w:rFonts w:hint="eastAsia" w:ascii="宋体" w:hAnsi="宋体" w:eastAsia="宋体" w:cs="宋体"/>
          <w:color w:val="auto"/>
          <w:highlight w:val="none"/>
        </w:rPr>
        <w:t>三、技术需求表</w:t>
      </w:r>
      <w:bookmarkEnd w:id="36"/>
    </w:p>
    <w:tbl>
      <w:tblPr>
        <w:tblStyle w:val="66"/>
        <w:tblW w:w="85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03"/>
        <w:gridCol w:w="6254"/>
      </w:tblGrid>
      <w:tr w14:paraId="49933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97" w:hRule="atLeast"/>
          <w:jc w:val="center"/>
        </w:trPr>
        <w:tc>
          <w:tcPr>
            <w:tcW w:w="2303" w:type="dxa"/>
            <w:tcBorders>
              <w:top w:val="single" w:color="auto" w:sz="4" w:space="0"/>
              <w:left w:val="single" w:color="auto" w:sz="4" w:space="0"/>
              <w:right w:val="single" w:color="auto" w:sz="4" w:space="0"/>
            </w:tcBorders>
            <w:vAlign w:val="center"/>
          </w:tcPr>
          <w:p w14:paraId="0E321734">
            <w:pPr>
              <w:spacing w:line="420" w:lineRule="exact"/>
              <w:jc w:val="center"/>
              <w:rPr>
                <w:rFonts w:hint="eastAsia" w:ascii="宋体" w:hAnsi="宋体" w:eastAsia="宋体" w:cs="宋体"/>
                <w:color w:val="auto"/>
                <w:sz w:val="24"/>
                <w:highlight w:val="none"/>
              </w:rPr>
            </w:pPr>
            <w:bookmarkStart w:id="37" w:name="_Toc9283"/>
            <w:bookmarkStart w:id="38" w:name="_Toc30226"/>
            <w:bookmarkStart w:id="39" w:name="_Toc15888"/>
            <w:bookmarkStart w:id="40" w:name="_Toc9408"/>
            <w:bookmarkStart w:id="41" w:name="_Toc9945"/>
            <w:bookmarkStart w:id="42" w:name="_Toc3382"/>
            <w:bookmarkStart w:id="43" w:name="_Toc7888"/>
            <w:bookmarkStart w:id="44" w:name="_Toc13777"/>
            <w:r>
              <w:rPr>
                <w:rFonts w:hint="eastAsia" w:ascii="宋体" w:hAnsi="宋体" w:eastAsia="宋体" w:cs="宋体"/>
                <w:color w:val="auto"/>
                <w:sz w:val="24"/>
                <w:highlight w:val="none"/>
              </w:rPr>
              <w:t>技术指标</w:t>
            </w:r>
            <w:bookmarkEnd w:id="37"/>
            <w:bookmarkEnd w:id="38"/>
            <w:bookmarkEnd w:id="39"/>
            <w:bookmarkEnd w:id="40"/>
            <w:bookmarkEnd w:id="41"/>
            <w:bookmarkEnd w:id="42"/>
            <w:bookmarkEnd w:id="43"/>
            <w:bookmarkEnd w:id="44"/>
          </w:p>
        </w:tc>
        <w:tc>
          <w:tcPr>
            <w:tcW w:w="6254" w:type="dxa"/>
            <w:tcBorders>
              <w:top w:val="single" w:color="auto" w:sz="4" w:space="0"/>
              <w:left w:val="single" w:color="auto" w:sz="4" w:space="0"/>
              <w:right w:val="single" w:color="auto" w:sz="4" w:space="0"/>
            </w:tcBorders>
            <w:vAlign w:val="center"/>
          </w:tcPr>
          <w:p w14:paraId="32FDE287">
            <w:pPr>
              <w:spacing w:line="4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详见 《采购清单》</w:t>
            </w:r>
          </w:p>
        </w:tc>
      </w:tr>
      <w:tr w14:paraId="14C8A7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1" w:hRule="exact"/>
          <w:jc w:val="center"/>
        </w:trPr>
        <w:tc>
          <w:tcPr>
            <w:tcW w:w="2303" w:type="dxa"/>
            <w:tcBorders>
              <w:top w:val="single" w:color="auto" w:sz="4" w:space="0"/>
              <w:left w:val="single" w:color="auto" w:sz="4" w:space="0"/>
              <w:bottom w:val="single" w:color="auto" w:sz="4" w:space="0"/>
              <w:right w:val="single" w:color="auto" w:sz="4" w:space="0"/>
            </w:tcBorders>
            <w:vAlign w:val="center"/>
          </w:tcPr>
          <w:p w14:paraId="6696C704">
            <w:pPr>
              <w:spacing w:line="420" w:lineRule="exact"/>
              <w:jc w:val="center"/>
              <w:rPr>
                <w:rFonts w:hint="eastAsia" w:ascii="宋体" w:hAnsi="宋体" w:eastAsia="宋体" w:cs="宋体"/>
                <w:color w:val="auto"/>
                <w:sz w:val="24"/>
                <w:highlight w:val="none"/>
              </w:rPr>
            </w:pPr>
            <w:bookmarkStart w:id="45" w:name="_Toc19462"/>
            <w:bookmarkStart w:id="46" w:name="_Toc3497"/>
            <w:bookmarkStart w:id="47" w:name="_Toc17911"/>
            <w:bookmarkStart w:id="48" w:name="_Toc3566"/>
            <w:bookmarkStart w:id="49" w:name="_Toc30882"/>
            <w:bookmarkStart w:id="50" w:name="_Toc4382"/>
            <w:bookmarkStart w:id="51" w:name="_Toc8306"/>
            <w:bookmarkStart w:id="52" w:name="_Toc31472"/>
            <w:r>
              <w:rPr>
                <w:rFonts w:hint="eastAsia" w:ascii="宋体" w:hAnsi="宋体" w:eastAsia="宋体" w:cs="宋体"/>
                <w:color w:val="auto"/>
                <w:sz w:val="24"/>
                <w:highlight w:val="none"/>
              </w:rPr>
              <w:t>质量标准</w:t>
            </w:r>
            <w:bookmarkEnd w:id="45"/>
            <w:bookmarkEnd w:id="46"/>
            <w:bookmarkEnd w:id="47"/>
            <w:bookmarkEnd w:id="48"/>
            <w:bookmarkEnd w:id="49"/>
            <w:bookmarkEnd w:id="50"/>
            <w:bookmarkEnd w:id="51"/>
            <w:bookmarkEnd w:id="52"/>
          </w:p>
        </w:tc>
        <w:tc>
          <w:tcPr>
            <w:tcW w:w="6254" w:type="dxa"/>
            <w:tcBorders>
              <w:top w:val="single" w:color="auto" w:sz="4" w:space="0"/>
              <w:left w:val="single" w:color="auto" w:sz="4" w:space="0"/>
              <w:bottom w:val="single" w:color="auto" w:sz="4" w:space="0"/>
              <w:right w:val="single" w:color="auto" w:sz="4" w:space="0"/>
            </w:tcBorders>
            <w:vAlign w:val="center"/>
          </w:tcPr>
          <w:p w14:paraId="23F26911">
            <w:pPr>
              <w:spacing w:line="4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提供的产品必须符合现行最新国家、行业标准规范及其他普遍认可的标准规范要求。</w:t>
            </w:r>
          </w:p>
        </w:tc>
      </w:tr>
      <w:tr w14:paraId="38AF1E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5" w:hRule="atLeast"/>
          <w:jc w:val="center"/>
        </w:trPr>
        <w:tc>
          <w:tcPr>
            <w:tcW w:w="2303" w:type="dxa"/>
            <w:tcBorders>
              <w:top w:val="single" w:color="auto" w:sz="4" w:space="0"/>
              <w:left w:val="single" w:color="auto" w:sz="4" w:space="0"/>
              <w:bottom w:val="single" w:color="auto" w:sz="4" w:space="0"/>
              <w:right w:val="single" w:color="auto" w:sz="4" w:space="0"/>
            </w:tcBorders>
            <w:vAlign w:val="center"/>
          </w:tcPr>
          <w:p w14:paraId="13EA820D">
            <w:pPr>
              <w:spacing w:line="420" w:lineRule="exact"/>
              <w:jc w:val="center"/>
              <w:rPr>
                <w:rFonts w:hint="eastAsia" w:ascii="宋体" w:hAnsi="宋体" w:eastAsia="宋体" w:cs="宋体"/>
                <w:color w:val="auto"/>
                <w:sz w:val="24"/>
                <w:highlight w:val="none"/>
              </w:rPr>
            </w:pPr>
            <w:bookmarkStart w:id="53" w:name="_Toc9259"/>
            <w:bookmarkStart w:id="54" w:name="_Toc21740"/>
            <w:bookmarkStart w:id="55" w:name="_Toc19052"/>
            <w:bookmarkStart w:id="56" w:name="_Toc21219"/>
            <w:bookmarkStart w:id="57" w:name="_Toc13569"/>
            <w:bookmarkStart w:id="58" w:name="_Toc4062"/>
            <w:bookmarkStart w:id="59" w:name="_Toc15712"/>
            <w:bookmarkStart w:id="60" w:name="_Toc24320"/>
            <w:r>
              <w:rPr>
                <w:rFonts w:hint="eastAsia" w:ascii="宋体" w:hAnsi="宋体" w:eastAsia="宋体" w:cs="宋体"/>
                <w:color w:val="auto"/>
                <w:sz w:val="24"/>
                <w:highlight w:val="none"/>
              </w:rPr>
              <w:t>验收</w:t>
            </w:r>
            <w:bookmarkEnd w:id="53"/>
            <w:bookmarkEnd w:id="54"/>
            <w:bookmarkEnd w:id="55"/>
            <w:bookmarkEnd w:id="56"/>
            <w:bookmarkEnd w:id="57"/>
            <w:bookmarkEnd w:id="58"/>
            <w:bookmarkEnd w:id="59"/>
            <w:bookmarkEnd w:id="60"/>
          </w:p>
        </w:tc>
        <w:tc>
          <w:tcPr>
            <w:tcW w:w="6254" w:type="dxa"/>
            <w:tcBorders>
              <w:top w:val="single" w:color="auto" w:sz="4" w:space="0"/>
              <w:left w:val="single" w:color="auto" w:sz="4" w:space="0"/>
              <w:bottom w:val="single" w:color="auto" w:sz="4" w:space="0"/>
              <w:right w:val="single" w:color="auto" w:sz="4" w:space="0"/>
            </w:tcBorders>
            <w:vAlign w:val="center"/>
          </w:tcPr>
          <w:p w14:paraId="15A9277F">
            <w:pPr>
              <w:pStyle w:val="840"/>
              <w:spacing w:line="420" w:lineRule="exact"/>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项目按期完成还应按杭财采监[2019]10号规定流程组织验收相关要求并出具验收报告。</w:t>
            </w:r>
          </w:p>
          <w:p w14:paraId="3D89A7AB">
            <w:pPr>
              <w:numPr>
                <w:ilvl w:val="0"/>
                <w:numId w:val="6"/>
              </w:numPr>
              <w:spacing w:line="42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验收主体：</w:t>
            </w:r>
            <w:r>
              <w:rPr>
                <w:rFonts w:hint="eastAsia" w:ascii="宋体" w:hAnsi="宋体" w:eastAsia="宋体" w:cs="宋体"/>
                <w:color w:val="auto"/>
                <w:sz w:val="24"/>
                <w:highlight w:val="none"/>
                <w:lang w:eastAsia="zh-CN"/>
              </w:rPr>
              <w:t>杭州滨江城建发展有限公司</w:t>
            </w:r>
          </w:p>
          <w:p w14:paraId="07745129">
            <w:pPr>
              <w:numPr>
                <w:ilvl w:val="0"/>
                <w:numId w:val="6"/>
              </w:numPr>
              <w:spacing w:line="4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采购人在中标供应商提供服务的过程中，有权不定期对服务内容和质量进行考核。中标供应商应当配合进行。</w:t>
            </w:r>
          </w:p>
          <w:p w14:paraId="626B032B">
            <w:pPr>
              <w:spacing w:line="4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3、最终验收时间：服务内容执行完毕、服务期截止后。</w:t>
            </w:r>
          </w:p>
          <w:p w14:paraId="466854F4">
            <w:pPr>
              <w:spacing w:line="4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4、验收程序：中标供应商向采购人提出申请验收，采购人按验收方案组织履约验收。中标供应商应将项目执行过程及时记录、收集、整理，向采购人递交验收申请资料。</w:t>
            </w:r>
          </w:p>
          <w:p w14:paraId="71262A16">
            <w:pPr>
              <w:spacing w:line="4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5、验收内容：中标供应商实际完成的情况是否符合采购文件要求和中标供应商在投标响应文件中的商务、技术承诺。</w:t>
            </w:r>
          </w:p>
          <w:p w14:paraId="290D1FE3">
            <w:pPr>
              <w:spacing w:line="4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6、验收标准：中标供应商已经按采购文件要求和中标供应商在投标响应文件中的商务、技术承诺完成项目执行。</w:t>
            </w:r>
          </w:p>
          <w:p w14:paraId="5F2451B7">
            <w:pPr>
              <w:spacing w:line="42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7、验收时中标供应商应在现场，验收完毕后作出验收结果报告；验收产生的费用，由采购人承担。</w:t>
            </w:r>
          </w:p>
          <w:p w14:paraId="64320F58">
            <w:pPr>
              <w:spacing w:line="420" w:lineRule="exact"/>
              <w:rPr>
                <w:rFonts w:hint="eastAsia" w:ascii="宋体" w:hAnsi="宋体" w:eastAsia="宋体" w:cs="宋体"/>
                <w:b/>
                <w:color w:val="auto"/>
                <w:szCs w:val="24"/>
                <w:highlight w:val="none"/>
              </w:rPr>
            </w:pPr>
            <w:r>
              <w:rPr>
                <w:rFonts w:hint="eastAsia" w:ascii="宋体" w:hAnsi="宋体" w:eastAsia="宋体" w:cs="宋体"/>
                <w:color w:val="auto"/>
                <w:sz w:val="24"/>
                <w:highlight w:val="none"/>
              </w:rPr>
              <w:t>8、经验收后，中标供应商服务成果不合格的（或未通过评审的），采购人有权要求中标供应商进行整改并，相关费用由中标供应商承担；如整改后仍不合格的，采购人有权解除合同，并可以拒绝支付未支付的款项，中标供应商已经收取的款项应退还给采购人。</w:t>
            </w:r>
          </w:p>
        </w:tc>
      </w:tr>
    </w:tbl>
    <w:p w14:paraId="5DBA325C">
      <w:pPr>
        <w:pStyle w:val="3"/>
        <w:spacing w:line="400" w:lineRule="exact"/>
        <w:rPr>
          <w:rFonts w:hint="eastAsia" w:ascii="宋体" w:hAnsi="宋体" w:eastAsia="宋体" w:cs="宋体"/>
          <w:color w:val="auto"/>
          <w:highlight w:val="none"/>
        </w:rPr>
      </w:pPr>
      <w:bookmarkStart w:id="61" w:name="_Toc18670"/>
      <w:bookmarkStart w:id="62" w:name="_Toc10523"/>
      <w:bookmarkStart w:id="63" w:name="_Toc307387199"/>
      <w:bookmarkStart w:id="64" w:name="_Toc17023"/>
      <w:bookmarkStart w:id="65" w:name="_Toc20341"/>
      <w:r>
        <w:rPr>
          <w:rFonts w:hint="eastAsia" w:ascii="宋体" w:hAnsi="宋体" w:eastAsia="宋体" w:cs="宋体"/>
          <w:color w:val="auto"/>
          <w:highlight w:val="none"/>
        </w:rPr>
        <w:t>四、商务要求表</w:t>
      </w:r>
      <w:bookmarkEnd w:id="61"/>
      <w:bookmarkEnd w:id="62"/>
      <w:bookmarkEnd w:id="63"/>
      <w:bookmarkEnd w:id="64"/>
      <w:bookmarkEnd w:id="65"/>
    </w:p>
    <w:tbl>
      <w:tblPr>
        <w:tblStyle w:val="66"/>
        <w:tblW w:w="873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3"/>
        <w:gridCol w:w="7397"/>
      </w:tblGrid>
      <w:tr w14:paraId="2B0146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23"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14:paraId="0D93D229">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质保期</w:t>
            </w:r>
          </w:p>
        </w:tc>
        <w:tc>
          <w:tcPr>
            <w:tcW w:w="7397" w:type="dxa"/>
            <w:tcBorders>
              <w:top w:val="single" w:color="auto" w:sz="4" w:space="0"/>
              <w:left w:val="single" w:color="auto" w:sz="4" w:space="0"/>
              <w:bottom w:val="single" w:color="auto" w:sz="4" w:space="0"/>
              <w:right w:val="single" w:color="auto" w:sz="4" w:space="0"/>
            </w:tcBorders>
            <w:vAlign w:val="center"/>
          </w:tcPr>
          <w:p w14:paraId="7F8F250C">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宋体" w:hAnsi="宋体" w:eastAsia="宋体" w:cs="宋体"/>
                <w:color w:val="auto"/>
                <w:sz w:val="24"/>
                <w:highlight w:val="none"/>
              </w:rPr>
            </w:pPr>
            <w:bookmarkStart w:id="66" w:name="_Toc14649"/>
            <w:bookmarkStart w:id="67" w:name="_Toc13787"/>
            <w:bookmarkStart w:id="68" w:name="_Toc30471"/>
            <w:bookmarkStart w:id="69" w:name="_Toc11385"/>
            <w:bookmarkStart w:id="70" w:name="_Toc25690"/>
            <w:bookmarkStart w:id="71" w:name="_Toc25508"/>
            <w:bookmarkStart w:id="72" w:name="_Toc23185"/>
            <w:bookmarkStart w:id="73" w:name="_Toc28551"/>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含运维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bookmarkEnd w:id="66"/>
            <w:bookmarkEnd w:id="67"/>
            <w:bookmarkEnd w:id="68"/>
            <w:bookmarkEnd w:id="69"/>
            <w:bookmarkEnd w:id="70"/>
            <w:bookmarkEnd w:id="71"/>
            <w:bookmarkEnd w:id="72"/>
            <w:bookmarkEnd w:id="73"/>
          </w:p>
        </w:tc>
      </w:tr>
      <w:tr w14:paraId="1D60E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14:paraId="4FE662CE">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工期要求</w:t>
            </w:r>
          </w:p>
        </w:tc>
        <w:tc>
          <w:tcPr>
            <w:tcW w:w="7397" w:type="dxa"/>
            <w:tcBorders>
              <w:top w:val="single" w:color="auto" w:sz="4" w:space="0"/>
              <w:left w:val="single" w:color="auto" w:sz="4" w:space="0"/>
              <w:bottom w:val="single" w:color="auto" w:sz="4" w:space="0"/>
              <w:right w:val="single" w:color="auto" w:sz="4" w:space="0"/>
            </w:tcBorders>
            <w:vAlign w:val="center"/>
          </w:tcPr>
          <w:p w14:paraId="134487F9">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接到采购人排产通知起</w:t>
            </w:r>
            <w:r>
              <w:rPr>
                <w:rFonts w:hint="eastAsia" w:ascii="宋体" w:hAnsi="宋体" w:eastAsia="宋体" w:cs="宋体"/>
                <w:color w:val="auto"/>
                <w:sz w:val="24"/>
                <w:highlight w:val="none"/>
                <w:lang w:val="en-US" w:eastAsia="zh-CN"/>
              </w:rPr>
              <w:t>60</w:t>
            </w:r>
            <w:r>
              <w:rPr>
                <w:rFonts w:hint="eastAsia" w:ascii="宋体" w:hAnsi="宋体" w:eastAsia="宋体" w:cs="宋体"/>
                <w:color w:val="auto"/>
                <w:sz w:val="24"/>
                <w:highlight w:val="none"/>
              </w:rPr>
              <w:t>日历天内完成本项目的供货、安装及调试，并通过验收。</w:t>
            </w:r>
          </w:p>
        </w:tc>
      </w:tr>
      <w:tr w14:paraId="4DCF9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14:paraId="795EF55B">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付款办法</w:t>
            </w:r>
          </w:p>
        </w:tc>
        <w:tc>
          <w:tcPr>
            <w:tcW w:w="7397" w:type="dxa"/>
            <w:tcBorders>
              <w:top w:val="single" w:color="auto" w:sz="4" w:space="0"/>
              <w:left w:val="single" w:color="auto" w:sz="4" w:space="0"/>
              <w:bottom w:val="single" w:color="auto" w:sz="4" w:space="0"/>
              <w:right w:val="single" w:color="auto" w:sz="4" w:space="0"/>
            </w:tcBorders>
            <w:vAlign w:val="center"/>
          </w:tcPr>
          <w:p w14:paraId="5C9734A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highlight w:val="none"/>
              </w:rPr>
              <w:t>在中标通知书发出后7日内供应商应当向采购人提交中标合同金额1%的履约保证金（银行、保险公司出具履约保函）。</w:t>
            </w:r>
          </w:p>
          <w:p w14:paraId="7E64E55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highlight w:val="none"/>
              </w:rPr>
              <w:t>合同生效以及具备实施条件后</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个工作日内支付</w:t>
            </w:r>
            <w:r>
              <w:rPr>
                <w:rFonts w:hint="eastAsia" w:ascii="宋体" w:hAnsi="宋体" w:cs="宋体"/>
                <w:color w:val="auto"/>
                <w:sz w:val="24"/>
                <w:highlight w:val="none"/>
                <w:lang w:val="en-US" w:eastAsia="zh-CN"/>
              </w:rPr>
              <w:t>40</w:t>
            </w:r>
            <w:r>
              <w:rPr>
                <w:rFonts w:hint="eastAsia" w:ascii="宋体" w:hAnsi="宋体" w:eastAsia="宋体" w:cs="宋体"/>
                <w:color w:val="auto"/>
                <w:sz w:val="24"/>
                <w:highlight w:val="none"/>
              </w:rPr>
              <w:t>%预付款。本项目全项内容验收合格，所有要求提交资料齐全，经采购</w:t>
            </w:r>
            <w:r>
              <w:rPr>
                <w:rFonts w:hint="eastAsia" w:ascii="宋体" w:hAnsi="宋体" w:cs="宋体"/>
                <w:color w:val="auto"/>
                <w:sz w:val="24"/>
                <w:highlight w:val="none"/>
                <w:lang w:val="en-US" w:eastAsia="zh-CN"/>
              </w:rPr>
              <w:t>人</w:t>
            </w:r>
            <w:r>
              <w:rPr>
                <w:rFonts w:hint="eastAsia" w:ascii="宋体" w:hAnsi="宋体" w:eastAsia="宋体" w:cs="宋体"/>
                <w:color w:val="auto"/>
                <w:sz w:val="24"/>
                <w:highlight w:val="none"/>
              </w:rPr>
              <w:t>确认后于5个工作日内支付至合同结算金额95%，剩余5%作为质量保证金，待质保期满后退还质量保证金（不计息），但</w:t>
            </w:r>
            <w:r>
              <w:rPr>
                <w:rFonts w:hint="eastAsia" w:ascii="宋体" w:hAnsi="宋体" w:cs="宋体"/>
                <w:color w:val="auto"/>
                <w:sz w:val="24"/>
                <w:highlight w:val="none"/>
                <w:lang w:val="en-US" w:eastAsia="zh-CN"/>
              </w:rPr>
              <w:t>采购人</w:t>
            </w:r>
            <w:r>
              <w:rPr>
                <w:rFonts w:hint="eastAsia" w:ascii="宋体" w:hAnsi="宋体" w:eastAsia="宋体" w:cs="宋体"/>
                <w:color w:val="auto"/>
                <w:sz w:val="24"/>
                <w:highlight w:val="none"/>
              </w:rPr>
              <w:t>有权扣除因质量问题而发生的相关费用。</w:t>
            </w:r>
          </w:p>
          <w:p w14:paraId="567691D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highlight w:val="none"/>
                <w:lang w:val="en-US" w:eastAsia="zh-CN"/>
              </w:rPr>
              <w:t>如因供应商所提供的产品质量原因造成采购人损失的，采购人有权要求供应商以其履约保证金作出补偿。</w:t>
            </w:r>
          </w:p>
          <w:p w14:paraId="19F40EC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Chars="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4、</w:t>
            </w:r>
            <w:r>
              <w:rPr>
                <w:rFonts w:hint="eastAsia" w:ascii="宋体" w:hAnsi="宋体" w:eastAsia="宋体" w:cs="宋体"/>
                <w:b w:val="0"/>
                <w:bCs w:val="0"/>
                <w:color w:val="auto"/>
                <w:sz w:val="24"/>
                <w:szCs w:val="24"/>
                <w:highlight w:val="none"/>
                <w:lang w:val="en-US" w:eastAsia="zh-CN"/>
              </w:rPr>
              <w:t>当采购数量与实际数量不一致时，</w:t>
            </w:r>
            <w:r>
              <w:rPr>
                <w:rFonts w:hint="eastAsia" w:ascii="宋体" w:hAnsi="宋体" w:cs="宋体"/>
                <w:b w:val="0"/>
                <w:bCs w:val="0"/>
                <w:color w:val="auto"/>
                <w:sz w:val="24"/>
                <w:szCs w:val="24"/>
                <w:highlight w:val="none"/>
                <w:lang w:val="en-US" w:eastAsia="zh-CN"/>
              </w:rPr>
              <w:t>中标人</w:t>
            </w:r>
            <w:r>
              <w:rPr>
                <w:rFonts w:hint="eastAsia" w:ascii="宋体" w:hAnsi="宋体" w:eastAsia="宋体" w:cs="宋体"/>
                <w:b w:val="0"/>
                <w:bCs w:val="0"/>
                <w:color w:val="auto"/>
                <w:sz w:val="24"/>
                <w:szCs w:val="24"/>
                <w:highlight w:val="none"/>
                <w:lang w:val="en-US" w:eastAsia="zh-CN"/>
              </w:rPr>
              <w:t>应根据实际数量供货，合同结算金额按实际数量乘以成交单价进行结算。</w:t>
            </w:r>
          </w:p>
          <w:p w14:paraId="15AADA2E">
            <w:pPr>
              <w:numPr>
                <w:ilvl w:val="0"/>
                <w:numId w:val="0"/>
              </w:numPr>
              <w:autoSpaceDE/>
              <w:autoSpaceDN/>
              <w:snapToGrid w:val="0"/>
              <w:spacing w:line="240" w:lineRule="auto"/>
              <w:rPr>
                <w:rFonts w:hint="default"/>
                <w:color w:val="auto"/>
                <w:highlight w:val="none"/>
                <w:lang w:val="en-US" w:eastAsia="zh-CN"/>
              </w:rPr>
            </w:pPr>
            <w:r>
              <w:rPr>
                <w:rFonts w:hint="eastAsia" w:ascii="宋体" w:hAnsi="宋体" w:eastAsia="宋体" w:cs="宋体"/>
                <w:b w:val="0"/>
                <w:bCs w:val="0"/>
                <w:color w:val="auto"/>
                <w:sz w:val="24"/>
                <w:szCs w:val="24"/>
                <w:highlight w:val="none"/>
                <w:lang w:val="en-US" w:eastAsia="zh-CN"/>
              </w:rPr>
              <w:t>5、供货商需提供合法、有效的正规增值税发票，否则采购人有权延期付款，直至收到供货商相应正规增值税发票为止。</w:t>
            </w:r>
          </w:p>
        </w:tc>
      </w:tr>
      <w:tr w14:paraId="6AA24A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14:paraId="7C55D976">
            <w:pPr>
              <w:keepNext w:val="0"/>
              <w:keepLines w:val="0"/>
              <w:pageBreakBefore w:val="0"/>
              <w:widowControl w:val="0"/>
              <w:kinsoku/>
              <w:wordWrap/>
              <w:overflowPunct/>
              <w:topLinePunct w:val="0"/>
              <w:autoSpaceDE/>
              <w:autoSpaceDN/>
              <w:bidi w:val="0"/>
              <w:adjustRightInd w:val="0"/>
              <w:snapToGrid/>
              <w:spacing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品牌要求</w:t>
            </w:r>
          </w:p>
        </w:tc>
        <w:tc>
          <w:tcPr>
            <w:tcW w:w="7397" w:type="dxa"/>
            <w:tcBorders>
              <w:top w:val="single" w:color="auto" w:sz="4" w:space="0"/>
              <w:left w:val="single" w:color="auto" w:sz="4" w:space="0"/>
              <w:bottom w:val="single" w:color="auto" w:sz="4" w:space="0"/>
              <w:right w:val="single" w:color="auto" w:sz="4" w:space="0"/>
            </w:tcBorders>
            <w:vAlign w:val="center"/>
          </w:tcPr>
          <w:p w14:paraId="1045362B">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投标供应商在投标文件的报价一览表及技术标中必须对所有投标产品的品牌、产地作出说明。</w:t>
            </w:r>
          </w:p>
        </w:tc>
      </w:tr>
    </w:tbl>
    <w:p w14:paraId="6011E4CF">
      <w:pPr>
        <w:pStyle w:val="3"/>
        <w:spacing w:line="400" w:lineRule="exact"/>
        <w:jc w:val="both"/>
        <w:rPr>
          <w:rFonts w:hint="eastAsia" w:ascii="宋体" w:hAnsi="宋体" w:eastAsia="宋体" w:cs="宋体"/>
          <w:color w:val="auto"/>
          <w:highlight w:val="none"/>
        </w:rPr>
      </w:pPr>
      <w:bookmarkStart w:id="74" w:name="_Toc31790"/>
      <w:bookmarkStart w:id="75" w:name="_Toc1137"/>
      <w:bookmarkStart w:id="76" w:name="_Toc15830"/>
      <w:bookmarkStart w:id="77" w:name="_Toc1093"/>
      <w:bookmarkStart w:id="78" w:name="_Toc307387200"/>
      <w:r>
        <w:rPr>
          <w:rFonts w:hint="eastAsia" w:ascii="宋体" w:hAnsi="宋体" w:eastAsia="宋体" w:cs="宋体"/>
          <w:color w:val="auto"/>
          <w:highlight w:val="none"/>
        </w:rPr>
        <w:t>五、投标供应商的资信要求表</w:t>
      </w:r>
      <w:bookmarkEnd w:id="74"/>
      <w:bookmarkEnd w:id="75"/>
      <w:bookmarkEnd w:id="76"/>
      <w:bookmarkEnd w:id="77"/>
      <w:bookmarkEnd w:id="78"/>
    </w:p>
    <w:tbl>
      <w:tblPr>
        <w:tblStyle w:val="66"/>
        <w:tblW w:w="89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89"/>
        <w:gridCol w:w="7360"/>
      </w:tblGrid>
      <w:tr w14:paraId="4508DB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866" w:hRule="exact"/>
          <w:jc w:val="center"/>
        </w:trPr>
        <w:tc>
          <w:tcPr>
            <w:tcW w:w="1589" w:type="dxa"/>
            <w:tcBorders>
              <w:top w:val="single" w:color="auto" w:sz="4" w:space="0"/>
              <w:left w:val="single" w:color="auto" w:sz="4" w:space="0"/>
              <w:bottom w:val="single" w:color="auto" w:sz="4" w:space="0"/>
              <w:right w:val="single" w:color="auto" w:sz="4" w:space="0"/>
            </w:tcBorders>
            <w:vAlign w:val="center"/>
          </w:tcPr>
          <w:p w14:paraId="28B6F6C3">
            <w:pPr>
              <w:spacing w:line="42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投标供应商的特定条件（合格投标供应商的资格要求）</w:t>
            </w:r>
          </w:p>
        </w:tc>
        <w:tc>
          <w:tcPr>
            <w:tcW w:w="7360" w:type="dxa"/>
            <w:tcBorders>
              <w:top w:val="single" w:color="auto" w:sz="4" w:space="0"/>
              <w:left w:val="single" w:color="auto" w:sz="4" w:space="0"/>
              <w:bottom w:val="single" w:color="auto" w:sz="4" w:space="0"/>
              <w:right w:val="single" w:color="auto" w:sz="4" w:space="0"/>
            </w:tcBorders>
            <w:vAlign w:val="center"/>
          </w:tcPr>
          <w:p w14:paraId="68232D37">
            <w:pPr>
              <w:spacing w:line="420" w:lineRule="exact"/>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r>
              <w:rPr>
                <w:rFonts w:hint="eastAsia" w:ascii="宋体" w:hAnsi="宋体" w:eastAsia="宋体" w:cs="宋体"/>
                <w:color w:val="auto"/>
                <w:sz w:val="24"/>
                <w:highlight w:val="none"/>
                <w:lang w:eastAsia="zh-CN"/>
              </w:rPr>
              <w:t>。</w:t>
            </w:r>
          </w:p>
          <w:p w14:paraId="61ECBC18">
            <w:pPr>
              <w:spacing w:line="42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2.中小企业政策：专门面向中小企业</w:t>
            </w:r>
            <w:r>
              <w:rPr>
                <w:rFonts w:hint="eastAsia" w:ascii="宋体" w:hAnsi="宋体" w:eastAsia="宋体" w:cs="宋体"/>
                <w:color w:val="auto"/>
                <w:sz w:val="24"/>
                <w:highlight w:val="none"/>
                <w:lang w:eastAsia="zh-CN"/>
              </w:rPr>
              <w:t>。</w:t>
            </w:r>
          </w:p>
          <w:p w14:paraId="0BBC7D3F">
            <w:pPr>
              <w:spacing w:line="42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单位负责人为同一人或者存在直接控股、管理关系的不同投标人，不得参加同一合同项下的政府采购活动；为采购项目提供整体设计、规范编制或者项目管理、监理、检测等服务后不得再参加该采购项目的其他采购活动。</w:t>
            </w:r>
          </w:p>
          <w:p w14:paraId="04ED6AC2">
            <w:pPr>
              <w:spacing w:line="42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4.本项目接受联合体。</w:t>
            </w:r>
          </w:p>
        </w:tc>
      </w:tr>
      <w:tr w14:paraId="0C5E58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42" w:hRule="exact"/>
          <w:jc w:val="center"/>
        </w:trPr>
        <w:tc>
          <w:tcPr>
            <w:tcW w:w="1589" w:type="dxa"/>
            <w:tcBorders>
              <w:top w:val="single" w:color="auto" w:sz="4" w:space="0"/>
              <w:left w:val="single" w:color="auto" w:sz="4" w:space="0"/>
              <w:bottom w:val="single" w:color="auto" w:sz="4" w:space="0"/>
              <w:right w:val="single" w:color="auto" w:sz="4" w:space="0"/>
            </w:tcBorders>
            <w:vAlign w:val="center"/>
          </w:tcPr>
          <w:p w14:paraId="2F949F75">
            <w:pPr>
              <w:spacing w:line="42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售后服务要求</w:t>
            </w:r>
          </w:p>
        </w:tc>
        <w:tc>
          <w:tcPr>
            <w:tcW w:w="7360" w:type="dxa"/>
            <w:tcBorders>
              <w:top w:val="single" w:color="auto" w:sz="4" w:space="0"/>
              <w:left w:val="single" w:color="auto" w:sz="4" w:space="0"/>
              <w:bottom w:val="single" w:color="auto" w:sz="4" w:space="0"/>
              <w:right w:val="single" w:color="auto" w:sz="4" w:space="0"/>
            </w:tcBorders>
            <w:vAlign w:val="center"/>
          </w:tcPr>
          <w:p w14:paraId="6FBACAFD">
            <w:pPr>
              <w:pStyle w:val="64"/>
              <w:numPr>
                <w:ilvl w:val="0"/>
                <w:numId w:val="7"/>
              </w:numPr>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供应商必须对所供产品实行终身维修质保期内的维修费用（包括配件）全部由供货方负责，质保修期后的维修酌情以成本价收费。</w:t>
            </w:r>
          </w:p>
          <w:p w14:paraId="326C6E17">
            <w:pPr>
              <w:pStyle w:val="64"/>
              <w:numPr>
                <w:ilvl w:val="0"/>
                <w:numId w:val="7"/>
              </w:numPr>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商须配有较强的专业技术队伍，维修响应时间为1小时内响应，2小时内到达现场，1小时内解决问题，对于现场解决不了的故障，供应商应提供采购人同型号、同规格的备用设备使用，直至故障设备修复；在保修期内供方必须不得以任何理由影响用户的正常使用。</w:t>
            </w:r>
          </w:p>
        </w:tc>
      </w:tr>
    </w:tbl>
    <w:p w14:paraId="4C99BC33">
      <w:pPr>
        <w:autoSpaceDE w:val="0"/>
        <w:autoSpaceDN w:val="0"/>
        <w:spacing w:line="360" w:lineRule="auto"/>
        <w:jc w:val="left"/>
        <w:rPr>
          <w:rFonts w:hint="eastAsia" w:ascii="宋体" w:hAnsi="宋体" w:cs="宋体"/>
          <w:b/>
          <w:color w:val="auto"/>
          <w:kern w:val="0"/>
          <w:szCs w:val="21"/>
          <w:highlight w:val="none"/>
          <w:lang w:eastAsia="zh-CN"/>
        </w:rPr>
      </w:pPr>
    </w:p>
    <w:p w14:paraId="2A8128E9">
      <w:pPr>
        <w:pStyle w:val="3"/>
        <w:spacing w:line="400" w:lineRule="exact"/>
        <w:jc w:val="both"/>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lang w:eastAsia="zh-CN"/>
        </w:rPr>
        <w:t>样品要求</w:t>
      </w:r>
    </w:p>
    <w:p w14:paraId="48B80AD3">
      <w:pPr>
        <w:keepNext w:val="0"/>
        <w:keepLines w:val="0"/>
        <w:widowControl/>
        <w:suppressLineNumbers w:val="0"/>
        <w:spacing w:beforeLines="50" w:line="360" w:lineRule="auto"/>
        <w:jc w:val="left"/>
        <w:rPr>
          <w:rFonts w:hint="eastAsia" w:ascii="宋体" w:hAnsi="宋体" w:eastAsia="宋体" w:cs="宋体"/>
          <w:b/>
          <w:color w:val="auto"/>
          <w:kern w:val="2"/>
          <w:sz w:val="24"/>
          <w:szCs w:val="24"/>
          <w:highlight w:val="none"/>
          <w:lang w:val="en-US" w:eastAsia="zh-CN" w:bidi="ar"/>
        </w:rPr>
      </w:pPr>
      <w:r>
        <w:rPr>
          <w:rFonts w:hint="eastAsia" w:ascii="宋体" w:hAnsi="宋体" w:eastAsia="宋体" w:cs="宋体"/>
          <w:b/>
          <w:color w:val="auto"/>
          <w:kern w:val="2"/>
          <w:sz w:val="24"/>
          <w:szCs w:val="24"/>
          <w:highlight w:val="none"/>
          <w:lang w:val="en-US" w:eastAsia="zh-CN" w:bidi="ar"/>
        </w:rPr>
        <w:t>1.</w:t>
      </w:r>
      <w:r>
        <w:rPr>
          <w:rFonts w:hint="default" w:ascii="宋体" w:hAnsi="宋体" w:eastAsia="宋体" w:cs="宋体"/>
          <w:b/>
          <w:color w:val="auto"/>
          <w:kern w:val="2"/>
          <w:sz w:val="24"/>
          <w:szCs w:val="24"/>
          <w:highlight w:val="none"/>
          <w:lang w:val="en-US" w:eastAsia="zh-CN" w:bidi="ar"/>
        </w:rPr>
        <w:t>投标人须提供</w:t>
      </w:r>
      <w:r>
        <w:rPr>
          <w:rFonts w:hint="eastAsia" w:ascii="宋体" w:hAnsi="宋体" w:eastAsia="宋体" w:cs="宋体"/>
          <w:b/>
          <w:color w:val="auto"/>
          <w:kern w:val="2"/>
          <w:sz w:val="24"/>
          <w:szCs w:val="24"/>
          <w:highlight w:val="none"/>
          <w:lang w:val="en-US" w:eastAsia="zh-CN" w:bidi="ar"/>
        </w:rPr>
        <w:t>以下小样（不限定尺寸）：</w:t>
      </w:r>
    </w:p>
    <w:p w14:paraId="7B7EF31E">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auto"/>
        <w:rPr>
          <w:rFonts w:hint="default" w:ascii="宋体" w:hAnsi="宋体" w:eastAsia="宋体" w:cs="宋体"/>
          <w:b/>
          <w:color w:val="auto"/>
          <w:kern w:val="2"/>
          <w:sz w:val="24"/>
          <w:szCs w:val="24"/>
          <w:highlight w:val="none"/>
          <w:lang w:val="en-US" w:eastAsia="zh-CN" w:bidi="ar"/>
        </w:rPr>
      </w:pPr>
      <w:r>
        <w:rPr>
          <w:rFonts w:hint="default" w:ascii="宋体" w:hAnsi="宋体" w:eastAsia="宋体" w:cs="宋体"/>
          <w:b/>
          <w:color w:val="auto"/>
          <w:kern w:val="2"/>
          <w:sz w:val="24"/>
          <w:szCs w:val="24"/>
          <w:highlight w:val="none"/>
          <w:lang w:val="en-US" w:eastAsia="zh-CN" w:bidi="ar"/>
        </w:rPr>
        <w:t>①炉头（炊用燃气大锅灶部件）</w:t>
      </w:r>
    </w:p>
    <w:p w14:paraId="604002E0">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auto"/>
        <w:rPr>
          <w:rFonts w:hint="default" w:ascii="宋体" w:hAnsi="宋体" w:eastAsia="宋体" w:cs="宋体"/>
          <w:b/>
          <w:color w:val="auto"/>
          <w:kern w:val="2"/>
          <w:sz w:val="24"/>
          <w:szCs w:val="24"/>
          <w:highlight w:val="none"/>
          <w:lang w:val="en-US" w:eastAsia="zh-CN" w:bidi="ar"/>
        </w:rPr>
      </w:pPr>
      <w:r>
        <w:rPr>
          <w:rFonts w:hint="default" w:ascii="宋体" w:hAnsi="宋体" w:eastAsia="宋体" w:cs="宋体"/>
          <w:b/>
          <w:color w:val="auto"/>
          <w:kern w:val="2"/>
          <w:sz w:val="24"/>
          <w:szCs w:val="24"/>
          <w:highlight w:val="none"/>
          <w:lang w:val="en-US" w:eastAsia="zh-CN" w:bidi="ar"/>
        </w:rPr>
        <w:t>②摇摆龙头（炊用燃气大锅灶部件）</w:t>
      </w:r>
    </w:p>
    <w:p w14:paraId="70A328E2">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auto"/>
        <w:rPr>
          <w:rFonts w:hint="default" w:ascii="宋体" w:hAnsi="宋体" w:eastAsia="宋体" w:cs="宋体"/>
          <w:b/>
          <w:color w:val="auto"/>
          <w:kern w:val="2"/>
          <w:sz w:val="24"/>
          <w:szCs w:val="24"/>
          <w:highlight w:val="none"/>
          <w:lang w:val="en-US" w:eastAsia="zh-CN" w:bidi="ar"/>
        </w:rPr>
      </w:pPr>
      <w:r>
        <w:rPr>
          <w:rFonts w:hint="default" w:ascii="宋体" w:hAnsi="宋体" w:eastAsia="宋体" w:cs="宋体"/>
          <w:b/>
          <w:color w:val="auto"/>
          <w:kern w:val="2"/>
          <w:sz w:val="24"/>
          <w:szCs w:val="24"/>
          <w:highlight w:val="none"/>
          <w:lang w:val="en-US" w:eastAsia="zh-CN" w:bidi="ar"/>
        </w:rPr>
        <w:t>③灶具的前邦局部或</w:t>
      </w:r>
      <w:r>
        <w:rPr>
          <w:rFonts w:hint="eastAsia" w:ascii="宋体" w:hAnsi="宋体" w:eastAsia="宋体" w:cs="宋体"/>
          <w:b/>
          <w:color w:val="auto"/>
          <w:kern w:val="2"/>
          <w:sz w:val="24"/>
          <w:szCs w:val="24"/>
          <w:highlight w:val="none"/>
          <w:lang w:val="en-US" w:eastAsia="zh-CN" w:bidi="ar"/>
        </w:rPr>
        <w:t>面前</w:t>
      </w:r>
      <w:r>
        <w:rPr>
          <w:rFonts w:hint="default" w:ascii="宋体" w:hAnsi="宋体" w:eastAsia="宋体" w:cs="宋体"/>
          <w:b/>
          <w:color w:val="auto"/>
          <w:kern w:val="2"/>
          <w:sz w:val="24"/>
          <w:szCs w:val="24"/>
          <w:highlight w:val="none"/>
          <w:lang w:val="en-US" w:eastAsia="zh-CN" w:bidi="ar"/>
        </w:rPr>
        <w:t>扶手（炊用燃气大锅灶部件）</w:t>
      </w:r>
    </w:p>
    <w:p w14:paraId="07097506">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auto"/>
        <w:rPr>
          <w:rFonts w:hint="default" w:ascii="宋体" w:hAnsi="宋体" w:eastAsia="宋体" w:cs="宋体"/>
          <w:b/>
          <w:color w:val="auto"/>
          <w:kern w:val="2"/>
          <w:sz w:val="24"/>
          <w:szCs w:val="24"/>
          <w:highlight w:val="none"/>
          <w:lang w:val="en-US" w:eastAsia="zh-CN" w:bidi="ar"/>
        </w:rPr>
      </w:pPr>
      <w:r>
        <w:rPr>
          <w:rFonts w:hint="default" w:ascii="宋体" w:hAnsi="宋体" w:eastAsia="宋体" w:cs="宋体"/>
          <w:b/>
          <w:color w:val="auto"/>
          <w:kern w:val="2"/>
          <w:sz w:val="24"/>
          <w:szCs w:val="24"/>
          <w:highlight w:val="none"/>
          <w:lang w:val="en-US" w:eastAsia="zh-CN" w:bidi="ar"/>
        </w:rPr>
        <w:t>④脚轮（带刹车掣）。</w:t>
      </w:r>
    </w:p>
    <w:p w14:paraId="29724DD2">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auto"/>
        <w:rPr>
          <w:rFonts w:hint="default" w:ascii="宋体" w:hAnsi="宋体" w:eastAsia="宋体" w:cs="宋体"/>
          <w:b/>
          <w:color w:val="auto"/>
          <w:kern w:val="2"/>
          <w:sz w:val="24"/>
          <w:szCs w:val="24"/>
          <w:highlight w:val="none"/>
          <w:lang w:val="en-US" w:eastAsia="zh-CN" w:bidi="ar"/>
        </w:rPr>
      </w:pPr>
      <w:r>
        <w:rPr>
          <w:rFonts w:hint="eastAsia" w:ascii="宋体" w:hAnsi="宋体" w:cs="宋体"/>
          <w:b/>
          <w:color w:val="auto"/>
          <w:kern w:val="2"/>
          <w:sz w:val="24"/>
          <w:szCs w:val="24"/>
          <w:highlight w:val="none"/>
          <w:lang w:val="en-US" w:eastAsia="zh-CN" w:bidi="ar"/>
        </w:rPr>
        <w:t>2</w:t>
      </w:r>
      <w:r>
        <w:rPr>
          <w:rFonts w:ascii="宋体" w:hAnsi="宋体" w:eastAsia="宋体" w:cs="宋体"/>
          <w:b/>
          <w:color w:val="auto"/>
          <w:kern w:val="2"/>
          <w:sz w:val="24"/>
          <w:szCs w:val="24"/>
          <w:highlight w:val="none"/>
          <w:lang w:val="en-US" w:eastAsia="zh-CN" w:bidi="ar"/>
        </w:rPr>
        <w:t>.</w:t>
      </w:r>
      <w:r>
        <w:rPr>
          <w:rFonts w:hint="default" w:ascii="宋体" w:hAnsi="宋体" w:eastAsia="宋体" w:cs="宋体"/>
          <w:b/>
          <w:color w:val="auto"/>
          <w:kern w:val="2"/>
          <w:sz w:val="24"/>
          <w:szCs w:val="24"/>
          <w:highlight w:val="none"/>
          <w:lang w:val="en-US" w:eastAsia="zh-CN" w:bidi="ar"/>
        </w:rPr>
        <w:t>暗标要求（未按</w:t>
      </w:r>
      <w:r>
        <w:rPr>
          <w:rFonts w:hint="eastAsia" w:ascii="宋体" w:hAnsi="宋体" w:cs="宋体"/>
          <w:b/>
          <w:color w:val="auto"/>
          <w:kern w:val="2"/>
          <w:sz w:val="24"/>
          <w:szCs w:val="24"/>
          <w:highlight w:val="none"/>
          <w:lang w:val="en-US" w:eastAsia="zh-CN" w:bidi="ar"/>
        </w:rPr>
        <w:t>以下</w:t>
      </w:r>
      <w:r>
        <w:rPr>
          <w:rFonts w:hint="default" w:ascii="宋体" w:hAnsi="宋体" w:eastAsia="宋体" w:cs="宋体"/>
          <w:b/>
          <w:color w:val="auto"/>
          <w:kern w:val="2"/>
          <w:sz w:val="24"/>
          <w:szCs w:val="24"/>
          <w:highlight w:val="none"/>
          <w:lang w:val="en-US" w:eastAsia="zh-CN" w:bidi="ar"/>
        </w:rPr>
        <w:t>要求制作的样品</w:t>
      </w:r>
      <w:r>
        <w:rPr>
          <w:rFonts w:hint="eastAsia" w:ascii="宋体" w:hAnsi="宋体" w:cs="宋体"/>
          <w:b/>
          <w:color w:val="auto"/>
          <w:kern w:val="2"/>
          <w:sz w:val="24"/>
          <w:szCs w:val="24"/>
          <w:highlight w:val="none"/>
          <w:lang w:val="en-US" w:eastAsia="zh-CN" w:bidi="ar"/>
        </w:rPr>
        <w:t>，</w:t>
      </w:r>
      <w:r>
        <w:rPr>
          <w:rFonts w:hint="default" w:ascii="宋体" w:hAnsi="宋体" w:eastAsia="宋体" w:cs="宋体"/>
          <w:b/>
          <w:color w:val="auto"/>
          <w:kern w:val="2"/>
          <w:sz w:val="24"/>
          <w:szCs w:val="24"/>
          <w:highlight w:val="none"/>
          <w:lang w:val="en-US" w:eastAsia="zh-CN" w:bidi="ar"/>
        </w:rPr>
        <w:t>样品分作0分处理）：</w:t>
      </w:r>
    </w:p>
    <w:p w14:paraId="35F0FB19">
      <w:pPr>
        <w:keepNext w:val="0"/>
        <w:keepLines w:val="0"/>
        <w:pageBreakBefore w:val="0"/>
        <w:widowControl/>
        <w:suppressLineNumbers w:val="0"/>
        <w:kinsoku/>
        <w:wordWrap/>
        <w:overflowPunct/>
        <w:topLinePunct w:val="0"/>
        <w:autoSpaceDE/>
        <w:autoSpaceDN/>
        <w:bidi w:val="0"/>
        <w:adjustRightInd w:val="0"/>
        <w:snapToGrid/>
        <w:spacing w:line="360" w:lineRule="auto"/>
        <w:ind w:firstLine="482" w:firstLineChars="200"/>
        <w:jc w:val="left"/>
        <w:textAlignment w:val="auto"/>
        <w:rPr>
          <w:rFonts w:hint="default" w:ascii="宋体" w:hAnsi="宋体" w:eastAsia="宋体" w:cs="宋体"/>
          <w:b/>
          <w:color w:val="auto"/>
          <w:kern w:val="2"/>
          <w:sz w:val="24"/>
          <w:szCs w:val="24"/>
          <w:highlight w:val="none"/>
          <w:lang w:val="en-US" w:eastAsia="zh-CN" w:bidi="ar"/>
        </w:rPr>
      </w:pPr>
      <w:r>
        <w:rPr>
          <w:rFonts w:hint="default" w:ascii="宋体" w:hAnsi="宋体" w:eastAsia="宋体" w:cs="宋体"/>
          <w:b/>
          <w:color w:val="auto"/>
          <w:kern w:val="2"/>
          <w:sz w:val="24"/>
          <w:szCs w:val="24"/>
          <w:highlight w:val="none"/>
          <w:lang w:val="en-US" w:eastAsia="zh-CN" w:bidi="ar"/>
        </w:rPr>
        <w:t>要求</w:t>
      </w:r>
      <w:r>
        <w:rPr>
          <w:rFonts w:hint="eastAsia" w:ascii="宋体" w:hAnsi="宋体" w:cs="宋体"/>
          <w:b/>
          <w:color w:val="auto"/>
          <w:kern w:val="2"/>
          <w:sz w:val="24"/>
          <w:szCs w:val="24"/>
          <w:highlight w:val="none"/>
          <w:lang w:val="en-US" w:eastAsia="zh-CN" w:bidi="ar"/>
        </w:rPr>
        <w:t>小样</w:t>
      </w:r>
      <w:r>
        <w:rPr>
          <w:rFonts w:hint="default" w:ascii="宋体" w:hAnsi="宋体" w:eastAsia="宋体" w:cs="宋体"/>
          <w:b/>
          <w:color w:val="auto"/>
          <w:kern w:val="2"/>
          <w:sz w:val="24"/>
          <w:szCs w:val="24"/>
          <w:highlight w:val="none"/>
          <w:lang w:val="en-US" w:eastAsia="zh-CN" w:bidi="ar"/>
        </w:rPr>
        <w:t>置于箱子内，箱子外面贴三层A4纸，其中最底层用于印制投标人标记（即投标人单位名称等）；中间层为空白纸，用于遮盖投标人标记；最上层为空白纸，用于招标人统一编号（保证在正反面都不能看到投标人标记）。</w:t>
      </w:r>
    </w:p>
    <w:p w14:paraId="255D1C86">
      <w:pPr>
        <w:keepNext w:val="0"/>
        <w:keepLines w:val="0"/>
        <w:pageBreakBefore w:val="0"/>
        <w:widowControl/>
        <w:suppressLineNumbers w:val="0"/>
        <w:kinsoku/>
        <w:wordWrap/>
        <w:overflowPunct/>
        <w:topLinePunct w:val="0"/>
        <w:autoSpaceDE/>
        <w:autoSpaceDN/>
        <w:bidi w:val="0"/>
        <w:adjustRightInd w:val="0"/>
        <w:snapToGrid/>
        <w:spacing w:line="360" w:lineRule="auto"/>
        <w:ind w:firstLine="482" w:firstLineChars="200"/>
        <w:jc w:val="left"/>
        <w:textAlignment w:val="auto"/>
        <w:rPr>
          <w:rFonts w:ascii="宋体" w:hAnsi="宋体" w:eastAsia="宋体" w:cs="宋体"/>
          <w:b/>
          <w:color w:val="auto"/>
          <w:kern w:val="2"/>
          <w:sz w:val="24"/>
          <w:szCs w:val="24"/>
          <w:highlight w:val="none"/>
          <w:lang w:val="en-US" w:eastAsia="zh-CN" w:bidi="ar"/>
        </w:rPr>
      </w:pPr>
      <w:r>
        <w:rPr>
          <w:rFonts w:hint="default" w:ascii="宋体" w:hAnsi="宋体" w:eastAsia="宋体" w:cs="宋体"/>
          <w:b/>
          <w:color w:val="auto"/>
          <w:kern w:val="2"/>
          <w:sz w:val="24"/>
          <w:szCs w:val="24"/>
          <w:highlight w:val="none"/>
          <w:lang w:val="en-US" w:eastAsia="zh-CN" w:bidi="ar"/>
        </w:rPr>
        <w:t>样品及箱子不得显示任何商标或厂家及品牌标识或其他特殊标记。</w:t>
      </w:r>
    </w:p>
    <w:p w14:paraId="7634928F">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auto"/>
        <w:rPr>
          <w:rFonts w:ascii="宋体" w:hAnsi="宋体" w:eastAsia="宋体" w:cs="宋体"/>
          <w:b/>
          <w:color w:val="auto"/>
          <w:kern w:val="2"/>
          <w:sz w:val="24"/>
          <w:szCs w:val="24"/>
          <w:highlight w:val="none"/>
          <w:lang w:val="en-US" w:eastAsia="zh-CN" w:bidi="ar"/>
        </w:rPr>
      </w:pPr>
      <w:r>
        <w:rPr>
          <w:rFonts w:hint="eastAsia" w:ascii="宋体" w:hAnsi="宋体" w:eastAsia="宋体" w:cs="宋体"/>
          <w:b/>
          <w:color w:val="auto"/>
          <w:kern w:val="2"/>
          <w:sz w:val="24"/>
          <w:szCs w:val="24"/>
          <w:highlight w:val="none"/>
          <w:lang w:val="en-US" w:eastAsia="zh-CN" w:bidi="ar"/>
        </w:rPr>
        <w:t>3.</w:t>
      </w:r>
      <w:r>
        <w:rPr>
          <w:rFonts w:ascii="宋体" w:hAnsi="宋体" w:eastAsia="宋体" w:cs="宋体"/>
          <w:b/>
          <w:color w:val="auto"/>
          <w:kern w:val="2"/>
          <w:sz w:val="24"/>
          <w:szCs w:val="24"/>
          <w:highlight w:val="none"/>
          <w:lang w:val="en-US" w:eastAsia="zh-CN" w:bidi="ar"/>
        </w:rPr>
        <w:t>样品送达时间：2024年</w:t>
      </w:r>
      <w:r>
        <w:rPr>
          <w:rFonts w:hint="eastAsia" w:ascii="宋体" w:hAnsi="宋体" w:cs="宋体"/>
          <w:b/>
          <w:color w:val="auto"/>
          <w:kern w:val="2"/>
          <w:sz w:val="24"/>
          <w:szCs w:val="24"/>
          <w:highlight w:val="none"/>
          <w:lang w:val="en-US" w:eastAsia="zh-CN" w:bidi="ar"/>
        </w:rPr>
        <w:t>10</w:t>
      </w:r>
      <w:r>
        <w:rPr>
          <w:rFonts w:ascii="宋体" w:hAnsi="宋体" w:eastAsia="宋体" w:cs="宋体"/>
          <w:b/>
          <w:color w:val="auto"/>
          <w:kern w:val="2"/>
          <w:sz w:val="24"/>
          <w:szCs w:val="24"/>
          <w:highlight w:val="none"/>
          <w:lang w:val="en-US" w:eastAsia="zh-CN" w:bidi="ar"/>
        </w:rPr>
        <w:t>月</w:t>
      </w:r>
      <w:r>
        <w:rPr>
          <w:rFonts w:hint="eastAsia" w:ascii="宋体" w:hAnsi="宋体" w:cs="宋体"/>
          <w:b/>
          <w:color w:val="auto"/>
          <w:kern w:val="2"/>
          <w:sz w:val="24"/>
          <w:szCs w:val="24"/>
          <w:highlight w:val="none"/>
          <w:lang w:val="en-US" w:eastAsia="zh-CN" w:bidi="ar"/>
        </w:rPr>
        <w:t>09</w:t>
      </w:r>
      <w:r>
        <w:rPr>
          <w:rFonts w:ascii="宋体" w:hAnsi="宋体" w:eastAsia="宋体" w:cs="宋体"/>
          <w:b/>
          <w:color w:val="auto"/>
          <w:kern w:val="2"/>
          <w:sz w:val="24"/>
          <w:szCs w:val="24"/>
          <w:highlight w:val="none"/>
          <w:lang w:val="en-US" w:eastAsia="zh-CN" w:bidi="ar"/>
        </w:rPr>
        <w:t>日</w:t>
      </w:r>
      <w:r>
        <w:rPr>
          <w:rFonts w:hint="eastAsia" w:ascii="宋体" w:hAnsi="宋体" w:cs="宋体"/>
          <w:b/>
          <w:color w:val="auto"/>
          <w:kern w:val="2"/>
          <w:sz w:val="24"/>
          <w:szCs w:val="24"/>
          <w:highlight w:val="none"/>
          <w:lang w:val="en-US" w:eastAsia="zh-CN" w:bidi="ar"/>
        </w:rPr>
        <w:t>08</w:t>
      </w:r>
      <w:r>
        <w:rPr>
          <w:rFonts w:ascii="宋体" w:hAnsi="宋体" w:eastAsia="宋体" w:cs="宋体"/>
          <w:b/>
          <w:color w:val="auto"/>
          <w:kern w:val="2"/>
          <w:sz w:val="24"/>
          <w:szCs w:val="24"/>
          <w:highlight w:val="none"/>
          <w:lang w:val="en-US" w:eastAsia="zh-CN" w:bidi="ar"/>
        </w:rPr>
        <w:t>:</w:t>
      </w:r>
      <w:r>
        <w:rPr>
          <w:rFonts w:hint="eastAsia" w:ascii="宋体" w:hAnsi="宋体" w:cs="宋体"/>
          <w:b/>
          <w:color w:val="auto"/>
          <w:kern w:val="2"/>
          <w:sz w:val="24"/>
          <w:szCs w:val="24"/>
          <w:highlight w:val="none"/>
          <w:lang w:val="en-US" w:eastAsia="zh-CN" w:bidi="ar"/>
        </w:rPr>
        <w:t>3</w:t>
      </w:r>
      <w:r>
        <w:rPr>
          <w:rFonts w:ascii="宋体" w:hAnsi="宋体" w:eastAsia="宋体" w:cs="宋体"/>
          <w:b/>
          <w:color w:val="auto"/>
          <w:kern w:val="2"/>
          <w:sz w:val="24"/>
          <w:szCs w:val="24"/>
          <w:highlight w:val="none"/>
          <w:lang w:val="en-US" w:eastAsia="zh-CN" w:bidi="ar"/>
        </w:rPr>
        <w:t>0 至</w:t>
      </w:r>
      <w:r>
        <w:rPr>
          <w:rFonts w:hint="eastAsia" w:ascii="宋体" w:hAnsi="宋体" w:cs="宋体"/>
          <w:b/>
          <w:color w:val="auto"/>
          <w:kern w:val="2"/>
          <w:sz w:val="24"/>
          <w:szCs w:val="24"/>
          <w:highlight w:val="none"/>
          <w:lang w:val="en-US" w:eastAsia="zh-CN" w:bidi="ar"/>
        </w:rPr>
        <w:t>10</w:t>
      </w:r>
      <w:r>
        <w:rPr>
          <w:rFonts w:ascii="宋体" w:hAnsi="宋体" w:eastAsia="宋体" w:cs="宋体"/>
          <w:b/>
          <w:color w:val="auto"/>
          <w:kern w:val="2"/>
          <w:sz w:val="24"/>
          <w:szCs w:val="24"/>
          <w:highlight w:val="none"/>
          <w:lang w:val="en-US" w:eastAsia="zh-CN" w:bidi="ar"/>
        </w:rPr>
        <w:t>:</w:t>
      </w:r>
      <w:r>
        <w:rPr>
          <w:rFonts w:hint="eastAsia" w:ascii="宋体" w:hAnsi="宋体" w:cs="宋体"/>
          <w:b/>
          <w:color w:val="auto"/>
          <w:kern w:val="2"/>
          <w:sz w:val="24"/>
          <w:szCs w:val="24"/>
          <w:highlight w:val="none"/>
          <w:lang w:val="en-US" w:eastAsia="zh-CN" w:bidi="ar"/>
        </w:rPr>
        <w:t>0</w:t>
      </w:r>
      <w:r>
        <w:rPr>
          <w:rFonts w:ascii="宋体" w:hAnsi="宋体" w:eastAsia="宋体" w:cs="宋体"/>
          <w:b/>
          <w:color w:val="auto"/>
          <w:kern w:val="2"/>
          <w:sz w:val="24"/>
          <w:szCs w:val="24"/>
          <w:highlight w:val="none"/>
          <w:lang w:val="en-US" w:eastAsia="zh-CN" w:bidi="ar"/>
        </w:rPr>
        <w:t>0</w:t>
      </w:r>
      <w:r>
        <w:rPr>
          <w:rFonts w:hint="default" w:ascii="宋体" w:hAnsi="宋体" w:eastAsia="宋体" w:cs="宋体"/>
          <w:b/>
          <w:color w:val="auto"/>
          <w:kern w:val="2"/>
          <w:sz w:val="24"/>
          <w:szCs w:val="24"/>
          <w:highlight w:val="none"/>
          <w:lang w:val="en-US" w:eastAsia="zh-CN" w:bidi="ar"/>
        </w:rPr>
        <w:t>，请投标人在上述时间内提供样品。超过投标截止时间的，采购人或采购代理机构将不予接收。</w:t>
      </w:r>
    </w:p>
    <w:p w14:paraId="60EAE7FB">
      <w:pPr>
        <w:keepNext w:val="0"/>
        <w:keepLines w:val="0"/>
        <w:widowControl/>
        <w:suppressLineNumbers w:val="0"/>
        <w:spacing w:beforeLines="50" w:line="360" w:lineRule="auto"/>
        <w:jc w:val="left"/>
        <w:rPr>
          <w:rFonts w:ascii="宋体" w:hAnsi="宋体" w:cs="宋体"/>
          <w:b/>
          <w:color w:val="auto"/>
          <w:sz w:val="24"/>
          <w:szCs w:val="24"/>
          <w:highlight w:val="none"/>
          <w:lang w:bidi="ar"/>
        </w:rPr>
      </w:pPr>
      <w:r>
        <w:rPr>
          <w:rFonts w:ascii="宋体" w:hAnsi="宋体" w:eastAsia="宋体" w:cs="宋体"/>
          <w:b/>
          <w:color w:val="auto"/>
          <w:kern w:val="2"/>
          <w:sz w:val="24"/>
          <w:szCs w:val="24"/>
          <w:highlight w:val="none"/>
          <w:lang w:val="en-US" w:eastAsia="zh-CN" w:bidi="ar"/>
        </w:rPr>
        <w:t>样品运至地点：</w:t>
      </w:r>
      <w:r>
        <w:rPr>
          <w:rFonts w:hint="eastAsia" w:ascii="宋体" w:hAnsi="宋体" w:cs="宋体"/>
          <w:b/>
          <w:color w:val="auto"/>
          <w:kern w:val="2"/>
          <w:sz w:val="24"/>
          <w:szCs w:val="24"/>
          <w:highlight w:val="none"/>
          <w:lang w:val="en-US" w:eastAsia="zh-CN" w:bidi="ar"/>
        </w:rPr>
        <w:t>杭州市绍兴路538号三立时代广场A幢1201室。</w:t>
      </w:r>
    </w:p>
    <w:p w14:paraId="74EC591C">
      <w:pPr>
        <w:keepNext w:val="0"/>
        <w:keepLines w:val="0"/>
        <w:widowControl/>
        <w:suppressLineNumbers w:val="0"/>
        <w:spacing w:beforeLines="50" w:line="360" w:lineRule="auto"/>
        <w:jc w:val="left"/>
        <w:rPr>
          <w:rFonts w:ascii="宋体" w:hAnsi="宋体" w:cs="宋体"/>
          <w:b/>
          <w:color w:val="auto"/>
          <w:sz w:val="24"/>
          <w:szCs w:val="24"/>
          <w:highlight w:val="none"/>
          <w:lang w:bidi="ar"/>
        </w:rPr>
      </w:pPr>
      <w:r>
        <w:rPr>
          <w:rFonts w:ascii="宋体" w:hAnsi="宋体" w:eastAsia="宋体" w:cs="宋体"/>
          <w:b/>
          <w:color w:val="auto"/>
          <w:kern w:val="2"/>
          <w:sz w:val="24"/>
          <w:szCs w:val="24"/>
          <w:highlight w:val="none"/>
          <w:lang w:val="en-US" w:eastAsia="zh-CN" w:bidi="ar"/>
        </w:rPr>
        <w:t>样品取回时间：采购活动结束后，对于未中标人提供的样品，采购人、采</w:t>
      </w:r>
      <w:r>
        <w:rPr>
          <w:rFonts w:hint="default" w:ascii="宋体" w:hAnsi="宋体" w:eastAsia="宋体" w:cs="宋体"/>
          <w:b/>
          <w:color w:val="auto"/>
          <w:kern w:val="2"/>
          <w:sz w:val="24"/>
          <w:szCs w:val="24"/>
          <w:highlight w:val="none"/>
          <w:lang w:val="en-US" w:eastAsia="zh-CN" w:bidi="ar"/>
        </w:rPr>
        <w:t>购机构将通知未中标人在规定的时间内取回，逾期未取回的，采购人、采购机构不负保管义务；对于中标人提供的样品，采购人将进行保管、封存，并作为履约验收的参考。</w:t>
      </w:r>
    </w:p>
    <w:p w14:paraId="530D8843">
      <w:pPr>
        <w:rPr>
          <w:rFonts w:hint="eastAsia" w:ascii="仿宋" w:hAnsi="仿宋" w:eastAsia="仿宋" w:cs="仿宋"/>
          <w:color w:val="auto"/>
          <w:highlight w:val="none"/>
          <w:lang w:val="en-US" w:eastAsia="zh-CN"/>
        </w:rPr>
        <w:sectPr>
          <w:pgSz w:w="11907" w:h="16840"/>
          <w:pgMar w:top="1474" w:right="1814" w:bottom="1474" w:left="1814" w:header="851" w:footer="851" w:gutter="0"/>
          <w:pgBorders>
            <w:top w:val="none" w:sz="0" w:space="0"/>
            <w:left w:val="none" w:sz="0" w:space="0"/>
            <w:bottom w:val="none" w:sz="0" w:space="0"/>
            <w:right w:val="none" w:sz="0" w:space="0"/>
          </w:pgBorders>
          <w:cols w:space="720" w:num="1"/>
        </w:sectPr>
      </w:pPr>
    </w:p>
    <w:p w14:paraId="31EAD3FB">
      <w:pPr>
        <w:pStyle w:val="3"/>
        <w:spacing w:line="400" w:lineRule="exact"/>
        <w:jc w:val="both"/>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七 、采购清单</w:t>
      </w:r>
    </w:p>
    <w:tbl>
      <w:tblPr>
        <w:tblStyle w:val="66"/>
        <w:tblW w:w="9254" w:type="dxa"/>
        <w:tblInd w:w="-5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3"/>
        <w:gridCol w:w="1320"/>
        <w:gridCol w:w="1360"/>
        <w:gridCol w:w="1493"/>
        <w:gridCol w:w="3120"/>
        <w:gridCol w:w="554"/>
        <w:gridCol w:w="554"/>
      </w:tblGrid>
      <w:tr w14:paraId="6E190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1091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编号</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F90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设备名称</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B191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产品图片</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B4A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尺寸(WxDxH)</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6515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A44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6DF7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5275F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C1D5A">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AA收货检测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7795">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863A">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C3550">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021C8">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10781">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9678D">
            <w:pPr>
              <w:jc w:val="center"/>
              <w:rPr>
                <w:rFonts w:hint="eastAsia" w:ascii="宋体" w:hAnsi="宋体" w:eastAsia="宋体" w:cs="宋体"/>
                <w:i w:val="0"/>
                <w:iCs w:val="0"/>
                <w:color w:val="auto"/>
                <w:sz w:val="20"/>
                <w:szCs w:val="20"/>
                <w:highlight w:val="none"/>
                <w:u w:val="none"/>
              </w:rPr>
            </w:pPr>
          </w:p>
        </w:tc>
      </w:tr>
      <w:tr w14:paraId="632A2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76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AA01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60A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风幕机（遥控型）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6D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276860</wp:posOffset>
                  </wp:positionV>
                  <wp:extent cx="755015" cy="309245"/>
                  <wp:effectExtent l="0" t="0" r="6985" b="10795"/>
                  <wp:wrapNone/>
                  <wp:docPr id="77" name="Picture_11"/>
                  <wp:cNvGraphicFramePr/>
                  <a:graphic xmlns:a="http://schemas.openxmlformats.org/drawingml/2006/main">
                    <a:graphicData uri="http://schemas.openxmlformats.org/drawingml/2006/picture">
                      <pic:pic xmlns:pic="http://schemas.openxmlformats.org/drawingml/2006/picture">
                        <pic:nvPicPr>
                          <pic:cNvPr id="77" name="Picture_11"/>
                          <pic:cNvPicPr/>
                        </pic:nvPicPr>
                        <pic:blipFill>
                          <a:blip r:embed="rId29"/>
                          <a:stretch>
                            <a:fillRect/>
                          </a:stretch>
                        </pic:blipFill>
                        <pic:spPr>
                          <a:xfrm>
                            <a:off x="0" y="0"/>
                            <a:ext cx="755015" cy="3092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96C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1500*198*215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7053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额定电压220V，功率：360-390W;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风口风量：1350-1700m3/h,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风口风速:14.5-11.5m/s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材质：工程塑料，低噪音风机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1、贯流式强力送风轻松在室内外之间形成一道隐形的风幕墙，隔开室内外空气的同时，更可将灰尘，飞虫等阻挡于室外。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2、遮断效果佳，风路升级体现高风速，低噪音运转。</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3D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743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D5DB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FAA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AA02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DCD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工作柜带水池（左星）</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743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111125</wp:posOffset>
                  </wp:positionH>
                  <wp:positionV relativeFrom="paragraph">
                    <wp:posOffset>246380</wp:posOffset>
                  </wp:positionV>
                  <wp:extent cx="617220" cy="557530"/>
                  <wp:effectExtent l="0" t="0" r="7620" b="6350"/>
                  <wp:wrapNone/>
                  <wp:docPr id="74" name="Picture_12"/>
                  <wp:cNvGraphicFramePr/>
                  <a:graphic xmlns:a="http://schemas.openxmlformats.org/drawingml/2006/main">
                    <a:graphicData uri="http://schemas.openxmlformats.org/drawingml/2006/picture">
                      <pic:pic xmlns:pic="http://schemas.openxmlformats.org/drawingml/2006/picture">
                        <pic:nvPicPr>
                          <pic:cNvPr id="74" name="Picture_12"/>
                          <pic:cNvPicPr/>
                        </pic:nvPicPr>
                        <pic:blipFill>
                          <a:blip r:embed="rId30"/>
                          <a:stretch>
                            <a:fillRect/>
                          </a:stretch>
                        </pic:blipFill>
                        <pic:spPr>
                          <a:xfrm>
                            <a:off x="0" y="0"/>
                            <a:ext cx="617220"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D43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B8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—水斗一体冲压成型，规格：500*500*280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—配304不锈钢一体冲压拦渣篮及隔水盖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—门外板厚1.0㎜，左右侧板、门内复板0.8mm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—配φ50不锈钢重力脚，201不锈钢厚3mm加强型三角板加固</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873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0F6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1C1B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5F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AA02a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2D8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感应龙头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87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321310</wp:posOffset>
                  </wp:positionV>
                  <wp:extent cx="643890" cy="514350"/>
                  <wp:effectExtent l="0" t="0" r="11430" b="3810"/>
                  <wp:wrapNone/>
                  <wp:docPr id="78" name="图片_1"/>
                  <wp:cNvGraphicFramePr/>
                  <a:graphic xmlns:a="http://schemas.openxmlformats.org/drawingml/2006/main">
                    <a:graphicData uri="http://schemas.openxmlformats.org/drawingml/2006/picture">
                      <pic:pic xmlns:pic="http://schemas.openxmlformats.org/drawingml/2006/picture">
                        <pic:nvPicPr>
                          <pic:cNvPr id="78" name="图片_1"/>
                          <pic:cNvPicPr/>
                        </pic:nvPicPr>
                        <pic:blipFill>
                          <a:blip r:embed="rId31"/>
                          <a:stretch>
                            <a:fillRect/>
                          </a:stretch>
                        </pic:blipFill>
                        <pic:spPr>
                          <a:xfrm>
                            <a:off x="0" y="0"/>
                            <a:ext cx="643890" cy="5143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124C9">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D7F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单孔台出电子感应龙头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防破坏2.2GPM(8.3LPM)起泡器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防水控制盒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AC/DC交直流两用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手动混水阀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开孔：孔径32mm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446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09B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911C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F08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AA04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5FE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立式两玻璃门冷藏柜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C0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205105</wp:posOffset>
                  </wp:positionH>
                  <wp:positionV relativeFrom="paragraph">
                    <wp:posOffset>743585</wp:posOffset>
                  </wp:positionV>
                  <wp:extent cx="472440" cy="649605"/>
                  <wp:effectExtent l="0" t="0" r="0" b="5715"/>
                  <wp:wrapNone/>
                  <wp:docPr id="79" name="Picture_14"/>
                  <wp:cNvGraphicFramePr/>
                  <a:graphic xmlns:a="http://schemas.openxmlformats.org/drawingml/2006/main">
                    <a:graphicData uri="http://schemas.openxmlformats.org/drawingml/2006/picture">
                      <pic:pic xmlns:pic="http://schemas.openxmlformats.org/drawingml/2006/picture">
                        <pic:nvPicPr>
                          <pic:cNvPr id="79" name="Picture_14"/>
                          <pic:cNvPicPr/>
                        </pic:nvPicPr>
                        <pic:blipFill>
                          <a:blip r:embed="rId32"/>
                          <a:stretch>
                            <a:fillRect/>
                          </a:stretch>
                        </pic:blipFill>
                        <pic:spPr>
                          <a:xfrm>
                            <a:off x="0" y="0"/>
                            <a:ext cx="472440" cy="64960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E8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610*750*1960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B0B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电源：220V/50HZ，输入功率：≥250W，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温度范围: -2~-12°C</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1、内外箱均为SUS304不锈钢板，门面玻璃门；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2、使用优质压缩机，全铜管冷凝器、蒸发器；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3、配备强制蒸发装置，自动蒸发化霜水；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4、一体式发泡工艺，整体平整、耐用；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5、产品能在43℃的环境温度下正常工作；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6、置于箱体内部的高效防露加热丝，能有效防止门框结露、滴水，保证客户的使用效果和环境卫生；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7、冰箱配备了门体自动关闭结构，方便客户操作。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容积：≥380L </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69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EE3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29C6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99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AA05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81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三抽屉移门工作柜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B9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173355</wp:posOffset>
                  </wp:positionV>
                  <wp:extent cx="755015" cy="473710"/>
                  <wp:effectExtent l="0" t="0" r="6985" b="13970"/>
                  <wp:wrapNone/>
                  <wp:docPr id="75" name="Picture_15"/>
                  <wp:cNvGraphicFramePr/>
                  <a:graphic xmlns:a="http://schemas.openxmlformats.org/drawingml/2006/main">
                    <a:graphicData uri="http://schemas.openxmlformats.org/drawingml/2006/picture">
                      <pic:pic xmlns:pic="http://schemas.openxmlformats.org/drawingml/2006/picture">
                        <pic:nvPicPr>
                          <pic:cNvPr id="75" name="Picture_15"/>
                          <pic:cNvPicPr/>
                        </pic:nvPicPr>
                        <pic:blipFill>
                          <a:blip r:embed="rId33"/>
                          <a:stretch>
                            <a:fillRect/>
                          </a:stretch>
                        </pic:blipFill>
                        <pic:spPr>
                          <a:xfrm>
                            <a:off x="0" y="0"/>
                            <a:ext cx="755015" cy="47371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F44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7999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—抽屉层板1.0mm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E6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115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C03D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37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AA07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86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环保型灭蝇器（粘捕）</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C8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396240"/>
                  <wp:effectExtent l="0" t="0" r="0" b="0"/>
                  <wp:wrapNone/>
                  <wp:docPr id="76" name="Picture_17"/>
                  <wp:cNvGraphicFramePr/>
                  <a:graphic xmlns:a="http://schemas.openxmlformats.org/drawingml/2006/main">
                    <a:graphicData uri="http://schemas.openxmlformats.org/drawingml/2006/picture">
                      <pic:pic xmlns:pic="http://schemas.openxmlformats.org/drawingml/2006/picture">
                        <pic:nvPicPr>
                          <pic:cNvPr id="76" name="Picture_17"/>
                          <pic:cNvPicPr/>
                        </pic:nvPicPr>
                        <pic:blipFill>
                          <a:blip r:embed="rId34"/>
                          <a:srcRect b="24180"/>
                          <a:stretch>
                            <a:fillRect/>
                          </a:stretch>
                        </pic:blipFill>
                        <pic:spPr>
                          <a:xfrm>
                            <a:off x="0" y="0"/>
                            <a:ext cx="755015" cy="39624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BBF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360*210*170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FD5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配优质双灯管，紫外线灯管功率≥8W*2，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净重: 1kg(含)-1.5kg(不含)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灭蚊原理: 粘捕式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诱蚊方式: UVA紫光灯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适用面积：30~60㎡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AAD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FC6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1CB1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BD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AA09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7F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双斗双边沥水筋星盆柜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639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146050</wp:posOffset>
                  </wp:positionH>
                  <wp:positionV relativeFrom="paragraph">
                    <wp:posOffset>589280</wp:posOffset>
                  </wp:positionV>
                  <wp:extent cx="608965" cy="487680"/>
                  <wp:effectExtent l="0" t="0" r="635" b="0"/>
                  <wp:wrapNone/>
                  <wp:docPr id="83" name="图片_47"/>
                  <wp:cNvGraphicFramePr/>
                  <a:graphic xmlns:a="http://schemas.openxmlformats.org/drawingml/2006/main">
                    <a:graphicData uri="http://schemas.openxmlformats.org/drawingml/2006/picture">
                      <pic:pic xmlns:pic="http://schemas.openxmlformats.org/drawingml/2006/picture">
                        <pic:nvPicPr>
                          <pic:cNvPr id="83" name="图片_47"/>
                          <pic:cNvPicPr/>
                        </pic:nvPicPr>
                        <pic:blipFill>
                          <a:blip r:embed="rId35"/>
                          <a:stretch>
                            <a:fillRect/>
                          </a:stretch>
                        </pic:blipFill>
                        <pic:spPr>
                          <a:xfrm>
                            <a:off x="0" y="0"/>
                            <a:ext cx="608965" cy="48768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0C0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2100*600*800/860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1AF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—台面板厚1.0㎜,水斗板厚1.0mm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—配1.5″去水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—水斗一体冲压成型，规格：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500*400*250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0A3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58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BDBB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96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AA09a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19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185C8237">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80" name="图片_121"/>
                  <wp:cNvGraphicFramePr/>
                  <a:graphic xmlns:a="http://schemas.openxmlformats.org/drawingml/2006/main">
                    <a:graphicData uri="http://schemas.openxmlformats.org/drawingml/2006/picture">
                      <pic:pic xmlns:pic="http://schemas.openxmlformats.org/drawingml/2006/picture">
                        <pic:nvPicPr>
                          <pic:cNvPr id="80" name="图片_121"/>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387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63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9A7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E2B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CE7A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1BD8E">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AB更衣室</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AF6D">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D4D79">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CB103">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2A8DA">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98C22">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4688">
            <w:pPr>
              <w:jc w:val="center"/>
              <w:rPr>
                <w:rFonts w:hint="eastAsia" w:ascii="宋体" w:hAnsi="宋体" w:eastAsia="宋体" w:cs="宋体"/>
                <w:i w:val="0"/>
                <w:iCs w:val="0"/>
                <w:color w:val="auto"/>
                <w:sz w:val="20"/>
                <w:szCs w:val="20"/>
                <w:highlight w:val="none"/>
                <w:u w:val="none"/>
              </w:rPr>
            </w:pPr>
          </w:p>
        </w:tc>
      </w:tr>
      <w:tr w14:paraId="70532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DA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AB01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D0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落地柜式洗手单星盆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669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123825</wp:posOffset>
                  </wp:positionV>
                  <wp:extent cx="471805" cy="552450"/>
                  <wp:effectExtent l="0" t="0" r="635" b="11430"/>
                  <wp:wrapNone/>
                  <wp:docPr id="81" name="Picture_20"/>
                  <wp:cNvGraphicFramePr/>
                  <a:graphic xmlns:a="http://schemas.openxmlformats.org/drawingml/2006/main">
                    <a:graphicData uri="http://schemas.openxmlformats.org/drawingml/2006/picture">
                      <pic:pic xmlns:pic="http://schemas.openxmlformats.org/drawingml/2006/picture">
                        <pic:nvPicPr>
                          <pic:cNvPr id="81" name="Picture_20"/>
                          <pic:cNvPicPr/>
                        </pic:nvPicPr>
                        <pic:blipFill>
                          <a:blip r:embed="rId37"/>
                          <a:stretch>
                            <a:fillRect/>
                          </a:stretch>
                        </pic:blipFill>
                        <pic:spPr>
                          <a:xfrm>
                            <a:off x="0" y="0"/>
                            <a:ext cx="47180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4FD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432*420*800/900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1AE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—台面背板厚1.2㎜,水斗板厚1.0mm，左右侧板0.8mm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—水斗一体冲压折弯成型，规格：350*248*145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—柜式结构无卫生死角，配快拆式维修门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—配￠45落水器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108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B6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45BF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356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AB01a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D6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感应龙头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750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321310</wp:posOffset>
                  </wp:positionV>
                  <wp:extent cx="643890" cy="514350"/>
                  <wp:effectExtent l="0" t="0" r="11430" b="3810"/>
                  <wp:wrapNone/>
                  <wp:docPr id="84" name="图片_1_SpCnt_1"/>
                  <wp:cNvGraphicFramePr/>
                  <a:graphic xmlns:a="http://schemas.openxmlformats.org/drawingml/2006/main">
                    <a:graphicData uri="http://schemas.openxmlformats.org/drawingml/2006/picture">
                      <pic:pic xmlns:pic="http://schemas.openxmlformats.org/drawingml/2006/picture">
                        <pic:nvPicPr>
                          <pic:cNvPr id="84" name="图片_1_SpCnt_1"/>
                          <pic:cNvPicPr/>
                        </pic:nvPicPr>
                        <pic:blipFill>
                          <a:blip r:embed="rId31"/>
                          <a:stretch>
                            <a:fillRect/>
                          </a:stretch>
                        </pic:blipFill>
                        <pic:spPr>
                          <a:xfrm>
                            <a:off x="0" y="0"/>
                            <a:ext cx="643890" cy="5143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2FA14">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F278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单孔台出电子感应龙头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防破坏2.2GPM(8.3LPM)起泡器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防水控制盒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AC/DC交直流两用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手动混水阀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开孔：孔径32mm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8A2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16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835B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A74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AB02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E82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全自动干手器（不锈钢）</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E9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121920</wp:posOffset>
                  </wp:positionV>
                  <wp:extent cx="480060" cy="558165"/>
                  <wp:effectExtent l="0" t="0" r="7620" b="5715"/>
                  <wp:wrapNone/>
                  <wp:docPr id="82" name="Picture_21"/>
                  <wp:cNvGraphicFramePr/>
                  <a:graphic xmlns:a="http://schemas.openxmlformats.org/drawingml/2006/main">
                    <a:graphicData uri="http://schemas.openxmlformats.org/drawingml/2006/picture">
                      <pic:pic xmlns:pic="http://schemas.openxmlformats.org/drawingml/2006/picture">
                        <pic:nvPicPr>
                          <pic:cNvPr id="82" name="Picture_21"/>
                          <pic:cNvPicPr/>
                        </pic:nvPicPr>
                        <pic:blipFill>
                          <a:blip r:embed="rId38"/>
                          <a:stretch>
                            <a:fillRect/>
                          </a:stretch>
                        </pic:blipFill>
                        <pic:spPr>
                          <a:xfrm>
                            <a:off x="0" y="0"/>
                            <a:ext cx="480060" cy="55816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A30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295*171*325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622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外壳采用304不锈钢一体外壳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风速：＞95m/s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干手时间：5-8秒；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防水等级：IPX1；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数码电路控制，红外线感应，抗干扰强力强；超薄机身设计、风量大、风速高，比普通干手器节约一半时间；不锈钢外壳，经特殊工艺表面处理，更美观耐用、坚固、耐高温，防火性能好；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额定电压： 220V/1.2kw</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4B3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019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D12F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69525">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AC清洁工具间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465A4">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1BE3F">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6E12">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E3DB1">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4334">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B6237">
            <w:pPr>
              <w:jc w:val="center"/>
              <w:rPr>
                <w:rFonts w:hint="eastAsia" w:ascii="宋体" w:hAnsi="宋体" w:eastAsia="宋体" w:cs="宋体"/>
                <w:i w:val="0"/>
                <w:iCs w:val="0"/>
                <w:color w:val="auto"/>
                <w:sz w:val="20"/>
                <w:szCs w:val="20"/>
                <w:highlight w:val="none"/>
                <w:u w:val="none"/>
              </w:rPr>
            </w:pPr>
          </w:p>
        </w:tc>
      </w:tr>
      <w:tr w14:paraId="0D99B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992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AC01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94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拖把池连架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65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347980</wp:posOffset>
                  </wp:positionV>
                  <wp:extent cx="360680" cy="557530"/>
                  <wp:effectExtent l="0" t="0" r="5080" b="6350"/>
                  <wp:wrapNone/>
                  <wp:docPr id="85" name="Picture_22"/>
                  <wp:cNvGraphicFramePr/>
                  <a:graphic xmlns:a="http://schemas.openxmlformats.org/drawingml/2006/main">
                    <a:graphicData uri="http://schemas.openxmlformats.org/drawingml/2006/picture">
                      <pic:pic xmlns:pic="http://schemas.openxmlformats.org/drawingml/2006/picture">
                        <pic:nvPicPr>
                          <pic:cNvPr id="85" name="Picture_22"/>
                          <pic:cNvPicPr/>
                        </pic:nvPicPr>
                        <pic:blipFill>
                          <a:blip r:embed="rId39"/>
                          <a:stretch>
                            <a:fillRect/>
                          </a:stretch>
                        </pic:blipFill>
                        <pic:spPr>
                          <a:xfrm>
                            <a:off x="0" y="0"/>
                            <a:ext cx="360680"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B4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1000*600*1800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835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—高背板设计防溅水设计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—水斗整体用料1.2mm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—30×30×1.0不锈钢方管架子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6F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C1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49AD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57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AC03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C44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工作台下层板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88D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123825</wp:posOffset>
                  </wp:positionV>
                  <wp:extent cx="711835" cy="552450"/>
                  <wp:effectExtent l="0" t="0" r="4445" b="11430"/>
                  <wp:wrapNone/>
                  <wp:docPr id="86" name="Picture_24"/>
                  <wp:cNvGraphicFramePr/>
                  <a:graphic xmlns:a="http://schemas.openxmlformats.org/drawingml/2006/main">
                    <a:graphicData uri="http://schemas.openxmlformats.org/drawingml/2006/picture">
                      <pic:pic xmlns:pic="http://schemas.openxmlformats.org/drawingml/2006/picture">
                        <pic:nvPicPr>
                          <pic:cNvPr id="86" name="Picture_24"/>
                          <pic:cNvPicPr/>
                        </pic:nvPicPr>
                        <pic:blipFill>
                          <a:blip r:embed="rId40"/>
                          <a:stretch>
                            <a:fillRect/>
                          </a:stretch>
                        </pic:blipFill>
                        <pic:spPr>
                          <a:xfrm>
                            <a:off x="0" y="0"/>
                            <a:ext cx="7118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01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3E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—台面板采用SUS 304-2B不锈钢板制造，厚度为1.2mm，下层板厚1.0mm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98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CC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D725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74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AC04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33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双星盆台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B2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137160</wp:posOffset>
                  </wp:positionH>
                  <wp:positionV relativeFrom="paragraph">
                    <wp:posOffset>123190</wp:posOffset>
                  </wp:positionV>
                  <wp:extent cx="651510" cy="557530"/>
                  <wp:effectExtent l="0" t="0" r="3810" b="6350"/>
                  <wp:wrapNone/>
                  <wp:docPr id="87" name="Picture_25"/>
                  <wp:cNvGraphicFramePr/>
                  <a:graphic xmlns:a="http://schemas.openxmlformats.org/drawingml/2006/main">
                    <a:graphicData uri="http://schemas.openxmlformats.org/drawingml/2006/picture">
                      <pic:pic xmlns:pic="http://schemas.openxmlformats.org/drawingml/2006/picture">
                        <pic:nvPicPr>
                          <pic:cNvPr id="87" name="Picture_25"/>
                          <pic:cNvPicPr/>
                        </pic:nvPicPr>
                        <pic:blipFill>
                          <a:blip r:embed="rId41"/>
                          <a:stretch>
                            <a:fillRect/>
                          </a:stretch>
                        </pic:blipFill>
                        <pic:spPr>
                          <a:xfrm>
                            <a:off x="0" y="0"/>
                            <a:ext cx="651510"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7B7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8FA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—面板一体冲压成型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—水斗规格：730*500*280mm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52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6E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DAB0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5ED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AC04a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80D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0AF5F92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88" name="图片_121_SpCnt_1"/>
                  <wp:cNvGraphicFramePr/>
                  <a:graphic xmlns:a="http://schemas.openxmlformats.org/drawingml/2006/main">
                    <a:graphicData uri="http://schemas.openxmlformats.org/drawingml/2006/picture">
                      <pic:pic xmlns:pic="http://schemas.openxmlformats.org/drawingml/2006/picture">
                        <pic:nvPicPr>
                          <pic:cNvPr id="88" name="图片_121_SpCnt_1"/>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1C7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C194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C9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A6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27178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57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AC06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233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四层档货架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AE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19735" cy="552450"/>
                  <wp:effectExtent l="0" t="0" r="6985" b="11430"/>
                  <wp:wrapNone/>
                  <wp:docPr id="91" name="Picture_27"/>
                  <wp:cNvGraphicFramePr/>
                  <a:graphic xmlns:a="http://schemas.openxmlformats.org/drawingml/2006/main">
                    <a:graphicData uri="http://schemas.openxmlformats.org/drawingml/2006/picture">
                      <pic:pic xmlns:pic="http://schemas.openxmlformats.org/drawingml/2006/picture">
                        <pic:nvPicPr>
                          <pic:cNvPr id="91" name="Picture_27"/>
                          <pic:cNvPicPr/>
                        </pic:nvPicPr>
                        <pic:blipFill>
                          <a:blip r:embed="rId42"/>
                          <a:stretch>
                            <a:fillRect/>
                          </a:stretch>
                        </pic:blipFill>
                        <pic:spPr>
                          <a:xfrm>
                            <a:off x="0" y="0"/>
                            <a:ext cx="4197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0EC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79B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—采用全不锈钢制作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—层框38*25*1.0不锈钢管制作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—搁档30*15*0.8不锈钢方管或不锈钢板折弯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91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10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0D5C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9E9BA">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AD库房</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4033">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96E0B">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FC526">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74B41">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8965">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A261">
            <w:pPr>
              <w:jc w:val="center"/>
              <w:rPr>
                <w:rFonts w:hint="eastAsia" w:ascii="宋体" w:hAnsi="宋体" w:eastAsia="宋体" w:cs="宋体"/>
                <w:i w:val="0"/>
                <w:iCs w:val="0"/>
                <w:color w:val="auto"/>
                <w:sz w:val="20"/>
                <w:szCs w:val="20"/>
                <w:highlight w:val="none"/>
                <w:u w:val="none"/>
              </w:rPr>
            </w:pPr>
          </w:p>
        </w:tc>
      </w:tr>
      <w:tr w14:paraId="1B725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CAA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AD02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3F8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四层板货架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A3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124460</wp:posOffset>
                  </wp:positionV>
                  <wp:extent cx="411480" cy="550545"/>
                  <wp:effectExtent l="0" t="0" r="0" b="13335"/>
                  <wp:wrapNone/>
                  <wp:docPr id="89" name="Picture_29"/>
                  <wp:cNvGraphicFramePr/>
                  <a:graphic xmlns:a="http://schemas.openxmlformats.org/drawingml/2006/main">
                    <a:graphicData uri="http://schemas.openxmlformats.org/drawingml/2006/picture">
                      <pic:pic xmlns:pic="http://schemas.openxmlformats.org/drawingml/2006/picture">
                        <pic:nvPicPr>
                          <pic:cNvPr id="89" name="Picture_29"/>
                          <pic:cNvPicPr/>
                        </pic:nvPicPr>
                        <pic:blipFill>
                          <a:blip r:embed="rId43"/>
                          <a:stretch>
                            <a:fillRect/>
                          </a:stretch>
                        </pic:blipFill>
                        <pic:spPr>
                          <a:xfrm>
                            <a:off x="0" y="0"/>
                            <a:ext cx="411480"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A49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3F4F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—采用全不锈钢制作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—层板厚1.0mm不锈钢板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—面板下采用折弯一体加强码，板厚0.8~1.2mm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3C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7A8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7D868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64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AD03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89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大米搁架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45A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122555</wp:posOffset>
                  </wp:positionV>
                  <wp:extent cx="617220" cy="380365"/>
                  <wp:effectExtent l="0" t="0" r="7620" b="635"/>
                  <wp:wrapNone/>
                  <wp:docPr id="90" name="Picture_30"/>
                  <wp:cNvGraphicFramePr/>
                  <a:graphic xmlns:a="http://schemas.openxmlformats.org/drawingml/2006/main">
                    <a:graphicData uri="http://schemas.openxmlformats.org/drawingml/2006/picture">
                      <pic:pic xmlns:pic="http://schemas.openxmlformats.org/drawingml/2006/picture">
                        <pic:nvPicPr>
                          <pic:cNvPr id="90" name="Picture_30"/>
                          <pic:cNvPicPr/>
                        </pic:nvPicPr>
                        <pic:blipFill>
                          <a:blip r:embed="rId44"/>
                          <a:stretch>
                            <a:fillRect/>
                          </a:stretch>
                        </pic:blipFill>
                        <pic:spPr>
                          <a:xfrm>
                            <a:off x="0" y="0"/>
                            <a:ext cx="617220" cy="38036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CC6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1150*500*300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D1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—层外框采用38*38*1.0不锈钢方管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—层内档采用30*15*0.8不锈钢方管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—配包钢可调式子弹脚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06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D17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4CCB6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C6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AD04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E65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冷冻库</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90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120650</wp:posOffset>
                  </wp:positionH>
                  <wp:positionV relativeFrom="paragraph">
                    <wp:posOffset>444500</wp:posOffset>
                  </wp:positionV>
                  <wp:extent cx="755015" cy="503555"/>
                  <wp:effectExtent l="0" t="0" r="6985" b="14605"/>
                  <wp:wrapNone/>
                  <wp:docPr id="109" name="Picture_31"/>
                  <wp:cNvGraphicFramePr/>
                  <a:graphic xmlns:a="http://schemas.openxmlformats.org/drawingml/2006/main">
                    <a:graphicData uri="http://schemas.openxmlformats.org/drawingml/2006/picture">
                      <pic:pic xmlns:pic="http://schemas.openxmlformats.org/drawingml/2006/picture">
                        <pic:nvPicPr>
                          <pic:cNvPr id="109" name="Picture_31"/>
                          <pic:cNvPicPr/>
                        </pic:nvPicPr>
                        <pic:blipFill>
                          <a:blip r:embed="rId45"/>
                          <a:stretch>
                            <a:fillRect/>
                          </a:stretch>
                        </pic:blipFill>
                        <pic:spPr>
                          <a:xfrm>
                            <a:off x="0" y="0"/>
                            <a:ext cx="755015" cy="50355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BF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3200*5100*2700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57B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—库板由可见面0.8不锈钢板，不可见面0.6mm彩钢板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—库板厚度为100mm聚胺基甲酸乙脂发泡料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—库内直角边均需采用一体冲压发泡圆角过渡（非外部黏贴式）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—压花铝外壳冷风机，膨胀阀、微电脑电控箱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—电磁阀，化霜水管加电热丝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—冷库门配以自动回归门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—内部安全式拉手门锁及防潮胶边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—行针式温度表及冷库防雾灯等</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CC9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F5C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2C46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36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AD05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3D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保鲜库</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28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111125</wp:posOffset>
                  </wp:positionH>
                  <wp:positionV relativeFrom="paragraph">
                    <wp:posOffset>500380</wp:posOffset>
                  </wp:positionV>
                  <wp:extent cx="755015" cy="506095"/>
                  <wp:effectExtent l="0" t="0" r="6985" b="12065"/>
                  <wp:wrapNone/>
                  <wp:docPr id="106" name="Picture_32"/>
                  <wp:cNvGraphicFramePr/>
                  <a:graphic xmlns:a="http://schemas.openxmlformats.org/drawingml/2006/main">
                    <a:graphicData uri="http://schemas.openxmlformats.org/drawingml/2006/picture">
                      <pic:pic xmlns:pic="http://schemas.openxmlformats.org/drawingml/2006/picture">
                        <pic:nvPicPr>
                          <pic:cNvPr id="106" name="Picture_32"/>
                          <pic:cNvPicPr/>
                        </pic:nvPicPr>
                        <pic:blipFill>
                          <a:blip r:embed="rId45"/>
                          <a:stretch>
                            <a:fillRect/>
                          </a:stretch>
                        </pic:blipFill>
                        <pic:spPr>
                          <a:xfrm>
                            <a:off x="0" y="0"/>
                            <a:ext cx="755015" cy="5060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A3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3200*5100*2700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633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—库板由可见面0.8不锈钢板，不可见面0.6mm彩钢板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—库板厚度为100mm聚胺基甲酸乙脂发泡料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—库内直角边及顶角均需采用一体冲压发泡圆角过渡（非外部黏贴式）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—地铺2mm防滑不锈钢板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—压花铝外壳冷风机，膨胀阀、微电脑电控箱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—电磁阀，化霜水管加电热丝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—冷库门配以自动回归门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—内部安全式拉手门锁及防潮胶边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—行针式温度表及冷库防雾灯等</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B9D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020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D237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10B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AD06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4D6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四层档货架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883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19735" cy="552450"/>
                  <wp:effectExtent l="0" t="0" r="6985" b="11430"/>
                  <wp:wrapNone/>
                  <wp:docPr id="95" name="Picture_33"/>
                  <wp:cNvGraphicFramePr/>
                  <a:graphic xmlns:a="http://schemas.openxmlformats.org/drawingml/2006/main">
                    <a:graphicData uri="http://schemas.openxmlformats.org/drawingml/2006/picture">
                      <pic:pic xmlns:pic="http://schemas.openxmlformats.org/drawingml/2006/picture">
                        <pic:nvPicPr>
                          <pic:cNvPr id="95" name="Picture_33"/>
                          <pic:cNvPicPr/>
                        </pic:nvPicPr>
                        <pic:blipFill>
                          <a:blip r:embed="rId42"/>
                          <a:stretch>
                            <a:fillRect/>
                          </a:stretch>
                        </pic:blipFill>
                        <pic:spPr>
                          <a:xfrm>
                            <a:off x="0" y="0"/>
                            <a:ext cx="4197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78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7DBF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—采用全不锈钢制作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—层框38*25*1.0不锈钢管制作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—搁档30*15*0.8不锈钢方管或不锈钢板折弯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688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4AE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r>
      <w:tr w14:paraId="4F935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F398C">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AE粗加工</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15AC1">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D78B">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D1745">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E7972">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B0A69">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3A125">
            <w:pPr>
              <w:jc w:val="center"/>
              <w:rPr>
                <w:rFonts w:hint="eastAsia" w:ascii="宋体" w:hAnsi="宋体" w:eastAsia="宋体" w:cs="宋体"/>
                <w:i w:val="0"/>
                <w:iCs w:val="0"/>
                <w:color w:val="auto"/>
                <w:sz w:val="20"/>
                <w:szCs w:val="20"/>
                <w:highlight w:val="none"/>
                <w:u w:val="none"/>
              </w:rPr>
            </w:pPr>
          </w:p>
        </w:tc>
      </w:tr>
      <w:tr w14:paraId="52714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A23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CAC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环保型灭蝇器（粘捕）</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06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522605"/>
                  <wp:effectExtent l="0" t="0" r="6985" b="10795"/>
                  <wp:wrapNone/>
                  <wp:docPr id="116" name="Picture_35"/>
                  <wp:cNvGraphicFramePr/>
                  <a:graphic xmlns:a="http://schemas.openxmlformats.org/drawingml/2006/main">
                    <a:graphicData uri="http://schemas.openxmlformats.org/drawingml/2006/picture">
                      <pic:pic xmlns:pic="http://schemas.openxmlformats.org/drawingml/2006/picture">
                        <pic:nvPicPr>
                          <pic:cNvPr id="116" name="Picture_35"/>
                          <pic:cNvPicPr/>
                        </pic:nvPicPr>
                        <pic:blipFill>
                          <a:blip r:embed="rId34"/>
                          <a:stretch>
                            <a:fillRect/>
                          </a:stretch>
                        </pic:blipFill>
                        <pic:spPr>
                          <a:xfrm>
                            <a:off x="0" y="0"/>
                            <a:ext cx="755015" cy="52260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39C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360*210*170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AF2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配优质双灯管，紫外线灯管功率≥8W*2，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净重: 1kg(含)-1.5kg(不含)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灭蚊原理: 粘捕式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诱蚊方式: UVA紫光灯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适用面积：30~60㎡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9A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001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B29E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043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06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四层档货架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EA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19735" cy="552450"/>
                  <wp:effectExtent l="0" t="0" r="6985" b="11430"/>
                  <wp:wrapNone/>
                  <wp:docPr id="94" name="Picture_36"/>
                  <wp:cNvGraphicFramePr/>
                  <a:graphic xmlns:a="http://schemas.openxmlformats.org/drawingml/2006/main">
                    <a:graphicData uri="http://schemas.openxmlformats.org/drawingml/2006/picture">
                      <pic:pic xmlns:pic="http://schemas.openxmlformats.org/drawingml/2006/picture">
                        <pic:nvPicPr>
                          <pic:cNvPr id="94" name="Picture_36"/>
                          <pic:cNvPicPr/>
                        </pic:nvPicPr>
                        <pic:blipFill>
                          <a:blip r:embed="rId42"/>
                          <a:stretch>
                            <a:fillRect/>
                          </a:stretch>
                        </pic:blipFill>
                        <pic:spPr>
                          <a:xfrm>
                            <a:off x="0" y="0"/>
                            <a:ext cx="4197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B8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A49E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—采用全不锈钢制作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—层框38*25*1.0不锈钢管制作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—搁档30*15*0.8不锈钢方管或不锈钢板折弯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86E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5FB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5F30C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C4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2B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蔬菜清洗去皮机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F1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inline distT="0" distB="0" distL="114300" distR="114300">
                  <wp:extent cx="726440" cy="467360"/>
                  <wp:effectExtent l="0" t="0" r="5080" b="5080"/>
                  <wp:docPr id="6" name="图片 6" descr="172284276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22842762616"/>
                          <pic:cNvPicPr>
                            <a:picLocks noChangeAspect="1"/>
                          </pic:cNvPicPr>
                        </pic:nvPicPr>
                        <pic:blipFill>
                          <a:blip r:embed="rId46"/>
                          <a:stretch>
                            <a:fillRect/>
                          </a:stretch>
                        </pic:blipFill>
                        <pic:spPr>
                          <a:xfrm>
                            <a:off x="0" y="0"/>
                            <a:ext cx="726440" cy="467360"/>
                          </a:xfrm>
                          <a:prstGeom prst="rect">
                            <a:avLst/>
                          </a:prstGeom>
                        </pic:spPr>
                      </pic:pic>
                    </a:graphicData>
                  </a:graphic>
                </wp:inline>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E0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1300*720*1050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1E3E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整机304不锈钢精制而成，能适应加工中心的潮湿环境。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清洗去皮机用途：适用于马铃薯、胡萝卜、莲藕、甘薯等蔬果类清洗去皮。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机器尺寸：1300（L）×720（W）×1050（H）（mm）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产量：300-400KG/HR</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电源：380V　三相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功率：≥1KW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重量：≥130KG</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5C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0CA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8014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3D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AE05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5A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工作台下层板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CB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123825</wp:posOffset>
                  </wp:positionV>
                  <wp:extent cx="711835" cy="552450"/>
                  <wp:effectExtent l="0" t="0" r="4445" b="11430"/>
                  <wp:wrapNone/>
                  <wp:docPr id="115" name="Picture_38"/>
                  <wp:cNvGraphicFramePr/>
                  <a:graphic xmlns:a="http://schemas.openxmlformats.org/drawingml/2006/main">
                    <a:graphicData uri="http://schemas.openxmlformats.org/drawingml/2006/picture">
                      <pic:pic xmlns:pic="http://schemas.openxmlformats.org/drawingml/2006/picture">
                        <pic:nvPicPr>
                          <pic:cNvPr id="115" name="Picture_38"/>
                          <pic:cNvPicPr/>
                        </pic:nvPicPr>
                        <pic:blipFill>
                          <a:blip r:embed="rId40"/>
                          <a:stretch>
                            <a:fillRect/>
                          </a:stretch>
                        </pic:blipFill>
                        <pic:spPr>
                          <a:xfrm>
                            <a:off x="0" y="0"/>
                            <a:ext cx="7118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DF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B2A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—台面板采用SUS 304-2B不锈钢板制造，厚度为1.2mm，下层板厚1.0mm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BC5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265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5C95B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E1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5B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双星盆台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89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137160</wp:posOffset>
                  </wp:positionH>
                  <wp:positionV relativeFrom="paragraph">
                    <wp:posOffset>123190</wp:posOffset>
                  </wp:positionV>
                  <wp:extent cx="651510" cy="557530"/>
                  <wp:effectExtent l="0" t="0" r="3810" b="6350"/>
                  <wp:wrapNone/>
                  <wp:docPr id="104" name="Picture_39"/>
                  <wp:cNvGraphicFramePr/>
                  <a:graphic xmlns:a="http://schemas.openxmlformats.org/drawingml/2006/main">
                    <a:graphicData uri="http://schemas.openxmlformats.org/drawingml/2006/picture">
                      <pic:pic xmlns:pic="http://schemas.openxmlformats.org/drawingml/2006/picture">
                        <pic:nvPicPr>
                          <pic:cNvPr id="104" name="Picture_39"/>
                          <pic:cNvPicPr/>
                        </pic:nvPicPr>
                        <pic:blipFill>
                          <a:blip r:embed="rId41"/>
                          <a:stretch>
                            <a:fillRect/>
                          </a:stretch>
                        </pic:blipFill>
                        <pic:spPr>
                          <a:xfrm>
                            <a:off x="0" y="0"/>
                            <a:ext cx="651510"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7D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D91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—面板一体冲压成型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—水斗规格：730*500*280mm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35D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A6F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14F7B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641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AE06a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007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42717D5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117" name="图片_121_SpCnt_2"/>
                  <wp:cNvGraphicFramePr/>
                  <a:graphic xmlns:a="http://schemas.openxmlformats.org/drawingml/2006/main">
                    <a:graphicData uri="http://schemas.openxmlformats.org/drawingml/2006/picture">
                      <pic:pic xmlns:pic="http://schemas.openxmlformats.org/drawingml/2006/picture">
                        <pic:nvPicPr>
                          <pic:cNvPr id="117" name="图片_121_SpCnt_2"/>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6E2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56F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5E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CC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r>
      <w:tr w14:paraId="6BC1D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FF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60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智能刀具存储柜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414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28625" cy="552450"/>
                  <wp:effectExtent l="0" t="0" r="13335" b="11430"/>
                  <wp:wrapNone/>
                  <wp:docPr id="102" name="Picture_40"/>
                  <wp:cNvGraphicFramePr/>
                  <a:graphic xmlns:a="http://schemas.openxmlformats.org/drawingml/2006/main">
                    <a:graphicData uri="http://schemas.openxmlformats.org/drawingml/2006/picture">
                      <pic:pic xmlns:pic="http://schemas.openxmlformats.org/drawingml/2006/picture">
                        <pic:nvPicPr>
                          <pic:cNvPr id="102" name="Picture_40"/>
                          <pic:cNvPicPr/>
                        </pic:nvPicPr>
                        <pic:blipFill>
                          <a:blip r:embed="rId47"/>
                          <a:stretch>
                            <a:fillRect/>
                          </a:stretch>
                        </pic:blipFill>
                        <pic:spPr>
                          <a:xfrm>
                            <a:off x="0" y="0"/>
                            <a:ext cx="42862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56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500*130*620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BD6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—采用SUS304-2B不锈钢，厚度1.0mm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—电压220V. 50Hz, 功率≥15W，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—门板采用不锈钢或黑色亚克力，内置紫外线杀菌，强力吸磁刀具架，便于更好的清洁，刀具无需旋转即可消毒，挂墙式支撑结构，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—机械定时旋钮开关或触摸按钮开关</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FB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A3C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17840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6A0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AE09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02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工作台下层板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A27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123825</wp:posOffset>
                  </wp:positionV>
                  <wp:extent cx="617220" cy="552450"/>
                  <wp:effectExtent l="0" t="0" r="7620" b="11430"/>
                  <wp:wrapNone/>
                  <wp:docPr id="99" name="Picture_42"/>
                  <wp:cNvGraphicFramePr/>
                  <a:graphic xmlns:a="http://schemas.openxmlformats.org/drawingml/2006/main">
                    <a:graphicData uri="http://schemas.openxmlformats.org/drawingml/2006/picture">
                      <pic:pic xmlns:pic="http://schemas.openxmlformats.org/drawingml/2006/picture">
                        <pic:nvPicPr>
                          <pic:cNvPr id="99" name="Picture_42"/>
                          <pic:cNvPicPr/>
                        </pic:nvPicPr>
                        <pic:blipFill>
                          <a:blip r:embed="rId48"/>
                          <a:stretch>
                            <a:fillRect/>
                          </a:stretch>
                        </pic:blipFill>
                        <pic:spPr>
                          <a:xfrm>
                            <a:off x="0" y="0"/>
                            <a:ext cx="617220"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81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1EE2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—台面板采用SUS 304-2B不锈钢板制造，厚度为1.2mm，下层板厚1.0mm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793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997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131D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1F0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CD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洗地龙头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10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222885</wp:posOffset>
                  </wp:positionH>
                  <wp:positionV relativeFrom="paragraph">
                    <wp:posOffset>123190</wp:posOffset>
                  </wp:positionV>
                  <wp:extent cx="514985" cy="547370"/>
                  <wp:effectExtent l="0" t="0" r="3175" b="1270"/>
                  <wp:wrapNone/>
                  <wp:docPr id="111" name="Picture_191"/>
                  <wp:cNvGraphicFramePr/>
                  <a:graphic xmlns:a="http://schemas.openxmlformats.org/drawingml/2006/main">
                    <a:graphicData uri="http://schemas.openxmlformats.org/drawingml/2006/picture">
                      <pic:pic xmlns:pic="http://schemas.openxmlformats.org/drawingml/2006/picture">
                        <pic:nvPicPr>
                          <pic:cNvPr id="111" name="Picture_191"/>
                          <pic:cNvPicPr/>
                        </pic:nvPicPr>
                        <pic:blipFill>
                          <a:blip r:embed="rId49"/>
                          <a:stretch>
                            <a:fillRect/>
                          </a:stretch>
                        </pic:blipFill>
                        <pic:spPr>
                          <a:xfrm>
                            <a:off x="0" y="0"/>
                            <a:ext cx="51498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D8F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117*375*360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4D7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开放式洗地龙头； 松开把手自动关闭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开放式涂层钢洗地龙头，抛光镀铬喷阀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喉管:自动回卷伸缩，环氧敞开式卷盘软管长10.7米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适用于墙壁、天花板或台面下安装</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BB0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BA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5019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46E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AE13a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E37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不锈钢洗地龙头摇摆支架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36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300355</wp:posOffset>
                  </wp:positionH>
                  <wp:positionV relativeFrom="paragraph">
                    <wp:posOffset>123190</wp:posOffset>
                  </wp:positionV>
                  <wp:extent cx="394335" cy="547370"/>
                  <wp:effectExtent l="0" t="0" r="1905" b="1270"/>
                  <wp:wrapNone/>
                  <wp:docPr id="105" name="Picture_4"/>
                  <wp:cNvGraphicFramePr/>
                  <a:graphic xmlns:a="http://schemas.openxmlformats.org/drawingml/2006/main">
                    <a:graphicData uri="http://schemas.openxmlformats.org/drawingml/2006/picture">
                      <pic:pic xmlns:pic="http://schemas.openxmlformats.org/drawingml/2006/picture">
                        <pic:nvPicPr>
                          <pic:cNvPr id="105" name="Picture_4"/>
                          <pic:cNvPicPr/>
                        </pic:nvPicPr>
                        <pic:blipFill>
                          <a:blip r:embed="rId50"/>
                          <a:stretch>
                            <a:fillRect/>
                          </a:stretch>
                        </pic:blipFill>
                        <pic:spPr>
                          <a:xfrm>
                            <a:off x="0" y="0"/>
                            <a:ext cx="394335" cy="547370"/>
                          </a:xfrm>
                          <a:prstGeom prst="rect">
                            <a:avLst/>
                          </a:prstGeom>
                          <a:noFill/>
                          <a:ln>
                            <a:noFill/>
                          </a:ln>
                        </pic:spPr>
                      </pic:pic>
                    </a:graphicData>
                  </a:graphic>
                </wp:anchor>
              </w:drawing>
            </w: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300355</wp:posOffset>
                  </wp:positionH>
                  <wp:positionV relativeFrom="paragraph">
                    <wp:posOffset>123190</wp:posOffset>
                  </wp:positionV>
                  <wp:extent cx="394335" cy="547370"/>
                  <wp:effectExtent l="0" t="0" r="1905" b="1270"/>
                  <wp:wrapNone/>
                  <wp:docPr id="107" name="Picture_4_SpCnt_1"/>
                  <wp:cNvGraphicFramePr/>
                  <a:graphic xmlns:a="http://schemas.openxmlformats.org/drawingml/2006/main">
                    <a:graphicData uri="http://schemas.openxmlformats.org/drawingml/2006/picture">
                      <pic:pic xmlns:pic="http://schemas.openxmlformats.org/drawingml/2006/picture">
                        <pic:nvPicPr>
                          <pic:cNvPr id="107" name="Picture_4_SpCnt_1"/>
                          <pic:cNvPicPr/>
                        </pic:nvPicPr>
                        <pic:blipFill>
                          <a:blip r:embed="rId50"/>
                          <a:stretch>
                            <a:fillRect/>
                          </a:stretch>
                        </pic:blipFill>
                        <pic:spPr>
                          <a:xfrm>
                            <a:off x="0" y="0"/>
                            <a:ext cx="394335" cy="547370"/>
                          </a:xfrm>
                          <a:prstGeom prst="rect">
                            <a:avLst/>
                          </a:prstGeom>
                          <a:noFill/>
                          <a:ln>
                            <a:noFill/>
                          </a:ln>
                        </pic:spPr>
                      </pic:pic>
                    </a:graphicData>
                  </a:graphic>
                </wp:anchor>
              </w:drawing>
            </w: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300355</wp:posOffset>
                  </wp:positionH>
                  <wp:positionV relativeFrom="paragraph">
                    <wp:posOffset>123190</wp:posOffset>
                  </wp:positionV>
                  <wp:extent cx="394335" cy="547370"/>
                  <wp:effectExtent l="0" t="0" r="1905" b="1270"/>
                  <wp:wrapNone/>
                  <wp:docPr id="108" name="Picture_4_SpCnt_2"/>
                  <wp:cNvGraphicFramePr/>
                  <a:graphic xmlns:a="http://schemas.openxmlformats.org/drawingml/2006/main">
                    <a:graphicData uri="http://schemas.openxmlformats.org/drawingml/2006/picture">
                      <pic:pic xmlns:pic="http://schemas.openxmlformats.org/drawingml/2006/picture">
                        <pic:nvPicPr>
                          <pic:cNvPr id="108" name="Picture_4_SpCnt_2"/>
                          <pic:cNvPicPr/>
                        </pic:nvPicPr>
                        <pic:blipFill>
                          <a:blip r:embed="rId50"/>
                          <a:stretch>
                            <a:fillRect/>
                          </a:stretch>
                        </pic:blipFill>
                        <pic:spPr>
                          <a:xfrm>
                            <a:off x="0" y="0"/>
                            <a:ext cx="39433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63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DD5A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快装一体式不锈钢洗地龙头支架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适用于所有T&amp;S管径为3/8”和1/2”的洗地龙头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单人安装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活动范围100°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C2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A9E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FC33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FD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D73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落地柜式洗手单星盆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AA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123825</wp:posOffset>
                  </wp:positionV>
                  <wp:extent cx="471805" cy="552450"/>
                  <wp:effectExtent l="0" t="0" r="635" b="11430"/>
                  <wp:wrapNone/>
                  <wp:docPr id="103" name="Picture_45"/>
                  <wp:cNvGraphicFramePr/>
                  <a:graphic xmlns:a="http://schemas.openxmlformats.org/drawingml/2006/main">
                    <a:graphicData uri="http://schemas.openxmlformats.org/drawingml/2006/picture">
                      <pic:pic xmlns:pic="http://schemas.openxmlformats.org/drawingml/2006/picture">
                        <pic:nvPicPr>
                          <pic:cNvPr id="103" name="Picture_45"/>
                          <pic:cNvPicPr/>
                        </pic:nvPicPr>
                        <pic:blipFill>
                          <a:blip r:embed="rId37"/>
                          <a:stretch>
                            <a:fillRect/>
                          </a:stretch>
                        </pic:blipFill>
                        <pic:spPr>
                          <a:xfrm>
                            <a:off x="0" y="0"/>
                            <a:ext cx="47180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3E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432*420*800/900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D580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—台面背板厚1.2㎜,水斗板厚1.0mm，左右侧板0.8mm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—水斗一体冲压折弯成型，规格：350*248*145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—柜式结构无卫生死角，配快拆式维修门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—配￠45落水器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787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E5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2373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9E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AE14a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E75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感应龙头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BFB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321310</wp:posOffset>
                  </wp:positionV>
                  <wp:extent cx="643890" cy="514350"/>
                  <wp:effectExtent l="0" t="0" r="11430" b="3810"/>
                  <wp:wrapNone/>
                  <wp:docPr id="92" name="图片_1_SpCnt_2"/>
                  <wp:cNvGraphicFramePr/>
                  <a:graphic xmlns:a="http://schemas.openxmlformats.org/drawingml/2006/main">
                    <a:graphicData uri="http://schemas.openxmlformats.org/drawingml/2006/picture">
                      <pic:pic xmlns:pic="http://schemas.openxmlformats.org/drawingml/2006/picture">
                        <pic:nvPicPr>
                          <pic:cNvPr id="92" name="图片_1_SpCnt_2"/>
                          <pic:cNvPicPr/>
                        </pic:nvPicPr>
                        <pic:blipFill>
                          <a:blip r:embed="rId31"/>
                          <a:stretch>
                            <a:fillRect/>
                          </a:stretch>
                        </pic:blipFill>
                        <pic:spPr>
                          <a:xfrm>
                            <a:off x="0" y="0"/>
                            <a:ext cx="643890" cy="5143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84E3">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27D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单孔台出电子感应龙头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防破坏2.2GPM(8.3LPM)起泡器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防水控制盒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AC/DC交直流两用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手动混水阀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开孔：孔径32mm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89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00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6E45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49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48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工作台下层板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F9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123825</wp:posOffset>
                  </wp:positionV>
                  <wp:extent cx="711835" cy="552450"/>
                  <wp:effectExtent l="0" t="0" r="4445" b="11430"/>
                  <wp:wrapNone/>
                  <wp:docPr id="110" name="Picture_47"/>
                  <wp:cNvGraphicFramePr/>
                  <a:graphic xmlns:a="http://schemas.openxmlformats.org/drawingml/2006/main">
                    <a:graphicData uri="http://schemas.openxmlformats.org/drawingml/2006/picture">
                      <pic:pic xmlns:pic="http://schemas.openxmlformats.org/drawingml/2006/picture">
                        <pic:nvPicPr>
                          <pic:cNvPr id="110" name="Picture_47"/>
                          <pic:cNvPicPr/>
                        </pic:nvPicPr>
                        <pic:blipFill>
                          <a:blip r:embed="rId40"/>
                          <a:stretch>
                            <a:fillRect/>
                          </a:stretch>
                        </pic:blipFill>
                        <pic:spPr>
                          <a:xfrm>
                            <a:off x="0" y="0"/>
                            <a:ext cx="7118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25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EA1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—台面板采用SUS 304-2B不锈钢板制造，厚度为1.2mm，下层板厚1.0mm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94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51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5039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9F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30D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环保砧板台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FBE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123190</wp:posOffset>
                  </wp:positionV>
                  <wp:extent cx="600710" cy="547370"/>
                  <wp:effectExtent l="0" t="0" r="8890" b="1270"/>
                  <wp:wrapNone/>
                  <wp:docPr id="112" name="Picture_48"/>
                  <wp:cNvGraphicFramePr/>
                  <a:graphic xmlns:a="http://schemas.openxmlformats.org/drawingml/2006/main">
                    <a:graphicData uri="http://schemas.openxmlformats.org/drawingml/2006/picture">
                      <pic:pic xmlns:pic="http://schemas.openxmlformats.org/drawingml/2006/picture">
                        <pic:nvPicPr>
                          <pic:cNvPr id="112" name="Picture_48"/>
                          <pic:cNvPicPr/>
                        </pic:nvPicPr>
                        <pic:blipFill>
                          <a:blip r:embed="rId51"/>
                          <a:stretch>
                            <a:fillRect/>
                          </a:stretch>
                        </pic:blipFill>
                        <pic:spPr>
                          <a:xfrm>
                            <a:off x="0" y="0"/>
                            <a:ext cx="600710"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E2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750*750*800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63B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—台面采用环保PE砧板台，高度80mm—上层框围板采用2.0不锈钢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—下层框及立柱38*38*1.0mm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—防滑重力脚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F72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641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2305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23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78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高压花洒</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E8C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308610</wp:posOffset>
                  </wp:positionH>
                  <wp:positionV relativeFrom="paragraph">
                    <wp:posOffset>94615</wp:posOffset>
                  </wp:positionV>
                  <wp:extent cx="317500" cy="391795"/>
                  <wp:effectExtent l="0" t="0" r="2540" b="4445"/>
                  <wp:wrapNone/>
                  <wp:docPr id="118" name="Picture_49"/>
                  <wp:cNvGraphicFramePr/>
                  <a:graphic xmlns:a="http://schemas.openxmlformats.org/drawingml/2006/main">
                    <a:graphicData uri="http://schemas.openxmlformats.org/drawingml/2006/picture">
                      <pic:pic xmlns:pic="http://schemas.openxmlformats.org/drawingml/2006/picture">
                        <pic:nvPicPr>
                          <pic:cNvPr id="118" name="Picture_49"/>
                          <pic:cNvPicPr/>
                        </pic:nvPicPr>
                        <pic:blipFill>
                          <a:blip r:embed="rId52"/>
                          <a:stretch>
                            <a:fillRect/>
                          </a:stretch>
                        </pic:blipFill>
                        <pic:spPr>
                          <a:xfrm>
                            <a:off x="0" y="0"/>
                            <a:ext cx="317500" cy="3917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52508">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D1D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单孔双温预冲洗花洒装置；Equip陶瓷阀芯；一字手柄带有冷热水标色螺丝；大流量喷阀； 6"(152mm)墙出支架；开孔：孔径38mm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D6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97B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1A5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96A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F0F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单星剖鱼盆台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8E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123190</wp:posOffset>
                  </wp:positionV>
                  <wp:extent cx="583565" cy="557530"/>
                  <wp:effectExtent l="0" t="0" r="10795" b="6350"/>
                  <wp:wrapNone/>
                  <wp:docPr id="113" name="Picture_50"/>
                  <wp:cNvGraphicFramePr/>
                  <a:graphic xmlns:a="http://schemas.openxmlformats.org/drawingml/2006/main">
                    <a:graphicData uri="http://schemas.openxmlformats.org/drawingml/2006/picture">
                      <pic:pic xmlns:pic="http://schemas.openxmlformats.org/drawingml/2006/picture">
                        <pic:nvPicPr>
                          <pic:cNvPr id="113" name="Picture_50"/>
                          <pic:cNvPicPr/>
                        </pic:nvPicPr>
                        <pic:blipFill>
                          <a:blip r:embed="rId53"/>
                          <a:stretch>
                            <a:fillRect/>
                          </a:stretch>
                        </pic:blipFill>
                        <pic:spPr>
                          <a:xfrm>
                            <a:off x="0" y="0"/>
                            <a:ext cx="583565"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F10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5D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—台面板一体冲压成型，左边为水池，右边冲压沥水槽，沥水槽区域尺寸≥400*400mm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—水斗一体冲压规格：500*500*280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931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71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394CC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6AE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AE19a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29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2A6276F5">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114" name="图片_121_SpCnt_3"/>
                  <wp:cNvGraphicFramePr/>
                  <a:graphic xmlns:a="http://schemas.openxmlformats.org/drawingml/2006/main">
                    <a:graphicData uri="http://schemas.openxmlformats.org/drawingml/2006/picture">
                      <pic:pic xmlns:pic="http://schemas.openxmlformats.org/drawingml/2006/picture">
                        <pic:nvPicPr>
                          <pic:cNvPr id="114" name="图片_121_SpCnt_3"/>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A63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C5A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3B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08A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CB4D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7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AF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AE20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D1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电脑开水器连净水器底座</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420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317500</wp:posOffset>
                  </wp:positionH>
                  <wp:positionV relativeFrom="paragraph">
                    <wp:posOffset>687070</wp:posOffset>
                  </wp:positionV>
                  <wp:extent cx="368935" cy="554355"/>
                  <wp:effectExtent l="0" t="0" r="12065" b="9525"/>
                  <wp:wrapNone/>
                  <wp:docPr id="100" name="Picture_174"/>
                  <wp:cNvGraphicFramePr/>
                  <a:graphic xmlns:a="http://schemas.openxmlformats.org/drawingml/2006/main">
                    <a:graphicData uri="http://schemas.openxmlformats.org/drawingml/2006/picture">
                      <pic:pic xmlns:pic="http://schemas.openxmlformats.org/drawingml/2006/picture">
                        <pic:nvPicPr>
                          <pic:cNvPr id="100" name="Picture_174"/>
                          <pic:cNvPicPr/>
                        </pic:nvPicPr>
                        <pic:blipFill>
                          <a:blip r:embed="rId54"/>
                          <a:stretch>
                            <a:fillRect/>
                          </a:stretch>
                        </pic:blipFill>
                        <pic:spPr>
                          <a:xfrm>
                            <a:off x="0" y="0"/>
                            <a:ext cx="368935" cy="55435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82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520*543*1515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794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接水高度：420（可放下大号暖瓶）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额定电压;380V 额定功率：9KW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储水量：≥50L  加热方式：步进式加热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出水类型：双热  出水方式：机械龙头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出水量：≥120L/H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外壳材质采用不锈钢，内胆材质采用食品级SUS800优质合金材质，加热管采用食品级SUS800优质合金材质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实时显示水温，自动防干烧、自动漏电保护、自动缺水保护、自动超温保护、表面温度接近常温、故障自检知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含四级进水过滤器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AC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0A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7B94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65B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AE22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77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风幕机（遥控型）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7F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276860</wp:posOffset>
                  </wp:positionV>
                  <wp:extent cx="755015" cy="309245"/>
                  <wp:effectExtent l="0" t="0" r="6985" b="10795"/>
                  <wp:wrapNone/>
                  <wp:docPr id="96" name="Picture_53"/>
                  <wp:cNvGraphicFramePr/>
                  <a:graphic xmlns:a="http://schemas.openxmlformats.org/drawingml/2006/main">
                    <a:graphicData uri="http://schemas.openxmlformats.org/drawingml/2006/picture">
                      <pic:pic xmlns:pic="http://schemas.openxmlformats.org/drawingml/2006/picture">
                        <pic:nvPicPr>
                          <pic:cNvPr id="96" name="Picture_53"/>
                          <pic:cNvPicPr/>
                        </pic:nvPicPr>
                        <pic:blipFill>
                          <a:blip r:embed="rId29"/>
                          <a:stretch>
                            <a:fillRect/>
                          </a:stretch>
                        </pic:blipFill>
                        <pic:spPr>
                          <a:xfrm>
                            <a:off x="0" y="0"/>
                            <a:ext cx="755015" cy="3092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6D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1500*198*215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202D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额定电压220V，功率：360-390W;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风口风量：1350-1700m3/h,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风口风速:14.5-11.5m/s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材质：工程塑料，低噪音风机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1、贯流式强力送风轻松在室内外之间形成一道隐形的风幕墙，隔开室内外空气的同时，更可将灰尘，飞虫等阻挡于室外。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2、遮断效果佳，风路升级体现高风速，低噪音运转。</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38F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2D5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651D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62B6">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AF切配间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2E84">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D1CB0">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D1958">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8090">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E7C58">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821E6">
            <w:pPr>
              <w:jc w:val="center"/>
              <w:rPr>
                <w:rFonts w:hint="eastAsia" w:ascii="宋体" w:hAnsi="宋体" w:eastAsia="宋体" w:cs="宋体"/>
                <w:i w:val="0"/>
                <w:iCs w:val="0"/>
                <w:color w:val="auto"/>
                <w:sz w:val="20"/>
                <w:szCs w:val="20"/>
                <w:highlight w:val="none"/>
                <w:u w:val="none"/>
              </w:rPr>
            </w:pPr>
          </w:p>
        </w:tc>
      </w:tr>
      <w:tr w14:paraId="72601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60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BE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四层档货架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D08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19735" cy="552450"/>
                  <wp:effectExtent l="0" t="0" r="6985" b="11430"/>
                  <wp:wrapNone/>
                  <wp:docPr id="97" name="Picture_54"/>
                  <wp:cNvGraphicFramePr/>
                  <a:graphic xmlns:a="http://schemas.openxmlformats.org/drawingml/2006/main">
                    <a:graphicData uri="http://schemas.openxmlformats.org/drawingml/2006/picture">
                      <pic:pic xmlns:pic="http://schemas.openxmlformats.org/drawingml/2006/picture">
                        <pic:nvPicPr>
                          <pic:cNvPr id="97" name="Picture_54"/>
                          <pic:cNvPicPr/>
                        </pic:nvPicPr>
                        <pic:blipFill>
                          <a:blip r:embed="rId42"/>
                          <a:stretch>
                            <a:fillRect/>
                          </a:stretch>
                        </pic:blipFill>
                        <pic:spPr>
                          <a:xfrm>
                            <a:off x="0" y="0"/>
                            <a:ext cx="4197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03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FBDB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—采用全不锈钢制作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—层框38*25*1.0不锈钢管制作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—搁档30*15*0.8不锈钢方管或不锈钢板折弯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9C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39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2D51D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B8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FF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工作柜式砧板刀具存储柜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0DC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124460</wp:posOffset>
                  </wp:positionV>
                  <wp:extent cx="471805" cy="550545"/>
                  <wp:effectExtent l="0" t="0" r="635" b="13335"/>
                  <wp:wrapNone/>
                  <wp:docPr id="98" name="Picture_55"/>
                  <wp:cNvGraphicFramePr/>
                  <a:graphic xmlns:a="http://schemas.openxmlformats.org/drawingml/2006/main">
                    <a:graphicData uri="http://schemas.openxmlformats.org/drawingml/2006/picture">
                      <pic:pic xmlns:pic="http://schemas.openxmlformats.org/drawingml/2006/picture">
                        <pic:nvPicPr>
                          <pic:cNvPr id="98" name="Picture_55"/>
                          <pic:cNvPicPr/>
                        </pic:nvPicPr>
                        <pic:blipFill>
                          <a:blip r:embed="rId55"/>
                          <a:stretch>
                            <a:fillRect/>
                          </a:stretch>
                        </pic:blipFill>
                        <pic:spPr>
                          <a:xfrm>
                            <a:off x="0" y="0"/>
                            <a:ext cx="471805"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F4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EE6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工作柜式 砧板、刀具一体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 304-2B不锈钢板制造，厚度为1.2mm，侧板、底板采用1.0mm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台面下复木板减噪，木板下复铝板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电压：220v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刀数量：5-8把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消毒砧板数量：≥6块（直径50cm厚度8-10cm）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B7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F5E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B6BA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F47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A1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5F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102870</wp:posOffset>
                  </wp:positionH>
                  <wp:positionV relativeFrom="paragraph">
                    <wp:posOffset>124460</wp:posOffset>
                  </wp:positionV>
                  <wp:extent cx="694690" cy="550545"/>
                  <wp:effectExtent l="0" t="0" r="6350" b="13335"/>
                  <wp:wrapNone/>
                  <wp:docPr id="101" name="Picture_56"/>
                  <wp:cNvGraphicFramePr/>
                  <a:graphic xmlns:a="http://schemas.openxmlformats.org/drawingml/2006/main">
                    <a:graphicData uri="http://schemas.openxmlformats.org/drawingml/2006/picture">
                      <pic:pic xmlns:pic="http://schemas.openxmlformats.org/drawingml/2006/picture">
                        <pic:nvPicPr>
                          <pic:cNvPr id="101" name="Picture_56"/>
                          <pic:cNvPicPr/>
                        </pic:nvPicPr>
                        <pic:blipFill>
                          <a:blip r:embed="rId56"/>
                          <a:stretch>
                            <a:fillRect/>
                          </a:stretch>
                        </pic:blipFill>
                        <pic:spPr>
                          <a:xfrm>
                            <a:off x="0" y="0"/>
                            <a:ext cx="694690"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92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082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—侧板、后背板0.8mm，门内复板0.8mm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—上掀式V型滑轨，弧型轴承，一种带轴承的翻门结构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4D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113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38D45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E18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BF8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环保型灭蝇器（粘捕）</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EB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374650"/>
                  <wp:effectExtent l="0" t="0" r="0" b="0"/>
                  <wp:wrapNone/>
                  <wp:docPr id="141" name="Picture_57"/>
                  <wp:cNvGraphicFramePr/>
                  <a:graphic xmlns:a="http://schemas.openxmlformats.org/drawingml/2006/main">
                    <a:graphicData uri="http://schemas.openxmlformats.org/drawingml/2006/picture">
                      <pic:pic xmlns:pic="http://schemas.openxmlformats.org/drawingml/2006/picture">
                        <pic:nvPicPr>
                          <pic:cNvPr id="141" name="Picture_57"/>
                          <pic:cNvPicPr/>
                        </pic:nvPicPr>
                        <pic:blipFill>
                          <a:blip r:embed="rId34"/>
                          <a:srcRect b="28311"/>
                          <a:stretch>
                            <a:fillRect/>
                          </a:stretch>
                        </pic:blipFill>
                        <pic:spPr>
                          <a:xfrm>
                            <a:off x="0" y="0"/>
                            <a:ext cx="755015" cy="3746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33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360*210*170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262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配优质双灯管，紫外线灯管功率≥8W*2，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净重: 1kg(含)-1.5kg(不含)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灭蚊原理: 粘捕式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诱蚊方式: UVA紫光灯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适用面积：30~60㎡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E7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68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159F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76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23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带骨切丁机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FE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240030</wp:posOffset>
                  </wp:positionH>
                  <wp:positionV relativeFrom="paragraph">
                    <wp:posOffset>121920</wp:posOffset>
                  </wp:positionV>
                  <wp:extent cx="480060" cy="558165"/>
                  <wp:effectExtent l="0" t="0" r="7620" b="5715"/>
                  <wp:wrapNone/>
                  <wp:docPr id="121" name="Picture_58"/>
                  <wp:cNvGraphicFramePr/>
                  <a:graphic xmlns:a="http://schemas.openxmlformats.org/drawingml/2006/main">
                    <a:graphicData uri="http://schemas.openxmlformats.org/drawingml/2006/picture">
                      <pic:pic xmlns:pic="http://schemas.openxmlformats.org/drawingml/2006/picture">
                        <pic:nvPicPr>
                          <pic:cNvPr id="121" name="Picture_58"/>
                          <pic:cNvPicPr/>
                        </pic:nvPicPr>
                        <pic:blipFill>
                          <a:blip r:embed="rId57"/>
                          <a:stretch>
                            <a:fillRect/>
                          </a:stretch>
                        </pic:blipFill>
                        <pic:spPr>
                          <a:xfrm>
                            <a:off x="0" y="0"/>
                            <a:ext cx="480060" cy="55816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89D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610*510*920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BB0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机器尺寸：610(L)×510(W)×920﹝H﹞(mm) 产量：≥500KG/HR </w:t>
            </w:r>
          </w:p>
          <w:p w14:paraId="0F61D6E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电源：380V 50Hz 切割尺寸：15-40mm(不可调) 刀速：170rpm 入料尺寸：200x84mm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带骨切丁机特点：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1、特殊钢材的圆刀与齿刀设计，能顺利切割带骨的禽类和鱼类，加高的进料口附安全挡板，提供双重保护，确保操作人员的安全。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2、清洗方便简单，出料规则性好。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3、极大改善工作人员的劳动强度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EB0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023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4629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6E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0D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多功能切菜机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29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240030</wp:posOffset>
                  </wp:positionH>
                  <wp:positionV relativeFrom="paragraph">
                    <wp:posOffset>127000</wp:posOffset>
                  </wp:positionV>
                  <wp:extent cx="488315" cy="549275"/>
                  <wp:effectExtent l="0" t="0" r="14605" b="14605"/>
                  <wp:wrapNone/>
                  <wp:docPr id="136" name="Picture_59"/>
                  <wp:cNvGraphicFramePr/>
                  <a:graphic xmlns:a="http://schemas.openxmlformats.org/drawingml/2006/main">
                    <a:graphicData uri="http://schemas.openxmlformats.org/drawingml/2006/picture">
                      <pic:pic xmlns:pic="http://schemas.openxmlformats.org/drawingml/2006/picture">
                        <pic:nvPicPr>
                          <pic:cNvPr id="136" name="Picture_59"/>
                          <pic:cNvPicPr/>
                        </pic:nvPicPr>
                        <pic:blipFill>
                          <a:blip r:embed="rId58"/>
                          <a:stretch>
                            <a:fillRect/>
                          </a:stretch>
                        </pic:blipFill>
                        <pic:spPr>
                          <a:xfrm>
                            <a:off x="0" y="0"/>
                            <a:ext cx="488315" cy="5492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80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1160*530*1000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644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叶菜部切长度：1－30mm(可调) 产量：300－1000KG/HR </w:t>
            </w:r>
          </w:p>
          <w:p w14:paraId="1E5997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电源：220V　单相 功率:≥1.5KW </w:t>
            </w:r>
          </w:p>
          <w:p w14:paraId="081EB0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马力：1HP(切根菜部)+1/2HP(切叶菜部)+1/4HP(输送带) </w:t>
            </w:r>
          </w:p>
          <w:p w14:paraId="7558950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随机配件：大双刀1组（切叶菜部）、切丁刀盘1组、切片刀盘1个、切丝刀盘一个(切根菜部)。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1、本机为双头型切菜机,可同时工作；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2、通过更换刀盘或双调频调节输送带与斩刀速度,可切出各种规格的片、丝、丁；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3、输送带可拆卸，方便清洗,卫生等级高；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4、叶菜部切割长度可达7cm。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★提供切菜机制造原材料304不锈钢板检测报告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★提供切菜机主要配件：不锈钢刀的检测报告，并附照片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★提供切菜机主要配件：输送带的检测报告</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34C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D15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0FFB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99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D05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双星水池柜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251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179705</wp:posOffset>
                  </wp:positionH>
                  <wp:positionV relativeFrom="paragraph">
                    <wp:posOffset>127000</wp:posOffset>
                  </wp:positionV>
                  <wp:extent cx="574040" cy="549275"/>
                  <wp:effectExtent l="0" t="0" r="5080" b="14605"/>
                  <wp:wrapNone/>
                  <wp:docPr id="133" name="Picture_61"/>
                  <wp:cNvGraphicFramePr/>
                  <a:graphic xmlns:a="http://schemas.openxmlformats.org/drawingml/2006/main">
                    <a:graphicData uri="http://schemas.openxmlformats.org/drawingml/2006/picture">
                      <pic:pic xmlns:pic="http://schemas.openxmlformats.org/drawingml/2006/picture">
                        <pic:nvPicPr>
                          <pic:cNvPr id="133" name="Picture_61"/>
                          <pic:cNvPicPr/>
                        </pic:nvPicPr>
                        <pic:blipFill>
                          <a:blip r:embed="rId59"/>
                          <a:stretch>
                            <a:fillRect/>
                          </a:stretch>
                        </pic:blipFill>
                        <pic:spPr>
                          <a:xfrm>
                            <a:off x="0" y="0"/>
                            <a:ext cx="574040" cy="5492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20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2A5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—台面板厚1.2㎜,水斗板厚1.0mm，前板、侧板厚0.8mm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—水斗规格：500*500*280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—门外壳板厚1.0mm，门内复板厚0.6mm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—柜内层板、底板板厚1.0㎜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A04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8C0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0362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8A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AF08a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69A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7EA5B835">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123" name="图片_121_SpCnt_4"/>
                  <wp:cNvGraphicFramePr/>
                  <a:graphic xmlns:a="http://schemas.openxmlformats.org/drawingml/2006/main">
                    <a:graphicData uri="http://schemas.openxmlformats.org/drawingml/2006/picture">
                      <pic:pic xmlns:pic="http://schemas.openxmlformats.org/drawingml/2006/picture">
                        <pic:nvPicPr>
                          <pic:cNvPr id="123" name="图片_121_SpCnt_4"/>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AD9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4C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30C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27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D1B0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D5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AF09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72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立式四门冷藏柜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5DB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189230</wp:posOffset>
                  </wp:positionH>
                  <wp:positionV relativeFrom="paragraph">
                    <wp:posOffset>689610</wp:posOffset>
                  </wp:positionV>
                  <wp:extent cx="462280" cy="622935"/>
                  <wp:effectExtent l="0" t="0" r="10160" b="1905"/>
                  <wp:wrapNone/>
                  <wp:docPr id="129" name="Picture_62"/>
                  <wp:cNvGraphicFramePr/>
                  <a:graphic xmlns:a="http://schemas.openxmlformats.org/drawingml/2006/main">
                    <a:graphicData uri="http://schemas.openxmlformats.org/drawingml/2006/picture">
                      <pic:pic xmlns:pic="http://schemas.openxmlformats.org/drawingml/2006/picture">
                        <pic:nvPicPr>
                          <pic:cNvPr id="129" name="Picture_62"/>
                          <pic:cNvPicPr/>
                        </pic:nvPicPr>
                        <pic:blipFill>
                          <a:blip r:embed="rId60"/>
                          <a:stretch>
                            <a:fillRect/>
                          </a:stretch>
                        </pic:blipFill>
                        <pic:spPr>
                          <a:xfrm>
                            <a:off x="0" y="0"/>
                            <a:ext cx="462280" cy="62293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44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1220*750*1960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E1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电源：220V/50HZ，输入功率：≥400W，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温度范围:  -6～12℃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1、内外箱均为SUS304不锈钢板；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2、使用优质压缩机，全铜管冷凝器、蒸发器；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3、配备强制蒸发装置，自动蒸发化霜水；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4、一体式发泡工艺，整体平整、耐用；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5、产品能在43℃的环境温度下正常工作；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6、置于箱体内部的高效防露加热丝，能有效防止门框结露、滴水，保证客户的使用效果和环境卫生；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7、冰箱配备了门体自动关闭结构，方便客户操作。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容积：≥880L</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26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BE3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106E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77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3AA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立式四门双温柜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C7A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197485</wp:posOffset>
                  </wp:positionH>
                  <wp:positionV relativeFrom="paragraph">
                    <wp:posOffset>736600</wp:posOffset>
                  </wp:positionV>
                  <wp:extent cx="514350" cy="656590"/>
                  <wp:effectExtent l="0" t="0" r="3810" b="13970"/>
                  <wp:wrapNone/>
                  <wp:docPr id="119" name="Picture_63"/>
                  <wp:cNvGraphicFramePr/>
                  <a:graphic xmlns:a="http://schemas.openxmlformats.org/drawingml/2006/main">
                    <a:graphicData uri="http://schemas.openxmlformats.org/drawingml/2006/picture">
                      <pic:pic xmlns:pic="http://schemas.openxmlformats.org/drawingml/2006/picture">
                        <pic:nvPicPr>
                          <pic:cNvPr id="119" name="Picture_63"/>
                          <pic:cNvPicPr/>
                        </pic:nvPicPr>
                        <pic:blipFill>
                          <a:blip r:embed="rId61"/>
                          <a:stretch>
                            <a:fillRect/>
                          </a:stretch>
                        </pic:blipFill>
                        <pic:spPr>
                          <a:xfrm>
                            <a:off x="0" y="0"/>
                            <a:ext cx="514350" cy="65659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BCD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1220*750*1960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FD67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电源：220V/50HZ，输入功率：≥282W，电流：1.8A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温度范围: -18~-10 -6～12℃；容量：900L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1、内外箱均为SUS304不锈钢板；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2、使用优质压缩机，全铜管冷凝器、蒸发器；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4、一体式发泡工艺，整体平整、耐用；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5、产品能在43℃的环境温度下正常工作；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6、冰箱配备了门体自动关闭结构，方便客户操作。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7、★产品通过极限环境优品测试，(提供第三方检测机构出具的检测报告扫描件)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8、★门封条符合食品接触要求和限制物重金属检测，(提供第三方检测机构出具的检测报告扫描件）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9、发泡料为B1防火等级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3F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A42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E9BA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31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AF12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C7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5E6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102870</wp:posOffset>
                  </wp:positionH>
                  <wp:positionV relativeFrom="paragraph">
                    <wp:posOffset>124460</wp:posOffset>
                  </wp:positionV>
                  <wp:extent cx="694690" cy="550545"/>
                  <wp:effectExtent l="0" t="0" r="6350" b="13335"/>
                  <wp:wrapNone/>
                  <wp:docPr id="120" name="Picture_65"/>
                  <wp:cNvGraphicFramePr/>
                  <a:graphic xmlns:a="http://schemas.openxmlformats.org/drawingml/2006/main">
                    <a:graphicData uri="http://schemas.openxmlformats.org/drawingml/2006/picture">
                      <pic:pic xmlns:pic="http://schemas.openxmlformats.org/drawingml/2006/picture">
                        <pic:nvPicPr>
                          <pic:cNvPr id="120" name="Picture_65"/>
                          <pic:cNvPicPr/>
                        </pic:nvPicPr>
                        <pic:blipFill>
                          <a:blip r:embed="rId56"/>
                          <a:stretch>
                            <a:fillRect/>
                          </a:stretch>
                        </pic:blipFill>
                        <pic:spPr>
                          <a:xfrm>
                            <a:off x="0" y="0"/>
                            <a:ext cx="694690"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27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36CF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—侧板、后背板0.8mm，门内复板0.8mm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—上掀式V型滑轨，弧型轴承，一种带轴承的翻门结构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377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B74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302D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BC5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DE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落地柜式洗手单星盆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0B1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123825</wp:posOffset>
                  </wp:positionV>
                  <wp:extent cx="471805" cy="552450"/>
                  <wp:effectExtent l="0" t="0" r="635" b="11430"/>
                  <wp:wrapNone/>
                  <wp:docPr id="131" name="Picture_66"/>
                  <wp:cNvGraphicFramePr/>
                  <a:graphic xmlns:a="http://schemas.openxmlformats.org/drawingml/2006/main">
                    <a:graphicData uri="http://schemas.openxmlformats.org/drawingml/2006/picture">
                      <pic:pic xmlns:pic="http://schemas.openxmlformats.org/drawingml/2006/picture">
                        <pic:nvPicPr>
                          <pic:cNvPr id="131" name="Picture_66"/>
                          <pic:cNvPicPr/>
                        </pic:nvPicPr>
                        <pic:blipFill>
                          <a:blip r:embed="rId37"/>
                          <a:stretch>
                            <a:fillRect/>
                          </a:stretch>
                        </pic:blipFill>
                        <pic:spPr>
                          <a:xfrm>
                            <a:off x="0" y="0"/>
                            <a:ext cx="47180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42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432*420*800/900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961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—台面背板厚1.2㎜,水斗板厚1.0mm，左右侧板0.8mm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—水斗一体冲压折弯成型，规格：350*248*145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—柜式结构无卫生死角，配快拆式维修门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—配￠45落水器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D4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C2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E656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3F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AF13a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B0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感应龙头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4D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321310</wp:posOffset>
                  </wp:positionV>
                  <wp:extent cx="643890" cy="514350"/>
                  <wp:effectExtent l="0" t="0" r="11430" b="3810"/>
                  <wp:wrapNone/>
                  <wp:docPr id="122" name="图片_1_SpCnt_3"/>
                  <wp:cNvGraphicFramePr/>
                  <a:graphic xmlns:a="http://schemas.openxmlformats.org/drawingml/2006/main">
                    <a:graphicData uri="http://schemas.openxmlformats.org/drawingml/2006/picture">
                      <pic:pic xmlns:pic="http://schemas.openxmlformats.org/drawingml/2006/picture">
                        <pic:nvPicPr>
                          <pic:cNvPr id="122" name="图片_1_SpCnt_3"/>
                          <pic:cNvPicPr/>
                        </pic:nvPicPr>
                        <pic:blipFill>
                          <a:blip r:embed="rId31"/>
                          <a:stretch>
                            <a:fillRect/>
                          </a:stretch>
                        </pic:blipFill>
                        <pic:spPr>
                          <a:xfrm>
                            <a:off x="0" y="0"/>
                            <a:ext cx="643890" cy="5143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6298">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3F8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单孔台出电子感应龙头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防破坏2.2GPM(8.3LPM)起泡器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防水控制盒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AC/DC交直流两用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手动混水阀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开孔：孔径32mm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093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73D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845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F5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AF14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19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洗地龙头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CF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222885</wp:posOffset>
                  </wp:positionH>
                  <wp:positionV relativeFrom="paragraph">
                    <wp:posOffset>123190</wp:posOffset>
                  </wp:positionV>
                  <wp:extent cx="514985" cy="547370"/>
                  <wp:effectExtent l="0" t="0" r="3175" b="1270"/>
                  <wp:wrapNone/>
                  <wp:docPr id="137" name="Picture_191_SpCnt_1"/>
                  <wp:cNvGraphicFramePr/>
                  <a:graphic xmlns:a="http://schemas.openxmlformats.org/drawingml/2006/main">
                    <a:graphicData uri="http://schemas.openxmlformats.org/drawingml/2006/picture">
                      <pic:pic xmlns:pic="http://schemas.openxmlformats.org/drawingml/2006/picture">
                        <pic:nvPicPr>
                          <pic:cNvPr id="137" name="Picture_191_SpCnt_1"/>
                          <pic:cNvPicPr/>
                        </pic:nvPicPr>
                        <pic:blipFill>
                          <a:blip r:embed="rId49"/>
                          <a:stretch>
                            <a:fillRect/>
                          </a:stretch>
                        </pic:blipFill>
                        <pic:spPr>
                          <a:xfrm>
                            <a:off x="0" y="0"/>
                            <a:ext cx="51498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EE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117*375*360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53B1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开放式洗地龙头； 松开把手自动关闭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开放式涂层钢洗地龙头，抛光镀铬喷阀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喉管:自动回卷伸缩，环氧敞开式卷盘软管长10.7米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适用于墙壁、天花板或台面下安装</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05D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A6B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F75D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5F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AF14a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46D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不锈钢洗地龙头摇摆支架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113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300355</wp:posOffset>
                  </wp:positionH>
                  <wp:positionV relativeFrom="paragraph">
                    <wp:posOffset>123190</wp:posOffset>
                  </wp:positionV>
                  <wp:extent cx="394335" cy="547370"/>
                  <wp:effectExtent l="0" t="0" r="1905" b="1270"/>
                  <wp:wrapNone/>
                  <wp:docPr id="138" name="Picture_4_SpCnt_3"/>
                  <wp:cNvGraphicFramePr/>
                  <a:graphic xmlns:a="http://schemas.openxmlformats.org/drawingml/2006/main">
                    <a:graphicData uri="http://schemas.openxmlformats.org/drawingml/2006/picture">
                      <pic:pic xmlns:pic="http://schemas.openxmlformats.org/drawingml/2006/picture">
                        <pic:nvPicPr>
                          <pic:cNvPr id="138" name="Picture_4_SpCnt_3"/>
                          <pic:cNvPicPr/>
                        </pic:nvPicPr>
                        <pic:blipFill>
                          <a:blip r:embed="rId50"/>
                          <a:stretch>
                            <a:fillRect/>
                          </a:stretch>
                        </pic:blipFill>
                        <pic:spPr>
                          <a:xfrm>
                            <a:off x="0" y="0"/>
                            <a:ext cx="39433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EBB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D61B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快装一体式不锈钢洗地龙头支架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适用于所有T&amp;S管径为3/8”和1/2”的洗地龙头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单人安装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活动范围100°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1E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1C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BE27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DF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AF16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0F9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风幕机（遥控型）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B6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276860</wp:posOffset>
                  </wp:positionV>
                  <wp:extent cx="755015" cy="309245"/>
                  <wp:effectExtent l="0" t="0" r="6985" b="10795"/>
                  <wp:wrapNone/>
                  <wp:docPr id="128" name="Picture_69"/>
                  <wp:cNvGraphicFramePr/>
                  <a:graphic xmlns:a="http://schemas.openxmlformats.org/drawingml/2006/main">
                    <a:graphicData uri="http://schemas.openxmlformats.org/drawingml/2006/picture">
                      <pic:pic xmlns:pic="http://schemas.openxmlformats.org/drawingml/2006/picture">
                        <pic:nvPicPr>
                          <pic:cNvPr id="128" name="Picture_69"/>
                          <pic:cNvPicPr/>
                        </pic:nvPicPr>
                        <pic:blipFill>
                          <a:blip r:embed="rId29"/>
                          <a:stretch>
                            <a:fillRect/>
                          </a:stretch>
                        </pic:blipFill>
                        <pic:spPr>
                          <a:xfrm>
                            <a:off x="0" y="0"/>
                            <a:ext cx="755015" cy="3092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00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1500*198*215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9213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额定电压220V，功率：360-390W;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风口风量：1350-1700m3/h,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风口风速:14.5-11.5m/s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材质：工程塑料，低噪音风机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1、贯流式强力送风轻松在室内外之间形成一道隐形的风幕墙，隔开室内外空气的同时，更可将灰尘，飞虫等阻挡于室外。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2、遮断效果佳，风路升级体现高风速，低噪音运转。</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8E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69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25B2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D87AD">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AG面点间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86B59">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E5729">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47D26">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01D85">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41BC">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308B">
            <w:pPr>
              <w:jc w:val="center"/>
              <w:rPr>
                <w:rFonts w:hint="eastAsia" w:ascii="宋体" w:hAnsi="宋体" w:eastAsia="宋体" w:cs="宋体"/>
                <w:i w:val="0"/>
                <w:iCs w:val="0"/>
                <w:color w:val="auto"/>
                <w:sz w:val="20"/>
                <w:szCs w:val="20"/>
                <w:highlight w:val="none"/>
                <w:u w:val="none"/>
              </w:rPr>
            </w:pPr>
          </w:p>
        </w:tc>
      </w:tr>
      <w:tr w14:paraId="44039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58E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BFC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风幕机（遥控型）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F4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276860</wp:posOffset>
                  </wp:positionV>
                  <wp:extent cx="755015" cy="309245"/>
                  <wp:effectExtent l="0" t="0" r="6985" b="10795"/>
                  <wp:wrapNone/>
                  <wp:docPr id="124" name="Picture_70"/>
                  <wp:cNvGraphicFramePr/>
                  <a:graphic xmlns:a="http://schemas.openxmlformats.org/drawingml/2006/main">
                    <a:graphicData uri="http://schemas.openxmlformats.org/drawingml/2006/picture">
                      <pic:pic xmlns:pic="http://schemas.openxmlformats.org/drawingml/2006/picture">
                        <pic:nvPicPr>
                          <pic:cNvPr id="124" name="Picture_70"/>
                          <pic:cNvPicPr/>
                        </pic:nvPicPr>
                        <pic:blipFill>
                          <a:blip r:embed="rId29"/>
                          <a:stretch>
                            <a:fillRect/>
                          </a:stretch>
                        </pic:blipFill>
                        <pic:spPr>
                          <a:xfrm>
                            <a:off x="0" y="0"/>
                            <a:ext cx="755015" cy="3092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C5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1500*198*215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7EA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额定电压220V，功率：360-390W;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风口风量：1350-1700m3/h,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风口风速:14.5-11.5m/s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材质：工程塑料，低噪音风机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1、贯流式强力送风轻松在室内外之间形成一道隐形的风幕墙，隔开室内外空气的同时，更可将灰尘，飞虫等阻挡于室外。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2、遮断效果佳，风路升级体现高风速，低噪音运转。</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74B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5C5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F805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69C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1B9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智能刀具存储柜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A2B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28625" cy="552450"/>
                  <wp:effectExtent l="0" t="0" r="13335" b="11430"/>
                  <wp:wrapNone/>
                  <wp:docPr id="134" name="Picture_71"/>
                  <wp:cNvGraphicFramePr/>
                  <a:graphic xmlns:a="http://schemas.openxmlformats.org/drawingml/2006/main">
                    <a:graphicData uri="http://schemas.openxmlformats.org/drawingml/2006/picture">
                      <pic:pic xmlns:pic="http://schemas.openxmlformats.org/drawingml/2006/picture">
                        <pic:nvPicPr>
                          <pic:cNvPr id="134" name="Picture_71"/>
                          <pic:cNvPicPr/>
                        </pic:nvPicPr>
                        <pic:blipFill>
                          <a:blip r:embed="rId47"/>
                          <a:stretch>
                            <a:fillRect/>
                          </a:stretch>
                        </pic:blipFill>
                        <pic:spPr>
                          <a:xfrm>
                            <a:off x="0" y="0"/>
                            <a:ext cx="42862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31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500*130*620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8C9C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—采用SUS304-2B不锈钢，厚度1.0mm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—电压220V. 50Hz, 功率≥15W，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—门板采用不锈钢或黑色亚克力，内置紫外线杀菌，强力吸磁刀具架，便于更好的清洁，刀具无需旋转即可消毒，挂墙式支撑结构，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—机械定时旋钮开关或触摸按钮开关</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836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E5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24C2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04B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4C7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24A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144780</wp:posOffset>
                  </wp:positionV>
                  <wp:extent cx="755015" cy="526415"/>
                  <wp:effectExtent l="0" t="0" r="6985" b="6985"/>
                  <wp:wrapNone/>
                  <wp:docPr id="132" name="Picture_72"/>
                  <wp:cNvGraphicFramePr/>
                  <a:graphic xmlns:a="http://schemas.openxmlformats.org/drawingml/2006/main">
                    <a:graphicData uri="http://schemas.openxmlformats.org/drawingml/2006/picture">
                      <pic:pic xmlns:pic="http://schemas.openxmlformats.org/drawingml/2006/picture">
                        <pic:nvPicPr>
                          <pic:cNvPr id="132" name="Picture_72"/>
                          <pic:cNvPicPr/>
                        </pic:nvPicPr>
                        <pic:blipFill>
                          <a:blip r:embed="rId62"/>
                          <a:stretch>
                            <a:fillRect/>
                          </a:stretch>
                        </pic:blipFill>
                        <pic:spPr>
                          <a:xfrm>
                            <a:off x="0" y="0"/>
                            <a:ext cx="755015" cy="5264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C1A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6E5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58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66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D85C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13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23C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AFD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144780</wp:posOffset>
                  </wp:positionV>
                  <wp:extent cx="755015" cy="526415"/>
                  <wp:effectExtent l="0" t="0" r="6985" b="6985"/>
                  <wp:wrapNone/>
                  <wp:docPr id="125" name="Picture_73"/>
                  <wp:cNvGraphicFramePr/>
                  <a:graphic xmlns:a="http://schemas.openxmlformats.org/drawingml/2006/main">
                    <a:graphicData uri="http://schemas.openxmlformats.org/drawingml/2006/picture">
                      <pic:pic xmlns:pic="http://schemas.openxmlformats.org/drawingml/2006/picture">
                        <pic:nvPicPr>
                          <pic:cNvPr id="125" name="Picture_73"/>
                          <pic:cNvPicPr/>
                        </pic:nvPicPr>
                        <pic:blipFill>
                          <a:blip r:embed="rId62"/>
                          <a:stretch>
                            <a:fillRect/>
                          </a:stretch>
                        </pic:blipFill>
                        <pic:spPr>
                          <a:xfrm>
                            <a:off x="0" y="0"/>
                            <a:ext cx="755015" cy="5264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4A0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F2A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36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663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8307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56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E54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四层档货架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847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19735" cy="552450"/>
                  <wp:effectExtent l="0" t="0" r="6985" b="11430"/>
                  <wp:wrapNone/>
                  <wp:docPr id="126" name="Picture_75"/>
                  <wp:cNvGraphicFramePr/>
                  <a:graphic xmlns:a="http://schemas.openxmlformats.org/drawingml/2006/main">
                    <a:graphicData uri="http://schemas.openxmlformats.org/drawingml/2006/picture">
                      <pic:pic xmlns:pic="http://schemas.openxmlformats.org/drawingml/2006/picture">
                        <pic:nvPicPr>
                          <pic:cNvPr id="126" name="Picture_75"/>
                          <pic:cNvPicPr/>
                        </pic:nvPicPr>
                        <pic:blipFill>
                          <a:blip r:embed="rId42"/>
                          <a:stretch>
                            <a:fillRect/>
                          </a:stretch>
                        </pic:blipFill>
                        <pic:spPr>
                          <a:xfrm>
                            <a:off x="0" y="0"/>
                            <a:ext cx="4197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909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9B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—采用全不锈钢制作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—层框38*25*1.0不锈钢管制作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—搁档30*15*0.8不锈钢方管或不锈钢板折弯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757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E0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3985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3C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3FB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高速压面机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6A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317500</wp:posOffset>
                  </wp:positionH>
                  <wp:positionV relativeFrom="paragraph">
                    <wp:posOffset>124460</wp:posOffset>
                  </wp:positionV>
                  <wp:extent cx="377190" cy="550545"/>
                  <wp:effectExtent l="0" t="0" r="3810" b="13335"/>
                  <wp:wrapNone/>
                  <wp:docPr id="127" name="Picture_76"/>
                  <wp:cNvGraphicFramePr/>
                  <a:graphic xmlns:a="http://schemas.openxmlformats.org/drawingml/2006/main">
                    <a:graphicData uri="http://schemas.openxmlformats.org/drawingml/2006/picture">
                      <pic:pic xmlns:pic="http://schemas.openxmlformats.org/drawingml/2006/picture">
                        <pic:nvPicPr>
                          <pic:cNvPr id="127" name="Picture_76"/>
                          <pic:cNvPicPr/>
                        </pic:nvPicPr>
                        <pic:blipFill>
                          <a:blip r:embed="rId63"/>
                          <a:stretch>
                            <a:fillRect/>
                          </a:stretch>
                        </pic:blipFill>
                        <pic:spPr>
                          <a:xfrm>
                            <a:off x="0" y="0"/>
                            <a:ext cx="377190"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959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655*665*1125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0922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1.外尺寸宽*深*高/655*665*1125mm，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2.电压220V/1.5KW，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3.重量165KG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4.压辊范围：5-25mm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5.采用链轮传动，结构紧凑，运转平稳，效率高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6.操作方便，维修容易，易于清洗</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F65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64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FFA1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F6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AG08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A2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和面机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90E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222885</wp:posOffset>
                  </wp:positionH>
                  <wp:positionV relativeFrom="paragraph">
                    <wp:posOffset>440055</wp:posOffset>
                  </wp:positionV>
                  <wp:extent cx="522605" cy="645160"/>
                  <wp:effectExtent l="0" t="0" r="10795" b="10160"/>
                  <wp:wrapNone/>
                  <wp:docPr id="135" name="Picture_77"/>
                  <wp:cNvGraphicFramePr/>
                  <a:graphic xmlns:a="http://schemas.openxmlformats.org/drawingml/2006/main">
                    <a:graphicData uri="http://schemas.openxmlformats.org/drawingml/2006/picture">
                      <pic:pic xmlns:pic="http://schemas.openxmlformats.org/drawingml/2006/picture">
                        <pic:nvPicPr>
                          <pic:cNvPr id="135" name="Picture_77"/>
                          <pic:cNvPicPr/>
                        </pic:nvPicPr>
                        <pic:blipFill>
                          <a:blip r:embed="rId64"/>
                          <a:stretch>
                            <a:fillRect/>
                          </a:stretch>
                        </pic:blipFill>
                        <pic:spPr>
                          <a:xfrm>
                            <a:off x="0" y="0"/>
                            <a:ext cx="522605" cy="64516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43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520*850*1250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5B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1.外尺寸宽*深*高/520*850*1250mm，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2.电压380V/3.2KW，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3.重量240KG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4.勾通转速：280/138/22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5，面团25kg，干粉12.5kg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6.采用螺旋式设计吸水量大，面筋性好，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7.可根据产品配方调节快速、慢速转换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8.微电脑控制系统，操作简单方便，控制时间精准，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9.带安全防护罩，可放心使用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92A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C8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9AEE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E3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AG09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F0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30升多功能搅拌机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3AF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274955</wp:posOffset>
                  </wp:positionH>
                  <wp:positionV relativeFrom="paragraph">
                    <wp:posOffset>123825</wp:posOffset>
                  </wp:positionV>
                  <wp:extent cx="428625" cy="552450"/>
                  <wp:effectExtent l="0" t="0" r="13335" b="11430"/>
                  <wp:wrapNone/>
                  <wp:docPr id="130" name="Picture_78"/>
                  <wp:cNvGraphicFramePr/>
                  <a:graphic xmlns:a="http://schemas.openxmlformats.org/drawingml/2006/main">
                    <a:graphicData uri="http://schemas.openxmlformats.org/drawingml/2006/picture">
                      <pic:pic xmlns:pic="http://schemas.openxmlformats.org/drawingml/2006/picture">
                        <pic:nvPicPr>
                          <pic:cNvPr id="130" name="Picture_78"/>
                          <pic:cNvPicPr/>
                        </pic:nvPicPr>
                        <pic:blipFill>
                          <a:blip r:embed="rId65"/>
                          <a:stretch>
                            <a:fillRect/>
                          </a:stretch>
                        </pic:blipFill>
                        <pic:spPr>
                          <a:xfrm>
                            <a:off x="0" y="0"/>
                            <a:ext cx="42862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BF7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625*625*1025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E87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1.外尺寸宽*深*高/625*625*1025mm，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2.电压380V/0.75KW，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3.重量150KG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4.转速:120/240/468/转/分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5.配置：1桶、1球、1勾、1扇</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36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82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0E9C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90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7C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木面搓粉台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EC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150495</wp:posOffset>
                  </wp:positionV>
                  <wp:extent cx="755015" cy="506095"/>
                  <wp:effectExtent l="0" t="0" r="6985" b="12065"/>
                  <wp:wrapNone/>
                  <wp:docPr id="139" name="Picture_79"/>
                  <wp:cNvGraphicFramePr/>
                  <a:graphic xmlns:a="http://schemas.openxmlformats.org/drawingml/2006/main">
                    <a:graphicData uri="http://schemas.openxmlformats.org/drawingml/2006/picture">
                      <pic:pic xmlns:pic="http://schemas.openxmlformats.org/drawingml/2006/picture">
                        <pic:nvPicPr>
                          <pic:cNvPr id="139" name="Picture_79"/>
                          <pic:cNvPicPr/>
                        </pic:nvPicPr>
                        <pic:blipFill>
                          <a:blip r:embed="rId66"/>
                          <a:stretch>
                            <a:fillRect/>
                          </a:stretch>
                        </pic:blipFill>
                        <pic:spPr>
                          <a:xfrm>
                            <a:off x="0" y="0"/>
                            <a:ext cx="755015" cy="5060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55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1800*800*800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DF2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—台面用柳胺木面制造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—φ50mm厚度1.0mm不锈钢圆通腿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—φ32mm厚度1.0mm不锈钢下橫通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—配耐磨橡胶减震垫脚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DE9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443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5581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91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7B6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双星水池柜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DA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205105</wp:posOffset>
                  </wp:positionH>
                  <wp:positionV relativeFrom="paragraph">
                    <wp:posOffset>629285</wp:posOffset>
                  </wp:positionV>
                  <wp:extent cx="574675" cy="549275"/>
                  <wp:effectExtent l="0" t="0" r="4445" b="14605"/>
                  <wp:wrapNone/>
                  <wp:docPr id="140" name="Picture_80"/>
                  <wp:cNvGraphicFramePr/>
                  <a:graphic xmlns:a="http://schemas.openxmlformats.org/drawingml/2006/main">
                    <a:graphicData uri="http://schemas.openxmlformats.org/drawingml/2006/picture">
                      <pic:pic xmlns:pic="http://schemas.openxmlformats.org/drawingml/2006/picture">
                        <pic:nvPicPr>
                          <pic:cNvPr id="140" name="Picture_80"/>
                          <pic:cNvPicPr/>
                        </pic:nvPicPr>
                        <pic:blipFill>
                          <a:blip r:embed="rId59"/>
                          <a:stretch>
                            <a:fillRect/>
                          </a:stretch>
                        </pic:blipFill>
                        <pic:spPr>
                          <a:xfrm>
                            <a:off x="0" y="0"/>
                            <a:ext cx="574675" cy="5492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3E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50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—台面板厚1.2㎜,水斗板厚1.0mm，前板、侧板厚0.8mm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—水斗规格：500*500*280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—门外壳板厚1.0mm，门内复板厚0.6mm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—柜内层板、底板板厚1.0㎜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E4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AFC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D5A2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2EF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AG11a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438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5D379876">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10" name="图片_121_SpCnt_5"/>
                  <wp:cNvGraphicFramePr/>
                  <a:graphic xmlns:a="http://schemas.openxmlformats.org/drawingml/2006/main">
                    <a:graphicData uri="http://schemas.openxmlformats.org/drawingml/2006/picture">
                      <pic:pic xmlns:pic="http://schemas.openxmlformats.org/drawingml/2006/picture">
                        <pic:nvPicPr>
                          <pic:cNvPr id="10" name="图片_121_SpCnt_5"/>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DA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0D0F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26C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ADE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22F6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741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97A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立式四门双温柜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A2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231775</wp:posOffset>
                  </wp:positionH>
                  <wp:positionV relativeFrom="paragraph">
                    <wp:posOffset>522605</wp:posOffset>
                  </wp:positionV>
                  <wp:extent cx="514985" cy="655955"/>
                  <wp:effectExtent l="0" t="0" r="3175" b="14605"/>
                  <wp:wrapNone/>
                  <wp:docPr id="35" name="Picture_63_SpCnt_1"/>
                  <wp:cNvGraphicFramePr/>
                  <a:graphic xmlns:a="http://schemas.openxmlformats.org/drawingml/2006/main">
                    <a:graphicData uri="http://schemas.openxmlformats.org/drawingml/2006/picture">
                      <pic:pic xmlns:pic="http://schemas.openxmlformats.org/drawingml/2006/picture">
                        <pic:nvPicPr>
                          <pic:cNvPr id="35" name="Picture_63_SpCnt_1"/>
                          <pic:cNvPicPr/>
                        </pic:nvPicPr>
                        <pic:blipFill>
                          <a:blip r:embed="rId61"/>
                          <a:stretch>
                            <a:fillRect/>
                          </a:stretch>
                        </pic:blipFill>
                        <pic:spPr>
                          <a:xfrm>
                            <a:off x="0" y="0"/>
                            <a:ext cx="514985" cy="65595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904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1220*750*1960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593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电源：220V/50HZ，输入功率：≥250W，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温度范围: -18~-10 -6～12℃；容量：900L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1、内外箱均为SUS304不锈钢板；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2、使用优质压缩机，全铜管冷凝器、蒸发器；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4、一体式发泡工艺，整体平整、耐用；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5、产品能在43℃的环境温度下正常工作；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6、冰箱配备了门体自动关闭结构，方便客户操作。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7、★产品通过极限环境优品测试，(提供第三方检测机构出具的检测报告扫描件)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8、★门封条符合食品接触要求和限制物重金属检测，(提供第三方检测机构出具的检测报告扫描件）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9、发泡料为B1防火等级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E0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EF4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F72B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864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C8F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环保型灭蝇器（粘捕）</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DB8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358775"/>
                  <wp:effectExtent l="0" t="0" r="0" b="0"/>
                  <wp:wrapNone/>
                  <wp:docPr id="19" name="Picture_83"/>
                  <wp:cNvGraphicFramePr/>
                  <a:graphic xmlns:a="http://schemas.openxmlformats.org/drawingml/2006/main">
                    <a:graphicData uri="http://schemas.openxmlformats.org/drawingml/2006/picture">
                      <pic:pic xmlns:pic="http://schemas.openxmlformats.org/drawingml/2006/picture">
                        <pic:nvPicPr>
                          <pic:cNvPr id="19" name="Picture_83"/>
                          <pic:cNvPicPr/>
                        </pic:nvPicPr>
                        <pic:blipFill>
                          <a:blip r:embed="rId34"/>
                          <a:srcRect b="31349"/>
                          <a:stretch>
                            <a:fillRect/>
                          </a:stretch>
                        </pic:blipFill>
                        <pic:spPr>
                          <a:xfrm>
                            <a:off x="0" y="0"/>
                            <a:ext cx="755015" cy="3587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8F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360*210*170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F4A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配优质双灯管，紫外线灯管功率≥8W*2，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净重: 1kg(含)-1.5kg(不含)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灭蚊原理: 粘捕式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诱蚊方式: UVA紫光灯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适用面积：30~60㎡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D05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5D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2FEF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3"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BE8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A25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智能整体烟罩</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D9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179705</wp:posOffset>
                  </wp:positionH>
                  <wp:positionV relativeFrom="paragraph">
                    <wp:posOffset>1348740</wp:posOffset>
                  </wp:positionV>
                  <wp:extent cx="669290" cy="547370"/>
                  <wp:effectExtent l="0" t="0" r="1270" b="1270"/>
                  <wp:wrapNone/>
                  <wp:docPr id="23" name="Picture_113"/>
                  <wp:cNvGraphicFramePr/>
                  <a:graphic xmlns:a="http://schemas.openxmlformats.org/drawingml/2006/main">
                    <a:graphicData uri="http://schemas.openxmlformats.org/drawingml/2006/picture">
                      <pic:pic xmlns:pic="http://schemas.openxmlformats.org/drawingml/2006/picture">
                        <pic:nvPicPr>
                          <pic:cNvPr id="23" name="Picture_113"/>
                          <pic:cNvPicPr/>
                        </pic:nvPicPr>
                        <pic:blipFill>
                          <a:blip r:embed="rId67"/>
                          <a:stretch>
                            <a:fillRect/>
                          </a:stretch>
                        </pic:blipFill>
                        <pic:spPr>
                          <a:xfrm>
                            <a:off x="0" y="0"/>
                            <a:ext cx="669290"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B6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5240*1600*550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3F5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主要技术参数：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烟罩主体采用SUS304，厚度不小于1.2mm，表面抗指纹处理，激光膜覆盖，防止表面括伤。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烟罩前端配备油脂过滤器，带电磁感应开关，过滤器可拆卸易清洗，防UV光泄露。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烟罩内置UV油烟净化模块，需采用UV灯管。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嵌入式LED照明。</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UV系统压差控制，拆下挡板UV系统自动停止工作。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烟罩配备岗位补鲜风和风幕式油烟捕捉系统，通过合理的厨房送鲜风和排风集成系统，加强排油烟效果，提升厨房空气质量和舒适度，增加节能功能。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烟罩排风口和送风口带风量调节阀，提升排风的稳定性。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烟罩控制箱为智能控制，触摸屏液晶显示，维修日志，报警保护，压力传感保护，药剂清洗剂，电磁阀。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烟罩内置UV灯架防水防尘达到IP69级，并出具证书。（提供相关检测报告加盖投标人公章）。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烟罩投标人需提供由省级或省级以上环保产品检测中心厨具的净化效率不低于98%的设备检测报告。（提供相关检测报告复印件加盖投标人公章）。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BF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B2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2747A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75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4B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定制料台平板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5A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120650</wp:posOffset>
                  </wp:positionH>
                  <wp:positionV relativeFrom="paragraph">
                    <wp:posOffset>0</wp:posOffset>
                  </wp:positionV>
                  <wp:extent cx="668655" cy="0"/>
                  <wp:effectExtent l="0" t="0" r="0" b="0"/>
                  <wp:wrapNone/>
                  <wp:docPr id="17" name="Picture_84"/>
                  <wp:cNvGraphicFramePr/>
                  <a:graphic xmlns:a="http://schemas.openxmlformats.org/drawingml/2006/main">
                    <a:graphicData uri="http://schemas.openxmlformats.org/drawingml/2006/picture">
                      <pic:pic xmlns:pic="http://schemas.openxmlformats.org/drawingml/2006/picture">
                        <pic:nvPicPr>
                          <pic:cNvPr id="17" name="Picture_84"/>
                          <pic:cNvPicPr/>
                        </pic:nvPicPr>
                        <pic:blipFill>
                          <a:blip r:embed="rId68"/>
                          <a:stretch>
                            <a:fillRect/>
                          </a:stretch>
                        </pic:blipFill>
                        <pic:spPr>
                          <a:xfrm>
                            <a:off x="0" y="0"/>
                            <a:ext cx="668655" cy="0"/>
                          </a:xfrm>
                          <a:prstGeom prst="rect">
                            <a:avLst/>
                          </a:prstGeom>
                          <a:noFill/>
                          <a:ln>
                            <a:noFill/>
                          </a:ln>
                        </pic:spPr>
                      </pic:pic>
                    </a:graphicData>
                  </a:graphic>
                </wp:anchor>
              </w:drawing>
            </w: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231775</wp:posOffset>
                  </wp:positionH>
                  <wp:positionV relativeFrom="paragraph">
                    <wp:posOffset>124460</wp:posOffset>
                  </wp:positionV>
                  <wp:extent cx="497840" cy="550545"/>
                  <wp:effectExtent l="0" t="0" r="5080" b="13335"/>
                  <wp:wrapNone/>
                  <wp:docPr id="11" name="Picture_85"/>
                  <wp:cNvGraphicFramePr/>
                  <a:graphic xmlns:a="http://schemas.openxmlformats.org/drawingml/2006/main">
                    <a:graphicData uri="http://schemas.openxmlformats.org/drawingml/2006/picture">
                      <pic:pic xmlns:pic="http://schemas.openxmlformats.org/drawingml/2006/picture">
                        <pic:nvPicPr>
                          <pic:cNvPr id="11" name="Picture_85"/>
                          <pic:cNvPicPr/>
                        </pic:nvPicPr>
                        <pic:blipFill>
                          <a:blip r:embed="rId69"/>
                          <a:stretch>
                            <a:fillRect/>
                          </a:stretch>
                        </pic:blipFill>
                        <pic:spPr>
                          <a:xfrm>
                            <a:off x="0" y="0"/>
                            <a:ext cx="497840"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80C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400*900*810+120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6C1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—台面板厚1.2mm，后挡板、前围板厚1.0mm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EAB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51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B4A8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B1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F15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定制料台水池</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FA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240030</wp:posOffset>
                  </wp:positionH>
                  <wp:positionV relativeFrom="paragraph">
                    <wp:posOffset>560705</wp:posOffset>
                  </wp:positionV>
                  <wp:extent cx="471805" cy="554355"/>
                  <wp:effectExtent l="0" t="0" r="635" b="9525"/>
                  <wp:wrapNone/>
                  <wp:docPr id="24" name="Picture_86"/>
                  <wp:cNvGraphicFramePr/>
                  <a:graphic xmlns:a="http://schemas.openxmlformats.org/drawingml/2006/main">
                    <a:graphicData uri="http://schemas.openxmlformats.org/drawingml/2006/picture">
                      <pic:pic xmlns:pic="http://schemas.openxmlformats.org/drawingml/2006/picture">
                        <pic:nvPicPr>
                          <pic:cNvPr id="24" name="Picture_86"/>
                          <pic:cNvPicPr/>
                        </pic:nvPicPr>
                        <pic:blipFill>
                          <a:blip r:embed="rId70"/>
                          <a:stretch>
                            <a:fillRect/>
                          </a:stretch>
                        </pic:blipFill>
                        <pic:spPr>
                          <a:xfrm>
                            <a:off x="0" y="0"/>
                            <a:ext cx="471805" cy="55435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046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400*900*810+120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6A1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—后挡板、前围板厚1.0mm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—星盆冲压一体成型规格：400*400*280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F8E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BE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A26C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C44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AG17a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C5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5BE4286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29" name="图片_121_SpCnt_6"/>
                  <wp:cNvGraphicFramePr/>
                  <a:graphic xmlns:a="http://schemas.openxmlformats.org/drawingml/2006/main">
                    <a:graphicData uri="http://schemas.openxmlformats.org/drawingml/2006/picture">
                      <pic:pic xmlns:pic="http://schemas.openxmlformats.org/drawingml/2006/picture">
                        <pic:nvPicPr>
                          <pic:cNvPr id="29" name="图片_121_SpCnt_6"/>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CE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441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62C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F40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17DD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0A0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785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机械款柜式电饼铛</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A7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222885</wp:posOffset>
                  </wp:positionH>
                  <wp:positionV relativeFrom="paragraph">
                    <wp:posOffset>123190</wp:posOffset>
                  </wp:positionV>
                  <wp:extent cx="514985" cy="547370"/>
                  <wp:effectExtent l="0" t="0" r="3175" b="1270"/>
                  <wp:wrapNone/>
                  <wp:docPr id="16" name="Picture_87"/>
                  <wp:cNvGraphicFramePr/>
                  <a:graphic xmlns:a="http://schemas.openxmlformats.org/drawingml/2006/main">
                    <a:graphicData uri="http://schemas.openxmlformats.org/drawingml/2006/picture">
                      <pic:pic xmlns:pic="http://schemas.openxmlformats.org/drawingml/2006/picture">
                        <pic:nvPicPr>
                          <pic:cNvPr id="16" name="Picture_87"/>
                          <pic:cNvPicPr/>
                        </pic:nvPicPr>
                        <pic:blipFill>
                          <a:blip r:embed="rId71"/>
                          <a:stretch>
                            <a:fillRect/>
                          </a:stretch>
                        </pic:blipFill>
                        <pic:spPr>
                          <a:xfrm>
                            <a:off x="0" y="0"/>
                            <a:ext cx="51498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5C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700*850*970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F4AB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用料：全部采用优质不锈钢板，上盖及把手可采用304不锈钢材质，锅体采用特殊处理不粘锅，涂层永不掉，采用智能温控，精准温控，额定电压380v，额定功率≥50Hz，温度范围0℃-250℃，输入功率≥5kw，锅沿高度3cm，配有超温保护，温度误差小。</w:t>
            </w:r>
          </w:p>
          <w:p w14:paraId="1B596F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证书主要有：电热食品加工设备全国工业产品生产许可证，产品安全认证证书，食品接触产品安全认证证书。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1F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B9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E563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59E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AG19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FC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电热蒸撑炉</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7C7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189230</wp:posOffset>
                  </wp:positionH>
                  <wp:positionV relativeFrom="paragraph">
                    <wp:posOffset>578485</wp:posOffset>
                  </wp:positionV>
                  <wp:extent cx="497205" cy="554990"/>
                  <wp:effectExtent l="0" t="0" r="5715" b="8890"/>
                  <wp:wrapNone/>
                  <wp:docPr id="18" name="Picture_88"/>
                  <wp:cNvGraphicFramePr/>
                  <a:graphic xmlns:a="http://schemas.openxmlformats.org/drawingml/2006/main">
                    <a:graphicData uri="http://schemas.openxmlformats.org/drawingml/2006/picture">
                      <pic:pic xmlns:pic="http://schemas.openxmlformats.org/drawingml/2006/picture">
                        <pic:nvPicPr>
                          <pic:cNvPr id="18" name="Picture_88"/>
                          <pic:cNvPicPr/>
                        </pic:nvPicPr>
                        <pic:blipFill>
                          <a:blip r:embed="rId72"/>
                          <a:stretch>
                            <a:fillRect/>
                          </a:stretch>
                        </pic:blipFill>
                        <pic:spPr>
                          <a:xfrm>
                            <a:off x="0" y="0"/>
                            <a:ext cx="497205" cy="55499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9B6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800*900*810+120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E9F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电磁加热额定功率：18kW电压/线制：380V/三相四线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2、采用蒸发面积和水位线黄金比例设计的水箱结构，在实现水位精准控制的同时，蒸汽产生时间更快，蒸汽量足。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3、电磁加热款水箱清洁无死角、更卫生。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4、水箱：敞开式可清洁水箱设计，装拆清洗方便，更卫生、蒸品口感佳。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5、排水：手动机械式排水开关，更加方便、可靠。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6、结构：一体成型台面，框架结构设计。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7、三防：立体三防结构设计，防水、防油烟、防虫。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8、内置缺水保护系统，水位电极精准控制，避免水箱缺水导致设备故障。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9、内置干烧保护系统，保障产品安全工作，产品使用寿命更长。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★10、为保证设备长期良好散热，依据GB4208-2017外壳防护等级（IP），核心部件散热风机通过外壳防护等级IP68检测。</w:t>
            </w:r>
          </w:p>
          <w:p w14:paraId="57B8D08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（提供经CMA或CNAS认证的检测机构出具的检测报告和全国认证认可信息公共服务平台官网查询截图佐证加盖制造投标人公章）                                                                                        </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C0E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CC8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351B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6F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4F4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单头无尾小炒灶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5F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197485</wp:posOffset>
                  </wp:positionH>
                  <wp:positionV relativeFrom="paragraph">
                    <wp:posOffset>481965</wp:posOffset>
                  </wp:positionV>
                  <wp:extent cx="497205" cy="535940"/>
                  <wp:effectExtent l="0" t="0" r="5715" b="12700"/>
                  <wp:wrapNone/>
                  <wp:docPr id="15" name="Picture_89"/>
                  <wp:cNvGraphicFramePr/>
                  <a:graphic xmlns:a="http://schemas.openxmlformats.org/drawingml/2006/main">
                    <a:graphicData uri="http://schemas.openxmlformats.org/drawingml/2006/picture">
                      <pic:pic xmlns:pic="http://schemas.openxmlformats.org/drawingml/2006/picture">
                        <pic:nvPicPr>
                          <pic:cNvPr id="15" name="Picture_89"/>
                          <pic:cNvPicPr/>
                        </pic:nvPicPr>
                        <pic:blipFill>
                          <a:blip r:embed="rId73"/>
                          <a:stretch>
                            <a:fillRect/>
                          </a:stretch>
                        </pic:blipFill>
                        <pic:spPr>
                          <a:xfrm>
                            <a:off x="0" y="0"/>
                            <a:ext cx="497205" cy="53594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9D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800*900*810+120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1283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电磁加热额定功率：≥15kW；电压/线制：380V/三相四线；</w:t>
            </w:r>
          </w:p>
          <w:p w14:paraId="085313E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1、明火仿真技术根据锅具材质、移动速度、温度、位置进行实时追踪加热，实现抛锅爆炒不断火，达到最佳火力。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2、409不锈钢材质炒锅，导热性能好、耐磨损、不易变形鼓包。采用耐撞击高密度弧形微晶面板，坚固耐用。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3、优质耐高温线盘组件，磁场分布均匀，发热低、损耗小、不偏火、不烧线盘。加热面积大、加热均匀，显著提升出菜品质。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4、合金材质限位火力调节把手，搭配硅胶防滑垫，档位清晰控感好，适应厨师使用习惯，可直接用膝盖控制。5、多档火力调节，大功率加热火力强劲满足大份量爆炒，小功率火力稳定满足焖煮的烹饪需求。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6、炉面板全SUS304不锈钢实厚不小于1.3mm，不锈钢框架式结构机身，耐腐蚀，经久耐用。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7、水龙头：配备SUS304不锈钢摇摆水龙头，可以180度旋转，安全防漏。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8、显示屏：LED彩色数码显示屏，能实时显示功率和当前火力档位，火力调控更直观。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9、立体三防结构设计，防水、防油烟、防虫，清洁时可直接冲洗，台面无死角，不会藏污纳垢。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10、全封闭多级防护机芯设计，电子器件与风道完全隔离，避免油烟、水汽侵蚀电路。机芯稳定性高，适用各种厨房环境，确保设备安全可靠。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所投商用电磁煮面炉的电路板依据GB/T4207-2022《固体绝缘材料耐电痕化指数和相比电痕化指数的测定方法》标准，检测耐电痕化指数项目符合依据的要求。（提供经CMA或CNAS认证的检测机构出具的检测报告和全国认证认可信息公共服务平台官网查询截图佐证加盖制造投标人公章）</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76A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0C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9CA9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E7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0A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双向工作台柜（移门）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53D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124460</wp:posOffset>
                  </wp:positionV>
                  <wp:extent cx="608965" cy="550545"/>
                  <wp:effectExtent l="0" t="0" r="635" b="13335"/>
                  <wp:wrapNone/>
                  <wp:docPr id="21" name="Picture_90"/>
                  <wp:cNvGraphicFramePr/>
                  <a:graphic xmlns:a="http://schemas.openxmlformats.org/drawingml/2006/main">
                    <a:graphicData uri="http://schemas.openxmlformats.org/drawingml/2006/picture">
                      <pic:pic xmlns:pic="http://schemas.openxmlformats.org/drawingml/2006/picture">
                        <pic:nvPicPr>
                          <pic:cNvPr id="21" name="Picture_90"/>
                          <pic:cNvPicPr/>
                        </pic:nvPicPr>
                        <pic:blipFill>
                          <a:blip r:embed="rId74"/>
                          <a:stretch>
                            <a:fillRect/>
                          </a:stretch>
                        </pic:blipFill>
                        <pic:spPr>
                          <a:xfrm>
                            <a:off x="0" y="0"/>
                            <a:ext cx="608965"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20C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1800*800*800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365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0A5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28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B20E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97F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6AC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电力油炸机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117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146050</wp:posOffset>
                  </wp:positionH>
                  <wp:positionV relativeFrom="paragraph">
                    <wp:posOffset>770255</wp:posOffset>
                  </wp:positionV>
                  <wp:extent cx="659765" cy="549275"/>
                  <wp:effectExtent l="0" t="0" r="10795" b="14605"/>
                  <wp:wrapNone/>
                  <wp:docPr id="33" name="Picture_91"/>
                  <wp:cNvGraphicFramePr/>
                  <a:graphic xmlns:a="http://schemas.openxmlformats.org/drawingml/2006/main">
                    <a:graphicData uri="http://schemas.openxmlformats.org/drawingml/2006/picture">
                      <pic:pic xmlns:pic="http://schemas.openxmlformats.org/drawingml/2006/picture">
                        <pic:nvPicPr>
                          <pic:cNvPr id="33" name="Picture_91"/>
                          <pic:cNvPicPr/>
                        </pic:nvPicPr>
                        <pic:blipFill>
                          <a:blip r:embed="rId75"/>
                          <a:stretch>
                            <a:fillRect/>
                          </a:stretch>
                        </pic:blipFill>
                        <pic:spPr>
                          <a:xfrm>
                            <a:off x="0" y="0"/>
                            <a:ext cx="659765" cy="5492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21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850*610*1000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8279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容量：≥40 公升 功率：≥6KW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电压：380V 三相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油槽尺寸：680(L)×415(W)×180(H)mm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温度范围：30～300°C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标配：不锈钢底网，温度开关，防尘盖 泄油阀，滤油网，盛油桶。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超大功率，恆温操作，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配备加热管，温控系统，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．整体使用较厚不锈钢板制成，夹层使用保温棉隔热。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．配备底层不锈钢隔网。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．配备卸油阀和滤油网。</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A3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5F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D9A7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F94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B5A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沥油式油烟罩（拆装式）</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3B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168910</wp:posOffset>
                  </wp:positionV>
                  <wp:extent cx="755015" cy="474345"/>
                  <wp:effectExtent l="0" t="0" r="6985" b="13335"/>
                  <wp:wrapNone/>
                  <wp:docPr id="12" name="Picture_92"/>
                  <wp:cNvGraphicFramePr/>
                  <a:graphic xmlns:a="http://schemas.openxmlformats.org/drawingml/2006/main">
                    <a:graphicData uri="http://schemas.openxmlformats.org/drawingml/2006/picture">
                      <pic:pic xmlns:pic="http://schemas.openxmlformats.org/drawingml/2006/picture">
                        <pic:nvPicPr>
                          <pic:cNvPr id="12" name="Picture_92"/>
                          <pic:cNvPicPr/>
                        </pic:nvPicPr>
                        <pic:blipFill>
                          <a:blip r:embed="rId76"/>
                          <a:stretch>
                            <a:fillRect/>
                          </a:stretch>
                        </pic:blipFill>
                        <pic:spPr>
                          <a:xfrm>
                            <a:off x="0" y="0"/>
                            <a:ext cx="755015" cy="4743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034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1640*1300*500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40B2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—配防雾烟罩灯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—前板、左右端板厚1.2mm，顶板、后板厚1.0mm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—各加强档厚1.0~1.2mm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—沥油板厚0.8mm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—风机排烟风管另计,220V/0.5KW</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96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109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r>
      <w:tr w14:paraId="5F30C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61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E8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65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102870</wp:posOffset>
                  </wp:positionH>
                  <wp:positionV relativeFrom="paragraph">
                    <wp:posOffset>124460</wp:posOffset>
                  </wp:positionV>
                  <wp:extent cx="694690" cy="550545"/>
                  <wp:effectExtent l="0" t="0" r="6350" b="13335"/>
                  <wp:wrapNone/>
                  <wp:docPr id="34" name="Picture_94"/>
                  <wp:cNvGraphicFramePr/>
                  <a:graphic xmlns:a="http://schemas.openxmlformats.org/drawingml/2006/main">
                    <a:graphicData uri="http://schemas.openxmlformats.org/drawingml/2006/picture">
                      <pic:pic xmlns:pic="http://schemas.openxmlformats.org/drawingml/2006/picture">
                        <pic:nvPicPr>
                          <pic:cNvPr id="34" name="Picture_94"/>
                          <pic:cNvPicPr/>
                        </pic:nvPicPr>
                        <pic:blipFill>
                          <a:blip r:embed="rId56"/>
                          <a:stretch>
                            <a:fillRect/>
                          </a:stretch>
                        </pic:blipFill>
                        <pic:spPr>
                          <a:xfrm>
                            <a:off x="0" y="0"/>
                            <a:ext cx="694690"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428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B1A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—侧板、后背板0.8mm，门内复板0.8mm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—上掀式V型滑轨，弧型轴承，一种带轴承的翻门结构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69A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C26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4E02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98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15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三层六盘豪华型电烤炉</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5B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928370</wp:posOffset>
                  </wp:positionV>
                  <wp:extent cx="514985" cy="670560"/>
                  <wp:effectExtent l="0" t="0" r="3175" b="0"/>
                  <wp:wrapNone/>
                  <wp:docPr id="26" name="Picture_81"/>
                  <wp:cNvGraphicFramePr/>
                  <a:graphic xmlns:a="http://schemas.openxmlformats.org/drawingml/2006/main">
                    <a:graphicData uri="http://schemas.openxmlformats.org/drawingml/2006/picture">
                      <pic:pic xmlns:pic="http://schemas.openxmlformats.org/drawingml/2006/picture">
                        <pic:nvPicPr>
                          <pic:cNvPr id="26" name="Picture_81"/>
                          <pic:cNvPicPr/>
                        </pic:nvPicPr>
                        <pic:blipFill>
                          <a:blip r:embed="rId77"/>
                          <a:stretch>
                            <a:fillRect/>
                          </a:stretch>
                        </pic:blipFill>
                        <pic:spPr>
                          <a:xfrm>
                            <a:off x="0" y="0"/>
                            <a:ext cx="514985" cy="67056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70B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1325*1075*1845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8C258">
            <w:pPr>
              <w:keepNext w:val="0"/>
              <w:keepLines w:val="0"/>
              <w:widowControl/>
              <w:numPr>
                <w:ilvl w:val="0"/>
                <w:numId w:val="8"/>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外尺寸宽*深*高/1325*1075*1845mm，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2.电压380V；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3每层内堂尺寸705*860*220；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4.三层六盘，每层两盘；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5.标准盘尺寸400mm*600mm；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6.采用微电脑数字控制系统，温度精准+-1度，电子元件，控制精准耐用；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7.双层钢化玻璃隔热，节约能耗；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8.磨砂拉手，不传热，避免烫伤；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9.电脑控制器内部设有16组温度调节程序；</w:t>
            </w:r>
          </w:p>
          <w:p w14:paraId="5F589F80">
            <w:pPr>
              <w:keepNext w:val="0"/>
              <w:keepLines w:val="0"/>
              <w:widowControl/>
              <w:numPr>
                <w:ilvl w:val="-1"/>
                <w:numId w:val="0"/>
              </w:numPr>
              <w:suppressLineNumbers w:val="0"/>
              <w:jc w:val="left"/>
              <w:textAlignment w:val="center"/>
              <w:rPr>
                <w:rFonts w:hint="eastAsia"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10.烤炉设有排湿系统装置，可根据烘焙产品湿度大小随意调节.</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A2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88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F870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9DD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AG26a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817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镀铝不沾烤盘</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46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146050</wp:posOffset>
                  </wp:positionH>
                  <wp:positionV relativeFrom="paragraph">
                    <wp:posOffset>210820</wp:posOffset>
                  </wp:positionV>
                  <wp:extent cx="608965" cy="285750"/>
                  <wp:effectExtent l="0" t="0" r="635" b="3810"/>
                  <wp:wrapNone/>
                  <wp:docPr id="13" name="图片_218"/>
                  <wp:cNvGraphicFramePr/>
                  <a:graphic xmlns:a="http://schemas.openxmlformats.org/drawingml/2006/main">
                    <a:graphicData uri="http://schemas.openxmlformats.org/drawingml/2006/picture">
                      <pic:pic xmlns:pic="http://schemas.openxmlformats.org/drawingml/2006/picture">
                        <pic:nvPicPr>
                          <pic:cNvPr id="13" name="图片_218"/>
                          <pic:cNvPicPr/>
                        </pic:nvPicPr>
                        <pic:blipFill>
                          <a:blip r:embed="rId78"/>
                          <a:stretch>
                            <a:fillRect/>
                          </a:stretch>
                        </pic:blipFill>
                        <pic:spPr>
                          <a:xfrm>
                            <a:off x="0" y="0"/>
                            <a:ext cx="608965" cy="2857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65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600*400*50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5A35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—采用全铝合金板制造，板厚0.7mm。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03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C56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r>
      <w:tr w14:paraId="41D6D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AE0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20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插盘式醒发箱</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30B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317500</wp:posOffset>
                  </wp:positionH>
                  <wp:positionV relativeFrom="paragraph">
                    <wp:posOffset>935355</wp:posOffset>
                  </wp:positionV>
                  <wp:extent cx="325755" cy="553085"/>
                  <wp:effectExtent l="0" t="0" r="9525" b="10795"/>
                  <wp:wrapNone/>
                  <wp:docPr id="28" name="Picture_96"/>
                  <wp:cNvGraphicFramePr/>
                  <a:graphic xmlns:a="http://schemas.openxmlformats.org/drawingml/2006/main">
                    <a:graphicData uri="http://schemas.openxmlformats.org/drawingml/2006/picture">
                      <pic:pic xmlns:pic="http://schemas.openxmlformats.org/drawingml/2006/picture">
                        <pic:nvPicPr>
                          <pic:cNvPr id="28" name="Picture_96"/>
                          <pic:cNvPicPr/>
                        </pic:nvPicPr>
                        <pic:blipFill>
                          <a:blip r:embed="rId79"/>
                          <a:stretch>
                            <a:fillRect/>
                          </a:stretch>
                        </pic:blipFill>
                        <pic:spPr>
                          <a:xfrm>
                            <a:off x="0" y="0"/>
                            <a:ext cx="325755" cy="55308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06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625*915*2075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F64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1.外尺寸宽*深*高/625*915*2075mm，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2.电压220V，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3.重量≥170KG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4.层数18层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5.标准盘尺寸400mm*600mm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6.全部为双层不锈钢制作，PU保温层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7.全自动触摸式控制，数字显示使温度、湿度精准，有时间控制、报警模式，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8.热风循环结构，使醒发的面包均匀一致，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9.大玻璃门可试度清晰随时观察醒发情况</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F2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51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ABC4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B2A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AG28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8F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厨房灭火系统</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362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495300</wp:posOffset>
                  </wp:positionV>
                  <wp:extent cx="429260" cy="549275"/>
                  <wp:effectExtent l="0" t="0" r="12700" b="14605"/>
                  <wp:wrapNone/>
                  <wp:docPr id="30" name="Picture_97"/>
                  <wp:cNvGraphicFramePr/>
                  <a:graphic xmlns:a="http://schemas.openxmlformats.org/drawingml/2006/main">
                    <a:graphicData uri="http://schemas.openxmlformats.org/drawingml/2006/picture">
                      <pic:pic xmlns:pic="http://schemas.openxmlformats.org/drawingml/2006/picture">
                        <pic:nvPicPr>
                          <pic:cNvPr id="30" name="Picture_97"/>
                          <pic:cNvPicPr/>
                        </pic:nvPicPr>
                        <pic:blipFill>
                          <a:blip r:embed="rId80"/>
                          <a:stretch>
                            <a:fillRect/>
                          </a:stretch>
                        </pic:blipFill>
                        <pic:spPr>
                          <a:xfrm>
                            <a:off x="0" y="0"/>
                            <a:ext cx="429260" cy="5492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BB3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根据烟罩定制</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5B6A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主要性能参数: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1、CMJS型厨房灭火装置能全天候自动监控厨房灶台火情，发现火情可以自动或者手动启动设备扑灭火情，启动方式为机械式启动、电辅助报警，性能可靠；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2、工作电源:AC220V；备用电源:DC12V；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3、装置外形尺寸:单瓶组,主箱230*480*600mm；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4、灭火剂管道压力1.2MPa，贮气瓶12MPa，燃气关闭阀0.1MPa；单瓶组喷嘴数量≤10，双瓶组喷嘴数量≥11≤18,；感温器动作温度183°C±5°C；</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5、产品获得《国家固定灭火系统和耐火构件质量监督检验中心》出具的型式检验报告，获得《应急管理部消防产品合格评定中心》出具的消防产品认证证书，出具标注</w:t>
            </w:r>
            <w:r>
              <w:rPr>
                <w:rFonts w:hint="eastAsia" w:ascii="宋体" w:hAnsi="宋体" w:cs="宋体"/>
                <w:i w:val="0"/>
                <w:iCs w:val="0"/>
                <w:color w:val="auto"/>
                <w:kern w:val="0"/>
                <w:sz w:val="20"/>
                <w:szCs w:val="20"/>
                <w:highlight w:val="none"/>
                <w:u w:val="none"/>
                <w:lang w:val="en-US" w:eastAsia="zh-CN" w:bidi="ar"/>
              </w:rPr>
              <w:t>CMA或CNAS标志</w:t>
            </w:r>
            <w:r>
              <w:rPr>
                <w:rFonts w:hint="eastAsia" w:ascii="宋体" w:hAnsi="宋体" w:eastAsia="宋体" w:cs="宋体"/>
                <w:i w:val="0"/>
                <w:iCs w:val="0"/>
                <w:color w:val="auto"/>
                <w:kern w:val="0"/>
                <w:sz w:val="20"/>
                <w:szCs w:val="20"/>
                <w:highlight w:val="none"/>
                <w:u w:val="none"/>
                <w:lang w:val="en-US" w:eastAsia="zh-CN" w:bidi="ar"/>
              </w:rPr>
              <w:t>检测报告和全国认证认可信息公共服务平台查询截图(http://cx.cnca.cn），并加盖投标人公章的扫描件佐证；</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9BB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68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00EF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EEE41">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AH工具间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4CEC">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E43CE">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CDB7">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A461C">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B12F0">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E96AD">
            <w:pPr>
              <w:jc w:val="center"/>
              <w:rPr>
                <w:rFonts w:hint="eastAsia" w:ascii="宋体" w:hAnsi="宋体" w:eastAsia="宋体" w:cs="宋体"/>
                <w:i w:val="0"/>
                <w:iCs w:val="0"/>
                <w:color w:val="auto"/>
                <w:sz w:val="20"/>
                <w:szCs w:val="20"/>
                <w:highlight w:val="none"/>
                <w:u w:val="none"/>
              </w:rPr>
            </w:pPr>
          </w:p>
        </w:tc>
      </w:tr>
      <w:tr w14:paraId="56F5F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BF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AH01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C3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四层板货架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FAE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124460</wp:posOffset>
                  </wp:positionV>
                  <wp:extent cx="411480" cy="550545"/>
                  <wp:effectExtent l="0" t="0" r="0" b="13335"/>
                  <wp:wrapNone/>
                  <wp:docPr id="14" name="Picture_98"/>
                  <wp:cNvGraphicFramePr/>
                  <a:graphic xmlns:a="http://schemas.openxmlformats.org/drawingml/2006/main">
                    <a:graphicData uri="http://schemas.openxmlformats.org/drawingml/2006/picture">
                      <pic:pic xmlns:pic="http://schemas.openxmlformats.org/drawingml/2006/picture">
                        <pic:nvPicPr>
                          <pic:cNvPr id="14" name="Picture_98"/>
                          <pic:cNvPicPr/>
                        </pic:nvPicPr>
                        <pic:blipFill>
                          <a:blip r:embed="rId43"/>
                          <a:stretch>
                            <a:fillRect/>
                          </a:stretch>
                        </pic:blipFill>
                        <pic:spPr>
                          <a:xfrm>
                            <a:off x="0" y="0"/>
                            <a:ext cx="411480"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594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30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—采用全不锈钢制作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—层板厚1.0mm不锈钢板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—面板下采用折弯一体加强码，板厚0.8~1.2mm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71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E1A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445B8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72F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AH02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E88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拖把池连架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57F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368935</wp:posOffset>
                  </wp:positionH>
                  <wp:positionV relativeFrom="paragraph">
                    <wp:posOffset>123190</wp:posOffset>
                  </wp:positionV>
                  <wp:extent cx="274320" cy="557530"/>
                  <wp:effectExtent l="0" t="0" r="0" b="6350"/>
                  <wp:wrapNone/>
                  <wp:docPr id="25" name="Picture_99"/>
                  <wp:cNvGraphicFramePr/>
                  <a:graphic xmlns:a="http://schemas.openxmlformats.org/drawingml/2006/main">
                    <a:graphicData uri="http://schemas.openxmlformats.org/drawingml/2006/picture">
                      <pic:pic xmlns:pic="http://schemas.openxmlformats.org/drawingml/2006/picture">
                        <pic:nvPicPr>
                          <pic:cNvPr id="25" name="Picture_99"/>
                          <pic:cNvPicPr/>
                        </pic:nvPicPr>
                        <pic:blipFill>
                          <a:blip r:embed="rId81"/>
                          <a:stretch>
                            <a:fillRect/>
                          </a:stretch>
                        </pic:blipFill>
                        <pic:spPr>
                          <a:xfrm>
                            <a:off x="0" y="0"/>
                            <a:ext cx="274320"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AB8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1000*600*1800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DE6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—高背板设计防溅水设计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—水斗整体用料1.2mm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—30×30×1.0不锈钢方管架子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27D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84D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BE08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6F53E">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AJ烹饪间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91AEC">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0E027">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060B4">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978B4">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920BE">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6B7FD">
            <w:pPr>
              <w:jc w:val="center"/>
              <w:rPr>
                <w:rFonts w:hint="eastAsia" w:ascii="宋体" w:hAnsi="宋体" w:eastAsia="宋体" w:cs="宋体"/>
                <w:i w:val="0"/>
                <w:iCs w:val="0"/>
                <w:color w:val="auto"/>
                <w:sz w:val="20"/>
                <w:szCs w:val="20"/>
                <w:highlight w:val="none"/>
                <w:u w:val="none"/>
              </w:rPr>
            </w:pPr>
          </w:p>
        </w:tc>
      </w:tr>
      <w:tr w14:paraId="339B3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BF3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14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落地柜式洗手单星盆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C93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123825</wp:posOffset>
                  </wp:positionV>
                  <wp:extent cx="471805" cy="552450"/>
                  <wp:effectExtent l="0" t="0" r="635" b="11430"/>
                  <wp:wrapNone/>
                  <wp:docPr id="20" name="Picture_102"/>
                  <wp:cNvGraphicFramePr/>
                  <a:graphic xmlns:a="http://schemas.openxmlformats.org/drawingml/2006/main">
                    <a:graphicData uri="http://schemas.openxmlformats.org/drawingml/2006/picture">
                      <pic:pic xmlns:pic="http://schemas.openxmlformats.org/drawingml/2006/picture">
                        <pic:nvPicPr>
                          <pic:cNvPr id="20" name="Picture_102"/>
                          <pic:cNvPicPr/>
                        </pic:nvPicPr>
                        <pic:blipFill>
                          <a:blip r:embed="rId37"/>
                          <a:stretch>
                            <a:fillRect/>
                          </a:stretch>
                        </pic:blipFill>
                        <pic:spPr>
                          <a:xfrm>
                            <a:off x="0" y="0"/>
                            <a:ext cx="47180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9D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432*420*800/900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91CE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—台面背板厚1.2㎜,水斗板厚1.0mm，左右侧板0.8mm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—水斗一体冲压折弯成型，规格：350*248*145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—柜式结构无卫生死角，配快拆式维修门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—配￠45落水器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565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AC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AEE0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41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AJ01a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784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感应龙头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18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321310</wp:posOffset>
                  </wp:positionV>
                  <wp:extent cx="643890" cy="514350"/>
                  <wp:effectExtent l="0" t="0" r="11430" b="3810"/>
                  <wp:wrapNone/>
                  <wp:docPr id="31" name="图片_1_SpCnt_4"/>
                  <wp:cNvGraphicFramePr/>
                  <a:graphic xmlns:a="http://schemas.openxmlformats.org/drawingml/2006/main">
                    <a:graphicData uri="http://schemas.openxmlformats.org/drawingml/2006/picture">
                      <pic:pic xmlns:pic="http://schemas.openxmlformats.org/drawingml/2006/picture">
                        <pic:nvPicPr>
                          <pic:cNvPr id="31" name="图片_1_SpCnt_4"/>
                          <pic:cNvPicPr/>
                        </pic:nvPicPr>
                        <pic:blipFill>
                          <a:blip r:embed="rId31"/>
                          <a:stretch>
                            <a:fillRect/>
                          </a:stretch>
                        </pic:blipFill>
                        <pic:spPr>
                          <a:xfrm>
                            <a:off x="0" y="0"/>
                            <a:ext cx="643890" cy="5143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88504">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99E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单孔台出电子感应龙头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防破坏2.2GPM(8.3LPM)起泡器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防水控制盒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AC/DC交直流两用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手动混水阀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开孔：孔径32mm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06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24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2EB5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84E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28D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洗地龙头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F83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274955</wp:posOffset>
                  </wp:positionH>
                  <wp:positionV relativeFrom="paragraph">
                    <wp:posOffset>123190</wp:posOffset>
                  </wp:positionV>
                  <wp:extent cx="428625" cy="547370"/>
                  <wp:effectExtent l="0" t="0" r="13335" b="1270"/>
                  <wp:wrapNone/>
                  <wp:docPr id="22" name="Picture_103"/>
                  <wp:cNvGraphicFramePr/>
                  <a:graphic xmlns:a="http://schemas.openxmlformats.org/drawingml/2006/main">
                    <a:graphicData uri="http://schemas.openxmlformats.org/drawingml/2006/picture">
                      <pic:pic xmlns:pic="http://schemas.openxmlformats.org/drawingml/2006/picture">
                        <pic:nvPicPr>
                          <pic:cNvPr id="22" name="Picture_103"/>
                          <pic:cNvPicPr/>
                        </pic:nvPicPr>
                        <pic:blipFill>
                          <a:blip r:embed="rId82"/>
                          <a:stretch>
                            <a:fillRect/>
                          </a:stretch>
                        </pic:blipFill>
                        <pic:spPr>
                          <a:xfrm>
                            <a:off x="0" y="0"/>
                            <a:ext cx="42862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FA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117*375*360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E4E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开放式洗地龙头； 松开把手自动关闭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开放式涂层钢洗地龙头，抛光镀铬喷阀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喉管:自动回卷伸缩，环氧敞开式卷盘软管长10.7米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适用于墙壁、天花板或台面下安装</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24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AA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94B2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F57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AJ02a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18F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不锈钢洗地龙头摇摆支架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D7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300355</wp:posOffset>
                  </wp:positionH>
                  <wp:positionV relativeFrom="paragraph">
                    <wp:posOffset>123190</wp:posOffset>
                  </wp:positionV>
                  <wp:extent cx="394335" cy="547370"/>
                  <wp:effectExtent l="0" t="0" r="1905" b="1270"/>
                  <wp:wrapNone/>
                  <wp:docPr id="27" name="Picture_4_SpCnt_4"/>
                  <wp:cNvGraphicFramePr/>
                  <a:graphic xmlns:a="http://schemas.openxmlformats.org/drawingml/2006/main">
                    <a:graphicData uri="http://schemas.openxmlformats.org/drawingml/2006/picture">
                      <pic:pic xmlns:pic="http://schemas.openxmlformats.org/drawingml/2006/picture">
                        <pic:nvPicPr>
                          <pic:cNvPr id="27" name="Picture_4_SpCnt_4"/>
                          <pic:cNvPicPr/>
                        </pic:nvPicPr>
                        <pic:blipFill>
                          <a:blip r:embed="rId50"/>
                          <a:stretch>
                            <a:fillRect/>
                          </a:stretch>
                        </pic:blipFill>
                        <pic:spPr>
                          <a:xfrm>
                            <a:off x="0" y="0"/>
                            <a:ext cx="39433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FC2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7C47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快装一体式不锈钢洗地龙头支架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适用于所有T&amp;S管径为3/8”和1/2”的洗地龙头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单人安装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活动范围100°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4B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7C9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38AE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AF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E8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四层档货架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7E8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19735" cy="552450"/>
                  <wp:effectExtent l="0" t="0" r="6985" b="11430"/>
                  <wp:wrapNone/>
                  <wp:docPr id="32" name="Picture_104"/>
                  <wp:cNvGraphicFramePr/>
                  <a:graphic xmlns:a="http://schemas.openxmlformats.org/drawingml/2006/main">
                    <a:graphicData uri="http://schemas.openxmlformats.org/drawingml/2006/picture">
                      <pic:pic xmlns:pic="http://schemas.openxmlformats.org/drawingml/2006/picture">
                        <pic:nvPicPr>
                          <pic:cNvPr id="32" name="Picture_104"/>
                          <pic:cNvPicPr/>
                        </pic:nvPicPr>
                        <pic:blipFill>
                          <a:blip r:embed="rId42"/>
                          <a:stretch>
                            <a:fillRect/>
                          </a:stretch>
                        </pic:blipFill>
                        <pic:spPr>
                          <a:xfrm>
                            <a:off x="0" y="0"/>
                            <a:ext cx="4197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4D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1150*500*1800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44F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—采用全不锈钢制作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—层框38*25*1.0不锈钢管制作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—搁档30*15*0.8不锈钢方管或不锈钢板折弯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5B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D01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39314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2A5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67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立式四门冷藏柜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67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317500</wp:posOffset>
                  </wp:positionH>
                  <wp:positionV relativeFrom="paragraph">
                    <wp:posOffset>415290</wp:posOffset>
                  </wp:positionV>
                  <wp:extent cx="368935" cy="555625"/>
                  <wp:effectExtent l="0" t="0" r="12065" b="8255"/>
                  <wp:wrapNone/>
                  <wp:docPr id="43" name="Picture_105"/>
                  <wp:cNvGraphicFramePr/>
                  <a:graphic xmlns:a="http://schemas.openxmlformats.org/drawingml/2006/main">
                    <a:graphicData uri="http://schemas.openxmlformats.org/drawingml/2006/picture">
                      <pic:pic xmlns:pic="http://schemas.openxmlformats.org/drawingml/2006/picture">
                        <pic:nvPicPr>
                          <pic:cNvPr id="43" name="Picture_105"/>
                          <pic:cNvPicPr/>
                        </pic:nvPicPr>
                        <pic:blipFill>
                          <a:blip r:embed="rId83"/>
                          <a:stretch>
                            <a:fillRect/>
                          </a:stretch>
                        </pic:blipFill>
                        <pic:spPr>
                          <a:xfrm>
                            <a:off x="0" y="0"/>
                            <a:ext cx="368935" cy="55562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1C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1220*750*1960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B1B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温度范围:  -6～12℃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1、内外箱均为SUS304不锈钢板；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2、使用优质压缩机，全铜管冷凝器、蒸发器；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3、配备强制蒸发装置，自动蒸发化霜水；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4、一体式发泡工艺，整体平整、耐用；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5、产品能在43℃的环境温度下正常工作；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6、置于箱体内部的高效防露加热丝，能有效防止门框结露、滴水，保证客户的使用效果和环境卫生；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7、冰箱配备了门体自动关闭结构，方便客户操作。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容积：≥880L</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514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0C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AD60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4F6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B6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双向工作台柜（移门）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E1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124460</wp:posOffset>
                  </wp:positionV>
                  <wp:extent cx="608965" cy="550545"/>
                  <wp:effectExtent l="0" t="0" r="635" b="13335"/>
                  <wp:wrapNone/>
                  <wp:docPr id="45" name="Picture_107"/>
                  <wp:cNvGraphicFramePr/>
                  <a:graphic xmlns:a="http://schemas.openxmlformats.org/drawingml/2006/main">
                    <a:graphicData uri="http://schemas.openxmlformats.org/drawingml/2006/picture">
                      <pic:pic xmlns:pic="http://schemas.openxmlformats.org/drawingml/2006/picture">
                        <pic:nvPicPr>
                          <pic:cNvPr id="45" name="Picture_107"/>
                          <pic:cNvPicPr/>
                        </pic:nvPicPr>
                        <pic:blipFill>
                          <a:blip r:embed="rId74"/>
                          <a:stretch>
                            <a:fillRect/>
                          </a:stretch>
                        </pic:blipFill>
                        <pic:spPr>
                          <a:xfrm>
                            <a:off x="0" y="0"/>
                            <a:ext cx="608965"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EF4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1800*800*800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2411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13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7FB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2B3B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7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F68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BA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双向移门柜连水池</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D0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120650</wp:posOffset>
                  </wp:positionH>
                  <wp:positionV relativeFrom="paragraph">
                    <wp:posOffset>120650</wp:posOffset>
                  </wp:positionV>
                  <wp:extent cx="668655" cy="554355"/>
                  <wp:effectExtent l="0" t="0" r="1905" b="9525"/>
                  <wp:wrapNone/>
                  <wp:docPr id="36" name="Picture_108"/>
                  <wp:cNvGraphicFramePr/>
                  <a:graphic xmlns:a="http://schemas.openxmlformats.org/drawingml/2006/main">
                    <a:graphicData uri="http://schemas.openxmlformats.org/drawingml/2006/picture">
                      <pic:pic xmlns:pic="http://schemas.openxmlformats.org/drawingml/2006/picture">
                        <pic:nvPicPr>
                          <pic:cNvPr id="36" name="Picture_108"/>
                          <pic:cNvPicPr/>
                        </pic:nvPicPr>
                        <pic:blipFill>
                          <a:blip r:embed="rId84"/>
                          <a:stretch>
                            <a:fillRect/>
                          </a:stretch>
                        </pic:blipFill>
                        <pic:spPr>
                          <a:xfrm>
                            <a:off x="0" y="0"/>
                            <a:ext cx="668655" cy="55435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61C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1800*800*800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FE33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—规格尺寸：1800*800*800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—板材采用SUS304-2B不锈钢制造，台面板厚度1.2mm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—水斗规格：730*500*280，厚度1.2mm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—配2寸去水,一体冲压拦渣篮及隔水盖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—面板下衬δ15木工板减噪，木板下复铝板或铝膜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A28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F2B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2180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051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AJ07a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0A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7725732B">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37" name="图片_121_SpCnt_7"/>
                  <wp:cNvGraphicFramePr/>
                  <a:graphic xmlns:a="http://schemas.openxmlformats.org/drawingml/2006/main">
                    <a:graphicData uri="http://schemas.openxmlformats.org/drawingml/2006/picture">
                      <pic:pic xmlns:pic="http://schemas.openxmlformats.org/drawingml/2006/picture">
                        <pic:nvPicPr>
                          <pic:cNvPr id="37" name="图片_121_SpCnt_7"/>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52B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90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C0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870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934F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1DE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AJ09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348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环保型灭蝇器（粘捕）</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4F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375285"/>
                  <wp:effectExtent l="0" t="0" r="0" b="0"/>
                  <wp:wrapNone/>
                  <wp:docPr id="44" name="Picture_110"/>
                  <wp:cNvGraphicFramePr/>
                  <a:graphic xmlns:a="http://schemas.openxmlformats.org/drawingml/2006/main">
                    <a:graphicData uri="http://schemas.openxmlformats.org/drawingml/2006/picture">
                      <pic:pic xmlns:pic="http://schemas.openxmlformats.org/drawingml/2006/picture">
                        <pic:nvPicPr>
                          <pic:cNvPr id="44" name="Picture_110"/>
                          <pic:cNvPicPr/>
                        </pic:nvPicPr>
                        <pic:blipFill>
                          <a:blip r:embed="rId34"/>
                          <a:srcRect b="28190"/>
                          <a:stretch>
                            <a:fillRect/>
                          </a:stretch>
                        </pic:blipFill>
                        <pic:spPr>
                          <a:xfrm>
                            <a:off x="0" y="0"/>
                            <a:ext cx="755015" cy="37528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8C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360*210*170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05DD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配优质双灯管，紫外线灯管功率≥8W*2，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净重: 1kg(含)-1.5kg(不含)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灭蚊原理: 粘捕式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诱蚊方式: UVA紫光灯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适用面积：30~60㎡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87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8F5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2A487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D7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8F1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（中餐燃气炒菜灶）双炒单尾撑广式炉</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37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120650</wp:posOffset>
                  </wp:positionH>
                  <wp:positionV relativeFrom="paragraph">
                    <wp:posOffset>1285875</wp:posOffset>
                  </wp:positionV>
                  <wp:extent cx="711835" cy="602615"/>
                  <wp:effectExtent l="0" t="0" r="4445" b="6985"/>
                  <wp:wrapNone/>
                  <wp:docPr id="38" name="Picture_111"/>
                  <wp:cNvGraphicFramePr/>
                  <a:graphic xmlns:a="http://schemas.openxmlformats.org/drawingml/2006/main">
                    <a:graphicData uri="http://schemas.openxmlformats.org/drawingml/2006/picture">
                      <pic:pic xmlns:pic="http://schemas.openxmlformats.org/drawingml/2006/picture">
                        <pic:nvPicPr>
                          <pic:cNvPr id="38" name="Picture_111"/>
                          <pic:cNvPicPr/>
                        </pic:nvPicPr>
                        <pic:blipFill>
                          <a:blip r:embed="rId85"/>
                          <a:stretch>
                            <a:fillRect/>
                          </a:stretch>
                        </pic:blipFill>
                        <pic:spPr>
                          <a:xfrm>
                            <a:off x="0" y="0"/>
                            <a:ext cx="711835" cy="6026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42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1800*1200*800/1200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584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—炉面采用冲压面板，板厚1.2mm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—开关板、后档板厚1.0mm，水槽盖板厚0.8mm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—面板与框架之间采用隔热层，炉膛采用保温隔热措施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—主体骨架用高强度镀锌板折弯组装框架结构制作(无焊接）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—φ63mm不锈钢炉脚，内衬2"钢管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—汤罐φ250mm，配φ350mm的铸造灶圈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—冷水摇摆龙头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—电子点火，高效节能不锈钢炉头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—风机电压：220V/50HZ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—燃气熄火保护装置及燃气管路稳压装置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—★提供中餐燃气炒菜灶经过CMA或CNAS认证的检测机构出具的权威检测报告，符合GB 35848-2018 《商用燃气燃烧器具》检测标准，同时单眼燃气能效额定热负荷≤35kw，能源合理利用率要求≥55%,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★提供中餐燃气炒菜灶 经过CMA或CNAS认证的检测机构出具的权威检测报告，符合GB 35848-2018 《商用燃气燃烧器具》检测标准，同时燃烧工况运行噪声≤60dB(A)</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E5A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3B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10F4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19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CA6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四头煲仔炉</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10C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325755</wp:posOffset>
                  </wp:positionH>
                  <wp:positionV relativeFrom="paragraph">
                    <wp:posOffset>121920</wp:posOffset>
                  </wp:positionV>
                  <wp:extent cx="351790" cy="558165"/>
                  <wp:effectExtent l="0" t="0" r="13970" b="5715"/>
                  <wp:wrapNone/>
                  <wp:docPr id="42" name="Picture_112"/>
                  <wp:cNvGraphicFramePr/>
                  <a:graphic xmlns:a="http://schemas.openxmlformats.org/drawingml/2006/main">
                    <a:graphicData uri="http://schemas.openxmlformats.org/drawingml/2006/picture">
                      <pic:pic xmlns:pic="http://schemas.openxmlformats.org/drawingml/2006/picture">
                        <pic:nvPicPr>
                          <pic:cNvPr id="42" name="Picture_112"/>
                          <pic:cNvPicPr/>
                        </pic:nvPicPr>
                        <pic:blipFill>
                          <a:blip r:embed="rId86"/>
                          <a:stretch>
                            <a:fillRect/>
                          </a:stretch>
                        </pic:blipFill>
                        <pic:spPr>
                          <a:xfrm>
                            <a:off x="0" y="0"/>
                            <a:ext cx="351790" cy="55816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1B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800*960*800/1200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CC0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—炉面板厚1.2mm，开关板、后档板板厚1.0mm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—主体骨架用高强度镀锌板折弯框架结构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—φ51mm不锈钢炉腳，配调平脚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—配铸铁炉板，八角炉头，接油盘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—电子点火或压电点火，旋钮控制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—配燃气熄火保护装置</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9E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E42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D76E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F1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9E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智能整体烟罩</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8E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2366645</wp:posOffset>
                  </wp:positionV>
                  <wp:extent cx="669290" cy="547370"/>
                  <wp:effectExtent l="0" t="0" r="1270" b="1270"/>
                  <wp:wrapNone/>
                  <wp:docPr id="39" name="Picture_113_SpCnt_1"/>
                  <wp:cNvGraphicFramePr/>
                  <a:graphic xmlns:a="http://schemas.openxmlformats.org/drawingml/2006/main">
                    <a:graphicData uri="http://schemas.openxmlformats.org/drawingml/2006/picture">
                      <pic:pic xmlns:pic="http://schemas.openxmlformats.org/drawingml/2006/picture">
                        <pic:nvPicPr>
                          <pic:cNvPr id="39" name="Picture_113_SpCnt_1"/>
                          <pic:cNvPicPr/>
                        </pic:nvPicPr>
                        <pic:blipFill>
                          <a:blip r:embed="rId67"/>
                          <a:stretch>
                            <a:fillRect/>
                          </a:stretch>
                        </pic:blipFill>
                        <pic:spPr>
                          <a:xfrm>
                            <a:off x="0" y="0"/>
                            <a:ext cx="669290"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12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6350*1600*550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179F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主要技术参数：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烟罩主体采用SUS304，厚度不小于1.2mm，表面抗指纹处理，激光膜覆盖，防止表面括伤。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烟罩前端配备油脂过滤器，带电磁感应开关，过滤器可拆卸易清洗，防UV光泄露。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烟罩内置UV油烟净化模块，需采用UV灯管。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嵌入式LED照明。</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UV系统压差控制，拆下挡板UV系统自动停止工作。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烟罩配备岗位补鲜风和风幕式油烟捕捉系统，通过合理的厨房送鲜风和排风集成系统，加强排油烟效果，提升厨房空气质量和舒适度，增加节能功能。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烟罩排风口和送风口带风量调节阀，提升排风的稳定性。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烟罩控制箱为智能控制，触摸屏液晶显示，维修日志，报警保护，压力传感保护，药剂清洗剂，电磁阀。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投标产品需提供CEP环保证书（提供相关检测报告复印件加盖投标人公章）。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烟罩内置UV灯架防水防尘达到IP69级，并出具证书。（提供相关检测报告加盖投标人公章）。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w:t>
            </w:r>
            <w:r>
              <w:rPr>
                <w:rFonts w:hint="eastAsia" w:ascii="宋体" w:hAnsi="宋体" w:cs="宋体"/>
                <w:i w:val="0"/>
                <w:iCs w:val="0"/>
                <w:color w:val="auto"/>
                <w:kern w:val="0"/>
                <w:sz w:val="20"/>
                <w:szCs w:val="20"/>
                <w:highlight w:val="none"/>
                <w:u w:val="none"/>
                <w:lang w:val="en-US" w:eastAsia="zh-CN" w:bidi="ar"/>
              </w:rPr>
              <w:t>0</w:t>
            </w:r>
            <w:r>
              <w:rPr>
                <w:rFonts w:hint="eastAsia" w:ascii="宋体" w:hAnsi="宋体" w:eastAsia="宋体" w:cs="宋体"/>
                <w:i w:val="0"/>
                <w:iCs w:val="0"/>
                <w:color w:val="auto"/>
                <w:kern w:val="0"/>
                <w:sz w:val="20"/>
                <w:szCs w:val="20"/>
                <w:highlight w:val="none"/>
                <w:u w:val="none"/>
                <w:lang w:val="en-US" w:eastAsia="zh-CN" w:bidi="ar"/>
              </w:rPr>
              <w:t>. 烟罩投标人需提供由省级或省级以上环保产品检测中心厨具的净化效率不低于98%的设备检测报告。（提供相关检测报告复印件加盖投标人公章）。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137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5F1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10.2</w:t>
            </w:r>
          </w:p>
        </w:tc>
      </w:tr>
      <w:tr w14:paraId="26BDE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550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6D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广式料台平板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A6C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124460</wp:posOffset>
                  </wp:positionV>
                  <wp:extent cx="471805" cy="550545"/>
                  <wp:effectExtent l="0" t="0" r="635" b="13335"/>
                  <wp:wrapNone/>
                  <wp:docPr id="40" name="Picture_114"/>
                  <wp:cNvGraphicFramePr/>
                  <a:graphic xmlns:a="http://schemas.openxmlformats.org/drawingml/2006/main">
                    <a:graphicData uri="http://schemas.openxmlformats.org/drawingml/2006/picture">
                      <pic:pic xmlns:pic="http://schemas.openxmlformats.org/drawingml/2006/picture">
                        <pic:nvPicPr>
                          <pic:cNvPr id="40" name="Picture_114"/>
                          <pic:cNvPicPr/>
                        </pic:nvPicPr>
                        <pic:blipFill>
                          <a:blip r:embed="rId87"/>
                          <a:stretch>
                            <a:fillRect/>
                          </a:stretch>
                        </pic:blipFill>
                        <pic:spPr>
                          <a:xfrm>
                            <a:off x="0" y="0"/>
                            <a:ext cx="471805"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EFF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500*960*800/1200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303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—台面板厚1.2mm，后挡板、前围板厚1.0mm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EE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94A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D817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21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E05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广式料台平板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902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124460</wp:posOffset>
                  </wp:positionV>
                  <wp:extent cx="471805" cy="550545"/>
                  <wp:effectExtent l="0" t="0" r="635" b="13335"/>
                  <wp:wrapNone/>
                  <wp:docPr id="41" name="Picture_115"/>
                  <wp:cNvGraphicFramePr/>
                  <a:graphic xmlns:a="http://schemas.openxmlformats.org/drawingml/2006/main">
                    <a:graphicData uri="http://schemas.openxmlformats.org/drawingml/2006/picture">
                      <pic:pic xmlns:pic="http://schemas.openxmlformats.org/drawingml/2006/picture">
                        <pic:nvPicPr>
                          <pic:cNvPr id="41" name="Picture_115"/>
                          <pic:cNvPicPr/>
                        </pic:nvPicPr>
                        <pic:blipFill>
                          <a:blip r:embed="rId87"/>
                          <a:stretch>
                            <a:fillRect/>
                          </a:stretch>
                        </pic:blipFill>
                        <pic:spPr>
                          <a:xfrm>
                            <a:off x="0" y="0"/>
                            <a:ext cx="471805"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F7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500*1200*800/1200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C1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—台面板厚1.2mm，后挡板、前围板厚1.0mm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EF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D4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0ED3E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575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57B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（中餐燃气炒菜灶）双炒双尾撑广式炉</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8B4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77470</wp:posOffset>
                  </wp:positionH>
                  <wp:positionV relativeFrom="paragraph">
                    <wp:posOffset>987425</wp:posOffset>
                  </wp:positionV>
                  <wp:extent cx="755015" cy="581660"/>
                  <wp:effectExtent l="0" t="0" r="6985" b="12700"/>
                  <wp:wrapNone/>
                  <wp:docPr id="49" name="Picture_116"/>
                  <wp:cNvGraphicFramePr/>
                  <a:graphic xmlns:a="http://schemas.openxmlformats.org/drawingml/2006/main">
                    <a:graphicData uri="http://schemas.openxmlformats.org/drawingml/2006/picture">
                      <pic:pic xmlns:pic="http://schemas.openxmlformats.org/drawingml/2006/picture">
                        <pic:nvPicPr>
                          <pic:cNvPr id="49" name="Picture_116"/>
                          <pic:cNvPicPr/>
                        </pic:nvPicPr>
                        <pic:blipFill>
                          <a:blip r:embed="rId88"/>
                          <a:stretch>
                            <a:fillRect/>
                          </a:stretch>
                        </pic:blipFill>
                        <pic:spPr>
                          <a:xfrm>
                            <a:off x="0" y="0"/>
                            <a:ext cx="755015" cy="58166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FF7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2000*1200*800/1200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FAE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—炉面采用冲压面板，板厚1.2mm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—开关板、后档板厚1.0mm，水槽盖板厚0.8mm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—面板与框架之间采用隔热层，炉膛采用保温隔热措施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—主体骨架用高强度镀锌板折弯组装框架结构制作(无焊接）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—φ63mm不锈钢炉脚，内衬2"钢管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—汤罐φ250mm，配φ350mm的铸造灶圈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—冷水摇摆龙头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—电子点火，高效节能不锈钢炉头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—风机电压：220V/50HZ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—燃气熄火保护装置及燃气管路稳压装置</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DA9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239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586E1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D1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5B5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广式料台水池</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37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265430</wp:posOffset>
                  </wp:positionH>
                  <wp:positionV relativeFrom="paragraph">
                    <wp:posOffset>578485</wp:posOffset>
                  </wp:positionV>
                  <wp:extent cx="472440" cy="554990"/>
                  <wp:effectExtent l="0" t="0" r="0" b="8890"/>
                  <wp:wrapNone/>
                  <wp:docPr id="46" name="Picture_117"/>
                  <wp:cNvGraphicFramePr/>
                  <a:graphic xmlns:a="http://schemas.openxmlformats.org/drawingml/2006/main">
                    <a:graphicData uri="http://schemas.openxmlformats.org/drawingml/2006/picture">
                      <pic:pic xmlns:pic="http://schemas.openxmlformats.org/drawingml/2006/picture">
                        <pic:nvPicPr>
                          <pic:cNvPr id="46" name="Picture_117"/>
                          <pic:cNvPicPr/>
                        </pic:nvPicPr>
                        <pic:blipFill>
                          <a:blip r:embed="rId70"/>
                          <a:stretch>
                            <a:fillRect/>
                          </a:stretch>
                        </pic:blipFill>
                        <pic:spPr>
                          <a:xfrm>
                            <a:off x="0" y="0"/>
                            <a:ext cx="472440" cy="55499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467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500*1200*800/1200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94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—后挡板、前围板厚1.0mm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—星盆冲压一体成型规格：400*400*280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EF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1D2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8759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343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AJ16a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55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1C5634AB">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47" name="图片_121_SpCnt_8"/>
                  <wp:cNvGraphicFramePr/>
                  <a:graphic xmlns:a="http://schemas.openxmlformats.org/drawingml/2006/main">
                    <a:graphicData uri="http://schemas.openxmlformats.org/drawingml/2006/picture">
                      <pic:pic xmlns:pic="http://schemas.openxmlformats.org/drawingml/2006/picture">
                        <pic:nvPicPr>
                          <pic:cNvPr id="47" name="图片_121_SpCnt_8"/>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D56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9EB1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8D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DB8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EE4A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B1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26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智能整体烟罩</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F12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128905</wp:posOffset>
                  </wp:positionH>
                  <wp:positionV relativeFrom="paragraph">
                    <wp:posOffset>1514475</wp:posOffset>
                  </wp:positionV>
                  <wp:extent cx="668655" cy="546735"/>
                  <wp:effectExtent l="0" t="0" r="1905" b="1905"/>
                  <wp:wrapNone/>
                  <wp:docPr id="50" name="Picture_118"/>
                  <wp:cNvGraphicFramePr/>
                  <a:graphic xmlns:a="http://schemas.openxmlformats.org/drawingml/2006/main">
                    <a:graphicData uri="http://schemas.openxmlformats.org/drawingml/2006/picture">
                      <pic:pic xmlns:pic="http://schemas.openxmlformats.org/drawingml/2006/picture">
                        <pic:nvPicPr>
                          <pic:cNvPr id="50" name="Picture_118"/>
                          <pic:cNvPicPr/>
                        </pic:nvPicPr>
                        <pic:blipFill>
                          <a:blip r:embed="rId67"/>
                          <a:stretch>
                            <a:fillRect/>
                          </a:stretch>
                        </pic:blipFill>
                        <pic:spPr>
                          <a:xfrm>
                            <a:off x="0" y="0"/>
                            <a:ext cx="668655" cy="54673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DCB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7300*1600*550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645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主要技术参数：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烟罩主体采用SUS304，厚度不小于1.2mm，表面抗指纹处理，激光膜覆盖，防止表面括伤。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烟罩前端配备油脂过滤器，带电磁感应开关，过滤器可拆卸易清洗，防UV光泄露。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烟罩内置UV油烟净化模块，需采用UV灯管。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嵌入式LED照明。</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UV系统压差控制，拆下挡板UV系统自动停止工作。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烟罩配备岗位补鲜风和风幕式油烟捕捉系统，通过合理的厨房送鲜风和排风集成系统，加强排油烟效果，提升厨房空气质量和舒适度，增加节能功能。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烟罩排风口和送风口带风量调节阀，提升排风的稳定性。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烟罩控制箱为智能控制，触摸屏液晶显示，维修日志，报警保护，压力传感保护，药剂清洗剂，电磁阀。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投标产品需提供CEP环保证书（提供相关检测报告复印件加盖投标人公章）。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烟罩内置UV灯架防水防尘达到IP69级，并出具证书。（提供相关检测报告加盖投标人公章）。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w:t>
            </w:r>
            <w:r>
              <w:rPr>
                <w:rFonts w:hint="eastAsia" w:ascii="宋体" w:hAnsi="宋体" w:cs="宋体"/>
                <w:i w:val="0"/>
                <w:iCs w:val="0"/>
                <w:color w:val="auto"/>
                <w:kern w:val="0"/>
                <w:sz w:val="20"/>
                <w:szCs w:val="20"/>
                <w:highlight w:val="none"/>
                <w:u w:val="none"/>
                <w:lang w:val="en-US" w:eastAsia="zh-CN" w:bidi="ar"/>
              </w:rPr>
              <w:t>0</w:t>
            </w:r>
            <w:r>
              <w:rPr>
                <w:rFonts w:hint="eastAsia" w:ascii="宋体" w:hAnsi="宋体" w:eastAsia="宋体" w:cs="宋体"/>
                <w:i w:val="0"/>
                <w:iCs w:val="0"/>
                <w:color w:val="auto"/>
                <w:kern w:val="0"/>
                <w:sz w:val="20"/>
                <w:szCs w:val="20"/>
                <w:highlight w:val="none"/>
                <w:u w:val="none"/>
                <w:lang w:val="en-US" w:eastAsia="zh-CN" w:bidi="ar"/>
              </w:rPr>
              <w:t>. 烟罩投标人需提供由省级或省级以上环保产品检测中心厨具的净化效率不低于98%的设备检测报告。（提供相关检测报告复印件加盖投标人公章）。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BEF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CB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11.7</w:t>
            </w:r>
          </w:p>
        </w:tc>
      </w:tr>
      <w:tr w14:paraId="6A789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74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AJ19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EF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打荷台（翻门）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8D5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180975</wp:posOffset>
                  </wp:positionV>
                  <wp:extent cx="755015" cy="457835"/>
                  <wp:effectExtent l="0" t="0" r="6985" b="14605"/>
                  <wp:wrapNone/>
                  <wp:docPr id="48" name="Picture_120"/>
                  <wp:cNvGraphicFramePr/>
                  <a:graphic xmlns:a="http://schemas.openxmlformats.org/drawingml/2006/main">
                    <a:graphicData uri="http://schemas.openxmlformats.org/drawingml/2006/picture">
                      <pic:pic xmlns:pic="http://schemas.openxmlformats.org/drawingml/2006/picture">
                        <pic:nvPicPr>
                          <pic:cNvPr id="48" name="Picture_120"/>
                          <pic:cNvPicPr/>
                        </pic:nvPicPr>
                        <pic:blipFill>
                          <a:blip r:embed="rId89"/>
                          <a:stretch>
                            <a:fillRect/>
                          </a:stretch>
                        </pic:blipFill>
                        <pic:spPr>
                          <a:xfrm>
                            <a:off x="0" y="0"/>
                            <a:ext cx="755015" cy="45783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E24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1800*900*800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1B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—侧板、后背板0.8mm，门内复板0.8mm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—上掀式V型滑轨，弧型轴承，一种带轴承的翻门结构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6B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68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40119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7"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7E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73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厨房灭火系统</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F6A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197485</wp:posOffset>
                  </wp:positionH>
                  <wp:positionV relativeFrom="paragraph">
                    <wp:posOffset>2124075</wp:posOffset>
                  </wp:positionV>
                  <wp:extent cx="428625" cy="522605"/>
                  <wp:effectExtent l="0" t="0" r="13335" b="10795"/>
                  <wp:wrapNone/>
                  <wp:docPr id="68" name="Picture_121"/>
                  <wp:cNvGraphicFramePr/>
                  <a:graphic xmlns:a="http://schemas.openxmlformats.org/drawingml/2006/main">
                    <a:graphicData uri="http://schemas.openxmlformats.org/drawingml/2006/picture">
                      <pic:pic xmlns:pic="http://schemas.openxmlformats.org/drawingml/2006/picture">
                        <pic:nvPicPr>
                          <pic:cNvPr id="68" name="Picture_121"/>
                          <pic:cNvPicPr/>
                        </pic:nvPicPr>
                        <pic:blipFill>
                          <a:blip r:embed="rId90"/>
                          <a:stretch>
                            <a:fillRect/>
                          </a:stretch>
                        </pic:blipFill>
                        <pic:spPr>
                          <a:xfrm>
                            <a:off x="0" y="0"/>
                            <a:ext cx="428625" cy="52260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557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根据烟罩定制</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48B5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主要性能参数: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1、CMJS型厨房灭火装置能全天候自动监控厨房灶台火情，发现火情可以自动或者手动启动设备扑灭火情，启动方式为机械式启动、电辅助报警，性能可靠；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2、工作电源:AC220V；备用电源:DC12V；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3、装置外形尺寸:双瓶组主箱600*480*230mm，辅箱230*240*600mm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4、灭火剂管道压力1.2MPa，贮气瓶12MPa，燃气关闭阀0.1MPa；单瓶组喷嘴数量≤10，双瓶组喷嘴数量≥11≤18,；感温器动作温度183°C±5°C；</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5、产品获得《国家固定灭火系统和耐火构件质量监督检验中心》出具的型式检验报告，获得《应急管理部消防产品合格评定中心》出具的消防产品认证证书，出具标注CMA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CNAS标志检测报告和全国认证认可信息公共服务平台查询截图(http://cx.cnca.cn），并加盖投标人公章的扫描件佐证；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★6、产品重要配件消防用易熔合金元件，依据XF863-2010强度试验，符合标准要求，需提供应急管理部消防研究所出具的强度检验报告，并出具的标注CMA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CNAS标志检测报告和全国认证认可信息公共服务平台查询截图(http://cx.cnca.cn），并加盖投标人公章的扫描件佐证；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★7、厨房灭火装置通过高温贮存试验(检验依据:GB/T2423.2-2008)和低温贮存试验(检验依据:GB/T2423.1-2008),具有一体式声光报警功能(自带启动时间记录功能)，提供省级以上检测机构出具的标注</w:t>
            </w:r>
            <w:r>
              <w:rPr>
                <w:rFonts w:hint="eastAsia" w:ascii="宋体" w:hAnsi="宋体" w:cs="宋体"/>
                <w:i w:val="0"/>
                <w:iCs w:val="0"/>
                <w:color w:val="auto"/>
                <w:kern w:val="0"/>
                <w:sz w:val="20"/>
                <w:szCs w:val="20"/>
                <w:highlight w:val="none"/>
                <w:u w:val="none"/>
                <w:lang w:val="en-US" w:eastAsia="zh-CN" w:bidi="ar"/>
              </w:rPr>
              <w:t>CMA或CNAS标志</w:t>
            </w:r>
            <w:r>
              <w:rPr>
                <w:rFonts w:hint="eastAsia" w:ascii="宋体" w:hAnsi="宋体" w:eastAsia="宋体" w:cs="宋体"/>
                <w:i w:val="0"/>
                <w:iCs w:val="0"/>
                <w:color w:val="auto"/>
                <w:kern w:val="0"/>
                <w:sz w:val="20"/>
                <w:szCs w:val="20"/>
                <w:highlight w:val="none"/>
                <w:u w:val="none"/>
                <w:lang w:val="en-US" w:eastAsia="zh-CN" w:bidi="ar"/>
              </w:rPr>
              <w:t>检测报告和全国认证认可信息公共服务平台查询截图(http://cx.cnca.cn），并加盖投标人公章的扫描件佐证。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★8、控制箱体依照测试标准：GB/T2423.22-2012《环境实验第2部分:试验方法试验N：温度变化》，对控制箱温湿度进行实验检测，并获得厨房灭火装置温湿度试验检测报告，并出具的标注</w:t>
            </w:r>
            <w:r>
              <w:rPr>
                <w:rFonts w:hint="eastAsia" w:ascii="宋体" w:hAnsi="宋体" w:cs="宋体"/>
                <w:i w:val="0"/>
                <w:iCs w:val="0"/>
                <w:color w:val="auto"/>
                <w:kern w:val="0"/>
                <w:sz w:val="20"/>
                <w:szCs w:val="20"/>
                <w:highlight w:val="none"/>
                <w:u w:val="none"/>
                <w:lang w:val="en-US" w:eastAsia="zh-CN" w:bidi="ar"/>
              </w:rPr>
              <w:t>CMA或CNAS标志</w:t>
            </w:r>
            <w:r>
              <w:rPr>
                <w:rFonts w:hint="eastAsia" w:ascii="宋体" w:hAnsi="宋体" w:eastAsia="宋体" w:cs="宋体"/>
                <w:i w:val="0"/>
                <w:iCs w:val="0"/>
                <w:color w:val="auto"/>
                <w:kern w:val="0"/>
                <w:sz w:val="20"/>
                <w:szCs w:val="20"/>
                <w:highlight w:val="none"/>
                <w:u w:val="none"/>
                <w:lang w:val="en-US" w:eastAsia="zh-CN" w:bidi="ar"/>
              </w:rPr>
              <w:t>检测报告和全国认证认可信息公共服务平台查询截图(http://cx.cnca.cn），并加盖投标人公章的扫描件佐证；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★9、产品使用的金属喷嘴帽依据GB-4806.9-2016标准检测所含重金属砷、镉、铅、铬、镍试验，检测合格并获得检测报告，且需出具的标注</w:t>
            </w:r>
            <w:r>
              <w:rPr>
                <w:rFonts w:hint="eastAsia" w:ascii="宋体" w:hAnsi="宋体" w:cs="宋体"/>
                <w:i w:val="0"/>
                <w:iCs w:val="0"/>
                <w:color w:val="auto"/>
                <w:kern w:val="0"/>
                <w:sz w:val="20"/>
                <w:szCs w:val="20"/>
                <w:highlight w:val="none"/>
                <w:u w:val="none"/>
                <w:lang w:val="en-US" w:eastAsia="zh-CN" w:bidi="ar"/>
              </w:rPr>
              <w:t>CMA或CNAS标志</w:t>
            </w:r>
            <w:r>
              <w:rPr>
                <w:rFonts w:hint="eastAsia" w:ascii="宋体" w:hAnsi="宋体" w:eastAsia="宋体" w:cs="宋体"/>
                <w:i w:val="0"/>
                <w:iCs w:val="0"/>
                <w:color w:val="auto"/>
                <w:kern w:val="0"/>
                <w:sz w:val="20"/>
                <w:szCs w:val="20"/>
                <w:highlight w:val="none"/>
                <w:u w:val="none"/>
                <w:lang w:val="en-US" w:eastAsia="zh-CN" w:bidi="ar"/>
              </w:rPr>
              <w:t>检测报告和全国认证认可信息公共服务平台查询截图(http://cx.cnca.cn），并加盖投标人公章的扫描件佐证；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★10、产品使用的重要配件灭火装置药剂瓶，依据GB/T 2423.1-2008标准对高低温湿度试验箱进行实验检测，并获得厨房灭火装置药剂瓶高低温试验检测报告，且出具的标注</w:t>
            </w:r>
            <w:r>
              <w:rPr>
                <w:rFonts w:hint="eastAsia" w:ascii="宋体" w:hAnsi="宋体" w:cs="宋体"/>
                <w:i w:val="0"/>
                <w:iCs w:val="0"/>
                <w:color w:val="auto"/>
                <w:kern w:val="0"/>
                <w:sz w:val="20"/>
                <w:szCs w:val="20"/>
                <w:highlight w:val="none"/>
                <w:u w:val="none"/>
                <w:lang w:val="en-US" w:eastAsia="zh-CN" w:bidi="ar"/>
              </w:rPr>
              <w:t>CMA或CNAS标志</w:t>
            </w:r>
            <w:r>
              <w:rPr>
                <w:rFonts w:hint="eastAsia" w:ascii="宋体" w:hAnsi="宋体" w:eastAsia="宋体" w:cs="宋体"/>
                <w:i w:val="0"/>
                <w:iCs w:val="0"/>
                <w:color w:val="auto"/>
                <w:kern w:val="0"/>
                <w:sz w:val="20"/>
                <w:szCs w:val="20"/>
                <w:highlight w:val="none"/>
                <w:u w:val="none"/>
                <w:lang w:val="en-US" w:eastAsia="zh-CN" w:bidi="ar"/>
              </w:rPr>
              <w:t>检测报告和全国认证认可信息公共服务平台查询截图(http://cx.cnca.cn），并加盖投标人公章的扫描件佐证。</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30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E1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F021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CB3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40F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可倾燃气汤锅 （200L）</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DC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154305</wp:posOffset>
                  </wp:positionH>
                  <wp:positionV relativeFrom="paragraph">
                    <wp:posOffset>123825</wp:posOffset>
                  </wp:positionV>
                  <wp:extent cx="626110" cy="552450"/>
                  <wp:effectExtent l="0" t="0" r="13970" b="11430"/>
                  <wp:wrapNone/>
                  <wp:docPr id="54" name="Picture_122"/>
                  <wp:cNvGraphicFramePr/>
                  <a:graphic xmlns:a="http://schemas.openxmlformats.org/drawingml/2006/main">
                    <a:graphicData uri="http://schemas.openxmlformats.org/drawingml/2006/picture">
                      <pic:pic xmlns:pic="http://schemas.openxmlformats.org/drawingml/2006/picture">
                        <pic:nvPicPr>
                          <pic:cNvPr id="54" name="Picture_122"/>
                          <pic:cNvPicPr/>
                        </pic:nvPicPr>
                        <pic:blipFill>
                          <a:blip r:embed="rId91"/>
                          <a:stretch>
                            <a:fillRect/>
                          </a:stretch>
                        </pic:blipFill>
                        <pic:spPr>
                          <a:xfrm>
                            <a:off x="0" y="0"/>
                            <a:ext cx="626110"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C4A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1434*1048*1035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FA94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^锅体可倾，方便出料，清洗方便；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锅口径：φ800mm，电功率：65w/220v符合GB35848-2018标准，热负荷：42kw，热效率：64％，燃气耗量：天然气4.2m3/h液化气3kg/h标配燃气管：DN25,L=400mm；标配进水管：DN20,L=400mm，^适用于煲汤，熬煮粥、煮水饺、面条及食物的氽水；^燃气和空气混合后通过鼓风机强力射出，噪音低，热效率高；^全不锈钢制造，外形美观，结构紧凑；</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EC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92C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A6F5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4A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AJ21a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2B1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双眼矮仔炉</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80C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84455</wp:posOffset>
                  </wp:positionV>
                  <wp:extent cx="737235" cy="688975"/>
                  <wp:effectExtent l="0" t="0" r="9525" b="12065"/>
                  <wp:wrapNone/>
                  <wp:docPr id="55" name="Picture_2"/>
                  <wp:cNvGraphicFramePr/>
                  <a:graphic xmlns:a="http://schemas.openxmlformats.org/drawingml/2006/main">
                    <a:graphicData uri="http://schemas.openxmlformats.org/drawingml/2006/picture">
                      <pic:pic xmlns:pic="http://schemas.openxmlformats.org/drawingml/2006/picture">
                        <pic:nvPicPr>
                          <pic:cNvPr id="55" name="Picture_2"/>
                          <pic:cNvPicPr/>
                        </pic:nvPicPr>
                        <pic:blipFill>
                          <a:blip r:embed="rId92"/>
                          <a:stretch>
                            <a:fillRect/>
                          </a:stretch>
                        </pic:blipFill>
                        <pic:spPr>
                          <a:xfrm>
                            <a:off x="0" y="0"/>
                            <a:ext cx="737235" cy="6889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0A7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1200*950*550/1200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B81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—炉面板厚1.2mm，开关板、后档板板厚1.0mm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—主体骨架高强度镀锌板折弯框架结构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—φ51mm不锈钢炉腳，配调平脚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—配铸铁炉板，11寸强力炉头、接油盘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—电子点火或压电点火，旋钮控制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—配燃气熄火保护装置</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17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B86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41C2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F5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AJ21b</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BB8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台出汤锅注水管</w:t>
            </w:r>
          </w:p>
        </w:tc>
        <w:tc>
          <w:tcPr>
            <w:tcW w:w="1360" w:type="dxa"/>
            <w:tcBorders>
              <w:top w:val="single" w:color="000000" w:sz="4" w:space="0"/>
              <w:left w:val="single" w:color="000000" w:sz="4" w:space="0"/>
              <w:bottom w:val="single" w:color="000000" w:sz="4" w:space="0"/>
              <w:right w:val="nil"/>
            </w:tcBorders>
            <w:shd w:val="clear" w:color="auto" w:fill="auto"/>
            <w:vAlign w:val="top"/>
          </w:tcPr>
          <w:p w14:paraId="0EB9CAD6">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96520</wp:posOffset>
                  </wp:positionV>
                  <wp:extent cx="548640" cy="428625"/>
                  <wp:effectExtent l="0" t="0" r="0" b="13335"/>
                  <wp:wrapNone/>
                  <wp:docPr id="56" name="Picture_47_SpCnt_1"/>
                  <wp:cNvGraphicFramePr/>
                  <a:graphic xmlns:a="http://schemas.openxmlformats.org/drawingml/2006/main">
                    <a:graphicData uri="http://schemas.openxmlformats.org/drawingml/2006/picture">
                      <pic:pic xmlns:pic="http://schemas.openxmlformats.org/drawingml/2006/picture">
                        <pic:nvPicPr>
                          <pic:cNvPr id="56" name="Picture_47_SpCnt_1"/>
                          <pic:cNvPicPr/>
                        </pic:nvPicPr>
                        <pic:blipFill>
                          <a:blip r:embed="rId93"/>
                          <a:stretch>
                            <a:fillRect/>
                          </a:stretch>
                        </pic:blipFill>
                        <pic:spPr>
                          <a:xfrm>
                            <a:off x="0" y="0"/>
                            <a:ext cx="548640" cy="42862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4169">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0928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材质: 全铜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龙头进水口为4分接口，直径20mm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龙头可旋转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轴滚式阀芯</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F6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7AD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A114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E7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A3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沥油式油烟罩（拆装式）</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8A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168910</wp:posOffset>
                  </wp:positionV>
                  <wp:extent cx="755015" cy="474345"/>
                  <wp:effectExtent l="0" t="0" r="6985" b="13335"/>
                  <wp:wrapNone/>
                  <wp:docPr id="52" name="Picture_92_SpCnt_1"/>
                  <wp:cNvGraphicFramePr/>
                  <a:graphic xmlns:a="http://schemas.openxmlformats.org/drawingml/2006/main">
                    <a:graphicData uri="http://schemas.openxmlformats.org/drawingml/2006/picture">
                      <pic:pic xmlns:pic="http://schemas.openxmlformats.org/drawingml/2006/picture">
                        <pic:nvPicPr>
                          <pic:cNvPr id="52" name="Picture_92_SpCnt_1"/>
                          <pic:cNvPicPr/>
                        </pic:nvPicPr>
                        <pic:blipFill>
                          <a:blip r:embed="rId76"/>
                          <a:stretch>
                            <a:fillRect/>
                          </a:stretch>
                        </pic:blipFill>
                        <pic:spPr>
                          <a:xfrm>
                            <a:off x="0" y="0"/>
                            <a:ext cx="755015" cy="474345"/>
                          </a:xfrm>
                          <a:prstGeom prst="rect">
                            <a:avLst/>
                          </a:prstGeom>
                          <a:noFill/>
                          <a:ln>
                            <a:noFill/>
                          </a:ln>
                        </pic:spPr>
                      </pic:pic>
                    </a:graphicData>
                  </a:graphic>
                </wp:anchor>
              </w:drawing>
            </w: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120650</wp:posOffset>
                  </wp:positionH>
                  <wp:positionV relativeFrom="paragraph">
                    <wp:posOffset>1330325</wp:posOffset>
                  </wp:positionV>
                  <wp:extent cx="668655" cy="0"/>
                  <wp:effectExtent l="0" t="0" r="0" b="0"/>
                  <wp:wrapNone/>
                  <wp:docPr id="57" name="Picture_123"/>
                  <wp:cNvGraphicFramePr/>
                  <a:graphic xmlns:a="http://schemas.openxmlformats.org/drawingml/2006/main">
                    <a:graphicData uri="http://schemas.openxmlformats.org/drawingml/2006/picture">
                      <pic:pic xmlns:pic="http://schemas.openxmlformats.org/drawingml/2006/picture">
                        <pic:nvPicPr>
                          <pic:cNvPr id="57" name="Picture_123"/>
                          <pic:cNvPicPr/>
                        </pic:nvPicPr>
                        <pic:blipFill>
                          <a:blip r:embed="rId68"/>
                          <a:stretch>
                            <a:fillRect/>
                          </a:stretch>
                        </pic:blipFill>
                        <pic:spPr>
                          <a:xfrm>
                            <a:off x="0" y="0"/>
                            <a:ext cx="668655" cy="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17C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3250*1300*500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1ED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—配防雾烟罩灯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—前板、左右端板厚1.2mm，顶板、后板厚1.0mm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—各加强档厚1.0~1.2mm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—沥油板厚0.8mm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—风机排烟风管另计,220V/0.5KW</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DD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6B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r>
      <w:tr w14:paraId="6947A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164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9BA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三门燃气蒸柜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7D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265430</wp:posOffset>
                  </wp:positionH>
                  <wp:positionV relativeFrom="paragraph">
                    <wp:posOffset>140335</wp:posOffset>
                  </wp:positionV>
                  <wp:extent cx="446405" cy="656590"/>
                  <wp:effectExtent l="0" t="0" r="10795" b="13970"/>
                  <wp:wrapNone/>
                  <wp:docPr id="59" name="Picture_125"/>
                  <wp:cNvGraphicFramePr/>
                  <a:graphic xmlns:a="http://schemas.openxmlformats.org/drawingml/2006/main">
                    <a:graphicData uri="http://schemas.openxmlformats.org/drawingml/2006/picture">
                      <pic:pic xmlns:pic="http://schemas.openxmlformats.org/drawingml/2006/picture">
                        <pic:nvPicPr>
                          <pic:cNvPr id="59" name="Picture_125"/>
                          <pic:cNvPicPr/>
                        </pic:nvPicPr>
                        <pic:blipFill>
                          <a:blip r:embed="rId94"/>
                          <a:stretch>
                            <a:fillRect/>
                          </a:stretch>
                        </pic:blipFill>
                        <pic:spPr>
                          <a:xfrm>
                            <a:off x="0" y="0"/>
                            <a:ext cx="446405" cy="65659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F3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1200*880*1850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758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—门面采用1.2mm304,围板及操作面板采用1.0mm304</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—水箱采用1.5mm304模具成型加工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—使用不锈钢火炬炉头，无风机，低噪音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—采用稳压双联电磁阀控制，自带熄火保护，设置常明火种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—设置防干烧保护装置，干烧会直接切断燃气阀门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—蒸发器烟道采用高温废气余热利用装置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—功率：220V/50HZ，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—配燃气管路稳压装置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—密封条采用食品级硅胶条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—门采用不锈钢双把手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—★提供经过CMA或CNAS认证的检测机构出具的权威检测报告，符合GB 35848-2018 《商用燃气燃烧器具》检测标准，燃气能效额定热负荷≤35kw，能源合理利用率要求≥99%（提供加盖投标人公章的复印件，原件备查）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—★提供燃气蒸箱 经过CMA或CNAS认证的检测机构出具的权威检测报告，符合GB 35848-2018《商用燃气燃烧器具》检测标准，同时运行噪声≤55dB（A)</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B43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4E4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8BDA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0F1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ED6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沥油式油烟罩（拆装式）</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873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168910</wp:posOffset>
                  </wp:positionV>
                  <wp:extent cx="755015" cy="474345"/>
                  <wp:effectExtent l="0" t="0" r="6985" b="13335"/>
                  <wp:wrapNone/>
                  <wp:docPr id="53" name="Picture_92_SpCnt_2"/>
                  <wp:cNvGraphicFramePr/>
                  <a:graphic xmlns:a="http://schemas.openxmlformats.org/drawingml/2006/main">
                    <a:graphicData uri="http://schemas.openxmlformats.org/drawingml/2006/picture">
                      <pic:pic xmlns:pic="http://schemas.openxmlformats.org/drawingml/2006/picture">
                        <pic:nvPicPr>
                          <pic:cNvPr id="53" name="Picture_92_SpCnt_2"/>
                          <pic:cNvPicPr/>
                        </pic:nvPicPr>
                        <pic:blipFill>
                          <a:blip r:embed="rId76"/>
                          <a:stretch>
                            <a:fillRect/>
                          </a:stretch>
                        </pic:blipFill>
                        <pic:spPr>
                          <a:xfrm>
                            <a:off x="0" y="0"/>
                            <a:ext cx="755015" cy="474345"/>
                          </a:xfrm>
                          <a:prstGeom prst="rect">
                            <a:avLst/>
                          </a:prstGeom>
                          <a:noFill/>
                          <a:ln>
                            <a:noFill/>
                          </a:ln>
                        </pic:spPr>
                      </pic:pic>
                    </a:graphicData>
                  </a:graphic>
                </wp:anchor>
              </w:drawing>
            </w: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2286635</wp:posOffset>
                  </wp:positionV>
                  <wp:extent cx="669290" cy="0"/>
                  <wp:effectExtent l="0" t="0" r="0" b="0"/>
                  <wp:wrapNone/>
                  <wp:docPr id="72" name="Picture_126"/>
                  <wp:cNvGraphicFramePr/>
                  <a:graphic xmlns:a="http://schemas.openxmlformats.org/drawingml/2006/main">
                    <a:graphicData uri="http://schemas.openxmlformats.org/drawingml/2006/picture">
                      <pic:pic xmlns:pic="http://schemas.openxmlformats.org/drawingml/2006/picture">
                        <pic:nvPicPr>
                          <pic:cNvPr id="72" name="Picture_126"/>
                          <pic:cNvPicPr/>
                        </pic:nvPicPr>
                        <pic:blipFill>
                          <a:blip r:embed="rId68"/>
                          <a:stretch>
                            <a:fillRect/>
                          </a:stretch>
                        </pic:blipFill>
                        <pic:spPr>
                          <a:xfrm>
                            <a:off x="0" y="0"/>
                            <a:ext cx="669290" cy="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1C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4700*1300*500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104D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—配防雾烟罩灯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—前板、左右端板厚1.2mm，顶板、后板厚1.0mm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—各加强档厚1.0~1.2mm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—沥油板厚0.8mm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—风机排烟风管另计,220V/0.5KW</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E5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79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6.1</w:t>
            </w:r>
          </w:p>
        </w:tc>
      </w:tr>
      <w:tr w14:paraId="2A7E8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E5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A27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双星盆台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4D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78105</wp:posOffset>
                  </wp:positionH>
                  <wp:positionV relativeFrom="paragraph">
                    <wp:posOffset>399415</wp:posOffset>
                  </wp:positionV>
                  <wp:extent cx="652145" cy="551815"/>
                  <wp:effectExtent l="0" t="0" r="3175" b="12065"/>
                  <wp:wrapNone/>
                  <wp:docPr id="64" name="Picture_39_SpCnt_1"/>
                  <wp:cNvGraphicFramePr/>
                  <a:graphic xmlns:a="http://schemas.openxmlformats.org/drawingml/2006/main">
                    <a:graphicData uri="http://schemas.openxmlformats.org/drawingml/2006/picture">
                      <pic:pic xmlns:pic="http://schemas.openxmlformats.org/drawingml/2006/picture">
                        <pic:nvPicPr>
                          <pic:cNvPr id="64" name="Picture_39_SpCnt_1"/>
                          <pic:cNvPicPr/>
                        </pic:nvPicPr>
                        <pic:blipFill>
                          <a:blip r:embed="rId95"/>
                          <a:stretch>
                            <a:fillRect/>
                          </a:stretch>
                        </pic:blipFill>
                        <pic:spPr>
                          <a:xfrm>
                            <a:off x="0" y="0"/>
                            <a:ext cx="652145" cy="5518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0D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0F6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—面板一体冲压成型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—水斗规格：730*500*280mm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D8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6E1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27DD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1D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AJ26a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2D0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5F7EB44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51" name="图片_121_SpCnt_9"/>
                  <wp:cNvGraphicFramePr/>
                  <a:graphic xmlns:a="http://schemas.openxmlformats.org/drawingml/2006/main">
                    <a:graphicData uri="http://schemas.openxmlformats.org/drawingml/2006/picture">
                      <pic:pic xmlns:pic="http://schemas.openxmlformats.org/drawingml/2006/picture">
                        <pic:nvPicPr>
                          <pic:cNvPr id="51" name="图片_121_SpCnt_9"/>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C0E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3E9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03A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1E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4E2F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1F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97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风幕机（遥控型）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440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276860</wp:posOffset>
                  </wp:positionV>
                  <wp:extent cx="755015" cy="309245"/>
                  <wp:effectExtent l="0" t="0" r="6985" b="10795"/>
                  <wp:wrapNone/>
                  <wp:docPr id="63" name="Picture_128"/>
                  <wp:cNvGraphicFramePr/>
                  <a:graphic xmlns:a="http://schemas.openxmlformats.org/drawingml/2006/main">
                    <a:graphicData uri="http://schemas.openxmlformats.org/drawingml/2006/picture">
                      <pic:pic xmlns:pic="http://schemas.openxmlformats.org/drawingml/2006/picture">
                        <pic:nvPicPr>
                          <pic:cNvPr id="63" name="Picture_128"/>
                          <pic:cNvPicPr/>
                        </pic:nvPicPr>
                        <pic:blipFill>
                          <a:blip r:embed="rId29"/>
                          <a:stretch>
                            <a:fillRect/>
                          </a:stretch>
                        </pic:blipFill>
                        <pic:spPr>
                          <a:xfrm>
                            <a:off x="0" y="0"/>
                            <a:ext cx="755015" cy="3092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7C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1500*198*215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396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额定电压220V，功率：360-390W;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风口风量：1350-1700m3/h,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风口风速:14.5-11.5m/s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材质：工程塑料，低噪音风机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1、贯流式强力送风轻松在室内外之间形成一道隐形的风幕墙，隔开室内外空气的同时，更可将灰尘，飞虫等阻挡于室外。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2、遮断效果佳，风路升级体现高风速，低噪音运转。</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0E1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64D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F91C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8C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AJ28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29B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5C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144780</wp:posOffset>
                  </wp:positionV>
                  <wp:extent cx="755015" cy="526415"/>
                  <wp:effectExtent l="0" t="0" r="6985" b="6985"/>
                  <wp:wrapNone/>
                  <wp:docPr id="60" name="Picture_129"/>
                  <wp:cNvGraphicFramePr/>
                  <a:graphic xmlns:a="http://schemas.openxmlformats.org/drawingml/2006/main">
                    <a:graphicData uri="http://schemas.openxmlformats.org/drawingml/2006/picture">
                      <pic:pic xmlns:pic="http://schemas.openxmlformats.org/drawingml/2006/picture">
                        <pic:nvPicPr>
                          <pic:cNvPr id="60" name="Picture_129"/>
                          <pic:cNvPicPr/>
                        </pic:nvPicPr>
                        <pic:blipFill>
                          <a:blip r:embed="rId62"/>
                          <a:stretch>
                            <a:fillRect/>
                          </a:stretch>
                        </pic:blipFill>
                        <pic:spPr>
                          <a:xfrm>
                            <a:off x="0" y="0"/>
                            <a:ext cx="755015" cy="5264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9FC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D0B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09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83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4EFE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DCB1">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AK档口操作间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5D80">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27D0">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A57C0">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C1FF5">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05E0">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B71FB">
            <w:pPr>
              <w:jc w:val="center"/>
              <w:rPr>
                <w:rFonts w:hint="eastAsia" w:ascii="宋体" w:hAnsi="宋体" w:eastAsia="宋体" w:cs="宋体"/>
                <w:i w:val="0"/>
                <w:iCs w:val="0"/>
                <w:color w:val="auto"/>
                <w:sz w:val="20"/>
                <w:szCs w:val="20"/>
                <w:highlight w:val="none"/>
                <w:u w:val="none"/>
              </w:rPr>
            </w:pPr>
          </w:p>
        </w:tc>
      </w:tr>
      <w:tr w14:paraId="3E78F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2A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AK04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9E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油烟净化一体机(静电式 )</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47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111125</wp:posOffset>
                  </wp:positionH>
                  <wp:positionV relativeFrom="paragraph">
                    <wp:posOffset>900430</wp:posOffset>
                  </wp:positionV>
                  <wp:extent cx="755015" cy="478155"/>
                  <wp:effectExtent l="0" t="0" r="6985" b="9525"/>
                  <wp:wrapNone/>
                  <wp:docPr id="66" name="Picture_134"/>
                  <wp:cNvGraphicFramePr/>
                  <a:graphic xmlns:a="http://schemas.openxmlformats.org/drawingml/2006/main">
                    <a:graphicData uri="http://schemas.openxmlformats.org/drawingml/2006/picture">
                      <pic:pic xmlns:pic="http://schemas.openxmlformats.org/drawingml/2006/picture">
                        <pic:nvPicPr>
                          <pic:cNvPr id="66" name="Picture_134"/>
                          <pic:cNvPicPr/>
                        </pic:nvPicPr>
                        <pic:blipFill>
                          <a:blip r:embed="rId96"/>
                          <a:stretch>
                            <a:fillRect/>
                          </a:stretch>
                        </pic:blipFill>
                        <pic:spPr>
                          <a:xfrm>
                            <a:off x="0" y="0"/>
                            <a:ext cx="755015" cy="47815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98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2400*1200*930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88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油烟气体分别通过专利结构经过一级净化冷凝碰撞原理、二级净化使用动态拦截、三级净化静电吸附、四级净化除味装置，采用UV-C紫外线灯，灯管产生185nm—245nm紫外线光谱及臭氧，裂解油烟紫外线灯安装在灯架上，每个灯架4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2、材    质：采用优质不锈钢双面油墨拉丝，国标1.0。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    源：三相五线制（380V）。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4、结    构：设备集烟罩、净化、排风于一体，上下分体堆叠结构，上下层可以独立进行搬运，组装。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5、智能管理：设备采用智能数字显示屏，实时显示高压、电流等情况，让客户实时了解净化器工作状态。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6、智能断电：采用智能断电模式，双重保护，净化器电箱门被打开时，机芯电源会自动断电，停止高压输出，以防触电，漏电开关，防止意外触电。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★7、根据油烟浓度，自动调节风量，风量可根据油烟浓度手动调节4挡调节。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★8、外壳防水等级应≥IPX8，需提供带CMA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CNAS标志检测合格的检测报告。</w:t>
            </w:r>
            <w:r>
              <w:rPr>
                <w:rFonts w:hint="eastAsia" w:ascii="宋体" w:hAnsi="宋体" w:eastAsia="宋体" w:cs="宋体"/>
                <w:i w:val="0"/>
                <w:iCs w:val="0"/>
                <w:color w:val="auto"/>
                <w:kern w:val="0"/>
                <w:sz w:val="20"/>
                <w:szCs w:val="20"/>
                <w:highlight w:val="none"/>
                <w:u w:val="none"/>
                <w:lang w:val="en-US" w:eastAsia="zh-CN" w:bidi="ar"/>
              </w:rPr>
              <w:br w:type="textWrapping"/>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EF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72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4E7A6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FF386">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AL冷菜间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AD99E">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F29C">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21984">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3C675">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7D3E6">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1836">
            <w:pPr>
              <w:jc w:val="center"/>
              <w:rPr>
                <w:rFonts w:hint="eastAsia" w:ascii="宋体" w:hAnsi="宋体" w:eastAsia="宋体" w:cs="宋体"/>
                <w:i w:val="0"/>
                <w:iCs w:val="0"/>
                <w:color w:val="auto"/>
                <w:sz w:val="20"/>
                <w:szCs w:val="20"/>
                <w:highlight w:val="none"/>
                <w:u w:val="none"/>
              </w:rPr>
            </w:pPr>
          </w:p>
        </w:tc>
      </w:tr>
      <w:tr w14:paraId="21325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61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09D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落地柜式洗手单星盆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29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179705</wp:posOffset>
                  </wp:positionH>
                  <wp:positionV relativeFrom="paragraph">
                    <wp:posOffset>274320</wp:posOffset>
                  </wp:positionV>
                  <wp:extent cx="497840" cy="563880"/>
                  <wp:effectExtent l="0" t="0" r="5080" b="0"/>
                  <wp:wrapNone/>
                  <wp:docPr id="58" name="Picture_141"/>
                  <wp:cNvGraphicFramePr/>
                  <a:graphic xmlns:a="http://schemas.openxmlformats.org/drawingml/2006/main">
                    <a:graphicData uri="http://schemas.openxmlformats.org/drawingml/2006/picture">
                      <pic:pic xmlns:pic="http://schemas.openxmlformats.org/drawingml/2006/picture">
                        <pic:nvPicPr>
                          <pic:cNvPr id="58" name="Picture_141"/>
                          <pic:cNvPicPr/>
                        </pic:nvPicPr>
                        <pic:blipFill>
                          <a:blip r:embed="rId97"/>
                          <a:stretch>
                            <a:fillRect/>
                          </a:stretch>
                        </pic:blipFill>
                        <pic:spPr>
                          <a:xfrm>
                            <a:off x="0" y="0"/>
                            <a:ext cx="497840" cy="56388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66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432*420*800/900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3AC9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—台面背板厚1.2㎜,水斗板厚1.0mm，左右侧板0.8mm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—水斗一体冲压折弯成型，规格：350*248*145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—柜式结构无卫生死角，配快拆式维修门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—配￠45落水器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58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019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16D4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92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AL01a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073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感应龙头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41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321310</wp:posOffset>
                  </wp:positionV>
                  <wp:extent cx="643890" cy="514350"/>
                  <wp:effectExtent l="0" t="0" r="11430" b="3810"/>
                  <wp:wrapNone/>
                  <wp:docPr id="61" name="图片_1_SpCnt_5"/>
                  <wp:cNvGraphicFramePr/>
                  <a:graphic xmlns:a="http://schemas.openxmlformats.org/drawingml/2006/main">
                    <a:graphicData uri="http://schemas.openxmlformats.org/drawingml/2006/picture">
                      <pic:pic xmlns:pic="http://schemas.openxmlformats.org/drawingml/2006/picture">
                        <pic:nvPicPr>
                          <pic:cNvPr id="61" name="图片_1_SpCnt_5"/>
                          <pic:cNvPicPr/>
                        </pic:nvPicPr>
                        <pic:blipFill>
                          <a:blip r:embed="rId31"/>
                          <a:stretch>
                            <a:fillRect/>
                          </a:stretch>
                        </pic:blipFill>
                        <pic:spPr>
                          <a:xfrm>
                            <a:off x="0" y="0"/>
                            <a:ext cx="643890" cy="5143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C3BF">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C74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单孔台出电子感应龙头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防破坏2.2GPM(8.3LPM)起泡器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防水控制盒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AC/DC交直流两用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手动混水阀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开孔：孔径32mm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F2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F65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B2B3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77E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B8A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全自动干手器（不锈钢）</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1F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121920</wp:posOffset>
                  </wp:positionV>
                  <wp:extent cx="480060" cy="558165"/>
                  <wp:effectExtent l="0" t="0" r="7620" b="5715"/>
                  <wp:wrapNone/>
                  <wp:docPr id="62" name="Picture_142"/>
                  <wp:cNvGraphicFramePr/>
                  <a:graphic xmlns:a="http://schemas.openxmlformats.org/drawingml/2006/main">
                    <a:graphicData uri="http://schemas.openxmlformats.org/drawingml/2006/picture">
                      <pic:pic xmlns:pic="http://schemas.openxmlformats.org/drawingml/2006/picture">
                        <pic:nvPicPr>
                          <pic:cNvPr id="62" name="Picture_142"/>
                          <pic:cNvPicPr/>
                        </pic:nvPicPr>
                        <pic:blipFill>
                          <a:blip r:embed="rId38"/>
                          <a:stretch>
                            <a:fillRect/>
                          </a:stretch>
                        </pic:blipFill>
                        <pic:spPr>
                          <a:xfrm>
                            <a:off x="0" y="0"/>
                            <a:ext cx="480060" cy="55816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FE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295*171*325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B34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外壳采用304不锈钢一体外壳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风速：≥95m/s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干手时间：5-8秒；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防水等级：IPX1；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数码电路控制，红外线感应，抗干扰强力强；超薄机身设计、风量大、风速高，比普通干手器节约一半时间；不锈钢外壳，经特殊工艺表面处理，更美观耐用、坚固、耐高温，防火性能好；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额定电压： 220V/1.2kw</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DEE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7D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59C4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53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F3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立式四门冷藏柜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7F4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317500</wp:posOffset>
                  </wp:positionH>
                  <wp:positionV relativeFrom="paragraph">
                    <wp:posOffset>127000</wp:posOffset>
                  </wp:positionV>
                  <wp:extent cx="368935" cy="549275"/>
                  <wp:effectExtent l="0" t="0" r="12065" b="14605"/>
                  <wp:wrapNone/>
                  <wp:docPr id="65" name="Picture_143"/>
                  <wp:cNvGraphicFramePr/>
                  <a:graphic xmlns:a="http://schemas.openxmlformats.org/drawingml/2006/main">
                    <a:graphicData uri="http://schemas.openxmlformats.org/drawingml/2006/picture">
                      <pic:pic xmlns:pic="http://schemas.openxmlformats.org/drawingml/2006/picture">
                        <pic:nvPicPr>
                          <pic:cNvPr id="65" name="Picture_143"/>
                          <pic:cNvPicPr/>
                        </pic:nvPicPr>
                        <pic:blipFill>
                          <a:blip r:embed="rId98"/>
                          <a:stretch>
                            <a:fillRect/>
                          </a:stretch>
                        </pic:blipFill>
                        <pic:spPr>
                          <a:xfrm>
                            <a:off x="0" y="0"/>
                            <a:ext cx="368935" cy="5492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7C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1220*750*1960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865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电源：220V/50HZ，输入功率：405W，电流：2.5A，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温度范围:  -6～12℃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1、内外箱均为SUS304不锈钢板；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2、使用优质压缩机，全铜管冷凝器、蒸发器；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3、配备强制蒸发装置，自动蒸发化霜水；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4、一体式发泡工艺，整体平整、耐用；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5、产品能在43℃的环境温度下正常工作；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6、置于箱体内部的高效防露加热丝，能有效防止门框结露、滴水，保证客户的使用效果和环境卫生；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7、冰箱配备了门体自动关闭结构，方便客户操作。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容积：≥880L</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AB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0F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653B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9C4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D4F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智能刀具存储柜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A69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283210</wp:posOffset>
                  </wp:positionH>
                  <wp:positionV relativeFrom="paragraph">
                    <wp:posOffset>123825</wp:posOffset>
                  </wp:positionV>
                  <wp:extent cx="428625" cy="552450"/>
                  <wp:effectExtent l="0" t="0" r="13335" b="11430"/>
                  <wp:wrapNone/>
                  <wp:docPr id="67" name="Picture_144"/>
                  <wp:cNvGraphicFramePr/>
                  <a:graphic xmlns:a="http://schemas.openxmlformats.org/drawingml/2006/main">
                    <a:graphicData uri="http://schemas.openxmlformats.org/drawingml/2006/picture">
                      <pic:pic xmlns:pic="http://schemas.openxmlformats.org/drawingml/2006/picture">
                        <pic:nvPicPr>
                          <pic:cNvPr id="67" name="Picture_144"/>
                          <pic:cNvPicPr/>
                        </pic:nvPicPr>
                        <pic:blipFill>
                          <a:blip r:embed="rId47"/>
                          <a:stretch>
                            <a:fillRect/>
                          </a:stretch>
                        </pic:blipFill>
                        <pic:spPr>
                          <a:xfrm>
                            <a:off x="0" y="0"/>
                            <a:ext cx="42862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089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500*130*620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4374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—采用SUS304-2B不锈钢，厚度1.0mm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—电压220V. 50Hz, 功率≥15W，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—门板采用不锈钢或黑色亚克力，内置紫外线杀菌，强力吸磁刀具架，便于更好的清洁，刀具无需旋转即可消毒，挂墙式支撑结构，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—机械定时旋钮开关或触摸按钮开关</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C9C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F55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8651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FA3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95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6B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144780</wp:posOffset>
                  </wp:positionV>
                  <wp:extent cx="755015" cy="526415"/>
                  <wp:effectExtent l="0" t="0" r="6985" b="6985"/>
                  <wp:wrapNone/>
                  <wp:docPr id="69" name="Picture_145"/>
                  <wp:cNvGraphicFramePr/>
                  <a:graphic xmlns:a="http://schemas.openxmlformats.org/drawingml/2006/main">
                    <a:graphicData uri="http://schemas.openxmlformats.org/drawingml/2006/picture">
                      <pic:pic xmlns:pic="http://schemas.openxmlformats.org/drawingml/2006/picture">
                        <pic:nvPicPr>
                          <pic:cNvPr id="69" name="Picture_145"/>
                          <pic:cNvPicPr/>
                        </pic:nvPicPr>
                        <pic:blipFill>
                          <a:blip r:embed="rId62"/>
                          <a:stretch>
                            <a:fillRect/>
                          </a:stretch>
                        </pic:blipFill>
                        <pic:spPr>
                          <a:xfrm>
                            <a:off x="0" y="0"/>
                            <a:ext cx="755015" cy="5264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00F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49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830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E90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9F2A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BC2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BCF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EAD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144780</wp:posOffset>
                  </wp:positionV>
                  <wp:extent cx="755015" cy="526415"/>
                  <wp:effectExtent l="0" t="0" r="6985" b="6985"/>
                  <wp:wrapNone/>
                  <wp:docPr id="70" name="Picture_146"/>
                  <wp:cNvGraphicFramePr/>
                  <a:graphic xmlns:a="http://schemas.openxmlformats.org/drawingml/2006/main">
                    <a:graphicData uri="http://schemas.openxmlformats.org/drawingml/2006/picture">
                      <pic:pic xmlns:pic="http://schemas.openxmlformats.org/drawingml/2006/picture">
                        <pic:nvPicPr>
                          <pic:cNvPr id="70" name="Picture_146"/>
                          <pic:cNvPicPr/>
                        </pic:nvPicPr>
                        <pic:blipFill>
                          <a:blip r:embed="rId62"/>
                          <a:stretch>
                            <a:fillRect/>
                          </a:stretch>
                        </pic:blipFill>
                        <pic:spPr>
                          <a:xfrm>
                            <a:off x="0" y="0"/>
                            <a:ext cx="755015" cy="5264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73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9C3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—门外板、柜内层板、底板、侧板厚1.0㎜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1C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4F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F8E2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96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A0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双星水池柜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55A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179705</wp:posOffset>
                  </wp:positionH>
                  <wp:positionV relativeFrom="paragraph">
                    <wp:posOffset>127000</wp:posOffset>
                  </wp:positionV>
                  <wp:extent cx="574040" cy="549275"/>
                  <wp:effectExtent l="0" t="0" r="5080" b="14605"/>
                  <wp:wrapNone/>
                  <wp:docPr id="71" name="Picture_147"/>
                  <wp:cNvGraphicFramePr/>
                  <a:graphic xmlns:a="http://schemas.openxmlformats.org/drawingml/2006/main">
                    <a:graphicData uri="http://schemas.openxmlformats.org/drawingml/2006/picture">
                      <pic:pic xmlns:pic="http://schemas.openxmlformats.org/drawingml/2006/picture">
                        <pic:nvPicPr>
                          <pic:cNvPr id="71" name="Picture_147"/>
                          <pic:cNvPicPr/>
                        </pic:nvPicPr>
                        <pic:blipFill>
                          <a:blip r:embed="rId59"/>
                          <a:stretch>
                            <a:fillRect/>
                          </a:stretch>
                        </pic:blipFill>
                        <pic:spPr>
                          <a:xfrm>
                            <a:off x="0" y="0"/>
                            <a:ext cx="574040" cy="5492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27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153D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—品牌:厂制品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—台面板厚1.2㎜,水斗板厚1.0mm，前板、侧板厚0.8mm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—水斗规格：500*500*280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—门外壳板厚1.0mm，门内复板厚0.6mm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—柜内层板、底板板厚1.0㎜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A2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C21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B218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6D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AL07a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2C1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2206C2A6">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73" name="图片_121_SpCnt_10"/>
                  <wp:cNvGraphicFramePr/>
                  <a:graphic xmlns:a="http://schemas.openxmlformats.org/drawingml/2006/main">
                    <a:graphicData uri="http://schemas.openxmlformats.org/drawingml/2006/picture">
                      <pic:pic xmlns:pic="http://schemas.openxmlformats.org/drawingml/2006/picture">
                        <pic:nvPicPr>
                          <pic:cNvPr id="73" name="图片_121_SpCnt_10"/>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2D1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AAE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A3B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6BC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E675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45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AL09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AA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卧式两门冷藏柜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5EB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169545</wp:posOffset>
                  </wp:positionV>
                  <wp:extent cx="755015" cy="478790"/>
                  <wp:effectExtent l="0" t="0" r="6985" b="8890"/>
                  <wp:wrapNone/>
                  <wp:docPr id="144" name="Picture_149"/>
                  <wp:cNvGraphicFramePr/>
                  <a:graphic xmlns:a="http://schemas.openxmlformats.org/drawingml/2006/main">
                    <a:graphicData uri="http://schemas.openxmlformats.org/drawingml/2006/picture">
                      <pic:pic xmlns:pic="http://schemas.openxmlformats.org/drawingml/2006/picture">
                        <pic:nvPicPr>
                          <pic:cNvPr id="144" name="Picture_149"/>
                          <pic:cNvPicPr/>
                        </pic:nvPicPr>
                        <pic:blipFill>
                          <a:blip r:embed="rId99"/>
                          <a:stretch>
                            <a:fillRect/>
                          </a:stretch>
                        </pic:blipFill>
                        <pic:spPr>
                          <a:xfrm>
                            <a:off x="0" y="0"/>
                            <a:ext cx="755015" cy="47879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22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C48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电源：220V/50HZ，输入功率：316W，电流：1.8A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温度范围  -6～12℃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1、内外箱均为SUS304不锈钢板；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2、使用优质压缩机，全铜管冷凝器、蒸发器；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3、配备强制蒸发装置，自动蒸发化霜水；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4、整机及台面采用一体式发泡工艺，整体平整、耐用；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5、产品能在43℃的环境温度下正常工作；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6、置于箱体内部的高效防露加热丝，能有效防止门框结露、滴水，保证客户的使用效果和环境卫生；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7、冰箱配备了门体自动关闭结构，方便客户操作。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8、采用“前吸风前排风”设计，更加有利于排风扇热，适用于高档酒店及明档厨房使用要求。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容积：460L</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A0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8D1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F296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56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AL11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349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紫外线消毒灯</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FF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180975</wp:posOffset>
                  </wp:positionV>
                  <wp:extent cx="755015" cy="457835"/>
                  <wp:effectExtent l="0" t="0" r="6985" b="14605"/>
                  <wp:wrapNone/>
                  <wp:docPr id="145" name="Picture_151"/>
                  <wp:cNvGraphicFramePr/>
                  <a:graphic xmlns:a="http://schemas.openxmlformats.org/drawingml/2006/main">
                    <a:graphicData uri="http://schemas.openxmlformats.org/drawingml/2006/picture">
                      <pic:pic xmlns:pic="http://schemas.openxmlformats.org/drawingml/2006/picture">
                        <pic:nvPicPr>
                          <pic:cNvPr id="145" name="Picture_151"/>
                          <pic:cNvPicPr/>
                        </pic:nvPicPr>
                        <pic:blipFill>
                          <a:blip r:embed="rId100"/>
                          <a:stretch>
                            <a:fillRect/>
                          </a:stretch>
                        </pic:blipFill>
                        <pic:spPr>
                          <a:xfrm>
                            <a:off x="0" y="0"/>
                            <a:ext cx="755015" cy="45783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C8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1230*55*40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9B6A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石英材质灯管，接口与家用相吻合，安装方便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灯管两端镀铬材质，安全绝缘安装维护，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额定功率：40W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灯管直径825MM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灯管长度：1200mm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消毒方式：紫外线消毒</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F82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DE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92C7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2A300">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AM烧腊间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20724">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B5F75">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6EE3">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5F95D">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68FCC">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B6DC">
            <w:pPr>
              <w:jc w:val="center"/>
              <w:rPr>
                <w:rFonts w:hint="eastAsia" w:ascii="宋体" w:hAnsi="宋体" w:eastAsia="宋体" w:cs="宋体"/>
                <w:i w:val="0"/>
                <w:iCs w:val="0"/>
                <w:color w:val="auto"/>
                <w:sz w:val="20"/>
                <w:szCs w:val="20"/>
                <w:highlight w:val="none"/>
                <w:u w:val="none"/>
              </w:rPr>
            </w:pPr>
          </w:p>
        </w:tc>
      </w:tr>
      <w:tr w14:paraId="0E433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112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AM02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C74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工作台柜(翻门)</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DE5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102870</wp:posOffset>
                  </wp:positionH>
                  <wp:positionV relativeFrom="paragraph">
                    <wp:posOffset>124460</wp:posOffset>
                  </wp:positionV>
                  <wp:extent cx="694690" cy="550545"/>
                  <wp:effectExtent l="0" t="0" r="6350" b="13335"/>
                  <wp:wrapNone/>
                  <wp:docPr id="146" name="Picture_153"/>
                  <wp:cNvGraphicFramePr/>
                  <a:graphic xmlns:a="http://schemas.openxmlformats.org/drawingml/2006/main">
                    <a:graphicData uri="http://schemas.openxmlformats.org/drawingml/2006/picture">
                      <pic:pic xmlns:pic="http://schemas.openxmlformats.org/drawingml/2006/picture">
                        <pic:nvPicPr>
                          <pic:cNvPr id="146" name="Picture_153"/>
                          <pic:cNvPicPr/>
                        </pic:nvPicPr>
                        <pic:blipFill>
                          <a:blip r:embed="rId56"/>
                          <a:stretch>
                            <a:fillRect/>
                          </a:stretch>
                        </pic:blipFill>
                        <pic:spPr>
                          <a:xfrm>
                            <a:off x="0" y="0"/>
                            <a:ext cx="694690" cy="5505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C1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6951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—板材采用SUS304-2B不锈钢制造，台面板厚1.2mm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—侧板、后背板0.8mm，门内复板0.8mm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—门外板、柜内层板、底板厚1.0㎜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—上掀式V型滑轨，弧型轴承，一种带轴承的翻门结构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0F5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18B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D595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427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AM03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7D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卧式两门冷藏柜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76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169545</wp:posOffset>
                  </wp:positionV>
                  <wp:extent cx="755015" cy="478790"/>
                  <wp:effectExtent l="0" t="0" r="6985" b="8890"/>
                  <wp:wrapNone/>
                  <wp:docPr id="147" name="Picture_154"/>
                  <wp:cNvGraphicFramePr/>
                  <a:graphic xmlns:a="http://schemas.openxmlformats.org/drawingml/2006/main">
                    <a:graphicData uri="http://schemas.openxmlformats.org/drawingml/2006/picture">
                      <pic:pic xmlns:pic="http://schemas.openxmlformats.org/drawingml/2006/picture">
                        <pic:nvPicPr>
                          <pic:cNvPr id="147" name="Picture_154"/>
                          <pic:cNvPicPr/>
                        </pic:nvPicPr>
                        <pic:blipFill>
                          <a:blip r:embed="rId99"/>
                          <a:stretch>
                            <a:fillRect/>
                          </a:stretch>
                        </pic:blipFill>
                        <pic:spPr>
                          <a:xfrm>
                            <a:off x="0" y="0"/>
                            <a:ext cx="755015" cy="47879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F00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00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电源：220V/50HZ，输入功率：≥300W，</w:t>
            </w:r>
          </w:p>
          <w:p w14:paraId="3409FE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温度范围  -6～12℃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1、内外箱均为SUS304不锈钢板；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2、使用优质压缩机，全铜管冷凝器、蒸发器；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3、配备强制蒸发装置，自动蒸发化霜水；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4、整机及台面采用一体式发泡工艺，整体平整、耐用；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5、产品能在43℃的环境温度下正常工作；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6、置于箱体内部的高效防露加热丝，能有效防止门框结露、滴水，保证客户的使用效果和环境卫生；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7、冰箱配备了门体自动关闭结构，方便客户操作。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8、采用“前吸风前排风”设计，更加有利于排风扇热，适用于高档酒店及明档厨房使用要求。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容积：≥450L</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304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638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5ED4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A89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AM04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66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工作柜带水池（右星）</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F96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205105</wp:posOffset>
                  </wp:positionH>
                  <wp:positionV relativeFrom="paragraph">
                    <wp:posOffset>123190</wp:posOffset>
                  </wp:positionV>
                  <wp:extent cx="540385" cy="557530"/>
                  <wp:effectExtent l="0" t="0" r="8255" b="6350"/>
                  <wp:wrapNone/>
                  <wp:docPr id="148" name="Picture_155"/>
                  <wp:cNvGraphicFramePr/>
                  <a:graphic xmlns:a="http://schemas.openxmlformats.org/drawingml/2006/main">
                    <a:graphicData uri="http://schemas.openxmlformats.org/drawingml/2006/picture">
                      <pic:pic xmlns:pic="http://schemas.openxmlformats.org/drawingml/2006/picture">
                        <pic:nvPicPr>
                          <pic:cNvPr id="148" name="Picture_155"/>
                          <pic:cNvPicPr/>
                        </pic:nvPicPr>
                        <pic:blipFill>
                          <a:blip r:embed="rId101"/>
                          <a:stretch>
                            <a:fillRect/>
                          </a:stretch>
                        </pic:blipFill>
                        <pic:spPr>
                          <a:xfrm>
                            <a:off x="0" y="0"/>
                            <a:ext cx="540385"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CA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EA23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—水斗一体冲压成型，规格：500*500*280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—配304不锈钢一体冲压拦渣篮及隔水盖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—路轨导向趟门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—门外板厚1.0㎜，左右侧板、门内复板0.8mm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—配φ50不锈钢重力脚，201不锈钢厚3mm加强型三角板加固</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B15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AC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20FA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91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AM04a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24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418A846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149" name="图片_121_SpCnt_11"/>
                  <wp:cNvGraphicFramePr/>
                  <a:graphic xmlns:a="http://schemas.openxmlformats.org/drawingml/2006/main">
                    <a:graphicData uri="http://schemas.openxmlformats.org/drawingml/2006/picture">
                      <pic:pic xmlns:pic="http://schemas.openxmlformats.org/drawingml/2006/picture">
                        <pic:nvPicPr>
                          <pic:cNvPr id="149" name="图片_121_SpCnt_11"/>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369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A1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29E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AF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DF93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62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AM07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08E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沥油式油烟罩（拆装式）</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E0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168910</wp:posOffset>
                  </wp:positionV>
                  <wp:extent cx="755015" cy="474345"/>
                  <wp:effectExtent l="0" t="0" r="6985" b="13335"/>
                  <wp:wrapNone/>
                  <wp:docPr id="150" name="Picture_158"/>
                  <wp:cNvGraphicFramePr/>
                  <a:graphic xmlns:a="http://schemas.openxmlformats.org/drawingml/2006/main">
                    <a:graphicData uri="http://schemas.openxmlformats.org/drawingml/2006/picture">
                      <pic:pic xmlns:pic="http://schemas.openxmlformats.org/drawingml/2006/picture">
                        <pic:nvPicPr>
                          <pic:cNvPr id="150" name="Picture_158"/>
                          <pic:cNvPicPr/>
                        </pic:nvPicPr>
                        <pic:blipFill>
                          <a:blip r:embed="rId76"/>
                          <a:stretch>
                            <a:fillRect/>
                          </a:stretch>
                        </pic:blipFill>
                        <pic:spPr>
                          <a:xfrm>
                            <a:off x="0" y="0"/>
                            <a:ext cx="755015" cy="4743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F8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3000*1300*500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DA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—配防雾烟罩灯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—前板、左右端板厚1.2mm，顶板、后板厚1.0mm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—各加强档厚1.0~1.2mm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—沥油板厚0.8mm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—风机排烟风管另计,220V/0.5KW</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58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C3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r>
      <w:tr w14:paraId="37DE4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1EC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AM08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5EF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厨房灭火系统</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54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231775</wp:posOffset>
                  </wp:positionH>
                  <wp:positionV relativeFrom="paragraph">
                    <wp:posOffset>857250</wp:posOffset>
                  </wp:positionV>
                  <wp:extent cx="429260" cy="549275"/>
                  <wp:effectExtent l="0" t="0" r="12700" b="14605"/>
                  <wp:wrapNone/>
                  <wp:docPr id="142" name="Picture_159"/>
                  <wp:cNvGraphicFramePr/>
                  <a:graphic xmlns:a="http://schemas.openxmlformats.org/drawingml/2006/main">
                    <a:graphicData uri="http://schemas.openxmlformats.org/drawingml/2006/picture">
                      <pic:pic xmlns:pic="http://schemas.openxmlformats.org/drawingml/2006/picture">
                        <pic:nvPicPr>
                          <pic:cNvPr id="142" name="Picture_159"/>
                          <pic:cNvPicPr/>
                        </pic:nvPicPr>
                        <pic:blipFill>
                          <a:blip r:embed="rId80"/>
                          <a:stretch>
                            <a:fillRect/>
                          </a:stretch>
                        </pic:blipFill>
                        <pic:spPr>
                          <a:xfrm>
                            <a:off x="0" y="0"/>
                            <a:ext cx="429260" cy="54927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E6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根据烟罩定制</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CCB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主要性能参数: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1、CMJS型厨房灭火装置能全天候自动监控厨房灶台火情，发现火情可以自动或者手动启动设备扑灭火情，启动方式为机械式启动、电辅助报警，性能可靠；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2、工作电源:AC220V，备用电源:DC12V；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3、装置外形尺寸:单瓶组,主箱230*480*600mm；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4、灭火剂管道压力1.2MPa，贮气瓶12MPa，燃气关闭阀0.1MPa；单瓶组喷嘴数量≤10，双瓶组喷嘴数量≥11≤18,；感温器动作温度183°C±5°C；</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5、产品获得《国家固定灭火系统和耐火构件质量监督检验中心》出具的型式检验报告，获得《应急管理部消防产品合格评定中心》出具的消防产品认证证书，出具标注</w:t>
            </w:r>
            <w:r>
              <w:rPr>
                <w:rFonts w:hint="eastAsia" w:ascii="宋体" w:hAnsi="宋体" w:cs="宋体"/>
                <w:i w:val="0"/>
                <w:iCs w:val="0"/>
                <w:color w:val="auto"/>
                <w:kern w:val="0"/>
                <w:sz w:val="20"/>
                <w:szCs w:val="20"/>
                <w:highlight w:val="none"/>
                <w:u w:val="none"/>
                <w:lang w:val="en-US" w:eastAsia="zh-CN" w:bidi="ar"/>
              </w:rPr>
              <w:t>CMA或CNAS标志</w:t>
            </w:r>
            <w:r>
              <w:rPr>
                <w:rFonts w:hint="eastAsia" w:ascii="宋体" w:hAnsi="宋体" w:eastAsia="宋体" w:cs="宋体"/>
                <w:i w:val="0"/>
                <w:iCs w:val="0"/>
                <w:color w:val="auto"/>
                <w:kern w:val="0"/>
                <w:sz w:val="20"/>
                <w:szCs w:val="20"/>
                <w:highlight w:val="none"/>
                <w:u w:val="none"/>
                <w:lang w:val="en-US" w:eastAsia="zh-CN" w:bidi="ar"/>
              </w:rPr>
              <w:t>检测报告和全国认证认可信息公共服务平台查询截图(http://cx.cnca.cn），并加盖投标人公章的扫描件佐证；</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39A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43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54B7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8B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AM09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FC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风幕机（遥控型）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A4F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276860</wp:posOffset>
                  </wp:positionV>
                  <wp:extent cx="755015" cy="309245"/>
                  <wp:effectExtent l="0" t="0" r="6985" b="10795"/>
                  <wp:wrapNone/>
                  <wp:docPr id="143" name="Picture_160"/>
                  <wp:cNvGraphicFramePr/>
                  <a:graphic xmlns:a="http://schemas.openxmlformats.org/drawingml/2006/main">
                    <a:graphicData uri="http://schemas.openxmlformats.org/drawingml/2006/picture">
                      <pic:pic xmlns:pic="http://schemas.openxmlformats.org/drawingml/2006/picture">
                        <pic:nvPicPr>
                          <pic:cNvPr id="143" name="Picture_160"/>
                          <pic:cNvPicPr/>
                        </pic:nvPicPr>
                        <pic:blipFill>
                          <a:blip r:embed="rId29"/>
                          <a:stretch>
                            <a:fillRect/>
                          </a:stretch>
                        </pic:blipFill>
                        <pic:spPr>
                          <a:xfrm>
                            <a:off x="0" y="0"/>
                            <a:ext cx="755015" cy="3092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FA2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1500*198*215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97F9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额定电压220V，功率：360-390W;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风口风量：1350-1700m3/h,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风口风速:14.5-11.5m/s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材质：工程塑料，低噪音风机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1、贯流式强力送风轻松在室内外之间形成一道隐形的风幕墙，隔开室内外空气的同时，更可将灰尘，飞虫等阻挡于室外。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2、遮断效果佳，风路升级体现高风速，低噪音运转。</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AE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74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48F1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45CB">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AN蒸饭间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09056">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226FE">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A72FA">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3E034">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896AE">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CDC02">
            <w:pPr>
              <w:jc w:val="center"/>
              <w:rPr>
                <w:rFonts w:hint="eastAsia" w:ascii="宋体" w:hAnsi="宋体" w:eastAsia="宋体" w:cs="宋体"/>
                <w:i w:val="0"/>
                <w:iCs w:val="0"/>
                <w:color w:val="auto"/>
                <w:sz w:val="20"/>
                <w:szCs w:val="20"/>
                <w:highlight w:val="none"/>
                <w:u w:val="none"/>
              </w:rPr>
            </w:pPr>
          </w:p>
        </w:tc>
      </w:tr>
      <w:tr w14:paraId="6B46F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F76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296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智能集成蒸箱（推入式）</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16C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222885</wp:posOffset>
                  </wp:positionH>
                  <wp:positionV relativeFrom="paragraph">
                    <wp:posOffset>1468755</wp:posOffset>
                  </wp:positionV>
                  <wp:extent cx="522605" cy="557530"/>
                  <wp:effectExtent l="0" t="0" r="10795" b="6350"/>
                  <wp:wrapNone/>
                  <wp:docPr id="7" name="Picture_162"/>
                  <wp:cNvGraphicFramePr/>
                  <a:graphic xmlns:a="http://schemas.openxmlformats.org/drawingml/2006/main">
                    <a:graphicData uri="http://schemas.openxmlformats.org/drawingml/2006/picture">
                      <pic:pic xmlns:pic="http://schemas.openxmlformats.org/drawingml/2006/picture">
                        <pic:nvPicPr>
                          <pic:cNvPr id="7" name="Picture_162"/>
                          <pic:cNvPicPr/>
                        </pic:nvPicPr>
                        <pic:blipFill>
                          <a:blip r:embed="rId102"/>
                          <a:stretch>
                            <a:fillRect/>
                          </a:stretch>
                        </pic:blipFill>
                        <pic:spPr>
                          <a:xfrm>
                            <a:off x="0" y="0"/>
                            <a:ext cx="522605"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7F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1200*1050*1800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DF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—上箱前框面板厚1.2mm，侧板、内桶厚1.0mm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—水胆主体厚1.2mm，燃烧火管φ32*2.0mm的304无缝管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—门外板厚1.2㎜，门内板厚1.0㎜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—ф63mm不锈钢炉脚，内衬2"钢管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—配推车：678*967*1710,骨架采用304不锈钢管；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—内置2*16蒸饭格（可放置2*16个蒸饭盘）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—配饭铲、分饭器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—采用不锈钢火排炉头，电子自动点火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—采用静音耐高温强排风机：220V/65W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—配自动进水及防干烧系统，和风压监测保护系统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—配燃气熄火保护装置及燃气管路稳压装置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—密封条采用食品级硅胶条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—门采用不锈钢双把手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—配备数字显示温控器及时间控制显示器；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 “智能集成蒸箱” 经过CMA或CNAS认证的检测机构出具的权威检测报告，符合GB 35848-2018 《商用燃气燃烧器具》检测标准，同时燃气能效额定热负荷≤45kw，能源合理利用率要求≥92.5%,（提供加盖投标人公章的复印件）</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8F4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12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2D945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B26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AN02a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4D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冲压饭盘（4kg）</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45453C7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102870</wp:posOffset>
                  </wp:positionH>
                  <wp:positionV relativeFrom="paragraph">
                    <wp:posOffset>96520</wp:posOffset>
                  </wp:positionV>
                  <wp:extent cx="720725" cy="484505"/>
                  <wp:effectExtent l="0" t="0" r="10795" b="3175"/>
                  <wp:wrapNone/>
                  <wp:docPr id="8" name="图片_1_SpCnt_6"/>
                  <wp:cNvGraphicFramePr/>
                  <a:graphic xmlns:a="http://schemas.openxmlformats.org/drawingml/2006/main">
                    <a:graphicData uri="http://schemas.openxmlformats.org/drawingml/2006/picture">
                      <pic:pic xmlns:pic="http://schemas.openxmlformats.org/drawingml/2006/picture">
                        <pic:nvPicPr>
                          <pic:cNvPr id="8" name="图片_1_SpCnt_6"/>
                          <pic:cNvPicPr/>
                        </pic:nvPicPr>
                        <pic:blipFill>
                          <a:blip r:embed="rId103"/>
                          <a:stretch>
                            <a:fillRect/>
                          </a:stretch>
                        </pic:blipFill>
                        <pic:spPr>
                          <a:xfrm>
                            <a:off x="0" y="0"/>
                            <a:ext cx="720725" cy="48450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A88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620*415*50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E99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—采用全SUS304板材制造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—板厚0.7mm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一800T液压机一体冲压成型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一冲压内腔尺寸：580*375mm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488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9FE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96</w:t>
            </w:r>
          </w:p>
        </w:tc>
      </w:tr>
      <w:tr w14:paraId="0048D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647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F6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商用柜式炊饭机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902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205105</wp:posOffset>
                  </wp:positionH>
                  <wp:positionV relativeFrom="paragraph">
                    <wp:posOffset>1196340</wp:posOffset>
                  </wp:positionV>
                  <wp:extent cx="497840" cy="546735"/>
                  <wp:effectExtent l="0" t="0" r="5080" b="1905"/>
                  <wp:wrapNone/>
                  <wp:docPr id="9" name="Picture_163"/>
                  <wp:cNvGraphicFramePr/>
                  <a:graphic xmlns:a="http://schemas.openxmlformats.org/drawingml/2006/main">
                    <a:graphicData uri="http://schemas.openxmlformats.org/drawingml/2006/picture">
                      <pic:pic xmlns:pic="http://schemas.openxmlformats.org/drawingml/2006/picture">
                        <pic:nvPicPr>
                          <pic:cNvPr id="9" name="Picture_163"/>
                          <pic:cNvPicPr/>
                        </pic:nvPicPr>
                        <pic:blipFill>
                          <a:blip r:embed="rId104"/>
                          <a:stretch>
                            <a:fillRect/>
                          </a:stretch>
                        </pic:blipFill>
                        <pic:spPr>
                          <a:xfrm>
                            <a:off x="0" y="0"/>
                            <a:ext cx="497840" cy="54673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FB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745×764×1311</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C6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外形尺寸：745×764×1311mm，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电功率：45w/220v符合GB35848-2018标准，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热负荷：33kw，燃气耗量：天然气1.2m³/次液化气0.9kg/次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燃气接口：DN20，需要国标10A三孔插座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1．功能介绍：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精煮：智能控制、自动调整最佳煮饭参数；40~45℃恒温浸泡，专家级煮饭加热曲线。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快煮：在精煮的基础上，最大化地缩短出饭时间，提高出饭的效率。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杂粮：专门针对杂粮精细调整的煮饭模式；可暂停，按需添加辅料。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煮粥：独有的小火煲粥功能，粥稠，浓香；煲粥过程可暂停，搅拌、加料；做成特色粥品。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冷饭加热：冷饭营养加热功能，最大程度保持米饭口感。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2．性能特点：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三层均可独立炊饭，独立定时，使用起来更方便、更灵活。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双重阀门安全性强，离子熄火保护，主板、主探头超温超时保护；使用起来更安全。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火候调节功能，采用圆形放射状加热器，更加节能，米饭受热均匀、美味可口。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整个加工过程采用自动化，电脑程序控制，适合小规模食堂或受空间限制的地方使用。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—★提供主要配件 商用柜式炊饭机 经过CMA或CNAS认证的检测机构出具的权威检测报告,符合GB 35848-2018《商用燃气燃烧器具》标准同时燃烧工况运行噪声实测≤60dBA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—★提供主要配件 炊饭锅（截取样） 经过CMA或CNAS认证的检测机构出具的权威检测报告,符合GB 4806.9-2016《食品安全国家标准 食品接触用金属材料及制品》标准并检测合格的检测报告</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20B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F0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888D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74B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E4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沥油式油烟罩（拆装式）</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F18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51435</wp:posOffset>
                  </wp:positionH>
                  <wp:positionV relativeFrom="paragraph">
                    <wp:posOffset>257175</wp:posOffset>
                  </wp:positionV>
                  <wp:extent cx="754380" cy="478155"/>
                  <wp:effectExtent l="0" t="0" r="7620" b="9525"/>
                  <wp:wrapNone/>
                  <wp:docPr id="151" name="Picture_92_SpCnt_3"/>
                  <wp:cNvGraphicFramePr/>
                  <a:graphic xmlns:a="http://schemas.openxmlformats.org/drawingml/2006/main">
                    <a:graphicData uri="http://schemas.openxmlformats.org/drawingml/2006/picture">
                      <pic:pic xmlns:pic="http://schemas.openxmlformats.org/drawingml/2006/picture">
                        <pic:nvPicPr>
                          <pic:cNvPr id="151" name="Picture_92_SpCnt_3"/>
                          <pic:cNvPicPr/>
                        </pic:nvPicPr>
                        <pic:blipFill>
                          <a:blip r:embed="rId105"/>
                          <a:stretch>
                            <a:fillRect/>
                          </a:stretch>
                        </pic:blipFill>
                        <pic:spPr>
                          <a:xfrm>
                            <a:off x="0" y="0"/>
                            <a:ext cx="754380" cy="478155"/>
                          </a:xfrm>
                          <a:prstGeom prst="rect">
                            <a:avLst/>
                          </a:prstGeom>
                          <a:noFill/>
                          <a:ln>
                            <a:noFill/>
                          </a:ln>
                        </pic:spPr>
                      </pic:pic>
                    </a:graphicData>
                  </a:graphic>
                </wp:anchor>
              </w:drawing>
            </w: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1772285</wp:posOffset>
                  </wp:positionV>
                  <wp:extent cx="669290" cy="0"/>
                  <wp:effectExtent l="0" t="0" r="0" b="0"/>
                  <wp:wrapNone/>
                  <wp:docPr id="5" name="Picture_164"/>
                  <wp:cNvGraphicFramePr/>
                  <a:graphic xmlns:a="http://schemas.openxmlformats.org/drawingml/2006/main">
                    <a:graphicData uri="http://schemas.openxmlformats.org/drawingml/2006/picture">
                      <pic:pic xmlns:pic="http://schemas.openxmlformats.org/drawingml/2006/picture">
                        <pic:nvPicPr>
                          <pic:cNvPr id="5" name="Picture_164"/>
                          <pic:cNvPicPr/>
                        </pic:nvPicPr>
                        <pic:blipFill>
                          <a:blip r:embed="rId68"/>
                          <a:stretch>
                            <a:fillRect/>
                          </a:stretch>
                        </pic:blipFill>
                        <pic:spPr>
                          <a:xfrm>
                            <a:off x="0" y="0"/>
                            <a:ext cx="669290" cy="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4D5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6800*1600*500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73A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—配防雾烟罩灯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—前板、左右端板厚1.2mm，顶板、后板厚1.0mm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—各加强档厚1.0~1.2mm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—沥油板厚0.8mm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—风机排烟风管另计,220V/0.5KW</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6C7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297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10.9</w:t>
            </w:r>
          </w:p>
        </w:tc>
      </w:tr>
      <w:tr w14:paraId="5B3C8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B7B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37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工作台下层板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CB7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123825</wp:posOffset>
                  </wp:positionV>
                  <wp:extent cx="711835" cy="552450"/>
                  <wp:effectExtent l="0" t="0" r="4445" b="11430"/>
                  <wp:wrapNone/>
                  <wp:docPr id="152" name="Picture_165"/>
                  <wp:cNvGraphicFramePr/>
                  <a:graphic xmlns:a="http://schemas.openxmlformats.org/drawingml/2006/main">
                    <a:graphicData uri="http://schemas.openxmlformats.org/drawingml/2006/picture">
                      <pic:pic xmlns:pic="http://schemas.openxmlformats.org/drawingml/2006/picture">
                        <pic:nvPicPr>
                          <pic:cNvPr id="152" name="Picture_165"/>
                          <pic:cNvPicPr/>
                        </pic:nvPicPr>
                        <pic:blipFill>
                          <a:blip r:embed="rId40"/>
                          <a:stretch>
                            <a:fillRect/>
                          </a:stretch>
                        </pic:blipFill>
                        <pic:spPr>
                          <a:xfrm>
                            <a:off x="0" y="0"/>
                            <a:ext cx="7118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3FF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C468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—台面板采用SUS 304-2B不锈钢板制造，厚度为1.2mm，下层板厚1.0mm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A3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76B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0D0B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62A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63A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洗米机连增压泵</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6CB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360680</wp:posOffset>
                  </wp:positionH>
                  <wp:positionV relativeFrom="paragraph">
                    <wp:posOffset>123825</wp:posOffset>
                  </wp:positionV>
                  <wp:extent cx="300355" cy="552450"/>
                  <wp:effectExtent l="0" t="0" r="4445" b="11430"/>
                  <wp:wrapNone/>
                  <wp:docPr id="153" name="Picture_166"/>
                  <wp:cNvGraphicFramePr/>
                  <a:graphic xmlns:a="http://schemas.openxmlformats.org/drawingml/2006/main">
                    <a:graphicData uri="http://schemas.openxmlformats.org/drawingml/2006/picture">
                      <pic:pic xmlns:pic="http://schemas.openxmlformats.org/drawingml/2006/picture">
                        <pic:nvPicPr>
                          <pic:cNvPr id="153" name="Picture_166"/>
                          <pic:cNvPicPr/>
                        </pic:nvPicPr>
                        <pic:blipFill>
                          <a:blip r:embed="rId106"/>
                          <a:stretch>
                            <a:fillRect/>
                          </a:stretch>
                        </pic:blipFill>
                        <pic:spPr>
                          <a:xfrm>
                            <a:off x="0" y="0"/>
                            <a:ext cx="30035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56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580*580*1100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27A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—采用SUS 304-2B不锈钢板制造，厚度为1.2mm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—容量：50kg/次（8-10分钟）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采用自来水作为洗米机动力,自来水通过本产品的主体水阀进行加压,将大米送入U形洗米机管内腔进行冲洗,以其达到洗刷大米的效果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配置液体增压泵：≥370W,流量：≥2.2m³/h，扬程15m，进水管径：25mm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96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CC0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BEBE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364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C3B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单星大盆台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08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189230</wp:posOffset>
                  </wp:positionH>
                  <wp:positionV relativeFrom="paragraph">
                    <wp:posOffset>123190</wp:posOffset>
                  </wp:positionV>
                  <wp:extent cx="565785" cy="557530"/>
                  <wp:effectExtent l="0" t="0" r="13335" b="6350"/>
                  <wp:wrapNone/>
                  <wp:docPr id="1" name="Picture_167"/>
                  <wp:cNvGraphicFramePr/>
                  <a:graphic xmlns:a="http://schemas.openxmlformats.org/drawingml/2006/main">
                    <a:graphicData uri="http://schemas.openxmlformats.org/drawingml/2006/picture">
                      <pic:pic xmlns:pic="http://schemas.openxmlformats.org/drawingml/2006/picture">
                        <pic:nvPicPr>
                          <pic:cNvPr id="1" name="Picture_167"/>
                          <pic:cNvPicPr/>
                        </pic:nvPicPr>
                        <pic:blipFill>
                          <a:blip r:embed="rId107"/>
                          <a:stretch>
                            <a:fillRect/>
                          </a:stretch>
                        </pic:blipFill>
                        <pic:spPr>
                          <a:xfrm>
                            <a:off x="0" y="0"/>
                            <a:ext cx="565785"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787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3A5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—面板一体冲压成型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—水斗规格：1000*500*280mm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D3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AF6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E8C4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45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AN07a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C1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202E655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2" name="图片_121_SpCnt_12"/>
                  <wp:cNvGraphicFramePr/>
                  <a:graphic xmlns:a="http://schemas.openxmlformats.org/drawingml/2006/main">
                    <a:graphicData uri="http://schemas.openxmlformats.org/drawingml/2006/picture">
                      <pic:pic xmlns:pic="http://schemas.openxmlformats.org/drawingml/2006/picture">
                        <pic:nvPicPr>
                          <pic:cNvPr id="2" name="图片_121_SpCnt_12"/>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7D9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C79F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E6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C8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D187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4B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AN08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EC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环保型灭蝇器（粘捕）</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BE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372110"/>
                  <wp:effectExtent l="0" t="0" r="0" b="0"/>
                  <wp:wrapNone/>
                  <wp:docPr id="157" name="Picture_168"/>
                  <wp:cNvGraphicFramePr/>
                  <a:graphic xmlns:a="http://schemas.openxmlformats.org/drawingml/2006/main">
                    <a:graphicData uri="http://schemas.openxmlformats.org/drawingml/2006/picture">
                      <pic:pic xmlns:pic="http://schemas.openxmlformats.org/drawingml/2006/picture">
                        <pic:nvPicPr>
                          <pic:cNvPr id="157" name="Picture_168"/>
                          <pic:cNvPicPr/>
                        </pic:nvPicPr>
                        <pic:blipFill>
                          <a:blip r:embed="rId34"/>
                          <a:srcRect b="28797"/>
                          <a:stretch>
                            <a:fillRect/>
                          </a:stretch>
                        </pic:blipFill>
                        <pic:spPr>
                          <a:xfrm>
                            <a:off x="0" y="0"/>
                            <a:ext cx="755015" cy="37211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F7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360*210*170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2E2D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配优质双灯管，紫外线灯管功率≥8W*2，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净重: 1kg(含)-1.5kg(不含)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灭蚊原理: 粘捕式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诱蚊方式: UVA紫光灯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适用面积：30~60㎡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1A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55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4291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FA9EA">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BA六层洗消间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00CBF">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83BF8">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56FEB">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98E4">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A6B5">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BA62">
            <w:pPr>
              <w:jc w:val="center"/>
              <w:rPr>
                <w:rFonts w:hint="eastAsia" w:ascii="宋体" w:hAnsi="宋体" w:eastAsia="宋体" w:cs="宋体"/>
                <w:i w:val="0"/>
                <w:iCs w:val="0"/>
                <w:color w:val="auto"/>
                <w:sz w:val="20"/>
                <w:szCs w:val="20"/>
                <w:highlight w:val="none"/>
                <w:u w:val="none"/>
              </w:rPr>
            </w:pPr>
          </w:p>
        </w:tc>
      </w:tr>
      <w:tr w14:paraId="3E898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BBE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C4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挂墙双层架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2EB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146050</wp:posOffset>
                  </wp:positionH>
                  <wp:positionV relativeFrom="paragraph">
                    <wp:posOffset>122555</wp:posOffset>
                  </wp:positionV>
                  <wp:extent cx="634365" cy="380365"/>
                  <wp:effectExtent l="0" t="0" r="5715" b="635"/>
                  <wp:wrapNone/>
                  <wp:docPr id="154" name="Picture_169"/>
                  <wp:cNvGraphicFramePr/>
                  <a:graphic xmlns:a="http://schemas.openxmlformats.org/drawingml/2006/main">
                    <a:graphicData uri="http://schemas.openxmlformats.org/drawingml/2006/picture">
                      <pic:pic xmlns:pic="http://schemas.openxmlformats.org/drawingml/2006/picture">
                        <pic:nvPicPr>
                          <pic:cNvPr id="154" name="Picture_169"/>
                          <pic:cNvPicPr/>
                        </pic:nvPicPr>
                        <pic:blipFill>
                          <a:blip r:embed="rId108"/>
                          <a:stretch>
                            <a:fillRect/>
                          </a:stretch>
                        </pic:blipFill>
                        <pic:spPr>
                          <a:xfrm>
                            <a:off x="0" y="0"/>
                            <a:ext cx="634365" cy="38036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32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1200*300*600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F7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—固定结构，层板厚度40mm、立柱采用膨胀螺丝墙面固定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—支承结构无螺丝外露</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9F8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18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B9A7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FC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589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挂墙茜架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6A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150495</wp:posOffset>
                  </wp:positionV>
                  <wp:extent cx="755015" cy="495935"/>
                  <wp:effectExtent l="0" t="0" r="6985" b="6985"/>
                  <wp:wrapNone/>
                  <wp:docPr id="155" name="Picture_170"/>
                  <wp:cNvGraphicFramePr/>
                  <a:graphic xmlns:a="http://schemas.openxmlformats.org/drawingml/2006/main">
                    <a:graphicData uri="http://schemas.openxmlformats.org/drawingml/2006/picture">
                      <pic:pic xmlns:pic="http://schemas.openxmlformats.org/drawingml/2006/picture">
                        <pic:nvPicPr>
                          <pic:cNvPr id="155" name="Picture_170"/>
                          <pic:cNvPicPr/>
                        </pic:nvPicPr>
                        <pic:blipFill>
                          <a:blip r:embed="rId109"/>
                          <a:stretch>
                            <a:fillRect/>
                          </a:stretch>
                        </pic:blipFill>
                        <pic:spPr>
                          <a:xfrm>
                            <a:off x="0" y="0"/>
                            <a:ext cx="755015" cy="49593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EB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1600*550*300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E9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—采用SUS304-2B不锈钢板制造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—台面板厚1.2㎜,前板、侧板厚0.8mm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53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8D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35DB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016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657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工作台下层板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118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123825</wp:posOffset>
                  </wp:positionV>
                  <wp:extent cx="711835" cy="552450"/>
                  <wp:effectExtent l="0" t="0" r="4445" b="11430"/>
                  <wp:wrapNone/>
                  <wp:docPr id="174" name="Picture_171"/>
                  <wp:cNvGraphicFramePr/>
                  <a:graphic xmlns:a="http://schemas.openxmlformats.org/drawingml/2006/main">
                    <a:graphicData uri="http://schemas.openxmlformats.org/drawingml/2006/picture">
                      <pic:pic xmlns:pic="http://schemas.openxmlformats.org/drawingml/2006/picture">
                        <pic:nvPicPr>
                          <pic:cNvPr id="174" name="Picture_171"/>
                          <pic:cNvPicPr/>
                        </pic:nvPicPr>
                        <pic:blipFill>
                          <a:blip r:embed="rId40"/>
                          <a:stretch>
                            <a:fillRect/>
                          </a:stretch>
                        </pic:blipFill>
                        <pic:spPr>
                          <a:xfrm>
                            <a:off x="0" y="0"/>
                            <a:ext cx="7118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3AF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F43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—台面板采用SUS 304-2B不锈钢板制造，厚度为1.2mm，下层板厚1.0mm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88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25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B994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3C2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F67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工作台下层板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5E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123825</wp:posOffset>
                  </wp:positionV>
                  <wp:extent cx="711835" cy="552450"/>
                  <wp:effectExtent l="0" t="0" r="4445" b="11430"/>
                  <wp:wrapNone/>
                  <wp:docPr id="172" name="Picture_172"/>
                  <wp:cNvGraphicFramePr/>
                  <a:graphic xmlns:a="http://schemas.openxmlformats.org/drawingml/2006/main">
                    <a:graphicData uri="http://schemas.openxmlformats.org/drawingml/2006/picture">
                      <pic:pic xmlns:pic="http://schemas.openxmlformats.org/drawingml/2006/picture">
                        <pic:nvPicPr>
                          <pic:cNvPr id="172" name="Picture_172"/>
                          <pic:cNvPicPr/>
                        </pic:nvPicPr>
                        <pic:blipFill>
                          <a:blip r:embed="rId40"/>
                          <a:stretch>
                            <a:fillRect/>
                          </a:stretch>
                        </pic:blipFill>
                        <pic:spPr>
                          <a:xfrm>
                            <a:off x="0" y="0"/>
                            <a:ext cx="7118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5E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C6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—台面板采用SUS 304-2B不锈钢板制造，厚度为1.2mm，下层板厚1.0mm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62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0B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30C5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4D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13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双星盆台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73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137160</wp:posOffset>
                  </wp:positionH>
                  <wp:positionV relativeFrom="paragraph">
                    <wp:posOffset>123190</wp:posOffset>
                  </wp:positionV>
                  <wp:extent cx="651510" cy="557530"/>
                  <wp:effectExtent l="0" t="0" r="3810" b="6350"/>
                  <wp:wrapNone/>
                  <wp:docPr id="173" name="Picture_173"/>
                  <wp:cNvGraphicFramePr/>
                  <a:graphic xmlns:a="http://schemas.openxmlformats.org/drawingml/2006/main">
                    <a:graphicData uri="http://schemas.openxmlformats.org/drawingml/2006/picture">
                      <pic:pic xmlns:pic="http://schemas.openxmlformats.org/drawingml/2006/picture">
                        <pic:nvPicPr>
                          <pic:cNvPr id="173" name="Picture_173"/>
                          <pic:cNvPicPr/>
                        </pic:nvPicPr>
                        <pic:blipFill>
                          <a:blip r:embed="rId41"/>
                          <a:stretch>
                            <a:fillRect/>
                          </a:stretch>
                        </pic:blipFill>
                        <pic:spPr>
                          <a:xfrm>
                            <a:off x="0" y="0"/>
                            <a:ext cx="651510"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855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E96E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—面板一体冲压成型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—水斗规格：730*500*280mm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FCA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4F7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D8B2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9E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BA05a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469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47353B99">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170" name="图片_121_SpCnt_13"/>
                  <wp:cNvGraphicFramePr/>
                  <a:graphic xmlns:a="http://schemas.openxmlformats.org/drawingml/2006/main">
                    <a:graphicData uri="http://schemas.openxmlformats.org/drawingml/2006/picture">
                      <pic:pic xmlns:pic="http://schemas.openxmlformats.org/drawingml/2006/picture">
                        <pic:nvPicPr>
                          <pic:cNvPr id="170" name="图片_121_SpCnt_13"/>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6C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9748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61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BA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F83B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BF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CE6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电脑开水器连净水器底座</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41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317500</wp:posOffset>
                  </wp:positionH>
                  <wp:positionV relativeFrom="paragraph">
                    <wp:posOffset>687070</wp:posOffset>
                  </wp:positionV>
                  <wp:extent cx="368935" cy="554355"/>
                  <wp:effectExtent l="0" t="0" r="12065" b="9525"/>
                  <wp:wrapNone/>
                  <wp:docPr id="167" name="Picture_174_SpCnt_1"/>
                  <wp:cNvGraphicFramePr/>
                  <a:graphic xmlns:a="http://schemas.openxmlformats.org/drawingml/2006/main">
                    <a:graphicData uri="http://schemas.openxmlformats.org/drawingml/2006/picture">
                      <pic:pic xmlns:pic="http://schemas.openxmlformats.org/drawingml/2006/picture">
                        <pic:nvPicPr>
                          <pic:cNvPr id="167" name="Picture_174_SpCnt_1"/>
                          <pic:cNvPicPr/>
                        </pic:nvPicPr>
                        <pic:blipFill>
                          <a:blip r:embed="rId54"/>
                          <a:stretch>
                            <a:fillRect/>
                          </a:stretch>
                        </pic:blipFill>
                        <pic:spPr>
                          <a:xfrm>
                            <a:off x="0" y="0"/>
                            <a:ext cx="368935" cy="55435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A3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520*543*1515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F5A3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接水高度：420（可放下大号暖瓶）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额定电压;380V 额定功率：9KW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储水量：≥50L  加热方式：步进式加热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出水类型：双热  出水方式：机械龙头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出水量：≥120L/H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外壳材质采用不锈钢，内胆材质采用食品级SUS800优质合金材质，加热管采用食品级SUS800优质合金材质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实时显示水温，自动防干烧、自动漏电保护、自动缺水保护、自动超温保护、表面温度接近常温、故障自检知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含四级进水过滤器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B90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4A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E7E9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BBC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34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落地柜式洗手单星盆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A3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123825</wp:posOffset>
                  </wp:positionV>
                  <wp:extent cx="471805" cy="552450"/>
                  <wp:effectExtent l="0" t="0" r="635" b="11430"/>
                  <wp:wrapNone/>
                  <wp:docPr id="166" name="Picture_175"/>
                  <wp:cNvGraphicFramePr/>
                  <a:graphic xmlns:a="http://schemas.openxmlformats.org/drawingml/2006/main">
                    <a:graphicData uri="http://schemas.openxmlformats.org/drawingml/2006/picture">
                      <pic:pic xmlns:pic="http://schemas.openxmlformats.org/drawingml/2006/picture">
                        <pic:nvPicPr>
                          <pic:cNvPr id="166" name="Picture_175"/>
                          <pic:cNvPicPr/>
                        </pic:nvPicPr>
                        <pic:blipFill>
                          <a:blip r:embed="rId37"/>
                          <a:stretch>
                            <a:fillRect/>
                          </a:stretch>
                        </pic:blipFill>
                        <pic:spPr>
                          <a:xfrm>
                            <a:off x="0" y="0"/>
                            <a:ext cx="47180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99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432*420*800/900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0C1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—台面背板厚1.2㎜,水斗板厚1.0mm，左右侧板0.8mm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—水斗一体冲压折弯成型，规格：350*248*145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—柜式结构无卫生死角，配快拆式维修门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—配￠45落水器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38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14F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A86C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EE7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BA07a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EB6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感应龙头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7EF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321310</wp:posOffset>
                  </wp:positionV>
                  <wp:extent cx="643890" cy="514350"/>
                  <wp:effectExtent l="0" t="0" r="11430" b="3810"/>
                  <wp:wrapNone/>
                  <wp:docPr id="175" name="图片_1_SpCnt_7"/>
                  <wp:cNvGraphicFramePr/>
                  <a:graphic xmlns:a="http://schemas.openxmlformats.org/drawingml/2006/main">
                    <a:graphicData uri="http://schemas.openxmlformats.org/drawingml/2006/picture">
                      <pic:pic xmlns:pic="http://schemas.openxmlformats.org/drawingml/2006/picture">
                        <pic:nvPicPr>
                          <pic:cNvPr id="175" name="图片_1_SpCnt_7"/>
                          <pic:cNvPicPr/>
                        </pic:nvPicPr>
                        <pic:blipFill>
                          <a:blip r:embed="rId31"/>
                          <a:stretch>
                            <a:fillRect/>
                          </a:stretch>
                        </pic:blipFill>
                        <pic:spPr>
                          <a:xfrm>
                            <a:off x="0" y="0"/>
                            <a:ext cx="643890" cy="5143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1DE99">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5E0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单孔台出电子感应龙头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防破坏2.2GPM(8.3LPM)起泡器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防水控制盒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AC/DC交直流两用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手动混水阀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开孔：孔径32mm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F1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B1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89BA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E3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C54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洗地龙头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16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222885</wp:posOffset>
                  </wp:positionH>
                  <wp:positionV relativeFrom="paragraph">
                    <wp:posOffset>123190</wp:posOffset>
                  </wp:positionV>
                  <wp:extent cx="514985" cy="547370"/>
                  <wp:effectExtent l="0" t="0" r="3175" b="1270"/>
                  <wp:wrapNone/>
                  <wp:docPr id="159" name="Picture_176"/>
                  <wp:cNvGraphicFramePr/>
                  <a:graphic xmlns:a="http://schemas.openxmlformats.org/drawingml/2006/main">
                    <a:graphicData uri="http://schemas.openxmlformats.org/drawingml/2006/picture">
                      <pic:pic xmlns:pic="http://schemas.openxmlformats.org/drawingml/2006/picture">
                        <pic:nvPicPr>
                          <pic:cNvPr id="159" name="Picture_176"/>
                          <pic:cNvPicPr/>
                        </pic:nvPicPr>
                        <pic:blipFill>
                          <a:blip r:embed="rId49"/>
                          <a:stretch>
                            <a:fillRect/>
                          </a:stretch>
                        </pic:blipFill>
                        <pic:spPr>
                          <a:xfrm>
                            <a:off x="0" y="0"/>
                            <a:ext cx="51498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A4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117*375*360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D9C4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开放式洗地龙头； 松开把手自动关闭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开放式涂层钢洗地龙头，抛光镀铬喷阀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喉管:自动回卷伸缩，环氧敞开式卷盘软管长10.7米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适用于墙壁、天花板或台面下安装</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27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4F0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6F87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B45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BA08a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432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不锈钢洗地龙头摇摆支架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F42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300355</wp:posOffset>
                  </wp:positionH>
                  <wp:positionV relativeFrom="paragraph">
                    <wp:posOffset>123190</wp:posOffset>
                  </wp:positionV>
                  <wp:extent cx="394335" cy="547370"/>
                  <wp:effectExtent l="0" t="0" r="1905" b="1270"/>
                  <wp:wrapNone/>
                  <wp:docPr id="169" name="Picture_4_SpCnt_5"/>
                  <wp:cNvGraphicFramePr/>
                  <a:graphic xmlns:a="http://schemas.openxmlformats.org/drawingml/2006/main">
                    <a:graphicData uri="http://schemas.openxmlformats.org/drawingml/2006/picture">
                      <pic:pic xmlns:pic="http://schemas.openxmlformats.org/drawingml/2006/picture">
                        <pic:nvPicPr>
                          <pic:cNvPr id="169" name="Picture_4_SpCnt_5"/>
                          <pic:cNvPicPr/>
                        </pic:nvPicPr>
                        <pic:blipFill>
                          <a:blip r:embed="rId50"/>
                          <a:stretch>
                            <a:fillRect/>
                          </a:stretch>
                        </pic:blipFill>
                        <pic:spPr>
                          <a:xfrm>
                            <a:off x="0" y="0"/>
                            <a:ext cx="39433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ADF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0E64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快装一体式不锈钢洗地龙头支架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适用于所有T&amp;S管径为3/8”和1/2”的洗地龙头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单人安装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活动范围100°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F1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83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43CA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A77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14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圆带式传送带（L型，3根皮筋）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22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111125</wp:posOffset>
                  </wp:positionH>
                  <wp:positionV relativeFrom="paragraph">
                    <wp:posOffset>937895</wp:posOffset>
                  </wp:positionV>
                  <wp:extent cx="712470" cy="628015"/>
                  <wp:effectExtent l="0" t="0" r="3810" b="12065"/>
                  <wp:wrapNone/>
                  <wp:docPr id="162" name="ID_9C6D1F519D9B4F839C6D1F27B566B583"/>
                  <wp:cNvGraphicFramePr/>
                  <a:graphic xmlns:a="http://schemas.openxmlformats.org/drawingml/2006/main">
                    <a:graphicData uri="http://schemas.openxmlformats.org/drawingml/2006/picture">
                      <pic:pic xmlns:pic="http://schemas.openxmlformats.org/drawingml/2006/picture">
                        <pic:nvPicPr>
                          <pic:cNvPr id="162" name="ID_9C6D1F519D9B4F839C6D1F27B566B583"/>
                          <pic:cNvPicPr/>
                        </pic:nvPicPr>
                        <pic:blipFill>
                          <a:blip r:embed="rId110"/>
                          <a:stretch>
                            <a:fillRect/>
                          </a:stretch>
                        </pic:blipFill>
                        <pic:spPr>
                          <a:xfrm>
                            <a:off x="0" y="0"/>
                            <a:ext cx="712470" cy="6280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716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L*600*850/950mm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098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规格：L×600×850/950（mm）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电源要求：220V/50Hz/3N，总功率：0.55kW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传送速度：0～15m/min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3条平行的传送柱通过PP驱动轮在不锈钢机架表面滑动，带动托盘传送，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传送柱材质为聚亚安酯，食品级材料，内部有纤维制作的加强芯，传送柱直径：18mm，抗扯力≥2000N。采用304不锈钢材质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自带变频器，配置柔性启动和停止系统，电机为刹车电机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★输送带电箱控制柜通过GB/T4208-2017 外壳防护等级IPX6检测，（提供具有CMA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ILAC-MAR</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CNAS标识的检测报告复印件加盖投标人公章，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★输送带传送绳通过GB 4806.7-2016食品安全国家标准食品接触用塑料材料及制品检测 ★输送带通过GB/T 4706.1-2005 电气安全、机械危险检测，（提供具有CMA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CNAS标识的检测报告复印件加盖投标人公章</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76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CD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r>
      <w:tr w14:paraId="7F030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11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91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小件投放柜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6E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150495</wp:posOffset>
                  </wp:positionV>
                  <wp:extent cx="788670" cy="659765"/>
                  <wp:effectExtent l="0" t="0" r="0" b="0"/>
                  <wp:wrapNone/>
                  <wp:docPr id="156" name="ID_6FEB503D3A3E4294BDBFC5199E01A52A"/>
                  <wp:cNvGraphicFramePr/>
                  <a:graphic xmlns:a="http://schemas.openxmlformats.org/drawingml/2006/main">
                    <a:graphicData uri="http://schemas.openxmlformats.org/drawingml/2006/picture">
                      <pic:pic xmlns:pic="http://schemas.openxmlformats.org/drawingml/2006/picture">
                        <pic:nvPicPr>
                          <pic:cNvPr id="156" name="ID_6FEB503D3A3E4294BDBFC5199E01A52A"/>
                          <pic:cNvPicPr/>
                        </pic:nvPicPr>
                        <pic:blipFill>
                          <a:blip r:embed="rId111"/>
                          <a:stretch>
                            <a:fillRect/>
                          </a:stretch>
                        </pic:blipFill>
                        <pic:spPr>
                          <a:xfrm>
                            <a:off x="0" y="0"/>
                            <a:ext cx="788670" cy="65976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4B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L*350*850/950mm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CAF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采用1.2面板，采用304不锈钢材质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所投304不锈钢板材依据GB/T228.1-2021进行室温拉伸试验，试验结果：抗拉强度666Rm（MPa），规定塑性延伸强度376Rp0.2(MPa），断后伸长率46.5A（%），依据GB/T229-2020进行冲击试验，温度25℃，试验结果为124KV2(J）依据GB/T232-2010进行弯曲试验，试验条件D=2a，试验样品弯曲180°，无肉眼可见裂纹。（检测报告上体现，</w:t>
            </w:r>
            <w:r>
              <w:rPr>
                <w:rFonts w:hint="eastAsia" w:ascii="宋体" w:hAnsi="宋体" w:cs="宋体"/>
                <w:i w:val="0"/>
                <w:iCs w:val="0"/>
                <w:color w:val="auto"/>
                <w:kern w:val="0"/>
                <w:sz w:val="20"/>
                <w:szCs w:val="20"/>
                <w:highlight w:val="none"/>
                <w:u w:val="none"/>
                <w:lang w:val="en-US" w:eastAsia="zh-CN" w:bidi="ar"/>
              </w:rPr>
              <w:t>CMA或CNAS或中国认可国际互认检测</w:t>
            </w:r>
            <w:r>
              <w:rPr>
                <w:rFonts w:hint="eastAsia" w:ascii="宋体" w:hAnsi="宋体" w:eastAsia="宋体" w:cs="宋体"/>
                <w:i w:val="0"/>
                <w:iCs w:val="0"/>
                <w:color w:val="auto"/>
                <w:kern w:val="0"/>
                <w:sz w:val="20"/>
                <w:szCs w:val="20"/>
                <w:highlight w:val="none"/>
                <w:u w:val="none"/>
                <w:lang w:val="en-US" w:eastAsia="zh-CN" w:bidi="ar"/>
              </w:rPr>
              <w:t>等标志）</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C9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8B1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314F9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43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D7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鼓泡浸泡池</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F05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843915</wp:posOffset>
                  </wp:positionV>
                  <wp:extent cx="780415" cy="684530"/>
                  <wp:effectExtent l="0" t="0" r="12065" b="1270"/>
                  <wp:wrapNone/>
                  <wp:docPr id="163" name="图片_2"/>
                  <wp:cNvGraphicFramePr/>
                  <a:graphic xmlns:a="http://schemas.openxmlformats.org/drawingml/2006/main">
                    <a:graphicData uri="http://schemas.openxmlformats.org/drawingml/2006/picture">
                      <pic:pic xmlns:pic="http://schemas.openxmlformats.org/drawingml/2006/picture">
                        <pic:nvPicPr>
                          <pic:cNvPr id="163" name="图片_2"/>
                          <pic:cNvPicPr/>
                        </pic:nvPicPr>
                        <pic:blipFill>
                          <a:blip r:embed="rId112"/>
                          <a:stretch>
                            <a:fillRect/>
                          </a:stretch>
                        </pic:blipFill>
                        <pic:spPr>
                          <a:xfrm>
                            <a:off x="0" y="0"/>
                            <a:ext cx="780415" cy="684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FB4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1500*1000*800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582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水槽容量 ：1338*819*300mm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加热型  ：4kw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水温 ：30-50℃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进水压力  ：0.15-0.4Mpa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电源要求 ：380V/50Hz/3N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常温型功率  ：0.75kw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电加热型功率 ：4.75kw  电加热型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机械控制面板，操作简便。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整机双层结构，牢固可靠。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独特的鼓泡功能可将餐具上的残渣洗掉。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浸泡洗涤量大，适用于多种餐具。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机器前端设有残渣收集篮，处理残渣方便快捷。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选配加热器可提升水温，让冬季清洗更温暖，餐具上污渍更易软化，带有低水位保护防止加热管干烧。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内置过滤网，排干水后即可将垃圾倒掉。</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9A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DB1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CDA7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E7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92F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长龙式洗碗机（1主洗，2漂洗，1烘干）</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430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120650</wp:posOffset>
                  </wp:positionH>
                  <wp:positionV relativeFrom="paragraph">
                    <wp:posOffset>1808480</wp:posOffset>
                  </wp:positionV>
                  <wp:extent cx="676910" cy="518795"/>
                  <wp:effectExtent l="0" t="0" r="8890" b="14605"/>
                  <wp:wrapNone/>
                  <wp:docPr id="179" name="ID_426607281AEC4AF1B8F8F141C9172A02"/>
                  <wp:cNvGraphicFramePr/>
                  <a:graphic xmlns:a="http://schemas.openxmlformats.org/drawingml/2006/main">
                    <a:graphicData uri="http://schemas.openxmlformats.org/drawingml/2006/picture">
                      <pic:pic xmlns:pic="http://schemas.openxmlformats.org/drawingml/2006/picture">
                        <pic:nvPicPr>
                          <pic:cNvPr id="179" name="ID_426607281AEC4AF1B8F8F141C9172A02"/>
                          <pic:cNvPicPr/>
                        </pic:nvPicPr>
                        <pic:blipFill>
                          <a:blip r:embed="rId113"/>
                          <a:stretch>
                            <a:fillRect/>
                          </a:stretch>
                        </pic:blipFill>
                        <pic:spPr>
                          <a:xfrm>
                            <a:off x="0" y="0"/>
                            <a:ext cx="676910" cy="5187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F87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4350*1000*2040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69E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洗碗机由进端、主洗、双道漂洗、烘干区、出端等5个基础模块组成；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机器传送带速度无极变速可调；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入口区长度900mm,主洗区800mm长度，漂洗区长度600mm,烘干1区长度800mm,出口区1250mm；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机器入口高度420mm，传送带宽度505mm；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整机采用触摸屏操作、PLC控制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电加热型功率：62kw ；电源要求：380V/50Hz/3N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洗涤量每小时5000碟；</w:t>
            </w:r>
          </w:p>
          <w:p w14:paraId="511CF36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★洗碗机符合洗碗机安全国家标准，洗碗机洗涤后餐具必须符合GB 14934-2016 游离性余氯、阴离子合成洗涤剂、大肠杆菌、沙门氏菌检测认证，（提供投标人盖章检测报告） </w:t>
            </w:r>
          </w:p>
          <w:p w14:paraId="601D37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★所投洗碗机须提供检测机构出具的：依据GB/T 4806.9-2016 食品安全国家标准食品接触用金属材料及制品检测，化学成分（As、Cd、Pb、Cr、Ni）检测残留认证，（提供具有CMA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ILAC-MAR</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CNAS标识的检测报告复印件加盖投标人公章）</w:t>
            </w:r>
          </w:p>
          <w:p w14:paraId="07CDEC2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★洗碗机符合GB4706.1-2005、GB4706.50-2008电气安全、机械危险检测认证；主要零部件：交流接触器、接线端子排、电机保护器、隔离开关、急停开关、控制板、启动停止开关通过耐热和耐燃检测项目测试（提供具有CMA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ILAC-MAR</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CNAS标识的检测报告复印件加盖投标人鲜章）</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BE9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8D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34FF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8C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B2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中岛洗碗机油烟罩</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AA9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522605"/>
                  <wp:effectExtent l="0" t="0" r="6985" b="10795"/>
                  <wp:wrapNone/>
                  <wp:docPr id="164" name="Picture_182"/>
                  <wp:cNvGraphicFramePr/>
                  <a:graphic xmlns:a="http://schemas.openxmlformats.org/drawingml/2006/main">
                    <a:graphicData uri="http://schemas.openxmlformats.org/drawingml/2006/picture">
                      <pic:pic xmlns:pic="http://schemas.openxmlformats.org/drawingml/2006/picture">
                        <pic:nvPicPr>
                          <pic:cNvPr id="164" name="Picture_182"/>
                          <pic:cNvPicPr/>
                        </pic:nvPicPr>
                        <pic:blipFill>
                          <a:blip r:embed="rId114"/>
                          <a:stretch>
                            <a:fillRect/>
                          </a:stretch>
                        </pic:blipFill>
                        <pic:spPr>
                          <a:xfrm>
                            <a:off x="0" y="0"/>
                            <a:ext cx="755015" cy="52260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BC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5000*1200*500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41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—配防雾烟罩灯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—前板、左右端板厚1.0mm，顶板、后板厚1.0mm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—各加强档厚1.0~1.2mm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—配打孔网板0.8~1.0mm，C型号结构中岛式</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859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3C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1CC6F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A0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EDC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环保型灭蝇器（粘捕）</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96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522605"/>
                  <wp:effectExtent l="0" t="0" r="6985" b="10795"/>
                  <wp:wrapNone/>
                  <wp:docPr id="158" name="Picture_183"/>
                  <wp:cNvGraphicFramePr/>
                  <a:graphic xmlns:a="http://schemas.openxmlformats.org/drawingml/2006/main">
                    <a:graphicData uri="http://schemas.openxmlformats.org/drawingml/2006/picture">
                      <pic:pic xmlns:pic="http://schemas.openxmlformats.org/drawingml/2006/picture">
                        <pic:nvPicPr>
                          <pic:cNvPr id="158" name="Picture_183"/>
                          <pic:cNvPicPr/>
                        </pic:nvPicPr>
                        <pic:blipFill>
                          <a:blip r:embed="rId34"/>
                          <a:stretch>
                            <a:fillRect/>
                          </a:stretch>
                        </pic:blipFill>
                        <pic:spPr>
                          <a:xfrm>
                            <a:off x="0" y="0"/>
                            <a:ext cx="755015" cy="52260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46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360*155*200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E1E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配优质双灯管，紫外线灯管功率≥8W*2，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净重: 1kg(含)-1.5kg(不含)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灭蚊原理: 粘捕式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诱蚊方式: UVA紫光灯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适用面积：30~60㎡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FCC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25D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D805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1B3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231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高身储碟柜（翻门) </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E0F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325755</wp:posOffset>
                  </wp:positionH>
                  <wp:positionV relativeFrom="paragraph">
                    <wp:posOffset>123825</wp:posOffset>
                  </wp:positionV>
                  <wp:extent cx="360680" cy="552450"/>
                  <wp:effectExtent l="0" t="0" r="5080" b="11430"/>
                  <wp:wrapNone/>
                  <wp:docPr id="165" name="Picture_185"/>
                  <wp:cNvGraphicFramePr/>
                  <a:graphic xmlns:a="http://schemas.openxmlformats.org/drawingml/2006/main">
                    <a:graphicData uri="http://schemas.openxmlformats.org/drawingml/2006/picture">
                      <pic:pic xmlns:pic="http://schemas.openxmlformats.org/drawingml/2006/picture">
                        <pic:nvPicPr>
                          <pic:cNvPr id="165" name="Picture_185"/>
                          <pic:cNvPicPr/>
                        </pic:nvPicPr>
                        <pic:blipFill>
                          <a:blip r:embed="rId115"/>
                          <a:stretch>
                            <a:fillRect/>
                          </a:stretch>
                        </pic:blipFill>
                        <pic:spPr>
                          <a:xfrm>
                            <a:off x="0" y="0"/>
                            <a:ext cx="360680"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DD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29A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—层板、底板厚为1.0mm，门外板厚1.0mm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—门内复板厚0.8mm，顶板厚0.8mm，侧板厚0.8mm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—上掀式V型滑轨，弧型轴承，一种带轴承的翻门结构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0B5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D18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7EF7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6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598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A9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热风循环商用消毒柜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34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291465</wp:posOffset>
                  </wp:positionH>
                  <wp:positionV relativeFrom="paragraph">
                    <wp:posOffset>549275</wp:posOffset>
                  </wp:positionV>
                  <wp:extent cx="403225" cy="555625"/>
                  <wp:effectExtent l="0" t="0" r="8255" b="8255"/>
                  <wp:wrapNone/>
                  <wp:docPr id="160" name="Picture_186"/>
                  <wp:cNvGraphicFramePr/>
                  <a:graphic xmlns:a="http://schemas.openxmlformats.org/drawingml/2006/main">
                    <a:graphicData uri="http://schemas.openxmlformats.org/drawingml/2006/picture">
                      <pic:pic xmlns:pic="http://schemas.openxmlformats.org/drawingml/2006/picture">
                        <pic:nvPicPr>
                          <pic:cNvPr id="160" name="Picture_186"/>
                          <pic:cNvPicPr/>
                        </pic:nvPicPr>
                        <pic:blipFill>
                          <a:blip r:embed="rId116"/>
                          <a:stretch>
                            <a:fillRect/>
                          </a:stretch>
                        </pic:blipFill>
                        <pic:spPr>
                          <a:xfrm>
                            <a:off x="0" y="0"/>
                            <a:ext cx="403225" cy="55562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3E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1310*635*1880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8D4B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 220V/50HZ 输入功率: 4.6KW 电流: 21.5A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温度范围30~ 150°C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2、使用耐高温风机、不锈钢加热管及微电脑控制板;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3、柜内配备不锈钢网篮，网框为不锈钢材质，表面二次镀镍防锈,生、耐用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4、内箱板材厚度1.0mm, 外箱板材厚度0.8mm。外箱顶部及外箱后背板使用环保无锌花表面钝化优质镀锌板;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5、柜内配备8个网框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★提供经过</w:t>
            </w:r>
            <w:r>
              <w:rPr>
                <w:rFonts w:hint="eastAsia" w:ascii="宋体" w:hAnsi="宋体" w:cs="宋体"/>
                <w:i w:val="0"/>
                <w:iCs w:val="0"/>
                <w:color w:val="auto"/>
                <w:kern w:val="0"/>
                <w:sz w:val="20"/>
                <w:szCs w:val="20"/>
                <w:highlight w:val="none"/>
                <w:u w:val="none"/>
                <w:lang w:val="en-US" w:eastAsia="zh-CN" w:bidi="ar"/>
              </w:rPr>
              <w:t>CMA或</w:t>
            </w:r>
            <w:r>
              <w:rPr>
                <w:rFonts w:hint="eastAsia" w:ascii="宋体" w:hAnsi="宋体" w:eastAsia="宋体" w:cs="宋体"/>
                <w:i w:val="0"/>
                <w:iCs w:val="0"/>
                <w:color w:val="auto"/>
                <w:kern w:val="0"/>
                <w:sz w:val="20"/>
                <w:szCs w:val="20"/>
                <w:highlight w:val="none"/>
                <w:u w:val="none"/>
                <w:lang w:val="en-US" w:eastAsia="zh-CN" w:bidi="ar"/>
              </w:rPr>
              <w:t>CNAS认证的检测机构出具的权威检测报告,符合卫生部《消毒技术规范》（2002年版）GB 17988-2008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★产品门磁条同时符合《GB 4806.7-2016食品安全国家标准食品接触用塑料材料及制品》及《GB/T26572-2011《电子电气产品中限用物质的限量要求》规范要求检测(提供第三方检则机构出具报告扫描件并加盖生产投标人公章)</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EA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31A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30413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DE9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BA19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D81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风幕机（遥控型）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16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276860</wp:posOffset>
                  </wp:positionV>
                  <wp:extent cx="755015" cy="309245"/>
                  <wp:effectExtent l="0" t="0" r="6985" b="10795"/>
                  <wp:wrapNone/>
                  <wp:docPr id="176" name="Picture_160_SpCnt_1"/>
                  <wp:cNvGraphicFramePr/>
                  <a:graphic xmlns:a="http://schemas.openxmlformats.org/drawingml/2006/main">
                    <a:graphicData uri="http://schemas.openxmlformats.org/drawingml/2006/picture">
                      <pic:pic xmlns:pic="http://schemas.openxmlformats.org/drawingml/2006/picture">
                        <pic:nvPicPr>
                          <pic:cNvPr id="176" name="Picture_160_SpCnt_1"/>
                          <pic:cNvPicPr/>
                        </pic:nvPicPr>
                        <pic:blipFill>
                          <a:blip r:embed="rId29"/>
                          <a:stretch>
                            <a:fillRect/>
                          </a:stretch>
                        </pic:blipFill>
                        <pic:spPr>
                          <a:xfrm>
                            <a:off x="0" y="0"/>
                            <a:ext cx="755015" cy="3092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A09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1500*198*215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0AFE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额定电压220V，功率：360-390W;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风口风量：1350-1700m3/h,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风口风速:14.5-11.5m/s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材质：工程塑料，低噪音风机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1、贯流式强力送风轻松在室内外之间形成一道隐形的风幕墙，隔开室内外空气的同时，更可将灰尘，飞虫等阻挡于室外。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2、遮断效果佳，风路升级体现高风速，低噪音运转。</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068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E0A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5C39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85BAD">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CA七层洗消间</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0270F">
            <w:pPr>
              <w:rPr>
                <w:rFonts w:hint="eastAsia" w:ascii="宋体" w:hAnsi="宋体" w:eastAsia="宋体" w:cs="宋体"/>
                <w:i w:val="0"/>
                <w:iCs w:val="0"/>
                <w:color w:val="auto"/>
                <w:sz w:val="20"/>
                <w:szCs w:val="20"/>
                <w:highlight w:val="none"/>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197F1">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91985">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8054">
            <w:pPr>
              <w:jc w:val="left"/>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5BC76">
            <w:pPr>
              <w:jc w:val="center"/>
              <w:rPr>
                <w:rFonts w:hint="eastAsia" w:ascii="宋体" w:hAnsi="宋体" w:eastAsia="宋体" w:cs="宋体"/>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18E88">
            <w:pPr>
              <w:jc w:val="center"/>
              <w:rPr>
                <w:rFonts w:hint="eastAsia" w:ascii="宋体" w:hAnsi="宋体" w:eastAsia="宋体" w:cs="宋体"/>
                <w:i w:val="0"/>
                <w:iCs w:val="0"/>
                <w:color w:val="auto"/>
                <w:sz w:val="20"/>
                <w:szCs w:val="20"/>
                <w:highlight w:val="none"/>
                <w:u w:val="none"/>
              </w:rPr>
            </w:pPr>
          </w:p>
        </w:tc>
      </w:tr>
      <w:tr w14:paraId="66C4B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5EC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0C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挂墙双层架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363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146050</wp:posOffset>
                  </wp:positionH>
                  <wp:positionV relativeFrom="paragraph">
                    <wp:posOffset>122555</wp:posOffset>
                  </wp:positionV>
                  <wp:extent cx="634365" cy="380365"/>
                  <wp:effectExtent l="0" t="0" r="5715" b="635"/>
                  <wp:wrapNone/>
                  <wp:docPr id="161" name="Picture_188"/>
                  <wp:cNvGraphicFramePr/>
                  <a:graphic xmlns:a="http://schemas.openxmlformats.org/drawingml/2006/main">
                    <a:graphicData uri="http://schemas.openxmlformats.org/drawingml/2006/picture">
                      <pic:pic xmlns:pic="http://schemas.openxmlformats.org/drawingml/2006/picture">
                        <pic:nvPicPr>
                          <pic:cNvPr id="161" name="Picture_188"/>
                          <pic:cNvPicPr/>
                        </pic:nvPicPr>
                        <pic:blipFill>
                          <a:blip r:embed="rId108"/>
                          <a:stretch>
                            <a:fillRect/>
                          </a:stretch>
                        </pic:blipFill>
                        <pic:spPr>
                          <a:xfrm>
                            <a:off x="0" y="0"/>
                            <a:ext cx="634365" cy="38036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B6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1500*300*600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7B02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—固定结构，层板厚度40mm、立柱采用膨胀螺丝墙面固定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—支承结构无螺丝外露</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4F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4C1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EE0A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901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CE6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工作台下层板</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13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123825</wp:posOffset>
                  </wp:positionV>
                  <wp:extent cx="711835" cy="552450"/>
                  <wp:effectExtent l="0" t="0" r="4445" b="11430"/>
                  <wp:wrapNone/>
                  <wp:docPr id="180" name="Picture_189"/>
                  <wp:cNvGraphicFramePr/>
                  <a:graphic xmlns:a="http://schemas.openxmlformats.org/drawingml/2006/main">
                    <a:graphicData uri="http://schemas.openxmlformats.org/drawingml/2006/picture">
                      <pic:pic xmlns:pic="http://schemas.openxmlformats.org/drawingml/2006/picture">
                        <pic:nvPicPr>
                          <pic:cNvPr id="180" name="Picture_189"/>
                          <pic:cNvPicPr/>
                        </pic:nvPicPr>
                        <pic:blipFill>
                          <a:blip r:embed="rId40"/>
                          <a:stretch>
                            <a:fillRect/>
                          </a:stretch>
                        </pic:blipFill>
                        <pic:spPr>
                          <a:xfrm>
                            <a:off x="0" y="0"/>
                            <a:ext cx="71183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EC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4B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—台面板采用SUS 304-2B不锈钢板制造，厚度为1.2mm，下层板厚1.0mm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—面板下衬δ15木工板减噪，木板下复铝板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—加强码用0.8~1.2mm不锈钢板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811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9B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DCFC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4A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65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双星盆台</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76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137160</wp:posOffset>
                  </wp:positionH>
                  <wp:positionV relativeFrom="paragraph">
                    <wp:posOffset>123190</wp:posOffset>
                  </wp:positionV>
                  <wp:extent cx="651510" cy="557530"/>
                  <wp:effectExtent l="0" t="0" r="3810" b="6350"/>
                  <wp:wrapNone/>
                  <wp:docPr id="168" name="Picture_190"/>
                  <wp:cNvGraphicFramePr/>
                  <a:graphic xmlns:a="http://schemas.openxmlformats.org/drawingml/2006/main">
                    <a:graphicData uri="http://schemas.openxmlformats.org/drawingml/2006/picture">
                      <pic:pic xmlns:pic="http://schemas.openxmlformats.org/drawingml/2006/picture">
                        <pic:nvPicPr>
                          <pic:cNvPr id="168" name="Picture_190"/>
                          <pic:cNvPicPr/>
                        </pic:nvPicPr>
                        <pic:blipFill>
                          <a:blip r:embed="rId41"/>
                          <a:stretch>
                            <a:fillRect/>
                          </a:stretch>
                        </pic:blipFill>
                        <pic:spPr>
                          <a:xfrm>
                            <a:off x="0" y="0"/>
                            <a:ext cx="651510" cy="557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05A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1800*750*800/950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C90C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—台面板厚1.2㎜,水斗板厚1.2mm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—配2″去水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—面板一体冲压成型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—水斗规格：730*500*280mm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—φ38mm厚度1.0mm不锈钢圆通腿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—φ25mm厚度1.0mm不锈钢下橫通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—配全钢可调式子弹脚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67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CA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24A2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2"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0F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CA03a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2B1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台式混水厨房龙头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top"/>
          </w:tcPr>
          <w:p w14:paraId="6F8B4DC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162560</wp:posOffset>
                  </wp:positionH>
                  <wp:positionV relativeFrom="paragraph">
                    <wp:posOffset>610870</wp:posOffset>
                  </wp:positionV>
                  <wp:extent cx="540385" cy="455295"/>
                  <wp:effectExtent l="0" t="0" r="8255" b="1905"/>
                  <wp:wrapNone/>
                  <wp:docPr id="177" name="图片_121_SpCnt_14"/>
                  <wp:cNvGraphicFramePr/>
                  <a:graphic xmlns:a="http://schemas.openxmlformats.org/drawingml/2006/main">
                    <a:graphicData uri="http://schemas.openxmlformats.org/drawingml/2006/picture">
                      <pic:pic xmlns:pic="http://schemas.openxmlformats.org/drawingml/2006/picture">
                        <pic:nvPicPr>
                          <pic:cNvPr id="177" name="图片_121_SpCnt_14"/>
                          <pic:cNvPicPr/>
                        </pic:nvPicPr>
                        <pic:blipFill>
                          <a:blip r:embed="rId36"/>
                          <a:stretch>
                            <a:fillRect/>
                          </a:stretch>
                        </pic:blipFill>
                        <pic:spPr>
                          <a:xfrm>
                            <a:off x="0" y="0"/>
                            <a:ext cx="540385" cy="45529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6C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 (254mm)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60A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本体安装: 台式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本体: 8" (203mm)中心距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阀芯: 陶瓷式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旋转式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 10" (254mm)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水嘴出水口: 层流出水装置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进水口: 1/2" NPT内螺纹,90°旋转陶瓷阀芯,NPT 外螺纹进水口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纳入环境标志产品、节能产品政府采购名录，拥有节水产品认证证书</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4B1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F5C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2D72C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DE3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F3F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洗地龙头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99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222885</wp:posOffset>
                  </wp:positionH>
                  <wp:positionV relativeFrom="paragraph">
                    <wp:posOffset>123190</wp:posOffset>
                  </wp:positionV>
                  <wp:extent cx="514985" cy="547370"/>
                  <wp:effectExtent l="0" t="0" r="3175" b="1270"/>
                  <wp:wrapNone/>
                  <wp:docPr id="171" name="Picture_191_SpCnt_2"/>
                  <wp:cNvGraphicFramePr/>
                  <a:graphic xmlns:a="http://schemas.openxmlformats.org/drawingml/2006/main">
                    <a:graphicData uri="http://schemas.openxmlformats.org/drawingml/2006/picture">
                      <pic:pic xmlns:pic="http://schemas.openxmlformats.org/drawingml/2006/picture">
                        <pic:nvPicPr>
                          <pic:cNvPr id="171" name="Picture_191_SpCnt_2"/>
                          <pic:cNvPicPr/>
                        </pic:nvPicPr>
                        <pic:blipFill>
                          <a:blip r:embed="rId49"/>
                          <a:stretch>
                            <a:fillRect/>
                          </a:stretch>
                        </pic:blipFill>
                        <pic:spPr>
                          <a:xfrm>
                            <a:off x="0" y="0"/>
                            <a:ext cx="51498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E6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117*375*360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6EAC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开放式洗地龙头； 松开把手自动关闭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开放式涂层钢洗地龙头，抛光镀铬喷阀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喉管:自动回卷伸缩，环氧敞开式卷盘软管长10.7米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适用于墙壁、天花板或台面下安装</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EB5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AE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C9A9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2B7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CA04a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BBD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不锈钢洗地龙头摇摆支架</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92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300355</wp:posOffset>
                  </wp:positionH>
                  <wp:positionV relativeFrom="paragraph">
                    <wp:posOffset>123190</wp:posOffset>
                  </wp:positionV>
                  <wp:extent cx="394335" cy="547370"/>
                  <wp:effectExtent l="0" t="0" r="1905" b="1270"/>
                  <wp:wrapNone/>
                  <wp:docPr id="178" name="Picture_4_SpCnt_6"/>
                  <wp:cNvGraphicFramePr/>
                  <a:graphic xmlns:a="http://schemas.openxmlformats.org/drawingml/2006/main">
                    <a:graphicData uri="http://schemas.openxmlformats.org/drawingml/2006/picture">
                      <pic:pic xmlns:pic="http://schemas.openxmlformats.org/drawingml/2006/picture">
                        <pic:nvPicPr>
                          <pic:cNvPr id="178" name="Picture_4_SpCnt_6"/>
                          <pic:cNvPicPr/>
                        </pic:nvPicPr>
                        <pic:blipFill>
                          <a:blip r:embed="rId50"/>
                          <a:stretch>
                            <a:fillRect/>
                          </a:stretch>
                        </pic:blipFill>
                        <pic:spPr>
                          <a:xfrm>
                            <a:off x="0" y="0"/>
                            <a:ext cx="394335" cy="54737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BAD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100*120*0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121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快装一体式不锈钢洗地龙头支架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适用于所有T&amp;S管径为3/8”和1/2”的洗地龙头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单人安装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活动范围100°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8A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7B9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9CE4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7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8B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ECD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电脑开水器连净水器底座</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9B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300355</wp:posOffset>
                  </wp:positionH>
                  <wp:positionV relativeFrom="paragraph">
                    <wp:posOffset>801370</wp:posOffset>
                  </wp:positionV>
                  <wp:extent cx="386080" cy="554990"/>
                  <wp:effectExtent l="0" t="0" r="10160" b="8890"/>
                  <wp:wrapNone/>
                  <wp:docPr id="181" name="Picture_192"/>
                  <wp:cNvGraphicFramePr/>
                  <a:graphic xmlns:a="http://schemas.openxmlformats.org/drawingml/2006/main">
                    <a:graphicData uri="http://schemas.openxmlformats.org/drawingml/2006/picture">
                      <pic:pic xmlns:pic="http://schemas.openxmlformats.org/drawingml/2006/picture">
                        <pic:nvPicPr>
                          <pic:cNvPr id="181" name="Picture_192"/>
                          <pic:cNvPicPr/>
                        </pic:nvPicPr>
                        <pic:blipFill>
                          <a:blip r:embed="rId117"/>
                          <a:stretch>
                            <a:fillRect/>
                          </a:stretch>
                        </pic:blipFill>
                        <pic:spPr>
                          <a:xfrm>
                            <a:off x="0" y="0"/>
                            <a:ext cx="386080" cy="55499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27D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520*543*1515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6827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接水高度：420（可放下大号暖瓶）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额定电压;380V 额定功率：≥9KW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储水量：≥50L  加热方式：步进式加热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出水类型：双热  出水方式：机械龙头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出水量：≥120L/H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外壳材质采用不锈钢，内胆材质采用食品级SUS800优质合金材质，加热管采用食品级SUS800优质合金材质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实时显示水温，自动防干烧、自动漏电保护、自动缺水保护、自动超温保护、表面温度接近常温、故障自检知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含四级进水过滤器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A2E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FD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AB34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4D8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AB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小件投放柜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77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107315</wp:posOffset>
                  </wp:positionV>
                  <wp:extent cx="788670" cy="655955"/>
                  <wp:effectExtent l="0" t="0" r="0" b="0"/>
                  <wp:wrapNone/>
                  <wp:docPr id="182" name="ID_6FEB503D3A3E4294BDBFC5199E01A52A_SpCnt_1"/>
                  <wp:cNvGraphicFramePr/>
                  <a:graphic xmlns:a="http://schemas.openxmlformats.org/drawingml/2006/main">
                    <a:graphicData uri="http://schemas.openxmlformats.org/drawingml/2006/picture">
                      <pic:pic xmlns:pic="http://schemas.openxmlformats.org/drawingml/2006/picture">
                        <pic:nvPicPr>
                          <pic:cNvPr id="182" name="ID_6FEB503D3A3E4294BDBFC5199E01A52A_SpCnt_1"/>
                          <pic:cNvPicPr/>
                        </pic:nvPicPr>
                        <pic:blipFill>
                          <a:blip r:embed="rId118"/>
                          <a:stretch>
                            <a:fillRect/>
                          </a:stretch>
                        </pic:blipFill>
                        <pic:spPr>
                          <a:xfrm>
                            <a:off x="0" y="0"/>
                            <a:ext cx="788670" cy="65595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57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L*350*850/950mm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CCF0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采用1.2面板，采用304不锈钢材质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所投304不锈钢板材依据GB/T228.1-2021进行室温拉伸试验，试验结果：抗拉强度666Rm（MPa），规定塑性延伸强度376Rp0.2(MPa），断后伸长率46.5A（%），依据GB/T229-2020进行冲击试验，温度25℃，试验结果为124KV2(J）依据GB/T232-2010进行弯曲试验，试验条件D=2a，试验样品弯曲180°，无肉眼可见裂纹。（检测报告上体现，</w:t>
            </w:r>
            <w:r>
              <w:rPr>
                <w:rFonts w:hint="eastAsia" w:ascii="宋体" w:hAnsi="宋体" w:cs="宋体"/>
                <w:i w:val="0"/>
                <w:iCs w:val="0"/>
                <w:color w:val="auto"/>
                <w:kern w:val="0"/>
                <w:sz w:val="20"/>
                <w:szCs w:val="20"/>
                <w:highlight w:val="none"/>
                <w:u w:val="none"/>
                <w:lang w:val="en-US" w:eastAsia="zh-CN" w:bidi="ar"/>
              </w:rPr>
              <w:t>CMA或CNAS或中国认可国际互认检测</w:t>
            </w:r>
            <w:r>
              <w:rPr>
                <w:rFonts w:hint="eastAsia" w:ascii="宋体" w:hAnsi="宋体" w:eastAsia="宋体" w:cs="宋体"/>
                <w:i w:val="0"/>
                <w:iCs w:val="0"/>
                <w:color w:val="auto"/>
                <w:kern w:val="0"/>
                <w:sz w:val="20"/>
                <w:szCs w:val="20"/>
                <w:highlight w:val="none"/>
                <w:u w:val="none"/>
                <w:lang w:val="en-US" w:eastAsia="zh-CN" w:bidi="ar"/>
              </w:rPr>
              <w:t>等标志）</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EC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4E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w:t>
            </w:r>
          </w:p>
        </w:tc>
      </w:tr>
      <w:tr w14:paraId="57D3D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D46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23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圆带式传送带（L型，3根皮筋）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37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111125</wp:posOffset>
                  </wp:positionH>
                  <wp:positionV relativeFrom="paragraph">
                    <wp:posOffset>937895</wp:posOffset>
                  </wp:positionV>
                  <wp:extent cx="712470" cy="628015"/>
                  <wp:effectExtent l="0" t="0" r="3810" b="12065"/>
                  <wp:wrapNone/>
                  <wp:docPr id="183" name="ID_9C6D1F519D9B4F839C6D1F27B566B583_SpCnt_1"/>
                  <wp:cNvGraphicFramePr/>
                  <a:graphic xmlns:a="http://schemas.openxmlformats.org/drawingml/2006/main">
                    <a:graphicData uri="http://schemas.openxmlformats.org/drawingml/2006/picture">
                      <pic:pic xmlns:pic="http://schemas.openxmlformats.org/drawingml/2006/picture">
                        <pic:nvPicPr>
                          <pic:cNvPr id="183" name="ID_9C6D1F519D9B4F839C6D1F27B566B583_SpCnt_1"/>
                          <pic:cNvPicPr/>
                        </pic:nvPicPr>
                        <pic:blipFill>
                          <a:blip r:embed="rId110"/>
                          <a:stretch>
                            <a:fillRect/>
                          </a:stretch>
                        </pic:blipFill>
                        <pic:spPr>
                          <a:xfrm>
                            <a:off x="0" y="0"/>
                            <a:ext cx="712470" cy="62801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843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L*600*850/950mm</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07C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规格：L×600×850/950（mm）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电源要求：220V/50Hz/3N，总功率：0.55kW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传送速度：0～15m/min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3条平行的传送柱通过PP驱动轮在不锈钢机架表面滑动，带动托盘传送，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传送柱材质为聚亚安酯，食品级材料，内部有纤维制作的加强芯，传送柱直径：18mm，抗扯力≥2000N。采用304不锈钢材质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自带变频器，配置柔性启动和停止系统，电机为刹车电机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★输送带电箱控制柜通过GB/T4208-2017 外壳防护等级IPX6检测，（提供具有CMA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ILAC-MAR以</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CNAS标识的检测报告复印件加盖投标人公章</w:t>
            </w:r>
            <w:r>
              <w:rPr>
                <w:rFonts w:hint="eastAsia" w:ascii="宋体" w:hAnsi="宋体" w:cs="宋体"/>
                <w:i w:val="0"/>
                <w:iCs w:val="0"/>
                <w:color w:val="auto"/>
                <w:kern w:val="0"/>
                <w:sz w:val="20"/>
                <w:szCs w:val="20"/>
                <w:highlight w:val="none"/>
                <w:u w:val="none"/>
                <w:lang w:val="en-US" w:eastAsia="zh-CN" w:bidi="ar"/>
              </w:rPr>
              <w:t>；</w:t>
            </w:r>
          </w:p>
          <w:p w14:paraId="4B29959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★输送带传送绳通过GB 4806.7-2016食品安全国家标准食品接触用塑料材料及制品检测</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 xml:space="preserve"> </w:t>
            </w:r>
          </w:p>
          <w:p w14:paraId="11DF3D0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★输送带通过GB/T 4706.1-2005 电气安全、机械危险检测，（提供具有CMA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CNAS标识的检测报告复印件加盖投标人公章</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EA0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A1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44014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6"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EE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CA09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9F2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单星起泡浸泡池</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8F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93980</wp:posOffset>
                  </wp:positionH>
                  <wp:positionV relativeFrom="paragraph">
                    <wp:posOffset>843915</wp:posOffset>
                  </wp:positionV>
                  <wp:extent cx="780415" cy="684530"/>
                  <wp:effectExtent l="0" t="0" r="12065" b="1270"/>
                  <wp:wrapNone/>
                  <wp:docPr id="184" name="图片_3"/>
                  <wp:cNvGraphicFramePr/>
                  <a:graphic xmlns:a="http://schemas.openxmlformats.org/drawingml/2006/main">
                    <a:graphicData uri="http://schemas.openxmlformats.org/drawingml/2006/picture">
                      <pic:pic xmlns:pic="http://schemas.openxmlformats.org/drawingml/2006/picture">
                        <pic:nvPicPr>
                          <pic:cNvPr id="184" name="图片_3"/>
                          <pic:cNvPicPr/>
                        </pic:nvPicPr>
                        <pic:blipFill>
                          <a:blip r:embed="rId112"/>
                          <a:stretch>
                            <a:fillRect/>
                          </a:stretch>
                        </pic:blipFill>
                        <pic:spPr>
                          <a:xfrm>
                            <a:off x="0" y="0"/>
                            <a:ext cx="780415" cy="68453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B4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1500*1000*800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23EB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水槽容量 ：1338*819*300mm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加热型  ：4kw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水温 ：30-50℃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进水压力  ：0.15-0.4Mpa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电源要求 ：380V/50Hz/3N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常温型功率  ：0.75kw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电加热型功率 ：4.75kw  电加热型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机械控制面板，操作简便。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整机双层结构，牢固可靠。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独特的鼓泡功能可将餐具上的残渣洗掉。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浸泡洗涤量大，适用于多种餐具。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机器前端设有残渣收集篮，处理残渣方便快捷。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选配加热器可提升水温，让冬季清洗更温暖，餐具上污渍更易软化，带有低水位保护防止加热管干烧。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内置过滤网，排干水后即可将垃圾倒掉。</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A57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768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FBDD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7"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3A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CD4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长龙式洗碗机（1主洗,2漂洗，1烘干）</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D5D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137160</wp:posOffset>
                  </wp:positionH>
                  <wp:positionV relativeFrom="paragraph">
                    <wp:posOffset>2260600</wp:posOffset>
                  </wp:positionV>
                  <wp:extent cx="702945" cy="552450"/>
                  <wp:effectExtent l="0" t="0" r="13335" b="11430"/>
                  <wp:wrapNone/>
                  <wp:docPr id="185" name="Picture_197"/>
                  <wp:cNvGraphicFramePr/>
                  <a:graphic xmlns:a="http://schemas.openxmlformats.org/drawingml/2006/main">
                    <a:graphicData uri="http://schemas.openxmlformats.org/drawingml/2006/picture">
                      <pic:pic xmlns:pic="http://schemas.openxmlformats.org/drawingml/2006/picture">
                        <pic:nvPicPr>
                          <pic:cNvPr id="185" name="Picture_197"/>
                          <pic:cNvPicPr/>
                        </pic:nvPicPr>
                        <pic:blipFill>
                          <a:blip r:embed="rId119"/>
                          <a:stretch>
                            <a:fillRect/>
                          </a:stretch>
                        </pic:blipFill>
                        <pic:spPr>
                          <a:xfrm>
                            <a:off x="0" y="0"/>
                            <a:ext cx="70294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756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3750*1000*2040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56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洗碗机由进端、主洗、双道漂洗、烘干区、出端等5个基础模块组成；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机器传送带速度无极变速可调；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入口区长度600mm,主洗区800mm长度，漂洗区长度600mm,烘干区长度800mm,出口区950mm；机器入口高度420mm，传送带宽度505mm；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电加热型功率：62kw  ;电源要求：380V/50Hz/3N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洗涤量每小时≥3000碟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★洗碗机符合洗碗机安全国家标准，洗碗机洗涤后餐具必须符合GB 14934-2016 游离性余氯、阴离子合成洗涤剂、大肠杆菌、沙门氏菌检测认证，（提供投标人盖章检测报告） </w:t>
            </w:r>
          </w:p>
          <w:p w14:paraId="1923DF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★所投洗碗机须提供检测机构出具的：依据GB/T 4806.9-2016 食品安全国家标准食品接触用金属材料及制品检测，化学成分（As、Cd、Pb、Cr、Ni）检测残留认证，（提供具有CMA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ILAC-MAR</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CNAS标识的检测报告复印件加盖投标人公章）</w:t>
            </w:r>
          </w:p>
          <w:p w14:paraId="7965C4F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★洗碗机符合GB4706.1-2005、GB4706.50-2008电气安全、机械危险检测认证；主要零部件：交流接触器、接线端子排、电机保护器、隔离开关、急停开关、控制板、启动停止开关通过耐热和耐燃检测项目测试（提供具有CMA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ILAC-MAR</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i w:val="0"/>
                <w:iCs w:val="0"/>
                <w:color w:val="auto"/>
                <w:kern w:val="0"/>
                <w:sz w:val="20"/>
                <w:szCs w:val="20"/>
                <w:highlight w:val="none"/>
                <w:u w:val="none"/>
                <w:lang w:val="en-US" w:eastAsia="zh-CN" w:bidi="ar"/>
              </w:rPr>
              <w:t>CNAS标识的检测报告复印件加盖投标人公章）</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AB5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8B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5BE4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5F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CA11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FA1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中岛洗碗机油烟罩</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49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522605"/>
                  <wp:effectExtent l="0" t="0" r="6985" b="10795"/>
                  <wp:wrapNone/>
                  <wp:docPr id="188" name="Picture_198"/>
                  <wp:cNvGraphicFramePr/>
                  <a:graphic xmlns:a="http://schemas.openxmlformats.org/drawingml/2006/main">
                    <a:graphicData uri="http://schemas.openxmlformats.org/drawingml/2006/picture">
                      <pic:pic xmlns:pic="http://schemas.openxmlformats.org/drawingml/2006/picture">
                        <pic:nvPicPr>
                          <pic:cNvPr id="188" name="Picture_198"/>
                          <pic:cNvPicPr/>
                        </pic:nvPicPr>
                        <pic:blipFill>
                          <a:blip r:embed="rId114"/>
                          <a:stretch>
                            <a:fillRect/>
                          </a:stretch>
                        </pic:blipFill>
                        <pic:spPr>
                          <a:xfrm>
                            <a:off x="0" y="0"/>
                            <a:ext cx="755015" cy="52260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4E5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4500*1200*500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10CA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—配防雾烟罩灯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—前板、左右端板厚1.0mm，顶板、后板厚1.0mm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—各加强档厚1.0~1.2mm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—配打孔网板0.8~1.0mm，C型号结构中岛式</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C4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0C2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w:t>
            </w:r>
          </w:p>
        </w:tc>
      </w:tr>
      <w:tr w14:paraId="5592A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E78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231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环保型灭蝇器（粘捕）</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D0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140335</wp:posOffset>
                  </wp:positionV>
                  <wp:extent cx="755015" cy="522605"/>
                  <wp:effectExtent l="0" t="0" r="6985" b="10795"/>
                  <wp:wrapNone/>
                  <wp:docPr id="186" name="Picture_200"/>
                  <wp:cNvGraphicFramePr/>
                  <a:graphic xmlns:a="http://schemas.openxmlformats.org/drawingml/2006/main">
                    <a:graphicData uri="http://schemas.openxmlformats.org/drawingml/2006/picture">
                      <pic:pic xmlns:pic="http://schemas.openxmlformats.org/drawingml/2006/picture">
                        <pic:nvPicPr>
                          <pic:cNvPr id="186" name="Picture_200"/>
                          <pic:cNvPicPr/>
                        </pic:nvPicPr>
                        <pic:blipFill>
                          <a:blip r:embed="rId34"/>
                          <a:stretch>
                            <a:fillRect/>
                          </a:stretch>
                        </pic:blipFill>
                        <pic:spPr>
                          <a:xfrm>
                            <a:off x="0" y="0"/>
                            <a:ext cx="755015" cy="52260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05D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360*155*200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CF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配优质双灯管，紫外线灯管功率≥8W*2，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净重: 1kg(含)-1.5kg(不含)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灭蚊原理: 粘捕式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诱蚊方式: UVA紫光灯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适用面积：30~60㎡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82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18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E79F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FCA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CA14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696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落地柜式洗手单星盆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2B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248285</wp:posOffset>
                  </wp:positionH>
                  <wp:positionV relativeFrom="paragraph">
                    <wp:posOffset>123825</wp:posOffset>
                  </wp:positionV>
                  <wp:extent cx="471805" cy="552450"/>
                  <wp:effectExtent l="0" t="0" r="635" b="11430"/>
                  <wp:wrapNone/>
                  <wp:docPr id="187" name="Picture_201"/>
                  <wp:cNvGraphicFramePr/>
                  <a:graphic xmlns:a="http://schemas.openxmlformats.org/drawingml/2006/main">
                    <a:graphicData uri="http://schemas.openxmlformats.org/drawingml/2006/picture">
                      <pic:pic xmlns:pic="http://schemas.openxmlformats.org/drawingml/2006/picture">
                        <pic:nvPicPr>
                          <pic:cNvPr id="187" name="Picture_201"/>
                          <pic:cNvPicPr/>
                        </pic:nvPicPr>
                        <pic:blipFill>
                          <a:blip r:embed="rId37"/>
                          <a:stretch>
                            <a:fillRect/>
                          </a:stretch>
                        </pic:blipFill>
                        <pic:spPr>
                          <a:xfrm>
                            <a:off x="0" y="0"/>
                            <a:ext cx="471805"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6F8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432*420*800/900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540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—台面背板厚1.2㎜,水斗板厚1.0mm，左右侧板0.8mm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—水斗一体冲压折弯成型，规格：350*248*145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—柜式结构无卫生死角，配快拆式维修门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—配￠45落水器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388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01E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CCD2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EBF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CA14a</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90B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感应龙头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B76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171450</wp:posOffset>
                  </wp:positionH>
                  <wp:positionV relativeFrom="paragraph">
                    <wp:posOffset>321310</wp:posOffset>
                  </wp:positionV>
                  <wp:extent cx="643890" cy="514350"/>
                  <wp:effectExtent l="0" t="0" r="11430" b="3810"/>
                  <wp:wrapNone/>
                  <wp:docPr id="189" name="图片_1_SpCnt_8"/>
                  <wp:cNvGraphicFramePr/>
                  <a:graphic xmlns:a="http://schemas.openxmlformats.org/drawingml/2006/main">
                    <a:graphicData uri="http://schemas.openxmlformats.org/drawingml/2006/picture">
                      <pic:pic xmlns:pic="http://schemas.openxmlformats.org/drawingml/2006/picture">
                        <pic:nvPicPr>
                          <pic:cNvPr id="189" name="图片_1_SpCnt_8"/>
                          <pic:cNvPicPr/>
                        </pic:nvPicPr>
                        <pic:blipFill>
                          <a:blip r:embed="rId31"/>
                          <a:stretch>
                            <a:fillRect/>
                          </a:stretch>
                        </pic:blipFill>
                        <pic:spPr>
                          <a:xfrm>
                            <a:off x="0" y="0"/>
                            <a:ext cx="643890" cy="5143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5C86">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C964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单孔台出电子感应龙头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防破坏2.2GPM(8.3LPM)起泡器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防水控制盒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AC/DC交直流两用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手动混水阀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开孔：孔径32mm</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183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A6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896B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A7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CA15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0A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热风循环商用消毒柜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BE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291465</wp:posOffset>
                  </wp:positionH>
                  <wp:positionV relativeFrom="paragraph">
                    <wp:posOffset>549275</wp:posOffset>
                  </wp:positionV>
                  <wp:extent cx="403225" cy="555625"/>
                  <wp:effectExtent l="0" t="0" r="8255" b="8255"/>
                  <wp:wrapNone/>
                  <wp:docPr id="190" name="Picture_186_SpCnt_1"/>
                  <wp:cNvGraphicFramePr/>
                  <a:graphic xmlns:a="http://schemas.openxmlformats.org/drawingml/2006/main">
                    <a:graphicData uri="http://schemas.openxmlformats.org/drawingml/2006/picture">
                      <pic:pic xmlns:pic="http://schemas.openxmlformats.org/drawingml/2006/picture">
                        <pic:nvPicPr>
                          <pic:cNvPr id="190" name="Picture_186_SpCnt_1"/>
                          <pic:cNvPicPr/>
                        </pic:nvPicPr>
                        <pic:blipFill>
                          <a:blip r:embed="rId116"/>
                          <a:stretch>
                            <a:fillRect/>
                          </a:stretch>
                        </pic:blipFill>
                        <pic:spPr>
                          <a:xfrm>
                            <a:off x="0" y="0"/>
                            <a:ext cx="403225" cy="55562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D9A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1310*635*1880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956A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 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温度范围30~ 150°C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1、内外箱均为304不锈钢板;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2、使用耐高温风机、不锈钢加热管及微电脑控制板;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3、柜内配备不锈钢网篮，网框为不锈钢材质，表面二次镀镍防锈,生、耐用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4、内箱板材厚度1.0mm, 外箱板材厚度0.8mm。外箱顶部及外箱后背板使用环保无锌花表面钝化优质镀锌板;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5、柜内配备8个网框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★提供经过CMA或CNAS认证的检测机构出具的权威检测报告,符合卫生部《消毒技术规范》（2002年版）GB 17988-2008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★产品门磁条同时符合《GB 4806.7-2016食品安全国家标准食品接触用塑料材料及制品》及《GB/T26572-2011《电子电气产品中限用物质的限量要求》规范要求检测(提供第三方检则机构出具报告扫描件并加盖生产投标人公章)</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8D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E44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4CB0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48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CA16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AB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高身储碟柜（翻门) </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B04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325755</wp:posOffset>
                  </wp:positionH>
                  <wp:positionV relativeFrom="paragraph">
                    <wp:posOffset>123825</wp:posOffset>
                  </wp:positionV>
                  <wp:extent cx="360680" cy="552450"/>
                  <wp:effectExtent l="0" t="0" r="5080" b="11430"/>
                  <wp:wrapNone/>
                  <wp:docPr id="191" name="Picture_203"/>
                  <wp:cNvGraphicFramePr/>
                  <a:graphic xmlns:a="http://schemas.openxmlformats.org/drawingml/2006/main">
                    <a:graphicData uri="http://schemas.openxmlformats.org/drawingml/2006/picture">
                      <pic:pic xmlns:pic="http://schemas.openxmlformats.org/drawingml/2006/picture">
                        <pic:nvPicPr>
                          <pic:cNvPr id="191" name="Picture_203"/>
                          <pic:cNvPicPr/>
                        </pic:nvPicPr>
                        <pic:blipFill>
                          <a:blip r:embed="rId115"/>
                          <a:stretch>
                            <a:fillRect/>
                          </a:stretch>
                        </pic:blipFill>
                        <pic:spPr>
                          <a:xfrm>
                            <a:off x="0" y="0"/>
                            <a:ext cx="360680" cy="552450"/>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AF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1200*500*1800</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E32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—板材采用SUS304-2B不锈钢制造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—层板、底板厚为1.0mm，门外板厚1.0mm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—门内复板厚0.8mm，顶板厚0.8mm，侧板厚0.8mm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—上掀式V型滑轨，弧型轴承，一种带轴承的翻门结构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—配201不锈钢厚3mm加强型三角板，φ50不锈钢重力脚</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130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84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0E12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B61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CA17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3F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风幕机（遥控型）</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E5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68580</wp:posOffset>
                  </wp:positionH>
                  <wp:positionV relativeFrom="paragraph">
                    <wp:posOffset>276860</wp:posOffset>
                  </wp:positionV>
                  <wp:extent cx="755015" cy="309245"/>
                  <wp:effectExtent l="0" t="0" r="6985" b="10795"/>
                  <wp:wrapNone/>
                  <wp:docPr id="192" name="Picture_160_SpCnt_2"/>
                  <wp:cNvGraphicFramePr/>
                  <a:graphic xmlns:a="http://schemas.openxmlformats.org/drawingml/2006/main">
                    <a:graphicData uri="http://schemas.openxmlformats.org/drawingml/2006/picture">
                      <pic:pic xmlns:pic="http://schemas.openxmlformats.org/drawingml/2006/picture">
                        <pic:nvPicPr>
                          <pic:cNvPr id="192" name="Picture_160_SpCnt_2"/>
                          <pic:cNvPicPr/>
                        </pic:nvPicPr>
                        <pic:blipFill>
                          <a:blip r:embed="rId29"/>
                          <a:stretch>
                            <a:fillRect/>
                          </a:stretch>
                        </pic:blipFill>
                        <pic:spPr>
                          <a:xfrm>
                            <a:off x="0" y="0"/>
                            <a:ext cx="755015" cy="309245"/>
                          </a:xfrm>
                          <a:prstGeom prst="rect">
                            <a:avLst/>
                          </a:prstGeom>
                          <a:noFill/>
                          <a:ln>
                            <a:noFill/>
                          </a:ln>
                        </pic:spPr>
                      </pic:pic>
                    </a:graphicData>
                  </a:graphic>
                </wp:anchor>
              </w:drawing>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CA1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1200*198*215</w:t>
            </w: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B6F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额定电压220V ,功率 :260-230W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风口风量m3/h2：1350/1050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风口风速m/s:14.5-11.5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材质：工程塑料，低噪音风机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1、贯流式强力送风轻松在室内外之间形成一道隐形的风幕墙，隔开室内外空气的同时，更可将灰尘，飞虫等阻挡于室外。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2、遮断效果佳，风路升级体现高风速，低噪音运转</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45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CB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7BD4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0B26">
            <w:pPr>
              <w:jc w:val="center"/>
              <w:rPr>
                <w:rFonts w:hint="eastAsia" w:ascii="宋体" w:hAnsi="宋体" w:eastAsia="宋体" w:cs="宋体"/>
                <w:b/>
                <w:bCs/>
                <w:i w:val="0"/>
                <w:iCs w:val="0"/>
                <w:color w:val="auto"/>
                <w:sz w:val="20"/>
                <w:szCs w:val="20"/>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5BE8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设备合计：</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D61AE">
            <w:pPr>
              <w:jc w:val="center"/>
              <w:rPr>
                <w:rFonts w:hint="eastAsia" w:ascii="宋体" w:hAnsi="宋体" w:eastAsia="宋体" w:cs="宋体"/>
                <w:b/>
                <w:bCs/>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933B">
            <w:pPr>
              <w:jc w:val="center"/>
              <w:rPr>
                <w:rFonts w:hint="eastAsia" w:ascii="宋体" w:hAnsi="宋体" w:eastAsia="宋体" w:cs="宋体"/>
                <w:b/>
                <w:bCs/>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F5DF">
            <w:pPr>
              <w:jc w:val="left"/>
              <w:rPr>
                <w:rFonts w:hint="eastAsia" w:ascii="宋体" w:hAnsi="宋体" w:eastAsia="宋体" w:cs="宋体"/>
                <w:b/>
                <w:bCs/>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6F12">
            <w:pPr>
              <w:jc w:val="center"/>
              <w:rPr>
                <w:rFonts w:hint="eastAsia" w:ascii="宋体" w:hAnsi="宋体" w:eastAsia="宋体" w:cs="宋体"/>
                <w:b/>
                <w:bCs/>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44EC">
            <w:pPr>
              <w:jc w:val="center"/>
              <w:rPr>
                <w:rFonts w:hint="eastAsia" w:ascii="宋体" w:hAnsi="宋体" w:eastAsia="宋体" w:cs="宋体"/>
                <w:b/>
                <w:bCs/>
                <w:i w:val="0"/>
                <w:iCs w:val="0"/>
                <w:color w:val="auto"/>
                <w:sz w:val="20"/>
                <w:szCs w:val="20"/>
                <w:highlight w:val="none"/>
                <w:u w:val="none"/>
              </w:rPr>
            </w:pPr>
          </w:p>
        </w:tc>
      </w:tr>
      <w:tr w14:paraId="1D176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65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3D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安装调试运输费</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C038">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793E">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B48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安装调试、运输费为投标总价的5</w:t>
            </w:r>
            <w:r>
              <w:rPr>
                <w:rStyle w:val="968"/>
                <w:rFonts w:hint="eastAsia" w:ascii="宋体" w:hAnsi="宋体" w:eastAsia="宋体" w:cs="宋体"/>
                <w:color w:val="auto"/>
                <w:sz w:val="20"/>
                <w:szCs w:val="20"/>
                <w:highlight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3B2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826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6AB4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64A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98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总包配合费</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BE4D">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82185">
            <w:pPr>
              <w:jc w:val="cente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45AB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投标总价的3%，每个投标单位均须在报价中单列此项，在设备进场时由投标人交由总包单位。</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1B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4C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8E8F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B6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BAF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招标代理费</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2164">
            <w:pPr>
              <w:jc w:val="center"/>
              <w:rPr>
                <w:rFonts w:hint="eastAsia" w:ascii="宋体" w:hAnsi="宋体" w:eastAsia="宋体" w:cs="宋体"/>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30719">
            <w:pPr>
              <w:rPr>
                <w:rFonts w:hint="eastAsia" w:ascii="宋体" w:hAnsi="宋体" w:eastAsia="宋体" w:cs="宋体"/>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F39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投标总价的1.1%，每个投标单位均须在报价中单列此项，在设备进场时由投标人交由招标代理机构。</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3D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DF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A726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8FD68">
            <w:pPr>
              <w:rPr>
                <w:rFonts w:hint="eastAsia" w:ascii="宋体" w:hAnsi="宋体" w:eastAsia="宋体" w:cs="宋体"/>
                <w:b/>
                <w:bCs/>
                <w:i w:val="0"/>
                <w:iCs w:val="0"/>
                <w:color w:val="auto"/>
                <w:sz w:val="20"/>
                <w:szCs w:val="20"/>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8D6D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6987D">
            <w:pPr>
              <w:rPr>
                <w:rFonts w:hint="eastAsia" w:ascii="宋体" w:hAnsi="宋体" w:eastAsia="宋体" w:cs="宋体"/>
                <w:b/>
                <w:bCs/>
                <w:i w:val="0"/>
                <w:iCs w:val="0"/>
                <w:color w:val="auto"/>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CFBAE">
            <w:pPr>
              <w:rPr>
                <w:rFonts w:hint="eastAsia" w:ascii="宋体" w:hAnsi="宋体" w:eastAsia="宋体" w:cs="宋体"/>
                <w:b/>
                <w:bCs/>
                <w:i w:val="0"/>
                <w:iCs w:val="0"/>
                <w:color w:val="auto"/>
                <w:sz w:val="20"/>
                <w:szCs w:val="20"/>
                <w:highlight w:val="none"/>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DBFBB">
            <w:pPr>
              <w:jc w:val="left"/>
              <w:rPr>
                <w:rFonts w:hint="eastAsia" w:ascii="宋体" w:hAnsi="宋体" w:eastAsia="宋体" w:cs="宋体"/>
                <w:b/>
                <w:bCs/>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55ACB">
            <w:pPr>
              <w:jc w:val="center"/>
              <w:rPr>
                <w:rFonts w:hint="eastAsia" w:ascii="宋体" w:hAnsi="宋体" w:eastAsia="宋体" w:cs="宋体"/>
                <w:b/>
                <w:bCs/>
                <w:i w:val="0"/>
                <w:iCs w:val="0"/>
                <w:color w:val="auto"/>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7B54">
            <w:pPr>
              <w:jc w:val="center"/>
              <w:rPr>
                <w:rFonts w:hint="eastAsia" w:ascii="宋体" w:hAnsi="宋体" w:eastAsia="宋体" w:cs="宋体"/>
                <w:b/>
                <w:bCs/>
                <w:i w:val="0"/>
                <w:iCs w:val="0"/>
                <w:color w:val="auto"/>
                <w:sz w:val="20"/>
                <w:szCs w:val="20"/>
                <w:highlight w:val="none"/>
                <w:u w:val="none"/>
              </w:rPr>
            </w:pPr>
          </w:p>
        </w:tc>
      </w:tr>
    </w:tbl>
    <w:p w14:paraId="0EF7AA6E">
      <w:pPr>
        <w:spacing w:line="500" w:lineRule="exact"/>
        <w:rPr>
          <w:rFonts w:hint="eastAsia" w:ascii="宋体" w:hAnsi="宋体" w:eastAsia="宋体" w:cs="宋体"/>
          <w:color w:val="auto"/>
          <w:sz w:val="24"/>
          <w:szCs w:val="24"/>
          <w:highlight w:val="none"/>
        </w:rPr>
      </w:pPr>
    </w:p>
    <w:p w14:paraId="2A8816EF">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04C742F8">
      <w:pPr>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1、以上图片供参考，各投标供应商在投标时须提供投标产品的图片。 </w:t>
      </w:r>
    </w:p>
    <w:p w14:paraId="1C236910">
      <w:pPr>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2、上述厨房设备除有注明单位为外其他所有产品单位均为“台”。</w:t>
      </w:r>
    </w:p>
    <w:p w14:paraId="4E118B1D">
      <w:pPr>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3、技术表中的板材厚度均为参考厚度，要求投标供应商提供的产品均不得小于招标文件的要求。</w:t>
      </w:r>
    </w:p>
    <w:p w14:paraId="4A7765BD">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4、因各厨房厂家生产工艺及流程不同，厨房设备厂制品外型尺寸</w:t>
      </w:r>
      <w:r>
        <w:rPr>
          <w:rFonts w:hint="eastAsia" w:ascii="仿宋" w:hAnsi="仿宋" w:eastAsia="仿宋" w:cs="仿宋"/>
          <w:b/>
          <w:color w:val="auto"/>
          <w:sz w:val="24"/>
          <w:szCs w:val="24"/>
          <w:highlight w:val="none"/>
          <w:lang w:val="en-US" w:eastAsia="zh-CN"/>
        </w:rPr>
        <w:t>允许</w:t>
      </w:r>
      <w:r>
        <w:rPr>
          <w:rFonts w:hint="eastAsia" w:ascii="仿宋" w:hAnsi="仿宋" w:eastAsia="仿宋" w:cs="仿宋"/>
          <w:b/>
          <w:color w:val="auto"/>
          <w:sz w:val="24"/>
          <w:szCs w:val="24"/>
          <w:highlight w:val="none"/>
        </w:rPr>
        <w:t>有</w:t>
      </w:r>
      <w:r>
        <w:rPr>
          <w:rFonts w:hint="eastAsia" w:ascii="仿宋" w:hAnsi="仿宋" w:eastAsia="仿宋" w:cs="仿宋"/>
          <w:b/>
          <w:color w:val="auto"/>
          <w:sz w:val="24"/>
          <w:szCs w:val="24"/>
          <w:highlight w:val="none"/>
          <w:lang w:val="en-US" w:eastAsia="zh-CN"/>
        </w:rPr>
        <w:t>±</w:t>
      </w:r>
      <w:r>
        <w:rPr>
          <w:rFonts w:hint="eastAsia" w:ascii="仿宋" w:hAnsi="仿宋" w:eastAsia="仿宋" w:cs="仿宋"/>
          <w:b/>
          <w:color w:val="auto"/>
          <w:sz w:val="24"/>
          <w:szCs w:val="24"/>
          <w:highlight w:val="none"/>
        </w:rPr>
        <w:t>10%的偏差；外购件产品以型号为准，尺寸仅供参考。</w:t>
      </w:r>
    </w:p>
    <w:p w14:paraId="6F48FCC8">
      <w:pPr>
        <w:rPr>
          <w:rFonts w:hint="eastAsia" w:ascii="宋体" w:hAnsi="宋体" w:cs="宋体"/>
          <w:b/>
          <w:color w:val="auto"/>
          <w:sz w:val="36"/>
          <w:szCs w:val="36"/>
          <w:highlight w:val="none"/>
        </w:rPr>
      </w:pPr>
      <w:r>
        <w:rPr>
          <w:rFonts w:hint="eastAsia" w:ascii="宋体" w:hAnsi="宋体" w:cs="宋体"/>
          <w:b/>
          <w:color w:val="auto"/>
          <w:sz w:val="36"/>
          <w:szCs w:val="36"/>
          <w:highlight w:val="none"/>
        </w:rPr>
        <w:br w:type="page"/>
      </w:r>
    </w:p>
    <w:p w14:paraId="41C7A725">
      <w:pPr>
        <w:spacing w:line="360" w:lineRule="auto"/>
        <w:jc w:val="center"/>
        <w:outlineLvl w:val="0"/>
        <w:rPr>
          <w:rFonts w:ascii="宋体" w:hAnsi="宋体" w:cs="宋体"/>
          <w:b/>
          <w:color w:val="auto"/>
          <w:sz w:val="36"/>
          <w:szCs w:val="36"/>
          <w:highlight w:val="none"/>
        </w:rPr>
      </w:pPr>
      <w:r>
        <w:rPr>
          <w:rFonts w:hint="eastAsia" w:ascii="宋体" w:hAnsi="宋体" w:cs="宋体"/>
          <w:b/>
          <w:color w:val="auto"/>
          <w:sz w:val="36"/>
          <w:szCs w:val="36"/>
          <w:highlight w:val="none"/>
        </w:rPr>
        <w:t xml:space="preserve">第四部分   </w:t>
      </w:r>
      <w:bookmarkStart w:id="79" w:name="_Toc184314417"/>
      <w:bookmarkEnd w:id="79"/>
      <w:bookmarkStart w:id="80" w:name="_Toc184310330"/>
      <w:bookmarkEnd w:id="80"/>
      <w:bookmarkStart w:id="81" w:name="_Toc184313270"/>
      <w:bookmarkEnd w:id="81"/>
      <w:bookmarkStart w:id="82" w:name="_Toc184312083"/>
      <w:bookmarkEnd w:id="82"/>
      <w:bookmarkStart w:id="83" w:name="_Toc184313243"/>
      <w:bookmarkEnd w:id="83"/>
      <w:bookmarkStart w:id="84" w:name="_Toc184312088"/>
      <w:bookmarkEnd w:id="84"/>
      <w:bookmarkStart w:id="85" w:name="_Toc184313289"/>
      <w:bookmarkEnd w:id="85"/>
      <w:bookmarkStart w:id="86" w:name="_Toc184314473"/>
      <w:bookmarkEnd w:id="86"/>
      <w:bookmarkStart w:id="87" w:name="_Toc184312077"/>
      <w:bookmarkEnd w:id="87"/>
      <w:bookmarkStart w:id="88" w:name="_Toc184312068"/>
      <w:bookmarkEnd w:id="88"/>
      <w:bookmarkStart w:id="89" w:name="_Toc184308098"/>
      <w:bookmarkEnd w:id="89"/>
      <w:bookmarkStart w:id="90" w:name="_Toc184314430"/>
      <w:bookmarkEnd w:id="90"/>
      <w:bookmarkStart w:id="91" w:name="_Toc184313267"/>
      <w:bookmarkEnd w:id="91"/>
      <w:bookmarkStart w:id="92" w:name="_Toc184312090"/>
      <w:bookmarkEnd w:id="92"/>
      <w:bookmarkStart w:id="93" w:name="_Toc184310344"/>
      <w:bookmarkEnd w:id="93"/>
      <w:bookmarkStart w:id="94" w:name="_Toc184313286"/>
      <w:bookmarkEnd w:id="94"/>
      <w:bookmarkStart w:id="95" w:name="_Toc184308038"/>
      <w:bookmarkEnd w:id="95"/>
      <w:bookmarkStart w:id="96" w:name="_Toc184313290"/>
      <w:bookmarkEnd w:id="96"/>
      <w:bookmarkStart w:id="97" w:name="_Toc184310292"/>
      <w:bookmarkEnd w:id="97"/>
      <w:bookmarkStart w:id="98" w:name="_Toc184312122"/>
      <w:bookmarkEnd w:id="98"/>
      <w:bookmarkStart w:id="99" w:name="_Toc184313242"/>
      <w:bookmarkEnd w:id="99"/>
      <w:bookmarkStart w:id="100" w:name="_Toc184308101"/>
      <w:bookmarkEnd w:id="100"/>
      <w:bookmarkStart w:id="101" w:name="_Toc184310337"/>
      <w:bookmarkEnd w:id="101"/>
      <w:bookmarkStart w:id="102" w:name="_Toc184310340"/>
      <w:bookmarkEnd w:id="102"/>
      <w:bookmarkStart w:id="103" w:name="_Toc184313254"/>
      <w:bookmarkEnd w:id="103"/>
      <w:bookmarkStart w:id="104" w:name="_Toc184312113"/>
      <w:bookmarkEnd w:id="104"/>
      <w:bookmarkStart w:id="105" w:name="_Toc184312071"/>
      <w:bookmarkEnd w:id="105"/>
      <w:bookmarkStart w:id="106" w:name="_Toc184308055"/>
      <w:bookmarkEnd w:id="106"/>
      <w:bookmarkStart w:id="107" w:name="_Toc184313241"/>
      <w:bookmarkEnd w:id="107"/>
      <w:bookmarkStart w:id="108" w:name="_Toc184310331"/>
      <w:bookmarkEnd w:id="108"/>
      <w:bookmarkStart w:id="109" w:name="_Toc184308088"/>
      <w:bookmarkEnd w:id="109"/>
      <w:bookmarkStart w:id="110" w:name="_Toc184314481"/>
      <w:bookmarkEnd w:id="110"/>
      <w:bookmarkStart w:id="111" w:name="_Toc184312115"/>
      <w:bookmarkEnd w:id="111"/>
      <w:bookmarkStart w:id="112" w:name="_Toc184310316"/>
      <w:bookmarkEnd w:id="112"/>
      <w:bookmarkStart w:id="113" w:name="_Toc184314412"/>
      <w:bookmarkEnd w:id="113"/>
      <w:bookmarkStart w:id="114" w:name="_Toc184308080"/>
      <w:bookmarkEnd w:id="114"/>
      <w:bookmarkStart w:id="115" w:name="_Toc184308039"/>
      <w:bookmarkEnd w:id="115"/>
      <w:bookmarkStart w:id="116" w:name="_Toc184308068"/>
      <w:bookmarkEnd w:id="116"/>
      <w:bookmarkStart w:id="117" w:name="_Toc184313275"/>
      <w:bookmarkEnd w:id="117"/>
      <w:bookmarkStart w:id="118" w:name="_Toc184308067"/>
      <w:bookmarkEnd w:id="118"/>
      <w:bookmarkStart w:id="119" w:name="_Toc184314446"/>
      <w:bookmarkEnd w:id="119"/>
      <w:bookmarkStart w:id="120" w:name="_Toc184308091"/>
      <w:bookmarkEnd w:id="120"/>
      <w:bookmarkStart w:id="121" w:name="_Toc184310299"/>
      <w:bookmarkEnd w:id="121"/>
      <w:bookmarkStart w:id="122" w:name="_Toc184308103"/>
      <w:bookmarkEnd w:id="122"/>
      <w:bookmarkStart w:id="123" w:name="_Toc184312075"/>
      <w:bookmarkEnd w:id="123"/>
      <w:bookmarkStart w:id="124" w:name="_Toc184308102"/>
      <w:bookmarkEnd w:id="124"/>
      <w:bookmarkStart w:id="125" w:name="_Toc184313308"/>
      <w:bookmarkEnd w:id="125"/>
      <w:bookmarkStart w:id="126" w:name="_Toc184310322"/>
      <w:bookmarkEnd w:id="126"/>
      <w:bookmarkStart w:id="127" w:name="_Toc184312107"/>
      <w:bookmarkEnd w:id="127"/>
      <w:bookmarkStart w:id="128" w:name="_Toc184314451"/>
      <w:bookmarkEnd w:id="128"/>
      <w:bookmarkStart w:id="129" w:name="_Toc184314460"/>
      <w:bookmarkEnd w:id="129"/>
      <w:bookmarkStart w:id="130" w:name="_Toc184312105"/>
      <w:bookmarkEnd w:id="130"/>
      <w:bookmarkStart w:id="131" w:name="_Toc184312133"/>
      <w:bookmarkEnd w:id="131"/>
      <w:bookmarkStart w:id="132" w:name="_Toc184314433"/>
      <w:bookmarkEnd w:id="132"/>
      <w:bookmarkStart w:id="133" w:name="_Toc184313246"/>
      <w:bookmarkEnd w:id="133"/>
      <w:bookmarkStart w:id="134" w:name="_Toc184310314"/>
      <w:bookmarkEnd w:id="134"/>
      <w:bookmarkStart w:id="135" w:name="_Toc184312082"/>
      <w:bookmarkEnd w:id="135"/>
      <w:bookmarkStart w:id="136" w:name="_Toc184314427"/>
      <w:bookmarkEnd w:id="136"/>
      <w:bookmarkStart w:id="137" w:name="_Toc184313299"/>
      <w:bookmarkEnd w:id="137"/>
      <w:bookmarkStart w:id="138" w:name="_Toc184314470"/>
      <w:bookmarkEnd w:id="138"/>
      <w:bookmarkStart w:id="139" w:name="_Toc184310327"/>
      <w:bookmarkEnd w:id="139"/>
      <w:bookmarkStart w:id="140" w:name="_Toc184314457"/>
      <w:bookmarkEnd w:id="140"/>
      <w:bookmarkStart w:id="141" w:name="_Toc184312095"/>
      <w:bookmarkEnd w:id="141"/>
      <w:bookmarkStart w:id="142" w:name="_Toc184308049"/>
      <w:bookmarkEnd w:id="142"/>
      <w:bookmarkStart w:id="143" w:name="_Toc184312089"/>
      <w:bookmarkEnd w:id="143"/>
      <w:bookmarkStart w:id="144" w:name="_Toc184308040"/>
      <w:bookmarkEnd w:id="144"/>
      <w:bookmarkStart w:id="145" w:name="_Toc184313304"/>
      <w:bookmarkEnd w:id="145"/>
      <w:bookmarkStart w:id="146" w:name="_Toc184314416"/>
      <w:bookmarkEnd w:id="146"/>
      <w:bookmarkStart w:id="147" w:name="_Toc184312086"/>
      <w:bookmarkEnd w:id="147"/>
      <w:bookmarkStart w:id="148" w:name="_Toc184310290"/>
      <w:bookmarkEnd w:id="148"/>
      <w:bookmarkStart w:id="149" w:name="_Toc184308094"/>
      <w:bookmarkEnd w:id="149"/>
      <w:bookmarkStart w:id="150" w:name="_Toc184310285"/>
      <w:bookmarkEnd w:id="150"/>
      <w:bookmarkStart w:id="151" w:name="_Toc184310280"/>
      <w:bookmarkEnd w:id="151"/>
      <w:bookmarkStart w:id="152" w:name="_Toc184314410"/>
      <w:bookmarkEnd w:id="152"/>
      <w:bookmarkStart w:id="153" w:name="_Toc184310293"/>
      <w:bookmarkEnd w:id="153"/>
      <w:bookmarkStart w:id="154" w:name="_Toc184314480"/>
      <w:bookmarkEnd w:id="154"/>
      <w:bookmarkStart w:id="155" w:name="_Toc184308053"/>
      <w:bookmarkEnd w:id="155"/>
      <w:bookmarkStart w:id="156" w:name="_Toc184314439"/>
      <w:bookmarkEnd w:id="156"/>
      <w:bookmarkStart w:id="157" w:name="_Toc184314440"/>
      <w:bookmarkEnd w:id="157"/>
      <w:bookmarkStart w:id="158" w:name="_Toc184308079"/>
      <w:bookmarkEnd w:id="158"/>
      <w:bookmarkStart w:id="159" w:name="_Toc184313266"/>
      <w:bookmarkEnd w:id="159"/>
      <w:bookmarkStart w:id="160" w:name="_Toc184312121"/>
      <w:bookmarkEnd w:id="160"/>
      <w:bookmarkStart w:id="161" w:name="_Toc184310289"/>
      <w:bookmarkEnd w:id="161"/>
      <w:bookmarkStart w:id="162" w:name="_Toc184312101"/>
      <w:bookmarkEnd w:id="162"/>
      <w:bookmarkStart w:id="163" w:name="_Toc184314461"/>
      <w:bookmarkEnd w:id="163"/>
      <w:bookmarkStart w:id="164" w:name="_Toc184314422"/>
      <w:bookmarkEnd w:id="164"/>
      <w:bookmarkStart w:id="165" w:name="_Toc184310319"/>
      <w:bookmarkEnd w:id="165"/>
      <w:bookmarkStart w:id="166" w:name="_Toc184310324"/>
      <w:bookmarkEnd w:id="166"/>
      <w:bookmarkStart w:id="167" w:name="_Toc184313303"/>
      <w:bookmarkEnd w:id="167"/>
      <w:bookmarkStart w:id="168" w:name="_Toc184310323"/>
      <w:bookmarkEnd w:id="168"/>
      <w:bookmarkStart w:id="169" w:name="_Toc184310281"/>
      <w:bookmarkEnd w:id="169"/>
      <w:bookmarkStart w:id="170" w:name="_Toc184313260"/>
      <w:bookmarkEnd w:id="170"/>
      <w:bookmarkStart w:id="171" w:name="_Toc184312080"/>
      <w:bookmarkEnd w:id="171"/>
      <w:bookmarkStart w:id="172" w:name="_Toc184308095"/>
      <w:bookmarkEnd w:id="172"/>
      <w:bookmarkStart w:id="173" w:name="_Toc184308061"/>
      <w:bookmarkEnd w:id="173"/>
      <w:bookmarkStart w:id="174" w:name="_Toc184314438"/>
      <w:bookmarkEnd w:id="174"/>
      <w:bookmarkStart w:id="175" w:name="_Toc184312100"/>
      <w:bookmarkEnd w:id="175"/>
      <w:bookmarkStart w:id="176" w:name="_Toc184310276"/>
      <w:bookmarkEnd w:id="176"/>
      <w:bookmarkStart w:id="177" w:name="_Toc184308064"/>
      <w:bookmarkEnd w:id="177"/>
      <w:bookmarkStart w:id="178" w:name="_Toc184314429"/>
      <w:bookmarkEnd w:id="178"/>
      <w:bookmarkStart w:id="179" w:name="_Toc184314472"/>
      <w:bookmarkEnd w:id="179"/>
      <w:bookmarkStart w:id="180" w:name="_Toc184310335"/>
      <w:bookmarkEnd w:id="180"/>
      <w:bookmarkStart w:id="181" w:name="_Toc184308100"/>
      <w:bookmarkEnd w:id="181"/>
      <w:bookmarkStart w:id="182" w:name="_Toc184312092"/>
      <w:bookmarkEnd w:id="182"/>
      <w:bookmarkStart w:id="183" w:name="_Toc184310295"/>
      <w:bookmarkEnd w:id="183"/>
      <w:bookmarkStart w:id="184" w:name="_Toc184313300"/>
      <w:bookmarkEnd w:id="184"/>
      <w:bookmarkStart w:id="185" w:name="_Toc184314431"/>
      <w:bookmarkEnd w:id="185"/>
      <w:bookmarkStart w:id="186" w:name="_Toc184313292"/>
      <w:bookmarkEnd w:id="186"/>
      <w:bookmarkStart w:id="187" w:name="_Toc184310343"/>
      <w:bookmarkEnd w:id="187"/>
      <w:bookmarkStart w:id="188" w:name="_Toc184313248"/>
      <w:bookmarkEnd w:id="188"/>
      <w:bookmarkStart w:id="189" w:name="_Toc184310306"/>
      <w:bookmarkEnd w:id="189"/>
      <w:bookmarkStart w:id="190" w:name="_Toc184312097"/>
      <w:bookmarkEnd w:id="190"/>
      <w:bookmarkStart w:id="191" w:name="_Toc184312120"/>
      <w:bookmarkEnd w:id="191"/>
      <w:bookmarkStart w:id="192" w:name="_Toc184310341"/>
      <w:bookmarkEnd w:id="192"/>
      <w:bookmarkStart w:id="193" w:name="_Toc184312108"/>
      <w:bookmarkEnd w:id="193"/>
      <w:bookmarkStart w:id="194" w:name="_Toc184308108"/>
      <w:bookmarkEnd w:id="194"/>
      <w:bookmarkStart w:id="195" w:name="_Toc184313282"/>
      <w:bookmarkEnd w:id="195"/>
      <w:bookmarkStart w:id="196" w:name="_Toc184313283"/>
      <w:bookmarkEnd w:id="196"/>
      <w:bookmarkStart w:id="197" w:name="_Toc184308089"/>
      <w:bookmarkEnd w:id="197"/>
      <w:bookmarkStart w:id="198" w:name="_Toc184310273"/>
      <w:bookmarkEnd w:id="198"/>
      <w:bookmarkStart w:id="199" w:name="_Toc184312130"/>
      <w:bookmarkEnd w:id="199"/>
      <w:bookmarkStart w:id="200" w:name="_Toc184314437"/>
      <w:bookmarkEnd w:id="200"/>
      <w:bookmarkStart w:id="201" w:name="_Toc184313280"/>
      <w:bookmarkEnd w:id="201"/>
      <w:bookmarkStart w:id="202" w:name="_Toc184308081"/>
      <w:bookmarkEnd w:id="202"/>
      <w:bookmarkStart w:id="203" w:name="_Toc184313239"/>
      <w:bookmarkEnd w:id="203"/>
      <w:bookmarkStart w:id="204" w:name="_Toc184312128"/>
      <w:bookmarkEnd w:id="204"/>
      <w:bookmarkStart w:id="205" w:name="_Toc184310287"/>
      <w:bookmarkEnd w:id="205"/>
      <w:bookmarkStart w:id="206" w:name="_Toc184313269"/>
      <w:bookmarkEnd w:id="206"/>
      <w:bookmarkStart w:id="207" w:name="_Toc184314479"/>
      <w:bookmarkEnd w:id="207"/>
      <w:bookmarkStart w:id="208" w:name="_Toc184308050"/>
      <w:bookmarkEnd w:id="208"/>
      <w:bookmarkStart w:id="209" w:name="_Toc184308045"/>
      <w:bookmarkEnd w:id="209"/>
      <w:bookmarkStart w:id="210" w:name="_Toc184314425"/>
      <w:bookmarkEnd w:id="210"/>
      <w:bookmarkStart w:id="211" w:name="_Toc184314464"/>
      <w:bookmarkEnd w:id="211"/>
      <w:bookmarkStart w:id="212" w:name="_Toc184314459"/>
      <w:bookmarkEnd w:id="212"/>
      <w:bookmarkStart w:id="213" w:name="_Toc184314428"/>
      <w:bookmarkEnd w:id="213"/>
      <w:bookmarkStart w:id="214" w:name="_Toc184310311"/>
      <w:bookmarkEnd w:id="214"/>
      <w:bookmarkStart w:id="215" w:name="_Toc184313247"/>
      <w:bookmarkEnd w:id="215"/>
      <w:bookmarkStart w:id="216" w:name="_Toc184308059"/>
      <w:bookmarkEnd w:id="216"/>
      <w:bookmarkStart w:id="217" w:name="_Toc184314477"/>
      <w:bookmarkEnd w:id="217"/>
      <w:bookmarkStart w:id="218" w:name="_Toc184312134"/>
      <w:bookmarkEnd w:id="218"/>
      <w:bookmarkStart w:id="219" w:name="_Toc184314469"/>
      <w:bookmarkEnd w:id="219"/>
      <w:bookmarkStart w:id="220" w:name="_Toc184312074"/>
      <w:bookmarkEnd w:id="220"/>
      <w:bookmarkStart w:id="221" w:name="_Toc184308071"/>
      <w:bookmarkEnd w:id="221"/>
      <w:bookmarkStart w:id="222" w:name="_Toc184308085"/>
      <w:bookmarkEnd w:id="222"/>
      <w:bookmarkStart w:id="223" w:name="_Toc184308075"/>
      <w:bookmarkEnd w:id="223"/>
      <w:bookmarkStart w:id="224" w:name="_Toc184313279"/>
      <w:bookmarkEnd w:id="224"/>
      <w:bookmarkStart w:id="225" w:name="_Toc184314463"/>
      <w:bookmarkEnd w:id="225"/>
      <w:bookmarkStart w:id="226" w:name="_Toc184313238"/>
      <w:bookmarkEnd w:id="226"/>
      <w:bookmarkStart w:id="227" w:name="_Toc184308063"/>
      <w:bookmarkEnd w:id="227"/>
      <w:bookmarkStart w:id="228" w:name="_Toc184313277"/>
      <w:bookmarkEnd w:id="228"/>
      <w:bookmarkStart w:id="229" w:name="_Toc184314456"/>
      <w:bookmarkEnd w:id="229"/>
      <w:bookmarkStart w:id="230" w:name="_Toc184308086"/>
      <w:bookmarkEnd w:id="230"/>
      <w:bookmarkStart w:id="231" w:name="_Toc184313285"/>
      <w:bookmarkEnd w:id="231"/>
      <w:bookmarkStart w:id="232" w:name="_Toc184312106"/>
      <w:bookmarkEnd w:id="232"/>
      <w:bookmarkStart w:id="233" w:name="_Toc184313310"/>
      <w:bookmarkEnd w:id="233"/>
      <w:bookmarkStart w:id="234" w:name="_Toc184312127"/>
      <w:bookmarkEnd w:id="234"/>
      <w:bookmarkStart w:id="235" w:name="_Toc184314454"/>
      <w:bookmarkEnd w:id="235"/>
      <w:bookmarkStart w:id="236" w:name="_Toc184313295"/>
      <w:bookmarkEnd w:id="236"/>
      <w:bookmarkStart w:id="237" w:name="_Toc184314482"/>
      <w:bookmarkEnd w:id="237"/>
      <w:bookmarkStart w:id="238" w:name="_Toc184308041"/>
      <w:bookmarkEnd w:id="238"/>
      <w:bookmarkStart w:id="239" w:name="_Toc184313252"/>
      <w:bookmarkEnd w:id="239"/>
      <w:bookmarkStart w:id="240" w:name="_Toc184314448"/>
      <w:bookmarkEnd w:id="240"/>
      <w:bookmarkStart w:id="241" w:name="_Toc184313309"/>
      <w:bookmarkEnd w:id="241"/>
      <w:bookmarkStart w:id="242" w:name="_Toc184312131"/>
      <w:bookmarkEnd w:id="242"/>
      <w:bookmarkStart w:id="243" w:name="_Toc184313250"/>
      <w:bookmarkEnd w:id="243"/>
      <w:bookmarkStart w:id="244" w:name="_Toc184312085"/>
      <w:bookmarkEnd w:id="244"/>
      <w:bookmarkStart w:id="245" w:name="_Toc184308047"/>
      <w:bookmarkEnd w:id="245"/>
      <w:bookmarkStart w:id="246" w:name="_Toc184308078"/>
      <w:bookmarkEnd w:id="246"/>
      <w:bookmarkStart w:id="247" w:name="_Toc184310318"/>
      <w:bookmarkEnd w:id="247"/>
      <w:bookmarkStart w:id="248" w:name="_Toc184312136"/>
      <w:bookmarkEnd w:id="248"/>
      <w:bookmarkStart w:id="249" w:name="_Toc184310288"/>
      <w:bookmarkEnd w:id="249"/>
      <w:bookmarkStart w:id="250" w:name="_Toc184314476"/>
      <w:bookmarkEnd w:id="250"/>
      <w:bookmarkStart w:id="251" w:name="_Toc184313274"/>
      <w:bookmarkEnd w:id="251"/>
      <w:bookmarkStart w:id="252" w:name="_Toc184314421"/>
      <w:bookmarkEnd w:id="252"/>
      <w:bookmarkStart w:id="253" w:name="_Toc184310312"/>
      <w:bookmarkEnd w:id="253"/>
      <w:bookmarkStart w:id="254" w:name="_Toc184312114"/>
      <w:bookmarkEnd w:id="254"/>
      <w:bookmarkStart w:id="255" w:name="_Toc184312072"/>
      <w:bookmarkEnd w:id="255"/>
      <w:bookmarkStart w:id="256" w:name="_Toc184313287"/>
      <w:bookmarkEnd w:id="256"/>
      <w:bookmarkStart w:id="257" w:name="_Toc184314432"/>
      <w:bookmarkEnd w:id="257"/>
      <w:bookmarkStart w:id="258" w:name="_Toc184313305"/>
      <w:bookmarkEnd w:id="258"/>
      <w:bookmarkStart w:id="259" w:name="_Toc184308062"/>
      <w:bookmarkEnd w:id="259"/>
      <w:bookmarkStart w:id="260" w:name="_Toc184312091"/>
      <w:bookmarkEnd w:id="260"/>
      <w:bookmarkStart w:id="261" w:name="_Toc184313302"/>
      <w:bookmarkEnd w:id="261"/>
      <w:bookmarkStart w:id="262" w:name="_Toc184310279"/>
      <w:bookmarkEnd w:id="262"/>
      <w:bookmarkStart w:id="263" w:name="_Toc184312070"/>
      <w:bookmarkEnd w:id="263"/>
      <w:bookmarkStart w:id="264" w:name="_Toc184312099"/>
      <w:bookmarkEnd w:id="264"/>
      <w:bookmarkStart w:id="265" w:name="_Toc184314450"/>
      <w:bookmarkEnd w:id="265"/>
      <w:bookmarkStart w:id="266" w:name="_Toc184313281"/>
      <w:bookmarkEnd w:id="266"/>
      <w:bookmarkStart w:id="267" w:name="_Toc184313262"/>
      <w:bookmarkEnd w:id="267"/>
      <w:bookmarkStart w:id="268" w:name="_Toc184314424"/>
      <w:bookmarkEnd w:id="268"/>
      <w:bookmarkStart w:id="269" w:name="_Toc184314474"/>
      <w:bookmarkEnd w:id="269"/>
      <w:bookmarkStart w:id="270" w:name="_Toc184310333"/>
      <w:bookmarkEnd w:id="270"/>
      <w:bookmarkStart w:id="271" w:name="_Toc184313294"/>
      <w:bookmarkEnd w:id="271"/>
      <w:bookmarkStart w:id="272" w:name="_Toc184313291"/>
      <w:bookmarkEnd w:id="272"/>
      <w:bookmarkStart w:id="273" w:name="_Toc184310328"/>
      <w:bookmarkEnd w:id="273"/>
      <w:bookmarkStart w:id="274" w:name="_Toc184314447"/>
      <w:bookmarkEnd w:id="274"/>
      <w:bookmarkStart w:id="275" w:name="_Toc184312098"/>
      <w:bookmarkEnd w:id="275"/>
      <w:bookmarkStart w:id="276" w:name="_Toc184308065"/>
      <w:bookmarkEnd w:id="276"/>
      <w:bookmarkStart w:id="277" w:name="_Toc184310284"/>
      <w:bookmarkEnd w:id="277"/>
      <w:bookmarkStart w:id="278" w:name="_Toc184312132"/>
      <w:bookmarkEnd w:id="278"/>
      <w:bookmarkStart w:id="279" w:name="_Toc184313272"/>
      <w:bookmarkEnd w:id="279"/>
      <w:bookmarkStart w:id="280" w:name="_Toc184308082"/>
      <w:bookmarkEnd w:id="280"/>
      <w:bookmarkStart w:id="281" w:name="_Toc184308093"/>
      <w:bookmarkEnd w:id="281"/>
      <w:bookmarkStart w:id="282" w:name="_Toc184312123"/>
      <w:bookmarkEnd w:id="282"/>
      <w:bookmarkStart w:id="283" w:name="_Toc184314423"/>
      <w:bookmarkEnd w:id="283"/>
      <w:bookmarkStart w:id="284" w:name="_Toc184308060"/>
      <w:bookmarkEnd w:id="284"/>
      <w:bookmarkStart w:id="285" w:name="_Toc184310313"/>
      <w:bookmarkEnd w:id="285"/>
      <w:bookmarkStart w:id="286" w:name="_Toc184310283"/>
      <w:bookmarkEnd w:id="286"/>
      <w:bookmarkStart w:id="287" w:name="_Toc184308044"/>
      <w:bookmarkEnd w:id="287"/>
      <w:bookmarkStart w:id="288" w:name="_Toc184310342"/>
      <w:bookmarkEnd w:id="288"/>
      <w:bookmarkStart w:id="289" w:name="_Toc184310339"/>
      <w:bookmarkEnd w:id="289"/>
      <w:bookmarkStart w:id="290" w:name="_Toc184314445"/>
      <w:bookmarkEnd w:id="290"/>
      <w:bookmarkStart w:id="291" w:name="_Toc184310320"/>
      <w:bookmarkEnd w:id="291"/>
      <w:bookmarkStart w:id="292" w:name="_Toc184308092"/>
      <w:bookmarkEnd w:id="292"/>
      <w:bookmarkStart w:id="293" w:name="_Toc184308073"/>
      <w:bookmarkEnd w:id="293"/>
      <w:bookmarkStart w:id="294" w:name="_Toc184308051"/>
      <w:bookmarkEnd w:id="294"/>
      <w:bookmarkStart w:id="295" w:name="_Toc184312102"/>
      <w:bookmarkEnd w:id="295"/>
      <w:bookmarkStart w:id="296" w:name="_Toc184313259"/>
      <w:bookmarkEnd w:id="296"/>
      <w:bookmarkStart w:id="297" w:name="_Toc184308069"/>
      <w:bookmarkEnd w:id="297"/>
      <w:bookmarkStart w:id="298" w:name="_Toc184312073"/>
      <w:bookmarkEnd w:id="298"/>
      <w:bookmarkStart w:id="299" w:name="_Toc184313257"/>
      <w:bookmarkEnd w:id="299"/>
      <w:bookmarkStart w:id="300" w:name="_Toc184314415"/>
      <w:bookmarkEnd w:id="300"/>
      <w:bookmarkStart w:id="301" w:name="_Toc184314478"/>
      <w:bookmarkEnd w:id="301"/>
      <w:bookmarkStart w:id="302" w:name="_Toc184308046"/>
      <w:bookmarkEnd w:id="302"/>
      <w:bookmarkStart w:id="303" w:name="_Toc184312137"/>
      <w:bookmarkEnd w:id="303"/>
      <w:bookmarkStart w:id="304" w:name="_Toc184310278"/>
      <w:bookmarkEnd w:id="304"/>
      <w:bookmarkStart w:id="305" w:name="_Toc184308104"/>
      <w:bookmarkEnd w:id="305"/>
      <w:bookmarkStart w:id="306" w:name="_Toc184310321"/>
      <w:bookmarkEnd w:id="306"/>
      <w:bookmarkStart w:id="307" w:name="_Toc184313297"/>
      <w:bookmarkEnd w:id="307"/>
      <w:bookmarkStart w:id="308" w:name="_Toc184313284"/>
      <w:bookmarkEnd w:id="308"/>
      <w:bookmarkStart w:id="309" w:name="_Toc184308105"/>
      <w:bookmarkEnd w:id="309"/>
      <w:bookmarkStart w:id="310" w:name="_Toc184313268"/>
      <w:bookmarkEnd w:id="310"/>
      <w:bookmarkStart w:id="311" w:name="_Toc184308056"/>
      <w:bookmarkEnd w:id="311"/>
      <w:bookmarkStart w:id="312" w:name="_Toc184312138"/>
      <w:bookmarkEnd w:id="312"/>
      <w:bookmarkStart w:id="313" w:name="_Toc184310332"/>
      <w:bookmarkEnd w:id="313"/>
      <w:bookmarkStart w:id="314" w:name="_Toc184312078"/>
      <w:bookmarkEnd w:id="314"/>
      <w:bookmarkStart w:id="315" w:name="_Toc184308072"/>
      <w:bookmarkEnd w:id="315"/>
      <w:bookmarkStart w:id="316" w:name="_Toc184313256"/>
      <w:bookmarkEnd w:id="316"/>
      <w:bookmarkStart w:id="317" w:name="_Toc184308084"/>
      <w:bookmarkEnd w:id="317"/>
      <w:bookmarkStart w:id="318" w:name="_Toc184310275"/>
      <w:bookmarkEnd w:id="318"/>
      <w:bookmarkStart w:id="319" w:name="_Toc184314462"/>
      <w:bookmarkEnd w:id="319"/>
      <w:bookmarkStart w:id="320" w:name="_Toc184312135"/>
      <w:bookmarkEnd w:id="320"/>
      <w:bookmarkStart w:id="321" w:name="_Toc184308036"/>
      <w:bookmarkEnd w:id="321"/>
      <w:bookmarkStart w:id="322" w:name="_Toc184308074"/>
      <w:bookmarkEnd w:id="322"/>
      <w:bookmarkStart w:id="323" w:name="_Toc184312129"/>
      <w:bookmarkEnd w:id="323"/>
      <w:bookmarkStart w:id="324" w:name="_Toc184312126"/>
      <w:bookmarkEnd w:id="324"/>
      <w:bookmarkStart w:id="325" w:name="_Toc184313249"/>
      <w:bookmarkEnd w:id="325"/>
      <w:bookmarkStart w:id="326" w:name="_Toc184308057"/>
      <w:bookmarkEnd w:id="326"/>
      <w:bookmarkStart w:id="327" w:name="_Toc184313278"/>
      <w:bookmarkEnd w:id="327"/>
      <w:bookmarkStart w:id="328" w:name="_Toc184312118"/>
      <w:bookmarkEnd w:id="328"/>
      <w:bookmarkStart w:id="329" w:name="_Toc184312094"/>
      <w:bookmarkEnd w:id="329"/>
      <w:bookmarkStart w:id="330" w:name="_Toc184312076"/>
      <w:bookmarkEnd w:id="330"/>
      <w:bookmarkStart w:id="331" w:name="_Toc184310297"/>
      <w:bookmarkEnd w:id="331"/>
      <w:bookmarkStart w:id="332" w:name="_Toc184312139"/>
      <w:bookmarkEnd w:id="332"/>
      <w:bookmarkStart w:id="333" w:name="_Toc184314466"/>
      <w:bookmarkEnd w:id="333"/>
      <w:bookmarkStart w:id="334" w:name="_Toc184314419"/>
      <w:bookmarkEnd w:id="334"/>
      <w:bookmarkStart w:id="335" w:name="_Toc184312079"/>
      <w:bookmarkEnd w:id="335"/>
      <w:bookmarkStart w:id="336" w:name="_Toc184313301"/>
      <w:bookmarkEnd w:id="336"/>
      <w:bookmarkStart w:id="337" w:name="_Toc184314452"/>
      <w:bookmarkEnd w:id="337"/>
      <w:bookmarkStart w:id="338" w:name="_Toc184312110"/>
      <w:bookmarkEnd w:id="338"/>
      <w:bookmarkStart w:id="339" w:name="_Toc184312067"/>
      <w:bookmarkEnd w:id="339"/>
      <w:bookmarkStart w:id="340" w:name="_Toc184308107"/>
      <w:bookmarkEnd w:id="340"/>
      <w:bookmarkStart w:id="341" w:name="_Toc184313263"/>
      <w:bookmarkEnd w:id="341"/>
      <w:bookmarkStart w:id="342" w:name="_Toc184310305"/>
      <w:bookmarkEnd w:id="342"/>
      <w:bookmarkStart w:id="343" w:name="_Toc184310300"/>
      <w:bookmarkEnd w:id="343"/>
      <w:bookmarkStart w:id="344" w:name="_Toc184310336"/>
      <w:bookmarkEnd w:id="344"/>
      <w:bookmarkStart w:id="345" w:name="_Toc184312112"/>
      <w:bookmarkEnd w:id="345"/>
      <w:bookmarkStart w:id="346" w:name="_Toc184313293"/>
      <w:bookmarkEnd w:id="346"/>
      <w:bookmarkStart w:id="347" w:name="_Toc184314467"/>
      <w:bookmarkEnd w:id="347"/>
      <w:bookmarkStart w:id="348" w:name="_Toc184314449"/>
      <w:bookmarkEnd w:id="348"/>
      <w:bookmarkStart w:id="349" w:name="_Toc184308076"/>
      <w:bookmarkEnd w:id="349"/>
      <w:bookmarkStart w:id="350" w:name="_Toc184310317"/>
      <w:bookmarkEnd w:id="350"/>
      <w:bookmarkStart w:id="351" w:name="_Toc184314411"/>
      <w:bookmarkEnd w:id="351"/>
      <w:bookmarkStart w:id="352" w:name="_Toc184314468"/>
      <w:bookmarkEnd w:id="352"/>
      <w:bookmarkStart w:id="353" w:name="_Toc184312096"/>
      <w:bookmarkEnd w:id="353"/>
      <w:bookmarkStart w:id="354" w:name="_Toc184314434"/>
      <w:bookmarkEnd w:id="354"/>
      <w:bookmarkStart w:id="355" w:name="_Toc184313255"/>
      <w:bookmarkEnd w:id="355"/>
      <w:bookmarkStart w:id="356" w:name="_Toc184312104"/>
      <w:bookmarkEnd w:id="356"/>
      <w:bookmarkStart w:id="357" w:name="_Toc184310296"/>
      <w:bookmarkEnd w:id="357"/>
      <w:bookmarkStart w:id="358" w:name="_Toc184312119"/>
      <w:bookmarkEnd w:id="358"/>
      <w:bookmarkStart w:id="359" w:name="_Toc184313244"/>
      <w:bookmarkEnd w:id="359"/>
      <w:bookmarkStart w:id="360" w:name="_Toc184312111"/>
      <w:bookmarkEnd w:id="360"/>
      <w:bookmarkStart w:id="361" w:name="_Toc184312103"/>
      <w:bookmarkEnd w:id="361"/>
      <w:bookmarkStart w:id="362" w:name="_Toc184314435"/>
      <w:bookmarkEnd w:id="362"/>
      <w:bookmarkStart w:id="363" w:name="_Toc184313273"/>
      <w:bookmarkEnd w:id="363"/>
      <w:bookmarkStart w:id="364" w:name="_Toc184308083"/>
      <w:bookmarkEnd w:id="364"/>
      <w:bookmarkStart w:id="365" w:name="_Toc184312081"/>
      <w:bookmarkEnd w:id="365"/>
      <w:bookmarkStart w:id="366" w:name="_Toc184314418"/>
      <w:bookmarkEnd w:id="366"/>
      <w:bookmarkStart w:id="367" w:name="_Toc184308097"/>
      <w:bookmarkEnd w:id="367"/>
      <w:bookmarkStart w:id="368" w:name="_Toc184313264"/>
      <w:bookmarkEnd w:id="368"/>
      <w:bookmarkStart w:id="369" w:name="_Toc184310282"/>
      <w:bookmarkEnd w:id="369"/>
      <w:bookmarkStart w:id="370" w:name="_Toc184310286"/>
      <w:bookmarkEnd w:id="370"/>
      <w:bookmarkStart w:id="371" w:name="_Toc184310326"/>
      <w:bookmarkEnd w:id="371"/>
      <w:bookmarkStart w:id="372" w:name="_Toc184314458"/>
      <w:bookmarkEnd w:id="372"/>
      <w:bookmarkStart w:id="373" w:name="_Toc184314471"/>
      <w:bookmarkEnd w:id="373"/>
      <w:bookmarkStart w:id="374" w:name="_Toc184308070"/>
      <w:bookmarkEnd w:id="374"/>
      <w:bookmarkStart w:id="375" w:name="_Toc184308066"/>
      <w:bookmarkEnd w:id="375"/>
      <w:bookmarkStart w:id="376" w:name="_Toc184313306"/>
      <w:bookmarkEnd w:id="376"/>
      <w:bookmarkStart w:id="377" w:name="_Toc184308037"/>
      <w:bookmarkEnd w:id="377"/>
      <w:bookmarkStart w:id="378" w:name="_Toc184314475"/>
      <w:bookmarkEnd w:id="378"/>
      <w:bookmarkStart w:id="379" w:name="_Toc184308087"/>
      <w:bookmarkEnd w:id="379"/>
      <w:bookmarkStart w:id="380" w:name="_Toc184310301"/>
      <w:bookmarkEnd w:id="380"/>
      <w:bookmarkStart w:id="381" w:name="_Toc184312087"/>
      <w:bookmarkEnd w:id="381"/>
      <w:bookmarkStart w:id="382" w:name="_Toc184308077"/>
      <w:bookmarkEnd w:id="382"/>
      <w:bookmarkStart w:id="383" w:name="_Toc184308043"/>
      <w:bookmarkEnd w:id="383"/>
      <w:bookmarkStart w:id="384" w:name="_Toc184310329"/>
      <w:bookmarkEnd w:id="384"/>
      <w:bookmarkStart w:id="385" w:name="_Toc184313271"/>
      <w:bookmarkEnd w:id="385"/>
      <w:bookmarkStart w:id="386" w:name="_Toc184312117"/>
      <w:bookmarkEnd w:id="386"/>
      <w:bookmarkStart w:id="387" w:name="_Toc184308096"/>
      <w:bookmarkEnd w:id="387"/>
      <w:bookmarkStart w:id="388" w:name="_Toc184313240"/>
      <w:bookmarkEnd w:id="388"/>
      <w:bookmarkStart w:id="389" w:name="_Toc184308106"/>
      <w:bookmarkEnd w:id="389"/>
      <w:bookmarkStart w:id="390" w:name="_Toc184310325"/>
      <w:bookmarkEnd w:id="390"/>
      <w:bookmarkStart w:id="391" w:name="_Toc184310302"/>
      <w:bookmarkEnd w:id="391"/>
      <w:bookmarkStart w:id="392" w:name="_Toc184308099"/>
      <w:bookmarkEnd w:id="392"/>
      <w:bookmarkStart w:id="393" w:name="_Toc184310277"/>
      <w:bookmarkEnd w:id="393"/>
      <w:bookmarkStart w:id="394" w:name="_Toc184310334"/>
      <w:bookmarkEnd w:id="394"/>
      <w:bookmarkStart w:id="395" w:name="_Toc184314442"/>
      <w:bookmarkEnd w:id="395"/>
      <w:bookmarkStart w:id="396" w:name="_Toc184313253"/>
      <w:bookmarkEnd w:id="396"/>
      <w:bookmarkStart w:id="397" w:name="_Toc184310310"/>
      <w:bookmarkEnd w:id="397"/>
      <w:bookmarkStart w:id="398" w:name="_Toc184314465"/>
      <w:bookmarkEnd w:id="398"/>
      <w:bookmarkStart w:id="399" w:name="_Toc184312116"/>
      <w:bookmarkEnd w:id="399"/>
      <w:bookmarkStart w:id="400" w:name="_Toc184314414"/>
      <w:bookmarkEnd w:id="400"/>
      <w:bookmarkStart w:id="401" w:name="_Toc184312109"/>
      <w:bookmarkEnd w:id="401"/>
      <w:bookmarkStart w:id="402" w:name="_Toc184312069"/>
      <w:bookmarkEnd w:id="402"/>
      <w:bookmarkStart w:id="403" w:name="_Toc184313251"/>
      <w:bookmarkEnd w:id="403"/>
      <w:bookmarkStart w:id="404" w:name="_Toc184308090"/>
      <w:bookmarkEnd w:id="404"/>
      <w:bookmarkStart w:id="405" w:name="_Toc184313307"/>
      <w:bookmarkEnd w:id="405"/>
      <w:bookmarkStart w:id="406" w:name="_Toc184314443"/>
      <w:bookmarkEnd w:id="406"/>
      <w:bookmarkStart w:id="407" w:name="_Toc184310309"/>
      <w:bookmarkEnd w:id="407"/>
      <w:bookmarkStart w:id="408" w:name="_Toc184314455"/>
      <w:bookmarkEnd w:id="408"/>
      <w:bookmarkStart w:id="409" w:name="_Toc184308054"/>
      <w:bookmarkEnd w:id="409"/>
      <w:bookmarkStart w:id="410" w:name="_Toc184310308"/>
      <w:bookmarkEnd w:id="410"/>
      <w:bookmarkStart w:id="411" w:name="_Toc184313261"/>
      <w:bookmarkEnd w:id="411"/>
      <w:bookmarkStart w:id="412" w:name="_Toc184310304"/>
      <w:bookmarkEnd w:id="412"/>
      <w:bookmarkStart w:id="413" w:name="_Toc184314436"/>
      <w:bookmarkEnd w:id="413"/>
      <w:bookmarkStart w:id="414" w:name="_Toc184308052"/>
      <w:bookmarkEnd w:id="414"/>
      <w:bookmarkStart w:id="415" w:name="_Toc184314453"/>
      <w:bookmarkEnd w:id="415"/>
      <w:bookmarkStart w:id="416" w:name="_Toc184313276"/>
      <w:bookmarkEnd w:id="416"/>
      <w:bookmarkStart w:id="417" w:name="_Toc184313288"/>
      <w:bookmarkEnd w:id="417"/>
      <w:bookmarkStart w:id="418" w:name="_Toc184310291"/>
      <w:bookmarkEnd w:id="418"/>
      <w:bookmarkStart w:id="419" w:name="_Toc184310338"/>
      <w:bookmarkEnd w:id="419"/>
      <w:bookmarkStart w:id="420" w:name="_Toc184308042"/>
      <w:bookmarkEnd w:id="420"/>
      <w:bookmarkStart w:id="421" w:name="_Toc184314426"/>
      <w:bookmarkEnd w:id="421"/>
      <w:bookmarkStart w:id="422" w:name="_Toc184313298"/>
      <w:bookmarkEnd w:id="422"/>
      <w:bookmarkStart w:id="423" w:name="_Toc184314444"/>
      <w:bookmarkEnd w:id="423"/>
      <w:bookmarkStart w:id="424" w:name="_Toc184314413"/>
      <w:bookmarkEnd w:id="424"/>
      <w:bookmarkStart w:id="425" w:name="_Toc184313296"/>
      <w:bookmarkEnd w:id="425"/>
      <w:bookmarkStart w:id="426" w:name="_Toc184313265"/>
      <w:bookmarkEnd w:id="426"/>
      <w:bookmarkStart w:id="427" w:name="_Toc184312084"/>
      <w:bookmarkEnd w:id="427"/>
      <w:bookmarkStart w:id="428" w:name="_Toc184314441"/>
      <w:bookmarkEnd w:id="428"/>
      <w:bookmarkStart w:id="429" w:name="_Toc184314420"/>
      <w:bookmarkEnd w:id="429"/>
      <w:bookmarkStart w:id="430" w:name="_Toc184310272"/>
      <w:bookmarkEnd w:id="430"/>
      <w:bookmarkStart w:id="431" w:name="_Toc184312093"/>
      <w:bookmarkEnd w:id="431"/>
      <w:bookmarkStart w:id="432" w:name="_Toc184308058"/>
      <w:bookmarkEnd w:id="432"/>
      <w:bookmarkStart w:id="433" w:name="_Toc184313245"/>
      <w:bookmarkEnd w:id="433"/>
      <w:bookmarkStart w:id="434" w:name="_Toc184312124"/>
      <w:bookmarkEnd w:id="434"/>
      <w:bookmarkStart w:id="435" w:name="_Toc184310315"/>
      <w:bookmarkEnd w:id="435"/>
      <w:bookmarkStart w:id="436" w:name="_Toc184312125"/>
      <w:bookmarkEnd w:id="436"/>
      <w:bookmarkStart w:id="437" w:name="_Toc184310274"/>
      <w:bookmarkEnd w:id="437"/>
      <w:bookmarkStart w:id="438" w:name="_Toc184310298"/>
      <w:bookmarkEnd w:id="438"/>
      <w:bookmarkStart w:id="439" w:name="_Toc184310303"/>
      <w:bookmarkEnd w:id="439"/>
      <w:bookmarkStart w:id="440" w:name="_Toc184310294"/>
      <w:bookmarkEnd w:id="440"/>
      <w:bookmarkStart w:id="441" w:name="_Toc184313258"/>
      <w:bookmarkEnd w:id="441"/>
      <w:bookmarkStart w:id="442" w:name="_Toc184308048"/>
      <w:bookmarkEnd w:id="442"/>
      <w:bookmarkStart w:id="443" w:name="_Toc184310307"/>
      <w:bookmarkEnd w:id="443"/>
      <w:r>
        <w:rPr>
          <w:rFonts w:hint="eastAsia" w:ascii="宋体" w:hAnsi="宋体" w:cs="宋体"/>
          <w:b/>
          <w:color w:val="auto"/>
          <w:sz w:val="36"/>
          <w:szCs w:val="36"/>
          <w:highlight w:val="none"/>
        </w:rPr>
        <w:t>评标办法</w:t>
      </w:r>
    </w:p>
    <w:p w14:paraId="621CC466">
      <w:pPr>
        <w:snapToGrid w:val="0"/>
        <w:spacing w:line="360" w:lineRule="auto"/>
        <w:jc w:val="center"/>
        <w:rPr>
          <w:rFonts w:ascii="宋体" w:hAnsi="宋体" w:cs="宋体"/>
          <w:b/>
          <w:color w:val="auto"/>
          <w:sz w:val="32"/>
          <w:szCs w:val="20"/>
          <w:highlight w:val="none"/>
        </w:rPr>
      </w:pPr>
      <w:r>
        <w:rPr>
          <w:rFonts w:hint="eastAsia" w:ascii="宋体" w:hAnsi="宋体" w:cs="宋体"/>
          <w:b/>
          <w:color w:val="auto"/>
          <w:sz w:val="32"/>
          <w:szCs w:val="20"/>
          <w:highlight w:val="none"/>
        </w:rPr>
        <w:t>评标办法前附表</w:t>
      </w:r>
    </w:p>
    <w:tbl>
      <w:tblPr>
        <w:tblStyle w:val="66"/>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6015"/>
        <w:gridCol w:w="1066"/>
        <w:gridCol w:w="1588"/>
      </w:tblGrid>
      <w:tr w14:paraId="1696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825" w:type="dxa"/>
            <w:tcBorders>
              <w:top w:val="single" w:color="auto" w:sz="4" w:space="0"/>
              <w:left w:val="single" w:color="auto" w:sz="4" w:space="0"/>
              <w:bottom w:val="single" w:color="auto" w:sz="4" w:space="0"/>
              <w:right w:val="single" w:color="auto" w:sz="4" w:space="0"/>
            </w:tcBorders>
            <w:noWrap w:val="0"/>
            <w:vAlign w:val="center"/>
          </w:tcPr>
          <w:p w14:paraId="71B99E66">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序号</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2C3C7A7F">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评标标准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7E00DD58">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权重</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4558CF14">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投标文件中评标标准相应的商务技术资料目录</w:t>
            </w:r>
            <w:r>
              <w:rPr>
                <w:rFonts w:hint="eastAsia" w:ascii="宋体" w:hAnsi="宋体" w:cs="宋体"/>
                <w:bCs/>
                <w:color w:val="auto"/>
                <w:szCs w:val="21"/>
                <w:highlight w:val="none"/>
                <w:shd w:val="clear" w:color="auto" w:fill="FFFFFF"/>
              </w:rPr>
              <w:t> *</w:t>
            </w:r>
          </w:p>
        </w:tc>
      </w:tr>
      <w:tr w14:paraId="3CE8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825" w:type="dxa"/>
            <w:tcBorders>
              <w:top w:val="single" w:color="auto" w:sz="4" w:space="0"/>
              <w:left w:val="single" w:color="auto" w:sz="4" w:space="0"/>
              <w:bottom w:val="single" w:color="auto" w:sz="4" w:space="0"/>
              <w:right w:val="single" w:color="auto" w:sz="4" w:space="0"/>
            </w:tcBorders>
            <w:noWrap w:val="0"/>
            <w:vAlign w:val="center"/>
          </w:tcPr>
          <w:p w14:paraId="16871E8A">
            <w:pPr>
              <w:keepNext w:val="0"/>
              <w:keepLines w:val="0"/>
              <w:pageBreakBefore w:val="0"/>
              <w:kinsoku/>
              <w:wordWrap/>
              <w:overflowPunct/>
              <w:topLinePunct w:val="0"/>
              <w:bidi w:val="0"/>
              <w:adjustRightInd w:val="0"/>
              <w:spacing w:line="288" w:lineRule="auto"/>
              <w:jc w:val="center"/>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lang w:val="en-US" w:eastAsia="zh-CN"/>
              </w:rPr>
              <w:t>1</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0B8A6A43">
            <w:pPr>
              <w:pStyle w:val="238"/>
              <w:keepNext w:val="0"/>
              <w:keepLines w:val="0"/>
              <w:pageBreakBefore w:val="0"/>
              <w:kinsoku/>
              <w:wordWrap/>
              <w:overflowPunct/>
              <w:topLinePunct w:val="0"/>
              <w:bidi w:val="0"/>
              <w:adjustRightInd w:val="0"/>
              <w:spacing w:line="288" w:lineRule="auto"/>
              <w:rPr>
                <w:rFonts w:hint="eastAsia" w:ascii="宋体" w:hAnsi="宋体" w:cs="宋体"/>
                <w:bCs/>
                <w:color w:val="auto"/>
                <w:szCs w:val="21"/>
                <w:highlight w:val="none"/>
              </w:rPr>
            </w:pPr>
            <w:r>
              <w:rPr>
                <w:rFonts w:hint="eastAsia" w:ascii="宋体" w:hAnsi="宋体" w:eastAsia="宋体" w:cs="Times New Roman"/>
                <w:color w:val="auto"/>
                <w:sz w:val="21"/>
                <w:szCs w:val="21"/>
                <w:highlight w:val="none"/>
              </w:rPr>
              <w:t>投标人或所投产品生产商具有有效的质量管理体系认证证书、环境管理体系认证证书、职业健康安全管理体系认证证书，每提供一个得1分，最高得3分。</w:t>
            </w:r>
            <w:r>
              <w:rPr>
                <w:rFonts w:hint="eastAsia" w:ascii="宋体" w:hAnsi="宋体" w:eastAsia="宋体" w:cs="宋体"/>
                <w:b/>
                <w:bCs/>
                <w:color w:val="auto"/>
                <w:sz w:val="21"/>
                <w:szCs w:val="21"/>
                <w:highlight w:val="none"/>
              </w:rPr>
              <w:t>（提供</w:t>
            </w:r>
            <w:r>
              <w:rPr>
                <w:rFonts w:hint="eastAsia" w:ascii="宋体" w:hAnsi="宋体" w:eastAsia="宋体" w:cs="宋体"/>
                <w:b/>
                <w:bCs/>
                <w:color w:val="auto"/>
                <w:sz w:val="21"/>
                <w:szCs w:val="21"/>
                <w:highlight w:val="none"/>
                <w:lang w:val="en-US" w:eastAsia="zh-CN"/>
              </w:rPr>
              <w:t>相关</w:t>
            </w:r>
            <w:r>
              <w:rPr>
                <w:rFonts w:hint="eastAsia" w:ascii="宋体" w:hAnsi="宋体" w:eastAsia="宋体" w:cs="宋体"/>
                <w:b/>
                <w:bCs/>
                <w:color w:val="auto"/>
                <w:sz w:val="21"/>
                <w:szCs w:val="21"/>
                <w:highlight w:val="none"/>
              </w:rPr>
              <w:t>证书</w:t>
            </w:r>
            <w:r>
              <w:rPr>
                <w:rFonts w:hint="eastAsia" w:ascii="宋体" w:hAnsi="宋体" w:eastAsia="宋体" w:cs="宋体"/>
                <w:b/>
                <w:bCs/>
                <w:color w:val="auto"/>
                <w:sz w:val="21"/>
                <w:szCs w:val="21"/>
                <w:highlight w:val="none"/>
                <w:lang w:val="en-US" w:eastAsia="zh-CN"/>
              </w:rPr>
              <w:t>扫描件</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由</w:t>
            </w:r>
            <w:r>
              <w:rPr>
                <w:rFonts w:hint="eastAsia" w:ascii="宋体" w:hAnsi="宋体" w:eastAsia="宋体" w:cs="宋体"/>
                <w:b/>
                <w:bCs/>
                <w:color w:val="auto"/>
                <w:sz w:val="21"/>
                <w:szCs w:val="21"/>
                <w:highlight w:val="none"/>
                <w:lang w:val="en-US" w:eastAsia="zh-CN"/>
              </w:rPr>
              <w:t>评标委员会在国家认监委网站</w:t>
            </w:r>
            <w:r>
              <w:rPr>
                <w:rFonts w:hint="eastAsia" w:ascii="宋体" w:hAnsi="宋体" w:eastAsia="宋体" w:cs="宋体"/>
                <w:b/>
                <w:bCs/>
                <w:color w:val="auto"/>
                <w:sz w:val="21"/>
                <w:szCs w:val="21"/>
                <w:highlight w:val="none"/>
              </w:rPr>
              <w:t>（www.cnca.gov.cn）查询</w:t>
            </w:r>
            <w:r>
              <w:rPr>
                <w:rFonts w:hint="eastAsia" w:ascii="宋体" w:hAnsi="宋体" w:eastAsia="宋体" w:cs="宋体"/>
                <w:b/>
                <w:bCs/>
                <w:color w:val="auto"/>
                <w:sz w:val="21"/>
                <w:szCs w:val="21"/>
                <w:highlight w:val="none"/>
                <w:lang w:val="en-US" w:eastAsia="zh-CN"/>
              </w:rPr>
              <w:t>，未在该网站上查询到的或</w:t>
            </w:r>
            <w:r>
              <w:rPr>
                <w:rFonts w:hint="eastAsia" w:ascii="宋体" w:hAnsi="宋体" w:eastAsia="宋体" w:cs="宋体"/>
                <w:b/>
                <w:bCs/>
                <w:color w:val="auto"/>
                <w:sz w:val="21"/>
                <w:szCs w:val="21"/>
                <w:highlight w:val="none"/>
              </w:rPr>
              <w:t>未提供</w:t>
            </w:r>
            <w:r>
              <w:rPr>
                <w:rFonts w:hint="eastAsia" w:ascii="宋体" w:hAnsi="宋体" w:eastAsia="宋体" w:cs="宋体"/>
                <w:b/>
                <w:bCs/>
                <w:color w:val="auto"/>
                <w:sz w:val="21"/>
                <w:szCs w:val="21"/>
                <w:highlight w:val="none"/>
                <w:lang w:val="en-US" w:eastAsia="zh-CN"/>
              </w:rPr>
              <w:t>的</w:t>
            </w:r>
            <w:r>
              <w:rPr>
                <w:rFonts w:hint="eastAsia" w:ascii="宋体" w:hAnsi="宋体" w:eastAsia="宋体" w:cs="宋体"/>
                <w:b/>
                <w:bCs/>
                <w:color w:val="auto"/>
                <w:sz w:val="21"/>
                <w:szCs w:val="21"/>
                <w:highlight w:val="none"/>
              </w:rPr>
              <w:t>不得分）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56DF464E">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0-3分（客观）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3A1103E9">
            <w:pPr>
              <w:keepNext w:val="0"/>
              <w:keepLines w:val="0"/>
              <w:pageBreakBefore w:val="0"/>
              <w:kinsoku/>
              <w:wordWrap/>
              <w:overflowPunct/>
              <w:topLinePunct w:val="0"/>
              <w:autoSpaceDE w:val="0"/>
              <w:autoSpaceDN w:val="0"/>
              <w:bidi w:val="0"/>
              <w:adjustRightInd w:val="0"/>
              <w:spacing w:line="288" w:lineRule="auto"/>
              <w:jc w:val="center"/>
              <w:rPr>
                <w:rFonts w:hint="eastAsia" w:ascii="宋体" w:hAnsi="宋体" w:cs="宋体"/>
                <w:bCs/>
                <w:color w:val="auto"/>
                <w:szCs w:val="21"/>
                <w:highlight w:val="none"/>
              </w:rPr>
            </w:pPr>
            <w:r>
              <w:rPr>
                <w:rFonts w:hint="eastAsia" w:ascii="宋体" w:hAnsi="宋体"/>
                <w:color w:val="auto"/>
                <w:szCs w:val="21"/>
                <w:highlight w:val="none"/>
              </w:rPr>
              <w:t>认证证书</w:t>
            </w:r>
          </w:p>
        </w:tc>
      </w:tr>
      <w:tr w14:paraId="29704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825" w:type="dxa"/>
            <w:tcBorders>
              <w:top w:val="single" w:color="auto" w:sz="4" w:space="0"/>
              <w:left w:val="single" w:color="auto" w:sz="4" w:space="0"/>
              <w:bottom w:val="single" w:color="auto" w:sz="4" w:space="0"/>
              <w:right w:val="single" w:color="auto" w:sz="4" w:space="0"/>
            </w:tcBorders>
            <w:noWrap w:val="0"/>
            <w:vAlign w:val="center"/>
          </w:tcPr>
          <w:p w14:paraId="62B8BE2C">
            <w:pPr>
              <w:keepNext w:val="0"/>
              <w:keepLines w:val="0"/>
              <w:pageBreakBefore w:val="0"/>
              <w:kinsoku/>
              <w:wordWrap/>
              <w:overflowPunct/>
              <w:topLinePunct w:val="0"/>
              <w:bidi w:val="0"/>
              <w:adjustRightInd w:val="0"/>
              <w:spacing w:line="288" w:lineRule="auto"/>
              <w:jc w:val="center"/>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lang w:val="en-US" w:eastAsia="zh-CN"/>
              </w:rPr>
              <w:t>2</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579973EC">
            <w:pPr>
              <w:keepNext w:val="0"/>
              <w:keepLines w:val="0"/>
              <w:pageBreakBefore w:val="0"/>
              <w:widowControl/>
              <w:kinsoku/>
              <w:wordWrap/>
              <w:overflowPunct/>
              <w:topLinePunct w:val="0"/>
              <w:bidi w:val="0"/>
              <w:adjustRightInd w:val="0"/>
              <w:spacing w:line="288" w:lineRule="auto"/>
              <w:jc w:val="left"/>
              <w:rPr>
                <w:rFonts w:hint="eastAsia" w:ascii="宋体" w:hAnsi="宋体"/>
                <w:color w:val="auto"/>
                <w:kern w:val="0"/>
                <w:szCs w:val="21"/>
                <w:highlight w:val="none"/>
              </w:rPr>
            </w:pPr>
            <w:r>
              <w:rPr>
                <w:rFonts w:hint="eastAsia" w:ascii="宋体" w:hAnsi="宋体"/>
                <w:color w:val="auto"/>
                <w:kern w:val="0"/>
                <w:szCs w:val="21"/>
                <w:highlight w:val="none"/>
              </w:rPr>
              <w:t>投标人自202</w:t>
            </w:r>
            <w:r>
              <w:rPr>
                <w:rFonts w:hint="eastAsia" w:ascii="宋体" w:hAnsi="宋体"/>
                <w:color w:val="auto"/>
                <w:kern w:val="0"/>
                <w:szCs w:val="21"/>
                <w:highlight w:val="none"/>
                <w:lang w:val="en-US" w:eastAsia="zh-CN"/>
              </w:rPr>
              <w:t>1</w:t>
            </w:r>
            <w:r>
              <w:rPr>
                <w:rFonts w:hint="eastAsia" w:ascii="宋体" w:hAnsi="宋体"/>
                <w:color w:val="auto"/>
                <w:kern w:val="0"/>
                <w:szCs w:val="21"/>
                <w:highlight w:val="none"/>
              </w:rPr>
              <w:t>年</w:t>
            </w:r>
            <w:r>
              <w:rPr>
                <w:rFonts w:hint="eastAsia" w:ascii="宋体" w:hAnsi="宋体"/>
                <w:color w:val="auto"/>
                <w:kern w:val="0"/>
                <w:szCs w:val="21"/>
                <w:highlight w:val="none"/>
                <w:lang w:val="en-US" w:eastAsia="zh-CN"/>
              </w:rPr>
              <w:t>8</w:t>
            </w:r>
            <w:r>
              <w:rPr>
                <w:rFonts w:hint="eastAsia" w:ascii="宋体" w:hAnsi="宋体"/>
                <w:color w:val="auto"/>
                <w:kern w:val="0"/>
                <w:szCs w:val="21"/>
                <w:highlight w:val="none"/>
              </w:rPr>
              <w:t>月1日（以合同签订日期</w:t>
            </w:r>
            <w:r>
              <w:rPr>
                <w:rFonts w:hint="eastAsia" w:ascii="宋体" w:hAnsi="宋体"/>
                <w:color w:val="auto"/>
                <w:kern w:val="0"/>
                <w:szCs w:val="21"/>
                <w:highlight w:val="none"/>
                <w:lang w:eastAsia="zh-CN"/>
              </w:rPr>
              <w:t>或中标通知书发出之日</w:t>
            </w:r>
            <w:r>
              <w:rPr>
                <w:rFonts w:hint="eastAsia" w:ascii="宋体" w:hAnsi="宋体"/>
                <w:color w:val="auto"/>
                <w:kern w:val="0"/>
                <w:szCs w:val="21"/>
                <w:highlight w:val="none"/>
              </w:rPr>
              <w:t>为准）以来完成过的类似业绩,每个业绩1分，最高得3分。</w:t>
            </w:r>
          </w:p>
          <w:p w14:paraId="754DC5BB">
            <w:pPr>
              <w:keepNext w:val="0"/>
              <w:keepLines w:val="0"/>
              <w:pageBreakBefore w:val="0"/>
              <w:widowControl/>
              <w:kinsoku/>
              <w:wordWrap/>
              <w:overflowPunct/>
              <w:topLinePunct w:val="0"/>
              <w:bidi w:val="0"/>
              <w:adjustRightInd w:val="0"/>
              <w:spacing w:line="288" w:lineRule="auto"/>
              <w:jc w:val="left"/>
              <w:rPr>
                <w:rFonts w:hint="eastAsia" w:ascii="宋体" w:hAnsi="宋体" w:eastAsia="宋体" w:cs="Times New Roman"/>
                <w:color w:val="auto"/>
                <w:sz w:val="21"/>
                <w:szCs w:val="21"/>
                <w:highlight w:val="none"/>
              </w:rPr>
            </w:pPr>
            <w:r>
              <w:rPr>
                <w:rFonts w:hint="eastAsia" w:ascii="宋体" w:hAnsi="宋体"/>
                <w:b/>
                <w:color w:val="auto"/>
                <w:kern w:val="0"/>
                <w:szCs w:val="21"/>
                <w:highlight w:val="none"/>
              </w:rPr>
              <w:t>（证明材料：</w:t>
            </w:r>
            <w:r>
              <w:rPr>
                <w:rFonts w:hint="eastAsia" w:ascii="宋体" w:hAnsi="宋体"/>
                <w:b/>
                <w:color w:val="auto"/>
                <w:kern w:val="0"/>
                <w:szCs w:val="21"/>
                <w:highlight w:val="none"/>
                <w:lang w:eastAsia="zh-CN"/>
              </w:rPr>
              <w:t>合同</w:t>
            </w:r>
            <w:r>
              <w:rPr>
                <w:rFonts w:hint="eastAsia" w:ascii="宋体" w:hAnsi="宋体"/>
                <w:b/>
                <w:color w:val="auto"/>
                <w:kern w:val="0"/>
                <w:szCs w:val="21"/>
                <w:highlight w:val="none"/>
              </w:rPr>
              <w:t>需同时提供合同、验收合格报告</w:t>
            </w:r>
            <w:r>
              <w:rPr>
                <w:rFonts w:hint="eastAsia" w:ascii="宋体" w:hAnsi="宋体"/>
                <w:b/>
                <w:color w:val="auto"/>
                <w:kern w:val="0"/>
                <w:szCs w:val="21"/>
                <w:highlight w:val="none"/>
                <w:lang w:eastAsia="zh-CN"/>
              </w:rPr>
              <w:t>扫描</w:t>
            </w:r>
            <w:r>
              <w:rPr>
                <w:rFonts w:hint="eastAsia" w:ascii="宋体" w:hAnsi="宋体"/>
                <w:b/>
                <w:color w:val="auto"/>
                <w:kern w:val="0"/>
                <w:szCs w:val="21"/>
                <w:highlight w:val="none"/>
              </w:rPr>
              <w:t>件并加盖</w:t>
            </w:r>
            <w:r>
              <w:rPr>
                <w:rFonts w:hint="eastAsia" w:ascii="宋体" w:hAnsi="宋体"/>
                <w:b/>
                <w:color w:val="auto"/>
                <w:kern w:val="0"/>
                <w:szCs w:val="21"/>
                <w:highlight w:val="none"/>
                <w:lang w:eastAsia="zh-CN"/>
              </w:rPr>
              <w:t>电子签章</w:t>
            </w:r>
            <w:r>
              <w:rPr>
                <w:rFonts w:hint="eastAsia" w:ascii="宋体" w:hAnsi="宋体"/>
                <w:b/>
                <w:color w:val="auto"/>
                <w:kern w:val="0"/>
                <w:szCs w:val="21"/>
                <w:highlight w:val="none"/>
              </w:rPr>
              <w:t>，</w:t>
            </w:r>
            <w:r>
              <w:rPr>
                <w:rFonts w:hint="eastAsia" w:ascii="宋体" w:hAnsi="宋体"/>
                <w:b/>
                <w:color w:val="auto"/>
                <w:kern w:val="0"/>
                <w:szCs w:val="21"/>
                <w:highlight w:val="none"/>
                <w:lang w:eastAsia="zh-CN"/>
              </w:rPr>
              <w:t>两</w:t>
            </w:r>
            <w:r>
              <w:rPr>
                <w:rFonts w:hint="eastAsia" w:ascii="宋体" w:hAnsi="宋体"/>
                <w:b/>
                <w:color w:val="auto"/>
                <w:kern w:val="0"/>
                <w:szCs w:val="21"/>
                <w:highlight w:val="none"/>
              </w:rPr>
              <w:t>者缺少一项不得分</w:t>
            </w:r>
            <w:r>
              <w:rPr>
                <w:rFonts w:hint="eastAsia" w:ascii="宋体" w:hAnsi="宋体"/>
                <w:b/>
                <w:color w:val="auto"/>
                <w:kern w:val="0"/>
                <w:szCs w:val="21"/>
                <w:highlight w:val="none"/>
                <w:lang w:eastAsia="zh-CN"/>
              </w:rPr>
              <w:t>；</w:t>
            </w:r>
            <w:r>
              <w:rPr>
                <w:rFonts w:hint="eastAsia" w:ascii="宋体" w:hAnsi="宋体"/>
                <w:color w:val="auto"/>
                <w:kern w:val="0"/>
                <w:szCs w:val="21"/>
                <w:highlight w:val="none"/>
                <w:lang w:eastAsia="zh-CN"/>
              </w:rPr>
              <w:t>中标通知书需提供中标通知书扫描件并加盖电子签章。</w:t>
            </w:r>
            <w:r>
              <w:rPr>
                <w:rFonts w:hint="eastAsia" w:ascii="宋体" w:hAnsi="宋体" w:cs="宋体"/>
                <w:b/>
                <w:color w:val="auto"/>
                <w:kern w:val="0"/>
                <w:szCs w:val="21"/>
                <w:highlight w:val="none"/>
              </w:rPr>
              <w:t>业绩不提供或提供不完整的不得分）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41E1CDB9">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0-3分</w:t>
            </w:r>
          </w:p>
          <w:p w14:paraId="6F3D1E74">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（客观）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5ECAAD61">
            <w:pPr>
              <w:keepNext w:val="0"/>
              <w:keepLines w:val="0"/>
              <w:pageBreakBefore w:val="0"/>
              <w:kinsoku/>
              <w:wordWrap/>
              <w:overflowPunct/>
              <w:topLinePunct w:val="0"/>
              <w:bidi w:val="0"/>
              <w:adjustRightInd w:val="0"/>
              <w:spacing w:line="288" w:lineRule="auto"/>
              <w:jc w:val="center"/>
              <w:outlineLvl w:val="0"/>
              <w:rPr>
                <w:rFonts w:hint="eastAsia" w:ascii="宋体" w:hAnsi="宋体"/>
                <w:color w:val="auto"/>
                <w:szCs w:val="21"/>
                <w:highlight w:val="none"/>
              </w:rPr>
            </w:pPr>
            <w:r>
              <w:rPr>
                <w:rFonts w:hint="eastAsia" w:ascii="宋体" w:hAnsi="宋体" w:cs="宋体"/>
                <w:bCs/>
                <w:color w:val="auto"/>
                <w:szCs w:val="21"/>
                <w:highlight w:val="none"/>
              </w:rPr>
              <w:t>业绩</w:t>
            </w:r>
          </w:p>
        </w:tc>
      </w:tr>
      <w:tr w14:paraId="4882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825" w:type="dxa"/>
            <w:tcBorders>
              <w:top w:val="single" w:color="auto" w:sz="4" w:space="0"/>
              <w:left w:val="single" w:color="auto" w:sz="4" w:space="0"/>
              <w:bottom w:val="single" w:color="auto" w:sz="4" w:space="0"/>
              <w:right w:val="single" w:color="auto" w:sz="4" w:space="0"/>
            </w:tcBorders>
            <w:noWrap w:val="0"/>
            <w:vAlign w:val="center"/>
          </w:tcPr>
          <w:p w14:paraId="78DD746C">
            <w:pPr>
              <w:keepNext w:val="0"/>
              <w:keepLines w:val="0"/>
              <w:pageBreakBefore w:val="0"/>
              <w:kinsoku/>
              <w:wordWrap/>
              <w:overflowPunct/>
              <w:topLinePunct w:val="0"/>
              <w:bidi w:val="0"/>
              <w:adjustRightInd w:val="0"/>
              <w:spacing w:line="288" w:lineRule="auto"/>
              <w:jc w:val="center"/>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lang w:val="en-US" w:eastAsia="zh-CN"/>
              </w:rPr>
              <w:t>3</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747D1FB1">
            <w:pPr>
              <w:pStyle w:val="23"/>
              <w:keepNext w:val="0"/>
              <w:keepLines w:val="0"/>
              <w:pageBreakBefore w:val="0"/>
              <w:kinsoku/>
              <w:wordWrap/>
              <w:overflowPunct/>
              <w:topLinePunct w:val="0"/>
              <w:bidi w:val="0"/>
              <w:adjustRightInd w:val="0"/>
              <w:spacing w:line="288" w:lineRule="auto"/>
              <w:rPr>
                <w:rFonts w:hint="eastAsia" w:hAnsi="宋体" w:cs="宋体"/>
                <w:snapToGrid/>
                <w:color w:val="auto"/>
                <w:sz w:val="21"/>
                <w:highlight w:val="none"/>
                <w:lang w:val="en-US"/>
              </w:rPr>
            </w:pPr>
            <w:r>
              <w:rPr>
                <w:rFonts w:hint="eastAsia" w:hAnsi="宋体" w:cs="宋体"/>
                <w:snapToGrid/>
                <w:color w:val="auto"/>
                <w:sz w:val="21"/>
                <w:highlight w:val="none"/>
                <w:lang w:val="en-US"/>
              </w:rPr>
              <w:t>投标人所投产品除强制采购节能产品外有列入政府采购节能产品品目清单范围的优先采购节能产品的</w:t>
            </w:r>
            <w:r>
              <w:rPr>
                <w:rFonts w:hint="eastAsia" w:hAnsi="宋体" w:cs="宋体"/>
                <w:snapToGrid/>
                <w:color w:val="auto"/>
                <w:sz w:val="21"/>
                <w:highlight w:val="none"/>
                <w:lang w:val="en-US" w:eastAsia="zh-CN"/>
              </w:rPr>
              <w:t>（</w:t>
            </w:r>
            <w:r>
              <w:rPr>
                <w:rFonts w:hint="eastAsia" w:hAnsi="宋体" w:cs="宋体"/>
                <w:snapToGrid/>
                <w:color w:val="auto"/>
                <w:sz w:val="21"/>
                <w:highlight w:val="none"/>
                <w:u w:val="single"/>
                <w:lang w:val="en-US"/>
              </w:rPr>
              <w:t>即</w:t>
            </w:r>
            <w:r>
              <w:rPr>
                <w:rFonts w:hint="eastAsia" w:hAnsi="宋体" w:cs="宋体"/>
                <w:snapToGrid/>
                <w:color w:val="auto"/>
                <w:sz w:val="21"/>
                <w:highlight w:val="none"/>
                <w:u w:val="single"/>
                <w:lang w:val="en-US" w:eastAsia="zh-CN"/>
              </w:rPr>
              <w:t>（中餐燃气炒菜灶）双炒单尾撑广式炉、（中餐燃气炒菜灶）双炒双尾撑广式炉、可倾燃气汤锅 （200L）、双眼矮仔炉、三门燃气蒸柜、商用柜式炊饭机）</w:t>
            </w:r>
            <w:r>
              <w:rPr>
                <w:rFonts w:hint="eastAsia" w:hAnsi="宋体" w:cs="宋体"/>
                <w:snapToGrid/>
                <w:color w:val="auto"/>
                <w:sz w:val="21"/>
                <w:highlight w:val="none"/>
                <w:lang w:val="en-US" w:eastAsia="zh-CN"/>
              </w:rPr>
              <w:t>）</w:t>
            </w:r>
            <w:r>
              <w:rPr>
                <w:rFonts w:hint="eastAsia" w:hAnsi="宋体" w:cs="宋体"/>
                <w:snapToGrid/>
                <w:color w:val="auto"/>
                <w:sz w:val="21"/>
                <w:highlight w:val="none"/>
                <w:lang w:val="en-US"/>
              </w:rPr>
              <w:t>，每提供一个得</w:t>
            </w:r>
            <w:r>
              <w:rPr>
                <w:rFonts w:hint="eastAsia" w:hAnsi="宋体" w:cs="宋体"/>
                <w:snapToGrid/>
                <w:color w:val="auto"/>
                <w:sz w:val="21"/>
                <w:highlight w:val="none"/>
                <w:lang w:val="en-US" w:eastAsia="zh-CN"/>
              </w:rPr>
              <w:t>0.5</w:t>
            </w:r>
            <w:r>
              <w:rPr>
                <w:rFonts w:hint="eastAsia" w:hAnsi="宋体" w:cs="宋体"/>
                <w:snapToGrid/>
                <w:color w:val="auto"/>
                <w:sz w:val="21"/>
                <w:highlight w:val="none"/>
                <w:lang w:val="en-US"/>
              </w:rPr>
              <w:t>分，最高得1分。</w:t>
            </w:r>
          </w:p>
          <w:p w14:paraId="086F6C3E">
            <w:pPr>
              <w:pStyle w:val="23"/>
              <w:keepNext w:val="0"/>
              <w:keepLines w:val="0"/>
              <w:pageBreakBefore w:val="0"/>
              <w:kinsoku/>
              <w:wordWrap/>
              <w:overflowPunct/>
              <w:topLinePunct w:val="0"/>
              <w:bidi w:val="0"/>
              <w:adjustRightInd w:val="0"/>
              <w:spacing w:line="288" w:lineRule="auto"/>
              <w:rPr>
                <w:rFonts w:hint="eastAsia" w:ascii="宋体" w:hAnsi="宋体"/>
                <w:b/>
                <w:color w:val="auto"/>
                <w:kern w:val="0"/>
                <w:szCs w:val="21"/>
                <w:highlight w:val="none"/>
              </w:rPr>
            </w:pPr>
            <w:r>
              <w:rPr>
                <w:rFonts w:hint="eastAsia" w:hAnsi="宋体" w:cs="宋体"/>
                <w:b/>
                <w:snapToGrid/>
                <w:color w:val="auto"/>
                <w:sz w:val="21"/>
                <w:highlight w:val="none"/>
                <w:lang w:val="en-US"/>
              </w:rPr>
              <w:t>（证明材料：提供国家认可的第三方认证机构出具的处于有效期之内的节能产品认证证书，否则不得分）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07613022">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0-1分</w:t>
            </w:r>
          </w:p>
          <w:p w14:paraId="6AFC3F02">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（客观）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093D3462">
            <w:pPr>
              <w:keepNext w:val="0"/>
              <w:keepLines w:val="0"/>
              <w:pageBreakBefore w:val="0"/>
              <w:widowControl/>
              <w:kinsoku/>
              <w:wordWrap/>
              <w:overflowPunct/>
              <w:topLinePunct w:val="0"/>
              <w:bidi w:val="0"/>
              <w:adjustRightInd w:val="0"/>
              <w:spacing w:line="288"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政府采购政策</w:t>
            </w:r>
          </w:p>
        </w:tc>
      </w:tr>
      <w:tr w14:paraId="5D70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825" w:type="dxa"/>
            <w:tcBorders>
              <w:top w:val="single" w:color="auto" w:sz="4" w:space="0"/>
              <w:left w:val="single" w:color="auto" w:sz="4" w:space="0"/>
              <w:bottom w:val="single" w:color="auto" w:sz="4" w:space="0"/>
              <w:right w:val="single" w:color="auto" w:sz="4" w:space="0"/>
            </w:tcBorders>
            <w:noWrap w:val="0"/>
            <w:vAlign w:val="center"/>
          </w:tcPr>
          <w:p w14:paraId="034E3730">
            <w:pPr>
              <w:keepNext w:val="0"/>
              <w:keepLines w:val="0"/>
              <w:pageBreakBefore w:val="0"/>
              <w:kinsoku/>
              <w:wordWrap/>
              <w:overflowPunct/>
              <w:topLinePunct w:val="0"/>
              <w:bidi w:val="0"/>
              <w:adjustRightInd w:val="0"/>
              <w:spacing w:line="288" w:lineRule="auto"/>
              <w:jc w:val="center"/>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lang w:val="en-US" w:eastAsia="zh-CN"/>
              </w:rPr>
              <w:t>4</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436C1E04">
            <w:pPr>
              <w:keepNext w:val="0"/>
              <w:keepLines w:val="0"/>
              <w:pageBreakBefore w:val="0"/>
              <w:widowControl/>
              <w:suppressLineNumbers w:val="0"/>
              <w:kinsoku/>
              <w:wordWrap/>
              <w:overflowPunct/>
              <w:topLinePunct w:val="0"/>
              <w:autoSpaceDE/>
              <w:autoSpaceDN/>
              <w:bidi w:val="0"/>
              <w:adjustRightInd w:val="0"/>
              <w:snapToGrid/>
              <w:spacing w:line="300" w:lineRule="auto"/>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投标供应商所选用产品对采购需求的响应情况。</w:t>
            </w:r>
          </w:p>
          <w:p w14:paraId="5EA68BEC">
            <w:pPr>
              <w:keepNext w:val="0"/>
              <w:keepLines w:val="0"/>
              <w:pageBreakBefore w:val="0"/>
              <w:widowControl/>
              <w:suppressLineNumbers w:val="0"/>
              <w:kinsoku/>
              <w:wordWrap/>
              <w:overflowPunct/>
              <w:topLinePunct w:val="0"/>
              <w:autoSpaceDE/>
              <w:autoSpaceDN/>
              <w:bidi w:val="0"/>
              <w:adjustRightInd w:val="0"/>
              <w:snapToGrid/>
              <w:spacing w:line="300" w:lineRule="auto"/>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核心产品（打★）中每个产品的技术要求存在负偏离的扣2分，非核心产品中每个产品的技术要求存在负偏离的扣1分，扣完为止。完全满足招标文件要求的得</w:t>
            </w:r>
            <w:r>
              <w:rPr>
                <w:rFonts w:hint="eastAsia" w:ascii="宋体" w:hAnsi="宋体" w:cs="宋体"/>
                <w:color w:val="auto"/>
                <w:szCs w:val="21"/>
                <w:highlight w:val="none"/>
                <w:lang w:val="en-US" w:eastAsia="zh-CN"/>
              </w:rPr>
              <w:t>23</w:t>
            </w:r>
            <w:r>
              <w:rPr>
                <w:rFonts w:hint="eastAsia" w:ascii="宋体" w:hAnsi="宋体" w:cs="宋体"/>
                <w:color w:val="auto"/>
                <w:szCs w:val="21"/>
                <w:highlight w:val="none"/>
              </w:rPr>
              <w:t>分。</w:t>
            </w:r>
          </w:p>
          <w:p w14:paraId="0D76CF69">
            <w:pPr>
              <w:keepNext w:val="0"/>
              <w:keepLines w:val="0"/>
              <w:pageBreakBefore w:val="0"/>
              <w:widowControl/>
              <w:suppressLineNumbers w:val="0"/>
              <w:kinsoku/>
              <w:wordWrap/>
              <w:overflowPunct/>
              <w:topLinePunct w:val="0"/>
              <w:autoSpaceDE/>
              <w:autoSpaceDN/>
              <w:bidi w:val="0"/>
              <w:adjustRightInd w:val="0"/>
              <w:snapToGrid/>
              <w:spacing w:line="300" w:lineRule="auto"/>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证明材料：有效的技术响应表（后附技术资料：如</w:t>
            </w:r>
            <w:r>
              <w:rPr>
                <w:rFonts w:hint="eastAsia" w:ascii="宋体" w:hAnsi="宋体" w:cs="宋体"/>
                <w:color w:val="auto"/>
                <w:szCs w:val="21"/>
                <w:highlight w:val="none"/>
                <w:lang w:eastAsia="zh-CN"/>
              </w:rPr>
              <w:t>相关证书、</w:t>
            </w:r>
            <w:r>
              <w:rPr>
                <w:rFonts w:hint="eastAsia" w:ascii="宋体" w:hAnsi="宋体" w:cs="宋体"/>
                <w:color w:val="auto"/>
                <w:szCs w:val="21"/>
                <w:highlight w:val="none"/>
              </w:rPr>
              <w:t>产品样本资料或技术说明书或官网上公开的技术参数可以体现参数响应情况的资料）。</w:t>
            </w:r>
          </w:p>
          <w:p w14:paraId="552517C4">
            <w:pPr>
              <w:keepNext w:val="0"/>
              <w:keepLines w:val="0"/>
              <w:widowControl/>
              <w:suppressLineNumbers w:val="0"/>
              <w:jc w:val="left"/>
              <w:rPr>
                <w:rFonts w:hint="eastAsia" w:ascii="宋体" w:hAnsi="宋体" w:cs="宋体"/>
                <w:color w:val="auto"/>
                <w:szCs w:val="21"/>
                <w:highlight w:val="none"/>
              </w:rPr>
            </w:pPr>
            <w:r>
              <w:rPr>
                <w:rFonts w:hint="eastAsia" w:ascii="宋体" w:hAnsi="宋体" w:cs="宋体"/>
                <w:color w:val="auto"/>
                <w:szCs w:val="21"/>
                <w:highlight w:val="none"/>
              </w:rPr>
              <w:t>备注：（1）标注▲的实质性要求条款存在负偏离的视为未实质性响应采购要求，作无效标处理。（2）相同产品的条款不重复计算条数。</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62E2A5EE">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23</w:t>
            </w:r>
            <w:r>
              <w:rPr>
                <w:rFonts w:hint="eastAsia" w:ascii="宋体" w:hAnsi="宋体" w:cs="宋体"/>
                <w:bCs/>
                <w:color w:val="auto"/>
                <w:szCs w:val="21"/>
                <w:highlight w:val="none"/>
              </w:rPr>
              <w:t>分</w:t>
            </w:r>
          </w:p>
          <w:p w14:paraId="68595873">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（客观）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50B90594">
            <w:pPr>
              <w:keepNext w:val="0"/>
              <w:keepLines w:val="0"/>
              <w:pageBreakBefore w:val="0"/>
              <w:widowControl/>
              <w:kinsoku/>
              <w:wordWrap/>
              <w:overflowPunct/>
              <w:topLinePunct w:val="0"/>
              <w:bidi w:val="0"/>
              <w:adjustRightInd w:val="0"/>
              <w:spacing w:line="288" w:lineRule="auto"/>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投标产品的基本功能、技术指标与需求的满足情况</w:t>
            </w:r>
          </w:p>
        </w:tc>
      </w:tr>
      <w:tr w14:paraId="7CE7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25" w:type="dxa"/>
            <w:tcBorders>
              <w:top w:val="single" w:color="auto" w:sz="4" w:space="0"/>
              <w:left w:val="single" w:color="auto" w:sz="4" w:space="0"/>
              <w:bottom w:val="single" w:color="auto" w:sz="4" w:space="0"/>
              <w:right w:val="single" w:color="auto" w:sz="4" w:space="0"/>
            </w:tcBorders>
            <w:noWrap w:val="0"/>
            <w:vAlign w:val="center"/>
          </w:tcPr>
          <w:p w14:paraId="0E152BB6">
            <w:pPr>
              <w:keepNext w:val="0"/>
              <w:keepLines w:val="0"/>
              <w:pageBreakBefore w:val="0"/>
              <w:kinsoku/>
              <w:wordWrap/>
              <w:overflowPunct/>
              <w:topLinePunct w:val="0"/>
              <w:bidi w:val="0"/>
              <w:adjustRightInd w:val="0"/>
              <w:spacing w:line="288"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5</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7B750DF8">
            <w:pPr>
              <w:keepNext w:val="0"/>
              <w:keepLines w:val="0"/>
              <w:pageBreakBefore w:val="0"/>
              <w:widowControl/>
              <w:kinsoku/>
              <w:wordWrap/>
              <w:overflowPunct/>
              <w:topLinePunct w:val="0"/>
              <w:bidi w:val="0"/>
              <w:adjustRightInd w:val="0"/>
              <w:spacing w:line="288" w:lineRule="auto"/>
              <w:jc w:val="left"/>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投标人或所投产品制造商具有国家认可的第三方权威认证机构出具的不锈钢原材料（304不锈钢板材、304不锈钢管材）符合检测依据为GB/T10125-2021《人造气氛腐蚀试验盐雾试验》的检测报告，每提供一份检测报告得1.5分，最高得3分。</w:t>
            </w:r>
          </w:p>
          <w:p w14:paraId="327B14DE">
            <w:pPr>
              <w:keepNext w:val="0"/>
              <w:keepLines w:val="0"/>
              <w:pageBreakBefore w:val="0"/>
              <w:widowControl/>
              <w:kinsoku/>
              <w:wordWrap/>
              <w:overflowPunct/>
              <w:topLinePunct w:val="0"/>
              <w:bidi w:val="0"/>
              <w:adjustRightInd w:val="0"/>
              <w:spacing w:line="288" w:lineRule="auto"/>
              <w:jc w:val="left"/>
              <w:rPr>
                <w:rFonts w:hint="eastAsia" w:ascii="宋体" w:hAnsi="宋体" w:cs="宋体"/>
                <w:bCs/>
                <w:color w:val="auto"/>
                <w:kern w:val="0"/>
                <w:szCs w:val="21"/>
                <w:highlight w:val="none"/>
              </w:rPr>
            </w:pPr>
            <w:r>
              <w:rPr>
                <w:rFonts w:hint="eastAsia" w:ascii="宋体" w:hAnsi="宋体" w:cs="宋体"/>
                <w:b/>
                <w:bCs w:val="0"/>
                <w:color w:val="auto"/>
                <w:kern w:val="0"/>
                <w:szCs w:val="21"/>
                <w:highlight w:val="none"/>
              </w:rPr>
              <w:t>（证明材料：提供国家认可的第三方权威检测机构出具的检测报告）</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7C75CBE5">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分（客观）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58F3DC09">
            <w:pPr>
              <w:keepNext w:val="0"/>
              <w:keepLines w:val="0"/>
              <w:pageBreakBefore w:val="0"/>
              <w:widowControl/>
              <w:kinsoku/>
              <w:wordWrap/>
              <w:overflowPunct/>
              <w:topLinePunct w:val="0"/>
              <w:bidi w:val="0"/>
              <w:adjustRightInd w:val="0"/>
              <w:spacing w:line="288" w:lineRule="auto"/>
              <w:jc w:val="center"/>
              <w:textAlignment w:val="center"/>
              <w:rPr>
                <w:rFonts w:hint="eastAsia" w:ascii="宋体" w:hAnsi="宋体" w:cs="宋体"/>
                <w:bCs/>
                <w:color w:val="auto"/>
                <w:szCs w:val="21"/>
                <w:highlight w:val="none"/>
              </w:rPr>
            </w:pPr>
            <w:r>
              <w:rPr>
                <w:rFonts w:hint="eastAsia" w:ascii="宋体" w:hAnsi="宋体" w:cs="宋体"/>
                <w:bCs/>
                <w:color w:val="auto"/>
                <w:szCs w:val="21"/>
                <w:highlight w:val="none"/>
              </w:rPr>
              <w:t>产品质量保证情况</w:t>
            </w:r>
          </w:p>
        </w:tc>
      </w:tr>
      <w:tr w14:paraId="50DF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25" w:type="dxa"/>
            <w:tcBorders>
              <w:top w:val="single" w:color="auto" w:sz="4" w:space="0"/>
              <w:left w:val="single" w:color="auto" w:sz="4" w:space="0"/>
              <w:right w:val="single" w:color="auto" w:sz="4" w:space="0"/>
            </w:tcBorders>
            <w:noWrap w:val="0"/>
            <w:vAlign w:val="center"/>
          </w:tcPr>
          <w:p w14:paraId="57325DB8">
            <w:pPr>
              <w:keepNext w:val="0"/>
              <w:keepLines w:val="0"/>
              <w:pageBreakBefore w:val="0"/>
              <w:kinsoku/>
              <w:wordWrap/>
              <w:overflowPunct/>
              <w:topLinePunct w:val="0"/>
              <w:bidi w:val="0"/>
              <w:adjustRightInd w:val="0"/>
              <w:spacing w:line="288"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6</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54C6838F">
            <w:pPr>
              <w:keepNext w:val="0"/>
              <w:keepLines w:val="0"/>
              <w:pageBreakBefore w:val="0"/>
              <w:kinsoku/>
              <w:wordWrap/>
              <w:overflowPunct/>
              <w:topLinePunct w:val="0"/>
              <w:bidi w:val="0"/>
              <w:adjustRightInd w:val="0"/>
              <w:spacing w:line="288" w:lineRule="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根据各投标人设备进场前工序：水电点位现场测量及符合标准等情况打分（包括施工界面、分墙及水电图要求、具体实施要点、操作细则等）。</w:t>
            </w:r>
            <w:r>
              <w:rPr>
                <w:rFonts w:hint="eastAsia" w:ascii="宋体" w:hAnsi="宋体" w:cs="宋体"/>
                <w:color w:val="auto"/>
                <w:kern w:val="0"/>
                <w:szCs w:val="21"/>
                <w:highlight w:val="none"/>
                <w:lang w:val="en-US" w:eastAsia="zh-CN"/>
              </w:rPr>
              <w:t>评分范围（3分、2分、1分、0分）</w:t>
            </w:r>
          </w:p>
        </w:tc>
        <w:tc>
          <w:tcPr>
            <w:tcW w:w="1066" w:type="dxa"/>
            <w:tcBorders>
              <w:top w:val="single" w:color="auto" w:sz="4" w:space="0"/>
              <w:left w:val="single" w:color="auto" w:sz="4" w:space="0"/>
              <w:right w:val="single" w:color="auto" w:sz="4" w:space="0"/>
            </w:tcBorders>
            <w:noWrap w:val="0"/>
            <w:vAlign w:val="center"/>
          </w:tcPr>
          <w:p w14:paraId="243D9CE1">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分</w:t>
            </w:r>
          </w:p>
          <w:p w14:paraId="0CBC0B8F">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（主观）</w:t>
            </w:r>
          </w:p>
        </w:tc>
        <w:tc>
          <w:tcPr>
            <w:tcW w:w="1588" w:type="dxa"/>
            <w:tcBorders>
              <w:top w:val="single" w:color="auto" w:sz="4" w:space="0"/>
              <w:left w:val="single" w:color="auto" w:sz="4" w:space="0"/>
              <w:right w:val="single" w:color="auto" w:sz="4" w:space="0"/>
            </w:tcBorders>
            <w:noWrap w:val="0"/>
            <w:vAlign w:val="center"/>
          </w:tcPr>
          <w:p w14:paraId="4CE69B33">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color w:val="auto"/>
                <w:szCs w:val="21"/>
                <w:highlight w:val="none"/>
              </w:rPr>
              <w:t>设备进场前工序</w:t>
            </w:r>
          </w:p>
        </w:tc>
      </w:tr>
      <w:tr w14:paraId="1764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825" w:type="dxa"/>
            <w:tcBorders>
              <w:left w:val="single" w:color="auto" w:sz="4" w:space="0"/>
              <w:right w:val="single" w:color="auto" w:sz="4" w:space="0"/>
            </w:tcBorders>
            <w:noWrap w:val="0"/>
            <w:vAlign w:val="center"/>
          </w:tcPr>
          <w:p w14:paraId="1C434E16">
            <w:pPr>
              <w:keepNext w:val="0"/>
              <w:keepLines w:val="0"/>
              <w:pageBreakBefore w:val="0"/>
              <w:kinsoku/>
              <w:wordWrap/>
              <w:overflowPunct/>
              <w:topLinePunct w:val="0"/>
              <w:bidi w:val="0"/>
              <w:adjustRightInd w:val="0"/>
              <w:spacing w:line="288"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7</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4E5C32CC">
            <w:pPr>
              <w:keepNext w:val="0"/>
              <w:keepLines w:val="0"/>
              <w:pageBreakBefore w:val="0"/>
              <w:kinsoku/>
              <w:wordWrap/>
              <w:overflowPunct/>
              <w:topLinePunct w:val="0"/>
              <w:bidi w:val="0"/>
              <w:adjustRightInd w:val="0"/>
              <w:spacing w:line="288" w:lineRule="auto"/>
              <w:rPr>
                <w:rFonts w:hint="eastAsia" w:ascii="宋体" w:hAnsi="宋体" w:cs="宋体"/>
                <w:color w:val="auto"/>
                <w:szCs w:val="21"/>
                <w:highlight w:val="none"/>
              </w:rPr>
            </w:pPr>
            <w:r>
              <w:rPr>
                <w:rFonts w:hint="eastAsia" w:ascii="宋体" w:hAnsi="宋体" w:cs="宋体"/>
                <w:color w:val="auto"/>
                <w:szCs w:val="21"/>
                <w:highlight w:val="none"/>
              </w:rPr>
              <w:t>根据流程方案：1）订单处理流程；2）工程现场复核流程；3）产品生产流程；4）工程进度跟踪确认单；5）售后服务管理流程。相关流程是否符合要求，合理可行。</w:t>
            </w:r>
            <w:r>
              <w:rPr>
                <w:rFonts w:hint="eastAsia" w:ascii="宋体" w:hAnsi="宋体" w:cs="宋体"/>
                <w:color w:val="auto"/>
                <w:kern w:val="0"/>
                <w:szCs w:val="21"/>
                <w:highlight w:val="none"/>
                <w:lang w:val="en-US" w:eastAsia="zh-CN"/>
              </w:rPr>
              <w:t>评分范围评分范围（3分、2分、1分、0分）</w:t>
            </w:r>
          </w:p>
        </w:tc>
        <w:tc>
          <w:tcPr>
            <w:tcW w:w="1066" w:type="dxa"/>
            <w:tcBorders>
              <w:left w:val="single" w:color="auto" w:sz="4" w:space="0"/>
              <w:right w:val="single" w:color="auto" w:sz="4" w:space="0"/>
            </w:tcBorders>
            <w:noWrap w:val="0"/>
            <w:vAlign w:val="center"/>
          </w:tcPr>
          <w:p w14:paraId="1D701152">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分</w:t>
            </w:r>
          </w:p>
          <w:p w14:paraId="06B4B40A">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（主观）</w:t>
            </w:r>
          </w:p>
        </w:tc>
        <w:tc>
          <w:tcPr>
            <w:tcW w:w="1588" w:type="dxa"/>
            <w:tcBorders>
              <w:left w:val="single" w:color="auto" w:sz="4" w:space="0"/>
              <w:right w:val="single" w:color="auto" w:sz="4" w:space="0"/>
            </w:tcBorders>
            <w:noWrap w:val="0"/>
            <w:vAlign w:val="center"/>
          </w:tcPr>
          <w:p w14:paraId="48944AB3">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color w:val="auto"/>
                <w:szCs w:val="21"/>
                <w:highlight w:val="none"/>
              </w:rPr>
              <w:t>流程方案</w:t>
            </w:r>
          </w:p>
        </w:tc>
      </w:tr>
      <w:tr w14:paraId="7E18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825" w:type="dxa"/>
            <w:tcBorders>
              <w:left w:val="single" w:color="auto" w:sz="4" w:space="0"/>
              <w:bottom w:val="single" w:color="auto" w:sz="4" w:space="0"/>
              <w:right w:val="single" w:color="auto" w:sz="4" w:space="0"/>
            </w:tcBorders>
            <w:noWrap w:val="0"/>
            <w:vAlign w:val="center"/>
          </w:tcPr>
          <w:p w14:paraId="7D18249E">
            <w:pPr>
              <w:keepNext w:val="0"/>
              <w:keepLines w:val="0"/>
              <w:pageBreakBefore w:val="0"/>
              <w:kinsoku/>
              <w:wordWrap/>
              <w:overflowPunct/>
              <w:topLinePunct w:val="0"/>
              <w:bidi w:val="0"/>
              <w:adjustRightInd w:val="0"/>
              <w:spacing w:line="288"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8</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1520ADA8">
            <w:pPr>
              <w:keepNext w:val="0"/>
              <w:keepLines w:val="0"/>
              <w:pageBreakBefore w:val="0"/>
              <w:kinsoku/>
              <w:wordWrap/>
              <w:overflowPunct/>
              <w:topLinePunct w:val="0"/>
              <w:bidi w:val="0"/>
              <w:adjustRightInd w:val="0"/>
              <w:spacing w:line="288" w:lineRule="auto"/>
              <w:rPr>
                <w:rFonts w:hint="eastAsia" w:ascii="宋体" w:hAnsi="宋体" w:cs="宋体"/>
                <w:color w:val="auto"/>
                <w:szCs w:val="21"/>
                <w:highlight w:val="none"/>
              </w:rPr>
            </w:pPr>
            <w:r>
              <w:rPr>
                <w:rFonts w:hint="eastAsia" w:ascii="宋体" w:hAnsi="宋体" w:cs="宋体"/>
                <w:color w:val="auto"/>
                <w:szCs w:val="21"/>
                <w:highlight w:val="none"/>
              </w:rPr>
              <w:t>针对本项目的成品设备在运输、保管、就位等保障方案可靠性、完整性。</w:t>
            </w:r>
            <w:r>
              <w:rPr>
                <w:rFonts w:hint="eastAsia" w:ascii="宋体" w:hAnsi="宋体" w:cs="宋体"/>
                <w:color w:val="auto"/>
                <w:kern w:val="0"/>
                <w:szCs w:val="21"/>
                <w:highlight w:val="none"/>
                <w:lang w:val="en-US" w:eastAsia="zh-CN"/>
              </w:rPr>
              <w:t>评分范围评分范围（3分、2分、1分、0分）</w:t>
            </w:r>
          </w:p>
        </w:tc>
        <w:tc>
          <w:tcPr>
            <w:tcW w:w="1066" w:type="dxa"/>
            <w:tcBorders>
              <w:left w:val="single" w:color="auto" w:sz="4" w:space="0"/>
              <w:bottom w:val="single" w:color="auto" w:sz="4" w:space="0"/>
              <w:right w:val="single" w:color="auto" w:sz="4" w:space="0"/>
            </w:tcBorders>
            <w:noWrap w:val="0"/>
            <w:vAlign w:val="center"/>
          </w:tcPr>
          <w:p w14:paraId="5BC8A218">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分</w:t>
            </w:r>
          </w:p>
          <w:p w14:paraId="7047B1C0">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（主观）</w:t>
            </w:r>
          </w:p>
        </w:tc>
        <w:tc>
          <w:tcPr>
            <w:tcW w:w="1588" w:type="dxa"/>
            <w:tcBorders>
              <w:left w:val="single" w:color="auto" w:sz="4" w:space="0"/>
              <w:bottom w:val="single" w:color="auto" w:sz="4" w:space="0"/>
              <w:right w:val="single" w:color="auto" w:sz="4" w:space="0"/>
            </w:tcBorders>
            <w:noWrap w:val="0"/>
            <w:vAlign w:val="center"/>
          </w:tcPr>
          <w:p w14:paraId="75961E7A">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color w:val="auto"/>
                <w:szCs w:val="21"/>
                <w:highlight w:val="none"/>
              </w:rPr>
              <w:t>成品设备方案</w:t>
            </w:r>
          </w:p>
        </w:tc>
      </w:tr>
      <w:tr w14:paraId="421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825" w:type="dxa"/>
            <w:tcBorders>
              <w:top w:val="single" w:color="auto" w:sz="4" w:space="0"/>
              <w:left w:val="single" w:color="auto" w:sz="4" w:space="0"/>
              <w:right w:val="single" w:color="auto" w:sz="4" w:space="0"/>
            </w:tcBorders>
            <w:noWrap w:val="0"/>
            <w:vAlign w:val="center"/>
          </w:tcPr>
          <w:p w14:paraId="404F3381">
            <w:pPr>
              <w:keepNext w:val="0"/>
              <w:keepLines w:val="0"/>
              <w:pageBreakBefore w:val="0"/>
              <w:kinsoku/>
              <w:wordWrap/>
              <w:overflowPunct/>
              <w:topLinePunct w:val="0"/>
              <w:bidi w:val="0"/>
              <w:adjustRightInd w:val="0"/>
              <w:spacing w:line="288" w:lineRule="auto"/>
              <w:jc w:val="center"/>
              <w:rPr>
                <w:rFonts w:hint="default"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9</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12261E3C">
            <w:pPr>
              <w:keepNext w:val="0"/>
              <w:keepLines w:val="0"/>
              <w:pageBreakBefore w:val="0"/>
              <w:widowControl/>
              <w:kinsoku/>
              <w:wordWrap/>
              <w:overflowPunct/>
              <w:topLinePunct w:val="0"/>
              <w:bidi w:val="0"/>
              <w:adjustRightInd w:val="0"/>
              <w:spacing w:line="288" w:lineRule="auto"/>
              <w:jc w:val="left"/>
              <w:rPr>
                <w:rFonts w:hint="eastAsia" w:ascii="宋体" w:hAnsi="宋体" w:cs="宋体"/>
                <w:color w:val="auto"/>
                <w:szCs w:val="21"/>
                <w:highlight w:val="none"/>
                <w:lang w:val="zh-CN"/>
              </w:rPr>
            </w:pPr>
            <w:r>
              <w:rPr>
                <w:rFonts w:hint="eastAsia" w:ascii="宋体" w:hAnsi="宋体" w:cs="宋体"/>
                <w:bCs/>
                <w:color w:val="auto"/>
                <w:kern w:val="0"/>
                <w:szCs w:val="21"/>
                <w:highlight w:val="none"/>
              </w:rPr>
              <w:t>投标人能根据采购人提供的厨房设备清单结合现场勘察针对本项目提供合理、科学、实用的方案平面</w:t>
            </w:r>
            <w:r>
              <w:rPr>
                <w:rFonts w:hint="eastAsia" w:ascii="宋体" w:hAnsi="宋体" w:cs="宋体"/>
                <w:bCs/>
                <w:color w:val="auto"/>
                <w:kern w:val="0"/>
                <w:szCs w:val="21"/>
                <w:highlight w:val="none"/>
                <w:lang w:val="en-US" w:eastAsia="zh-CN"/>
              </w:rPr>
              <w:t>深化</w:t>
            </w:r>
            <w:r>
              <w:rPr>
                <w:rFonts w:hint="eastAsia" w:ascii="宋体" w:hAnsi="宋体" w:cs="宋体"/>
                <w:bCs/>
                <w:color w:val="auto"/>
                <w:kern w:val="0"/>
                <w:szCs w:val="21"/>
                <w:highlight w:val="none"/>
              </w:rPr>
              <w:t>设计，提供相应的平面设备布局图、给水图、排水地沟图、供电图、墙体图等点位图纸，每缺一份扣</w:t>
            </w:r>
            <w:r>
              <w:rPr>
                <w:rFonts w:hint="eastAsia" w:ascii="宋体" w:hAnsi="宋体" w:cs="宋体"/>
                <w:bCs/>
                <w:color w:val="auto"/>
                <w:kern w:val="0"/>
                <w:szCs w:val="21"/>
                <w:highlight w:val="none"/>
                <w:lang w:val="en-US" w:eastAsia="zh-CN"/>
              </w:rPr>
              <w:t>0.5</w:t>
            </w:r>
            <w:r>
              <w:rPr>
                <w:rFonts w:hint="eastAsia" w:ascii="宋体" w:hAnsi="宋体" w:cs="宋体"/>
                <w:bCs/>
                <w:color w:val="auto"/>
                <w:kern w:val="0"/>
                <w:szCs w:val="21"/>
                <w:highlight w:val="none"/>
              </w:rPr>
              <w:t>分，最高得</w:t>
            </w:r>
            <w:r>
              <w:rPr>
                <w:rFonts w:hint="eastAsia" w:ascii="宋体" w:hAnsi="宋体" w:cs="宋体"/>
                <w:bCs/>
                <w:color w:val="auto"/>
                <w:kern w:val="0"/>
                <w:szCs w:val="21"/>
                <w:highlight w:val="none"/>
                <w:lang w:val="en-US" w:eastAsia="zh-CN"/>
              </w:rPr>
              <w:t>2</w:t>
            </w:r>
            <w:r>
              <w:rPr>
                <w:rFonts w:hint="eastAsia" w:ascii="宋体" w:hAnsi="宋体" w:cs="宋体"/>
                <w:bCs/>
                <w:color w:val="auto"/>
                <w:kern w:val="0"/>
                <w:szCs w:val="21"/>
                <w:highlight w:val="none"/>
              </w:rPr>
              <w:t>分。</w:t>
            </w:r>
          </w:p>
        </w:tc>
        <w:tc>
          <w:tcPr>
            <w:tcW w:w="1066" w:type="dxa"/>
            <w:tcBorders>
              <w:top w:val="single" w:color="auto" w:sz="4" w:space="0"/>
              <w:left w:val="single" w:color="auto" w:sz="4" w:space="0"/>
              <w:right w:val="single" w:color="auto" w:sz="4" w:space="0"/>
            </w:tcBorders>
            <w:noWrap w:val="0"/>
            <w:vAlign w:val="center"/>
          </w:tcPr>
          <w:p w14:paraId="25CEEF43">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分</w:t>
            </w:r>
          </w:p>
          <w:p w14:paraId="5A06CD0A">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客</w:t>
            </w:r>
            <w:r>
              <w:rPr>
                <w:rFonts w:hint="eastAsia" w:ascii="宋体" w:hAnsi="宋体" w:cs="宋体"/>
                <w:bCs/>
                <w:color w:val="auto"/>
                <w:szCs w:val="21"/>
                <w:highlight w:val="none"/>
              </w:rPr>
              <w:t>观）</w:t>
            </w:r>
          </w:p>
        </w:tc>
        <w:tc>
          <w:tcPr>
            <w:tcW w:w="1588" w:type="dxa"/>
            <w:tcBorders>
              <w:top w:val="single" w:color="auto" w:sz="4" w:space="0"/>
              <w:left w:val="single" w:color="auto" w:sz="4" w:space="0"/>
              <w:right w:val="single" w:color="auto" w:sz="4" w:space="0"/>
            </w:tcBorders>
            <w:noWrap w:val="0"/>
            <w:vAlign w:val="center"/>
          </w:tcPr>
          <w:p w14:paraId="56869746">
            <w:pPr>
              <w:keepNext w:val="0"/>
              <w:keepLines w:val="0"/>
              <w:pageBreakBefore w:val="0"/>
              <w:widowControl/>
              <w:kinsoku/>
              <w:wordWrap/>
              <w:overflowPunct/>
              <w:topLinePunct w:val="0"/>
              <w:bidi w:val="0"/>
              <w:adjustRightInd w:val="0"/>
              <w:spacing w:line="288" w:lineRule="auto"/>
              <w:jc w:val="center"/>
              <w:textAlignment w:val="center"/>
              <w:rPr>
                <w:rFonts w:hint="eastAsia" w:ascii="宋体" w:hAnsi="宋体" w:cs="宋体"/>
                <w:bCs/>
                <w:color w:val="auto"/>
                <w:szCs w:val="21"/>
                <w:highlight w:val="none"/>
                <w:lang w:val="zh-CN"/>
              </w:rPr>
            </w:pPr>
            <w:r>
              <w:rPr>
                <w:rFonts w:hint="eastAsia" w:ascii="宋体" w:hAnsi="宋体" w:cs="宋体"/>
                <w:bCs/>
                <w:color w:val="auto"/>
                <w:szCs w:val="21"/>
                <w:highlight w:val="none"/>
              </w:rPr>
              <w:t>方案设计</w:t>
            </w:r>
          </w:p>
        </w:tc>
      </w:tr>
      <w:tr w14:paraId="22AB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25" w:type="dxa"/>
            <w:tcBorders>
              <w:top w:val="nil"/>
              <w:left w:val="single" w:color="auto" w:sz="4" w:space="0"/>
              <w:bottom w:val="single" w:color="auto" w:sz="4" w:space="0"/>
              <w:right w:val="single" w:color="auto" w:sz="4" w:space="0"/>
            </w:tcBorders>
            <w:noWrap w:val="0"/>
            <w:vAlign w:val="center"/>
          </w:tcPr>
          <w:p w14:paraId="4CD72AD5">
            <w:pPr>
              <w:keepNext w:val="0"/>
              <w:keepLines w:val="0"/>
              <w:pageBreakBefore w:val="0"/>
              <w:kinsoku/>
              <w:wordWrap/>
              <w:overflowPunct/>
              <w:topLinePunct w:val="0"/>
              <w:bidi w:val="0"/>
              <w:adjustRightInd w:val="0"/>
              <w:spacing w:line="288" w:lineRule="auto"/>
              <w:jc w:val="center"/>
              <w:rPr>
                <w:rFonts w:hint="default"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10</w:t>
            </w:r>
          </w:p>
        </w:tc>
        <w:tc>
          <w:tcPr>
            <w:tcW w:w="6015" w:type="dxa"/>
            <w:tcBorders>
              <w:top w:val="nil"/>
              <w:left w:val="single" w:color="auto" w:sz="4" w:space="0"/>
              <w:bottom w:val="single" w:color="auto" w:sz="4" w:space="0"/>
              <w:right w:val="single" w:color="auto" w:sz="4" w:space="0"/>
            </w:tcBorders>
            <w:noWrap w:val="0"/>
            <w:vAlign w:val="center"/>
          </w:tcPr>
          <w:p w14:paraId="7C047F99">
            <w:pPr>
              <w:keepNext w:val="0"/>
              <w:keepLines w:val="0"/>
              <w:pageBreakBefore w:val="0"/>
              <w:widowControl/>
              <w:kinsoku/>
              <w:wordWrap/>
              <w:overflowPunct/>
              <w:topLinePunct w:val="0"/>
              <w:bidi w:val="0"/>
              <w:adjustRightInd w:val="0"/>
              <w:spacing w:line="288" w:lineRule="auto"/>
              <w:jc w:val="left"/>
              <w:rPr>
                <w:rFonts w:hint="eastAsia" w:ascii="宋体" w:hAnsi="宋体" w:cs="宋体"/>
                <w:bCs/>
                <w:color w:val="auto"/>
                <w:kern w:val="0"/>
                <w:szCs w:val="21"/>
                <w:highlight w:val="none"/>
              </w:rPr>
            </w:pPr>
            <w:r>
              <w:rPr>
                <w:rFonts w:hint="eastAsia" w:ascii="宋体" w:hAnsi="宋体" w:cs="宋体"/>
                <w:color w:val="auto"/>
                <w:szCs w:val="21"/>
                <w:highlight w:val="none"/>
              </w:rPr>
              <w:t>拟派项目实施团队情况，包括配置的人员专业能力、资格水平、类似工作经验、分工情况等，</w:t>
            </w:r>
            <w:r>
              <w:rPr>
                <w:rFonts w:hint="eastAsia" w:ascii="宋体" w:hAnsi="宋体" w:cs="宋体"/>
                <w:color w:val="auto"/>
                <w:kern w:val="0"/>
                <w:szCs w:val="21"/>
                <w:highlight w:val="none"/>
                <w:lang w:val="en-US" w:eastAsia="zh-CN"/>
              </w:rPr>
              <w:t>评分范围评分范围（3分、2分、1分、0分）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3CCD7E6D">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分</w:t>
            </w:r>
          </w:p>
          <w:p w14:paraId="011D6FEE">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（主观）</w:t>
            </w:r>
          </w:p>
        </w:tc>
        <w:tc>
          <w:tcPr>
            <w:tcW w:w="1588" w:type="dxa"/>
            <w:vMerge w:val="restart"/>
            <w:tcBorders>
              <w:top w:val="single" w:color="auto" w:sz="4" w:space="0"/>
              <w:left w:val="single" w:color="auto" w:sz="4" w:space="0"/>
              <w:right w:val="single" w:color="auto" w:sz="4" w:space="0"/>
            </w:tcBorders>
            <w:noWrap w:val="0"/>
            <w:vAlign w:val="center"/>
          </w:tcPr>
          <w:p w14:paraId="50394081">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拟派项目班子成员情况</w:t>
            </w:r>
          </w:p>
          <w:p w14:paraId="67D41496">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p>
        </w:tc>
      </w:tr>
      <w:tr w14:paraId="1386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25" w:type="dxa"/>
            <w:tcBorders>
              <w:top w:val="nil"/>
              <w:left w:val="single" w:color="auto" w:sz="4" w:space="0"/>
              <w:bottom w:val="single" w:color="auto" w:sz="4" w:space="0"/>
              <w:right w:val="single" w:color="auto" w:sz="4" w:space="0"/>
            </w:tcBorders>
            <w:noWrap w:val="0"/>
            <w:vAlign w:val="center"/>
          </w:tcPr>
          <w:p w14:paraId="3A0862D8">
            <w:pPr>
              <w:keepNext w:val="0"/>
              <w:keepLines w:val="0"/>
              <w:pageBreakBefore w:val="0"/>
              <w:kinsoku/>
              <w:wordWrap/>
              <w:overflowPunct/>
              <w:topLinePunct w:val="0"/>
              <w:bidi w:val="0"/>
              <w:adjustRightInd w:val="0"/>
              <w:spacing w:line="288" w:lineRule="auto"/>
              <w:jc w:val="center"/>
              <w:rPr>
                <w:rFonts w:hint="default"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11</w:t>
            </w:r>
          </w:p>
        </w:tc>
        <w:tc>
          <w:tcPr>
            <w:tcW w:w="6015" w:type="dxa"/>
            <w:tcBorders>
              <w:top w:val="nil"/>
              <w:left w:val="single" w:color="auto" w:sz="4" w:space="0"/>
              <w:bottom w:val="single" w:color="auto" w:sz="4" w:space="0"/>
              <w:right w:val="single" w:color="auto" w:sz="4" w:space="0"/>
            </w:tcBorders>
            <w:noWrap w:val="0"/>
            <w:vAlign w:val="center"/>
          </w:tcPr>
          <w:p w14:paraId="6B13E41D">
            <w:pPr>
              <w:keepNext w:val="0"/>
              <w:keepLines w:val="0"/>
              <w:pageBreakBefore w:val="0"/>
              <w:kinsoku/>
              <w:wordWrap/>
              <w:overflowPunct/>
              <w:topLinePunct w:val="0"/>
              <w:bidi w:val="0"/>
              <w:adjustRightInd w:val="0"/>
              <w:snapToGrid w:val="0"/>
              <w:spacing w:line="288" w:lineRule="auto"/>
              <w:rPr>
                <w:rFonts w:hint="eastAsia" w:ascii="宋体" w:hAnsi="宋体"/>
                <w:color w:val="auto"/>
                <w:szCs w:val="21"/>
                <w:highlight w:val="none"/>
              </w:rPr>
            </w:pPr>
            <w:r>
              <w:rPr>
                <w:rFonts w:hint="eastAsia" w:ascii="宋体" w:hAnsi="宋体"/>
                <w:color w:val="auto"/>
                <w:szCs w:val="21"/>
                <w:highlight w:val="none"/>
              </w:rPr>
              <w:t>拟派项目班子成员中工程操作人员拥有特种作业操作证书：</w:t>
            </w:r>
            <w:r>
              <w:rPr>
                <w:rFonts w:hint="eastAsia" w:ascii="宋体" w:hAnsi="宋体"/>
                <w:color w:val="auto"/>
                <w:szCs w:val="21"/>
                <w:highlight w:val="none"/>
                <w:lang w:val="en-US" w:eastAsia="zh-CN"/>
              </w:rPr>
              <w:t>焊</w:t>
            </w:r>
            <w:r>
              <w:rPr>
                <w:rFonts w:hint="eastAsia" w:ascii="宋体" w:hAnsi="宋体"/>
                <w:color w:val="auto"/>
                <w:szCs w:val="21"/>
                <w:highlight w:val="none"/>
              </w:rPr>
              <w:t>工证</w:t>
            </w:r>
            <w:r>
              <w:rPr>
                <w:rFonts w:hint="eastAsia" w:ascii="宋体" w:hAnsi="宋体"/>
                <w:color w:val="auto"/>
                <w:szCs w:val="21"/>
                <w:highlight w:val="none"/>
                <w:lang w:val="en-US" w:eastAsia="zh-CN"/>
              </w:rPr>
              <w:t>或电工证</w:t>
            </w:r>
            <w:r>
              <w:rPr>
                <w:rFonts w:hint="eastAsia" w:ascii="宋体" w:hAnsi="宋体"/>
                <w:color w:val="auto"/>
                <w:szCs w:val="21"/>
                <w:highlight w:val="none"/>
              </w:rPr>
              <w:t>，每提供一个证书得</w:t>
            </w:r>
            <w:r>
              <w:rPr>
                <w:rFonts w:hint="eastAsia" w:ascii="宋体" w:hAnsi="宋体"/>
                <w:color w:val="auto"/>
                <w:szCs w:val="21"/>
                <w:highlight w:val="none"/>
                <w:lang w:val="en-US" w:eastAsia="zh-CN"/>
              </w:rPr>
              <w:t>1</w:t>
            </w:r>
            <w:r>
              <w:rPr>
                <w:rFonts w:hint="eastAsia" w:ascii="宋体" w:hAnsi="宋体"/>
                <w:color w:val="auto"/>
                <w:szCs w:val="21"/>
                <w:highlight w:val="none"/>
              </w:rPr>
              <w:t>分，最高得2分。</w:t>
            </w:r>
          </w:p>
          <w:p w14:paraId="0A025709">
            <w:pPr>
              <w:keepNext w:val="0"/>
              <w:keepLines w:val="0"/>
              <w:pageBreakBefore w:val="0"/>
              <w:widowControl/>
              <w:kinsoku/>
              <w:wordWrap/>
              <w:overflowPunct/>
              <w:topLinePunct w:val="0"/>
              <w:bidi w:val="0"/>
              <w:adjustRightInd w:val="0"/>
              <w:spacing w:line="288" w:lineRule="auto"/>
              <w:jc w:val="left"/>
              <w:rPr>
                <w:rFonts w:ascii="宋体" w:hAnsi="宋体" w:cs="宋体"/>
                <w:bCs/>
                <w:color w:val="auto"/>
                <w:kern w:val="0"/>
                <w:szCs w:val="21"/>
                <w:highlight w:val="none"/>
              </w:rPr>
            </w:pPr>
            <w:r>
              <w:rPr>
                <w:rFonts w:hint="eastAsia" w:ascii="宋体" w:hAnsi="宋体"/>
                <w:b/>
                <w:bCs/>
                <w:color w:val="auto"/>
                <w:kern w:val="0"/>
                <w:szCs w:val="21"/>
                <w:highlight w:val="none"/>
              </w:rPr>
              <w:t>（证明材料：提供持证人员相关证书及</w:t>
            </w:r>
            <w:r>
              <w:rPr>
                <w:rFonts w:hint="eastAsia" w:ascii="宋体" w:hAnsi="宋体"/>
                <w:b/>
                <w:bCs/>
                <w:color w:val="auto"/>
                <w:kern w:val="0"/>
                <w:szCs w:val="21"/>
                <w:highlight w:val="none"/>
                <w:lang w:val="en-US" w:eastAsia="zh-CN"/>
              </w:rPr>
              <w:t>在投标单位缴纳社保的证明文件扫描件，社保证明须在本项目招标文件发布之后打印，未提供不得分</w:t>
            </w:r>
            <w:r>
              <w:rPr>
                <w:rFonts w:hint="eastAsia" w:ascii="宋体" w:hAnsi="宋体"/>
                <w:b/>
                <w:bCs/>
                <w:color w:val="auto"/>
                <w:kern w:val="0"/>
                <w:szCs w:val="21"/>
                <w:highlight w:val="none"/>
              </w:rPr>
              <w:t>）。</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6EEB96FB">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0-2分</w:t>
            </w:r>
          </w:p>
          <w:p w14:paraId="3F18012C">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（客观）</w:t>
            </w:r>
          </w:p>
        </w:tc>
        <w:tc>
          <w:tcPr>
            <w:tcW w:w="1588" w:type="dxa"/>
            <w:vMerge w:val="continue"/>
            <w:tcBorders>
              <w:left w:val="single" w:color="auto" w:sz="4" w:space="0"/>
              <w:bottom w:val="single" w:color="auto" w:sz="4" w:space="0"/>
              <w:right w:val="single" w:color="auto" w:sz="4" w:space="0"/>
            </w:tcBorders>
            <w:noWrap w:val="0"/>
            <w:vAlign w:val="center"/>
          </w:tcPr>
          <w:p w14:paraId="600E729D">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p>
        </w:tc>
      </w:tr>
      <w:tr w14:paraId="7E1A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25" w:type="dxa"/>
            <w:tcBorders>
              <w:top w:val="nil"/>
              <w:left w:val="single" w:color="auto" w:sz="4" w:space="0"/>
              <w:bottom w:val="single" w:color="auto" w:sz="4" w:space="0"/>
              <w:right w:val="single" w:color="auto" w:sz="4" w:space="0"/>
            </w:tcBorders>
            <w:noWrap w:val="0"/>
            <w:vAlign w:val="center"/>
          </w:tcPr>
          <w:p w14:paraId="2CCACB79">
            <w:pPr>
              <w:keepNext w:val="0"/>
              <w:keepLines w:val="0"/>
              <w:pageBreakBefore w:val="0"/>
              <w:kinsoku/>
              <w:wordWrap/>
              <w:overflowPunct/>
              <w:topLinePunct w:val="0"/>
              <w:bidi w:val="0"/>
              <w:adjustRightInd w:val="0"/>
              <w:spacing w:line="288" w:lineRule="auto"/>
              <w:jc w:val="center"/>
              <w:rPr>
                <w:rFonts w:hint="default"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12</w:t>
            </w:r>
          </w:p>
        </w:tc>
        <w:tc>
          <w:tcPr>
            <w:tcW w:w="6015" w:type="dxa"/>
            <w:tcBorders>
              <w:top w:val="nil"/>
              <w:left w:val="single" w:color="auto" w:sz="4" w:space="0"/>
              <w:bottom w:val="single" w:color="auto" w:sz="4" w:space="0"/>
              <w:right w:val="single" w:color="auto" w:sz="4" w:space="0"/>
            </w:tcBorders>
            <w:noWrap w:val="0"/>
            <w:vAlign w:val="center"/>
          </w:tcPr>
          <w:p w14:paraId="4FEF2DFE">
            <w:pPr>
              <w:keepNext w:val="0"/>
              <w:keepLines w:val="0"/>
              <w:pageBreakBefore w:val="0"/>
              <w:widowControl/>
              <w:kinsoku/>
              <w:wordWrap/>
              <w:overflowPunct/>
              <w:topLinePunct w:val="0"/>
              <w:bidi w:val="0"/>
              <w:adjustRightInd w:val="0"/>
              <w:spacing w:line="288" w:lineRule="auto"/>
              <w:jc w:val="left"/>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（1）针对投标人提供的售后服务承诺、维护人员和服务响应时间、保障措施合理性、针对性进行评分。评分范围</w:t>
            </w:r>
            <w:r>
              <w:rPr>
                <w:rFonts w:hint="eastAsia" w:ascii="宋体" w:hAnsi="宋体" w:cs="宋体"/>
                <w:color w:val="auto"/>
                <w:kern w:val="0"/>
                <w:szCs w:val="21"/>
                <w:highlight w:val="none"/>
                <w:lang w:val="en-US" w:eastAsia="zh-CN"/>
              </w:rPr>
              <w:t>评分范围（3分、2分、1分、0分）</w:t>
            </w:r>
          </w:p>
          <w:p w14:paraId="265A39B0">
            <w:pPr>
              <w:keepNext w:val="0"/>
              <w:keepLines w:val="0"/>
              <w:pageBreakBefore w:val="0"/>
              <w:widowControl/>
              <w:kinsoku/>
              <w:wordWrap/>
              <w:overflowPunct/>
              <w:topLinePunct w:val="0"/>
              <w:bidi w:val="0"/>
              <w:adjustRightInd w:val="0"/>
              <w:spacing w:line="288" w:lineRule="auto"/>
              <w:jc w:val="left"/>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(2)根据投标人制定的项目培训方案、具体的培训内容的完整性、合理性比较评分，评分范围：</w:t>
            </w:r>
            <w:r>
              <w:rPr>
                <w:rFonts w:hint="eastAsia" w:ascii="宋体" w:hAnsi="宋体" w:cs="宋体"/>
                <w:color w:val="auto"/>
                <w:kern w:val="0"/>
                <w:szCs w:val="21"/>
                <w:highlight w:val="none"/>
                <w:lang w:val="en-US" w:eastAsia="zh-CN"/>
              </w:rPr>
              <w:t>评分范围（3分、2分、1分、0分）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5C16381D">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6</w:t>
            </w:r>
            <w:r>
              <w:rPr>
                <w:rFonts w:hint="eastAsia" w:ascii="宋体" w:hAnsi="宋体" w:cs="宋体"/>
                <w:bCs/>
                <w:color w:val="auto"/>
                <w:szCs w:val="21"/>
                <w:highlight w:val="none"/>
              </w:rPr>
              <w:t>分</w:t>
            </w:r>
          </w:p>
          <w:p w14:paraId="3367BB99">
            <w:pPr>
              <w:keepNext w:val="0"/>
              <w:keepLines w:val="0"/>
              <w:pageBreakBefore w:val="0"/>
              <w:widowControl/>
              <w:kinsoku/>
              <w:wordWrap/>
              <w:overflowPunct/>
              <w:topLinePunct w:val="0"/>
              <w:bidi w:val="0"/>
              <w:adjustRightInd w:val="0"/>
              <w:spacing w:line="288" w:lineRule="auto"/>
              <w:jc w:val="center"/>
              <w:textAlignment w:val="center"/>
              <w:rPr>
                <w:rFonts w:hint="eastAsia" w:ascii="宋体" w:hAnsi="宋体" w:cs="宋体"/>
                <w:bCs/>
                <w:color w:val="auto"/>
                <w:szCs w:val="21"/>
                <w:highlight w:val="none"/>
              </w:rPr>
            </w:pPr>
            <w:r>
              <w:rPr>
                <w:rFonts w:hint="eastAsia" w:ascii="宋体" w:hAnsi="宋体" w:cs="宋体"/>
                <w:bCs/>
                <w:color w:val="auto"/>
                <w:szCs w:val="21"/>
                <w:highlight w:val="none"/>
              </w:rPr>
              <w:t>（主观）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64CC4332">
            <w:pPr>
              <w:keepNext w:val="0"/>
              <w:keepLines w:val="0"/>
              <w:pageBreakBefore w:val="0"/>
              <w:widowControl/>
              <w:kinsoku/>
              <w:wordWrap/>
              <w:overflowPunct/>
              <w:topLinePunct w:val="0"/>
              <w:bidi w:val="0"/>
              <w:adjustRightInd w:val="0"/>
              <w:spacing w:line="288" w:lineRule="auto"/>
              <w:jc w:val="center"/>
              <w:textAlignment w:val="center"/>
              <w:rPr>
                <w:rFonts w:hint="default" w:ascii="宋体" w:hAnsi="宋体" w:eastAsia="宋体" w:cs="宋体"/>
                <w:bCs/>
                <w:color w:val="auto"/>
                <w:szCs w:val="21"/>
                <w:highlight w:val="none"/>
                <w:lang w:val="en-US" w:eastAsia="zh-CN"/>
              </w:rPr>
            </w:pPr>
            <w:r>
              <w:rPr>
                <w:rFonts w:hint="eastAsia" w:ascii="宋体" w:hAnsi="宋体"/>
                <w:color w:val="auto"/>
                <w:kern w:val="0"/>
                <w:szCs w:val="21"/>
                <w:highlight w:val="none"/>
              </w:rPr>
              <w:t>售后</w:t>
            </w:r>
            <w:r>
              <w:rPr>
                <w:rFonts w:hint="eastAsia" w:ascii="宋体" w:hAnsi="宋体"/>
                <w:color w:val="auto"/>
                <w:kern w:val="0"/>
                <w:szCs w:val="21"/>
                <w:highlight w:val="none"/>
                <w:lang w:val="en-US" w:eastAsia="zh-CN"/>
              </w:rPr>
              <w:t>及培训</w:t>
            </w:r>
          </w:p>
        </w:tc>
      </w:tr>
      <w:tr w14:paraId="0530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25" w:type="dxa"/>
            <w:tcBorders>
              <w:top w:val="nil"/>
              <w:left w:val="single" w:color="auto" w:sz="4" w:space="0"/>
              <w:bottom w:val="single" w:color="auto" w:sz="4" w:space="0"/>
              <w:right w:val="single" w:color="auto" w:sz="4" w:space="0"/>
            </w:tcBorders>
            <w:noWrap w:val="0"/>
            <w:vAlign w:val="center"/>
          </w:tcPr>
          <w:p w14:paraId="355790EB">
            <w:pPr>
              <w:keepNext w:val="0"/>
              <w:keepLines w:val="0"/>
              <w:pageBreakBefore w:val="0"/>
              <w:kinsoku/>
              <w:wordWrap/>
              <w:overflowPunct/>
              <w:topLinePunct w:val="0"/>
              <w:bidi w:val="0"/>
              <w:adjustRightInd w:val="0"/>
              <w:spacing w:line="288" w:lineRule="auto"/>
              <w:jc w:val="center"/>
              <w:rPr>
                <w:rFonts w:hint="default" w:ascii="宋体" w:hAnsi="宋体" w:eastAsia="宋体" w:cs="宋体"/>
                <w:bCs/>
                <w:color w:val="auto"/>
                <w:kern w:val="2"/>
                <w:sz w:val="21"/>
                <w:szCs w:val="21"/>
                <w:highlight w:val="none"/>
                <w:lang w:val="en-US" w:eastAsia="zh-CN" w:bidi="ar-SA"/>
              </w:rPr>
            </w:pPr>
            <w:r>
              <w:rPr>
                <w:rFonts w:hint="eastAsia" w:ascii="宋体" w:hAnsi="宋体" w:cs="宋体"/>
                <w:bCs/>
                <w:color w:val="auto"/>
                <w:szCs w:val="21"/>
                <w:highlight w:val="none"/>
                <w:lang w:val="en-US" w:eastAsia="zh-CN"/>
              </w:rPr>
              <w:t>13</w:t>
            </w:r>
          </w:p>
        </w:tc>
        <w:tc>
          <w:tcPr>
            <w:tcW w:w="6015" w:type="dxa"/>
            <w:tcBorders>
              <w:top w:val="nil"/>
              <w:left w:val="single" w:color="auto" w:sz="4" w:space="0"/>
              <w:bottom w:val="single" w:color="auto" w:sz="4" w:space="0"/>
              <w:right w:val="single" w:color="auto" w:sz="4" w:space="0"/>
            </w:tcBorders>
            <w:noWrap w:val="0"/>
            <w:vAlign w:val="center"/>
          </w:tcPr>
          <w:p w14:paraId="52854D5C">
            <w:pPr>
              <w:pStyle w:val="238"/>
              <w:keepNext w:val="0"/>
              <w:keepLines w:val="0"/>
              <w:pageBreakBefore w:val="0"/>
              <w:kinsoku/>
              <w:wordWrap/>
              <w:overflowPunct/>
              <w:topLinePunct w:val="0"/>
              <w:bidi w:val="0"/>
              <w:adjustRightInd w:val="0"/>
              <w:spacing w:line="288" w:lineRule="auto"/>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质保期不低于2年的基础上，质保期每增加1年得1分，最高得3分（投标人自行提供承诺）</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5F934FF9">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分（客观）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66A93358">
            <w:pPr>
              <w:keepNext w:val="0"/>
              <w:keepLines w:val="0"/>
              <w:pageBreakBefore w:val="0"/>
              <w:kinsoku/>
              <w:wordWrap/>
              <w:overflowPunct/>
              <w:topLinePunct w:val="0"/>
              <w:autoSpaceDE w:val="0"/>
              <w:autoSpaceDN w:val="0"/>
              <w:bidi w:val="0"/>
              <w:adjustRightInd w:val="0"/>
              <w:spacing w:line="288" w:lineRule="auto"/>
              <w:jc w:val="center"/>
              <w:rPr>
                <w:rFonts w:hint="eastAsia" w:ascii="宋体" w:hAnsi="宋体"/>
                <w:color w:val="auto"/>
                <w:kern w:val="0"/>
                <w:szCs w:val="21"/>
                <w:highlight w:val="none"/>
              </w:rPr>
            </w:pPr>
            <w:r>
              <w:rPr>
                <w:rFonts w:hint="eastAsia" w:ascii="宋体" w:hAnsi="宋体"/>
                <w:color w:val="auto"/>
                <w:szCs w:val="21"/>
                <w:highlight w:val="none"/>
              </w:rPr>
              <w:t>质保期</w:t>
            </w:r>
          </w:p>
        </w:tc>
      </w:tr>
      <w:tr w14:paraId="6E10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25" w:type="dxa"/>
            <w:tcBorders>
              <w:top w:val="single" w:color="auto" w:sz="4" w:space="0"/>
              <w:left w:val="single" w:color="auto" w:sz="4" w:space="0"/>
              <w:bottom w:val="single" w:color="auto" w:sz="4" w:space="0"/>
              <w:right w:val="single" w:color="auto" w:sz="4" w:space="0"/>
            </w:tcBorders>
            <w:noWrap w:val="0"/>
            <w:vAlign w:val="center"/>
          </w:tcPr>
          <w:p w14:paraId="2D563F9A">
            <w:pPr>
              <w:keepNext w:val="0"/>
              <w:keepLines w:val="0"/>
              <w:pageBreakBefore w:val="0"/>
              <w:kinsoku/>
              <w:wordWrap/>
              <w:overflowPunct/>
              <w:topLinePunct w:val="0"/>
              <w:bidi w:val="0"/>
              <w:adjustRightInd w:val="0"/>
              <w:spacing w:line="288" w:lineRule="auto"/>
              <w:jc w:val="center"/>
              <w:rPr>
                <w:rFonts w:hint="default"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14</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72A23CA9">
            <w:pPr>
              <w:numPr>
                <w:ilvl w:val="0"/>
                <w:numId w:val="0"/>
              </w:numPr>
              <w:ind w:left="0" w:leftChars="0"/>
              <w:rPr>
                <w:rFonts w:hint="default" w:ascii="宋体" w:hAnsi="宋体" w:eastAsia="宋体" w:cs="宋体"/>
                <w:snapToGrid w:val="0"/>
                <w:color w:val="auto"/>
                <w:kern w:val="2"/>
                <w:sz w:val="21"/>
                <w:szCs w:val="21"/>
                <w:highlight w:val="none"/>
                <w:lang w:val="en-US" w:eastAsia="zh-CN" w:bidi="ar-SA"/>
              </w:rPr>
            </w:pPr>
            <w:r>
              <w:rPr>
                <w:rFonts w:hint="default" w:ascii="宋体" w:hAnsi="宋体" w:eastAsia="宋体" w:cs="宋体"/>
                <w:snapToGrid w:val="0"/>
                <w:color w:val="auto"/>
                <w:kern w:val="2"/>
                <w:sz w:val="21"/>
                <w:szCs w:val="21"/>
                <w:highlight w:val="none"/>
                <w:lang w:val="en-US" w:eastAsia="zh-CN" w:bidi="ar-SA"/>
              </w:rPr>
              <w:t>1、炉头：材质牢固不易变形、结构合理、出火方式合理</w:t>
            </w:r>
            <w:r>
              <w:rPr>
                <w:rFonts w:hint="eastAsia" w:ascii="宋体" w:hAnsi="宋体" w:cs="宋体"/>
                <w:snapToGrid w:val="0"/>
                <w:color w:val="auto"/>
                <w:kern w:val="2"/>
                <w:sz w:val="21"/>
                <w:szCs w:val="21"/>
                <w:highlight w:val="none"/>
                <w:lang w:val="en-US" w:eastAsia="zh-CN" w:bidi="ar-SA"/>
              </w:rPr>
              <w:t>，</w:t>
            </w:r>
            <w:r>
              <w:rPr>
                <w:rFonts w:hint="eastAsia" w:ascii="宋体" w:hAnsi="宋体" w:eastAsia="宋体" w:cs="宋体"/>
                <w:snapToGrid w:val="0"/>
                <w:color w:val="auto"/>
                <w:kern w:val="2"/>
                <w:sz w:val="21"/>
                <w:szCs w:val="21"/>
                <w:highlight w:val="none"/>
                <w:lang w:val="en-US" w:eastAsia="zh-CN" w:bidi="ar-SA"/>
              </w:rPr>
              <w:t>评分范围：</w:t>
            </w:r>
            <w:r>
              <w:rPr>
                <w:rFonts w:hint="eastAsia" w:ascii="宋体" w:hAnsi="宋体" w:cs="宋体"/>
                <w:color w:val="auto"/>
                <w:kern w:val="0"/>
                <w:szCs w:val="21"/>
                <w:highlight w:val="none"/>
                <w:lang w:val="en-US" w:eastAsia="zh-CN"/>
              </w:rPr>
              <w:t>评分范围（3分、2分、1分、0分）</w:t>
            </w:r>
            <w:r>
              <w:rPr>
                <w:rFonts w:hint="eastAsia" w:ascii="宋体" w:hAnsi="宋体" w:eastAsia="宋体" w:cs="宋体"/>
                <w:snapToGrid w:val="0"/>
                <w:color w:val="auto"/>
                <w:kern w:val="2"/>
                <w:sz w:val="21"/>
                <w:szCs w:val="21"/>
                <w:highlight w:val="none"/>
                <w:lang w:val="en-US" w:eastAsia="zh-CN" w:bidi="ar-SA"/>
              </w:rPr>
              <w:t>；</w:t>
            </w:r>
          </w:p>
          <w:p w14:paraId="00C8B92C">
            <w:pPr>
              <w:numPr>
                <w:ilvl w:val="0"/>
                <w:numId w:val="0"/>
              </w:numPr>
              <w:ind w:left="0" w:leftChars="0"/>
              <w:rPr>
                <w:rFonts w:hint="default" w:ascii="宋体" w:hAnsi="宋体" w:eastAsia="宋体" w:cs="宋体"/>
                <w:snapToGrid w:val="0"/>
                <w:color w:val="auto"/>
                <w:kern w:val="2"/>
                <w:sz w:val="21"/>
                <w:szCs w:val="21"/>
                <w:highlight w:val="none"/>
                <w:lang w:val="en-US" w:eastAsia="zh-CN" w:bidi="ar-SA"/>
              </w:rPr>
            </w:pPr>
            <w:r>
              <w:rPr>
                <w:rFonts w:hint="default" w:ascii="宋体" w:hAnsi="宋体" w:eastAsia="宋体" w:cs="宋体"/>
                <w:snapToGrid w:val="0"/>
                <w:color w:val="auto"/>
                <w:kern w:val="2"/>
                <w:sz w:val="21"/>
                <w:szCs w:val="21"/>
                <w:highlight w:val="none"/>
                <w:lang w:val="en-US" w:eastAsia="zh-CN" w:bidi="ar-SA"/>
              </w:rPr>
              <w:t>2、摇摆龙头：外形流畅、材质牢固、耐压耐敲击、不易漏水、旋转顺滑</w:t>
            </w:r>
            <w:r>
              <w:rPr>
                <w:rFonts w:hint="eastAsia" w:ascii="宋体" w:hAnsi="宋体" w:cs="宋体"/>
                <w:snapToGrid w:val="0"/>
                <w:color w:val="auto"/>
                <w:kern w:val="2"/>
                <w:sz w:val="21"/>
                <w:szCs w:val="21"/>
                <w:highlight w:val="none"/>
                <w:lang w:val="en-US" w:eastAsia="zh-CN" w:bidi="ar-SA"/>
              </w:rPr>
              <w:t>，</w:t>
            </w:r>
            <w:r>
              <w:rPr>
                <w:rFonts w:hint="eastAsia" w:ascii="宋体" w:hAnsi="宋体" w:eastAsia="宋体" w:cs="宋体"/>
                <w:snapToGrid w:val="0"/>
                <w:color w:val="auto"/>
                <w:kern w:val="2"/>
                <w:sz w:val="21"/>
                <w:szCs w:val="21"/>
                <w:highlight w:val="none"/>
                <w:lang w:val="en-US" w:eastAsia="zh-CN" w:bidi="ar-SA"/>
              </w:rPr>
              <w:t>评分范围：</w:t>
            </w:r>
            <w:r>
              <w:rPr>
                <w:rFonts w:hint="eastAsia" w:ascii="宋体" w:hAnsi="宋体" w:cs="宋体"/>
                <w:color w:val="auto"/>
                <w:kern w:val="0"/>
                <w:szCs w:val="21"/>
                <w:highlight w:val="none"/>
                <w:lang w:val="en-US" w:eastAsia="zh-CN"/>
              </w:rPr>
              <w:t>评分范围（3分、2分、1分、0分）；</w:t>
            </w:r>
          </w:p>
          <w:p w14:paraId="3F0D9163">
            <w:pPr>
              <w:numPr>
                <w:ilvl w:val="0"/>
                <w:numId w:val="0"/>
              </w:numPr>
              <w:ind w:left="0" w:leftChars="0"/>
              <w:rPr>
                <w:rFonts w:hint="eastAsia" w:ascii="宋体" w:hAnsi="宋体" w:cs="宋体"/>
                <w:color w:val="auto"/>
                <w:kern w:val="0"/>
                <w:szCs w:val="21"/>
                <w:highlight w:val="none"/>
                <w:lang w:val="en-US" w:eastAsia="zh-CN"/>
              </w:rPr>
            </w:pPr>
            <w:r>
              <w:rPr>
                <w:rFonts w:hint="default" w:ascii="宋体" w:hAnsi="宋体" w:eastAsia="宋体" w:cs="宋体"/>
                <w:snapToGrid w:val="0"/>
                <w:color w:val="auto"/>
                <w:kern w:val="2"/>
                <w:sz w:val="21"/>
                <w:szCs w:val="21"/>
                <w:highlight w:val="none"/>
                <w:lang w:val="en-US" w:eastAsia="zh-CN" w:bidi="ar-SA"/>
              </w:rPr>
              <w:t>3、灶具的前邦局部或面前扶手：采用不锈钢焊接，焊点牢固、无脱焊、无焊点破裂、无变色现象、焊缝规则均匀，线条流畅、平整光洁、无碰伤凹凸现象</w:t>
            </w:r>
            <w:r>
              <w:rPr>
                <w:rFonts w:hint="eastAsia" w:ascii="宋体" w:hAnsi="宋体" w:cs="宋体"/>
                <w:snapToGrid w:val="0"/>
                <w:color w:val="auto"/>
                <w:kern w:val="2"/>
                <w:sz w:val="21"/>
                <w:szCs w:val="21"/>
                <w:highlight w:val="none"/>
                <w:lang w:val="en-US" w:eastAsia="zh-CN" w:bidi="ar-SA"/>
              </w:rPr>
              <w:t>，</w:t>
            </w:r>
            <w:r>
              <w:rPr>
                <w:rFonts w:hint="eastAsia" w:ascii="宋体" w:hAnsi="宋体" w:eastAsia="宋体" w:cs="宋体"/>
                <w:snapToGrid w:val="0"/>
                <w:color w:val="auto"/>
                <w:kern w:val="2"/>
                <w:sz w:val="21"/>
                <w:szCs w:val="21"/>
                <w:highlight w:val="none"/>
                <w:lang w:val="en-US" w:eastAsia="zh-CN" w:bidi="ar-SA"/>
              </w:rPr>
              <w:t>评分范围：</w:t>
            </w:r>
            <w:r>
              <w:rPr>
                <w:rFonts w:hint="eastAsia" w:ascii="宋体" w:hAnsi="宋体" w:cs="宋体"/>
                <w:color w:val="auto"/>
                <w:kern w:val="0"/>
                <w:szCs w:val="21"/>
                <w:highlight w:val="none"/>
                <w:lang w:val="en-US" w:eastAsia="zh-CN"/>
              </w:rPr>
              <w:t>评分范围（3分、2分、1分、0分）；</w:t>
            </w:r>
          </w:p>
          <w:p w14:paraId="6450586D">
            <w:pPr>
              <w:numPr>
                <w:ilvl w:val="0"/>
                <w:numId w:val="0"/>
              </w:numPr>
              <w:ind w:left="0" w:leftChars="0"/>
              <w:rPr>
                <w:rFonts w:hint="eastAsia" w:ascii="宋体" w:hAnsi="宋体" w:eastAsia="宋体" w:cs="宋体"/>
                <w:snapToGrid w:val="0"/>
                <w:color w:val="auto"/>
                <w:kern w:val="2"/>
                <w:sz w:val="21"/>
                <w:szCs w:val="21"/>
                <w:highlight w:val="none"/>
                <w:lang w:val="en-US" w:eastAsia="zh-CN" w:bidi="ar-SA"/>
              </w:rPr>
            </w:pPr>
            <w:r>
              <w:rPr>
                <w:rFonts w:hint="default" w:ascii="宋体" w:hAnsi="宋体" w:eastAsia="宋体" w:cs="宋体"/>
                <w:snapToGrid w:val="0"/>
                <w:color w:val="auto"/>
                <w:kern w:val="2"/>
                <w:sz w:val="21"/>
                <w:szCs w:val="21"/>
                <w:highlight w:val="none"/>
                <w:lang w:val="en-US" w:eastAsia="zh-CN" w:bidi="ar-SA"/>
              </w:rPr>
              <w:t>4、脚轮：材质牢固、行动静音、刹车制动效果</w:t>
            </w:r>
            <w:r>
              <w:rPr>
                <w:rFonts w:hint="eastAsia" w:ascii="宋体" w:hAnsi="宋体" w:cs="宋体"/>
                <w:snapToGrid w:val="0"/>
                <w:color w:val="auto"/>
                <w:kern w:val="2"/>
                <w:sz w:val="21"/>
                <w:szCs w:val="21"/>
                <w:highlight w:val="none"/>
                <w:lang w:val="en-US" w:eastAsia="zh-CN" w:bidi="ar-SA"/>
              </w:rPr>
              <w:t>，</w:t>
            </w:r>
            <w:r>
              <w:rPr>
                <w:rFonts w:hint="eastAsia" w:ascii="宋体" w:hAnsi="宋体" w:eastAsia="宋体" w:cs="宋体"/>
                <w:snapToGrid w:val="0"/>
                <w:color w:val="auto"/>
                <w:kern w:val="2"/>
                <w:sz w:val="21"/>
                <w:szCs w:val="21"/>
                <w:highlight w:val="none"/>
                <w:lang w:val="en-US" w:eastAsia="zh-CN" w:bidi="ar-SA"/>
              </w:rPr>
              <w:t>评分范围：</w:t>
            </w:r>
            <w:r>
              <w:rPr>
                <w:rFonts w:hint="eastAsia" w:ascii="宋体" w:hAnsi="宋体" w:cs="宋体"/>
                <w:color w:val="auto"/>
                <w:kern w:val="0"/>
                <w:szCs w:val="21"/>
                <w:highlight w:val="none"/>
                <w:lang w:val="en-US" w:eastAsia="zh-CN"/>
              </w:rPr>
              <w:t>评分范围（3分、2分、1分、0分）。</w:t>
            </w:r>
          </w:p>
          <w:p w14:paraId="7193AAA4">
            <w:pPr>
              <w:pStyle w:val="65"/>
              <w:ind w:left="0" w:leftChars="0" w:firstLine="0" w:firstLineChars="0"/>
              <w:rPr>
                <w:rFonts w:hint="default"/>
                <w:color w:val="auto"/>
                <w:highlight w:val="none"/>
                <w:lang w:val="en-US" w:eastAsia="zh-CN"/>
              </w:rPr>
            </w:pPr>
            <w:r>
              <w:rPr>
                <w:rFonts w:hint="eastAsia" w:ascii="宋体" w:hAnsi="宋体" w:eastAsia="宋体" w:cs="宋体"/>
                <w:b/>
                <w:bCs/>
                <w:snapToGrid w:val="0"/>
                <w:color w:val="auto"/>
                <w:kern w:val="2"/>
                <w:sz w:val="21"/>
                <w:szCs w:val="21"/>
                <w:highlight w:val="none"/>
                <w:lang w:val="en-US" w:eastAsia="zh-CN" w:bidi="ar-SA"/>
              </w:rPr>
              <w:t>未提供样品的，相应样品分得0分。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6F15D6D1">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0-</w:t>
            </w:r>
            <w:r>
              <w:rPr>
                <w:rFonts w:hint="eastAsia" w:ascii="宋体" w:hAnsi="宋体" w:cs="宋体"/>
                <w:bCs/>
                <w:color w:val="auto"/>
                <w:szCs w:val="21"/>
                <w:highlight w:val="none"/>
                <w:lang w:val="en-US" w:eastAsia="zh-CN"/>
              </w:rPr>
              <w:t>12</w:t>
            </w:r>
            <w:r>
              <w:rPr>
                <w:rFonts w:hint="eastAsia" w:ascii="宋体" w:hAnsi="宋体" w:cs="宋体"/>
                <w:bCs/>
                <w:color w:val="auto"/>
                <w:szCs w:val="21"/>
                <w:highlight w:val="none"/>
              </w:rPr>
              <w:t>分</w:t>
            </w:r>
          </w:p>
          <w:p w14:paraId="4B489753">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（主观）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48D4B9C3">
            <w:pPr>
              <w:keepNext w:val="0"/>
              <w:keepLines w:val="0"/>
              <w:pageBreakBefore w:val="0"/>
              <w:kinsoku/>
              <w:wordWrap/>
              <w:overflowPunct/>
              <w:topLinePunct w:val="0"/>
              <w:autoSpaceDE w:val="0"/>
              <w:autoSpaceDN w:val="0"/>
              <w:bidi w:val="0"/>
              <w:adjustRightInd w:val="0"/>
              <w:spacing w:line="288" w:lineRule="auto"/>
              <w:jc w:val="center"/>
              <w:rPr>
                <w:rFonts w:hint="eastAsia" w:ascii="宋体" w:hAnsi="宋体"/>
                <w:color w:val="auto"/>
                <w:szCs w:val="21"/>
                <w:highlight w:val="none"/>
              </w:rPr>
            </w:pPr>
            <w:r>
              <w:rPr>
                <w:rFonts w:hint="eastAsia" w:ascii="宋体" w:hAnsi="宋体" w:cs="宋体"/>
                <w:bCs/>
                <w:color w:val="auto"/>
                <w:kern w:val="0"/>
                <w:szCs w:val="21"/>
                <w:highlight w:val="none"/>
              </w:rPr>
              <w:t>提供样品情况</w:t>
            </w:r>
          </w:p>
        </w:tc>
      </w:tr>
      <w:tr w14:paraId="576C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jc w:val="center"/>
        </w:trPr>
        <w:tc>
          <w:tcPr>
            <w:tcW w:w="825" w:type="dxa"/>
            <w:tcBorders>
              <w:top w:val="single" w:color="auto" w:sz="4" w:space="0"/>
              <w:left w:val="single" w:color="auto" w:sz="4" w:space="0"/>
              <w:bottom w:val="single" w:color="auto" w:sz="4" w:space="0"/>
              <w:right w:val="single" w:color="auto" w:sz="4" w:space="0"/>
            </w:tcBorders>
            <w:noWrap w:val="0"/>
            <w:vAlign w:val="center"/>
          </w:tcPr>
          <w:p w14:paraId="0A814638">
            <w:pPr>
              <w:keepNext w:val="0"/>
              <w:keepLines w:val="0"/>
              <w:pageBreakBefore w:val="0"/>
              <w:kinsoku/>
              <w:wordWrap/>
              <w:overflowPunct/>
              <w:topLinePunct w:val="0"/>
              <w:bidi w:val="0"/>
              <w:adjustRightInd w:val="0"/>
              <w:spacing w:line="288" w:lineRule="auto"/>
              <w:jc w:val="center"/>
              <w:outlineLvl w:val="0"/>
              <w:rPr>
                <w:rFonts w:hint="default"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15</w:t>
            </w:r>
          </w:p>
        </w:tc>
        <w:tc>
          <w:tcPr>
            <w:tcW w:w="6015" w:type="dxa"/>
            <w:tcBorders>
              <w:top w:val="single" w:color="auto" w:sz="4" w:space="0"/>
              <w:left w:val="single" w:color="auto" w:sz="4" w:space="0"/>
              <w:bottom w:val="single" w:color="auto" w:sz="4" w:space="0"/>
              <w:right w:val="single" w:color="auto" w:sz="4" w:space="0"/>
            </w:tcBorders>
            <w:noWrap w:val="0"/>
            <w:vAlign w:val="center"/>
          </w:tcPr>
          <w:p w14:paraId="77B26517">
            <w:pPr>
              <w:pStyle w:val="23"/>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有效投标报价的最低价作为评标基准价，其最低报价为满分；按［投标报价得分=（评标基准价/投标报价）*30］的计算公式计算。</w:t>
            </w:r>
          </w:p>
          <w:p w14:paraId="57996CD0">
            <w:pPr>
              <w:pStyle w:val="23"/>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评标过程中，不得去掉报价中的最高报价和最低报价。</w:t>
            </w:r>
          </w:p>
          <w:p w14:paraId="572CAF8D">
            <w:pPr>
              <w:pStyle w:val="23"/>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因落实政府采购政策需要进行价格调整的，以调整后的价格计算评标基准价和投标报价。</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17FAAB86">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30分</w:t>
            </w:r>
          </w:p>
          <w:p w14:paraId="51C4E5AA">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（客观）</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0CCA06EB">
            <w:pPr>
              <w:keepNext w:val="0"/>
              <w:keepLines w:val="0"/>
              <w:pageBreakBefore w:val="0"/>
              <w:kinsoku/>
              <w:wordWrap/>
              <w:overflowPunct/>
              <w:topLinePunct w:val="0"/>
              <w:bidi w:val="0"/>
              <w:adjustRightInd w:val="0"/>
              <w:spacing w:line="288" w:lineRule="auto"/>
              <w:jc w:val="center"/>
              <w:outlineLvl w:val="0"/>
              <w:rPr>
                <w:rFonts w:hint="eastAsia" w:ascii="宋体" w:hAnsi="宋体" w:cs="宋体"/>
                <w:bCs/>
                <w:color w:val="auto"/>
                <w:szCs w:val="21"/>
                <w:highlight w:val="none"/>
              </w:rPr>
            </w:pPr>
            <w:r>
              <w:rPr>
                <w:rFonts w:hint="eastAsia" w:ascii="宋体" w:hAnsi="宋体" w:cs="宋体"/>
                <w:bCs/>
                <w:color w:val="auto"/>
                <w:szCs w:val="21"/>
                <w:highlight w:val="none"/>
              </w:rPr>
              <w:t>/</w:t>
            </w:r>
          </w:p>
        </w:tc>
      </w:tr>
    </w:tbl>
    <w:p w14:paraId="0281E917">
      <w:pPr>
        <w:spacing w:line="360" w:lineRule="auto"/>
        <w:rPr>
          <w:rFonts w:cs="仿宋_GB2312"/>
          <w:color w:val="auto"/>
          <w:highlight w:val="none"/>
        </w:rPr>
      </w:pPr>
      <w:r>
        <w:rPr>
          <w:rFonts w:hint="eastAsia" w:ascii="宋体" w:hAnsi="宋体" w:cs="宋体"/>
          <w:color w:val="auto"/>
          <w:sz w:val="20"/>
          <w:szCs w:val="20"/>
          <w:highlight w:val="none"/>
          <w:shd w:val="clear" w:color="auto" w:fill="FFFFFF"/>
        </w:rPr>
        <w:t>*</w:t>
      </w:r>
      <w:r>
        <w:rPr>
          <w:rFonts w:hint="eastAsia" w:ascii="宋体" w:hAnsi="宋体" w:cs="宋体"/>
          <w:b/>
          <w:color w:val="auto"/>
          <w:sz w:val="24"/>
          <w:highlight w:val="none"/>
        </w:rPr>
        <w:t>备注：</w:t>
      </w:r>
      <w:r>
        <w:rPr>
          <w:rFonts w:hint="eastAsia" w:cs="仿宋_GB2312"/>
          <w:color w:val="auto"/>
          <w:highlight w:val="none"/>
        </w:rPr>
        <w:t>投标人编制投标文件（商务技术文件部分）时，建议按此目录（序号和内容）提供评标标准相应的商务技术资料。</w:t>
      </w:r>
      <w:r>
        <w:rPr>
          <w:rFonts w:cs="仿宋_GB2312"/>
          <w:color w:val="auto"/>
          <w:highlight w:val="none"/>
        </w:rPr>
        <w:t> </w:t>
      </w:r>
    </w:p>
    <w:p w14:paraId="004B6EF9">
      <w:pPr>
        <w:snapToGrid w:val="0"/>
        <w:spacing w:line="360" w:lineRule="auto"/>
        <w:rPr>
          <w:rFonts w:ascii="宋体" w:hAnsi="宋体" w:cs="宋体"/>
          <w:b/>
          <w:color w:val="auto"/>
          <w:sz w:val="28"/>
          <w:szCs w:val="28"/>
          <w:highlight w:val="none"/>
        </w:rPr>
      </w:pPr>
      <w:r>
        <w:rPr>
          <w:rFonts w:hint="eastAsia" w:ascii="宋体" w:hAnsi="宋体" w:cs="宋体"/>
          <w:b/>
          <w:color w:val="auto"/>
          <w:sz w:val="32"/>
          <w:highlight w:val="none"/>
        </w:rPr>
        <w:t>一、评标方法</w:t>
      </w:r>
    </w:p>
    <w:p w14:paraId="02EA1BE1">
      <w:pPr>
        <w:adjustRightInd/>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1.本项目采用综合评分法。</w:t>
      </w:r>
      <w:r>
        <w:rPr>
          <w:rFonts w:hint="eastAsia" w:ascii="宋体" w:hAnsi="宋体" w:cs="宋体"/>
          <w:color w:val="auto"/>
          <w:kern w:val="0"/>
          <w:sz w:val="24"/>
          <w:highlight w:val="none"/>
        </w:rPr>
        <w:t>综合评分法，是指投标文件满足招标文件全部实质性要求，且按照评审因素的量化指标评审得分最高的投标人为中标候选人的评标方法。</w:t>
      </w:r>
    </w:p>
    <w:p w14:paraId="6FDB0B14">
      <w:pPr>
        <w:adjustRightInd/>
        <w:spacing w:line="360" w:lineRule="auto"/>
        <w:rPr>
          <w:rFonts w:ascii="宋体" w:hAnsi="宋体" w:cs="宋体"/>
          <w:color w:val="auto"/>
          <w:kern w:val="0"/>
          <w:sz w:val="24"/>
          <w:highlight w:val="none"/>
        </w:rPr>
      </w:pPr>
      <w:r>
        <w:rPr>
          <w:rFonts w:hint="eastAsia" w:ascii="宋体" w:hAnsi="宋体" w:cs="宋体"/>
          <w:b/>
          <w:color w:val="auto"/>
          <w:sz w:val="32"/>
          <w:highlight w:val="none"/>
        </w:rPr>
        <w:t>二、评标标准</w:t>
      </w:r>
    </w:p>
    <w:p w14:paraId="6F80965E">
      <w:pPr>
        <w:spacing w:line="360" w:lineRule="auto"/>
        <w:ind w:firstLine="472" w:firstLineChars="196"/>
        <w:rPr>
          <w:rFonts w:ascii="宋体" w:hAnsi="宋体" w:cs="宋体"/>
          <w:b/>
          <w:color w:val="auto"/>
          <w:sz w:val="24"/>
          <w:highlight w:val="none"/>
        </w:rPr>
      </w:pPr>
      <w:r>
        <w:rPr>
          <w:rFonts w:hint="eastAsia" w:ascii="宋体" w:hAnsi="宋体" w:cs="宋体"/>
          <w:b/>
          <w:color w:val="auto"/>
          <w:sz w:val="24"/>
          <w:highlight w:val="none"/>
        </w:rPr>
        <w:t>2.</w:t>
      </w:r>
      <w:r>
        <w:rPr>
          <w:rFonts w:hint="eastAsia" w:ascii="宋体" w:hAnsi="宋体" w:cs="宋体"/>
          <w:color w:val="auto"/>
          <w:highlight w:val="none"/>
        </w:rPr>
        <w:t xml:space="preserve"> </w:t>
      </w:r>
      <w:r>
        <w:rPr>
          <w:rFonts w:hint="eastAsia" w:ascii="宋体" w:hAnsi="宋体" w:cs="宋体"/>
          <w:b/>
          <w:color w:val="auto"/>
          <w:sz w:val="24"/>
          <w:highlight w:val="none"/>
        </w:rPr>
        <w:t>评标标准：</w:t>
      </w:r>
      <w:r>
        <w:rPr>
          <w:rFonts w:hint="eastAsia" w:ascii="宋体" w:hAnsi="宋体" w:cs="宋体"/>
          <w:color w:val="auto"/>
          <w:kern w:val="0"/>
          <w:sz w:val="24"/>
          <w:highlight w:val="none"/>
        </w:rPr>
        <w:t>见评标办法前附表。</w:t>
      </w:r>
    </w:p>
    <w:p w14:paraId="4E126AB9">
      <w:pPr>
        <w:spacing w:line="360" w:lineRule="auto"/>
        <w:outlineLvl w:val="0"/>
        <w:rPr>
          <w:rFonts w:ascii="宋体" w:hAnsi="宋体" w:cs="宋体"/>
          <w:b/>
          <w:color w:val="auto"/>
          <w:sz w:val="36"/>
          <w:szCs w:val="36"/>
          <w:highlight w:val="none"/>
        </w:rPr>
      </w:pPr>
      <w:r>
        <w:rPr>
          <w:rFonts w:hint="eastAsia" w:ascii="宋体" w:hAnsi="宋体" w:cs="宋体"/>
          <w:b/>
          <w:color w:val="auto"/>
          <w:sz w:val="36"/>
          <w:szCs w:val="36"/>
          <w:highlight w:val="none"/>
        </w:rPr>
        <w:t>三、评标程序</w:t>
      </w:r>
    </w:p>
    <w:p w14:paraId="42EFB217">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3.1符合性审查。</w:t>
      </w:r>
      <w:r>
        <w:rPr>
          <w:rFonts w:hint="eastAsia" w:ascii="宋体" w:hAnsi="宋体" w:cs="宋体"/>
          <w:color w:val="auto"/>
          <w:kern w:val="0"/>
          <w:sz w:val="24"/>
          <w:highlight w:val="none"/>
        </w:rPr>
        <w:t>评标委员会应当对符合资格的投标人的投标文件进行符合性审查，以确定其是否满足招标文件的实质性要求。不满足招标文件的实质性要求的，投标无效。</w:t>
      </w:r>
    </w:p>
    <w:p w14:paraId="10B085C9">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3.2 比较与评价。</w:t>
      </w:r>
      <w:r>
        <w:rPr>
          <w:rFonts w:hint="eastAsia" w:ascii="宋体" w:hAnsi="宋体" w:cs="宋体"/>
          <w:color w:val="auto"/>
          <w:kern w:val="0"/>
          <w:sz w:val="24"/>
          <w:highlight w:val="none"/>
        </w:rPr>
        <w:t>评标委员会应当按照招标文件中规定的评标方法和标准，对符合性审查合格的投标文件进行商务和技术评估，综合比较与评价。</w:t>
      </w:r>
    </w:p>
    <w:p w14:paraId="6F8457C4">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3.3汇总商务技术得分。</w:t>
      </w:r>
      <w:r>
        <w:rPr>
          <w:rFonts w:hint="eastAsia" w:ascii="宋体" w:hAnsi="宋体" w:cs="宋体"/>
          <w:color w:val="auto"/>
          <w:kern w:val="0"/>
          <w:sz w:val="24"/>
          <w:highlight w:val="none"/>
        </w:rPr>
        <w:t>评标委员会各成员应当独立对每个投标人的商务和技术文件进行评价，并汇总商务技术得分情况。</w:t>
      </w:r>
    </w:p>
    <w:p w14:paraId="05A2375D">
      <w:pPr>
        <w:spacing w:line="360" w:lineRule="auto"/>
        <w:ind w:firstLine="472" w:firstLineChars="196"/>
        <w:rPr>
          <w:rFonts w:ascii="宋体" w:hAnsi="宋体" w:cs="宋体"/>
          <w:b/>
          <w:color w:val="auto"/>
          <w:kern w:val="0"/>
          <w:sz w:val="24"/>
          <w:highlight w:val="none"/>
        </w:rPr>
      </w:pPr>
      <w:r>
        <w:rPr>
          <w:rFonts w:hint="eastAsia" w:ascii="宋体" w:hAnsi="宋体" w:cs="宋体"/>
          <w:b/>
          <w:color w:val="auto"/>
          <w:kern w:val="0"/>
          <w:sz w:val="24"/>
          <w:highlight w:val="none"/>
        </w:rPr>
        <w:t>3.4报价评审。</w:t>
      </w:r>
    </w:p>
    <w:p w14:paraId="5D8B10FA">
      <w:pPr>
        <w:pStyle w:val="134"/>
        <w:spacing w:before="0"/>
        <w:ind w:firstLine="508" w:firstLineChars="212"/>
        <w:rPr>
          <w:rFonts w:ascii="宋体" w:hAnsi="宋体" w:cs="宋体"/>
          <w:color w:val="auto"/>
          <w:kern w:val="0"/>
          <w:highlight w:val="none"/>
        </w:rPr>
      </w:pPr>
      <w:r>
        <w:rPr>
          <w:rFonts w:hint="eastAsia" w:ascii="宋体" w:hAnsi="宋体" w:cs="宋体"/>
          <w:color w:val="auto"/>
          <w:kern w:val="0"/>
          <w:highlight w:val="none"/>
        </w:rPr>
        <w:t>3.4.1投标文件报价出现前后不一致的，按照下列规定修正：</w:t>
      </w:r>
    </w:p>
    <w:p w14:paraId="6F2614A3">
      <w:pPr>
        <w:pStyle w:val="134"/>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3.4.1.1投标文件中开标一览表(报价表)内容与投标文件中相应内容不一致的，以开标一览表(报价表)为准;</w:t>
      </w:r>
    </w:p>
    <w:p w14:paraId="31EA476C">
      <w:pPr>
        <w:pStyle w:val="134"/>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3.4.1.2大写金额和小写金额不一致的，以大写金额为准;</w:t>
      </w:r>
    </w:p>
    <w:p w14:paraId="1DE18B52">
      <w:pPr>
        <w:pStyle w:val="134"/>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3.4.1.3单价金额小数点或者百分比有明显错位的，以开标一览表的总价为准，并修改单价;</w:t>
      </w:r>
    </w:p>
    <w:p w14:paraId="5A168C38">
      <w:pPr>
        <w:pStyle w:val="134"/>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3.4.1.4总价金额与按单价汇总金额不一致的，以单价金额计算结果为准。</w:t>
      </w:r>
    </w:p>
    <w:p w14:paraId="13A2581E">
      <w:pPr>
        <w:pStyle w:val="134"/>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3.4.1.5同时出现两种以上不一致的，按照3.4.1规定的顺序修正。修正后的报价按照财政部第87号令 《政府采购货物和服务招标投标管理办法》第五十一条第二款的规定经投标人确认后产生约束力。</w:t>
      </w:r>
    </w:p>
    <w:p w14:paraId="5B21C3D1">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3.4.2投标文件出现不是唯一的、有选择性投标报价的，投标无效。</w:t>
      </w:r>
    </w:p>
    <w:p w14:paraId="58F08770">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3.4.3投标报价超过招标文件中规定的预算金额或者最高限价的，投标无效。</w:t>
      </w:r>
    </w:p>
    <w:p w14:paraId="3A68C4D5">
      <w:pPr>
        <w:pStyle w:val="134"/>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617C49C1">
      <w:pPr>
        <w:pStyle w:val="134"/>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3.4.5对于未预留份额专门面向中小企业的政府采购货物项目，以及预留份额政府采购货物项目中的非预留部分标项，对小型和微型企业的投标报价给予10%-</w:t>
      </w:r>
      <w:r>
        <w:rPr>
          <w:rFonts w:ascii="宋体" w:hAnsi="宋体" w:cs="宋体"/>
          <w:color w:val="auto"/>
          <w:kern w:val="0"/>
          <w:szCs w:val="24"/>
          <w:highlight w:val="none"/>
        </w:rPr>
        <w:t>20</w:t>
      </w:r>
      <w:r>
        <w:rPr>
          <w:rFonts w:hint="eastAsia" w:ascii="宋体" w:hAnsi="宋体" w:cs="宋体"/>
          <w:color w:val="auto"/>
          <w:kern w:val="0"/>
          <w:szCs w:val="24"/>
          <w:highlight w:val="none"/>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w:t>
      </w:r>
      <w:r>
        <w:rPr>
          <w:rFonts w:ascii="宋体" w:hAnsi="宋体" w:cs="宋体"/>
          <w:color w:val="auto"/>
          <w:kern w:val="0"/>
          <w:szCs w:val="24"/>
          <w:highlight w:val="none"/>
        </w:rPr>
        <w:t>6</w:t>
      </w:r>
      <w:r>
        <w:rPr>
          <w:rFonts w:hint="eastAsia" w:ascii="宋体" w:hAnsi="宋体" w:cs="宋体"/>
          <w:color w:val="auto"/>
          <w:kern w:val="0"/>
          <w:szCs w:val="24"/>
          <w:highlight w:val="none"/>
        </w:rPr>
        <w:t>%的扣除，用扣除后的价格参加评审。组成联合体或者接受分包的小微企业与联合体内其他企业、分包企业之间存在直接控股、管理关系的，不享受价格扣除优惠政策。</w:t>
      </w:r>
    </w:p>
    <w:p w14:paraId="181C3568">
      <w:pPr>
        <w:spacing w:line="360" w:lineRule="auto"/>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3.5排序与推荐。</w:t>
      </w:r>
      <w:r>
        <w:rPr>
          <w:rFonts w:hint="eastAsia" w:ascii="宋体" w:hAnsi="宋体" w:cs="宋体"/>
          <w:color w:val="auto"/>
          <w:kern w:val="0"/>
          <w:sz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0C41C220">
      <w:pPr>
        <w:spacing w:line="360" w:lineRule="auto"/>
        <w:ind w:firstLine="480" w:firstLineChars="200"/>
        <w:rPr>
          <w:rFonts w:ascii="宋体" w:hAnsi="宋体" w:cs="宋体"/>
          <w:b/>
          <w:color w:val="auto"/>
          <w:kern w:val="0"/>
          <w:sz w:val="24"/>
          <w:highlight w:val="none"/>
        </w:rPr>
      </w:pPr>
      <w:r>
        <w:rPr>
          <w:rFonts w:hint="eastAsia" w:ascii="宋体" w:hAnsi="宋体" w:cs="宋体"/>
          <w:color w:val="auto"/>
          <w:kern w:val="0"/>
          <w:sz w:val="24"/>
          <w:highlight w:val="none"/>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7BF80EAF">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3.6编写评标报告。</w:t>
      </w:r>
      <w:r>
        <w:rPr>
          <w:rFonts w:hint="eastAsia" w:ascii="宋体" w:hAnsi="宋体" w:cs="宋体"/>
          <w:color w:val="auto"/>
          <w:kern w:val="0"/>
          <w:sz w:val="24"/>
          <w:highlight w:val="none"/>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74567748">
      <w:pPr>
        <w:widowControl/>
        <w:shd w:val="clear" w:color="auto" w:fill="FFFFFF"/>
        <w:adjustRightInd/>
        <w:spacing w:after="225" w:line="315" w:lineRule="atLeast"/>
        <w:jc w:val="left"/>
        <w:rPr>
          <w:rFonts w:ascii="宋体" w:hAnsi="宋体" w:cs="宋体"/>
          <w:b/>
          <w:color w:val="auto"/>
          <w:sz w:val="32"/>
          <w:highlight w:val="none"/>
        </w:rPr>
      </w:pPr>
      <w:r>
        <w:rPr>
          <w:rFonts w:hint="eastAsia" w:ascii="宋体" w:hAnsi="宋体" w:cs="宋体"/>
          <w:b/>
          <w:color w:val="auto"/>
          <w:sz w:val="32"/>
          <w:highlight w:val="none"/>
        </w:rPr>
        <w:t>四、评标中的其他事项</w:t>
      </w:r>
    </w:p>
    <w:p w14:paraId="4B1F30F1">
      <w:pPr>
        <w:pStyle w:val="134"/>
        <w:spacing w:before="0"/>
        <w:ind w:firstLine="472" w:firstLineChars="196"/>
        <w:rPr>
          <w:rFonts w:ascii="宋体" w:hAnsi="宋体" w:cs="宋体"/>
          <w:color w:val="auto"/>
          <w:kern w:val="0"/>
          <w:szCs w:val="24"/>
          <w:highlight w:val="none"/>
        </w:rPr>
      </w:pPr>
      <w:r>
        <w:rPr>
          <w:rFonts w:hint="eastAsia" w:ascii="宋体" w:hAnsi="宋体" w:cs="宋体"/>
          <w:b/>
          <w:color w:val="auto"/>
          <w:kern w:val="0"/>
          <w:szCs w:val="24"/>
          <w:highlight w:val="none"/>
        </w:rPr>
        <w:t>4.1投标人澄清、说明或者补正。</w:t>
      </w:r>
      <w:r>
        <w:rPr>
          <w:rFonts w:hint="eastAsia" w:ascii="宋体" w:hAnsi="宋体" w:cs="宋体"/>
          <w:color w:val="auto"/>
          <w:kern w:val="0"/>
          <w:szCs w:val="24"/>
          <w:highlight w:val="none"/>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2171D251">
      <w:pPr>
        <w:pStyle w:val="24"/>
        <w:spacing w:line="360" w:lineRule="auto"/>
        <w:ind w:left="954" w:leftChars="226" w:hanging="479" w:firstLineChars="0"/>
        <w:rPr>
          <w:rFonts w:cs="宋体"/>
          <w:color w:val="auto"/>
          <w:szCs w:val="21"/>
          <w:highlight w:val="none"/>
        </w:rPr>
      </w:pPr>
      <w:r>
        <w:rPr>
          <w:rFonts w:hint="eastAsia" w:cs="宋体"/>
          <w:b/>
          <w:color w:val="auto"/>
          <w:kern w:val="0"/>
          <w:highlight w:val="none"/>
        </w:rPr>
        <w:t>4.2投标无效。</w:t>
      </w:r>
      <w:r>
        <w:rPr>
          <w:rFonts w:hint="eastAsia" w:cs="宋体"/>
          <w:color w:val="auto"/>
          <w:szCs w:val="21"/>
          <w:highlight w:val="none"/>
        </w:rPr>
        <w:t>有下列情形之一的，投标无效：</w:t>
      </w:r>
    </w:p>
    <w:p w14:paraId="334EBB6B">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4.2.1投标人不具备招标文件中规定的资格要求的（投标人未提供有效的资格文件的，视为投标人不具备招标文件中规定的资格要求）；</w:t>
      </w:r>
    </w:p>
    <w:p w14:paraId="054F1CA6">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4.2.2投标文件未按照招标文件要求签署、盖章的；</w:t>
      </w:r>
    </w:p>
    <w:p w14:paraId="7F65DB1C">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4.2.3采购人拟采购的产品属于政府强制采购的节能产品品目清单范围的，投标人相应的投标产品未获得国家确定的认证机构出具的、处于有效期之内的节能产品认证证书的；</w:t>
      </w:r>
    </w:p>
    <w:p w14:paraId="6B791ACB">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4.2.4投标文件含有采购人不能接受的附加条件的；</w:t>
      </w:r>
    </w:p>
    <w:p w14:paraId="56A11AB1">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4.2.5投标文件中承诺的投标有效期少于招标文件中载明的投标有效期的；</w:t>
      </w:r>
    </w:p>
    <w:p w14:paraId="1E0BF788">
      <w:pPr>
        <w:snapToGrid w:val="0"/>
        <w:spacing w:line="360" w:lineRule="auto"/>
        <w:ind w:firstLine="120" w:firstLineChars="5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   4.2.6投标文件出现不是唯一的、有选择性投标报价的;</w:t>
      </w:r>
    </w:p>
    <w:p w14:paraId="5A441593">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4.2.7投标报价超过招标文件中规定的预算金额或者最高限价的;</w:t>
      </w:r>
    </w:p>
    <w:p w14:paraId="5DDD50BC">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4.2.8报价明显低于其他通过符合性审查投标人的报价，有可能影响产品质量或者不能诚信履约的，未能按要求提供书面说明或者提交相关证明材料，不能证明其报价合理性的;</w:t>
      </w:r>
    </w:p>
    <w:p w14:paraId="2CA37499">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4.2.9投标人对根据修正原则修正后的报价不确认的；</w:t>
      </w:r>
    </w:p>
    <w:p w14:paraId="27116AA1">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4.2.10投标人提供虚假材料投标的；</w:t>
      </w:r>
    </w:p>
    <w:p w14:paraId="528D5E7A">
      <w:pPr>
        <w:spacing w:line="360" w:lineRule="auto"/>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 xml:space="preserve">  4.2.11投标人有恶意串通、妨碍其他投标人的竞争行为、损害采购人或者其他投标人的合法权益情形的；</w:t>
      </w:r>
    </w:p>
    <w:p w14:paraId="0027D48A">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4.2.12投标人仅提交备份投标文件，未在电子交易平台传输递交投标文件的，投标无效；</w:t>
      </w:r>
    </w:p>
    <w:p w14:paraId="3C222DEF">
      <w:pPr>
        <w:spacing w:line="360" w:lineRule="auto"/>
        <w:ind w:firstLine="480" w:firstLineChars="200"/>
        <w:rPr>
          <w:color w:val="auto"/>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 xml:space="preserve"> 投标文件不满足招标文件的实质性要求的；</w:t>
      </w:r>
    </w:p>
    <w:p w14:paraId="6DFE94FC">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法律、法规、规章（适用本市的）及省级以上规范性文件（适用本市的）规定的其他无效情形。</w:t>
      </w:r>
    </w:p>
    <w:p w14:paraId="05E9216E">
      <w:pPr>
        <w:pStyle w:val="24"/>
        <w:snapToGrid w:val="0"/>
        <w:spacing w:line="360" w:lineRule="auto"/>
        <w:ind w:firstLine="472" w:firstLineChars="196"/>
        <w:rPr>
          <w:rFonts w:cs="宋体"/>
          <w:color w:val="auto"/>
          <w:highlight w:val="none"/>
        </w:rPr>
      </w:pPr>
      <w:r>
        <w:rPr>
          <w:rFonts w:hint="eastAsia" w:cs="宋体"/>
          <w:b/>
          <w:color w:val="auto"/>
          <w:highlight w:val="none"/>
        </w:rPr>
        <w:t>5.废标。</w:t>
      </w:r>
      <w:r>
        <w:rPr>
          <w:rFonts w:hint="eastAsia" w:cs="宋体"/>
          <w:color w:val="auto"/>
          <w:highlight w:val="none"/>
        </w:rPr>
        <w:t>根据《中华人民共和国政府采购法》第三十六条之规定，在采购中，出现下列情形之一的，应予废标：</w:t>
      </w:r>
    </w:p>
    <w:p w14:paraId="67B4868A">
      <w:pPr>
        <w:pStyle w:val="24"/>
        <w:snapToGrid w:val="0"/>
        <w:spacing w:line="360" w:lineRule="auto"/>
        <w:rPr>
          <w:rFonts w:cs="宋体"/>
          <w:color w:val="auto"/>
          <w:highlight w:val="none"/>
        </w:rPr>
      </w:pPr>
      <w:r>
        <w:rPr>
          <w:rFonts w:hint="eastAsia" w:cs="宋体"/>
          <w:color w:val="auto"/>
          <w:highlight w:val="none"/>
        </w:rPr>
        <w:t>5.1符合专业条件的供应商或者对招标文件作实质响应的供应商不足3家的；</w:t>
      </w:r>
    </w:p>
    <w:p w14:paraId="779BB6FC">
      <w:pPr>
        <w:pStyle w:val="24"/>
        <w:snapToGrid w:val="0"/>
        <w:spacing w:line="360" w:lineRule="auto"/>
        <w:rPr>
          <w:rFonts w:cs="宋体"/>
          <w:color w:val="auto"/>
          <w:highlight w:val="none"/>
        </w:rPr>
      </w:pPr>
      <w:r>
        <w:rPr>
          <w:rFonts w:hint="eastAsia" w:cs="宋体"/>
          <w:color w:val="auto"/>
          <w:highlight w:val="none"/>
        </w:rPr>
        <w:t>5.2出现影响采购公正的违法、违规行为的；</w:t>
      </w:r>
    </w:p>
    <w:p w14:paraId="49D0816E">
      <w:pPr>
        <w:pStyle w:val="24"/>
        <w:snapToGrid w:val="0"/>
        <w:spacing w:line="360" w:lineRule="auto"/>
        <w:rPr>
          <w:rFonts w:cs="宋体"/>
          <w:color w:val="auto"/>
          <w:highlight w:val="none"/>
        </w:rPr>
      </w:pPr>
      <w:r>
        <w:rPr>
          <w:rFonts w:hint="eastAsia" w:cs="宋体"/>
          <w:color w:val="auto"/>
          <w:highlight w:val="none"/>
        </w:rPr>
        <w:t>5.3投标人的报价均超过了采购预算，采购人不能支付的；</w:t>
      </w:r>
    </w:p>
    <w:p w14:paraId="3B4A1ECF">
      <w:pPr>
        <w:pStyle w:val="24"/>
        <w:snapToGrid w:val="0"/>
        <w:spacing w:line="360" w:lineRule="auto"/>
        <w:rPr>
          <w:rFonts w:cs="宋体"/>
          <w:color w:val="auto"/>
          <w:highlight w:val="none"/>
        </w:rPr>
      </w:pPr>
      <w:r>
        <w:rPr>
          <w:rFonts w:hint="eastAsia" w:cs="宋体"/>
          <w:color w:val="auto"/>
          <w:highlight w:val="none"/>
        </w:rPr>
        <w:t>5.4因重大变故，采购任务取消的。</w:t>
      </w:r>
    </w:p>
    <w:p w14:paraId="6E50052F">
      <w:pPr>
        <w:pStyle w:val="24"/>
        <w:snapToGrid w:val="0"/>
        <w:spacing w:line="360" w:lineRule="auto"/>
        <w:rPr>
          <w:rFonts w:cs="宋体"/>
          <w:color w:val="auto"/>
          <w:highlight w:val="none"/>
        </w:rPr>
      </w:pPr>
      <w:r>
        <w:rPr>
          <w:rFonts w:hint="eastAsia" w:cs="宋体"/>
          <w:color w:val="auto"/>
          <w:highlight w:val="none"/>
        </w:rPr>
        <w:t>废标后，</w:t>
      </w:r>
      <w:r>
        <w:rPr>
          <w:rFonts w:hint="eastAsia" w:cs="宋体"/>
          <w:color w:val="auto"/>
          <w:highlight w:val="none"/>
          <w:lang w:eastAsia="zh-CN"/>
        </w:rPr>
        <w:t>采购代理机构</w:t>
      </w:r>
      <w:r>
        <w:rPr>
          <w:rFonts w:hint="eastAsia" w:cs="宋体"/>
          <w:color w:val="auto"/>
          <w:highlight w:val="none"/>
        </w:rPr>
        <w:t>应当将废标理由通知所有投标人。</w:t>
      </w:r>
    </w:p>
    <w:p w14:paraId="47538A85">
      <w:pPr>
        <w:pStyle w:val="24"/>
        <w:snapToGrid w:val="0"/>
        <w:spacing w:line="360" w:lineRule="auto"/>
        <w:ind w:firstLine="590" w:firstLineChars="245"/>
        <w:rPr>
          <w:rFonts w:cs="宋体"/>
          <w:color w:val="auto"/>
          <w:highlight w:val="none"/>
        </w:rPr>
      </w:pPr>
      <w:r>
        <w:rPr>
          <w:rFonts w:hint="eastAsia" w:cs="宋体"/>
          <w:b/>
          <w:color w:val="auto"/>
          <w:highlight w:val="none"/>
        </w:rPr>
        <w:t>6.修改招标文件，重新组织采购活动。</w:t>
      </w:r>
      <w:r>
        <w:rPr>
          <w:rFonts w:hint="eastAsia" w:cs="宋体"/>
          <w:color w:val="auto"/>
          <w:highlight w:val="none"/>
        </w:rPr>
        <w:t>评标委员会发现招标文件存在歧义、重大缺陷导致评标工作无法进行，或者招标文件内容违反国家有关强制性规定的，将停止评标工作，并与采购人、</w:t>
      </w:r>
      <w:r>
        <w:rPr>
          <w:rFonts w:hint="eastAsia" w:cs="宋体"/>
          <w:color w:val="auto"/>
          <w:highlight w:val="none"/>
          <w:lang w:eastAsia="zh-CN"/>
        </w:rPr>
        <w:t>采购代理机构</w:t>
      </w:r>
      <w:r>
        <w:rPr>
          <w:rFonts w:hint="eastAsia" w:cs="宋体"/>
          <w:color w:val="auto"/>
          <w:highlight w:val="none"/>
        </w:rPr>
        <w:t>沟通并作书面记录。采购人、</w:t>
      </w:r>
      <w:r>
        <w:rPr>
          <w:rFonts w:hint="eastAsia" w:cs="宋体"/>
          <w:color w:val="auto"/>
          <w:highlight w:val="none"/>
          <w:lang w:eastAsia="zh-CN"/>
        </w:rPr>
        <w:t>采购代理机构</w:t>
      </w:r>
      <w:r>
        <w:rPr>
          <w:rFonts w:hint="eastAsia" w:cs="宋体"/>
          <w:color w:val="auto"/>
          <w:highlight w:val="none"/>
        </w:rPr>
        <w:t>确认后，将修改招标文件，重新组织采购活动。</w:t>
      </w:r>
    </w:p>
    <w:p w14:paraId="6880977F">
      <w:pPr>
        <w:pStyle w:val="24"/>
        <w:snapToGrid w:val="0"/>
        <w:spacing w:line="360" w:lineRule="auto"/>
        <w:ind w:firstLine="482"/>
        <w:rPr>
          <w:rFonts w:cs="宋体"/>
          <w:color w:val="auto"/>
          <w:highlight w:val="none"/>
        </w:rPr>
      </w:pPr>
      <w:r>
        <w:rPr>
          <w:rFonts w:hint="eastAsia" w:cs="宋体"/>
          <w:b/>
          <w:color w:val="auto"/>
          <w:kern w:val="0"/>
          <w:highlight w:val="none"/>
        </w:rPr>
        <w:t>7.重新开展采购。</w:t>
      </w:r>
      <w:r>
        <w:rPr>
          <w:rFonts w:hint="eastAsia" w:cs="宋体"/>
          <w:color w:val="auto"/>
          <w:highlight w:val="none"/>
        </w:rPr>
        <w:t>有政府采购法第七十一条、第七十二条规定的违法行为之一，影响或者可能影响中标结果的，依照下列规定处理：</w:t>
      </w:r>
    </w:p>
    <w:p w14:paraId="28CC80D7">
      <w:pPr>
        <w:pStyle w:val="24"/>
        <w:snapToGrid w:val="0"/>
        <w:spacing w:line="360" w:lineRule="auto"/>
        <w:rPr>
          <w:rFonts w:cs="宋体"/>
          <w:color w:val="auto"/>
          <w:highlight w:val="none"/>
        </w:rPr>
      </w:pPr>
      <w:r>
        <w:rPr>
          <w:rFonts w:hint="eastAsia" w:cs="宋体"/>
          <w:color w:val="auto"/>
          <w:highlight w:val="none"/>
        </w:rPr>
        <w:t>7.1未确定中标供应商的，终止本次政府采购活动，重新开展政府采购活动。</w:t>
      </w:r>
    </w:p>
    <w:p w14:paraId="7A26636E">
      <w:pPr>
        <w:pStyle w:val="24"/>
        <w:snapToGrid w:val="0"/>
        <w:spacing w:line="360" w:lineRule="auto"/>
        <w:rPr>
          <w:rFonts w:cs="宋体"/>
          <w:color w:val="auto"/>
          <w:highlight w:val="none"/>
        </w:rPr>
      </w:pPr>
      <w:r>
        <w:rPr>
          <w:rFonts w:hint="eastAsia" w:cs="宋体"/>
          <w:color w:val="auto"/>
          <w:highlight w:val="none"/>
        </w:rPr>
        <w:t>7.2已确定中标供应商但尚未签订政府采购合同的，中标结果无效，从合格的中标候选人中另行确定中标供应商；没有合格的中标候选人的，重新开展政府采购活动。</w:t>
      </w:r>
    </w:p>
    <w:p w14:paraId="6F50A934">
      <w:pPr>
        <w:pStyle w:val="24"/>
        <w:snapToGrid w:val="0"/>
        <w:spacing w:line="360" w:lineRule="auto"/>
        <w:rPr>
          <w:rFonts w:cs="宋体"/>
          <w:color w:val="auto"/>
          <w:highlight w:val="none"/>
        </w:rPr>
      </w:pPr>
      <w:r>
        <w:rPr>
          <w:rFonts w:hint="eastAsia" w:cs="宋体"/>
          <w:color w:val="auto"/>
          <w:highlight w:val="none"/>
        </w:rPr>
        <w:t>7.3政府采购合同已签订但尚未履行的，撤销合同，从合格的中标候选人中另行确定中标供应商；没有合格的中标候选人的，重新开展政府采购活动。</w:t>
      </w:r>
    </w:p>
    <w:p w14:paraId="267B89E2">
      <w:pPr>
        <w:pStyle w:val="24"/>
        <w:snapToGrid w:val="0"/>
        <w:spacing w:line="360" w:lineRule="auto"/>
        <w:rPr>
          <w:rFonts w:cs="宋体"/>
          <w:color w:val="auto"/>
          <w:highlight w:val="none"/>
        </w:rPr>
      </w:pPr>
      <w:r>
        <w:rPr>
          <w:rFonts w:hint="eastAsia" w:cs="宋体"/>
          <w:color w:val="auto"/>
          <w:highlight w:val="none"/>
        </w:rPr>
        <w:t>7.4政府采购合同已经履行，给采购人、供应商造成损失的，由责任人承担赔偿责任。</w:t>
      </w:r>
    </w:p>
    <w:p w14:paraId="72FB02D3">
      <w:pPr>
        <w:pStyle w:val="24"/>
        <w:snapToGrid w:val="0"/>
        <w:spacing w:line="360" w:lineRule="auto"/>
        <w:rPr>
          <w:rFonts w:cs="宋体"/>
          <w:color w:val="auto"/>
          <w:highlight w:val="none"/>
        </w:rPr>
      </w:pPr>
      <w:r>
        <w:rPr>
          <w:rFonts w:hint="eastAsia" w:cs="宋体"/>
          <w:color w:val="auto"/>
          <w:highlight w:val="none"/>
        </w:rPr>
        <w:t>7.5政府采购当事人有其他违反政府采购法或者政府采购法实施条例等法律法规规定的行为，经改正后仍然影响或者可能影响中标结果或者依法被认定为中标无效的，依照7.1-7.4规定处理。</w:t>
      </w:r>
    </w:p>
    <w:p w14:paraId="6535129A">
      <w:pPr>
        <w:pStyle w:val="24"/>
        <w:snapToGrid w:val="0"/>
        <w:spacing w:line="360" w:lineRule="auto"/>
        <w:ind w:firstLine="0" w:firstLineChars="0"/>
        <w:rPr>
          <w:rFonts w:cs="宋体"/>
          <w:color w:val="auto"/>
          <w:highlight w:val="none"/>
        </w:rPr>
      </w:pPr>
    </w:p>
    <w:bookmarkEnd w:id="33"/>
    <w:p w14:paraId="5CA21725">
      <w:pPr>
        <w:spacing w:line="360" w:lineRule="auto"/>
        <w:ind w:left="720" w:leftChars="343" w:firstLine="1084" w:firstLineChars="300"/>
        <w:outlineLvl w:val="0"/>
        <w:rPr>
          <w:rFonts w:ascii="宋体" w:hAnsi="宋体" w:cs="宋体"/>
          <w:b/>
          <w:color w:val="auto"/>
          <w:sz w:val="36"/>
          <w:szCs w:val="36"/>
          <w:highlight w:val="none"/>
        </w:rPr>
      </w:pPr>
      <w:bookmarkStart w:id="444" w:name="第五部分"/>
      <w:bookmarkStart w:id="445" w:name="_Toc86217003"/>
      <w:r>
        <w:rPr>
          <w:rFonts w:hint="eastAsia" w:ascii="宋体" w:hAnsi="宋体" w:cs="宋体"/>
          <w:b/>
          <w:color w:val="auto"/>
          <w:sz w:val="36"/>
          <w:szCs w:val="36"/>
          <w:highlight w:val="none"/>
        </w:rPr>
        <w:t>第五部分 拟签订的合同文本</w:t>
      </w:r>
    </w:p>
    <w:p w14:paraId="15EDDCCE">
      <w:pPr>
        <w:rPr>
          <w:rFonts w:ascii="宋体" w:hAnsi="宋体" w:cs="宋体"/>
          <w:color w:val="auto"/>
          <w:sz w:val="24"/>
          <w:highlight w:val="none"/>
          <w:u w:val="single"/>
        </w:rPr>
      </w:pPr>
      <w:r>
        <w:rPr>
          <w:rFonts w:hint="eastAsia" w:ascii="宋体" w:hAnsi="宋体" w:cs="宋体"/>
          <w:color w:val="auto"/>
          <w:sz w:val="24"/>
          <w:highlight w:val="none"/>
        </w:rPr>
        <w:t>合同编号：</w:t>
      </w:r>
      <w:r>
        <w:rPr>
          <w:rFonts w:hint="eastAsia" w:ascii="宋体" w:hAnsi="宋体" w:cs="宋体"/>
          <w:color w:val="auto"/>
          <w:sz w:val="24"/>
          <w:highlight w:val="none"/>
          <w:u w:val="single"/>
        </w:rPr>
        <w:t xml:space="preserve">           </w:t>
      </w:r>
    </w:p>
    <w:p w14:paraId="6DD9DBA2">
      <w:pPr>
        <w:spacing w:line="480" w:lineRule="auto"/>
        <w:jc w:val="center"/>
        <w:rPr>
          <w:rFonts w:ascii="宋体" w:hAnsi="宋体" w:cs="宋体"/>
          <w:b/>
          <w:color w:val="auto"/>
          <w:sz w:val="28"/>
          <w:szCs w:val="28"/>
          <w:highlight w:val="none"/>
        </w:rPr>
      </w:pPr>
    </w:p>
    <w:p w14:paraId="71286D7F">
      <w:pPr>
        <w:spacing w:line="480" w:lineRule="auto"/>
        <w:jc w:val="center"/>
        <w:rPr>
          <w:rFonts w:ascii="宋体" w:hAnsi="宋体" w:cs="宋体"/>
          <w:b/>
          <w:color w:val="auto"/>
          <w:sz w:val="24"/>
          <w:highlight w:val="none"/>
        </w:rPr>
      </w:pPr>
    </w:p>
    <w:p w14:paraId="185247B7">
      <w:pPr>
        <w:spacing w:line="480" w:lineRule="auto"/>
        <w:jc w:val="center"/>
        <w:rPr>
          <w:rFonts w:ascii="宋体" w:hAnsi="宋体" w:cs="宋体"/>
          <w:b/>
          <w:color w:val="auto"/>
          <w:sz w:val="24"/>
          <w:highlight w:val="none"/>
        </w:rPr>
      </w:pPr>
    </w:p>
    <w:p w14:paraId="14127D0F">
      <w:pPr>
        <w:spacing w:line="480" w:lineRule="auto"/>
        <w:jc w:val="center"/>
        <w:rPr>
          <w:rFonts w:ascii="宋体" w:hAnsi="宋体" w:cs="宋体"/>
          <w:b/>
          <w:color w:val="auto"/>
          <w:sz w:val="36"/>
          <w:szCs w:val="36"/>
          <w:highlight w:val="none"/>
        </w:rPr>
      </w:pPr>
      <w:r>
        <w:rPr>
          <w:rFonts w:hint="eastAsia" w:ascii="宋体" w:hAnsi="宋体" w:cs="宋体"/>
          <w:b/>
          <w:color w:val="auto"/>
          <w:sz w:val="36"/>
          <w:szCs w:val="36"/>
          <w:highlight w:val="none"/>
        </w:rPr>
        <w:t>政府采购合同参考范本</w:t>
      </w:r>
    </w:p>
    <w:p w14:paraId="2FD7EFF4">
      <w:pPr>
        <w:spacing w:line="480" w:lineRule="auto"/>
        <w:jc w:val="center"/>
        <w:rPr>
          <w:rFonts w:ascii="宋体" w:hAnsi="宋体" w:cs="宋体"/>
          <w:b/>
          <w:color w:val="auto"/>
          <w:sz w:val="36"/>
          <w:szCs w:val="36"/>
          <w:highlight w:val="none"/>
        </w:rPr>
      </w:pPr>
      <w:r>
        <w:rPr>
          <w:rFonts w:hint="eastAsia" w:ascii="宋体" w:hAnsi="宋体" w:cs="宋体"/>
          <w:b/>
          <w:color w:val="auto"/>
          <w:sz w:val="36"/>
          <w:szCs w:val="36"/>
          <w:highlight w:val="none"/>
        </w:rPr>
        <w:t>（货物类）</w:t>
      </w:r>
    </w:p>
    <w:p w14:paraId="1A160D02">
      <w:pPr>
        <w:pStyle w:val="26"/>
        <w:rPr>
          <w:rFonts w:ascii="宋体" w:hAnsi="宋体" w:cs="宋体"/>
          <w:color w:val="auto"/>
          <w:szCs w:val="24"/>
          <w:highlight w:val="none"/>
        </w:rPr>
      </w:pPr>
    </w:p>
    <w:p w14:paraId="33E31442">
      <w:pPr>
        <w:pStyle w:val="26"/>
        <w:rPr>
          <w:rFonts w:ascii="宋体" w:hAnsi="宋体" w:cs="宋体"/>
          <w:color w:val="auto"/>
          <w:szCs w:val="24"/>
          <w:highlight w:val="none"/>
        </w:rPr>
      </w:pPr>
    </w:p>
    <w:p w14:paraId="42C47258">
      <w:pPr>
        <w:pStyle w:val="26"/>
        <w:jc w:val="center"/>
        <w:rPr>
          <w:rFonts w:ascii="宋体" w:hAnsi="宋体" w:cs="宋体"/>
          <w:color w:val="auto"/>
          <w:szCs w:val="24"/>
          <w:highlight w:val="none"/>
        </w:rPr>
      </w:pPr>
    </w:p>
    <w:p w14:paraId="3E7BDDC9">
      <w:pPr>
        <w:pStyle w:val="26"/>
        <w:ind w:firstLine="2843" w:firstLineChars="1180"/>
        <w:rPr>
          <w:rFonts w:ascii="宋体" w:hAnsi="宋体" w:cs="宋体"/>
          <w:b/>
          <w:color w:val="auto"/>
          <w:szCs w:val="24"/>
          <w:highlight w:val="none"/>
        </w:rPr>
      </w:pPr>
      <w:r>
        <w:rPr>
          <w:rFonts w:hint="eastAsia" w:ascii="宋体" w:hAnsi="宋体" w:cs="宋体"/>
          <w:b/>
          <w:color w:val="auto"/>
          <w:szCs w:val="24"/>
          <w:highlight w:val="none"/>
        </w:rPr>
        <w:t>第一部分 合同书</w:t>
      </w:r>
    </w:p>
    <w:p w14:paraId="273CB29E">
      <w:pPr>
        <w:pStyle w:val="26"/>
        <w:rPr>
          <w:rFonts w:ascii="宋体" w:hAnsi="宋体" w:cs="宋体"/>
          <w:color w:val="auto"/>
          <w:szCs w:val="24"/>
          <w:highlight w:val="none"/>
        </w:rPr>
      </w:pPr>
    </w:p>
    <w:p w14:paraId="0138E9F7">
      <w:pPr>
        <w:pStyle w:val="26"/>
        <w:rPr>
          <w:rFonts w:ascii="宋体" w:hAnsi="宋体" w:cs="宋体"/>
          <w:color w:val="auto"/>
          <w:szCs w:val="24"/>
          <w:highlight w:val="none"/>
        </w:rPr>
      </w:pPr>
    </w:p>
    <w:p w14:paraId="0FDE537F">
      <w:pPr>
        <w:spacing w:before="120" w:line="22" w:lineRule="atLeast"/>
        <w:rPr>
          <w:rFonts w:ascii="宋体" w:hAnsi="宋体" w:cs="宋体"/>
          <w:color w:val="auto"/>
          <w:sz w:val="24"/>
          <w:highlight w:val="none"/>
        </w:rPr>
      </w:pPr>
    </w:p>
    <w:p w14:paraId="63FFF810">
      <w:pPr>
        <w:spacing w:before="120" w:line="22" w:lineRule="atLeast"/>
        <w:ind w:left="960"/>
        <w:rPr>
          <w:rFonts w:ascii="宋体" w:hAnsi="宋体" w:cs="宋体"/>
          <w:color w:val="auto"/>
          <w:sz w:val="24"/>
          <w:highlight w:val="none"/>
        </w:rPr>
      </w:pPr>
      <w:r>
        <w:rPr>
          <w:rFonts w:hint="eastAsia" w:ascii="宋体" w:hAnsi="宋体" w:cs="宋体"/>
          <w:color w:val="auto"/>
          <w:sz w:val="24"/>
          <w:highlight w:val="none"/>
        </w:rPr>
        <w:t>项目名称：</w:t>
      </w:r>
      <w:r>
        <w:rPr>
          <w:rFonts w:hint="eastAsia" w:ascii="宋体" w:hAnsi="宋体" w:cs="宋体"/>
          <w:color w:val="auto"/>
          <w:sz w:val="24"/>
          <w:highlight w:val="none"/>
          <w:u w:val="single"/>
        </w:rPr>
        <w:t xml:space="preserve">                                   </w:t>
      </w:r>
    </w:p>
    <w:p w14:paraId="20FF65DE">
      <w:pPr>
        <w:pStyle w:val="602"/>
        <w:spacing w:before="120" w:line="22" w:lineRule="atLeast"/>
        <w:rPr>
          <w:rFonts w:ascii="宋体" w:hAnsi="宋体" w:eastAsia="宋体" w:cs="宋体"/>
          <w:color w:val="auto"/>
          <w:szCs w:val="24"/>
          <w:highlight w:val="none"/>
        </w:rPr>
      </w:pPr>
    </w:p>
    <w:p w14:paraId="0478BC73">
      <w:pPr>
        <w:pStyle w:val="602"/>
        <w:spacing w:before="120" w:line="22" w:lineRule="atLeast"/>
        <w:rPr>
          <w:rFonts w:ascii="宋体" w:hAnsi="宋体" w:eastAsia="宋体" w:cs="宋体"/>
          <w:color w:val="auto"/>
          <w:szCs w:val="24"/>
          <w:highlight w:val="none"/>
        </w:rPr>
      </w:pPr>
    </w:p>
    <w:p w14:paraId="2F529BC6">
      <w:pPr>
        <w:rPr>
          <w:rFonts w:ascii="宋体" w:hAnsi="宋体" w:cs="宋体"/>
          <w:color w:val="auto"/>
          <w:sz w:val="24"/>
          <w:highlight w:val="none"/>
        </w:rPr>
      </w:pPr>
    </w:p>
    <w:p w14:paraId="7B98DCEA">
      <w:pPr>
        <w:spacing w:before="120" w:line="22" w:lineRule="atLeast"/>
        <w:ind w:left="960"/>
        <w:rPr>
          <w:rFonts w:ascii="宋体" w:hAnsi="宋体" w:cs="宋体"/>
          <w:color w:val="auto"/>
          <w:sz w:val="24"/>
          <w:highlight w:val="none"/>
          <w:u w:val="single"/>
        </w:rPr>
      </w:pPr>
      <w:r>
        <w:rPr>
          <w:rFonts w:hint="eastAsia" w:ascii="宋体" w:hAnsi="宋体" w:cs="宋体"/>
          <w:color w:val="auto"/>
          <w:sz w:val="24"/>
          <w:highlight w:val="none"/>
        </w:rPr>
        <w:t>甲方：</w:t>
      </w:r>
      <w:r>
        <w:rPr>
          <w:rFonts w:hint="eastAsia" w:ascii="宋体" w:hAnsi="宋体" w:cs="宋体"/>
          <w:color w:val="auto"/>
          <w:sz w:val="24"/>
          <w:highlight w:val="none"/>
          <w:u w:val="single"/>
        </w:rPr>
        <w:t xml:space="preserve">                                       </w:t>
      </w:r>
    </w:p>
    <w:p w14:paraId="078ACDD0">
      <w:pPr>
        <w:spacing w:before="120" w:line="22" w:lineRule="atLeast"/>
        <w:rPr>
          <w:rFonts w:ascii="宋体" w:hAnsi="宋体" w:cs="宋体"/>
          <w:color w:val="auto"/>
          <w:sz w:val="24"/>
          <w:highlight w:val="none"/>
        </w:rPr>
      </w:pPr>
    </w:p>
    <w:p w14:paraId="3076900E">
      <w:pPr>
        <w:spacing w:before="120" w:line="22" w:lineRule="atLeast"/>
        <w:ind w:left="960"/>
        <w:rPr>
          <w:rFonts w:ascii="宋体" w:hAnsi="宋体" w:cs="宋体"/>
          <w:color w:val="auto"/>
          <w:sz w:val="24"/>
          <w:highlight w:val="none"/>
          <w:u w:val="single"/>
        </w:rPr>
      </w:pPr>
      <w:r>
        <w:rPr>
          <w:rFonts w:hint="eastAsia" w:ascii="宋体" w:hAnsi="宋体" w:cs="宋体"/>
          <w:color w:val="auto"/>
          <w:sz w:val="24"/>
          <w:highlight w:val="none"/>
        </w:rPr>
        <w:t>乙方：</w:t>
      </w:r>
      <w:r>
        <w:rPr>
          <w:rFonts w:hint="eastAsia" w:ascii="宋体" w:hAnsi="宋体" w:cs="宋体"/>
          <w:color w:val="auto"/>
          <w:sz w:val="24"/>
          <w:highlight w:val="none"/>
          <w:u w:val="single"/>
        </w:rPr>
        <w:t xml:space="preserve">                                       </w:t>
      </w:r>
    </w:p>
    <w:p w14:paraId="2AD9B203">
      <w:pPr>
        <w:spacing w:before="120" w:line="22" w:lineRule="atLeast"/>
        <w:rPr>
          <w:rFonts w:ascii="宋体" w:hAnsi="宋体" w:cs="宋体"/>
          <w:color w:val="auto"/>
          <w:sz w:val="24"/>
          <w:highlight w:val="none"/>
        </w:rPr>
      </w:pPr>
    </w:p>
    <w:p w14:paraId="528CAAB1">
      <w:pPr>
        <w:spacing w:before="120" w:line="22" w:lineRule="atLeast"/>
        <w:ind w:firstLine="960" w:firstLineChars="400"/>
        <w:rPr>
          <w:rFonts w:ascii="宋体" w:hAnsi="宋体" w:cs="宋体"/>
          <w:color w:val="auto"/>
          <w:sz w:val="24"/>
          <w:highlight w:val="none"/>
          <w:u w:val="single"/>
        </w:rPr>
      </w:pPr>
      <w:r>
        <w:rPr>
          <w:rFonts w:hint="eastAsia" w:ascii="宋体" w:hAnsi="宋体" w:cs="宋体"/>
          <w:color w:val="auto"/>
          <w:sz w:val="24"/>
          <w:highlight w:val="none"/>
        </w:rPr>
        <w:t>签订地：</w:t>
      </w:r>
      <w:r>
        <w:rPr>
          <w:rFonts w:hint="eastAsia" w:ascii="宋体" w:hAnsi="宋体" w:cs="宋体"/>
          <w:color w:val="auto"/>
          <w:sz w:val="24"/>
          <w:highlight w:val="none"/>
          <w:u w:val="single"/>
        </w:rPr>
        <w:t xml:space="preserve">                                     </w:t>
      </w:r>
    </w:p>
    <w:p w14:paraId="48868D39">
      <w:pPr>
        <w:spacing w:before="120" w:line="22" w:lineRule="atLeast"/>
        <w:rPr>
          <w:rFonts w:ascii="宋体" w:hAnsi="宋体" w:cs="宋体"/>
          <w:color w:val="auto"/>
          <w:sz w:val="24"/>
          <w:highlight w:val="none"/>
        </w:rPr>
      </w:pPr>
    </w:p>
    <w:p w14:paraId="22D1CEB9">
      <w:pPr>
        <w:spacing w:before="120" w:line="22" w:lineRule="atLeast"/>
        <w:ind w:firstLine="960" w:firstLineChars="400"/>
        <w:rPr>
          <w:rFonts w:ascii="宋体" w:hAnsi="宋体" w:cs="宋体"/>
          <w:color w:val="auto"/>
          <w:sz w:val="24"/>
          <w:highlight w:val="none"/>
          <w:u w:val="single"/>
        </w:rPr>
      </w:pPr>
      <w:r>
        <w:rPr>
          <w:rFonts w:hint="eastAsia" w:ascii="宋体" w:hAnsi="宋体" w:cs="宋体"/>
          <w:color w:val="auto"/>
          <w:sz w:val="24"/>
          <w:highlight w:val="none"/>
        </w:rPr>
        <w:t>签订日期：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3EBB675C">
      <w:pPr>
        <w:widowControl/>
        <w:jc w:val="left"/>
        <w:rPr>
          <w:rFonts w:ascii="宋体" w:hAnsi="宋体" w:cs="宋体"/>
          <w:color w:val="auto"/>
          <w:kern w:val="0"/>
          <w:sz w:val="24"/>
          <w:highlight w:val="none"/>
        </w:rPr>
        <w:sectPr>
          <w:pgSz w:w="11907" w:h="16840"/>
          <w:pgMar w:top="1474" w:right="1814" w:bottom="1474" w:left="1814" w:header="851" w:footer="851" w:gutter="0"/>
          <w:pgBorders>
            <w:top w:val="none" w:sz="0" w:space="0"/>
            <w:left w:val="none" w:sz="0" w:space="0"/>
            <w:bottom w:val="none" w:sz="0" w:space="0"/>
            <w:right w:val="none" w:sz="0" w:space="0"/>
          </w:pgBorders>
          <w:cols w:space="720" w:num="1"/>
        </w:sectPr>
      </w:pPr>
    </w:p>
    <w:p w14:paraId="5D411E7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年</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月</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日</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（采购人）   </w:t>
      </w:r>
      <w:r>
        <w:rPr>
          <w:rFonts w:hint="eastAsia" w:ascii="宋体" w:hAnsi="宋体" w:cs="宋体"/>
          <w:color w:val="auto"/>
          <w:sz w:val="24"/>
          <w:highlight w:val="none"/>
        </w:rPr>
        <w:t>以</w:t>
      </w:r>
      <w:r>
        <w:rPr>
          <w:rFonts w:hint="eastAsia" w:ascii="宋体" w:hAnsi="宋体" w:cs="宋体"/>
          <w:color w:val="auto"/>
          <w:sz w:val="24"/>
          <w:highlight w:val="none"/>
          <w:u w:val="single"/>
        </w:rPr>
        <w:t xml:space="preserve">   （政府采购方式）  </w:t>
      </w:r>
      <w:r>
        <w:rPr>
          <w:rFonts w:hint="eastAsia" w:ascii="宋体" w:hAnsi="宋体" w:cs="宋体"/>
          <w:color w:val="auto"/>
          <w:sz w:val="24"/>
          <w:highlight w:val="none"/>
        </w:rPr>
        <w:t>对</w:t>
      </w:r>
      <w:r>
        <w:rPr>
          <w:rFonts w:hint="eastAsia" w:ascii="宋体" w:hAnsi="宋体" w:cs="宋体"/>
          <w:color w:val="auto"/>
          <w:sz w:val="24"/>
          <w:highlight w:val="none"/>
          <w:u w:val="single"/>
        </w:rPr>
        <w:t xml:space="preserve">   （项目名称、编号）   </w:t>
      </w:r>
      <w:r>
        <w:rPr>
          <w:rFonts w:hint="eastAsia" w:ascii="宋体" w:hAnsi="宋体" w:cs="宋体"/>
          <w:color w:val="auto"/>
          <w:sz w:val="24"/>
          <w:highlight w:val="none"/>
        </w:rPr>
        <w:t>项目进行了采购。经</w:t>
      </w:r>
      <w:r>
        <w:rPr>
          <w:rFonts w:hint="eastAsia" w:ascii="宋体" w:hAnsi="宋体" w:cs="宋体"/>
          <w:color w:val="auto"/>
          <w:sz w:val="24"/>
          <w:highlight w:val="none"/>
          <w:u w:val="single"/>
        </w:rPr>
        <w:t xml:space="preserve">   （相关评定主体名称）   </w:t>
      </w:r>
      <w:r>
        <w:rPr>
          <w:rFonts w:hint="eastAsia" w:ascii="宋体" w:hAnsi="宋体" w:cs="宋体"/>
          <w:color w:val="auto"/>
          <w:sz w:val="24"/>
          <w:highlight w:val="none"/>
        </w:rPr>
        <w:t>评定，</w:t>
      </w:r>
      <w:r>
        <w:rPr>
          <w:rFonts w:hint="eastAsia" w:ascii="宋体" w:hAnsi="宋体" w:cs="宋体"/>
          <w:color w:val="auto"/>
          <w:sz w:val="24"/>
          <w:highlight w:val="none"/>
          <w:u w:val="single"/>
        </w:rPr>
        <w:t xml:space="preserve">   （中标或者成交供应商名称）</w:t>
      </w:r>
      <w:r>
        <w:rPr>
          <w:rFonts w:hint="eastAsia" w:ascii="宋体" w:hAnsi="宋体" w:cs="宋体"/>
          <w:color w:val="auto"/>
          <w:sz w:val="24"/>
          <w:highlight w:val="none"/>
        </w:rPr>
        <w:t>为该项目中标或者成交供应商。现于中标或者成交通知书发出之日起10个工作日内，按照采购文件等确定的事项签订本合同。</w:t>
      </w:r>
    </w:p>
    <w:p w14:paraId="6CBE5C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根据《中华人民共和国民法典》《中华人民共和国政府采购法》等相关法律法规之规定，按照平等、自愿、公平、诚实信用和绿色的原则，经</w:t>
      </w:r>
      <w:r>
        <w:rPr>
          <w:rFonts w:hint="eastAsia" w:ascii="宋体" w:hAnsi="宋体" w:cs="宋体"/>
          <w:color w:val="auto"/>
          <w:sz w:val="24"/>
          <w:highlight w:val="none"/>
          <w:u w:val="single"/>
        </w:rPr>
        <w:t xml:space="preserve">   （采购人）   </w:t>
      </w:r>
      <w:r>
        <w:rPr>
          <w:rFonts w:hint="eastAsia" w:ascii="宋体" w:hAnsi="宋体" w:cs="宋体"/>
          <w:color w:val="auto"/>
          <w:sz w:val="24"/>
          <w:highlight w:val="none"/>
          <w:lang w:val="zh-CN"/>
        </w:rPr>
        <w:t>(以下简称：甲方)和</w:t>
      </w:r>
      <w:r>
        <w:rPr>
          <w:rFonts w:hint="eastAsia" w:ascii="宋体" w:hAnsi="宋体" w:cs="宋体"/>
          <w:color w:val="auto"/>
          <w:sz w:val="24"/>
          <w:highlight w:val="none"/>
          <w:u w:val="single"/>
        </w:rPr>
        <w:t xml:space="preserve">   （中标或者成交供应商名称）   </w:t>
      </w:r>
      <w:r>
        <w:rPr>
          <w:rFonts w:hint="eastAsia" w:ascii="宋体" w:hAnsi="宋体" w:cs="宋体"/>
          <w:color w:val="auto"/>
          <w:sz w:val="24"/>
          <w:highlight w:val="none"/>
          <w:lang w:val="zh-CN"/>
        </w:rPr>
        <w:t>(以下简称：乙方)协商一致，约定以下合同</w:t>
      </w:r>
      <w:r>
        <w:rPr>
          <w:rFonts w:hint="eastAsia" w:ascii="宋体" w:hAnsi="宋体" w:cs="宋体"/>
          <w:color w:val="auto"/>
          <w:sz w:val="24"/>
          <w:highlight w:val="none"/>
        </w:rPr>
        <w:t>条款，以兹共同遵守、全面履行。</w:t>
      </w:r>
    </w:p>
    <w:p w14:paraId="48B11F67">
      <w:pPr>
        <w:spacing w:line="560" w:lineRule="exact"/>
        <w:ind w:firstLine="482" w:firstLineChars="200"/>
        <w:outlineLvl w:val="0"/>
        <w:rPr>
          <w:rFonts w:ascii="宋体" w:hAnsi="宋体" w:cs="宋体"/>
          <w:b/>
          <w:color w:val="auto"/>
          <w:sz w:val="24"/>
          <w:highlight w:val="none"/>
        </w:rPr>
      </w:pPr>
      <w:bookmarkStart w:id="446" w:name="_Toc3029"/>
      <w:bookmarkStart w:id="447" w:name="_Toc2232"/>
      <w:bookmarkStart w:id="448" w:name="_Toc24059"/>
      <w:r>
        <w:rPr>
          <w:rFonts w:hint="eastAsia" w:ascii="宋体" w:hAnsi="宋体" w:cs="宋体"/>
          <w:b/>
          <w:color w:val="auto"/>
          <w:sz w:val="24"/>
          <w:highlight w:val="none"/>
        </w:rPr>
        <w:t>1.1 合同组成部分</w:t>
      </w:r>
      <w:bookmarkEnd w:id="446"/>
      <w:bookmarkEnd w:id="447"/>
      <w:bookmarkEnd w:id="448"/>
    </w:p>
    <w:p w14:paraId="2CA2A22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474213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 本合同及其补充合同、变更协议；</w:t>
      </w:r>
    </w:p>
    <w:p w14:paraId="305066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1.1.2 中标或者成交通知书；</w:t>
      </w:r>
    </w:p>
    <w:p w14:paraId="457B559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1.1.3 投标或者响应文件（含澄清或者说明文件）；</w:t>
      </w:r>
    </w:p>
    <w:p w14:paraId="5BD994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1.1.4 采购文件（含澄清或者修改文件）；</w:t>
      </w:r>
    </w:p>
    <w:p w14:paraId="5E1AFE4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1.1.5 其他相关采购文件。</w:t>
      </w:r>
    </w:p>
    <w:p w14:paraId="128379A5">
      <w:pPr>
        <w:spacing w:line="560" w:lineRule="exact"/>
        <w:ind w:firstLine="482" w:firstLineChars="200"/>
        <w:outlineLvl w:val="0"/>
        <w:rPr>
          <w:rFonts w:ascii="宋体" w:hAnsi="宋体" w:cs="宋体"/>
          <w:b/>
          <w:color w:val="auto"/>
          <w:sz w:val="24"/>
          <w:highlight w:val="none"/>
        </w:rPr>
      </w:pPr>
      <w:bookmarkStart w:id="449" w:name="_Toc21295"/>
      <w:bookmarkStart w:id="450" w:name="_Toc24300"/>
      <w:bookmarkStart w:id="451" w:name="_Toc27126"/>
      <w:r>
        <w:rPr>
          <w:rFonts w:hint="eastAsia" w:ascii="宋体" w:hAnsi="宋体" w:cs="宋体"/>
          <w:b/>
          <w:color w:val="auto"/>
          <w:sz w:val="24"/>
          <w:highlight w:val="none"/>
        </w:rPr>
        <w:t>1.2 货物</w:t>
      </w:r>
      <w:bookmarkEnd w:id="449"/>
      <w:bookmarkEnd w:id="450"/>
      <w:bookmarkEnd w:id="451"/>
    </w:p>
    <w:p w14:paraId="43CA37CA">
      <w:pPr>
        <w:spacing w:line="560"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1.2.1 货物名称、品牌、规格型号、花色：</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34BB1E0">
      <w:pPr>
        <w:spacing w:line="560"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1.2.2 货物数量：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45D5D32">
      <w:pPr>
        <w:spacing w:line="560"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1.2.3 货物质量：</w:t>
      </w:r>
      <w:r>
        <w:rPr>
          <w:rFonts w:hint="eastAsia" w:ascii="宋体" w:hAnsi="宋体" w:cs="宋体"/>
          <w:color w:val="auto"/>
          <w:sz w:val="24"/>
          <w:highlight w:val="none"/>
          <w:u w:val="single"/>
        </w:rPr>
        <w:t>　　　　　　　　　                      　      ；</w:t>
      </w:r>
    </w:p>
    <w:p w14:paraId="64013CD1">
      <w:pPr>
        <w:spacing w:line="560" w:lineRule="exact"/>
        <w:ind w:firstLine="482" w:firstLineChars="200"/>
        <w:outlineLvl w:val="0"/>
        <w:rPr>
          <w:rFonts w:ascii="宋体" w:hAnsi="宋体" w:cs="宋体"/>
          <w:b/>
          <w:color w:val="auto"/>
          <w:sz w:val="24"/>
          <w:highlight w:val="none"/>
        </w:rPr>
      </w:pPr>
      <w:bookmarkStart w:id="452" w:name="_Toc23292"/>
      <w:bookmarkStart w:id="453" w:name="_Toc21631"/>
      <w:bookmarkStart w:id="454" w:name="_Toc21551"/>
      <w:r>
        <w:rPr>
          <w:rFonts w:hint="eastAsia" w:ascii="宋体" w:hAnsi="宋体" w:cs="宋体"/>
          <w:b/>
          <w:color w:val="auto"/>
          <w:sz w:val="24"/>
          <w:highlight w:val="none"/>
        </w:rPr>
        <w:t>1.3 价款</w:t>
      </w:r>
      <w:bookmarkEnd w:id="452"/>
      <w:bookmarkEnd w:id="453"/>
      <w:bookmarkEnd w:id="454"/>
    </w:p>
    <w:p w14:paraId="3F888A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本合同总价（含税）为：￥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元人民币）。</w:t>
      </w:r>
    </w:p>
    <w:p w14:paraId="259B01E6">
      <w:pPr>
        <w:spacing w:line="560"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分项价格：</w:t>
      </w:r>
    </w:p>
    <w:tbl>
      <w:tblPr>
        <w:tblStyle w:val="6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248F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7B0662D9">
            <w:pPr>
              <w:pStyle w:val="323"/>
              <w:spacing w:line="560" w:lineRule="exact"/>
              <w:jc w:val="center"/>
              <w:rPr>
                <w:rFonts w:hAnsi="宋体" w:cs="宋体"/>
                <w:color w:val="auto"/>
                <w:sz w:val="24"/>
                <w:szCs w:val="24"/>
                <w:highlight w:val="none"/>
              </w:rPr>
            </w:pPr>
            <w:r>
              <w:rPr>
                <w:rFonts w:hint="eastAsia" w:hAnsi="宋体" w:cs="宋体"/>
                <w:color w:val="auto"/>
                <w:sz w:val="24"/>
                <w:szCs w:val="24"/>
                <w:highlight w:val="none"/>
              </w:rPr>
              <w:t>序号</w:t>
            </w:r>
          </w:p>
        </w:tc>
        <w:tc>
          <w:tcPr>
            <w:tcW w:w="3402" w:type="dxa"/>
            <w:tcBorders>
              <w:top w:val="single" w:color="auto" w:sz="4" w:space="0"/>
              <w:left w:val="single" w:color="auto" w:sz="4" w:space="0"/>
              <w:bottom w:val="single" w:color="auto" w:sz="4" w:space="0"/>
              <w:right w:val="single" w:color="auto" w:sz="4" w:space="0"/>
            </w:tcBorders>
            <w:vAlign w:val="center"/>
          </w:tcPr>
          <w:p w14:paraId="0925842C">
            <w:pPr>
              <w:pStyle w:val="323"/>
              <w:spacing w:line="560" w:lineRule="exact"/>
              <w:ind w:firstLine="200"/>
              <w:jc w:val="center"/>
              <w:rPr>
                <w:rFonts w:hAnsi="宋体" w:cs="宋体"/>
                <w:color w:val="auto"/>
                <w:sz w:val="24"/>
                <w:szCs w:val="24"/>
                <w:highlight w:val="none"/>
              </w:rPr>
            </w:pPr>
            <w:r>
              <w:rPr>
                <w:rFonts w:hint="eastAsia" w:hAnsi="宋体" w:cs="宋体"/>
                <w:color w:val="auto"/>
                <w:sz w:val="24"/>
                <w:szCs w:val="24"/>
                <w:highlight w:val="none"/>
              </w:rPr>
              <w:t>分项名称</w:t>
            </w:r>
          </w:p>
        </w:tc>
        <w:tc>
          <w:tcPr>
            <w:tcW w:w="2552" w:type="dxa"/>
            <w:tcBorders>
              <w:top w:val="single" w:color="auto" w:sz="4" w:space="0"/>
              <w:left w:val="single" w:color="auto" w:sz="4" w:space="0"/>
              <w:bottom w:val="single" w:color="auto" w:sz="4" w:space="0"/>
              <w:right w:val="single" w:color="auto" w:sz="4" w:space="0"/>
            </w:tcBorders>
            <w:vAlign w:val="center"/>
          </w:tcPr>
          <w:p w14:paraId="3A6EA645">
            <w:pPr>
              <w:pStyle w:val="323"/>
              <w:spacing w:line="560" w:lineRule="exact"/>
              <w:jc w:val="center"/>
              <w:rPr>
                <w:rFonts w:hAnsi="宋体" w:cs="宋体"/>
                <w:color w:val="auto"/>
                <w:sz w:val="24"/>
                <w:szCs w:val="24"/>
                <w:highlight w:val="none"/>
              </w:rPr>
            </w:pPr>
            <w:r>
              <w:rPr>
                <w:rFonts w:hint="eastAsia" w:hAnsi="宋体" w:cs="宋体"/>
                <w:color w:val="auto"/>
                <w:sz w:val="24"/>
                <w:szCs w:val="24"/>
                <w:highlight w:val="none"/>
              </w:rPr>
              <w:t>分项价格</w:t>
            </w:r>
          </w:p>
        </w:tc>
      </w:tr>
      <w:tr w14:paraId="16D4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0A93ADDA">
            <w:pPr>
              <w:pStyle w:val="323"/>
              <w:spacing w:line="560" w:lineRule="exact"/>
              <w:ind w:firstLine="200"/>
              <w:jc w:val="center"/>
              <w:rPr>
                <w:rFonts w:hAnsi="宋体" w:cs="宋体"/>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vAlign w:val="center"/>
          </w:tcPr>
          <w:p w14:paraId="678F4A17">
            <w:pPr>
              <w:pStyle w:val="323"/>
              <w:spacing w:line="560" w:lineRule="exact"/>
              <w:ind w:firstLine="200"/>
              <w:jc w:val="center"/>
              <w:rPr>
                <w:rFonts w:hAnsi="宋体" w:cs="宋体"/>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099ACE63">
            <w:pPr>
              <w:pStyle w:val="323"/>
              <w:spacing w:line="560" w:lineRule="exact"/>
              <w:ind w:firstLine="200"/>
              <w:jc w:val="center"/>
              <w:rPr>
                <w:rFonts w:hAnsi="宋体" w:cs="宋体"/>
                <w:color w:val="auto"/>
                <w:sz w:val="24"/>
                <w:szCs w:val="24"/>
                <w:highlight w:val="none"/>
              </w:rPr>
            </w:pPr>
          </w:p>
        </w:tc>
      </w:tr>
      <w:tr w14:paraId="2B0A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35AD5CDA">
            <w:pPr>
              <w:pStyle w:val="323"/>
              <w:spacing w:line="560" w:lineRule="exact"/>
              <w:ind w:firstLine="200"/>
              <w:jc w:val="center"/>
              <w:rPr>
                <w:rFonts w:hAnsi="宋体" w:cs="宋体"/>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vAlign w:val="center"/>
          </w:tcPr>
          <w:p w14:paraId="0FF6E4EA">
            <w:pPr>
              <w:pStyle w:val="323"/>
              <w:spacing w:line="560" w:lineRule="exact"/>
              <w:ind w:firstLine="200"/>
              <w:jc w:val="center"/>
              <w:rPr>
                <w:rFonts w:hAnsi="宋体" w:cs="宋体"/>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68FB32D1">
            <w:pPr>
              <w:pStyle w:val="323"/>
              <w:spacing w:line="560" w:lineRule="exact"/>
              <w:ind w:firstLine="200"/>
              <w:jc w:val="center"/>
              <w:rPr>
                <w:rFonts w:hAnsi="宋体" w:cs="宋体"/>
                <w:color w:val="auto"/>
                <w:sz w:val="24"/>
                <w:szCs w:val="24"/>
                <w:highlight w:val="none"/>
              </w:rPr>
            </w:pPr>
          </w:p>
        </w:tc>
      </w:tr>
      <w:tr w14:paraId="3F92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629C3405">
            <w:pPr>
              <w:pStyle w:val="323"/>
              <w:spacing w:line="560" w:lineRule="exact"/>
              <w:ind w:firstLine="200"/>
              <w:jc w:val="center"/>
              <w:rPr>
                <w:rFonts w:hAnsi="宋体" w:cs="宋体"/>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vAlign w:val="center"/>
          </w:tcPr>
          <w:p w14:paraId="0A9A8C5D">
            <w:pPr>
              <w:pStyle w:val="323"/>
              <w:spacing w:line="560" w:lineRule="exact"/>
              <w:ind w:firstLine="200"/>
              <w:jc w:val="center"/>
              <w:rPr>
                <w:rFonts w:hAnsi="宋体" w:cs="宋体"/>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322575B6">
            <w:pPr>
              <w:pStyle w:val="323"/>
              <w:spacing w:line="560" w:lineRule="exact"/>
              <w:ind w:firstLine="200"/>
              <w:jc w:val="center"/>
              <w:rPr>
                <w:rFonts w:hAnsi="宋体" w:cs="宋体"/>
                <w:color w:val="auto"/>
                <w:sz w:val="24"/>
                <w:szCs w:val="24"/>
                <w:highlight w:val="none"/>
              </w:rPr>
            </w:pPr>
          </w:p>
        </w:tc>
      </w:tr>
      <w:tr w14:paraId="0AC84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58BC43F6">
            <w:pPr>
              <w:pStyle w:val="323"/>
              <w:spacing w:line="560" w:lineRule="exact"/>
              <w:ind w:firstLine="200"/>
              <w:jc w:val="center"/>
              <w:rPr>
                <w:rFonts w:hAnsi="宋体" w:cs="宋体"/>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vAlign w:val="center"/>
          </w:tcPr>
          <w:p w14:paraId="211446CF">
            <w:pPr>
              <w:pStyle w:val="323"/>
              <w:spacing w:line="560" w:lineRule="exact"/>
              <w:ind w:firstLine="200"/>
              <w:jc w:val="center"/>
              <w:rPr>
                <w:rFonts w:hAnsi="宋体" w:cs="宋体"/>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52E2FB9F">
            <w:pPr>
              <w:pStyle w:val="323"/>
              <w:spacing w:line="560" w:lineRule="exact"/>
              <w:ind w:firstLine="200"/>
              <w:jc w:val="center"/>
              <w:rPr>
                <w:rFonts w:hAnsi="宋体" w:cs="宋体"/>
                <w:color w:val="auto"/>
                <w:sz w:val="24"/>
                <w:szCs w:val="24"/>
                <w:highlight w:val="none"/>
              </w:rPr>
            </w:pPr>
          </w:p>
        </w:tc>
      </w:tr>
      <w:tr w14:paraId="0B57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tcBorders>
              <w:top w:val="single" w:color="auto" w:sz="4" w:space="0"/>
              <w:left w:val="single" w:color="auto" w:sz="4" w:space="0"/>
              <w:bottom w:val="single" w:color="auto" w:sz="4" w:space="0"/>
              <w:right w:val="single" w:color="auto" w:sz="4" w:space="0"/>
            </w:tcBorders>
            <w:vAlign w:val="center"/>
          </w:tcPr>
          <w:p w14:paraId="0B0CBD4B">
            <w:pPr>
              <w:pStyle w:val="323"/>
              <w:spacing w:line="560" w:lineRule="exact"/>
              <w:ind w:firstLine="200"/>
              <w:jc w:val="center"/>
              <w:rPr>
                <w:rFonts w:hAnsi="宋体" w:cs="宋体"/>
                <w:color w:val="auto"/>
                <w:sz w:val="24"/>
                <w:szCs w:val="24"/>
                <w:highlight w:val="none"/>
              </w:rPr>
            </w:pPr>
            <w:r>
              <w:rPr>
                <w:rFonts w:hint="eastAsia" w:hAnsi="宋体" w:cs="宋体"/>
                <w:color w:val="auto"/>
                <w:sz w:val="24"/>
                <w:szCs w:val="24"/>
                <w:highlight w:val="none"/>
              </w:rPr>
              <w:t>总价</w:t>
            </w:r>
          </w:p>
        </w:tc>
        <w:tc>
          <w:tcPr>
            <w:tcW w:w="2552" w:type="dxa"/>
            <w:tcBorders>
              <w:top w:val="single" w:color="auto" w:sz="4" w:space="0"/>
              <w:left w:val="single" w:color="auto" w:sz="4" w:space="0"/>
              <w:bottom w:val="single" w:color="auto" w:sz="4" w:space="0"/>
              <w:right w:val="single" w:color="auto" w:sz="4" w:space="0"/>
            </w:tcBorders>
            <w:vAlign w:val="center"/>
          </w:tcPr>
          <w:p w14:paraId="1436F9F1">
            <w:pPr>
              <w:pStyle w:val="323"/>
              <w:spacing w:line="560" w:lineRule="exact"/>
              <w:ind w:firstLine="200"/>
              <w:jc w:val="center"/>
              <w:rPr>
                <w:rFonts w:hAnsi="宋体" w:cs="宋体"/>
                <w:color w:val="auto"/>
                <w:sz w:val="24"/>
                <w:szCs w:val="24"/>
                <w:highlight w:val="none"/>
              </w:rPr>
            </w:pPr>
          </w:p>
        </w:tc>
      </w:tr>
    </w:tbl>
    <w:p w14:paraId="04384781">
      <w:pPr>
        <w:pStyle w:val="961"/>
        <w:spacing w:before="0" w:beforeAutospacing="0" w:after="0" w:afterAutospacing="0" w:line="360" w:lineRule="auto"/>
        <w:ind w:firstLine="480"/>
        <w:rPr>
          <w:b/>
          <w:color w:val="auto"/>
          <w:highlight w:val="none"/>
        </w:rPr>
      </w:pPr>
      <w:bookmarkStart w:id="455" w:name="_Toc10340"/>
      <w:bookmarkStart w:id="456" w:name="_Toc1814"/>
      <w:bookmarkStart w:id="457" w:name="_Toc22618"/>
      <w:r>
        <w:rPr>
          <w:rFonts w:hint="eastAsia"/>
          <w:b/>
          <w:color w:val="auto"/>
          <w:highlight w:val="none"/>
        </w:rPr>
        <w:t>1.4履约保证金</w:t>
      </w:r>
    </w:p>
    <w:p w14:paraId="4BC6D151">
      <w:pPr>
        <w:pStyle w:val="961"/>
        <w:spacing w:before="0" w:beforeAutospacing="0" w:after="0" w:afterAutospacing="0" w:line="360" w:lineRule="auto"/>
        <w:ind w:firstLine="480"/>
        <w:rPr>
          <w:color w:val="auto"/>
          <w:highlight w:val="none"/>
        </w:rPr>
      </w:pPr>
      <w:r>
        <w:rPr>
          <w:rFonts w:hint="eastAsia"/>
          <w:color w:val="auto"/>
          <w:highlight w:val="none"/>
        </w:rPr>
        <w:t>乙方</w:t>
      </w:r>
      <w:r>
        <w:rPr>
          <w:rFonts w:hint="eastAsia"/>
          <w:color w:val="auto"/>
          <w:highlight w:val="none"/>
          <w:u w:val="single"/>
        </w:rPr>
        <w:t xml:space="preserve"> 是 </w:t>
      </w:r>
      <w:r>
        <w:rPr>
          <w:rFonts w:hint="eastAsia"/>
          <w:color w:val="auto"/>
          <w:highlight w:val="none"/>
        </w:rPr>
        <w:t>（是</w:t>
      </w:r>
      <w:r>
        <w:rPr>
          <w:rFonts w:hint="eastAsia" w:ascii="仿宋" w:hAnsi="仿宋" w:eastAsia="仿宋" w:cs="仿宋"/>
          <w:color w:val="auto"/>
          <w:highlight w:val="none"/>
        </w:rPr>
        <w:t>/</w:t>
      </w:r>
      <w:r>
        <w:rPr>
          <w:rFonts w:hint="eastAsia"/>
          <w:color w:val="auto"/>
          <w:highlight w:val="none"/>
        </w:rPr>
        <w:t>否）需要支付履约保证金。若需要支付履约保证金的，则：</w:t>
      </w:r>
    </w:p>
    <w:p w14:paraId="3C9A1370">
      <w:pPr>
        <w:spacing w:line="560" w:lineRule="exact"/>
        <w:ind w:firstLine="480" w:firstLineChars="200"/>
        <w:outlineLvl w:val="0"/>
        <w:rPr>
          <w:rFonts w:ascii="宋体" w:hAnsi="宋体" w:cs="宋体"/>
          <w:color w:val="auto"/>
          <w:kern w:val="0"/>
          <w:sz w:val="24"/>
          <w:highlight w:val="none"/>
        </w:rPr>
      </w:pPr>
      <w:r>
        <w:rPr>
          <w:rFonts w:hint="eastAsia" w:ascii="宋体" w:hAnsi="宋体" w:cs="宋体"/>
          <w:color w:val="auto"/>
          <w:kern w:val="0"/>
          <w:sz w:val="24"/>
          <w:highlight w:val="none"/>
        </w:rPr>
        <w:t>1.4.1履约保证金的比例为合同金额的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1</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15668D13">
      <w:pPr>
        <w:spacing w:line="560" w:lineRule="exact"/>
        <w:ind w:firstLine="480" w:firstLineChars="200"/>
        <w:outlineLvl w:val="0"/>
        <w:rPr>
          <w:rFonts w:ascii="宋体" w:hAnsi="宋体" w:cs="宋体"/>
          <w:color w:val="auto"/>
          <w:kern w:val="0"/>
          <w:sz w:val="24"/>
          <w:highlight w:val="none"/>
        </w:rPr>
      </w:pPr>
      <w:r>
        <w:rPr>
          <w:rFonts w:hint="eastAsia" w:ascii="宋体" w:hAnsi="宋体" w:cs="宋体"/>
          <w:color w:val="auto"/>
          <w:kern w:val="0"/>
          <w:sz w:val="24"/>
          <w:highlight w:val="none"/>
        </w:rPr>
        <w:t>1.4.2履约保证金支付方式详见</w:t>
      </w:r>
      <w:r>
        <w:rPr>
          <w:rFonts w:hint="eastAsia" w:ascii="宋体" w:hAnsi="宋体" w:cs="宋体"/>
          <w:color w:val="auto"/>
          <w:kern w:val="0"/>
          <w:sz w:val="24"/>
          <w:highlight w:val="none"/>
          <w:u w:val="single"/>
        </w:rPr>
        <w:t xml:space="preserve">    </w:t>
      </w:r>
      <w:r>
        <w:rPr>
          <w:rFonts w:hint="eastAsia" w:ascii="宋体" w:hAnsi="宋体" w:cs="宋体"/>
          <w:b/>
          <w:i/>
          <w:color w:val="auto"/>
          <w:sz w:val="24"/>
          <w:highlight w:val="none"/>
          <w:u w:val="single"/>
        </w:rPr>
        <w:t>合同专用条款</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4438CEE3">
      <w:pPr>
        <w:pStyle w:val="3"/>
        <w:tabs>
          <w:tab w:val="left" w:pos="0"/>
          <w:tab w:val="clear" w:pos="432"/>
        </w:tabs>
        <w:spacing w:line="560" w:lineRule="exact"/>
        <w:ind w:left="0" w:firstLine="480" w:firstLineChars="200"/>
        <w:rPr>
          <w:rFonts w:eastAsia="宋体"/>
          <w:color w:val="auto"/>
          <w:highlight w:val="none"/>
          <w:lang w:val="en-US"/>
        </w:rPr>
      </w:pPr>
      <w:r>
        <w:rPr>
          <w:rFonts w:hint="eastAsia" w:ascii="宋体" w:hAnsi="宋体" w:eastAsia="宋体" w:cs="宋体"/>
          <w:b w:val="0"/>
          <w:bCs w:val="0"/>
          <w:color w:val="auto"/>
          <w:kern w:val="0"/>
          <w:sz w:val="24"/>
          <w:szCs w:val="24"/>
          <w:highlight w:val="none"/>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280BD85A">
      <w:pPr>
        <w:spacing w:line="560" w:lineRule="exact"/>
        <w:ind w:firstLine="480" w:firstLineChars="200"/>
        <w:outlineLvl w:val="0"/>
        <w:rPr>
          <w:color w:val="auto"/>
          <w:highlight w:val="none"/>
        </w:rPr>
      </w:pPr>
      <w:r>
        <w:rPr>
          <w:rFonts w:hint="eastAsia" w:ascii="宋体" w:hAnsi="宋体" w:cs="宋体"/>
          <w:color w:val="auto"/>
          <w:kern w:val="0"/>
          <w:sz w:val="24"/>
          <w:highlight w:val="none"/>
        </w:rPr>
        <w:t>1.4.4 甲方在项目验收结束后及时退还履约保证金。甲方在项目通过验收之日起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个工作日内将履约保证金无息退还乙方，逾期退还的，乙方可要求甲方支付违约金，违约金按每迟延退还一日的应退还而未退还金额的</w:t>
      </w:r>
      <w:r>
        <w:rPr>
          <w:rFonts w:hint="eastAsia" w:ascii="宋体" w:hAnsi="宋体" w:cs="宋体"/>
          <w:color w:val="auto"/>
          <w:kern w:val="0"/>
          <w:sz w:val="24"/>
          <w:highlight w:val="none"/>
          <w:u w:val="single"/>
        </w:rPr>
        <w:t xml:space="preserve">  0.05（可根据情况修改）</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%计算，最高限额为本合同履约保证金的</w:t>
      </w:r>
      <w:r>
        <w:rPr>
          <w:rFonts w:hint="eastAsia" w:ascii="宋体" w:hAnsi="宋体" w:cs="宋体"/>
          <w:color w:val="auto"/>
          <w:kern w:val="0"/>
          <w:sz w:val="24"/>
          <w:highlight w:val="none"/>
          <w:u w:val="single"/>
        </w:rPr>
        <w:t xml:space="preserve">  20  </w:t>
      </w:r>
      <w:r>
        <w:rPr>
          <w:rFonts w:hint="eastAsia" w:ascii="宋体" w:hAnsi="宋体" w:cs="宋体"/>
          <w:color w:val="auto"/>
          <w:kern w:val="0"/>
          <w:sz w:val="24"/>
          <w:highlight w:val="none"/>
        </w:rPr>
        <w:t xml:space="preserve"> %。</w:t>
      </w:r>
    </w:p>
    <w:p w14:paraId="75E991F8">
      <w:pPr>
        <w:spacing w:line="560" w:lineRule="exact"/>
        <w:ind w:firstLine="482" w:firstLineChars="200"/>
        <w:outlineLvl w:val="0"/>
        <w:rPr>
          <w:rFonts w:ascii="宋体" w:hAnsi="宋体" w:cs="宋体"/>
          <w:b/>
          <w:color w:val="auto"/>
          <w:sz w:val="24"/>
          <w:highlight w:val="none"/>
        </w:rPr>
      </w:pPr>
      <w:r>
        <w:rPr>
          <w:rFonts w:hint="eastAsia" w:ascii="宋体" w:hAnsi="宋体" w:cs="宋体"/>
          <w:b/>
          <w:color w:val="auto"/>
          <w:sz w:val="24"/>
          <w:highlight w:val="none"/>
        </w:rPr>
        <w:t>1.5</w:t>
      </w:r>
      <w:bookmarkEnd w:id="455"/>
      <w:bookmarkEnd w:id="456"/>
      <w:bookmarkEnd w:id="457"/>
      <w:r>
        <w:rPr>
          <w:rFonts w:hint="eastAsia" w:ascii="宋体" w:hAnsi="宋体" w:cs="宋体"/>
          <w:b/>
          <w:color w:val="auto"/>
          <w:sz w:val="24"/>
          <w:highlight w:val="none"/>
        </w:rPr>
        <w:t>预付款</w:t>
      </w:r>
    </w:p>
    <w:p w14:paraId="7BFCF12F">
      <w:pPr>
        <w:pStyle w:val="961"/>
        <w:spacing w:before="0" w:beforeAutospacing="0" w:after="0" w:afterAutospacing="0" w:line="360" w:lineRule="auto"/>
        <w:ind w:firstLine="480"/>
        <w:rPr>
          <w:color w:val="auto"/>
          <w:highlight w:val="none"/>
        </w:rPr>
      </w:pPr>
      <w:r>
        <w:rPr>
          <w:rFonts w:hint="eastAsia"/>
          <w:color w:val="auto"/>
          <w:highlight w:val="none"/>
        </w:rPr>
        <w:t>甲方</w:t>
      </w:r>
      <w:r>
        <w:rPr>
          <w:rFonts w:hint="eastAsia"/>
          <w:color w:val="auto"/>
          <w:highlight w:val="none"/>
          <w:u w:val="single"/>
        </w:rPr>
        <w:t xml:space="preserve">     </w:t>
      </w:r>
      <w:r>
        <w:rPr>
          <w:rFonts w:hint="eastAsia"/>
          <w:color w:val="auto"/>
          <w:highlight w:val="none"/>
        </w:rPr>
        <w:t>（是</w:t>
      </w:r>
      <w:r>
        <w:rPr>
          <w:rFonts w:hint="eastAsia" w:ascii="仿宋" w:hAnsi="仿宋" w:eastAsia="仿宋" w:cs="仿宋"/>
          <w:color w:val="auto"/>
          <w:highlight w:val="none"/>
        </w:rPr>
        <w:t>/</w:t>
      </w:r>
      <w:r>
        <w:rPr>
          <w:rFonts w:hint="eastAsia"/>
          <w:color w:val="auto"/>
          <w:highlight w:val="none"/>
        </w:rPr>
        <w:t>否）需要支付预付款。若需要支付预付款的，则：</w:t>
      </w:r>
    </w:p>
    <w:p w14:paraId="248BB55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1.5.1预付款比例、支付方式、时间详见</w:t>
      </w:r>
      <w:r>
        <w:rPr>
          <w:rFonts w:hint="eastAsia" w:ascii="宋体" w:hAnsi="宋体" w:cs="宋体"/>
          <w:color w:val="auto"/>
          <w:kern w:val="0"/>
          <w:sz w:val="24"/>
          <w:highlight w:val="none"/>
          <w:u w:val="single"/>
        </w:rPr>
        <w:t xml:space="preserve">    </w:t>
      </w:r>
      <w:r>
        <w:rPr>
          <w:rFonts w:hint="eastAsia" w:ascii="宋体" w:hAnsi="宋体" w:cs="宋体"/>
          <w:b/>
          <w:i/>
          <w:color w:val="auto"/>
          <w:sz w:val="24"/>
          <w:highlight w:val="none"/>
          <w:u w:val="single"/>
        </w:rPr>
        <w:t>合同专用条款</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4408CD20">
      <w:pPr>
        <w:pStyle w:val="961"/>
        <w:spacing w:before="0" w:beforeAutospacing="0" w:after="0" w:afterAutospacing="0" w:line="360" w:lineRule="auto"/>
        <w:ind w:firstLine="480"/>
        <w:rPr>
          <w:color w:val="auto"/>
          <w:highlight w:val="none"/>
        </w:rPr>
      </w:pPr>
      <w:r>
        <w:rPr>
          <w:rFonts w:hint="eastAsia"/>
          <w:color w:val="auto"/>
          <w:highlight w:val="none"/>
        </w:rPr>
        <w:t>1.5.2预付款的扣回方式详见</w:t>
      </w:r>
      <w:r>
        <w:rPr>
          <w:rFonts w:hint="eastAsia"/>
          <w:color w:val="auto"/>
          <w:highlight w:val="none"/>
          <w:u w:val="single"/>
        </w:rPr>
        <w:t xml:space="preserve">    </w:t>
      </w:r>
      <w:r>
        <w:rPr>
          <w:rFonts w:hint="eastAsia"/>
          <w:b/>
          <w:i/>
          <w:color w:val="auto"/>
          <w:highlight w:val="none"/>
          <w:u w:val="single"/>
        </w:rPr>
        <w:t>合同专用条款</w:t>
      </w:r>
      <w:r>
        <w:rPr>
          <w:rFonts w:hint="eastAsia"/>
          <w:color w:val="auto"/>
          <w:highlight w:val="none"/>
          <w:u w:val="single"/>
        </w:rPr>
        <w:t xml:space="preserve">           </w:t>
      </w:r>
      <w:r>
        <w:rPr>
          <w:rFonts w:hint="eastAsia"/>
          <w:color w:val="auto"/>
          <w:highlight w:val="none"/>
        </w:rPr>
        <w:t>；</w:t>
      </w:r>
    </w:p>
    <w:p w14:paraId="4B3B4AEF">
      <w:pPr>
        <w:pStyle w:val="961"/>
        <w:spacing w:before="0" w:beforeAutospacing="0" w:after="0" w:afterAutospacing="0" w:line="360" w:lineRule="auto"/>
        <w:ind w:firstLine="480"/>
        <w:rPr>
          <w:color w:val="auto"/>
          <w:highlight w:val="none"/>
          <w:u w:val="single"/>
        </w:rPr>
      </w:pPr>
      <w:r>
        <w:rPr>
          <w:rFonts w:hint="eastAsia"/>
          <w:color w:val="auto"/>
          <w:highlight w:val="none"/>
        </w:rPr>
        <w:t>1.5.3预付款的担保措施详见</w:t>
      </w:r>
      <w:r>
        <w:rPr>
          <w:rFonts w:hint="eastAsia"/>
          <w:color w:val="auto"/>
          <w:highlight w:val="none"/>
          <w:u w:val="single"/>
        </w:rPr>
        <w:t xml:space="preserve">    </w:t>
      </w:r>
      <w:r>
        <w:rPr>
          <w:rFonts w:hint="eastAsia"/>
          <w:b/>
          <w:i/>
          <w:color w:val="auto"/>
          <w:highlight w:val="none"/>
          <w:u w:val="single"/>
        </w:rPr>
        <w:t>合同专用条款</w:t>
      </w:r>
      <w:r>
        <w:rPr>
          <w:rFonts w:hint="eastAsia"/>
          <w:color w:val="auto"/>
          <w:highlight w:val="none"/>
          <w:u w:val="single"/>
        </w:rPr>
        <w:t xml:space="preserve">          </w:t>
      </w:r>
      <w:r>
        <w:rPr>
          <w:rFonts w:hint="eastAsia"/>
          <w:color w:val="auto"/>
          <w:highlight w:val="none"/>
        </w:rPr>
        <w:t>。</w:t>
      </w:r>
    </w:p>
    <w:p w14:paraId="3B548116">
      <w:pPr>
        <w:pStyle w:val="961"/>
        <w:spacing w:before="0" w:beforeAutospacing="0" w:after="0" w:afterAutospacing="0" w:line="360" w:lineRule="auto"/>
        <w:ind w:firstLine="480"/>
        <w:rPr>
          <w:b/>
          <w:bCs/>
          <w:color w:val="auto"/>
          <w:highlight w:val="none"/>
        </w:rPr>
      </w:pPr>
      <w:r>
        <w:rPr>
          <w:rFonts w:hint="eastAsia"/>
          <w:b/>
          <w:bCs/>
          <w:color w:val="auto"/>
          <w:highlight w:val="none"/>
        </w:rPr>
        <w:t>1.6资金支付</w:t>
      </w:r>
    </w:p>
    <w:p w14:paraId="094D46A7">
      <w:pPr>
        <w:pStyle w:val="961"/>
        <w:spacing w:before="0" w:beforeAutospacing="0" w:after="0" w:afterAutospacing="0" w:line="360" w:lineRule="auto"/>
        <w:ind w:firstLine="480"/>
        <w:rPr>
          <w:color w:val="auto"/>
          <w:highlight w:val="none"/>
        </w:rPr>
      </w:pPr>
      <w:r>
        <w:rPr>
          <w:rFonts w:hint="eastAsia"/>
          <w:color w:val="auto"/>
          <w:highlight w:val="none"/>
        </w:rPr>
        <w:t>1.6.1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1B634A7C">
      <w:pPr>
        <w:spacing w:line="560" w:lineRule="exact"/>
        <w:ind w:firstLine="480" w:firstLineChars="200"/>
        <w:outlineLvl w:val="0"/>
        <w:rPr>
          <w:rFonts w:ascii="宋体" w:hAnsi="宋体" w:cs="宋体"/>
          <w:color w:val="auto"/>
          <w:sz w:val="24"/>
          <w:highlight w:val="none"/>
        </w:rPr>
      </w:pPr>
      <w:r>
        <w:rPr>
          <w:rFonts w:hint="eastAsia" w:ascii="宋体" w:hAnsi="宋体" w:cs="宋体"/>
          <w:color w:val="auto"/>
          <w:sz w:val="24"/>
          <w:highlight w:val="none"/>
        </w:rPr>
        <w:t>1.6.2资金支付的方式、时间和条件详见</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w:t>
      </w:r>
    </w:p>
    <w:p w14:paraId="7E847EC7">
      <w:pPr>
        <w:spacing w:line="560" w:lineRule="exact"/>
        <w:ind w:firstLine="482" w:firstLineChars="200"/>
        <w:outlineLvl w:val="0"/>
        <w:rPr>
          <w:rFonts w:ascii="宋体" w:hAnsi="宋体" w:cs="宋体"/>
          <w:b/>
          <w:color w:val="auto"/>
          <w:sz w:val="24"/>
          <w:highlight w:val="none"/>
        </w:rPr>
      </w:pPr>
      <w:bookmarkStart w:id="458" w:name="_Toc19304"/>
      <w:bookmarkStart w:id="459" w:name="_Toc32071"/>
      <w:bookmarkStart w:id="460" w:name="_Toc2846"/>
      <w:r>
        <w:rPr>
          <w:rFonts w:hint="eastAsia" w:ascii="宋体" w:hAnsi="宋体" w:cs="宋体"/>
          <w:b/>
          <w:color w:val="auto"/>
          <w:sz w:val="24"/>
          <w:highlight w:val="none"/>
        </w:rPr>
        <w:t>1.7货物交付期限、地点和方式</w:t>
      </w:r>
      <w:bookmarkEnd w:id="458"/>
      <w:bookmarkEnd w:id="459"/>
      <w:bookmarkEnd w:id="460"/>
    </w:p>
    <w:p w14:paraId="1520A090">
      <w:pPr>
        <w:spacing w:line="560"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1.7.1 交付期限：详见</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w:t>
      </w:r>
    </w:p>
    <w:p w14:paraId="3ED77F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1.7.2 交付地点：</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w:t>
      </w:r>
    </w:p>
    <w:p w14:paraId="16BA0F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1.7.3 交付方式：</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w:t>
      </w:r>
    </w:p>
    <w:p w14:paraId="7B1275B7">
      <w:pPr>
        <w:spacing w:line="560" w:lineRule="exact"/>
        <w:ind w:firstLine="482" w:firstLineChars="200"/>
        <w:outlineLvl w:val="0"/>
        <w:rPr>
          <w:rFonts w:ascii="宋体" w:hAnsi="宋体" w:cs="宋体"/>
          <w:b/>
          <w:color w:val="auto"/>
          <w:sz w:val="24"/>
          <w:highlight w:val="none"/>
        </w:rPr>
      </w:pPr>
      <w:bookmarkStart w:id="461" w:name="_Toc19554"/>
      <w:bookmarkStart w:id="462" w:name="_Toc27250"/>
      <w:bookmarkStart w:id="463" w:name="_Toc21423"/>
      <w:r>
        <w:rPr>
          <w:rFonts w:hint="eastAsia" w:ascii="宋体" w:hAnsi="宋体" w:cs="宋体"/>
          <w:b/>
          <w:color w:val="auto"/>
          <w:sz w:val="24"/>
          <w:highlight w:val="none"/>
        </w:rPr>
        <w:t>1.8违约责任</w:t>
      </w:r>
      <w:bookmarkEnd w:id="461"/>
      <w:bookmarkEnd w:id="462"/>
      <w:bookmarkEnd w:id="463"/>
    </w:p>
    <w:p w14:paraId="3EF2E1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1.8.1 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color w:val="auto"/>
          <w:sz w:val="24"/>
          <w:highlight w:val="none"/>
          <w:u w:val="single"/>
        </w:rPr>
        <w:t xml:space="preserve">  0.05</w:t>
      </w:r>
      <w:r>
        <w:rPr>
          <w:rFonts w:hint="eastAsia" w:ascii="宋体" w:hAnsi="宋体" w:cs="宋体"/>
          <w:color w:val="auto"/>
          <w:kern w:val="0"/>
          <w:sz w:val="24"/>
          <w:highlight w:val="none"/>
          <w:u w:val="single"/>
        </w:rPr>
        <w:t>（可根据情况修改）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%计算，最高限额为本合同总价的</w:t>
      </w:r>
      <w:r>
        <w:rPr>
          <w:rFonts w:hint="eastAsia" w:ascii="宋体" w:hAnsi="宋体" w:cs="宋体"/>
          <w:color w:val="auto"/>
          <w:sz w:val="24"/>
          <w:highlight w:val="none"/>
          <w:u w:val="single"/>
        </w:rPr>
        <w:t xml:space="preserve"> 20   </w:t>
      </w:r>
      <w:r>
        <w:rPr>
          <w:rFonts w:hint="eastAsia" w:ascii="宋体" w:hAnsi="宋体" w:cs="宋体"/>
          <w:color w:val="auto"/>
          <w:sz w:val="24"/>
          <w:highlight w:val="none"/>
        </w:rPr>
        <w:t>%；迟延交付货物的违约金计算数额达到前述最高限额之日起，甲方有权在要求乙方支付违约金的同时，书面通知乙方解除本合同；</w:t>
      </w:r>
    </w:p>
    <w:p w14:paraId="090A35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1.8.2 除不可抗力外，如果甲方没有按照本合同约定的付款方式付款，那么乙方可要求甲方支付违约金，违约金按每迟延付款一日的应付而未付款的</w:t>
      </w:r>
      <w:r>
        <w:rPr>
          <w:rFonts w:hint="eastAsia" w:ascii="宋体" w:hAnsi="宋体" w:cs="宋体"/>
          <w:color w:val="auto"/>
          <w:sz w:val="24"/>
          <w:highlight w:val="none"/>
          <w:u w:val="single"/>
        </w:rPr>
        <w:t xml:space="preserve"> 0.05</w:t>
      </w:r>
      <w:r>
        <w:rPr>
          <w:rFonts w:hint="eastAsia" w:ascii="宋体" w:hAnsi="宋体" w:cs="宋体"/>
          <w:color w:val="auto"/>
          <w:kern w:val="0"/>
          <w:sz w:val="24"/>
          <w:highlight w:val="none"/>
          <w:u w:val="single"/>
        </w:rPr>
        <w:t>（可根据情况修改）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%计算，最高限额为本合同总价的</w:t>
      </w:r>
      <w:r>
        <w:rPr>
          <w:rFonts w:hint="eastAsia" w:ascii="宋体" w:hAnsi="宋体" w:cs="宋体"/>
          <w:color w:val="auto"/>
          <w:sz w:val="24"/>
          <w:highlight w:val="none"/>
          <w:u w:val="single"/>
        </w:rPr>
        <w:t xml:space="preserve">   20   </w:t>
      </w:r>
      <w:r>
        <w:rPr>
          <w:rFonts w:hint="eastAsia" w:ascii="宋体" w:hAnsi="宋体" w:cs="宋体"/>
          <w:color w:val="auto"/>
          <w:sz w:val="24"/>
          <w:highlight w:val="none"/>
        </w:rPr>
        <w:t>%；迟延付款的违约金计算数额达到前述最高限额之日起，乙方有权在要求甲方支付违约金的同时，书面通知甲方解除本合同；</w:t>
      </w:r>
    </w:p>
    <w:p w14:paraId="5BDFD28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1.8.3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43BC1F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1.8.4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021940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1.8.5如果出现政府采购监督管理部门在处理投诉事项期间，书面通知甲方暂停采购活动的情形，或者询问或质疑事项可能影响中标或者成交结果的，导致甲方中止履行合同的情形，均不视为甲方违约。</w:t>
      </w:r>
    </w:p>
    <w:p w14:paraId="5DAA20AE">
      <w:pPr>
        <w:spacing w:line="560" w:lineRule="exact"/>
        <w:ind w:left="-420" w:leftChars="-200" w:right="-420" w:rightChars="-200" w:firstLine="960" w:firstLineChars="400"/>
        <w:rPr>
          <w:rFonts w:ascii="宋体" w:hAnsi="宋体" w:cs="宋体"/>
          <w:color w:val="auto"/>
          <w:highlight w:val="none"/>
        </w:rPr>
      </w:pPr>
      <w:r>
        <w:rPr>
          <w:rFonts w:hint="eastAsia" w:ascii="宋体" w:hAnsi="宋体" w:cs="宋体"/>
          <w:color w:val="auto"/>
          <w:sz w:val="24"/>
          <w:highlight w:val="none"/>
        </w:rPr>
        <w:t>1.8.6违约责任</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另有约定的，从其约定。</w:t>
      </w:r>
    </w:p>
    <w:p w14:paraId="6F2E1B45">
      <w:pPr>
        <w:spacing w:line="560" w:lineRule="exact"/>
        <w:ind w:firstLine="482" w:firstLineChars="200"/>
        <w:outlineLvl w:val="0"/>
        <w:rPr>
          <w:rFonts w:ascii="宋体" w:hAnsi="宋体" w:cs="宋体"/>
          <w:b/>
          <w:color w:val="auto"/>
          <w:sz w:val="24"/>
          <w:highlight w:val="none"/>
        </w:rPr>
      </w:pPr>
      <w:bookmarkStart w:id="464" w:name="_Toc16021"/>
      <w:bookmarkStart w:id="465" w:name="_Toc15583"/>
      <w:bookmarkStart w:id="466" w:name="_Toc28375"/>
      <w:r>
        <w:rPr>
          <w:rFonts w:hint="eastAsia" w:ascii="宋体" w:hAnsi="宋体" w:cs="宋体"/>
          <w:b/>
          <w:color w:val="auto"/>
          <w:sz w:val="24"/>
          <w:highlight w:val="none"/>
        </w:rPr>
        <w:t>1.9合同争议的解决</w:t>
      </w:r>
      <w:bookmarkEnd w:id="464"/>
      <w:bookmarkEnd w:id="465"/>
      <w:bookmarkEnd w:id="466"/>
    </w:p>
    <w:p w14:paraId="0FE2E105">
      <w:pPr>
        <w:spacing w:line="560" w:lineRule="exact"/>
        <w:ind w:left="-61" w:leftChars="-29" w:right="-420" w:rightChars="-200" w:firstLine="240" w:firstLineChars="100"/>
        <w:rPr>
          <w:rFonts w:ascii="宋体" w:hAnsi="宋体" w:cs="宋体"/>
          <w:color w:val="auto"/>
          <w:sz w:val="24"/>
          <w:highlight w:val="none"/>
        </w:rPr>
      </w:pPr>
      <w:r>
        <w:rPr>
          <w:rFonts w:hint="eastAsia" w:ascii="宋体" w:hAnsi="宋体" w:cs="宋体"/>
          <w:color w:val="auto"/>
          <w:sz w:val="24"/>
          <w:highlight w:val="none"/>
        </w:rPr>
        <w:t xml:space="preserve">  本合同履行过程中发生的任何争议，双方当事人均可通过和解或者调解解决；不愿和解、调解或者和解、调解不成的，可以选择以下第</w:t>
      </w:r>
      <w:r>
        <w:rPr>
          <w:rFonts w:hint="eastAsia" w:ascii="宋体" w:hAnsi="宋体" w:cs="宋体"/>
          <w:b/>
          <w:i/>
          <w:color w:val="auto"/>
          <w:sz w:val="24"/>
          <w:highlight w:val="none"/>
          <w:u w:val="single"/>
        </w:rPr>
        <w:t xml:space="preserve">      </w:t>
      </w:r>
      <w:r>
        <w:rPr>
          <w:rFonts w:hint="eastAsia" w:ascii="宋体" w:hAnsi="宋体" w:cs="宋体"/>
          <w:color w:val="auto"/>
          <w:sz w:val="24"/>
          <w:highlight w:val="none"/>
        </w:rPr>
        <w:t>条款规定的方式解决：</w:t>
      </w:r>
    </w:p>
    <w:p w14:paraId="581C726B">
      <w:pPr>
        <w:spacing w:line="560" w:lineRule="exact"/>
        <w:ind w:left="-420" w:leftChars="-200" w:right="-420" w:rightChars="-200" w:firstLine="840" w:firstLineChars="350"/>
        <w:rPr>
          <w:rFonts w:ascii="宋体" w:hAnsi="宋体" w:cs="宋体"/>
          <w:color w:val="auto"/>
          <w:sz w:val="24"/>
          <w:highlight w:val="none"/>
        </w:rPr>
      </w:pPr>
      <w:r>
        <w:rPr>
          <w:rFonts w:hint="eastAsia" w:ascii="宋体" w:hAnsi="宋体" w:cs="宋体"/>
          <w:color w:val="auto"/>
          <w:sz w:val="24"/>
          <w:highlight w:val="none"/>
        </w:rPr>
        <w:t>1.9.1 将争议提交</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仲裁委员会依申请仲裁时其现行有效的仲裁规则裁决；</w:t>
      </w:r>
    </w:p>
    <w:p w14:paraId="0666293F">
      <w:pPr>
        <w:spacing w:line="560" w:lineRule="exact"/>
        <w:ind w:left="-420" w:leftChars="-200" w:right="-420" w:rightChars="-200" w:firstLine="840" w:firstLineChars="350"/>
        <w:rPr>
          <w:rFonts w:ascii="宋体" w:hAnsi="宋体" w:cs="宋体"/>
          <w:color w:val="auto"/>
          <w:sz w:val="24"/>
          <w:highlight w:val="none"/>
        </w:rPr>
      </w:pPr>
      <w:r>
        <w:rPr>
          <w:rFonts w:hint="eastAsia" w:ascii="宋体" w:hAnsi="宋体" w:cs="宋体"/>
          <w:color w:val="auto"/>
          <w:sz w:val="24"/>
          <w:highlight w:val="none"/>
        </w:rPr>
        <w:t>1.9.2 向</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人民法院起诉。</w:t>
      </w:r>
    </w:p>
    <w:p w14:paraId="3C635B9E">
      <w:pPr>
        <w:spacing w:line="560" w:lineRule="exact"/>
        <w:ind w:firstLine="482" w:firstLineChars="200"/>
        <w:outlineLvl w:val="0"/>
        <w:rPr>
          <w:rFonts w:ascii="宋体" w:hAnsi="宋体" w:cs="宋体"/>
          <w:b/>
          <w:color w:val="auto"/>
          <w:sz w:val="24"/>
          <w:highlight w:val="none"/>
        </w:rPr>
      </w:pPr>
      <w:bookmarkStart w:id="467" w:name="_Toc7245"/>
      <w:bookmarkStart w:id="468" w:name="_Toc11173"/>
      <w:bookmarkStart w:id="469" w:name="_Toc15322"/>
      <w:r>
        <w:rPr>
          <w:rFonts w:hint="eastAsia" w:ascii="宋体" w:hAnsi="宋体" w:cs="宋体"/>
          <w:b/>
          <w:color w:val="auto"/>
          <w:sz w:val="24"/>
          <w:highlight w:val="none"/>
        </w:rPr>
        <w:t>2.0 合同生效</w:t>
      </w:r>
      <w:bookmarkEnd w:id="467"/>
      <w:bookmarkEnd w:id="468"/>
      <w:bookmarkEnd w:id="469"/>
    </w:p>
    <w:p w14:paraId="331448F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本合同自双方当事人盖章签字时生效。</w:t>
      </w:r>
    </w:p>
    <w:p w14:paraId="6996EE7F">
      <w:pPr>
        <w:autoSpaceDE w:val="0"/>
        <w:autoSpaceDN w:val="0"/>
        <w:spacing w:line="560" w:lineRule="exact"/>
        <w:rPr>
          <w:rFonts w:ascii="宋体" w:hAnsi="宋体" w:cs="宋体"/>
          <w:color w:val="auto"/>
          <w:sz w:val="24"/>
          <w:highlight w:val="none"/>
          <w:lang w:val="zh-CN"/>
        </w:rPr>
      </w:pPr>
      <w:r>
        <w:rPr>
          <w:rFonts w:hint="eastAsia" w:ascii="宋体" w:hAnsi="宋体" w:cs="宋体"/>
          <w:b/>
          <w:color w:val="auto"/>
          <w:sz w:val="24"/>
          <w:highlight w:val="none"/>
          <w:lang w:val="zh-CN"/>
        </w:rPr>
        <w:t>甲方</w:t>
      </w:r>
      <w:r>
        <w:rPr>
          <w:rFonts w:hint="eastAsia" w:ascii="宋体" w:hAnsi="宋体" w:cs="宋体"/>
          <w:color w:val="auto"/>
          <w:sz w:val="24"/>
          <w:highlight w:val="none"/>
          <w:lang w:val="zh-CN"/>
        </w:rPr>
        <w:t xml:space="preserve">：                             </w:t>
      </w:r>
      <w:r>
        <w:rPr>
          <w:rFonts w:hint="eastAsia" w:ascii="宋体" w:hAnsi="宋体" w:cs="宋体"/>
          <w:b/>
          <w:color w:val="auto"/>
          <w:sz w:val="24"/>
          <w:highlight w:val="none"/>
          <w:lang w:val="zh-CN"/>
        </w:rPr>
        <w:t xml:space="preserve">      乙方</w:t>
      </w:r>
      <w:r>
        <w:rPr>
          <w:rFonts w:hint="eastAsia" w:ascii="宋体" w:hAnsi="宋体" w:cs="宋体"/>
          <w:color w:val="auto"/>
          <w:sz w:val="24"/>
          <w:highlight w:val="none"/>
          <w:lang w:val="zh-CN"/>
        </w:rPr>
        <w:t>：</w:t>
      </w:r>
    </w:p>
    <w:p w14:paraId="4E8CF78E">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统一社会信用代码：                        统一社会信用代码或身份证号码：</w:t>
      </w:r>
    </w:p>
    <w:p w14:paraId="458FC1CE">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住所：                                   住所：</w:t>
      </w:r>
    </w:p>
    <w:p w14:paraId="74F3DFA3">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法定代表人或                             法定代表人</w:t>
      </w:r>
    </w:p>
    <w:p w14:paraId="58FE68BB">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 xml:space="preserve">授权代表（签字）：                        或授权代表（签字）: </w:t>
      </w:r>
    </w:p>
    <w:p w14:paraId="436407D3">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联系人：                                 联系人：</w:t>
      </w:r>
    </w:p>
    <w:p w14:paraId="79D3A3E8">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约定送达地址：                           约定送达地址：</w:t>
      </w:r>
    </w:p>
    <w:p w14:paraId="38A974BE">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邮政编码：                               邮政编码：</w:t>
      </w:r>
    </w:p>
    <w:p w14:paraId="6EF3592F">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 xml:space="preserve">电话:                                    电话: </w:t>
      </w:r>
    </w:p>
    <w:p w14:paraId="0E7292FA">
      <w:pPr>
        <w:autoSpaceDE w:val="0"/>
        <w:autoSpaceDN w:val="0"/>
        <w:spacing w:line="560" w:lineRule="exact"/>
        <w:rPr>
          <w:rFonts w:ascii="宋体" w:hAnsi="宋体" w:cs="宋体"/>
          <w:color w:val="auto"/>
          <w:sz w:val="24"/>
          <w:highlight w:val="none"/>
          <w:lang w:val="zh-CN"/>
        </w:rPr>
      </w:pPr>
      <w:r>
        <w:rPr>
          <w:rFonts w:hint="eastAsia" w:ascii="宋体" w:hAnsi="宋体" w:cs="宋体"/>
          <w:color w:val="auto"/>
          <w:sz w:val="24"/>
          <w:highlight w:val="none"/>
          <w:lang w:val="zh-CN"/>
        </w:rPr>
        <w:t>传真:                                    传真:</w:t>
      </w:r>
    </w:p>
    <w:p w14:paraId="1C743D53">
      <w:pPr>
        <w:autoSpaceDE w:val="0"/>
        <w:autoSpaceDN w:val="0"/>
        <w:spacing w:line="560" w:lineRule="exact"/>
        <w:rPr>
          <w:rFonts w:ascii="宋体" w:hAnsi="宋体" w:cs="宋体"/>
          <w:color w:val="auto"/>
          <w:sz w:val="24"/>
          <w:highlight w:val="none"/>
        </w:rPr>
      </w:pPr>
      <w:r>
        <w:rPr>
          <w:rFonts w:hint="eastAsia" w:ascii="宋体" w:hAnsi="宋体" w:cs="宋体"/>
          <w:color w:val="auto"/>
          <w:sz w:val="24"/>
          <w:highlight w:val="none"/>
          <w:lang w:val="zh-CN"/>
        </w:rPr>
        <w:t>电子邮箱：                               电子邮箱：</w:t>
      </w:r>
    </w:p>
    <w:p w14:paraId="66AE55C9">
      <w:pPr>
        <w:autoSpaceDE w:val="0"/>
        <w:autoSpaceDN w:val="0"/>
        <w:spacing w:line="560" w:lineRule="exact"/>
        <w:rPr>
          <w:rFonts w:ascii="宋体" w:hAnsi="宋体" w:cs="宋体"/>
          <w:color w:val="auto"/>
          <w:sz w:val="24"/>
          <w:highlight w:val="none"/>
        </w:rPr>
      </w:pPr>
      <w:r>
        <w:rPr>
          <w:rFonts w:hint="eastAsia" w:ascii="宋体" w:hAnsi="宋体" w:cs="宋体"/>
          <w:color w:val="auto"/>
          <w:sz w:val="24"/>
          <w:highlight w:val="none"/>
        </w:rPr>
        <w:t xml:space="preserve">开户银行：                               开户银行： </w:t>
      </w:r>
    </w:p>
    <w:p w14:paraId="19133C3F">
      <w:pPr>
        <w:autoSpaceDE w:val="0"/>
        <w:autoSpaceDN w:val="0"/>
        <w:spacing w:line="560" w:lineRule="exact"/>
        <w:rPr>
          <w:rFonts w:ascii="宋体" w:hAnsi="宋体" w:cs="宋体"/>
          <w:color w:val="auto"/>
          <w:sz w:val="24"/>
          <w:highlight w:val="none"/>
        </w:rPr>
      </w:pPr>
      <w:r>
        <w:rPr>
          <w:rFonts w:hint="eastAsia" w:ascii="宋体" w:hAnsi="宋体" w:cs="宋体"/>
          <w:color w:val="auto"/>
          <w:sz w:val="24"/>
          <w:highlight w:val="none"/>
        </w:rPr>
        <w:t xml:space="preserve">开户名称：                               开户名称： </w:t>
      </w:r>
    </w:p>
    <w:p w14:paraId="1047656A">
      <w:pPr>
        <w:autoSpaceDE w:val="0"/>
        <w:autoSpaceDN w:val="0"/>
        <w:spacing w:line="560" w:lineRule="exact"/>
        <w:rPr>
          <w:rFonts w:ascii="宋体" w:hAnsi="宋体" w:cs="宋体"/>
          <w:color w:val="auto"/>
          <w:sz w:val="24"/>
          <w:highlight w:val="none"/>
        </w:rPr>
      </w:pPr>
      <w:r>
        <w:rPr>
          <w:rFonts w:hint="eastAsia" w:ascii="宋体" w:hAnsi="宋体" w:cs="宋体"/>
          <w:color w:val="auto"/>
          <w:sz w:val="24"/>
          <w:highlight w:val="none"/>
        </w:rPr>
        <w:t>开户账号：</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开户账号：</w:t>
      </w:r>
    </w:p>
    <w:p w14:paraId="60B44AAC">
      <w:pPr>
        <w:pStyle w:val="26"/>
        <w:spacing w:line="560" w:lineRule="exact"/>
        <w:ind w:firstLine="482"/>
        <w:jc w:val="center"/>
        <w:rPr>
          <w:rFonts w:ascii="宋体" w:hAnsi="宋体" w:cs="宋体"/>
          <w:b/>
          <w:color w:val="auto"/>
          <w:szCs w:val="24"/>
          <w:highlight w:val="none"/>
        </w:rPr>
      </w:pPr>
      <w:r>
        <w:rPr>
          <w:rFonts w:hint="eastAsia" w:ascii="宋体" w:hAnsi="宋体" w:cs="宋体"/>
          <w:b/>
          <w:color w:val="auto"/>
          <w:szCs w:val="24"/>
          <w:highlight w:val="none"/>
        </w:rPr>
        <w:t>第二部分 合同一般条款</w:t>
      </w:r>
    </w:p>
    <w:p w14:paraId="4194EDD6">
      <w:pPr>
        <w:spacing w:line="560" w:lineRule="exact"/>
        <w:ind w:firstLine="482" w:firstLineChars="200"/>
        <w:outlineLvl w:val="0"/>
        <w:rPr>
          <w:rFonts w:ascii="宋体" w:hAnsi="宋体" w:cs="宋体"/>
          <w:b/>
          <w:color w:val="auto"/>
          <w:sz w:val="24"/>
          <w:highlight w:val="none"/>
        </w:rPr>
      </w:pPr>
      <w:bookmarkStart w:id="470" w:name="_Toc487900349"/>
      <w:bookmarkStart w:id="471" w:name="_Ref467378404"/>
      <w:bookmarkStart w:id="472" w:name="_Toc279701240"/>
      <w:bookmarkStart w:id="473" w:name="_Ref467379195"/>
      <w:bookmarkStart w:id="474" w:name="_Ref467379101"/>
      <w:bookmarkStart w:id="475" w:name="_Ref467379205"/>
      <w:bookmarkStart w:id="476" w:name="_Ref467378463"/>
      <w:bookmarkStart w:id="477" w:name="_Ref467379094"/>
      <w:bookmarkStart w:id="478" w:name="_Ref467379225"/>
      <w:bookmarkStart w:id="479" w:name="_Toc16917"/>
      <w:bookmarkStart w:id="480" w:name="_Toc19614"/>
      <w:bookmarkStart w:id="481" w:name="_Ref467378499"/>
      <w:bookmarkStart w:id="482" w:name="_Toc259093669"/>
      <w:bookmarkStart w:id="483" w:name="_Ref467379109"/>
      <w:bookmarkStart w:id="484" w:name="_Toc28763"/>
      <w:bookmarkStart w:id="485" w:name="_Ref467379214"/>
      <w:r>
        <w:rPr>
          <w:rFonts w:hint="eastAsia" w:ascii="宋体" w:hAnsi="宋体" w:cs="宋体"/>
          <w:b/>
          <w:color w:val="auto"/>
          <w:sz w:val="24"/>
          <w:highlight w:val="none"/>
        </w:rPr>
        <w:t>2.1 定义</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C3D05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本合同中的下列词语应按以下内容进行解释：</w:t>
      </w:r>
    </w:p>
    <w:p w14:paraId="01ADB1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 “合同”系指采购人和中标或成交供应商签订的载明双方当事人所达成的协议，并包括所有的附件、附录和构成合同的其他文件。</w:t>
      </w:r>
    </w:p>
    <w:p w14:paraId="7D97E8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 “合同价”系指根据合同约定，中标或成交供应商在完全履行合同义务后，采购人应支付给中标或成交供应商的价格。</w:t>
      </w:r>
    </w:p>
    <w:p w14:paraId="1E54DD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 “货物”系指中标或成交供应商根据合同约定应向采购人交付的一切各种形态和种类的物品，包括原材料、燃料、设备、机械、仪表、备件、计算机软件、产品等，并包括工具、手册等其他相关资料。</w:t>
      </w:r>
    </w:p>
    <w:p w14:paraId="1D873E6A">
      <w:pPr>
        <w:spacing w:line="560" w:lineRule="exact"/>
        <w:ind w:firstLine="480" w:firstLineChars="200"/>
        <w:rPr>
          <w:rFonts w:ascii="宋体" w:hAnsi="宋体" w:cs="宋体"/>
          <w:color w:val="auto"/>
          <w:sz w:val="24"/>
          <w:highlight w:val="none"/>
        </w:rPr>
      </w:pPr>
      <w:bookmarkStart w:id="486" w:name="_Ref467378840"/>
      <w:r>
        <w:rPr>
          <w:rFonts w:hint="eastAsia" w:ascii="宋体" w:hAnsi="宋体" w:cs="宋体"/>
          <w:color w:val="auto"/>
          <w:sz w:val="24"/>
          <w:highlight w:val="none"/>
        </w:rPr>
        <w:t>2.1.4 “甲方”系指与中标或成交供应商签署合同的采购人</w:t>
      </w:r>
      <w:bookmarkEnd w:id="486"/>
      <w:r>
        <w:rPr>
          <w:rFonts w:hint="eastAsia" w:ascii="宋体" w:hAnsi="宋体" w:cs="宋体"/>
          <w:color w:val="auto"/>
          <w:sz w:val="24"/>
          <w:highlight w:val="none"/>
        </w:rPr>
        <w:t>；采购人委托采购代理机构代表其与乙方签订合同的，采购人的授权委托书作为合同附件。</w:t>
      </w:r>
    </w:p>
    <w:p w14:paraId="176D1129">
      <w:pPr>
        <w:spacing w:line="560" w:lineRule="exact"/>
        <w:ind w:firstLine="480" w:firstLineChars="200"/>
        <w:rPr>
          <w:rFonts w:ascii="宋体" w:hAnsi="宋体" w:cs="宋体"/>
          <w:color w:val="auto"/>
          <w:sz w:val="24"/>
          <w:highlight w:val="none"/>
        </w:rPr>
      </w:pPr>
      <w:bookmarkStart w:id="487" w:name="_Ref467379400"/>
      <w:r>
        <w:rPr>
          <w:rFonts w:hint="eastAsia" w:ascii="宋体" w:hAnsi="宋体" w:cs="宋体"/>
          <w:color w:val="auto"/>
          <w:sz w:val="24"/>
          <w:highlight w:val="none"/>
        </w:rPr>
        <w:t>2.1.5 “乙方”系指根据合同约定交付货物的中标或成交供应商</w:t>
      </w:r>
      <w:bookmarkEnd w:id="487"/>
      <w:r>
        <w:rPr>
          <w:rFonts w:hint="eastAsia" w:ascii="宋体" w:hAnsi="宋体" w:cs="宋体"/>
          <w:color w:val="auto"/>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0CA9D6AC">
      <w:pPr>
        <w:spacing w:line="560" w:lineRule="exact"/>
        <w:ind w:firstLine="480" w:firstLineChars="200"/>
        <w:rPr>
          <w:rFonts w:ascii="宋体" w:hAnsi="宋体" w:cs="宋体"/>
          <w:color w:val="auto"/>
          <w:sz w:val="24"/>
          <w:highlight w:val="none"/>
        </w:rPr>
      </w:pPr>
      <w:bookmarkStart w:id="488" w:name="_Ref467379436"/>
      <w:r>
        <w:rPr>
          <w:rFonts w:hint="eastAsia" w:ascii="宋体" w:hAnsi="宋体" w:cs="宋体"/>
          <w:color w:val="auto"/>
          <w:sz w:val="24"/>
          <w:highlight w:val="none"/>
        </w:rPr>
        <w:t>2.1.6 “现场”系指合同约定货物将要运至或者安装的地点。</w:t>
      </w:r>
      <w:bookmarkEnd w:id="488"/>
    </w:p>
    <w:p w14:paraId="5188A209">
      <w:pPr>
        <w:spacing w:line="560" w:lineRule="exact"/>
        <w:ind w:firstLine="482" w:firstLineChars="200"/>
        <w:outlineLvl w:val="0"/>
        <w:rPr>
          <w:rFonts w:ascii="宋体" w:hAnsi="宋体" w:cs="宋体"/>
          <w:b/>
          <w:color w:val="auto"/>
          <w:sz w:val="24"/>
          <w:highlight w:val="none"/>
        </w:rPr>
      </w:pPr>
      <w:bookmarkStart w:id="489" w:name="_Toc279701241"/>
      <w:bookmarkStart w:id="490" w:name="_Toc32504"/>
      <w:bookmarkStart w:id="491" w:name="_Toc259093670"/>
      <w:bookmarkStart w:id="492" w:name="_Toc487900350"/>
      <w:bookmarkStart w:id="493" w:name="_Toc13336"/>
      <w:bookmarkStart w:id="494" w:name="_Toc27635"/>
      <w:r>
        <w:rPr>
          <w:rFonts w:hint="eastAsia" w:ascii="宋体" w:hAnsi="宋体" w:cs="宋体"/>
          <w:b/>
          <w:color w:val="auto"/>
          <w:sz w:val="24"/>
          <w:highlight w:val="none"/>
        </w:rPr>
        <w:t>2.2 技术规范</w:t>
      </w:r>
      <w:bookmarkEnd w:id="489"/>
      <w:bookmarkEnd w:id="490"/>
      <w:bookmarkEnd w:id="491"/>
      <w:bookmarkEnd w:id="492"/>
      <w:bookmarkEnd w:id="493"/>
      <w:bookmarkEnd w:id="494"/>
    </w:p>
    <w:p w14:paraId="349F0E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6D4B7EAE">
      <w:pPr>
        <w:spacing w:line="560" w:lineRule="exact"/>
        <w:ind w:firstLine="482" w:firstLineChars="200"/>
        <w:outlineLvl w:val="0"/>
        <w:rPr>
          <w:rFonts w:ascii="宋体" w:hAnsi="宋体" w:cs="宋体"/>
          <w:b/>
          <w:color w:val="auto"/>
          <w:sz w:val="24"/>
          <w:highlight w:val="none"/>
        </w:rPr>
      </w:pPr>
      <w:bookmarkStart w:id="495" w:name="_Toc487900351"/>
      <w:bookmarkStart w:id="496" w:name="_Toc259093671"/>
      <w:bookmarkStart w:id="497" w:name="_Toc31634"/>
      <w:bookmarkStart w:id="498" w:name="_Toc279701242"/>
      <w:bookmarkStart w:id="499" w:name="_Toc27853"/>
      <w:bookmarkStart w:id="500" w:name="_Toc9829"/>
      <w:r>
        <w:rPr>
          <w:rFonts w:hint="eastAsia" w:ascii="宋体" w:hAnsi="宋体" w:cs="宋体"/>
          <w:b/>
          <w:color w:val="auto"/>
          <w:sz w:val="24"/>
          <w:highlight w:val="none"/>
        </w:rPr>
        <w:t>2.3 知识产权</w:t>
      </w:r>
      <w:bookmarkEnd w:id="495"/>
      <w:bookmarkEnd w:id="496"/>
      <w:bookmarkEnd w:id="497"/>
      <w:bookmarkEnd w:id="498"/>
      <w:bookmarkEnd w:id="499"/>
      <w:bookmarkEnd w:id="500"/>
    </w:p>
    <w:p w14:paraId="3F4CE75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r>
        <w:rPr>
          <w:rFonts w:hint="eastAsia" w:ascii="宋体" w:hAnsi="宋体"/>
          <w:color w:val="auto"/>
          <w:sz w:val="24"/>
          <w:highlight w:val="none"/>
        </w:rPr>
        <w:t>乙方还应及时澄清相关信息，使甲方声誉免受损害，甲方保留追责的权利。</w:t>
      </w:r>
    </w:p>
    <w:p w14:paraId="3637DC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2.3.2具有知识产权的计算机软件等货物的知识产权归属，详见</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w:t>
      </w:r>
    </w:p>
    <w:p w14:paraId="4DBE0B19">
      <w:pPr>
        <w:spacing w:line="560" w:lineRule="exact"/>
        <w:ind w:firstLine="482" w:firstLineChars="200"/>
        <w:outlineLvl w:val="0"/>
        <w:rPr>
          <w:rFonts w:ascii="宋体" w:hAnsi="宋体" w:cs="宋体"/>
          <w:b/>
          <w:color w:val="auto"/>
          <w:sz w:val="24"/>
          <w:highlight w:val="none"/>
        </w:rPr>
      </w:pPr>
      <w:bookmarkStart w:id="501" w:name="_Toc29149"/>
      <w:bookmarkStart w:id="502" w:name="_Toc4194"/>
      <w:bookmarkStart w:id="503" w:name="_Toc11932"/>
      <w:r>
        <w:rPr>
          <w:rFonts w:hint="eastAsia" w:ascii="宋体" w:hAnsi="宋体" w:cs="宋体"/>
          <w:b/>
          <w:color w:val="auto"/>
          <w:sz w:val="24"/>
          <w:highlight w:val="none"/>
        </w:rPr>
        <w:t>2.4 包装和装运</w:t>
      </w:r>
      <w:bookmarkEnd w:id="501"/>
      <w:bookmarkEnd w:id="502"/>
      <w:bookmarkEnd w:id="503"/>
    </w:p>
    <w:p w14:paraId="3034A7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2.4.1除</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7A017B6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2.4.2乙方提供产品及相关快递服务的具体包装要求应符合《商品包装政府采购需求标准（试行）》《快递包装政府采购需求标准（试行）》，并作为履约验收的内容，必要时甲方可以要求乙方在履约验收环节出具检测报告。 </w:t>
      </w:r>
    </w:p>
    <w:p w14:paraId="31BAE92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 装运货物的要求和通知，详见</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w:t>
      </w:r>
    </w:p>
    <w:p w14:paraId="031E7247">
      <w:pPr>
        <w:spacing w:line="560" w:lineRule="exact"/>
        <w:ind w:firstLine="482" w:firstLineChars="200"/>
        <w:outlineLvl w:val="0"/>
        <w:rPr>
          <w:rFonts w:ascii="宋体" w:hAnsi="宋体" w:cs="宋体"/>
          <w:b/>
          <w:color w:val="auto"/>
          <w:sz w:val="24"/>
          <w:highlight w:val="none"/>
        </w:rPr>
      </w:pPr>
      <w:bookmarkStart w:id="504" w:name="_Ref467378591"/>
      <w:bookmarkStart w:id="505" w:name="_Toc259093674"/>
      <w:bookmarkStart w:id="506" w:name="_Toc487900354"/>
      <w:bookmarkStart w:id="507" w:name="_Toc279701245"/>
      <w:bookmarkStart w:id="508" w:name="_Ref467378541"/>
      <w:bookmarkStart w:id="509" w:name="_Ref467379536"/>
      <w:bookmarkStart w:id="510" w:name="_Ref467379542"/>
      <w:bookmarkStart w:id="511" w:name="_Ref467379527"/>
      <w:bookmarkStart w:id="512" w:name="_Toc19074"/>
      <w:bookmarkStart w:id="513" w:name="_Toc26182"/>
      <w:bookmarkStart w:id="514" w:name="_Toc30272"/>
      <w:r>
        <w:rPr>
          <w:rFonts w:hint="eastAsia" w:ascii="宋体" w:hAnsi="宋体" w:cs="宋体"/>
          <w:b/>
          <w:color w:val="auto"/>
          <w:sz w:val="24"/>
          <w:highlight w:val="none"/>
        </w:rPr>
        <w:t>2.</w:t>
      </w:r>
      <w:bookmarkEnd w:id="504"/>
      <w:bookmarkEnd w:id="505"/>
      <w:bookmarkEnd w:id="506"/>
      <w:bookmarkEnd w:id="507"/>
      <w:bookmarkEnd w:id="508"/>
      <w:bookmarkEnd w:id="509"/>
      <w:bookmarkEnd w:id="510"/>
      <w:bookmarkEnd w:id="511"/>
      <w:r>
        <w:rPr>
          <w:rFonts w:hint="eastAsia" w:ascii="宋体" w:hAnsi="宋体" w:cs="宋体"/>
          <w:b/>
          <w:color w:val="auto"/>
          <w:sz w:val="24"/>
          <w:highlight w:val="none"/>
        </w:rPr>
        <w:t>5 履约检查和问题反馈</w:t>
      </w:r>
      <w:bookmarkEnd w:id="512"/>
      <w:bookmarkEnd w:id="513"/>
      <w:bookmarkEnd w:id="514"/>
    </w:p>
    <w:p w14:paraId="2351DA97">
      <w:pPr>
        <w:spacing w:line="560" w:lineRule="exact"/>
        <w:ind w:firstLine="480" w:firstLineChars="200"/>
        <w:rPr>
          <w:rFonts w:ascii="宋体" w:hAnsi="宋体" w:cs="宋体"/>
          <w:color w:val="auto"/>
          <w:sz w:val="24"/>
          <w:highlight w:val="none"/>
        </w:rPr>
      </w:pPr>
      <w:bookmarkStart w:id="515" w:name="_Ref467379657"/>
      <w:r>
        <w:rPr>
          <w:rFonts w:hint="eastAsia" w:ascii="宋体" w:hAnsi="宋体" w:cs="宋体"/>
          <w:color w:val="auto"/>
          <w:sz w:val="24"/>
          <w:highlight w:val="none"/>
        </w:rPr>
        <w:t>2.5.1</w:t>
      </w:r>
      <w:bookmarkEnd w:id="515"/>
      <w:bookmarkStart w:id="516" w:name="_Toc186431854"/>
      <w:bookmarkStart w:id="517" w:name="_Toc279701247"/>
      <w:bookmarkStart w:id="518" w:name="_Ref467379807"/>
      <w:bookmarkStart w:id="519" w:name="_Toc487900357"/>
      <w:bookmarkStart w:id="520" w:name="_Ref467379793"/>
      <w:bookmarkStart w:id="521" w:name="_Toc259093676"/>
      <w:r>
        <w:rPr>
          <w:rFonts w:hint="eastAsia" w:ascii="宋体" w:hAnsi="宋体" w:cs="宋体"/>
          <w:color w:val="auto"/>
          <w:sz w:val="24"/>
          <w:highlight w:val="none"/>
        </w:rPr>
        <w:t>甲方有权在其认为必要时，对乙方是否能够按照合同约定交付货物进行履约检查，以确保乙方所交付的货物能够依约满足甲方之项目需求，但不得因履约检查妨碍乙方的正常工作，乙方应予积极配合；</w:t>
      </w:r>
    </w:p>
    <w:p w14:paraId="2A92F2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 合同履行期间，甲方有权将履行过程中出现的问题反馈给乙方，双方当事人应以书面形式约定需要完善和改进的内容</w:t>
      </w:r>
      <w:bookmarkEnd w:id="516"/>
      <w:bookmarkStart w:id="522" w:name="_Toc186431855"/>
      <w:r>
        <w:rPr>
          <w:rFonts w:hint="eastAsia" w:ascii="宋体" w:hAnsi="宋体" w:cs="宋体"/>
          <w:color w:val="auto"/>
          <w:sz w:val="24"/>
          <w:highlight w:val="none"/>
        </w:rPr>
        <w:t>。</w:t>
      </w:r>
    </w:p>
    <w:bookmarkEnd w:id="517"/>
    <w:bookmarkEnd w:id="518"/>
    <w:bookmarkEnd w:id="519"/>
    <w:bookmarkEnd w:id="520"/>
    <w:bookmarkEnd w:id="521"/>
    <w:bookmarkEnd w:id="522"/>
    <w:p w14:paraId="4627C048">
      <w:pPr>
        <w:spacing w:line="560" w:lineRule="exact"/>
        <w:ind w:firstLine="482" w:firstLineChars="200"/>
        <w:outlineLvl w:val="0"/>
        <w:rPr>
          <w:rFonts w:ascii="宋体" w:hAnsi="宋体" w:cs="宋体"/>
          <w:b/>
          <w:color w:val="auto"/>
          <w:sz w:val="24"/>
          <w:highlight w:val="none"/>
        </w:rPr>
      </w:pPr>
      <w:bookmarkStart w:id="523" w:name="_Ref467379852"/>
      <w:bookmarkStart w:id="524" w:name="_Toc487900358"/>
      <w:bookmarkStart w:id="525" w:name="_Toc279701248"/>
      <w:bookmarkStart w:id="526" w:name="_Ref467379923"/>
      <w:bookmarkStart w:id="527" w:name="_Ref467379863"/>
      <w:bookmarkStart w:id="528" w:name="_Toc259093677"/>
      <w:bookmarkStart w:id="529" w:name="_Toc774"/>
      <w:bookmarkStart w:id="530" w:name="_Toc3225"/>
      <w:bookmarkStart w:id="531" w:name="_Toc16110"/>
      <w:r>
        <w:rPr>
          <w:rFonts w:hint="eastAsia" w:ascii="宋体" w:hAnsi="宋体" w:cs="宋体"/>
          <w:b/>
          <w:color w:val="auto"/>
          <w:sz w:val="24"/>
          <w:highlight w:val="none"/>
        </w:rPr>
        <w:t>2.6 技术资料</w:t>
      </w:r>
      <w:bookmarkEnd w:id="523"/>
      <w:bookmarkEnd w:id="524"/>
      <w:bookmarkEnd w:id="525"/>
      <w:bookmarkEnd w:id="526"/>
      <w:bookmarkEnd w:id="527"/>
      <w:bookmarkEnd w:id="528"/>
      <w:r>
        <w:rPr>
          <w:rFonts w:hint="eastAsia" w:ascii="宋体" w:hAnsi="宋体" w:cs="宋体"/>
          <w:b/>
          <w:color w:val="auto"/>
          <w:sz w:val="24"/>
          <w:highlight w:val="none"/>
        </w:rPr>
        <w:t>和保密义务</w:t>
      </w:r>
      <w:bookmarkEnd w:id="529"/>
      <w:bookmarkEnd w:id="530"/>
      <w:bookmarkEnd w:id="531"/>
    </w:p>
    <w:p w14:paraId="2ED6FD2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 乙方有权依据合同约定和项目需要，向甲方了解有关情况，调阅有关资料等，甲方应予积极配合；</w:t>
      </w:r>
    </w:p>
    <w:p w14:paraId="5382170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 乙方有义务妥善保管和保护由甲方提供的前款信息和资料等；</w:t>
      </w:r>
    </w:p>
    <w:p w14:paraId="09A1B5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28C11218">
      <w:pPr>
        <w:spacing w:line="560" w:lineRule="exact"/>
        <w:ind w:firstLine="482" w:firstLineChars="200"/>
        <w:outlineLvl w:val="0"/>
        <w:rPr>
          <w:rFonts w:ascii="宋体" w:hAnsi="宋体" w:cs="宋体"/>
          <w:b/>
          <w:color w:val="auto"/>
          <w:sz w:val="24"/>
          <w:highlight w:val="none"/>
        </w:rPr>
      </w:pPr>
      <w:bookmarkStart w:id="532" w:name="_Toc7860"/>
      <w:r>
        <w:rPr>
          <w:rFonts w:hint="eastAsia" w:ascii="宋体" w:hAnsi="宋体" w:cs="宋体"/>
          <w:b/>
          <w:color w:val="auto"/>
          <w:sz w:val="24"/>
          <w:highlight w:val="none"/>
        </w:rPr>
        <w:t>2.7 质量保证</w:t>
      </w:r>
      <w:bookmarkEnd w:id="532"/>
    </w:p>
    <w:p w14:paraId="799B08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2.7.1 乙方应建立和完善履行合同的内部质量保证体系，并提供相关内部规章制度给甲方，以便甲方进行监督检查；</w:t>
      </w:r>
    </w:p>
    <w:p w14:paraId="4A6FD1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2.7.2 乙方应保证履行合同的人员数量和素质、软件和硬件设备的配置、场地、环境和设施等满足全面履行合同的要求，并应接受甲方的监督检查。</w:t>
      </w:r>
    </w:p>
    <w:p w14:paraId="1E304B28">
      <w:pPr>
        <w:spacing w:line="560" w:lineRule="exact"/>
        <w:ind w:firstLine="482" w:firstLineChars="200"/>
        <w:outlineLvl w:val="0"/>
        <w:rPr>
          <w:rFonts w:ascii="宋体" w:hAnsi="宋体" w:cs="宋体"/>
          <w:b/>
          <w:color w:val="auto"/>
          <w:sz w:val="24"/>
          <w:highlight w:val="none"/>
        </w:rPr>
      </w:pPr>
      <w:bookmarkStart w:id="533" w:name="_Toc17244"/>
      <w:bookmarkStart w:id="534" w:name="_Toc259093681"/>
      <w:bookmarkStart w:id="535" w:name="_Toc279701252"/>
      <w:bookmarkStart w:id="536" w:name="_Toc487900362"/>
      <w:r>
        <w:rPr>
          <w:rFonts w:hint="eastAsia" w:ascii="宋体" w:hAnsi="宋体" w:cs="宋体"/>
          <w:b/>
          <w:color w:val="auto"/>
          <w:sz w:val="24"/>
          <w:highlight w:val="none"/>
        </w:rPr>
        <w:t>2.8 货物的风险负担</w:t>
      </w:r>
      <w:bookmarkEnd w:id="533"/>
    </w:p>
    <w:p w14:paraId="2EC5505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货物或者在途货物或者交付给第一承运人后的货物毁损、灭失的风险负担详见</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w:t>
      </w:r>
    </w:p>
    <w:p w14:paraId="47FE7BC0">
      <w:pPr>
        <w:spacing w:line="560" w:lineRule="exact"/>
        <w:ind w:firstLine="482" w:firstLineChars="200"/>
        <w:outlineLvl w:val="0"/>
        <w:rPr>
          <w:rFonts w:ascii="宋体" w:hAnsi="宋体" w:cs="宋体"/>
          <w:b/>
          <w:color w:val="auto"/>
          <w:sz w:val="24"/>
          <w:highlight w:val="none"/>
        </w:rPr>
      </w:pPr>
      <w:bookmarkStart w:id="537" w:name="_Toc14055"/>
      <w:r>
        <w:rPr>
          <w:rFonts w:hint="eastAsia" w:ascii="宋体" w:hAnsi="宋体" w:cs="宋体"/>
          <w:b/>
          <w:color w:val="auto"/>
          <w:sz w:val="24"/>
          <w:highlight w:val="none"/>
        </w:rPr>
        <w:t>2.9 延迟交货</w:t>
      </w:r>
      <w:bookmarkEnd w:id="534"/>
      <w:bookmarkEnd w:id="535"/>
      <w:bookmarkEnd w:id="536"/>
      <w:bookmarkEnd w:id="537"/>
    </w:p>
    <w:p w14:paraId="4AEFA955">
      <w:pPr>
        <w:spacing w:line="560" w:lineRule="exact"/>
        <w:ind w:firstLine="480" w:firstLineChars="200"/>
        <w:rPr>
          <w:rFonts w:ascii="宋体" w:hAnsi="宋体" w:cs="宋体"/>
          <w:color w:val="auto"/>
          <w:sz w:val="24"/>
          <w:highlight w:val="none"/>
        </w:rPr>
      </w:pPr>
      <w:r>
        <w:rPr>
          <w:rFonts w:hint="eastAsia" w:ascii="宋体" w:hAnsi="宋体"/>
          <w:color w:val="auto"/>
          <w:sz w:val="24"/>
          <w:highlight w:val="none"/>
        </w:rPr>
        <w:t>甲乙双方签订合同后，乙方应按照合同约定履行合同义务，除不可抗力外，乙方不得延迟交货。</w:t>
      </w:r>
      <w:r>
        <w:rPr>
          <w:rFonts w:hint="eastAsia" w:ascii="宋体" w:hAnsi="宋体" w:cs="宋体"/>
          <w:color w:val="auto"/>
          <w:sz w:val="24"/>
          <w:highlight w:val="none"/>
        </w:rPr>
        <w:t>在合同履行过程中，如果因不可抗力，乙方遇到不能按时交付货物的情况，应及时以书面形式将不能按时交付货物的理由、预期延误时间通知甲方；甲方收到乙方通知后，认为其理由正当的，可以书面形式酌情同意乙方可以延长交货的具体时间。</w:t>
      </w:r>
    </w:p>
    <w:p w14:paraId="77455D9E">
      <w:pPr>
        <w:spacing w:line="560" w:lineRule="exact"/>
        <w:ind w:firstLine="482" w:firstLineChars="200"/>
        <w:outlineLvl w:val="0"/>
        <w:rPr>
          <w:rFonts w:ascii="宋体" w:hAnsi="宋体" w:cs="宋体"/>
          <w:b/>
          <w:color w:val="auto"/>
          <w:sz w:val="24"/>
          <w:highlight w:val="none"/>
        </w:rPr>
      </w:pPr>
      <w:bookmarkStart w:id="538" w:name="_Toc7502"/>
      <w:bookmarkStart w:id="539" w:name="_Toc487900364"/>
      <w:bookmarkStart w:id="540" w:name="_Toc279701254"/>
      <w:bookmarkStart w:id="541" w:name="_Ref467378121"/>
      <w:bookmarkStart w:id="542" w:name="_Toc259093683"/>
      <w:r>
        <w:rPr>
          <w:rFonts w:hint="eastAsia" w:ascii="宋体" w:hAnsi="宋体" w:cs="宋体"/>
          <w:b/>
          <w:color w:val="auto"/>
          <w:sz w:val="24"/>
          <w:highlight w:val="none"/>
        </w:rPr>
        <w:t>2.10 合同变更</w:t>
      </w:r>
      <w:bookmarkEnd w:id="538"/>
    </w:p>
    <w:p w14:paraId="531626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合同继续履行将损害国家利益和社会公共利益的，双方当事人应当以书面形式变更合同。有过错的一方应当承担赔偿责任，双方当事人都有过错的，各自承担相应的责任。</w:t>
      </w:r>
      <w:bookmarkStart w:id="543" w:name="_Toc259093688"/>
      <w:bookmarkStart w:id="544" w:name="_Toc279701259"/>
      <w:bookmarkStart w:id="545" w:name="_Toc487900369"/>
    </w:p>
    <w:p w14:paraId="3DFAD922">
      <w:pPr>
        <w:spacing w:line="560" w:lineRule="exact"/>
        <w:ind w:firstLine="482" w:firstLineChars="200"/>
        <w:outlineLvl w:val="0"/>
        <w:rPr>
          <w:rFonts w:ascii="宋体" w:hAnsi="宋体" w:cs="宋体"/>
          <w:b/>
          <w:color w:val="auto"/>
          <w:sz w:val="24"/>
          <w:highlight w:val="none"/>
        </w:rPr>
      </w:pPr>
      <w:bookmarkStart w:id="546" w:name="_Toc10366"/>
      <w:bookmarkStart w:id="547" w:name="_Toc15237"/>
      <w:bookmarkStart w:id="548" w:name="_Toc22955"/>
      <w:r>
        <w:rPr>
          <w:rFonts w:hint="eastAsia" w:ascii="宋体" w:hAnsi="宋体" w:cs="宋体"/>
          <w:b/>
          <w:color w:val="auto"/>
          <w:sz w:val="24"/>
          <w:highlight w:val="none"/>
        </w:rPr>
        <w:t>2.11 合同转让</w:t>
      </w:r>
      <w:bookmarkEnd w:id="543"/>
      <w:bookmarkEnd w:id="544"/>
      <w:bookmarkEnd w:id="545"/>
      <w:r>
        <w:rPr>
          <w:rFonts w:hint="eastAsia" w:ascii="宋体" w:hAnsi="宋体" w:cs="宋体"/>
          <w:b/>
          <w:color w:val="auto"/>
          <w:sz w:val="24"/>
          <w:highlight w:val="none"/>
        </w:rPr>
        <w:t>和分包</w:t>
      </w:r>
      <w:bookmarkEnd w:id="546"/>
      <w:bookmarkEnd w:id="547"/>
      <w:bookmarkEnd w:id="548"/>
    </w:p>
    <w:p w14:paraId="4B2E19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6704DF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2.11.2乙方采取分包方式履行合同的，甲方可直接向分包供应商支付款项。</w:t>
      </w:r>
    </w:p>
    <w:p w14:paraId="6B3CDF73">
      <w:pPr>
        <w:spacing w:line="560" w:lineRule="exact"/>
        <w:ind w:firstLine="482" w:firstLineChars="200"/>
        <w:outlineLvl w:val="0"/>
        <w:rPr>
          <w:rFonts w:ascii="宋体" w:hAnsi="宋体" w:cs="宋体"/>
          <w:b/>
          <w:color w:val="auto"/>
          <w:sz w:val="24"/>
          <w:highlight w:val="none"/>
        </w:rPr>
      </w:pPr>
      <w:bookmarkStart w:id="549" w:name="_Toc16508"/>
      <w:bookmarkStart w:id="550" w:name="_Toc13566"/>
      <w:bookmarkStart w:id="551" w:name="_Toc14066"/>
      <w:r>
        <w:rPr>
          <w:rFonts w:hint="eastAsia" w:ascii="宋体" w:hAnsi="宋体" w:cs="宋体"/>
          <w:b/>
          <w:color w:val="auto"/>
          <w:sz w:val="24"/>
          <w:highlight w:val="none"/>
        </w:rPr>
        <w:t>2.12 不可抗力</w:t>
      </w:r>
      <w:bookmarkEnd w:id="549"/>
      <w:bookmarkEnd w:id="550"/>
      <w:bookmarkEnd w:id="551"/>
    </w:p>
    <w:p w14:paraId="7B27970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2.12.1如果任何一方遭遇法律规定的不可抗力，致使合同履行受阻时，履行合同的期限应予延长，延长的期限应相当于不可抗力所影响的时间；</w:t>
      </w:r>
    </w:p>
    <w:p w14:paraId="05B496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2.12.2 因不可抗力致使不能实现合同目的的，当事人可以解除合同；</w:t>
      </w:r>
    </w:p>
    <w:p w14:paraId="47176F9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2.12.3 因不可抗力致使合同有变更必要的，双方当事人应在</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约定时间内以书面形式变更合同；</w:t>
      </w:r>
    </w:p>
    <w:p w14:paraId="08CA048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2.12.4受不可抗力影响的一方在不可抗力发生后，应在</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约定时间内以书面形式通知对方当事人，并在</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约定时间内，将有关部门出具的证明文件送达对方当事人。</w:t>
      </w:r>
    </w:p>
    <w:p w14:paraId="1856F7D3">
      <w:pPr>
        <w:spacing w:line="560" w:lineRule="exact"/>
        <w:ind w:firstLine="482" w:firstLineChars="200"/>
        <w:outlineLvl w:val="0"/>
        <w:rPr>
          <w:rFonts w:ascii="宋体" w:hAnsi="宋体" w:cs="宋体"/>
          <w:b/>
          <w:color w:val="auto"/>
          <w:sz w:val="24"/>
          <w:highlight w:val="none"/>
        </w:rPr>
      </w:pPr>
      <w:bookmarkStart w:id="552" w:name="_Toc279701255"/>
      <w:bookmarkStart w:id="553" w:name="_Toc689"/>
      <w:bookmarkStart w:id="554" w:name="_Toc487900365"/>
      <w:bookmarkStart w:id="555" w:name="_Toc30676"/>
      <w:bookmarkStart w:id="556" w:name="_Toc259093684"/>
      <w:bookmarkStart w:id="557" w:name="_Toc6969"/>
      <w:r>
        <w:rPr>
          <w:rFonts w:hint="eastAsia" w:ascii="宋体" w:hAnsi="宋体" w:cs="宋体"/>
          <w:b/>
          <w:color w:val="auto"/>
          <w:sz w:val="24"/>
          <w:highlight w:val="none"/>
        </w:rPr>
        <w:t>2.13 税费</w:t>
      </w:r>
      <w:bookmarkEnd w:id="552"/>
      <w:bookmarkEnd w:id="553"/>
      <w:bookmarkEnd w:id="554"/>
      <w:bookmarkEnd w:id="555"/>
      <w:bookmarkEnd w:id="556"/>
      <w:bookmarkEnd w:id="557"/>
    </w:p>
    <w:p w14:paraId="7620B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与合同有关的一切税费，均按照中华人民共和国法律的相关规定。</w:t>
      </w:r>
    </w:p>
    <w:p w14:paraId="74AA2FC2">
      <w:pPr>
        <w:spacing w:line="560" w:lineRule="exact"/>
        <w:ind w:firstLine="482" w:firstLineChars="200"/>
        <w:outlineLvl w:val="0"/>
        <w:rPr>
          <w:rFonts w:ascii="宋体" w:hAnsi="宋体" w:cs="宋体"/>
          <w:b/>
          <w:color w:val="auto"/>
          <w:sz w:val="24"/>
          <w:highlight w:val="none"/>
        </w:rPr>
      </w:pPr>
      <w:bookmarkStart w:id="558" w:name="_Toc7102"/>
      <w:bookmarkStart w:id="559" w:name="_Toc259093687"/>
      <w:bookmarkStart w:id="560" w:name="_Toc8298"/>
      <w:bookmarkStart w:id="561" w:name="_Toc16959"/>
      <w:bookmarkStart w:id="562" w:name="_Toc279701258"/>
      <w:bookmarkStart w:id="563" w:name="_Toc487900368"/>
      <w:r>
        <w:rPr>
          <w:rFonts w:hint="eastAsia" w:ascii="宋体" w:hAnsi="宋体" w:cs="宋体"/>
          <w:b/>
          <w:color w:val="auto"/>
          <w:sz w:val="24"/>
          <w:highlight w:val="none"/>
        </w:rPr>
        <w:t>2.14乙方破产</w:t>
      </w:r>
      <w:bookmarkEnd w:id="558"/>
      <w:bookmarkEnd w:id="559"/>
      <w:bookmarkEnd w:id="560"/>
      <w:bookmarkEnd w:id="561"/>
      <w:bookmarkEnd w:id="562"/>
      <w:bookmarkEnd w:id="563"/>
    </w:p>
    <w:p w14:paraId="1314561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D3E20A1">
      <w:pPr>
        <w:spacing w:line="560" w:lineRule="exact"/>
        <w:ind w:firstLine="482" w:firstLineChars="200"/>
        <w:outlineLvl w:val="0"/>
        <w:rPr>
          <w:rFonts w:ascii="宋体" w:hAnsi="宋体" w:cs="宋体"/>
          <w:b/>
          <w:color w:val="auto"/>
          <w:sz w:val="24"/>
          <w:highlight w:val="none"/>
        </w:rPr>
      </w:pPr>
      <w:bookmarkStart w:id="564" w:name="_Toc29333"/>
      <w:bookmarkStart w:id="565" w:name="_Toc15387"/>
      <w:bookmarkStart w:id="566" w:name="_Toc6134"/>
      <w:r>
        <w:rPr>
          <w:rFonts w:hint="eastAsia" w:ascii="宋体" w:hAnsi="宋体" w:cs="宋体"/>
          <w:b/>
          <w:color w:val="auto"/>
          <w:sz w:val="24"/>
          <w:highlight w:val="none"/>
        </w:rPr>
        <w:t>2.15 合同中止、终止</w:t>
      </w:r>
      <w:bookmarkEnd w:id="564"/>
      <w:bookmarkEnd w:id="565"/>
      <w:bookmarkEnd w:id="566"/>
    </w:p>
    <w:p w14:paraId="7353D9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2.15.1 双方当事人不得擅自中止或者终止合同；</w:t>
      </w:r>
    </w:p>
    <w:p w14:paraId="47034E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2.15.2合同继续履行将损害国家利益和社会公共利益的，双方当事人应当中止或者终止合同。有过错的一方应当承担赔偿责任，双方当事人都有过错的，各自承担相应的责任。</w:t>
      </w:r>
    </w:p>
    <w:p w14:paraId="71C06636">
      <w:pPr>
        <w:spacing w:line="560" w:lineRule="exact"/>
        <w:ind w:firstLine="482" w:firstLineChars="200"/>
        <w:outlineLvl w:val="0"/>
        <w:rPr>
          <w:rFonts w:ascii="宋体" w:hAnsi="宋体" w:cs="宋体"/>
          <w:b/>
          <w:color w:val="auto"/>
          <w:sz w:val="24"/>
          <w:highlight w:val="none"/>
        </w:rPr>
      </w:pPr>
      <w:bookmarkStart w:id="567" w:name="_Toc6596"/>
      <w:bookmarkStart w:id="568" w:name="_Toc1125"/>
      <w:bookmarkStart w:id="569" w:name="_Toc14563"/>
      <w:r>
        <w:rPr>
          <w:rFonts w:hint="eastAsia" w:ascii="宋体" w:hAnsi="宋体" w:cs="宋体"/>
          <w:b/>
          <w:color w:val="auto"/>
          <w:sz w:val="24"/>
          <w:highlight w:val="none"/>
        </w:rPr>
        <w:t>2.16检验和验收</w:t>
      </w:r>
      <w:bookmarkEnd w:id="567"/>
      <w:bookmarkEnd w:id="568"/>
      <w:bookmarkEnd w:id="569"/>
    </w:p>
    <w:p w14:paraId="784497AF">
      <w:pPr>
        <w:tabs>
          <w:tab w:val="left" w:pos="360"/>
          <w:tab w:val="left" w:pos="540"/>
          <w:tab w:val="left" w:pos="108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2.16.1货物交付前，乙方应对货物的质量、数量等方面进行详细、全面的检验，并向甲方出具证明货物符合合同约定的文件；货物交付时，甲方在</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约定时间内组织验收，并可依法邀请相关方参加，验收应出具验收书。</w:t>
      </w:r>
    </w:p>
    <w:p w14:paraId="3B3F018B">
      <w:pPr>
        <w:tabs>
          <w:tab w:val="left" w:pos="360"/>
          <w:tab w:val="left" w:pos="540"/>
          <w:tab w:val="left" w:pos="108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2.16.</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337F194A">
      <w:pPr>
        <w:tabs>
          <w:tab w:val="left" w:pos="360"/>
          <w:tab w:val="left" w:pos="540"/>
          <w:tab w:val="left" w:pos="108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2.16.</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 xml:space="preserve"> 检验和验收标准、程序等具体内容以及前述验收书的效力详见</w:t>
      </w:r>
      <w:r>
        <w:rPr>
          <w:rFonts w:hint="eastAsia" w:ascii="宋体" w:hAnsi="宋体" w:cs="宋体"/>
          <w:b/>
          <w:i/>
          <w:color w:val="auto"/>
          <w:sz w:val="24"/>
          <w:highlight w:val="none"/>
          <w:u w:val="single"/>
        </w:rPr>
        <w:t>合同专用条款</w:t>
      </w:r>
      <w:r>
        <w:rPr>
          <w:rFonts w:hint="eastAsia" w:ascii="宋体" w:hAnsi="宋体" w:cs="宋体"/>
          <w:i/>
          <w:color w:val="auto"/>
          <w:sz w:val="24"/>
          <w:highlight w:val="none"/>
        </w:rPr>
        <w:t>。</w:t>
      </w:r>
    </w:p>
    <w:bookmarkEnd w:id="539"/>
    <w:bookmarkEnd w:id="540"/>
    <w:bookmarkEnd w:id="541"/>
    <w:bookmarkEnd w:id="542"/>
    <w:p w14:paraId="29129186">
      <w:pPr>
        <w:spacing w:line="560" w:lineRule="exact"/>
        <w:ind w:firstLine="482" w:firstLineChars="200"/>
        <w:outlineLvl w:val="0"/>
        <w:rPr>
          <w:rFonts w:ascii="宋体" w:hAnsi="宋体" w:cs="宋体"/>
          <w:b/>
          <w:color w:val="auto"/>
          <w:sz w:val="24"/>
          <w:highlight w:val="none"/>
        </w:rPr>
      </w:pPr>
      <w:bookmarkStart w:id="570" w:name="_Toc259093690"/>
      <w:bookmarkStart w:id="571" w:name="_Toc487900371"/>
      <w:bookmarkStart w:id="572" w:name="_Toc279701261"/>
      <w:bookmarkStart w:id="573" w:name="_Toc25182"/>
      <w:bookmarkStart w:id="574" w:name="_Toc19604"/>
      <w:bookmarkStart w:id="575" w:name="_Toc11284"/>
      <w:r>
        <w:rPr>
          <w:rFonts w:hint="eastAsia" w:ascii="宋体" w:hAnsi="宋体" w:cs="宋体"/>
          <w:b/>
          <w:color w:val="auto"/>
          <w:sz w:val="24"/>
          <w:highlight w:val="none"/>
        </w:rPr>
        <w:t>2.17 通知</w:t>
      </w:r>
      <w:bookmarkEnd w:id="570"/>
      <w:bookmarkEnd w:id="571"/>
      <w:bookmarkEnd w:id="572"/>
      <w:r>
        <w:rPr>
          <w:rFonts w:hint="eastAsia" w:ascii="宋体" w:hAnsi="宋体" w:cs="宋体"/>
          <w:b/>
          <w:color w:val="auto"/>
          <w:sz w:val="24"/>
          <w:highlight w:val="none"/>
        </w:rPr>
        <w:t>和送达</w:t>
      </w:r>
      <w:bookmarkEnd w:id="573"/>
      <w:bookmarkEnd w:id="574"/>
      <w:bookmarkEnd w:id="575"/>
    </w:p>
    <w:p w14:paraId="0CC0C1B3">
      <w:pPr>
        <w:spacing w:line="560" w:lineRule="exact"/>
        <w:ind w:firstLine="480" w:firstLineChars="200"/>
        <w:rPr>
          <w:rFonts w:ascii="宋体" w:hAnsi="宋体" w:cs="宋体"/>
          <w:color w:val="auto"/>
          <w:sz w:val="24"/>
          <w:highlight w:val="none"/>
        </w:rPr>
      </w:pPr>
      <w:bookmarkStart w:id="576" w:name="_Toc3135"/>
      <w:bookmarkStart w:id="577" w:name="_Toc6698"/>
      <w:bookmarkStart w:id="578" w:name="_Toc279701262"/>
      <w:bookmarkStart w:id="579" w:name="_Toc259093691"/>
      <w:bookmarkStart w:id="580" w:name="_Toc487900372"/>
      <w:r>
        <w:rPr>
          <w:rFonts w:hint="eastAsia" w:ascii="宋体" w:hAnsi="宋体" w:cs="宋体"/>
          <w:color w:val="auto"/>
          <w:sz w:val="24"/>
          <w:highlight w:val="none"/>
        </w:rPr>
        <w:t xml:space="preserve">2.17.1任何一方因履行合同而以合同第一部分尾部所列明的传真或电子邮件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发出的所有通知、文件、材料，均视为已向对方当事人送达；任何一方变更上述送达方式或者地址的，应于</w:t>
      </w:r>
      <w:r>
        <w:rPr>
          <w:rFonts w:hint="eastAsia" w:ascii="宋体" w:hAnsi="宋体" w:cs="宋体"/>
          <w:color w:val="auto"/>
          <w:sz w:val="24"/>
          <w:highlight w:val="none"/>
          <w:u w:val="single"/>
        </w:rPr>
        <w:t>3</w:t>
      </w:r>
      <w:r>
        <w:rPr>
          <w:rFonts w:hint="eastAsia" w:ascii="宋体" w:hAnsi="宋体" w:cs="宋体"/>
          <w:color w:val="auto"/>
          <w:sz w:val="24"/>
          <w:highlight w:val="none"/>
        </w:rPr>
        <w:t>个工作日内书面通知对方当事人，在对方当事人收到有关变更通知之前，变更前的约定送达方式或者地址仍视为有效。</w:t>
      </w:r>
      <w:bookmarkEnd w:id="576"/>
      <w:bookmarkEnd w:id="577"/>
    </w:p>
    <w:p w14:paraId="7D06CABC">
      <w:pPr>
        <w:spacing w:line="560" w:lineRule="exact"/>
        <w:ind w:firstLine="480" w:firstLineChars="200"/>
        <w:rPr>
          <w:rFonts w:ascii="宋体" w:hAnsi="宋体" w:cs="宋体"/>
          <w:color w:val="auto"/>
          <w:sz w:val="24"/>
          <w:highlight w:val="none"/>
        </w:rPr>
      </w:pPr>
      <w:bookmarkStart w:id="581" w:name="_Toc23128"/>
      <w:bookmarkStart w:id="582" w:name="_Toc23294"/>
      <w:r>
        <w:rPr>
          <w:rFonts w:hint="eastAsia" w:ascii="宋体" w:hAnsi="宋体" w:cs="宋体"/>
          <w:color w:val="auto"/>
          <w:sz w:val="24"/>
          <w:highlight w:val="none"/>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81"/>
      <w:bookmarkEnd w:id="582"/>
    </w:p>
    <w:p w14:paraId="3618BE4A">
      <w:pPr>
        <w:spacing w:line="560" w:lineRule="exact"/>
        <w:ind w:firstLine="482" w:firstLineChars="200"/>
        <w:outlineLvl w:val="0"/>
        <w:rPr>
          <w:rFonts w:ascii="宋体" w:hAnsi="宋体" w:cs="宋体"/>
          <w:b/>
          <w:color w:val="auto"/>
          <w:sz w:val="24"/>
          <w:highlight w:val="none"/>
        </w:rPr>
      </w:pPr>
      <w:bookmarkStart w:id="583" w:name="_Toc30599"/>
      <w:bookmarkStart w:id="584" w:name="_Toc18540"/>
      <w:bookmarkStart w:id="585" w:name="_Toc4355"/>
      <w:r>
        <w:rPr>
          <w:rFonts w:hint="eastAsia" w:ascii="宋体" w:hAnsi="宋体" w:cs="宋体"/>
          <w:b/>
          <w:color w:val="auto"/>
          <w:sz w:val="24"/>
          <w:highlight w:val="none"/>
        </w:rPr>
        <w:t>2.18 计量单位</w:t>
      </w:r>
      <w:bookmarkEnd w:id="578"/>
      <w:bookmarkEnd w:id="579"/>
      <w:bookmarkEnd w:id="580"/>
      <w:bookmarkEnd w:id="583"/>
      <w:bookmarkEnd w:id="584"/>
      <w:bookmarkEnd w:id="585"/>
    </w:p>
    <w:p w14:paraId="1D80ED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除技术规范中另有规定外,合同的计量单位均使用国家法定计量单位。</w:t>
      </w:r>
    </w:p>
    <w:p w14:paraId="1FE741B9">
      <w:pPr>
        <w:spacing w:line="560" w:lineRule="exact"/>
        <w:ind w:firstLine="482" w:firstLineChars="200"/>
        <w:outlineLvl w:val="0"/>
        <w:rPr>
          <w:rFonts w:ascii="宋体" w:hAnsi="宋体" w:cs="宋体"/>
          <w:b/>
          <w:color w:val="auto"/>
          <w:sz w:val="24"/>
          <w:highlight w:val="none"/>
        </w:rPr>
      </w:pPr>
      <w:bookmarkStart w:id="586" w:name="_Toc10330"/>
      <w:bookmarkStart w:id="587" w:name="_Toc259093692"/>
      <w:bookmarkStart w:id="588" w:name="_Toc279701263"/>
      <w:bookmarkStart w:id="589" w:name="_Toc487900373"/>
      <w:bookmarkStart w:id="590" w:name="_Toc12773"/>
      <w:bookmarkStart w:id="591" w:name="_Toc18567"/>
      <w:r>
        <w:rPr>
          <w:rFonts w:hint="eastAsia" w:ascii="宋体" w:hAnsi="宋体" w:cs="宋体"/>
          <w:b/>
          <w:color w:val="auto"/>
          <w:sz w:val="24"/>
          <w:highlight w:val="none"/>
        </w:rPr>
        <w:t>2.19 合同使用的文字和适用的法律</w:t>
      </w:r>
      <w:bookmarkEnd w:id="586"/>
      <w:bookmarkEnd w:id="587"/>
      <w:bookmarkEnd w:id="588"/>
      <w:bookmarkEnd w:id="589"/>
      <w:bookmarkEnd w:id="590"/>
      <w:bookmarkEnd w:id="591"/>
    </w:p>
    <w:p w14:paraId="3A7426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2.19.1 合同使用汉语书就、变更和解释；</w:t>
      </w:r>
    </w:p>
    <w:p w14:paraId="55DA87C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2.19.2 合同适用中华人民共和国法律。</w:t>
      </w:r>
    </w:p>
    <w:p w14:paraId="582D0B2B">
      <w:pPr>
        <w:spacing w:line="560" w:lineRule="exact"/>
        <w:ind w:firstLine="482" w:firstLineChars="200"/>
        <w:outlineLvl w:val="0"/>
        <w:rPr>
          <w:rFonts w:ascii="宋体" w:hAnsi="宋体" w:cs="宋体"/>
          <w:b/>
          <w:color w:val="auto"/>
          <w:sz w:val="24"/>
          <w:highlight w:val="none"/>
        </w:rPr>
      </w:pPr>
      <w:bookmarkStart w:id="592" w:name="_Toc14001"/>
      <w:bookmarkStart w:id="593" w:name="_Toc19890"/>
      <w:bookmarkStart w:id="594" w:name="_Toc6885"/>
      <w:r>
        <w:rPr>
          <w:rFonts w:hint="eastAsia" w:ascii="宋体" w:hAnsi="宋体" w:cs="宋体"/>
          <w:b/>
          <w:color w:val="auto"/>
          <w:sz w:val="24"/>
          <w:highlight w:val="none"/>
        </w:rPr>
        <w:t>2.20 合同份数</w:t>
      </w:r>
      <w:bookmarkEnd w:id="592"/>
      <w:bookmarkEnd w:id="593"/>
      <w:bookmarkEnd w:id="594"/>
    </w:p>
    <w:p w14:paraId="6316E3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合同份数按</w:t>
      </w:r>
      <w:r>
        <w:rPr>
          <w:rFonts w:hint="eastAsia" w:ascii="宋体" w:hAnsi="宋体" w:cs="宋体"/>
          <w:b/>
          <w:i/>
          <w:color w:val="auto"/>
          <w:sz w:val="24"/>
          <w:highlight w:val="none"/>
          <w:u w:val="single"/>
        </w:rPr>
        <w:t>合同专用条款</w:t>
      </w:r>
      <w:r>
        <w:rPr>
          <w:rFonts w:hint="eastAsia" w:ascii="宋体" w:hAnsi="宋体" w:cs="宋体"/>
          <w:color w:val="auto"/>
          <w:sz w:val="24"/>
          <w:highlight w:val="none"/>
        </w:rPr>
        <w:t>规定，每份均具有同等法律效力。</w:t>
      </w:r>
    </w:p>
    <w:p w14:paraId="0C2AF9DF">
      <w:pPr>
        <w:adjustRightInd/>
        <w:spacing w:line="360" w:lineRule="auto"/>
        <w:ind w:firstLine="2513" w:firstLineChars="1197"/>
        <w:outlineLvl w:val="0"/>
        <w:rPr>
          <w:rFonts w:ascii="宋体" w:hAnsi="宋体" w:cs="宋体"/>
          <w:b/>
          <w:color w:val="auto"/>
          <w:highlight w:val="none"/>
        </w:rPr>
      </w:pPr>
      <w:r>
        <w:rPr>
          <w:rFonts w:hint="eastAsia" w:ascii="宋体" w:hAnsi="宋体" w:cs="宋体"/>
          <w:color w:val="auto"/>
          <w:kern w:val="0"/>
          <w:highlight w:val="none"/>
        </w:rPr>
        <w:br w:type="page"/>
      </w:r>
      <w:r>
        <w:rPr>
          <w:rFonts w:hint="eastAsia" w:ascii="宋体" w:hAnsi="宋体" w:cs="宋体"/>
          <w:b/>
          <w:color w:val="auto"/>
          <w:sz w:val="32"/>
          <w:szCs w:val="20"/>
          <w:highlight w:val="none"/>
        </w:rPr>
        <w:t xml:space="preserve"> 第三部分  合同专用条款</w:t>
      </w:r>
    </w:p>
    <w:p w14:paraId="2F216866">
      <w:pPr>
        <w:spacing w:line="560" w:lineRule="exact"/>
        <w:ind w:left="-420" w:leftChars="-200" w:right="-420" w:rightChars="-200" w:firstLine="480" w:firstLineChars="200"/>
        <w:rPr>
          <w:rFonts w:ascii="宋体" w:hAnsi="宋体" w:cs="宋体"/>
          <w:color w:val="auto"/>
          <w:highlight w:val="none"/>
        </w:rPr>
      </w:pPr>
      <w:r>
        <w:rPr>
          <w:rFonts w:hint="eastAsia" w:ascii="宋体" w:hAnsi="宋体" w:cs="宋体"/>
          <w:color w:val="auto"/>
          <w:sz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49"/>
        <w:gridCol w:w="8277"/>
      </w:tblGrid>
      <w:tr w14:paraId="7AFF2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465" w:type="pct"/>
            <w:tcBorders>
              <w:left w:val="single" w:color="auto" w:sz="4" w:space="0"/>
            </w:tcBorders>
            <w:vAlign w:val="center"/>
          </w:tcPr>
          <w:p w14:paraId="76C1310C">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条款号</w:t>
            </w:r>
          </w:p>
        </w:tc>
        <w:tc>
          <w:tcPr>
            <w:tcW w:w="4534" w:type="pct"/>
            <w:vAlign w:val="center"/>
          </w:tcPr>
          <w:p w14:paraId="31C870E6">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约定内容</w:t>
            </w:r>
          </w:p>
        </w:tc>
      </w:tr>
      <w:tr w14:paraId="77887C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8D5D9EE">
            <w:pPr>
              <w:spacing w:line="360" w:lineRule="auto"/>
              <w:rPr>
                <w:rFonts w:ascii="宋体" w:hAnsi="宋体" w:cs="宋体"/>
                <w:color w:val="auto"/>
                <w:sz w:val="24"/>
                <w:highlight w:val="none"/>
              </w:rPr>
            </w:pPr>
            <w:r>
              <w:rPr>
                <w:rFonts w:hint="eastAsia" w:ascii="宋体" w:hAnsi="宋体" w:cs="宋体"/>
                <w:color w:val="auto"/>
                <w:sz w:val="24"/>
                <w:highlight w:val="none"/>
              </w:rPr>
              <w:t>1.4.2</w:t>
            </w:r>
          </w:p>
        </w:tc>
        <w:tc>
          <w:tcPr>
            <w:tcW w:w="4534" w:type="pct"/>
          </w:tcPr>
          <w:p w14:paraId="2903DBB3">
            <w:pPr>
              <w:spacing w:line="360" w:lineRule="auto"/>
              <w:rPr>
                <w:rFonts w:hint="default"/>
                <w:color w:val="auto"/>
                <w:highlight w:val="none"/>
                <w:lang w:val="en-US" w:eastAsia="zh-CN"/>
              </w:rPr>
            </w:pPr>
            <w:r>
              <w:rPr>
                <w:rFonts w:hint="eastAsia" w:ascii="宋体" w:hAnsi="宋体" w:cs="宋体"/>
                <w:color w:val="auto"/>
                <w:sz w:val="24"/>
                <w:highlight w:val="none"/>
              </w:rPr>
              <w:t>在中标通知书发出后7日内供应商应当向采购人提交中标合同金额1%的履约保证金（银行、保险公司出具履约保函）</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待合同履行完毕，经甲方确认后，退还履约保证金（不计息）</w:t>
            </w:r>
            <w:r>
              <w:rPr>
                <w:rFonts w:hint="eastAsia" w:ascii="宋体" w:hAnsi="宋体" w:cs="宋体"/>
                <w:color w:val="auto"/>
                <w:sz w:val="24"/>
                <w:highlight w:val="none"/>
              </w:rPr>
              <w:t>。</w:t>
            </w:r>
          </w:p>
        </w:tc>
      </w:tr>
      <w:tr w14:paraId="3B8E15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39B31263">
            <w:pPr>
              <w:spacing w:line="360" w:lineRule="auto"/>
              <w:rPr>
                <w:rFonts w:ascii="宋体" w:hAnsi="宋体" w:cs="宋体"/>
                <w:color w:val="auto"/>
                <w:sz w:val="24"/>
                <w:highlight w:val="none"/>
              </w:rPr>
            </w:pPr>
            <w:r>
              <w:rPr>
                <w:rFonts w:hint="eastAsia" w:ascii="宋体" w:hAnsi="宋体" w:cs="宋体"/>
                <w:color w:val="auto"/>
                <w:sz w:val="24"/>
                <w:highlight w:val="none"/>
              </w:rPr>
              <w:t>1.5.1</w:t>
            </w:r>
          </w:p>
        </w:tc>
        <w:tc>
          <w:tcPr>
            <w:tcW w:w="4534" w:type="pct"/>
          </w:tcPr>
          <w:p w14:paraId="66A33941">
            <w:pPr>
              <w:pStyle w:val="24"/>
              <w:spacing w:line="360" w:lineRule="auto"/>
              <w:ind w:left="0" w:leftChars="0" w:firstLine="0" w:firstLineChars="0"/>
              <w:rPr>
                <w:rFonts w:cs="宋体"/>
                <w:color w:val="auto"/>
                <w:highlight w:val="none"/>
              </w:rPr>
            </w:pPr>
            <w:r>
              <w:rPr>
                <w:rFonts w:hint="eastAsia" w:cs="宋体"/>
                <w:color w:val="auto"/>
                <w:highlight w:val="none"/>
              </w:rPr>
              <w:t>合同生效以及具备实施条件后</w:t>
            </w:r>
            <w:r>
              <w:rPr>
                <w:rFonts w:hint="eastAsia" w:cs="宋体"/>
                <w:color w:val="auto"/>
                <w:highlight w:val="none"/>
                <w:lang w:eastAsia="zh-CN"/>
              </w:rPr>
              <w:t>，</w:t>
            </w:r>
            <w:r>
              <w:rPr>
                <w:rFonts w:hint="eastAsia" w:cs="宋体"/>
                <w:color w:val="auto"/>
                <w:highlight w:val="none"/>
                <w:lang w:val="en-US" w:eastAsia="zh-CN"/>
              </w:rPr>
              <w:t>经采购单位确认后于7</w:t>
            </w:r>
            <w:r>
              <w:rPr>
                <w:rFonts w:hint="eastAsia" w:cs="宋体"/>
                <w:color w:val="auto"/>
                <w:highlight w:val="none"/>
              </w:rPr>
              <w:t>个工作日内支付</w:t>
            </w:r>
            <w:r>
              <w:rPr>
                <w:rFonts w:hint="eastAsia" w:cs="宋体"/>
                <w:color w:val="auto"/>
                <w:highlight w:val="none"/>
                <w:lang w:val="en-US" w:eastAsia="zh-CN"/>
              </w:rPr>
              <w:t>40%</w:t>
            </w:r>
            <w:r>
              <w:rPr>
                <w:rFonts w:hint="eastAsia" w:cs="宋体"/>
                <w:color w:val="auto"/>
                <w:highlight w:val="none"/>
              </w:rPr>
              <w:t>预付款。</w:t>
            </w:r>
          </w:p>
        </w:tc>
      </w:tr>
      <w:tr w14:paraId="7D0CB0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58A15F5E">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1.5.2</w:t>
            </w:r>
          </w:p>
        </w:tc>
        <w:tc>
          <w:tcPr>
            <w:tcW w:w="4534" w:type="pct"/>
          </w:tcPr>
          <w:p w14:paraId="766C3746">
            <w:pPr>
              <w:spacing w:line="360" w:lineRule="auto"/>
              <w:ind w:firstLine="480" w:firstLineChars="200"/>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w:t>
            </w:r>
          </w:p>
        </w:tc>
      </w:tr>
      <w:tr w14:paraId="47D60B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DF34E93">
            <w:pPr>
              <w:spacing w:line="360" w:lineRule="auto"/>
              <w:rPr>
                <w:rFonts w:ascii="宋体" w:hAnsi="宋体" w:cs="宋体"/>
                <w:color w:val="auto"/>
                <w:sz w:val="24"/>
                <w:highlight w:val="none"/>
              </w:rPr>
            </w:pPr>
            <w:r>
              <w:rPr>
                <w:rFonts w:hint="eastAsia" w:ascii="宋体" w:hAnsi="宋体" w:cs="宋体"/>
                <w:color w:val="auto"/>
                <w:sz w:val="24"/>
                <w:highlight w:val="none"/>
              </w:rPr>
              <w:t>1.5.3</w:t>
            </w:r>
          </w:p>
        </w:tc>
        <w:tc>
          <w:tcPr>
            <w:tcW w:w="4534" w:type="pct"/>
          </w:tcPr>
          <w:p w14:paraId="4986FD24">
            <w:pPr>
              <w:pStyle w:val="24"/>
              <w:spacing w:line="360" w:lineRule="auto"/>
              <w:rPr>
                <w:rFonts w:hint="eastAsia" w:cs="宋体" w:eastAsiaTheme="minorEastAsia"/>
                <w:color w:val="auto"/>
                <w:highlight w:val="none"/>
                <w:lang w:val="en-US" w:eastAsia="zh-CN"/>
              </w:rPr>
            </w:pPr>
            <w:r>
              <w:rPr>
                <w:rFonts w:hint="eastAsia" w:cs="宋体"/>
                <w:color w:val="auto"/>
                <w:highlight w:val="none"/>
                <w:lang w:val="en-US" w:eastAsia="zh-CN"/>
              </w:rPr>
              <w:t>/</w:t>
            </w:r>
          </w:p>
        </w:tc>
      </w:tr>
      <w:tr w14:paraId="425FF4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17948ABA">
            <w:pPr>
              <w:spacing w:line="360" w:lineRule="auto"/>
              <w:rPr>
                <w:rFonts w:ascii="宋体" w:hAnsi="宋体" w:cs="宋体"/>
                <w:color w:val="auto"/>
                <w:sz w:val="24"/>
                <w:highlight w:val="none"/>
              </w:rPr>
            </w:pPr>
            <w:r>
              <w:rPr>
                <w:rFonts w:hint="eastAsia" w:ascii="宋体" w:hAnsi="宋体" w:cs="宋体"/>
                <w:color w:val="auto"/>
                <w:sz w:val="24"/>
                <w:highlight w:val="none"/>
              </w:rPr>
              <w:t>1.6.2</w:t>
            </w:r>
          </w:p>
        </w:tc>
        <w:tc>
          <w:tcPr>
            <w:tcW w:w="4534" w:type="pct"/>
          </w:tcPr>
          <w:p w14:paraId="0FF603A6">
            <w:pPr>
              <w:numPr>
                <w:ilvl w:val="0"/>
                <w:numId w:val="9"/>
              </w:numPr>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rPr>
              <w:t>本项目全项内容验收合格，所有要求提交资料齐全，经采购单位确认后于</w:t>
            </w:r>
            <w:r>
              <w:rPr>
                <w:rFonts w:hint="eastAsia" w:ascii="宋体" w:hAnsi="宋体" w:cs="宋体"/>
                <w:color w:val="auto"/>
                <w:sz w:val="24"/>
                <w:highlight w:val="none"/>
                <w:lang w:val="en-US" w:eastAsia="zh-CN"/>
              </w:rPr>
              <w:t>5个工作日</w:t>
            </w:r>
            <w:r>
              <w:rPr>
                <w:rFonts w:hint="eastAsia" w:ascii="宋体" w:hAnsi="宋体" w:cs="宋体"/>
                <w:color w:val="auto"/>
                <w:sz w:val="24"/>
                <w:highlight w:val="none"/>
              </w:rPr>
              <w:t>内</w:t>
            </w:r>
            <w:r>
              <w:rPr>
                <w:rFonts w:hint="eastAsia" w:ascii="宋体" w:hAnsi="宋体" w:cs="宋体"/>
                <w:color w:val="auto"/>
                <w:sz w:val="24"/>
                <w:highlight w:val="none"/>
                <w:lang w:val="en-US" w:eastAsia="zh-CN"/>
              </w:rPr>
              <w:t>支付至合同结算金额95%，剩余5%作为质量保证金，待质保期满后退还质量保证金（不计息），但甲方有权扣除</w:t>
            </w:r>
            <w:r>
              <w:rPr>
                <w:rFonts w:hint="eastAsia" w:ascii="宋体" w:hAnsi="宋体" w:cs="宋体"/>
                <w:color w:val="auto"/>
                <w:sz w:val="24"/>
                <w:highlight w:val="none"/>
              </w:rPr>
              <w:t>因质量问题而发生的相关费用</w:t>
            </w:r>
            <w:r>
              <w:rPr>
                <w:rFonts w:hint="eastAsia" w:ascii="宋体" w:hAnsi="宋体" w:cs="宋体"/>
                <w:color w:val="auto"/>
                <w:sz w:val="24"/>
                <w:highlight w:val="none"/>
                <w:lang w:val="en-US" w:eastAsia="zh-CN"/>
              </w:rPr>
              <w:t>。</w:t>
            </w:r>
          </w:p>
          <w:p w14:paraId="6D179AB1">
            <w:pPr>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2）当采购数量与实际数量不一致时，乙方应根据实际数量供货，合同结算金额按实际数量乘以成交单价进行结算。</w:t>
            </w:r>
          </w:p>
          <w:p w14:paraId="52CE2B14">
            <w:pPr>
              <w:spacing w:line="360" w:lineRule="auto"/>
              <w:rPr>
                <w:rFonts w:hint="default"/>
                <w:color w:val="auto"/>
                <w:highlight w:val="none"/>
                <w:lang w:val="en-US" w:eastAsia="zh-CN"/>
              </w:rPr>
            </w:pPr>
            <w:r>
              <w:rPr>
                <w:rFonts w:hint="eastAsia" w:ascii="宋体" w:hAnsi="宋体" w:cs="宋体"/>
                <w:color w:val="auto"/>
                <w:sz w:val="24"/>
                <w:highlight w:val="none"/>
                <w:lang w:val="en-US" w:eastAsia="zh-CN"/>
              </w:rPr>
              <w:t>3）供货商需提供合法、有效的正规增值税发票，否则采购人有权延期付款，直至收到供货商相应正规增值税发票为止。</w:t>
            </w:r>
          </w:p>
        </w:tc>
      </w:tr>
      <w:tr w14:paraId="7CFD53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2973B19E">
            <w:pPr>
              <w:spacing w:line="360" w:lineRule="auto"/>
              <w:rPr>
                <w:rFonts w:ascii="宋体" w:hAnsi="宋体" w:cs="宋体"/>
                <w:color w:val="auto"/>
                <w:sz w:val="24"/>
                <w:highlight w:val="none"/>
              </w:rPr>
            </w:pPr>
            <w:r>
              <w:rPr>
                <w:rFonts w:hint="eastAsia" w:ascii="宋体" w:hAnsi="宋体" w:cs="宋体"/>
                <w:color w:val="auto"/>
                <w:sz w:val="24"/>
                <w:highlight w:val="none"/>
              </w:rPr>
              <w:t>1.7.1</w:t>
            </w:r>
          </w:p>
        </w:tc>
        <w:tc>
          <w:tcPr>
            <w:tcW w:w="4534" w:type="pct"/>
          </w:tcPr>
          <w:p w14:paraId="6F210C11">
            <w:pPr>
              <w:spacing w:line="360" w:lineRule="auto"/>
              <w:rPr>
                <w:rFonts w:ascii="宋体" w:hAnsi="宋体" w:cs="宋体"/>
                <w:color w:val="auto"/>
                <w:sz w:val="24"/>
                <w:highlight w:val="none"/>
              </w:rPr>
            </w:pPr>
            <w:r>
              <w:rPr>
                <w:rFonts w:hint="eastAsia" w:ascii="宋体" w:hAnsi="宋体" w:cs="宋体"/>
                <w:color w:val="auto"/>
                <w:sz w:val="24"/>
                <w:highlight w:val="none"/>
              </w:rPr>
              <w:t>接到采购人排产通知起</w:t>
            </w:r>
            <w:r>
              <w:rPr>
                <w:rFonts w:hint="eastAsia" w:ascii="宋体" w:hAnsi="宋体" w:cs="宋体"/>
                <w:color w:val="auto"/>
                <w:sz w:val="24"/>
                <w:highlight w:val="none"/>
                <w:lang w:val="en-US" w:eastAsia="zh-CN"/>
              </w:rPr>
              <w:t>60</w:t>
            </w:r>
            <w:r>
              <w:rPr>
                <w:rFonts w:hint="eastAsia" w:ascii="宋体" w:hAnsi="宋体" w:cs="宋体"/>
                <w:color w:val="auto"/>
                <w:sz w:val="24"/>
                <w:highlight w:val="none"/>
              </w:rPr>
              <w:t>日历天内完成本项目的供货、安装及调试，并通过验收。</w:t>
            </w:r>
          </w:p>
        </w:tc>
      </w:tr>
      <w:tr w14:paraId="25E58F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02AF0C73">
            <w:pPr>
              <w:spacing w:line="360" w:lineRule="auto"/>
              <w:rPr>
                <w:rFonts w:ascii="宋体" w:hAnsi="宋体" w:cs="宋体"/>
                <w:color w:val="auto"/>
                <w:sz w:val="24"/>
                <w:highlight w:val="none"/>
              </w:rPr>
            </w:pPr>
            <w:r>
              <w:rPr>
                <w:rFonts w:hint="eastAsia" w:ascii="宋体" w:hAnsi="宋体" w:cs="宋体"/>
                <w:color w:val="auto"/>
                <w:sz w:val="24"/>
                <w:highlight w:val="none"/>
              </w:rPr>
              <w:t>1.7.2</w:t>
            </w:r>
          </w:p>
        </w:tc>
        <w:tc>
          <w:tcPr>
            <w:tcW w:w="4534" w:type="pct"/>
          </w:tcPr>
          <w:p w14:paraId="46E9A71F">
            <w:pPr>
              <w:pStyle w:val="24"/>
              <w:spacing w:line="360" w:lineRule="auto"/>
              <w:ind w:left="0" w:leftChars="0" w:firstLine="0" w:firstLineChars="0"/>
              <w:rPr>
                <w:rFonts w:cs="宋体"/>
                <w:color w:val="auto"/>
                <w:highlight w:val="none"/>
              </w:rPr>
            </w:pPr>
            <w:r>
              <w:rPr>
                <w:rFonts w:hint="eastAsia" w:cs="宋体"/>
                <w:color w:val="auto"/>
                <w:highlight w:val="none"/>
              </w:rPr>
              <w:t>杭州市滨江区。</w:t>
            </w:r>
          </w:p>
        </w:tc>
      </w:tr>
      <w:tr w14:paraId="420292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2F579C45">
            <w:pPr>
              <w:spacing w:line="360" w:lineRule="auto"/>
              <w:rPr>
                <w:rFonts w:ascii="宋体" w:hAnsi="宋体" w:cs="宋体"/>
                <w:color w:val="auto"/>
                <w:sz w:val="24"/>
                <w:highlight w:val="none"/>
              </w:rPr>
            </w:pPr>
            <w:r>
              <w:rPr>
                <w:rFonts w:hint="eastAsia" w:ascii="宋体" w:hAnsi="宋体" w:cs="宋体"/>
                <w:color w:val="auto"/>
                <w:sz w:val="24"/>
                <w:highlight w:val="none"/>
              </w:rPr>
              <w:t>1.7.3</w:t>
            </w:r>
          </w:p>
        </w:tc>
        <w:tc>
          <w:tcPr>
            <w:tcW w:w="4534" w:type="pct"/>
          </w:tcPr>
          <w:p w14:paraId="56B5E244">
            <w:pPr>
              <w:pStyle w:val="23"/>
              <w:rPr>
                <w:rFonts w:hint="eastAsia" w:hAnsi="宋体" w:cs="宋体"/>
                <w:color w:val="auto"/>
                <w:spacing w:val="-6"/>
                <w:sz w:val="24"/>
                <w:szCs w:val="24"/>
                <w:highlight w:val="none"/>
              </w:rPr>
            </w:pPr>
            <w:r>
              <w:rPr>
                <w:rFonts w:hint="eastAsia" w:hAnsi="宋体" w:cs="宋体"/>
                <w:color w:val="auto"/>
                <w:spacing w:val="-6"/>
                <w:sz w:val="24"/>
                <w:szCs w:val="24"/>
                <w:highlight w:val="none"/>
              </w:rPr>
              <w:t>待乙方在合同（协议）约定期限内完成合同（协议）规定的服务后，向甲方递交设计成果资料、活动现场图文资料、活动视频（光盘或U盘）、宣传资料、活动总结及其他相关资料。</w:t>
            </w:r>
          </w:p>
        </w:tc>
      </w:tr>
      <w:tr w14:paraId="3237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62F742C2">
            <w:pPr>
              <w:spacing w:line="360" w:lineRule="auto"/>
              <w:rPr>
                <w:rFonts w:ascii="宋体" w:hAnsi="宋体" w:cs="宋体"/>
                <w:color w:val="auto"/>
                <w:sz w:val="24"/>
                <w:highlight w:val="none"/>
              </w:rPr>
            </w:pPr>
            <w:r>
              <w:rPr>
                <w:rFonts w:hint="eastAsia" w:ascii="宋体" w:hAnsi="宋体" w:cs="宋体"/>
                <w:color w:val="auto"/>
                <w:sz w:val="24"/>
                <w:highlight w:val="none"/>
              </w:rPr>
              <w:t>1.8.6</w:t>
            </w:r>
          </w:p>
        </w:tc>
        <w:tc>
          <w:tcPr>
            <w:tcW w:w="4534" w:type="pct"/>
            <w:vAlign w:val="center"/>
          </w:tcPr>
          <w:p w14:paraId="0E26D260">
            <w:pPr>
              <w:pStyle w:val="23"/>
              <w:rPr>
                <w:rFonts w:hint="eastAsia" w:hAnsi="宋体" w:cs="宋体"/>
                <w:color w:val="auto"/>
                <w:spacing w:val="-6"/>
                <w:sz w:val="24"/>
                <w:szCs w:val="24"/>
                <w:highlight w:val="none"/>
                <w:lang w:val="zh-CN" w:eastAsia="zh-CN"/>
              </w:rPr>
            </w:pPr>
            <w:r>
              <w:rPr>
                <w:rFonts w:hint="eastAsia" w:hAnsi="宋体" w:cs="宋体"/>
                <w:color w:val="auto"/>
                <w:spacing w:val="-6"/>
                <w:sz w:val="24"/>
                <w:szCs w:val="24"/>
                <w:highlight w:val="none"/>
                <w:lang w:val="zh-CN" w:eastAsia="zh-CN"/>
              </w:rPr>
              <w:t>其他违约责任：</w:t>
            </w:r>
          </w:p>
          <w:p w14:paraId="22BB0D38">
            <w:pPr>
              <w:pStyle w:val="23"/>
              <w:rPr>
                <w:rFonts w:hint="eastAsia" w:hAnsi="宋体" w:cs="宋体"/>
                <w:color w:val="auto"/>
                <w:spacing w:val="-6"/>
                <w:sz w:val="24"/>
                <w:szCs w:val="24"/>
                <w:highlight w:val="none"/>
                <w:lang w:val="zh-CN" w:eastAsia="zh-CN"/>
              </w:rPr>
            </w:pPr>
            <w:r>
              <w:rPr>
                <w:rFonts w:hint="eastAsia" w:hAnsi="宋体" w:cs="宋体"/>
                <w:color w:val="auto"/>
                <w:spacing w:val="-6"/>
                <w:sz w:val="24"/>
                <w:szCs w:val="24"/>
                <w:highlight w:val="none"/>
                <w:lang w:val="zh-CN" w:eastAsia="zh-CN"/>
              </w:rPr>
              <w:t>1.乙方必须在规定期间内完成招标文件和投标文件上所要求的服务，并通过甲方组织的履约验收，否则甲方有权单方解除合同，并索回全部支付的货款，赔偿延误的工期损失。</w:t>
            </w:r>
          </w:p>
          <w:p w14:paraId="0578D32A">
            <w:pPr>
              <w:pStyle w:val="23"/>
              <w:rPr>
                <w:rFonts w:hint="eastAsia" w:hAnsi="宋体" w:cs="宋体"/>
                <w:color w:val="auto"/>
                <w:spacing w:val="-6"/>
                <w:sz w:val="24"/>
                <w:szCs w:val="24"/>
                <w:highlight w:val="none"/>
                <w:lang w:val="zh-CN" w:eastAsia="zh-CN"/>
              </w:rPr>
            </w:pPr>
            <w:r>
              <w:rPr>
                <w:rFonts w:hint="eastAsia" w:hAnsi="宋体" w:cs="宋体"/>
                <w:color w:val="auto"/>
                <w:spacing w:val="-6"/>
                <w:sz w:val="24"/>
                <w:szCs w:val="24"/>
                <w:highlight w:val="none"/>
                <w:lang w:val="zh-CN" w:eastAsia="zh-CN"/>
              </w:rPr>
              <w:t>2.服务期间，如受到不可抗力的影响，乙方应第一时间向甲方说明情况，一并提供备选方案以完成活动举办。如乙方未经甲方允许取消活动的，扣合同价2%的违约金，同时甲方有权提前解除合同。</w:t>
            </w:r>
          </w:p>
          <w:p w14:paraId="09E2A3DD">
            <w:pPr>
              <w:pStyle w:val="23"/>
              <w:rPr>
                <w:rFonts w:hint="eastAsia" w:hAnsi="宋体" w:cs="宋体"/>
                <w:color w:val="auto"/>
                <w:spacing w:val="-6"/>
                <w:sz w:val="24"/>
                <w:szCs w:val="24"/>
                <w:highlight w:val="none"/>
                <w:lang w:val="zh-CN" w:eastAsia="zh-CN"/>
              </w:rPr>
            </w:pPr>
            <w:r>
              <w:rPr>
                <w:rFonts w:hint="eastAsia" w:hAnsi="宋体" w:cs="宋体"/>
                <w:color w:val="auto"/>
                <w:spacing w:val="-6"/>
                <w:sz w:val="24"/>
                <w:szCs w:val="24"/>
                <w:highlight w:val="none"/>
                <w:lang w:val="zh-CN" w:eastAsia="zh-CN"/>
              </w:rPr>
              <w:t>3.乙方做好安全措施，确保无安全事故发生。若发生，乙方承担安全事故引起的责任和相关费用，同时每发生一次扣1万元违约金；若发生二次及以上或发生严重安全事故，甲方有权提前解除合同。</w:t>
            </w:r>
          </w:p>
          <w:p w14:paraId="67746EC7">
            <w:pPr>
              <w:pStyle w:val="23"/>
              <w:rPr>
                <w:color w:val="auto"/>
                <w:highlight w:val="none"/>
              </w:rPr>
            </w:pPr>
            <w:r>
              <w:rPr>
                <w:rFonts w:hint="eastAsia" w:hAnsi="宋体" w:cs="宋体"/>
                <w:color w:val="auto"/>
                <w:spacing w:val="-6"/>
                <w:sz w:val="24"/>
                <w:szCs w:val="24"/>
                <w:highlight w:val="none"/>
                <w:lang w:val="zh-CN" w:eastAsia="zh-CN"/>
              </w:rPr>
              <w:t>4.乙方无法按承诺完成工作，甲方有权提前解除合同。</w:t>
            </w:r>
          </w:p>
        </w:tc>
      </w:tr>
      <w:tr w14:paraId="2343BE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F3AB41B">
            <w:pPr>
              <w:spacing w:line="360" w:lineRule="auto"/>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1.9.1</w:t>
            </w:r>
          </w:p>
        </w:tc>
        <w:tc>
          <w:tcPr>
            <w:tcW w:w="4534" w:type="pct"/>
            <w:vAlign w:val="center"/>
          </w:tcPr>
          <w:p w14:paraId="6DBCA4DD">
            <w:pPr>
              <w:spacing w:line="360" w:lineRule="auto"/>
              <w:rPr>
                <w:rFonts w:hint="eastAsia" w:ascii="宋体" w:hAnsi="宋体" w:cs="宋体" w:eastAsiaTheme="minorEastAsia"/>
                <w:color w:val="auto"/>
                <w:kern w:val="2"/>
                <w:sz w:val="24"/>
                <w:szCs w:val="24"/>
                <w:highlight w:val="none"/>
                <w:lang w:val="en-US" w:eastAsia="zh-CN" w:bidi="ar-SA"/>
              </w:rPr>
            </w:pPr>
            <w:r>
              <w:rPr>
                <w:rFonts w:hint="eastAsia" w:ascii="宋体" w:hAnsi="宋体" w:cs="宋体"/>
                <w:color w:val="auto"/>
                <w:sz w:val="24"/>
                <w:highlight w:val="none"/>
              </w:rPr>
              <w:t>将争议提交杭州市仲裁委员会依申请仲裁时其现行有效的仲裁规则裁决</w:t>
            </w:r>
          </w:p>
        </w:tc>
      </w:tr>
      <w:tr w14:paraId="32AC57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67BFBE66">
            <w:pPr>
              <w:spacing w:line="360" w:lineRule="auto"/>
              <w:rPr>
                <w:rFonts w:ascii="宋体" w:hAnsi="宋体" w:cs="宋体"/>
                <w:color w:val="auto"/>
                <w:sz w:val="24"/>
                <w:highlight w:val="none"/>
              </w:rPr>
            </w:pPr>
            <w:r>
              <w:rPr>
                <w:rFonts w:hint="eastAsia" w:ascii="宋体" w:hAnsi="宋体" w:cs="宋体"/>
                <w:color w:val="auto"/>
                <w:sz w:val="24"/>
                <w:highlight w:val="none"/>
              </w:rPr>
              <w:t>1.9.2</w:t>
            </w:r>
          </w:p>
        </w:tc>
        <w:tc>
          <w:tcPr>
            <w:tcW w:w="4534" w:type="pct"/>
            <w:vAlign w:val="center"/>
          </w:tcPr>
          <w:p w14:paraId="5B0EE925">
            <w:pPr>
              <w:spacing w:line="360" w:lineRule="auto"/>
              <w:ind w:left="-420" w:leftChars="-200" w:right="-420" w:rightChars="-200" w:firstLine="480" w:firstLineChars="200"/>
              <w:rPr>
                <w:rFonts w:ascii="宋体" w:hAnsi="宋体" w:cs="宋体" w:eastAsiaTheme="minorEastAsia"/>
                <w:color w:val="auto"/>
                <w:kern w:val="2"/>
                <w:sz w:val="24"/>
                <w:szCs w:val="24"/>
                <w:highlight w:val="none"/>
                <w:lang w:val="en-US" w:eastAsia="zh-CN" w:bidi="ar-SA"/>
              </w:rPr>
            </w:pPr>
            <w:r>
              <w:rPr>
                <w:rFonts w:hint="eastAsia" w:ascii="宋体" w:hAnsi="宋体" w:cs="宋体"/>
                <w:color w:val="auto"/>
                <w:sz w:val="24"/>
                <w:highlight w:val="none"/>
              </w:rPr>
              <w:t>向杭州市滨江区人民法院起诉。</w:t>
            </w:r>
          </w:p>
        </w:tc>
      </w:tr>
      <w:tr w14:paraId="6D71EE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820C8A4">
            <w:pPr>
              <w:spacing w:line="360" w:lineRule="auto"/>
              <w:rPr>
                <w:rFonts w:ascii="宋体" w:hAnsi="宋体" w:cs="宋体"/>
                <w:color w:val="auto"/>
                <w:sz w:val="24"/>
                <w:highlight w:val="none"/>
              </w:rPr>
            </w:pPr>
            <w:r>
              <w:rPr>
                <w:rFonts w:hint="eastAsia" w:ascii="宋体" w:hAnsi="宋体" w:cs="宋体"/>
                <w:color w:val="auto"/>
                <w:sz w:val="24"/>
                <w:highlight w:val="none"/>
              </w:rPr>
              <w:t>2.3.2</w:t>
            </w:r>
          </w:p>
        </w:tc>
        <w:tc>
          <w:tcPr>
            <w:tcW w:w="4534" w:type="pct"/>
            <w:vAlign w:val="center"/>
          </w:tcPr>
          <w:p w14:paraId="274881F3">
            <w:pPr>
              <w:spacing w:line="360" w:lineRule="auto"/>
              <w:ind w:left="-420" w:leftChars="-200" w:right="-420" w:rightChars="-200" w:firstLine="480" w:firstLineChars="200"/>
              <w:rPr>
                <w:rFonts w:ascii="宋体" w:hAnsi="宋体" w:cs="宋体"/>
                <w:color w:val="auto"/>
                <w:sz w:val="24"/>
                <w:highlight w:val="none"/>
              </w:rPr>
            </w:pPr>
            <w:r>
              <w:rPr>
                <w:rFonts w:hint="eastAsia" w:ascii="宋体" w:hAnsi="宋体" w:cs="宋体"/>
                <w:color w:val="auto"/>
                <w:sz w:val="24"/>
                <w:highlight w:val="none"/>
              </w:rPr>
              <w:t>具有知识产权的计算机软件等货物的知识产权归甲方所有。</w:t>
            </w:r>
          </w:p>
        </w:tc>
      </w:tr>
      <w:tr w14:paraId="109E70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0EB708D">
            <w:pPr>
              <w:spacing w:line="360" w:lineRule="auto"/>
              <w:rPr>
                <w:rFonts w:ascii="宋体" w:hAnsi="宋体" w:cs="宋体"/>
                <w:color w:val="auto"/>
                <w:sz w:val="24"/>
                <w:highlight w:val="none"/>
              </w:rPr>
            </w:pPr>
            <w:r>
              <w:rPr>
                <w:rFonts w:hint="eastAsia" w:ascii="宋体" w:hAnsi="宋体" w:cs="宋体"/>
                <w:color w:val="auto"/>
                <w:sz w:val="24"/>
                <w:highlight w:val="none"/>
              </w:rPr>
              <w:t>2.4.1</w:t>
            </w:r>
          </w:p>
        </w:tc>
        <w:tc>
          <w:tcPr>
            <w:tcW w:w="4534" w:type="pct"/>
            <w:vAlign w:val="center"/>
          </w:tcPr>
          <w:p w14:paraId="025E5BDD">
            <w:pPr>
              <w:spacing w:line="360" w:lineRule="auto"/>
              <w:ind w:left="-420" w:leftChars="-200" w:right="-420" w:rightChars="-200" w:firstLine="480" w:firstLineChars="200"/>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w:t>
            </w:r>
          </w:p>
        </w:tc>
      </w:tr>
      <w:tr w14:paraId="1E1131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0260764">
            <w:pPr>
              <w:spacing w:line="360" w:lineRule="auto"/>
              <w:rPr>
                <w:rFonts w:ascii="宋体" w:hAnsi="宋体" w:cs="宋体"/>
                <w:color w:val="auto"/>
                <w:sz w:val="24"/>
                <w:highlight w:val="none"/>
              </w:rPr>
            </w:pPr>
            <w:r>
              <w:rPr>
                <w:rFonts w:hint="eastAsia" w:ascii="宋体" w:hAnsi="宋体" w:cs="宋体"/>
                <w:color w:val="auto"/>
                <w:sz w:val="24"/>
                <w:highlight w:val="none"/>
              </w:rPr>
              <w:t>2.4.3</w:t>
            </w:r>
          </w:p>
        </w:tc>
        <w:tc>
          <w:tcPr>
            <w:tcW w:w="4534" w:type="pct"/>
            <w:vAlign w:val="center"/>
          </w:tcPr>
          <w:p w14:paraId="27A8AB9F">
            <w:pPr>
              <w:spacing w:line="360" w:lineRule="auto"/>
              <w:rPr>
                <w:rFonts w:hint="eastAsia"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w:t>
            </w:r>
          </w:p>
        </w:tc>
      </w:tr>
      <w:tr w14:paraId="162F22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tcPr>
          <w:p w14:paraId="41365F48">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2.8</w:t>
            </w:r>
          </w:p>
        </w:tc>
        <w:tc>
          <w:tcPr>
            <w:tcW w:w="4534" w:type="pct"/>
          </w:tcPr>
          <w:p w14:paraId="486379E3">
            <w:pPr>
              <w:spacing w:line="360" w:lineRule="auto"/>
              <w:rPr>
                <w:rFonts w:ascii="宋体" w:hAnsi="宋体" w:cs="宋体"/>
                <w:color w:val="auto"/>
                <w:sz w:val="24"/>
                <w:highlight w:val="none"/>
              </w:rPr>
            </w:pPr>
            <w:r>
              <w:rPr>
                <w:rFonts w:hint="eastAsia" w:ascii="宋体" w:hAnsi="宋体" w:cs="宋体"/>
                <w:color w:val="auto"/>
                <w:sz w:val="24"/>
                <w:highlight w:val="none"/>
              </w:rPr>
              <w:t>货物或者在途货物或者交付给第一承运人后的货物毁损、灭失的风险负担由乙方承担。</w:t>
            </w:r>
          </w:p>
        </w:tc>
      </w:tr>
      <w:tr w14:paraId="6D3ADE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AFC7040">
            <w:pPr>
              <w:spacing w:line="360" w:lineRule="auto"/>
              <w:rPr>
                <w:rFonts w:ascii="宋体" w:hAnsi="宋体" w:cs="宋体"/>
                <w:color w:val="auto"/>
                <w:sz w:val="24"/>
                <w:highlight w:val="none"/>
              </w:rPr>
            </w:pPr>
            <w:r>
              <w:rPr>
                <w:rFonts w:hint="eastAsia" w:ascii="宋体" w:hAnsi="宋体" w:cs="宋体"/>
                <w:color w:val="auto"/>
                <w:sz w:val="24"/>
                <w:highlight w:val="none"/>
              </w:rPr>
              <w:t>2.12.3</w:t>
            </w:r>
          </w:p>
        </w:tc>
        <w:tc>
          <w:tcPr>
            <w:tcW w:w="4534" w:type="pct"/>
            <w:vAlign w:val="center"/>
          </w:tcPr>
          <w:p w14:paraId="6B9E6606">
            <w:pPr>
              <w:spacing w:line="360" w:lineRule="auto"/>
              <w:rPr>
                <w:rFonts w:ascii="宋体" w:hAnsi="宋体" w:cs="宋体"/>
                <w:color w:val="auto"/>
                <w:sz w:val="24"/>
                <w:highlight w:val="none"/>
              </w:rPr>
            </w:pPr>
            <w:r>
              <w:rPr>
                <w:rFonts w:hint="eastAsia" w:ascii="宋体" w:hAnsi="宋体" w:cs="宋体"/>
                <w:color w:val="auto"/>
                <w:sz w:val="24"/>
                <w:highlight w:val="none"/>
              </w:rPr>
              <w:t>因不可抗力致使合同有变更必要的，双方当事人应在发生后6小时内以书面形式变更合同；</w:t>
            </w:r>
          </w:p>
        </w:tc>
      </w:tr>
      <w:tr w14:paraId="59CB9C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3B6AE92B">
            <w:pPr>
              <w:spacing w:line="360" w:lineRule="auto"/>
              <w:rPr>
                <w:rFonts w:ascii="宋体" w:hAnsi="宋体" w:cs="宋体"/>
                <w:color w:val="auto"/>
                <w:sz w:val="24"/>
                <w:highlight w:val="none"/>
              </w:rPr>
            </w:pPr>
            <w:r>
              <w:rPr>
                <w:rFonts w:hint="eastAsia" w:ascii="宋体" w:hAnsi="宋体" w:cs="宋体"/>
                <w:color w:val="auto"/>
                <w:sz w:val="24"/>
                <w:highlight w:val="none"/>
              </w:rPr>
              <w:t>2.12.4</w:t>
            </w:r>
          </w:p>
        </w:tc>
        <w:tc>
          <w:tcPr>
            <w:tcW w:w="4534" w:type="pct"/>
            <w:vAlign w:val="center"/>
          </w:tcPr>
          <w:p w14:paraId="1FE3EA48">
            <w:pPr>
              <w:spacing w:line="360" w:lineRule="auto"/>
              <w:rPr>
                <w:rFonts w:ascii="宋体" w:hAnsi="宋体" w:cs="宋体"/>
                <w:color w:val="auto"/>
                <w:sz w:val="24"/>
                <w:highlight w:val="none"/>
              </w:rPr>
            </w:pPr>
            <w:r>
              <w:rPr>
                <w:rFonts w:hint="eastAsia" w:ascii="宋体" w:hAnsi="宋体" w:cs="宋体"/>
                <w:color w:val="auto"/>
                <w:sz w:val="24"/>
                <w:highlight w:val="none"/>
              </w:rPr>
              <w:t>受不可抗力影响的一方在不可抗力发生后，应在发生后6小时内以书面形式通知对方当事人，并在事故发生后14天内，将有关部门出具的证明文件送达对方当事人。如果不可抗力影响时间延续120天以上的，双方应通过友好协商在合理的时间内达成进一步履行合同的协议。</w:t>
            </w:r>
          </w:p>
        </w:tc>
      </w:tr>
      <w:tr w14:paraId="58024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F6D2708">
            <w:pPr>
              <w:spacing w:line="360" w:lineRule="auto"/>
              <w:rPr>
                <w:rFonts w:ascii="宋体" w:hAnsi="宋体" w:cs="宋体"/>
                <w:color w:val="auto"/>
                <w:sz w:val="24"/>
                <w:highlight w:val="none"/>
              </w:rPr>
            </w:pPr>
            <w:r>
              <w:rPr>
                <w:rFonts w:hint="eastAsia" w:ascii="宋体" w:hAnsi="宋体" w:cs="宋体"/>
                <w:color w:val="auto"/>
                <w:sz w:val="24"/>
                <w:highlight w:val="none"/>
              </w:rPr>
              <w:t>2.16.1</w:t>
            </w:r>
          </w:p>
        </w:tc>
        <w:tc>
          <w:tcPr>
            <w:tcW w:w="4534" w:type="pct"/>
            <w:vAlign w:val="center"/>
          </w:tcPr>
          <w:p w14:paraId="46C23CC4">
            <w:pPr>
              <w:spacing w:line="360" w:lineRule="auto"/>
              <w:rPr>
                <w:rFonts w:ascii="宋体" w:hAnsi="宋体" w:cs="宋体"/>
                <w:color w:val="auto"/>
                <w:sz w:val="24"/>
                <w:highlight w:val="none"/>
              </w:rPr>
            </w:pPr>
            <w:r>
              <w:rPr>
                <w:rFonts w:hint="eastAsia" w:ascii="宋体" w:hAnsi="宋体" w:cs="宋体"/>
                <w:color w:val="auto"/>
                <w:sz w:val="24"/>
                <w:highlight w:val="none"/>
              </w:rPr>
              <w:t>五个工作日内</w:t>
            </w:r>
          </w:p>
        </w:tc>
      </w:tr>
      <w:tr w14:paraId="46353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65" w:type="pct"/>
            <w:tcBorders>
              <w:left w:val="single" w:color="auto" w:sz="4" w:space="0"/>
            </w:tcBorders>
            <w:vAlign w:val="center"/>
          </w:tcPr>
          <w:p w14:paraId="1CA7FC31">
            <w:pPr>
              <w:spacing w:line="360" w:lineRule="auto"/>
              <w:rPr>
                <w:rFonts w:ascii="宋体" w:hAnsi="宋体" w:cs="宋体"/>
                <w:color w:val="auto"/>
                <w:sz w:val="24"/>
                <w:highlight w:val="none"/>
              </w:rPr>
            </w:pPr>
            <w:r>
              <w:rPr>
                <w:rFonts w:hint="eastAsia" w:ascii="宋体" w:hAnsi="宋体" w:cs="宋体"/>
                <w:color w:val="auto"/>
                <w:sz w:val="24"/>
                <w:highlight w:val="none"/>
              </w:rPr>
              <w:t>2.16.3</w:t>
            </w:r>
          </w:p>
        </w:tc>
        <w:tc>
          <w:tcPr>
            <w:tcW w:w="4534" w:type="pct"/>
            <w:vAlign w:val="center"/>
          </w:tcPr>
          <w:p w14:paraId="7C826BED">
            <w:pPr>
              <w:spacing w:line="360" w:lineRule="auto"/>
              <w:rPr>
                <w:rFonts w:ascii="宋体" w:hAnsi="宋体" w:cs="宋体"/>
                <w:color w:val="auto"/>
                <w:sz w:val="24"/>
                <w:highlight w:val="none"/>
              </w:rPr>
            </w:pPr>
            <w:r>
              <w:rPr>
                <w:rFonts w:hint="eastAsia" w:ascii="宋体" w:hAnsi="宋体" w:cs="宋体"/>
                <w:color w:val="auto"/>
                <w:sz w:val="24"/>
                <w:highlight w:val="none"/>
              </w:rPr>
              <w:t>（1）检验和验收标准：①满足采购需求及技术服务的要求，达到甲方考核合格标准；②资金支付及履约保证金返还条件、争议处理、验收费用支付、采购人及供应商各自权利义务等内容按国家，省，市现行规定和合同约定的内容。</w:t>
            </w:r>
          </w:p>
          <w:p w14:paraId="218677C5">
            <w:pPr>
              <w:spacing w:line="360" w:lineRule="auto"/>
              <w:rPr>
                <w:rFonts w:ascii="宋体" w:hAnsi="宋体" w:cs="宋体"/>
                <w:color w:val="auto"/>
                <w:sz w:val="24"/>
                <w:highlight w:val="none"/>
              </w:rPr>
            </w:pPr>
            <w:r>
              <w:rPr>
                <w:rFonts w:hint="eastAsia" w:ascii="宋体" w:hAnsi="宋体" w:cs="宋体"/>
                <w:color w:val="auto"/>
                <w:sz w:val="24"/>
                <w:highlight w:val="none"/>
              </w:rPr>
              <w:t>（2）验收程序：根据《杭州市政府采购履约验收暂行办法》规定，按照</w:t>
            </w:r>
            <w:r>
              <w:rPr>
                <w:rFonts w:hint="eastAsia" w:ascii="宋体" w:hAnsi="宋体" w:cs="宋体"/>
                <w:color w:val="auto"/>
                <w:sz w:val="24"/>
                <w:highlight w:val="none"/>
              </w:rPr>
              <w:sym w:font="Wingdings" w:char="00FE"/>
            </w:r>
            <w:r>
              <w:rPr>
                <w:rFonts w:hint="eastAsia" w:ascii="宋体" w:hAnsi="宋体" w:cs="宋体"/>
                <w:color w:val="auto"/>
                <w:sz w:val="24"/>
                <w:highlight w:val="none"/>
              </w:rPr>
              <w:t>一般程序进行验收，</w:t>
            </w:r>
            <w:r>
              <w:rPr>
                <w:rFonts w:hint="eastAsia" w:ascii="宋体" w:hAnsi="宋体" w:cs="宋体"/>
                <w:color w:val="auto"/>
                <w:sz w:val="24"/>
                <w:highlight w:val="none"/>
              </w:rPr>
              <w:sym w:font="Wingdings" w:char="00A8"/>
            </w:r>
            <w:r>
              <w:rPr>
                <w:rFonts w:hint="eastAsia" w:ascii="宋体" w:hAnsi="宋体" w:cs="宋体"/>
                <w:color w:val="auto"/>
                <w:sz w:val="24"/>
                <w:highlight w:val="none"/>
              </w:rPr>
              <w:t>简易程序验收。验收方法为</w:t>
            </w:r>
            <w:r>
              <w:rPr>
                <w:rFonts w:hint="eastAsia" w:ascii="宋体" w:hAnsi="宋体" w:cs="宋体"/>
                <w:color w:val="auto"/>
                <w:sz w:val="24"/>
                <w:highlight w:val="none"/>
              </w:rPr>
              <w:sym w:font="Wingdings" w:char="00FE"/>
            </w:r>
            <w:r>
              <w:rPr>
                <w:rFonts w:hint="eastAsia" w:ascii="宋体" w:hAnsi="宋体" w:cs="宋体"/>
                <w:color w:val="auto"/>
                <w:sz w:val="24"/>
                <w:highlight w:val="none"/>
              </w:rPr>
              <w:t>一次性验收、</w:t>
            </w:r>
            <w:r>
              <w:rPr>
                <w:rFonts w:hint="eastAsia" w:ascii="宋体" w:hAnsi="宋体" w:cs="宋体"/>
                <w:color w:val="auto"/>
                <w:sz w:val="24"/>
                <w:highlight w:val="none"/>
              </w:rPr>
              <w:sym w:font="Wingdings" w:char="00A8"/>
            </w:r>
            <w:r>
              <w:rPr>
                <w:rFonts w:hint="eastAsia" w:ascii="宋体" w:hAnsi="宋体" w:cs="宋体"/>
                <w:color w:val="auto"/>
                <w:sz w:val="24"/>
                <w:highlight w:val="none"/>
              </w:rPr>
              <w:t>分段验收、</w:t>
            </w:r>
            <w:r>
              <w:rPr>
                <w:rFonts w:hint="eastAsia" w:ascii="宋体" w:hAnsi="宋体" w:cs="宋体"/>
                <w:color w:val="auto"/>
                <w:sz w:val="24"/>
                <w:highlight w:val="none"/>
              </w:rPr>
              <w:sym w:font="Wingdings" w:char="00A8"/>
            </w:r>
            <w:r>
              <w:rPr>
                <w:rFonts w:hint="eastAsia" w:ascii="宋体" w:hAnsi="宋体" w:cs="宋体"/>
                <w:color w:val="auto"/>
                <w:sz w:val="24"/>
                <w:highlight w:val="none"/>
              </w:rPr>
              <w:t>分期验收。</w:t>
            </w:r>
          </w:p>
          <w:p w14:paraId="7E4A0B52">
            <w:pPr>
              <w:spacing w:line="360" w:lineRule="auto"/>
              <w:rPr>
                <w:rFonts w:ascii="宋体" w:hAnsi="宋体" w:cs="宋体"/>
                <w:color w:val="auto"/>
                <w:sz w:val="24"/>
                <w:highlight w:val="none"/>
              </w:rPr>
            </w:pPr>
            <w:r>
              <w:rPr>
                <w:rFonts w:hint="eastAsia" w:ascii="宋体" w:hAnsi="宋体" w:cs="宋体"/>
                <w:color w:val="auto"/>
                <w:sz w:val="24"/>
                <w:highlight w:val="none"/>
              </w:rPr>
              <w:t>（3）以上内容以及验收书具有同等法律效力，以上内容有冲突时以较严格的要求为准。</w:t>
            </w:r>
          </w:p>
        </w:tc>
      </w:tr>
      <w:tr w14:paraId="6E3AE0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65" w:type="pct"/>
            <w:tcBorders>
              <w:left w:val="single" w:color="auto" w:sz="4" w:space="0"/>
            </w:tcBorders>
            <w:vAlign w:val="center"/>
          </w:tcPr>
          <w:p w14:paraId="55141B8B">
            <w:pPr>
              <w:spacing w:line="360" w:lineRule="auto"/>
              <w:ind w:left="-420" w:leftChars="-200" w:right="-420" w:rightChars="-200" w:firstLine="480" w:firstLineChars="200"/>
              <w:outlineLvl w:val="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2.20</w:t>
            </w:r>
          </w:p>
        </w:tc>
        <w:tc>
          <w:tcPr>
            <w:tcW w:w="4534" w:type="pct"/>
            <w:vAlign w:val="center"/>
          </w:tcPr>
          <w:p w14:paraId="5F93575B">
            <w:pPr>
              <w:spacing w:line="360" w:lineRule="auto"/>
              <w:rPr>
                <w:rFonts w:ascii="宋体" w:hAnsi="宋体" w:cs="宋体"/>
                <w:color w:val="auto"/>
                <w:sz w:val="24"/>
                <w:highlight w:val="none"/>
              </w:rPr>
            </w:pPr>
            <w:r>
              <w:rPr>
                <w:rFonts w:hint="eastAsia" w:ascii="宋体" w:hAnsi="宋体" w:cs="宋体"/>
                <w:color w:val="auto"/>
                <w:sz w:val="24"/>
                <w:highlight w:val="none"/>
              </w:rPr>
              <w:t>本合同一式</w:t>
            </w:r>
            <w:r>
              <w:rPr>
                <w:rFonts w:hint="eastAsia" w:ascii="宋体" w:hAnsi="宋体" w:cs="宋体"/>
                <w:color w:val="auto"/>
                <w:sz w:val="24"/>
                <w:highlight w:val="none"/>
                <w:u w:val="single"/>
                <w:lang w:val="en-US" w:eastAsia="zh-CN"/>
              </w:rPr>
              <w:t>玖</w:t>
            </w:r>
            <w:r>
              <w:rPr>
                <w:rFonts w:hint="eastAsia" w:ascii="宋体" w:hAnsi="宋体" w:cs="宋体"/>
                <w:color w:val="auto"/>
                <w:sz w:val="24"/>
                <w:highlight w:val="none"/>
              </w:rPr>
              <w:t>份，甲方</w:t>
            </w:r>
            <w:r>
              <w:rPr>
                <w:rFonts w:hint="default" w:ascii="宋体" w:hAnsi="宋体" w:cs="宋体"/>
                <w:color w:val="auto"/>
                <w:sz w:val="24"/>
                <w:highlight w:val="none"/>
                <w:u w:val="single"/>
                <w:lang w:val="en-US" w:eastAsia="zh-CN"/>
              </w:rPr>
              <w:t>陆</w:t>
            </w:r>
            <w:r>
              <w:rPr>
                <w:rFonts w:hint="eastAsia" w:ascii="宋体" w:hAnsi="宋体" w:cs="宋体"/>
                <w:color w:val="auto"/>
                <w:sz w:val="24"/>
                <w:highlight w:val="none"/>
              </w:rPr>
              <w:t>份，乙方</w:t>
            </w:r>
            <w:r>
              <w:rPr>
                <w:rFonts w:hint="default" w:ascii="宋体" w:hAnsi="宋体" w:cs="宋体"/>
                <w:color w:val="auto"/>
                <w:sz w:val="24"/>
                <w:highlight w:val="none"/>
                <w:u w:val="single"/>
                <w:lang w:val="en-US" w:eastAsia="zh-CN"/>
              </w:rPr>
              <w:t>叁</w:t>
            </w:r>
            <w:r>
              <w:rPr>
                <w:rFonts w:hint="eastAsia" w:ascii="宋体" w:hAnsi="宋体" w:cs="宋体"/>
                <w:color w:val="auto"/>
                <w:sz w:val="24"/>
                <w:highlight w:val="none"/>
              </w:rPr>
              <w:t>份。</w:t>
            </w:r>
          </w:p>
        </w:tc>
      </w:tr>
      <w:tr w14:paraId="125BCC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65" w:type="pct"/>
            <w:tcBorders>
              <w:left w:val="single" w:color="auto" w:sz="4" w:space="0"/>
            </w:tcBorders>
            <w:vAlign w:val="center"/>
          </w:tcPr>
          <w:p w14:paraId="5C7ED9DA">
            <w:pPr>
              <w:spacing w:line="360" w:lineRule="auto"/>
              <w:ind w:left="-420" w:leftChars="-200" w:right="-420" w:rightChars="-200" w:firstLine="480" w:firstLineChars="200"/>
              <w:outlineLvl w:val="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2.21</w:t>
            </w:r>
          </w:p>
        </w:tc>
        <w:tc>
          <w:tcPr>
            <w:tcW w:w="4534" w:type="pct"/>
            <w:vAlign w:val="center"/>
          </w:tcPr>
          <w:p w14:paraId="09E7863C">
            <w:pPr>
              <w:spacing w:line="360" w:lineRule="auto"/>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lang w:val="en-US" w:eastAsia="zh-CN"/>
              </w:rPr>
              <w:t>质保期</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lang w:val="en-US" w:eastAsia="zh-CN"/>
              </w:rPr>
              <w:t>年。</w:t>
            </w:r>
          </w:p>
        </w:tc>
      </w:tr>
    </w:tbl>
    <w:p w14:paraId="7BF02729">
      <w:pPr>
        <w:spacing w:line="360" w:lineRule="auto"/>
        <w:ind w:left="-420" w:leftChars="-200" w:right="-420" w:rightChars="-200" w:firstLine="480" w:firstLineChars="200"/>
        <w:rPr>
          <w:rFonts w:ascii="宋体" w:hAnsi="宋体" w:cs="宋体"/>
          <w:color w:val="auto"/>
          <w:sz w:val="24"/>
          <w:highlight w:val="none"/>
        </w:rPr>
      </w:pPr>
    </w:p>
    <w:p w14:paraId="5FE4EA6E">
      <w:pPr>
        <w:spacing w:line="360" w:lineRule="auto"/>
        <w:ind w:left="-420" w:leftChars="-200" w:right="-420" w:rightChars="-200"/>
        <w:rPr>
          <w:rFonts w:ascii="宋体" w:hAnsi="宋体" w:cs="宋体"/>
          <w:color w:val="auto"/>
          <w:sz w:val="24"/>
          <w:highlight w:val="none"/>
        </w:rPr>
      </w:pPr>
    </w:p>
    <w:p w14:paraId="3DC5C523">
      <w:pPr>
        <w:rPr>
          <w:color w:val="auto"/>
          <w:highlight w:val="none"/>
        </w:rPr>
      </w:pPr>
    </w:p>
    <w:p w14:paraId="6E651170">
      <w:pPr>
        <w:pStyle w:val="23"/>
        <w:rPr>
          <w:color w:val="auto"/>
          <w:highlight w:val="none"/>
        </w:rPr>
      </w:pPr>
    </w:p>
    <w:p w14:paraId="4B714BD0">
      <w:pPr>
        <w:rPr>
          <w:color w:val="auto"/>
          <w:highlight w:val="none"/>
        </w:rPr>
      </w:pPr>
    </w:p>
    <w:p w14:paraId="2AD1E26F">
      <w:pPr>
        <w:rPr>
          <w:rFonts w:hint="eastAsia" w:ascii="宋体" w:hAnsi="宋体" w:cs="宋体"/>
          <w:b/>
          <w:color w:val="auto"/>
          <w:sz w:val="36"/>
          <w:szCs w:val="20"/>
          <w:highlight w:val="none"/>
        </w:rPr>
      </w:pPr>
    </w:p>
    <w:p w14:paraId="1CD9C058">
      <w:pPr>
        <w:spacing w:line="360" w:lineRule="auto"/>
        <w:ind w:left="720" w:firstLine="723" w:firstLineChars="200"/>
        <w:outlineLvl w:val="0"/>
        <w:rPr>
          <w:rFonts w:hint="eastAsia" w:ascii="宋体" w:hAnsi="宋体" w:cs="宋体"/>
          <w:b/>
          <w:color w:val="auto"/>
          <w:sz w:val="36"/>
          <w:szCs w:val="20"/>
          <w:highlight w:val="none"/>
        </w:rPr>
        <w:sectPr>
          <w:headerReference r:id="rId9" w:type="first"/>
          <w:footerReference r:id="rId11" w:type="first"/>
          <w:headerReference r:id="rId8" w:type="default"/>
          <w:footerReference r:id="rId10"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7B083E86">
      <w:pPr>
        <w:spacing w:line="360" w:lineRule="auto"/>
        <w:ind w:left="720" w:firstLine="723" w:firstLineChars="200"/>
        <w:outlineLvl w:val="0"/>
        <w:rPr>
          <w:rFonts w:ascii="宋体" w:hAnsi="宋体" w:cs="宋体"/>
          <w:b/>
          <w:color w:val="auto"/>
          <w:sz w:val="36"/>
          <w:szCs w:val="20"/>
          <w:highlight w:val="none"/>
        </w:rPr>
      </w:pPr>
      <w:r>
        <w:rPr>
          <w:rFonts w:hint="eastAsia" w:ascii="宋体" w:hAnsi="宋体" w:cs="宋体"/>
          <w:b/>
          <w:color w:val="auto"/>
          <w:sz w:val="36"/>
          <w:szCs w:val="20"/>
          <w:highlight w:val="none"/>
        </w:rPr>
        <w:t>第六部分</w:t>
      </w:r>
      <w:bookmarkEnd w:id="444"/>
      <w:r>
        <w:rPr>
          <w:rFonts w:hint="eastAsia" w:ascii="宋体" w:hAnsi="宋体" w:cs="宋体"/>
          <w:b/>
          <w:color w:val="auto"/>
          <w:sz w:val="36"/>
          <w:szCs w:val="20"/>
          <w:highlight w:val="none"/>
        </w:rPr>
        <w:t xml:space="preserve"> </w:t>
      </w:r>
      <w:bookmarkEnd w:id="445"/>
      <w:r>
        <w:rPr>
          <w:rFonts w:hint="eastAsia" w:ascii="宋体" w:hAnsi="宋体" w:cs="宋体"/>
          <w:b/>
          <w:color w:val="auto"/>
          <w:sz w:val="36"/>
          <w:szCs w:val="20"/>
          <w:highlight w:val="none"/>
        </w:rPr>
        <w:t>应提交的有关格式范例</w:t>
      </w:r>
    </w:p>
    <w:p w14:paraId="7BA035B0">
      <w:pPr>
        <w:spacing w:line="360" w:lineRule="auto"/>
        <w:jc w:val="center"/>
        <w:outlineLvl w:val="0"/>
        <w:rPr>
          <w:rFonts w:ascii="宋体" w:hAnsi="宋体" w:cs="宋体"/>
          <w:b/>
          <w:color w:val="auto"/>
          <w:kern w:val="0"/>
          <w:sz w:val="36"/>
          <w:szCs w:val="36"/>
          <w:highlight w:val="none"/>
        </w:rPr>
      </w:pPr>
    </w:p>
    <w:p w14:paraId="6B7D731B">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资格文件部分</w:t>
      </w:r>
    </w:p>
    <w:p w14:paraId="7B4E98DC">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1290E13F">
      <w:pPr>
        <w:spacing w:line="360" w:lineRule="auto"/>
        <w:jc w:val="center"/>
        <w:outlineLvl w:val="0"/>
        <w:rPr>
          <w:rFonts w:ascii="宋体" w:hAnsi="宋体" w:cs="宋体"/>
          <w:b/>
          <w:color w:val="auto"/>
          <w:kern w:val="0"/>
          <w:sz w:val="36"/>
          <w:szCs w:val="36"/>
          <w:highlight w:val="none"/>
        </w:rPr>
      </w:pPr>
    </w:p>
    <w:p w14:paraId="0FA4A933">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（1）符合参加政府采购活动应当具备的一般条件的承诺函……………（页码）</w:t>
      </w:r>
    </w:p>
    <w:p w14:paraId="68B0069E">
      <w:pPr>
        <w:snapToGrid w:val="0"/>
        <w:spacing w:line="360" w:lineRule="auto"/>
        <w:rPr>
          <w:rFonts w:ascii="宋体" w:hAnsi="宋体" w:cs="宋体"/>
          <w:color w:val="auto"/>
          <w:sz w:val="24"/>
          <w:highlight w:val="none"/>
        </w:rPr>
      </w:pPr>
      <w:r>
        <w:rPr>
          <w:rFonts w:hint="eastAsia" w:ascii="宋体" w:hAnsi="宋体" w:cs="宋体"/>
          <w:snapToGrid w:val="0"/>
          <w:color w:val="auto"/>
          <w:kern w:val="28"/>
          <w:sz w:val="24"/>
          <w:szCs w:val="20"/>
          <w:highlight w:val="none"/>
        </w:rPr>
        <w:t>（2）联合协议</w:t>
      </w:r>
      <w:r>
        <w:rPr>
          <w:rFonts w:hint="eastAsia" w:ascii="宋体" w:hAnsi="宋体" w:cs="宋体"/>
          <w:color w:val="auto"/>
          <w:sz w:val="24"/>
          <w:highlight w:val="none"/>
        </w:rPr>
        <w:t>………………………………………………………………（页码）</w:t>
      </w:r>
    </w:p>
    <w:p w14:paraId="1593C191">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）落实政府采购政策需满足的资格要求………………………………（页码）</w:t>
      </w:r>
    </w:p>
    <w:p w14:paraId="237094A3">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）本项目的特定资格要求………………………………………………（页码）</w:t>
      </w:r>
    </w:p>
    <w:p w14:paraId="52F0E423">
      <w:pPr>
        <w:snapToGrid w:val="0"/>
        <w:spacing w:line="360" w:lineRule="auto"/>
        <w:ind w:firstLine="480" w:firstLineChars="200"/>
        <w:rPr>
          <w:rFonts w:ascii="宋体" w:hAnsi="宋体" w:cs="宋体"/>
          <w:color w:val="auto"/>
          <w:sz w:val="24"/>
          <w:highlight w:val="none"/>
        </w:rPr>
      </w:pPr>
    </w:p>
    <w:p w14:paraId="36CDF28F">
      <w:pPr>
        <w:spacing w:line="360" w:lineRule="auto"/>
        <w:ind w:firstLine="480" w:firstLineChars="200"/>
        <w:rPr>
          <w:rFonts w:ascii="宋体" w:hAnsi="宋体" w:cs="宋体"/>
          <w:color w:val="auto"/>
          <w:sz w:val="24"/>
          <w:highlight w:val="none"/>
        </w:rPr>
      </w:pPr>
    </w:p>
    <w:p w14:paraId="02ED45CD">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color w:val="auto"/>
          <w:kern w:val="0"/>
          <w:sz w:val="24"/>
          <w:highlight w:val="none"/>
        </w:rPr>
        <w:br w:type="page"/>
      </w:r>
      <w:r>
        <w:rPr>
          <w:rFonts w:hint="eastAsia" w:ascii="宋体" w:hAnsi="宋体" w:cs="宋体"/>
          <w:b/>
          <w:color w:val="auto"/>
          <w:kern w:val="0"/>
          <w:sz w:val="32"/>
          <w:szCs w:val="32"/>
          <w:highlight w:val="none"/>
        </w:rPr>
        <w:t xml:space="preserve">  一、 符合参加政府采购活动应当具备的一般条件的承诺函</w:t>
      </w:r>
    </w:p>
    <w:p w14:paraId="3714ABC5">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406BCEF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我方参与（项目名称）【招标编号：（采购编号）】政府采购活动，郑重承诺：</w:t>
      </w:r>
    </w:p>
    <w:p w14:paraId="40FF99B4">
      <w:pPr>
        <w:snapToGrid w:val="0"/>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（一）具备《中华人民共和国政府采购法》第二十二条第一款规定的条件：</w:t>
      </w:r>
    </w:p>
    <w:p w14:paraId="39980AB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6649085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2、具有良好的商业信誉和健全的财务会计制度； </w:t>
      </w:r>
    </w:p>
    <w:p w14:paraId="00D0958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447103B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23A2D8C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106C88A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6、具有法律、行政法规规定的其他条件。</w:t>
      </w:r>
    </w:p>
    <w:p w14:paraId="0DECE08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（二）未被信用中国（www.creditchina.gov.cn)、中国政府采购网（www.ccgp.gov.cn）列入失信被执行人、重大税收违法案件当事人名单、政府采购严重违法失信行为记录名单。</w:t>
      </w:r>
    </w:p>
    <w:p w14:paraId="50676B9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（三）不存在以下情况：</w:t>
      </w:r>
    </w:p>
    <w:p w14:paraId="5032CEF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1、单位负责人为同一人或者存在直接控股、管理关系的不同供应商参加同一合同项下的政府采购活动的；</w:t>
      </w:r>
    </w:p>
    <w:p w14:paraId="259F102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2、为采购项目提供整体设计、规范编制或者项目管理、监理、检测等服务后再参加该采购项目的其他采购活动的。</w:t>
      </w:r>
    </w:p>
    <w:p w14:paraId="43524C6B">
      <w:pPr>
        <w:snapToGrid w:val="0"/>
        <w:spacing w:line="360" w:lineRule="auto"/>
        <w:ind w:firstLine="5520" w:firstLineChars="2300"/>
        <w:rPr>
          <w:rFonts w:ascii="宋体" w:hAnsi="宋体" w:cs="宋体"/>
          <w:color w:val="auto"/>
          <w:kern w:val="0"/>
          <w:sz w:val="24"/>
          <w:highlight w:val="none"/>
        </w:rPr>
      </w:pPr>
      <w:r>
        <w:rPr>
          <w:rFonts w:hint="eastAsia" w:ascii="宋体" w:hAnsi="宋体" w:cs="宋体"/>
          <w:color w:val="auto"/>
          <w:kern w:val="0"/>
          <w:sz w:val="24"/>
          <w:highlight w:val="none"/>
          <w:lang w:val="zh-CN"/>
        </w:rPr>
        <w:t>投标人名称(电子签名)：</w:t>
      </w:r>
    </w:p>
    <w:p w14:paraId="674E4E3D">
      <w:pPr>
        <w:snapToGrid w:val="0"/>
        <w:spacing w:line="360" w:lineRule="auto"/>
        <w:rPr>
          <w:rFonts w:ascii="宋体" w:hAnsi="宋体" w:cs="宋体"/>
          <w:b/>
          <w:color w:val="auto"/>
          <w:kern w:val="0"/>
          <w:sz w:val="32"/>
          <w:szCs w:val="32"/>
          <w:highlight w:val="none"/>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0F60F554">
      <w:pPr>
        <w:pStyle w:val="83"/>
        <w:rPr>
          <w:color w:val="auto"/>
          <w:highlight w:val="none"/>
        </w:rPr>
        <w:sectPr>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10B5C5A5">
      <w:pPr>
        <w:pStyle w:val="83"/>
        <w:rPr>
          <w:color w:val="auto"/>
          <w:highlight w:val="none"/>
        </w:rPr>
      </w:pPr>
    </w:p>
    <w:p w14:paraId="495B5D75">
      <w:pPr>
        <w:widowControl/>
        <w:spacing w:line="360" w:lineRule="auto"/>
        <w:ind w:firstLine="643" w:firstLineChars="20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二、联合协议（如果有）</w:t>
      </w:r>
    </w:p>
    <w:p w14:paraId="5DA1CAE3">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[以联合体形式投标的，提供联合协议（附件5）；本项目不接受联合体投标或者投标人不以联合体形式投标的，则不需要提供]</w:t>
      </w:r>
    </w:p>
    <w:p w14:paraId="2A009E16">
      <w:pPr>
        <w:snapToGrid w:val="0"/>
        <w:spacing w:line="360" w:lineRule="auto"/>
        <w:ind w:right="480"/>
        <w:jc w:val="center"/>
        <w:rPr>
          <w:rFonts w:ascii="宋体" w:hAnsi="宋体" w:cs="宋体"/>
          <w:b/>
          <w:color w:val="auto"/>
          <w:kern w:val="0"/>
          <w:sz w:val="32"/>
          <w:szCs w:val="32"/>
          <w:highlight w:val="none"/>
        </w:rPr>
      </w:pPr>
    </w:p>
    <w:p w14:paraId="1463A218">
      <w:pPr>
        <w:snapToGrid w:val="0"/>
        <w:spacing w:line="360" w:lineRule="auto"/>
        <w:ind w:right="480"/>
        <w:jc w:val="center"/>
        <w:rPr>
          <w:rFonts w:ascii="宋体" w:hAnsi="宋体" w:cs="宋体"/>
          <w:b/>
          <w:color w:val="auto"/>
          <w:kern w:val="0"/>
          <w:sz w:val="32"/>
          <w:szCs w:val="32"/>
          <w:highlight w:val="none"/>
        </w:rPr>
      </w:pPr>
    </w:p>
    <w:p w14:paraId="63BBB5BB">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三、落实政府采购政策需满足的资格要求</w:t>
      </w:r>
    </w:p>
    <w:p w14:paraId="0BBAD80D">
      <w:pPr>
        <w:spacing w:line="360" w:lineRule="auto"/>
        <w:rPr>
          <w:rFonts w:ascii="宋体" w:hAnsi="宋体" w:cs="宋体"/>
          <w:color w:val="auto"/>
          <w:sz w:val="24"/>
          <w:highlight w:val="none"/>
        </w:rPr>
      </w:pPr>
      <w:r>
        <w:rPr>
          <w:rFonts w:hint="eastAsia" w:ascii="宋体" w:hAnsi="宋体" w:cs="宋体"/>
          <w:color w:val="auto"/>
          <w:sz w:val="24"/>
          <w:highlight w:val="none"/>
        </w:rPr>
        <w:t>（根据招标公告落实政府采购政策需满足的资格要求选择提供相应的材料；未要求的，无需提供）</w:t>
      </w:r>
    </w:p>
    <w:p w14:paraId="5D41F2A1">
      <w:pPr>
        <w:snapToGrid w:val="0"/>
        <w:spacing w:before="50" w:after="50"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A</w:t>
      </w:r>
      <w:r>
        <w:rPr>
          <w:rFonts w:hint="eastAsia" w:ascii="宋体" w:hAnsi="宋体" w:cs="宋体"/>
          <w:color w:val="auto"/>
          <w:sz w:val="24"/>
          <w:highlight w:val="none"/>
        </w:rPr>
        <w:t>.专门面向中小企业，货物全部由符合政策要求的中小企业（或小微企业）制造的，提供相应的中小企业声明函（附件</w:t>
      </w:r>
      <w:r>
        <w:rPr>
          <w:rFonts w:ascii="宋体" w:hAnsi="宋体" w:cs="宋体"/>
          <w:color w:val="auto"/>
          <w:sz w:val="24"/>
          <w:highlight w:val="none"/>
        </w:rPr>
        <w:t>7</w:t>
      </w:r>
      <w:r>
        <w:rPr>
          <w:rFonts w:hint="eastAsia" w:ascii="宋体" w:hAnsi="宋体" w:cs="宋体"/>
          <w:color w:val="auto"/>
          <w:sz w:val="24"/>
          <w:highlight w:val="none"/>
        </w:rPr>
        <w:t xml:space="preserve">）。 </w:t>
      </w:r>
    </w:p>
    <w:p w14:paraId="617728FC">
      <w:pPr>
        <w:widowControl/>
        <w:spacing w:line="360" w:lineRule="auto"/>
        <w:ind w:firstLine="480"/>
        <w:jc w:val="left"/>
        <w:rPr>
          <w:rFonts w:ascii="宋体" w:hAnsi="宋体" w:cs="宋体"/>
          <w:color w:val="auto"/>
          <w:sz w:val="24"/>
          <w:highlight w:val="none"/>
        </w:rPr>
      </w:pPr>
    </w:p>
    <w:p w14:paraId="4E5D0127">
      <w:pPr>
        <w:widowControl/>
        <w:spacing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B.</w:t>
      </w:r>
      <w:r>
        <w:rPr>
          <w:rFonts w:hint="eastAsia" w:ascii="宋体" w:hAnsi="宋体" w:cs="宋体"/>
          <w:color w:val="auto"/>
          <w:sz w:val="24"/>
          <w:highlight w:val="none"/>
        </w:rPr>
        <w:t>要求以联合体形式参加的，提供联合协议（附件</w:t>
      </w:r>
      <w:r>
        <w:rPr>
          <w:rFonts w:ascii="宋体" w:hAnsi="宋体" w:cs="宋体"/>
          <w:color w:val="auto"/>
          <w:sz w:val="24"/>
          <w:highlight w:val="none"/>
        </w:rPr>
        <w:t>5</w:t>
      </w:r>
      <w:r>
        <w:rPr>
          <w:rFonts w:hint="eastAsia" w:ascii="宋体" w:hAnsi="宋体" w:cs="宋体"/>
          <w:color w:val="auto"/>
          <w:sz w:val="24"/>
          <w:highlight w:val="none"/>
        </w:rPr>
        <w:t>）和中小企业声明函（附件</w:t>
      </w:r>
      <w:r>
        <w:rPr>
          <w:rFonts w:ascii="宋体" w:hAnsi="宋体" w:cs="宋体"/>
          <w:color w:val="auto"/>
          <w:sz w:val="24"/>
          <w:highlight w:val="none"/>
        </w:rPr>
        <w:t>7</w:t>
      </w:r>
      <w:r>
        <w:rPr>
          <w:rFonts w:hint="eastAsia" w:ascii="宋体" w:hAnsi="宋体" w:cs="宋体"/>
          <w:color w:val="auto"/>
          <w:sz w:val="24"/>
          <w:highlight w:val="none"/>
        </w:rPr>
        <w:t>），联合协议中中小企业合同金额应当达到招标公告载明的比例；如果供应商本身提供所有标的均由中小企业制造的，</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视同符合了资格条件，无需再与其他中小企业组成联合体参加政府采购活动，无需提供联合协议。</w:t>
      </w:r>
    </w:p>
    <w:p w14:paraId="03F3EDBE">
      <w:pPr>
        <w:snapToGrid w:val="0"/>
        <w:spacing w:before="50" w:after="50" w:line="360" w:lineRule="auto"/>
        <w:jc w:val="center"/>
        <w:rPr>
          <w:rFonts w:ascii="宋体" w:hAnsi="宋体" w:cs="宋体"/>
          <w:color w:val="auto"/>
          <w:sz w:val="24"/>
          <w:highlight w:val="none"/>
        </w:rPr>
      </w:pPr>
      <w:r>
        <w:rPr>
          <w:rFonts w:hint="eastAsia" w:ascii="宋体" w:hAnsi="宋体" w:cs="宋体"/>
          <w:b/>
          <w:color w:val="auto"/>
          <w:sz w:val="24"/>
          <w:highlight w:val="none"/>
        </w:rPr>
        <w:t xml:space="preserve">    </w:t>
      </w:r>
    </w:p>
    <w:p w14:paraId="58BFF1B0">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C、</w:t>
      </w:r>
      <w:r>
        <w:rPr>
          <w:rFonts w:hint="eastAsia" w:ascii="宋体" w:hAnsi="宋体" w:cs="宋体"/>
          <w:color w:val="auto"/>
          <w:sz w:val="24"/>
          <w:highlight w:val="none"/>
        </w:rPr>
        <w:t>要求合同分包的，提供分包意向协议（附件6）和中小企业声明函（附件</w:t>
      </w:r>
      <w:r>
        <w:rPr>
          <w:rFonts w:ascii="宋体" w:hAnsi="宋体" w:cs="宋体"/>
          <w:color w:val="auto"/>
          <w:sz w:val="24"/>
          <w:highlight w:val="none"/>
        </w:rPr>
        <w:t>7</w:t>
      </w:r>
      <w:r>
        <w:rPr>
          <w:rFonts w:hint="eastAsia" w:ascii="宋体" w:hAnsi="宋体" w:cs="宋体"/>
          <w:color w:val="auto"/>
          <w:sz w:val="24"/>
          <w:highlight w:val="none"/>
        </w:rPr>
        <w:t>），分包意向协议中中小企业合同金额应当达到招标公告载明的比例；如果供应商本身提供所有标的均由中小企业制造的，</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视同符合了资格条件，无需再向中小企业分包，无需提供分包意向协议。</w:t>
      </w:r>
    </w:p>
    <w:p w14:paraId="4BADD70E">
      <w:pPr>
        <w:widowControl/>
        <w:spacing w:line="360" w:lineRule="auto"/>
        <w:ind w:left="150"/>
        <w:jc w:val="center"/>
        <w:rPr>
          <w:rFonts w:ascii="宋体" w:hAnsi="宋体" w:cs="宋体"/>
          <w:b/>
          <w:color w:val="auto"/>
          <w:kern w:val="0"/>
          <w:sz w:val="32"/>
          <w:szCs w:val="32"/>
          <w:highlight w:val="none"/>
        </w:rPr>
      </w:pPr>
    </w:p>
    <w:p w14:paraId="1EFF194A">
      <w:pPr>
        <w:widowControl/>
        <w:spacing w:line="360" w:lineRule="auto"/>
        <w:ind w:left="15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四、本项目的特定资格要求</w:t>
      </w:r>
    </w:p>
    <w:p w14:paraId="205277A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（根据招标公告本项目的特定资格要求提供相应的材料；未要求的，无需提供）</w:t>
      </w:r>
    </w:p>
    <w:p w14:paraId="694C7098">
      <w:pPr>
        <w:rPr>
          <w:rFonts w:ascii="宋体" w:hAnsi="宋体" w:cs="宋体"/>
          <w:color w:val="auto"/>
          <w:highlight w:val="none"/>
        </w:rPr>
      </w:pPr>
    </w:p>
    <w:p w14:paraId="1513D9D1">
      <w:pPr>
        <w:widowControl/>
        <w:adjustRightInd/>
        <w:jc w:val="left"/>
        <w:rPr>
          <w:rFonts w:ascii="宋体" w:hAnsi="宋体" w:cs="宋体"/>
          <w:b/>
          <w:color w:val="auto"/>
          <w:kern w:val="0"/>
          <w:sz w:val="32"/>
          <w:szCs w:val="32"/>
          <w:highlight w:val="none"/>
        </w:rPr>
      </w:pPr>
      <w:r>
        <w:rPr>
          <w:rFonts w:ascii="宋体" w:hAnsi="宋体" w:cs="宋体"/>
          <w:b/>
          <w:color w:val="auto"/>
          <w:kern w:val="0"/>
          <w:sz w:val="32"/>
          <w:szCs w:val="32"/>
          <w:highlight w:val="none"/>
        </w:rPr>
        <w:br w:type="page"/>
      </w:r>
    </w:p>
    <w:p w14:paraId="42A5100D">
      <w:pPr>
        <w:spacing w:line="360" w:lineRule="auto"/>
        <w:ind w:right="420" w:firstLine="3614" w:firstLineChars="100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商务技术文件部分</w:t>
      </w:r>
    </w:p>
    <w:p w14:paraId="4221121E">
      <w:pPr>
        <w:spacing w:line="360" w:lineRule="auto"/>
        <w:jc w:val="center"/>
        <w:outlineLvl w:val="0"/>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目录</w:t>
      </w:r>
    </w:p>
    <w:p w14:paraId="203A7FEF">
      <w:pPr>
        <w:snapToGrid w:val="0"/>
        <w:spacing w:line="360" w:lineRule="auto"/>
        <w:ind w:left="479" w:leftChars="228"/>
        <w:rPr>
          <w:rFonts w:ascii="宋体" w:hAnsi="宋体" w:cs="宋体"/>
          <w:color w:val="auto"/>
          <w:highlight w:val="none"/>
        </w:rPr>
      </w:pPr>
      <w:r>
        <w:rPr>
          <w:rFonts w:hint="eastAsia" w:ascii="宋体" w:hAnsi="宋体" w:cs="宋体"/>
          <w:color w:val="auto"/>
          <w:sz w:val="24"/>
          <w:highlight w:val="none"/>
        </w:rPr>
        <w:t>（1）投标函</w:t>
      </w:r>
      <w:r>
        <w:rPr>
          <w:rFonts w:hint="eastAsia" w:ascii="宋体" w:hAnsi="宋体" w:cs="宋体"/>
          <w:color w:val="auto"/>
          <w:highlight w:val="none"/>
        </w:rPr>
        <w:t>…………………………………………………………………………………（页码）</w:t>
      </w:r>
      <w:r>
        <w:rPr>
          <w:rFonts w:hint="eastAsia" w:ascii="宋体" w:hAnsi="宋体" w:cs="宋体"/>
          <w:color w:val="auto"/>
          <w:sz w:val="24"/>
          <w:highlight w:val="none"/>
        </w:rPr>
        <w:t>（2）授权委托书或法定代表人（单位负责人、自然人本人）身份证明</w:t>
      </w:r>
      <w:r>
        <w:rPr>
          <w:rFonts w:hint="eastAsia" w:ascii="宋体" w:hAnsi="宋体" w:cs="宋体"/>
          <w:color w:val="auto"/>
          <w:highlight w:val="none"/>
        </w:rPr>
        <w:t>………（页码）</w:t>
      </w:r>
    </w:p>
    <w:p w14:paraId="44275E61">
      <w:pPr>
        <w:snapToGrid w:val="0"/>
        <w:spacing w:line="360" w:lineRule="auto"/>
        <w:ind w:left="479" w:leftChars="228"/>
        <w:rPr>
          <w:rFonts w:ascii="宋体" w:hAnsi="宋体" w:cs="宋体"/>
          <w:color w:val="auto"/>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）分包意向协议</w:t>
      </w:r>
      <w:r>
        <w:rPr>
          <w:rFonts w:hint="eastAsia" w:ascii="宋体" w:hAnsi="宋体" w:cs="宋体"/>
          <w:color w:val="auto"/>
          <w:highlight w:val="none"/>
        </w:rPr>
        <w:t>…………………………………………………………………………（页码）</w:t>
      </w:r>
    </w:p>
    <w:p w14:paraId="4BC9916A">
      <w:pPr>
        <w:snapToGrid w:val="0"/>
        <w:spacing w:line="360" w:lineRule="auto"/>
        <w:ind w:firstLine="480" w:firstLineChars="200"/>
        <w:rPr>
          <w:rFonts w:ascii="宋体" w:hAnsi="宋体" w:cs="宋体"/>
          <w:color w:val="auto"/>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）符合性审查资料</w:t>
      </w:r>
      <w:r>
        <w:rPr>
          <w:rFonts w:hint="eastAsia" w:ascii="宋体" w:hAnsi="宋体" w:cs="宋体"/>
          <w:color w:val="auto"/>
          <w:highlight w:val="none"/>
        </w:rPr>
        <w:t>………………………………………………………………………（页码）</w:t>
      </w:r>
    </w:p>
    <w:p w14:paraId="6EE1F24E">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）评标标准相应的商务技术资料</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……………（页码）</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）拟派项目团队配备情况表…………………………………………………（页码）</w:t>
      </w:r>
    </w:p>
    <w:p w14:paraId="34CFD308">
      <w:pPr>
        <w:snapToGrid w:val="0"/>
        <w:spacing w:line="360" w:lineRule="auto"/>
        <w:ind w:left="479" w:leftChars="228"/>
        <w:rPr>
          <w:rFonts w:ascii="宋体" w:hAnsi="宋体" w:cs="宋体"/>
          <w:color w:val="auto"/>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）投标标的清单</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……………（页码）</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）商务技术偏离表</w:t>
      </w:r>
      <w:r>
        <w:rPr>
          <w:rFonts w:hint="eastAsia" w:ascii="宋体" w:hAnsi="宋体" w:cs="宋体"/>
          <w:color w:val="auto"/>
          <w:highlight w:val="none"/>
        </w:rPr>
        <w:t>………………………………………………………………………（页码）</w:t>
      </w:r>
    </w:p>
    <w:p w14:paraId="1F77B37D">
      <w:pPr>
        <w:snapToGrid w:val="0"/>
        <w:spacing w:line="360" w:lineRule="auto"/>
        <w:ind w:left="479" w:leftChars="228"/>
        <w:rPr>
          <w:rFonts w:ascii="宋体" w:hAnsi="宋体" w:cs="宋体"/>
          <w:color w:val="auto"/>
          <w:highlight w:val="none"/>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9</w:t>
      </w:r>
      <w:r>
        <w:rPr>
          <w:rFonts w:hint="eastAsia" w:ascii="宋体" w:hAnsi="宋体" w:cs="宋体"/>
          <w:color w:val="auto"/>
          <w:sz w:val="24"/>
          <w:highlight w:val="none"/>
          <w:lang w:val="zh-CN"/>
        </w:rPr>
        <w:t>）政府采购供应商廉洁自律承诺书</w:t>
      </w:r>
      <w:r>
        <w:rPr>
          <w:rFonts w:hint="eastAsia" w:ascii="宋体" w:hAnsi="宋体" w:cs="宋体"/>
          <w:color w:val="auto"/>
          <w:highlight w:val="none"/>
        </w:rPr>
        <w:t>…………………………………………………（页码）</w:t>
      </w:r>
    </w:p>
    <w:p w14:paraId="0673A935">
      <w:pPr>
        <w:snapToGrid w:val="0"/>
        <w:spacing w:line="360" w:lineRule="auto"/>
        <w:jc w:val="center"/>
        <w:rPr>
          <w:rFonts w:ascii="宋体" w:hAnsi="宋体" w:cs="宋体"/>
          <w:b/>
          <w:color w:val="auto"/>
          <w:kern w:val="0"/>
          <w:sz w:val="32"/>
          <w:szCs w:val="32"/>
          <w:highlight w:val="none"/>
          <w:lang w:val="zh-CN"/>
        </w:rPr>
      </w:pPr>
    </w:p>
    <w:p w14:paraId="764D9C87">
      <w:pPr>
        <w:snapToGrid w:val="0"/>
        <w:spacing w:line="360" w:lineRule="auto"/>
        <w:jc w:val="center"/>
        <w:rPr>
          <w:rFonts w:ascii="宋体" w:hAnsi="宋体" w:cs="宋体"/>
          <w:b/>
          <w:color w:val="auto"/>
          <w:kern w:val="0"/>
          <w:sz w:val="32"/>
          <w:szCs w:val="32"/>
          <w:highlight w:val="none"/>
          <w:lang w:val="zh-CN"/>
        </w:rPr>
      </w:pPr>
    </w:p>
    <w:p w14:paraId="27C96496">
      <w:pPr>
        <w:snapToGrid w:val="0"/>
        <w:spacing w:line="360" w:lineRule="auto"/>
        <w:jc w:val="center"/>
        <w:rPr>
          <w:rFonts w:ascii="宋体" w:hAnsi="宋体" w:cs="宋体"/>
          <w:b/>
          <w:color w:val="auto"/>
          <w:kern w:val="0"/>
          <w:sz w:val="32"/>
          <w:szCs w:val="32"/>
          <w:highlight w:val="none"/>
          <w:lang w:val="zh-CN"/>
        </w:rPr>
      </w:pPr>
    </w:p>
    <w:p w14:paraId="2862FC82">
      <w:pPr>
        <w:snapToGrid w:val="0"/>
        <w:spacing w:line="360" w:lineRule="auto"/>
        <w:jc w:val="center"/>
        <w:rPr>
          <w:rFonts w:ascii="宋体" w:hAnsi="宋体" w:cs="宋体"/>
          <w:b/>
          <w:color w:val="auto"/>
          <w:kern w:val="0"/>
          <w:sz w:val="32"/>
          <w:szCs w:val="32"/>
          <w:highlight w:val="none"/>
          <w:lang w:val="zh-CN"/>
        </w:rPr>
      </w:pPr>
    </w:p>
    <w:p w14:paraId="0449B412">
      <w:pPr>
        <w:snapToGrid w:val="0"/>
        <w:spacing w:line="360" w:lineRule="auto"/>
        <w:jc w:val="center"/>
        <w:rPr>
          <w:rFonts w:ascii="宋体" w:hAnsi="宋体" w:cs="宋体"/>
          <w:b/>
          <w:color w:val="auto"/>
          <w:kern w:val="0"/>
          <w:sz w:val="32"/>
          <w:szCs w:val="32"/>
          <w:highlight w:val="none"/>
          <w:lang w:val="zh-CN"/>
        </w:rPr>
      </w:pPr>
    </w:p>
    <w:p w14:paraId="2E147C2F">
      <w:pPr>
        <w:snapToGrid w:val="0"/>
        <w:spacing w:line="360" w:lineRule="auto"/>
        <w:jc w:val="center"/>
        <w:outlineLvl w:val="0"/>
        <w:rPr>
          <w:rFonts w:ascii="宋体" w:hAnsi="宋体" w:cs="宋体"/>
          <w:b/>
          <w:color w:val="auto"/>
          <w:kern w:val="0"/>
          <w:sz w:val="32"/>
          <w:szCs w:val="32"/>
          <w:highlight w:val="none"/>
        </w:rPr>
      </w:pPr>
    </w:p>
    <w:p w14:paraId="5555F0E8">
      <w:pPr>
        <w:snapToGrid w:val="0"/>
        <w:spacing w:line="360" w:lineRule="auto"/>
        <w:jc w:val="center"/>
        <w:outlineLvl w:val="0"/>
        <w:rPr>
          <w:rFonts w:ascii="宋体" w:hAnsi="宋体" w:cs="宋体"/>
          <w:b/>
          <w:color w:val="auto"/>
          <w:kern w:val="0"/>
          <w:sz w:val="32"/>
          <w:szCs w:val="32"/>
          <w:highlight w:val="none"/>
        </w:rPr>
      </w:pPr>
    </w:p>
    <w:p w14:paraId="6A15A56B">
      <w:pPr>
        <w:rPr>
          <w:rFonts w:ascii="宋体" w:hAnsi="宋体" w:cs="宋体"/>
          <w:color w:val="auto"/>
          <w:highlight w:val="none"/>
        </w:rPr>
      </w:pPr>
    </w:p>
    <w:p w14:paraId="3D98855E">
      <w:pPr>
        <w:snapToGrid w:val="0"/>
        <w:spacing w:line="360" w:lineRule="auto"/>
        <w:jc w:val="center"/>
        <w:outlineLvl w:val="0"/>
        <w:rPr>
          <w:rFonts w:ascii="宋体" w:hAnsi="宋体" w:cs="宋体"/>
          <w:b/>
          <w:color w:val="auto"/>
          <w:kern w:val="0"/>
          <w:sz w:val="32"/>
          <w:szCs w:val="32"/>
          <w:highlight w:val="none"/>
        </w:rPr>
      </w:pPr>
    </w:p>
    <w:p w14:paraId="73CCE6F4">
      <w:pPr>
        <w:snapToGrid w:val="0"/>
        <w:spacing w:line="360" w:lineRule="auto"/>
        <w:jc w:val="center"/>
        <w:outlineLvl w:val="0"/>
        <w:rPr>
          <w:rFonts w:ascii="宋体" w:hAnsi="宋体" w:cs="宋体"/>
          <w:b/>
          <w:color w:val="auto"/>
          <w:kern w:val="0"/>
          <w:sz w:val="32"/>
          <w:szCs w:val="32"/>
          <w:highlight w:val="none"/>
        </w:rPr>
      </w:pPr>
    </w:p>
    <w:p w14:paraId="6B967352">
      <w:pPr>
        <w:pStyle w:val="3"/>
        <w:rPr>
          <w:color w:val="auto"/>
          <w:highlight w:val="none"/>
          <w:lang w:val="en-US"/>
        </w:rPr>
      </w:pPr>
    </w:p>
    <w:p w14:paraId="29DFABAD">
      <w:pPr>
        <w:rPr>
          <w:color w:val="auto"/>
          <w:highlight w:val="none"/>
        </w:rPr>
      </w:pPr>
    </w:p>
    <w:p w14:paraId="783C63F7">
      <w:pPr>
        <w:snapToGrid w:val="0"/>
        <w:spacing w:line="360" w:lineRule="auto"/>
        <w:ind w:firstLine="3855" w:firstLineChars="1200"/>
        <w:outlineLvl w:val="0"/>
        <w:rPr>
          <w:rFonts w:ascii="宋体" w:hAnsi="宋体" w:cs="宋体"/>
          <w:b/>
          <w:color w:val="auto"/>
          <w:kern w:val="0"/>
          <w:sz w:val="32"/>
          <w:szCs w:val="32"/>
          <w:highlight w:val="none"/>
        </w:rPr>
      </w:pPr>
    </w:p>
    <w:p w14:paraId="5D8E27DB">
      <w:pPr>
        <w:snapToGrid w:val="0"/>
        <w:spacing w:line="360" w:lineRule="auto"/>
        <w:ind w:firstLine="3855" w:firstLineChars="1200"/>
        <w:outlineLvl w:val="0"/>
        <w:rPr>
          <w:rFonts w:ascii="宋体" w:hAnsi="宋体" w:cs="宋体"/>
          <w:b/>
          <w:color w:val="auto"/>
          <w:kern w:val="0"/>
          <w:sz w:val="32"/>
          <w:szCs w:val="32"/>
          <w:highlight w:val="none"/>
        </w:rPr>
      </w:pPr>
    </w:p>
    <w:p w14:paraId="05F26146">
      <w:pPr>
        <w:snapToGrid w:val="0"/>
        <w:spacing w:line="360" w:lineRule="auto"/>
        <w:ind w:firstLine="3855" w:firstLineChars="1200"/>
        <w:outlineLvl w:val="0"/>
        <w:rPr>
          <w:rFonts w:ascii="宋体" w:hAnsi="宋体" w:cs="宋体"/>
          <w:b/>
          <w:color w:val="auto"/>
          <w:kern w:val="0"/>
          <w:sz w:val="32"/>
          <w:szCs w:val="32"/>
          <w:highlight w:val="none"/>
        </w:rPr>
      </w:pPr>
    </w:p>
    <w:p w14:paraId="6F69A04D">
      <w:pPr>
        <w:widowControl/>
        <w:adjustRightInd/>
        <w:jc w:val="left"/>
        <w:rPr>
          <w:rFonts w:ascii="宋体" w:hAnsi="宋体" w:cs="宋体"/>
          <w:b/>
          <w:color w:val="auto"/>
          <w:kern w:val="0"/>
          <w:sz w:val="32"/>
          <w:szCs w:val="32"/>
          <w:highlight w:val="none"/>
        </w:rPr>
      </w:pPr>
      <w:r>
        <w:rPr>
          <w:rFonts w:ascii="宋体" w:hAnsi="宋体" w:cs="宋体"/>
          <w:b/>
          <w:color w:val="auto"/>
          <w:kern w:val="0"/>
          <w:sz w:val="32"/>
          <w:szCs w:val="32"/>
          <w:highlight w:val="none"/>
        </w:rPr>
        <w:br w:type="page"/>
      </w:r>
    </w:p>
    <w:p w14:paraId="07802FB6">
      <w:pPr>
        <w:snapToGrid w:val="0"/>
        <w:spacing w:line="360" w:lineRule="auto"/>
        <w:ind w:firstLine="3855" w:firstLineChars="1200"/>
        <w:outlineLvl w:val="0"/>
        <w:rPr>
          <w:rFonts w:ascii="宋体" w:hAnsi="宋体" w:cs="宋体"/>
          <w:b/>
          <w:color w:val="auto"/>
          <w:sz w:val="32"/>
          <w:szCs w:val="32"/>
          <w:highlight w:val="none"/>
        </w:rPr>
      </w:pPr>
      <w:r>
        <w:rPr>
          <w:rFonts w:hint="eastAsia" w:ascii="宋体" w:hAnsi="宋体" w:cs="宋体"/>
          <w:b/>
          <w:color w:val="auto"/>
          <w:kern w:val="0"/>
          <w:sz w:val="32"/>
          <w:szCs w:val="32"/>
          <w:highlight w:val="none"/>
        </w:rPr>
        <w:t>一、投标</w:t>
      </w:r>
      <w:r>
        <w:rPr>
          <w:rFonts w:hint="eastAsia" w:ascii="宋体" w:hAnsi="宋体" w:cs="宋体"/>
          <w:b/>
          <w:color w:val="auto"/>
          <w:sz w:val="32"/>
          <w:szCs w:val="32"/>
          <w:highlight w:val="none"/>
        </w:rPr>
        <w:t>函</w:t>
      </w:r>
    </w:p>
    <w:p w14:paraId="21A62C81">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7F269AC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我方参加你方组织的（项目名称）【招标编号：（采购编号）】招标的有关活动，并对此项目进行投标。为此：</w:t>
      </w:r>
    </w:p>
    <w:p w14:paraId="1B1DF6C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1、我方承诺投标有效期从提交投标文件的截止之日起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天（不少于90天）</w:t>
      </w:r>
      <w:r>
        <w:rPr>
          <w:rFonts w:hint="eastAsia" w:ascii="宋体" w:hAnsi="宋体" w:cs="宋体"/>
          <w:color w:val="auto"/>
          <w:highlight w:val="none"/>
        </w:rPr>
        <w:t>，</w:t>
      </w:r>
      <w:r>
        <w:rPr>
          <w:rFonts w:hint="eastAsia" w:ascii="宋体" w:hAnsi="宋体" w:cs="宋体"/>
          <w:color w:val="auto"/>
          <w:sz w:val="24"/>
          <w:highlight w:val="none"/>
        </w:rPr>
        <w:t>本投标文件在投标有效期满之前均具有约束力。</w:t>
      </w:r>
    </w:p>
    <w:p w14:paraId="4AAF125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2、我方的投标文件包括以下内容：</w:t>
      </w:r>
    </w:p>
    <w:p w14:paraId="0FCDDFF1">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2.1资格文件：</w:t>
      </w:r>
    </w:p>
    <w:p w14:paraId="3998F2A8">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2.1.1承诺函；</w:t>
      </w:r>
    </w:p>
    <w:p w14:paraId="2B016783">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2.1.2</w:t>
      </w:r>
      <w:r>
        <w:rPr>
          <w:rFonts w:hint="eastAsia" w:ascii="宋体" w:hAnsi="宋体" w:cs="宋体"/>
          <w:snapToGrid w:val="0"/>
          <w:color w:val="auto"/>
          <w:kern w:val="28"/>
          <w:sz w:val="24"/>
          <w:szCs w:val="20"/>
          <w:highlight w:val="none"/>
        </w:rPr>
        <w:t>联合协议（如果有)；</w:t>
      </w:r>
    </w:p>
    <w:p w14:paraId="6B5DCE91">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.1.3</w:t>
      </w:r>
      <w:r>
        <w:rPr>
          <w:rFonts w:hint="eastAsia" w:ascii="宋体" w:hAnsi="宋体" w:cs="宋体"/>
          <w:color w:val="auto"/>
          <w:sz w:val="24"/>
          <w:highlight w:val="none"/>
        </w:rPr>
        <w:t>落实政府采购政策需满足的资格要求；</w:t>
      </w:r>
    </w:p>
    <w:p w14:paraId="58A2DF64">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rPr>
        <w:t>本项目的特定资格要求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20FF99F3">
      <w:pPr>
        <w:snapToGrid w:val="0"/>
        <w:spacing w:line="360" w:lineRule="auto"/>
        <w:ind w:left="210" w:leftChars="1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5E61EA85">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2.2.1投标函；</w:t>
      </w:r>
      <w:r>
        <w:rPr>
          <w:rFonts w:hint="eastAsia" w:ascii="宋体" w:hAnsi="宋体" w:cs="宋体"/>
          <w:color w:val="auto"/>
          <w:sz w:val="24"/>
          <w:highlight w:val="none"/>
          <w:lang w:val="zh-CN"/>
        </w:rPr>
        <w:t xml:space="preserve"> </w:t>
      </w:r>
    </w:p>
    <w:p w14:paraId="05F8AF78">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2.2.2授权委托书或法定代表人（单位负责人）身份证明；</w:t>
      </w:r>
    </w:p>
    <w:p w14:paraId="6CD44F04">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3</w:t>
      </w:r>
      <w:r>
        <w:rPr>
          <w:rFonts w:hint="eastAsia" w:ascii="宋体" w:hAnsi="宋体" w:cs="宋体"/>
          <w:color w:val="auto"/>
          <w:sz w:val="24"/>
          <w:highlight w:val="none"/>
        </w:rPr>
        <w:t>分包意向协议</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0335C1C6">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4</w:t>
      </w:r>
      <w:r>
        <w:rPr>
          <w:rFonts w:hint="eastAsia" w:ascii="宋体" w:hAnsi="宋体" w:cs="宋体"/>
          <w:color w:val="auto"/>
          <w:sz w:val="24"/>
          <w:highlight w:val="none"/>
        </w:rPr>
        <w:t>符合性审查资料；</w:t>
      </w:r>
    </w:p>
    <w:p w14:paraId="3784A0AD">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5</w:t>
      </w:r>
      <w:r>
        <w:rPr>
          <w:rFonts w:hint="eastAsia" w:ascii="宋体" w:hAnsi="宋体" w:cs="宋体"/>
          <w:color w:val="auto"/>
          <w:sz w:val="24"/>
          <w:highlight w:val="none"/>
        </w:rPr>
        <w:t>评标标准相应的商务技术资料；</w:t>
      </w:r>
    </w:p>
    <w:p w14:paraId="22CED71A">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6</w:t>
      </w:r>
      <w:r>
        <w:rPr>
          <w:rFonts w:hint="eastAsia" w:ascii="宋体" w:hAnsi="宋体" w:cs="宋体"/>
          <w:color w:val="auto"/>
          <w:sz w:val="24"/>
          <w:highlight w:val="none"/>
        </w:rPr>
        <w:t>投标标的清单；</w:t>
      </w:r>
    </w:p>
    <w:p w14:paraId="556BD142">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7</w:t>
      </w:r>
      <w:r>
        <w:rPr>
          <w:rFonts w:hint="eastAsia" w:ascii="宋体" w:hAnsi="宋体" w:cs="宋体"/>
          <w:color w:val="auto"/>
          <w:sz w:val="24"/>
          <w:highlight w:val="none"/>
        </w:rPr>
        <w:t>商务技术偏离表；</w:t>
      </w:r>
    </w:p>
    <w:p w14:paraId="1D8B073E">
      <w:pPr>
        <w:snapToGrid w:val="0"/>
        <w:spacing w:line="360" w:lineRule="auto"/>
        <w:ind w:left="420" w:leftChars="2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ascii="宋体" w:hAnsi="宋体" w:cs="宋体"/>
          <w:color w:val="auto"/>
          <w:sz w:val="24"/>
          <w:highlight w:val="none"/>
        </w:rPr>
        <w:t>8</w:t>
      </w:r>
      <w:r>
        <w:rPr>
          <w:rFonts w:hint="eastAsia" w:ascii="宋体" w:hAnsi="宋体" w:cs="宋体"/>
          <w:color w:val="auto"/>
          <w:sz w:val="24"/>
          <w:highlight w:val="none"/>
          <w:lang w:val="zh-CN"/>
        </w:rPr>
        <w:t>政府采购供应商廉洁自律承诺书；</w:t>
      </w:r>
    </w:p>
    <w:p w14:paraId="56241DCC">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3报价文件</w:t>
      </w:r>
    </w:p>
    <w:p w14:paraId="292E0DEC">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2.3.1开标一览表（报价表）；</w:t>
      </w:r>
    </w:p>
    <w:p w14:paraId="69B35BA6">
      <w:pPr>
        <w:snapToGrid w:val="0"/>
        <w:spacing w:line="360" w:lineRule="auto"/>
        <w:ind w:left="420" w:leftChars="200" w:firstLine="480" w:firstLineChars="200"/>
        <w:rPr>
          <w:rFonts w:hint="default" w:eastAsia="仿宋_GB2312"/>
          <w:color w:val="auto"/>
          <w:highlight w:val="none"/>
          <w:lang w:val="en-US" w:eastAsia="zh-CN"/>
        </w:rPr>
      </w:pPr>
      <w:r>
        <w:rPr>
          <w:rFonts w:hint="eastAsia" w:ascii="宋体" w:hAnsi="宋体" w:cs="宋体"/>
          <w:color w:val="auto"/>
          <w:sz w:val="24"/>
          <w:highlight w:val="none"/>
          <w:lang w:val="en-US" w:eastAsia="zh-CN"/>
        </w:rPr>
        <w:t>2.3.2 报价情况说明（如果有）；</w:t>
      </w:r>
    </w:p>
    <w:p w14:paraId="36336E2A">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中小企业声明函。</w:t>
      </w:r>
    </w:p>
    <w:p w14:paraId="7AB327D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3、我方承诺除商务技术偏离表列出的偏离外，我方响应招标文件的全部要求。对投标文件中材料的真实性、合法性负责。</w:t>
      </w:r>
    </w:p>
    <w:p w14:paraId="0E73C56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4、如我方中标，我方承诺：</w:t>
      </w:r>
    </w:p>
    <w:p w14:paraId="57047E02">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4.1在收到中标通知书后，在中标通知书规定的期限内与你方签订合同； </w:t>
      </w:r>
    </w:p>
    <w:p w14:paraId="6F887B1F">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4.2在签订合同时不向你方提出附加条件； </w:t>
      </w:r>
    </w:p>
    <w:p w14:paraId="42FA0618">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4.3按照招标文件要求提交履约保证金； </w:t>
      </w:r>
    </w:p>
    <w:p w14:paraId="6259BE4B">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4.4在合同约定的期限内完成合同规定的全部义务。 </w:t>
      </w:r>
    </w:p>
    <w:p w14:paraId="6E45C7E2">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5、其他补充说明: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7B0BBE8">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投标人名称（电子签名）：                          </w:t>
      </w:r>
    </w:p>
    <w:p w14:paraId="2DF559E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1D1E4812">
      <w:pPr>
        <w:snapToGrid w:val="0"/>
        <w:spacing w:line="360" w:lineRule="auto"/>
        <w:ind w:left="420" w:leftChars="200" w:firstLine="4200" w:firstLineChars="1750"/>
        <w:rPr>
          <w:rFonts w:ascii="宋体" w:hAnsi="宋体" w:cs="宋体"/>
          <w:color w:val="auto"/>
          <w:kern w:val="0"/>
          <w:sz w:val="24"/>
          <w:highlight w:val="none"/>
          <w:u w:val="single"/>
        </w:rPr>
      </w:pPr>
    </w:p>
    <w:p w14:paraId="3864A809">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0171C42D">
      <w:pPr>
        <w:snapToGrid w:val="0"/>
        <w:spacing w:line="360" w:lineRule="auto"/>
        <w:jc w:val="center"/>
        <w:rPr>
          <w:rFonts w:ascii="宋体" w:hAnsi="宋体" w:cs="宋体"/>
          <w:b/>
          <w:color w:val="auto"/>
          <w:kern w:val="0"/>
          <w:sz w:val="32"/>
          <w:szCs w:val="32"/>
          <w:highlight w:val="none"/>
        </w:rPr>
      </w:pPr>
    </w:p>
    <w:p w14:paraId="76006D06">
      <w:pPr>
        <w:snapToGrid w:val="0"/>
        <w:spacing w:line="360" w:lineRule="auto"/>
        <w:rPr>
          <w:rFonts w:ascii="宋体" w:hAnsi="宋体" w:cs="宋体"/>
          <w:color w:val="auto"/>
          <w:sz w:val="24"/>
          <w:highlight w:val="none"/>
        </w:rPr>
      </w:pPr>
    </w:p>
    <w:p w14:paraId="6A0269F4">
      <w:pPr>
        <w:jc w:val="center"/>
        <w:rPr>
          <w:rFonts w:ascii="宋体" w:hAnsi="宋体" w:cs="宋体"/>
          <w:b/>
          <w:color w:val="auto"/>
          <w:kern w:val="0"/>
          <w:sz w:val="32"/>
          <w:szCs w:val="32"/>
          <w:highlight w:val="none"/>
        </w:rPr>
      </w:pPr>
    </w:p>
    <w:p w14:paraId="6C7E5741">
      <w:pPr>
        <w:jc w:val="center"/>
        <w:rPr>
          <w:rFonts w:ascii="宋体" w:hAnsi="宋体" w:cs="宋体"/>
          <w:b/>
          <w:color w:val="auto"/>
          <w:kern w:val="0"/>
          <w:sz w:val="32"/>
          <w:szCs w:val="32"/>
          <w:highlight w:val="none"/>
        </w:rPr>
      </w:pPr>
    </w:p>
    <w:p w14:paraId="1EADC8C2">
      <w:pPr>
        <w:jc w:val="center"/>
        <w:rPr>
          <w:rFonts w:ascii="宋体" w:hAnsi="宋体" w:cs="宋体"/>
          <w:b/>
          <w:color w:val="auto"/>
          <w:kern w:val="0"/>
          <w:sz w:val="32"/>
          <w:szCs w:val="32"/>
          <w:highlight w:val="none"/>
        </w:rPr>
      </w:pPr>
    </w:p>
    <w:p w14:paraId="4174BBB7">
      <w:pPr>
        <w:jc w:val="center"/>
        <w:rPr>
          <w:rFonts w:ascii="宋体" w:hAnsi="宋体" w:cs="宋体"/>
          <w:b/>
          <w:color w:val="auto"/>
          <w:kern w:val="0"/>
          <w:sz w:val="32"/>
          <w:szCs w:val="32"/>
          <w:highlight w:val="none"/>
        </w:rPr>
      </w:pPr>
    </w:p>
    <w:p w14:paraId="00750789">
      <w:pPr>
        <w:jc w:val="center"/>
        <w:rPr>
          <w:rFonts w:ascii="宋体" w:hAnsi="宋体" w:cs="宋体"/>
          <w:b/>
          <w:color w:val="auto"/>
          <w:kern w:val="0"/>
          <w:sz w:val="32"/>
          <w:szCs w:val="32"/>
          <w:highlight w:val="none"/>
        </w:rPr>
      </w:pPr>
    </w:p>
    <w:p w14:paraId="570C7678">
      <w:pPr>
        <w:jc w:val="center"/>
        <w:rPr>
          <w:rFonts w:ascii="宋体" w:hAnsi="宋体" w:cs="宋体"/>
          <w:b/>
          <w:color w:val="auto"/>
          <w:kern w:val="0"/>
          <w:sz w:val="32"/>
          <w:szCs w:val="32"/>
          <w:highlight w:val="none"/>
        </w:rPr>
      </w:pPr>
    </w:p>
    <w:p w14:paraId="13642B2C">
      <w:pPr>
        <w:jc w:val="center"/>
        <w:rPr>
          <w:rFonts w:ascii="宋体" w:hAnsi="宋体" w:cs="宋体"/>
          <w:b/>
          <w:color w:val="auto"/>
          <w:kern w:val="0"/>
          <w:sz w:val="32"/>
          <w:szCs w:val="32"/>
          <w:highlight w:val="none"/>
        </w:rPr>
      </w:pPr>
    </w:p>
    <w:p w14:paraId="56440E32">
      <w:pPr>
        <w:jc w:val="center"/>
        <w:rPr>
          <w:rFonts w:ascii="宋体" w:hAnsi="宋体" w:cs="宋体"/>
          <w:b/>
          <w:color w:val="auto"/>
          <w:kern w:val="0"/>
          <w:sz w:val="32"/>
          <w:szCs w:val="32"/>
          <w:highlight w:val="none"/>
        </w:rPr>
      </w:pPr>
    </w:p>
    <w:p w14:paraId="36333AD3">
      <w:pPr>
        <w:jc w:val="center"/>
        <w:rPr>
          <w:rFonts w:ascii="宋体" w:hAnsi="宋体" w:cs="宋体"/>
          <w:b/>
          <w:color w:val="auto"/>
          <w:kern w:val="0"/>
          <w:sz w:val="32"/>
          <w:szCs w:val="32"/>
          <w:highlight w:val="none"/>
        </w:rPr>
      </w:pPr>
    </w:p>
    <w:p w14:paraId="0B2AB891">
      <w:pPr>
        <w:jc w:val="center"/>
        <w:rPr>
          <w:rFonts w:ascii="宋体" w:hAnsi="宋体" w:cs="宋体"/>
          <w:b/>
          <w:color w:val="auto"/>
          <w:kern w:val="0"/>
          <w:sz w:val="32"/>
          <w:szCs w:val="32"/>
          <w:highlight w:val="none"/>
        </w:rPr>
      </w:pPr>
    </w:p>
    <w:p w14:paraId="79A25D10">
      <w:pPr>
        <w:jc w:val="center"/>
        <w:rPr>
          <w:rFonts w:ascii="宋体" w:hAnsi="宋体" w:cs="宋体"/>
          <w:b/>
          <w:color w:val="auto"/>
          <w:kern w:val="0"/>
          <w:sz w:val="32"/>
          <w:szCs w:val="32"/>
          <w:highlight w:val="none"/>
        </w:rPr>
      </w:pPr>
    </w:p>
    <w:p w14:paraId="428A668D">
      <w:pPr>
        <w:jc w:val="center"/>
        <w:rPr>
          <w:rFonts w:ascii="宋体" w:hAnsi="宋体" w:cs="宋体"/>
          <w:b/>
          <w:color w:val="auto"/>
          <w:kern w:val="0"/>
          <w:sz w:val="32"/>
          <w:szCs w:val="32"/>
          <w:highlight w:val="none"/>
        </w:rPr>
      </w:pPr>
    </w:p>
    <w:p w14:paraId="7801B46E">
      <w:pPr>
        <w:jc w:val="center"/>
        <w:rPr>
          <w:rFonts w:ascii="宋体" w:hAnsi="宋体" w:cs="宋体"/>
          <w:b/>
          <w:color w:val="auto"/>
          <w:kern w:val="0"/>
          <w:sz w:val="32"/>
          <w:szCs w:val="32"/>
          <w:highlight w:val="none"/>
        </w:rPr>
      </w:pPr>
    </w:p>
    <w:p w14:paraId="1538A9DE">
      <w:pPr>
        <w:jc w:val="center"/>
        <w:rPr>
          <w:rFonts w:ascii="宋体" w:hAnsi="宋体" w:cs="宋体"/>
          <w:b/>
          <w:color w:val="auto"/>
          <w:kern w:val="0"/>
          <w:sz w:val="32"/>
          <w:szCs w:val="32"/>
          <w:highlight w:val="none"/>
        </w:rPr>
      </w:pPr>
    </w:p>
    <w:p w14:paraId="1032BBFC">
      <w:pPr>
        <w:jc w:val="center"/>
        <w:rPr>
          <w:rFonts w:ascii="宋体" w:hAnsi="宋体" w:cs="宋体"/>
          <w:b/>
          <w:color w:val="auto"/>
          <w:kern w:val="0"/>
          <w:sz w:val="32"/>
          <w:szCs w:val="32"/>
          <w:highlight w:val="none"/>
        </w:rPr>
      </w:pPr>
    </w:p>
    <w:p w14:paraId="759C19A2">
      <w:pPr>
        <w:jc w:val="center"/>
        <w:rPr>
          <w:rFonts w:ascii="宋体" w:hAnsi="宋体" w:cs="宋体"/>
          <w:b/>
          <w:color w:val="auto"/>
          <w:kern w:val="0"/>
          <w:sz w:val="32"/>
          <w:szCs w:val="32"/>
          <w:highlight w:val="none"/>
        </w:rPr>
      </w:pPr>
    </w:p>
    <w:p w14:paraId="2333278F">
      <w:pPr>
        <w:jc w:val="center"/>
        <w:rPr>
          <w:rFonts w:ascii="宋体" w:hAnsi="宋体" w:cs="宋体"/>
          <w:b/>
          <w:color w:val="auto"/>
          <w:kern w:val="0"/>
          <w:sz w:val="32"/>
          <w:szCs w:val="32"/>
          <w:highlight w:val="none"/>
        </w:rPr>
      </w:pPr>
    </w:p>
    <w:p w14:paraId="2FDFC952">
      <w:pPr>
        <w:jc w:val="center"/>
        <w:rPr>
          <w:rFonts w:ascii="宋体" w:hAnsi="宋体" w:cs="宋体"/>
          <w:b/>
          <w:color w:val="auto"/>
          <w:kern w:val="0"/>
          <w:sz w:val="32"/>
          <w:szCs w:val="32"/>
          <w:highlight w:val="none"/>
        </w:rPr>
      </w:pPr>
    </w:p>
    <w:p w14:paraId="55C75346">
      <w:pPr>
        <w:jc w:val="center"/>
        <w:rPr>
          <w:rFonts w:ascii="宋体" w:hAnsi="宋体" w:cs="宋体"/>
          <w:b/>
          <w:color w:val="auto"/>
          <w:kern w:val="0"/>
          <w:sz w:val="32"/>
          <w:szCs w:val="32"/>
          <w:highlight w:val="none"/>
        </w:rPr>
      </w:pPr>
    </w:p>
    <w:p w14:paraId="09EE9A0E">
      <w:pPr>
        <w:jc w:val="center"/>
        <w:rPr>
          <w:rFonts w:ascii="宋体" w:hAnsi="宋体" w:cs="宋体"/>
          <w:b/>
          <w:color w:val="auto"/>
          <w:kern w:val="0"/>
          <w:sz w:val="32"/>
          <w:szCs w:val="32"/>
          <w:highlight w:val="none"/>
        </w:rPr>
      </w:pPr>
    </w:p>
    <w:p w14:paraId="7890B896">
      <w:pPr>
        <w:jc w:val="center"/>
        <w:rPr>
          <w:rFonts w:ascii="宋体" w:hAnsi="宋体" w:cs="宋体"/>
          <w:b/>
          <w:color w:val="auto"/>
          <w:kern w:val="0"/>
          <w:sz w:val="32"/>
          <w:szCs w:val="32"/>
          <w:highlight w:val="none"/>
        </w:rPr>
      </w:pPr>
    </w:p>
    <w:p w14:paraId="5C6C1831">
      <w:pPr>
        <w:jc w:val="center"/>
        <w:rPr>
          <w:rFonts w:ascii="宋体" w:hAnsi="宋体" w:cs="宋体"/>
          <w:b/>
          <w:color w:val="auto"/>
          <w:kern w:val="0"/>
          <w:sz w:val="32"/>
          <w:szCs w:val="32"/>
          <w:highlight w:val="none"/>
        </w:rPr>
      </w:pPr>
    </w:p>
    <w:p w14:paraId="33FF7315">
      <w:pPr>
        <w:jc w:val="center"/>
        <w:rPr>
          <w:rFonts w:ascii="宋体" w:hAnsi="宋体" w:cs="宋体"/>
          <w:b/>
          <w:color w:val="auto"/>
          <w:kern w:val="0"/>
          <w:sz w:val="32"/>
          <w:szCs w:val="32"/>
          <w:highlight w:val="none"/>
        </w:rPr>
      </w:pPr>
    </w:p>
    <w:p w14:paraId="70012839">
      <w:pPr>
        <w:widowControl/>
        <w:adjustRightInd/>
        <w:jc w:val="left"/>
        <w:rPr>
          <w:rFonts w:ascii="宋体" w:hAnsi="宋体" w:cs="宋体"/>
          <w:b/>
          <w:color w:val="auto"/>
          <w:kern w:val="0"/>
          <w:sz w:val="32"/>
          <w:szCs w:val="32"/>
          <w:highlight w:val="none"/>
        </w:rPr>
      </w:pPr>
      <w:r>
        <w:rPr>
          <w:rFonts w:ascii="宋体" w:hAnsi="宋体" w:cs="宋体"/>
          <w:b/>
          <w:color w:val="auto"/>
          <w:kern w:val="0"/>
          <w:sz w:val="32"/>
          <w:szCs w:val="32"/>
          <w:highlight w:val="none"/>
        </w:rPr>
        <w:br w:type="page"/>
      </w:r>
    </w:p>
    <w:p w14:paraId="05F71672">
      <w:pPr>
        <w:jc w:val="center"/>
        <w:rPr>
          <w:rFonts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二、授权委托书或法定代表人（单位负责人、自然人本人）身份证明</w:t>
      </w:r>
    </w:p>
    <w:p w14:paraId="0373AFDA">
      <w:pPr>
        <w:snapToGrid w:val="0"/>
        <w:spacing w:line="360" w:lineRule="auto"/>
        <w:rPr>
          <w:rFonts w:ascii="宋体" w:hAnsi="宋体" w:cs="宋体"/>
          <w:color w:val="auto"/>
          <w:sz w:val="24"/>
          <w:highlight w:val="none"/>
        </w:rPr>
      </w:pPr>
      <w:r>
        <w:rPr>
          <w:rFonts w:hint="eastAsia" w:ascii="宋体" w:hAnsi="宋体" w:cs="宋体"/>
          <w:color w:val="auto"/>
          <w:kern w:val="0"/>
          <w:sz w:val="24"/>
          <w:highlight w:val="none"/>
          <w:lang w:val="zh-CN"/>
        </w:rPr>
        <w:t>注：供应商委派不在本单位缴纳社保的人员作为授权代表（代理人）的，应当在投标（响应）文件中，说明具体原因、授权代表缴纳社保的单位，并附列该授权代表缴纳社保清单。</w:t>
      </w:r>
    </w:p>
    <w:p w14:paraId="5AC0D6B3">
      <w:pPr>
        <w:snapToGrid w:val="0"/>
        <w:spacing w:line="360" w:lineRule="auto"/>
        <w:ind w:firstLine="2872" w:firstLineChars="894"/>
        <w:rPr>
          <w:rFonts w:ascii="宋体" w:hAnsi="宋体" w:cs="宋体"/>
          <w:color w:val="auto"/>
          <w:highlight w:val="none"/>
        </w:rPr>
      </w:pPr>
      <w:r>
        <w:rPr>
          <w:rFonts w:hint="eastAsia" w:ascii="宋体" w:hAnsi="宋体" w:cs="宋体"/>
          <w:b/>
          <w:color w:val="auto"/>
          <w:kern w:val="0"/>
          <w:sz w:val="32"/>
          <w:szCs w:val="32"/>
          <w:highlight w:val="none"/>
          <w:lang w:val="zh-CN"/>
        </w:rPr>
        <w:t>授权委托书（适用于非联合体投标）</w:t>
      </w:r>
      <w:r>
        <w:rPr>
          <w:rFonts w:hint="eastAsia" w:ascii="宋体" w:hAnsi="宋体" w:cs="宋体"/>
          <w:color w:val="auto"/>
          <w:highlight w:val="none"/>
        </w:rPr>
        <w:t xml:space="preserve">                               </w:t>
      </w:r>
    </w:p>
    <w:p w14:paraId="3851F8DD">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49824AFA">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single"/>
          <w:lang w:val="en-US" w:eastAsia="zh-CN"/>
        </w:rPr>
        <w:t>,</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（项目名称）【招标编号：（采购编号）】</w:t>
      </w:r>
      <w:r>
        <w:rPr>
          <w:rFonts w:hint="eastAsia" w:ascii="宋体" w:hAnsi="宋体" w:cs="宋体"/>
          <w:color w:val="auto"/>
          <w:kern w:val="0"/>
          <w:sz w:val="24"/>
          <w:highlight w:val="none"/>
          <w:lang w:val="zh-CN"/>
        </w:rPr>
        <w:t>政府采购投标的一切事项，其法律后果由我方承担。</w:t>
      </w:r>
    </w:p>
    <w:p w14:paraId="2C32BBB9">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7FFD2154">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21B273B9">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投标人名称(电子签名)：</w:t>
      </w:r>
    </w:p>
    <w:p w14:paraId="2DF8D7B3">
      <w:pPr>
        <w:snapToGrid w:val="0"/>
        <w:spacing w:line="360" w:lineRule="auto"/>
        <w:rPr>
          <w:rFonts w:ascii="宋体" w:hAnsi="宋体" w:cs="宋体"/>
          <w:color w:val="auto"/>
          <w:sz w:val="24"/>
          <w:highlight w:val="none"/>
        </w:rPr>
      </w:pPr>
      <w:r>
        <w:rPr>
          <w:rFonts w:hint="eastAsia" w:ascii="宋体" w:hAnsi="宋体" w:cs="宋体"/>
          <w:color w:val="auto"/>
          <w:kern w:val="0"/>
          <w:sz w:val="24"/>
          <w:highlight w:val="none"/>
          <w:lang w:val="zh-CN"/>
        </w:rPr>
        <w:t xml:space="preserve">                                                 签发日期：  年  月   日</w:t>
      </w:r>
    </w:p>
    <w:p w14:paraId="780FE6FB">
      <w:pPr>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 xml:space="preserve">      </w:t>
      </w:r>
    </w:p>
    <w:p w14:paraId="423C9B12">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lang w:val="zh-CN"/>
        </w:rPr>
        <w:t>授权委托书（适用于联合体投标）</w:t>
      </w:r>
    </w:p>
    <w:p w14:paraId="308BADBC">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40F4F95C">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（项目名称）【招标编号：（采购编号）】</w:t>
      </w:r>
      <w:r>
        <w:rPr>
          <w:rFonts w:hint="eastAsia" w:ascii="宋体" w:hAnsi="宋体" w:cs="宋体"/>
          <w:color w:val="auto"/>
          <w:kern w:val="0"/>
          <w:sz w:val="24"/>
          <w:highlight w:val="none"/>
          <w:lang w:val="zh-CN"/>
        </w:rPr>
        <w:t>政府采购投标的一切事项，其法律后果由我方承担。</w:t>
      </w:r>
    </w:p>
    <w:p w14:paraId="43FC8114">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56234E04">
      <w:pPr>
        <w:snapToGrid w:val="0"/>
        <w:spacing w:line="360" w:lineRule="auto"/>
        <w:rPr>
          <w:rFonts w:ascii="宋体" w:hAnsi="宋体" w:cs="宋体"/>
          <w:b/>
          <w:color w:val="auto"/>
          <w:kern w:val="0"/>
          <w:sz w:val="32"/>
          <w:szCs w:val="32"/>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13ABF506">
      <w:pPr>
        <w:jc w:val="center"/>
        <w:rPr>
          <w:rFonts w:ascii="宋体" w:hAnsi="宋体" w:cs="宋体"/>
          <w:b/>
          <w:color w:val="auto"/>
          <w:kern w:val="0"/>
          <w:sz w:val="32"/>
          <w:szCs w:val="32"/>
          <w:highlight w:val="none"/>
        </w:rPr>
      </w:pPr>
    </w:p>
    <w:p w14:paraId="26F7C074">
      <w:pPr>
        <w:rPr>
          <w:rFonts w:ascii="宋体" w:hAnsi="宋体" w:cs="宋体"/>
          <w:color w:val="auto"/>
          <w:highlight w:val="none"/>
        </w:rPr>
      </w:pPr>
    </w:p>
    <w:p w14:paraId="35451726">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0F1AE0FA">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1434FCEE">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20B202E7">
      <w:pPr>
        <w:snapToGrid w:val="0"/>
        <w:spacing w:line="360" w:lineRule="auto"/>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2715E7FF">
      <w:pPr>
        <w:autoSpaceDE w:val="0"/>
        <w:autoSpaceDN w:val="0"/>
        <w:spacing w:line="360" w:lineRule="auto"/>
        <w:jc w:val="center"/>
        <w:rPr>
          <w:rFonts w:hint="eastAsia" w:ascii="宋体" w:hAnsi="宋体" w:cs="宋体"/>
          <w:b/>
          <w:color w:val="auto"/>
          <w:kern w:val="0"/>
          <w:sz w:val="32"/>
          <w:szCs w:val="32"/>
          <w:highlight w:val="none"/>
          <w:lang w:val="zh-CN"/>
        </w:rPr>
      </w:pPr>
    </w:p>
    <w:p w14:paraId="2308FB7E">
      <w:pPr>
        <w:autoSpaceDE w:val="0"/>
        <w:autoSpaceDN w:val="0"/>
        <w:spacing w:line="360" w:lineRule="auto"/>
        <w:jc w:val="center"/>
        <w:rPr>
          <w:rFonts w:hint="eastAsia" w:ascii="宋体" w:hAnsi="宋体" w:cs="宋体"/>
          <w:b/>
          <w:color w:val="auto"/>
          <w:kern w:val="0"/>
          <w:sz w:val="32"/>
          <w:szCs w:val="32"/>
          <w:highlight w:val="none"/>
          <w:lang w:val="zh-CN"/>
        </w:rPr>
      </w:pPr>
    </w:p>
    <w:p w14:paraId="0D04D86A">
      <w:pPr>
        <w:autoSpaceDE w:val="0"/>
        <w:autoSpaceDN w:val="0"/>
        <w:spacing w:line="360" w:lineRule="auto"/>
        <w:jc w:val="center"/>
        <w:rPr>
          <w:rFonts w:ascii="宋体" w:hAnsi="宋体" w:cs="宋体"/>
          <w:b/>
          <w:color w:val="auto"/>
          <w:sz w:val="24"/>
          <w:highlight w:val="none"/>
        </w:rPr>
      </w:pPr>
      <w:r>
        <w:rPr>
          <w:rFonts w:hint="eastAsia" w:ascii="宋体" w:hAnsi="宋体" w:cs="宋体"/>
          <w:b/>
          <w:color w:val="auto"/>
          <w:kern w:val="0"/>
          <w:sz w:val="32"/>
          <w:szCs w:val="32"/>
          <w:highlight w:val="none"/>
          <w:lang w:val="zh-CN"/>
        </w:rPr>
        <w:t>法定代表人、单位负责人或自然人本人</w:t>
      </w:r>
      <w:r>
        <w:rPr>
          <w:rFonts w:hint="eastAsia" w:ascii="宋体" w:hAnsi="宋体" w:cs="宋体"/>
          <w:b/>
          <w:color w:val="auto"/>
          <w:sz w:val="30"/>
          <w:szCs w:val="30"/>
          <w:highlight w:val="none"/>
        </w:rPr>
        <w:t>的身份证明（适用于法定代表人、单位负责人或者自然人本人代表投标人参加投标）</w:t>
      </w:r>
    </w:p>
    <w:p w14:paraId="2F5239BB">
      <w:pPr>
        <w:pStyle w:val="152"/>
        <w:spacing w:line="360" w:lineRule="auto"/>
        <w:rPr>
          <w:rFonts w:hAnsi="宋体" w:cs="宋体"/>
          <w:bCs/>
          <w:color w:val="auto"/>
          <w:sz w:val="24"/>
          <w:highlight w:val="none"/>
        </w:rPr>
      </w:pPr>
      <w:r>
        <w:rPr>
          <w:rFonts w:hint="eastAsia" w:hAnsi="宋体" w:cs="宋体"/>
          <w:bCs/>
          <w:color w:val="auto"/>
          <w:sz w:val="24"/>
          <w:highlight w:val="none"/>
        </w:rPr>
        <w:t>身份证件扫描件：</w:t>
      </w:r>
    </w:p>
    <w:tbl>
      <w:tblPr>
        <w:tblStyle w:val="6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4225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0F42AAB0">
            <w:pPr>
              <w:pStyle w:val="152"/>
              <w:adjustRightInd w:val="0"/>
              <w:spacing w:line="360" w:lineRule="auto"/>
              <w:rPr>
                <w:rFonts w:hAnsi="宋体" w:cs="宋体"/>
                <w:bCs/>
                <w:color w:val="auto"/>
                <w:sz w:val="24"/>
                <w:highlight w:val="none"/>
              </w:rPr>
            </w:pPr>
            <w:r>
              <w:rPr>
                <w:rFonts w:hint="eastAsia" w:hAnsi="宋体" w:cs="宋体"/>
                <w:bCs/>
                <w:color w:val="auto"/>
                <w:sz w:val="24"/>
                <w:highlight w:val="none"/>
              </w:rPr>
              <w:t>正面：                                 反面：</w:t>
            </w:r>
          </w:p>
          <w:p w14:paraId="710349B0">
            <w:pPr>
              <w:pStyle w:val="152"/>
              <w:adjustRightInd w:val="0"/>
              <w:spacing w:line="360" w:lineRule="auto"/>
              <w:rPr>
                <w:rFonts w:hAnsi="宋体" w:cs="宋体"/>
                <w:bCs/>
                <w:color w:val="auto"/>
                <w:sz w:val="24"/>
                <w:highlight w:val="none"/>
              </w:rPr>
            </w:pPr>
          </w:p>
        </w:tc>
      </w:tr>
    </w:tbl>
    <w:p w14:paraId="0BA70DEE">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p>
    <w:p w14:paraId="28F023FA">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投标人名称(电子签名)：                              </w:t>
      </w:r>
    </w:p>
    <w:p w14:paraId="1DCD50A6">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484A3BFA">
      <w:pPr>
        <w:jc w:val="center"/>
        <w:rPr>
          <w:rFonts w:ascii="宋体" w:hAnsi="宋体" w:cs="宋体"/>
          <w:b/>
          <w:color w:val="auto"/>
          <w:kern w:val="0"/>
          <w:sz w:val="32"/>
          <w:szCs w:val="32"/>
          <w:highlight w:val="none"/>
        </w:rPr>
      </w:pPr>
    </w:p>
    <w:p w14:paraId="7730323E">
      <w:pPr>
        <w:jc w:val="center"/>
        <w:rPr>
          <w:rFonts w:ascii="宋体" w:hAnsi="宋体" w:cs="宋体"/>
          <w:b/>
          <w:color w:val="auto"/>
          <w:kern w:val="0"/>
          <w:sz w:val="32"/>
          <w:szCs w:val="32"/>
          <w:highlight w:val="none"/>
        </w:rPr>
      </w:pPr>
    </w:p>
    <w:p w14:paraId="12D9D4C5">
      <w:pPr>
        <w:jc w:val="center"/>
        <w:rPr>
          <w:rFonts w:ascii="宋体" w:hAnsi="宋体" w:cs="宋体"/>
          <w:b/>
          <w:color w:val="auto"/>
          <w:kern w:val="0"/>
          <w:sz w:val="32"/>
          <w:szCs w:val="32"/>
          <w:highlight w:val="none"/>
        </w:rPr>
      </w:pPr>
    </w:p>
    <w:p w14:paraId="731F43F7">
      <w:pPr>
        <w:jc w:val="center"/>
        <w:rPr>
          <w:rFonts w:ascii="宋体" w:hAnsi="宋体" w:cs="宋体"/>
          <w:b/>
          <w:color w:val="auto"/>
          <w:kern w:val="0"/>
          <w:sz w:val="32"/>
          <w:szCs w:val="32"/>
          <w:highlight w:val="none"/>
        </w:rPr>
      </w:pPr>
    </w:p>
    <w:p w14:paraId="58CF2F41">
      <w:pPr>
        <w:jc w:val="center"/>
        <w:rPr>
          <w:rFonts w:ascii="宋体" w:hAnsi="宋体" w:cs="宋体"/>
          <w:b/>
          <w:color w:val="auto"/>
          <w:kern w:val="0"/>
          <w:sz w:val="32"/>
          <w:szCs w:val="32"/>
          <w:highlight w:val="none"/>
        </w:rPr>
      </w:pPr>
    </w:p>
    <w:p w14:paraId="5B5C6D6A">
      <w:pPr>
        <w:keepNext w:val="0"/>
        <w:keepLines w:val="0"/>
        <w:widowControl/>
        <w:suppressLineNumbers w:val="0"/>
        <w:jc w:val="left"/>
        <w:rPr>
          <w:color w:val="auto"/>
          <w:highlight w:val="none"/>
        </w:rPr>
      </w:pPr>
      <w:r>
        <w:rPr>
          <w:rFonts w:ascii="仿宋" w:hAnsi="仿宋" w:eastAsia="仿宋" w:cs="仿宋"/>
          <w:b/>
          <w:bCs/>
          <w:color w:val="auto"/>
          <w:kern w:val="0"/>
          <w:sz w:val="24"/>
          <w:szCs w:val="24"/>
          <w:highlight w:val="none"/>
          <w:lang w:val="en-US" w:eastAsia="zh-CN" w:bidi="ar"/>
        </w:rPr>
        <w:t xml:space="preserve">注：供应商委派不在本单位缴纳社保的人员作为授权代表（代理人）的，应当在投 </w:t>
      </w:r>
    </w:p>
    <w:p w14:paraId="344FAA81">
      <w:pPr>
        <w:keepNext w:val="0"/>
        <w:keepLines w:val="0"/>
        <w:widowControl/>
        <w:suppressLineNumbers w:val="0"/>
        <w:jc w:val="left"/>
        <w:rPr>
          <w:color w:val="auto"/>
          <w:highlight w:val="none"/>
        </w:rPr>
      </w:pPr>
      <w:r>
        <w:rPr>
          <w:rFonts w:hint="eastAsia" w:ascii="仿宋" w:hAnsi="仿宋" w:eastAsia="仿宋" w:cs="仿宋"/>
          <w:b/>
          <w:bCs/>
          <w:color w:val="auto"/>
          <w:kern w:val="0"/>
          <w:sz w:val="24"/>
          <w:szCs w:val="24"/>
          <w:highlight w:val="none"/>
          <w:lang w:val="en-US" w:eastAsia="zh-CN" w:bidi="ar"/>
        </w:rPr>
        <w:t xml:space="preserve">标（响应）文件中，说明具体原因、授权代表缴纳社保的单位，并附列该授权代表缴纳 </w:t>
      </w:r>
    </w:p>
    <w:p w14:paraId="09DB1298">
      <w:pPr>
        <w:keepNext w:val="0"/>
        <w:keepLines w:val="0"/>
        <w:widowControl/>
        <w:suppressLineNumbers w:val="0"/>
        <w:jc w:val="left"/>
        <w:rPr>
          <w:color w:val="auto"/>
          <w:highlight w:val="none"/>
        </w:rPr>
      </w:pPr>
      <w:r>
        <w:rPr>
          <w:rFonts w:hint="eastAsia" w:ascii="仿宋" w:hAnsi="仿宋" w:eastAsia="仿宋" w:cs="仿宋"/>
          <w:b/>
          <w:bCs/>
          <w:color w:val="auto"/>
          <w:kern w:val="0"/>
          <w:sz w:val="24"/>
          <w:szCs w:val="24"/>
          <w:highlight w:val="none"/>
          <w:lang w:val="en-US" w:eastAsia="zh-CN" w:bidi="ar"/>
        </w:rPr>
        <w:t>社保清单。</w:t>
      </w:r>
    </w:p>
    <w:p w14:paraId="63EBEA0E">
      <w:pPr>
        <w:jc w:val="center"/>
        <w:rPr>
          <w:rFonts w:ascii="宋体" w:hAnsi="宋体" w:cs="宋体"/>
          <w:b/>
          <w:color w:val="auto"/>
          <w:kern w:val="0"/>
          <w:sz w:val="32"/>
          <w:szCs w:val="32"/>
          <w:highlight w:val="none"/>
        </w:rPr>
      </w:pPr>
    </w:p>
    <w:p w14:paraId="5E022FCD">
      <w:pPr>
        <w:jc w:val="center"/>
        <w:rPr>
          <w:rFonts w:ascii="宋体" w:hAnsi="宋体" w:cs="宋体"/>
          <w:b/>
          <w:color w:val="auto"/>
          <w:kern w:val="0"/>
          <w:sz w:val="32"/>
          <w:szCs w:val="32"/>
          <w:highlight w:val="none"/>
        </w:rPr>
      </w:pPr>
    </w:p>
    <w:p w14:paraId="2926FA1F">
      <w:pPr>
        <w:jc w:val="center"/>
        <w:rPr>
          <w:rFonts w:ascii="宋体" w:hAnsi="宋体" w:cs="宋体"/>
          <w:b/>
          <w:color w:val="auto"/>
          <w:kern w:val="0"/>
          <w:sz w:val="32"/>
          <w:szCs w:val="32"/>
          <w:highlight w:val="none"/>
        </w:rPr>
      </w:pPr>
    </w:p>
    <w:p w14:paraId="790530B6">
      <w:pPr>
        <w:jc w:val="center"/>
        <w:rPr>
          <w:rFonts w:ascii="宋体" w:hAnsi="宋体" w:cs="宋体"/>
          <w:b/>
          <w:color w:val="auto"/>
          <w:kern w:val="0"/>
          <w:sz w:val="32"/>
          <w:szCs w:val="32"/>
          <w:highlight w:val="none"/>
        </w:rPr>
      </w:pPr>
    </w:p>
    <w:p w14:paraId="2E805D25">
      <w:pPr>
        <w:jc w:val="center"/>
        <w:rPr>
          <w:rFonts w:ascii="宋体" w:hAnsi="宋体" w:cs="宋体"/>
          <w:b/>
          <w:color w:val="auto"/>
          <w:kern w:val="0"/>
          <w:sz w:val="32"/>
          <w:szCs w:val="32"/>
          <w:highlight w:val="none"/>
        </w:rPr>
      </w:pPr>
    </w:p>
    <w:p w14:paraId="78AE8D4E">
      <w:pPr>
        <w:snapToGrid w:val="0"/>
        <w:spacing w:line="360" w:lineRule="auto"/>
        <w:ind w:right="480"/>
        <w:rPr>
          <w:rFonts w:ascii="宋体" w:hAnsi="宋体" w:cs="宋体"/>
          <w:b/>
          <w:color w:val="auto"/>
          <w:kern w:val="0"/>
          <w:sz w:val="32"/>
          <w:szCs w:val="32"/>
          <w:highlight w:val="none"/>
        </w:rPr>
        <w:sectPr>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420DEFB9">
      <w:pPr>
        <w:snapToGrid w:val="0"/>
        <w:spacing w:line="360" w:lineRule="auto"/>
        <w:jc w:val="center"/>
        <w:rPr>
          <w:rFonts w:hint="eastAsia" w:ascii="宋体" w:hAnsi="宋体" w:cs="宋体"/>
          <w:b/>
          <w:color w:val="auto"/>
          <w:kern w:val="0"/>
          <w:sz w:val="32"/>
          <w:szCs w:val="32"/>
          <w:highlight w:val="none"/>
        </w:rPr>
      </w:pPr>
    </w:p>
    <w:p w14:paraId="72737B79">
      <w:pPr>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三、分包意向协议（如果有）</w:t>
      </w:r>
    </w:p>
    <w:p w14:paraId="160109E0">
      <w:pPr>
        <w:widowControl/>
        <w:spacing w:line="360" w:lineRule="auto"/>
        <w:ind w:firstLine="120" w:firstLineChars="50"/>
        <w:jc w:val="left"/>
        <w:rPr>
          <w:rFonts w:ascii="宋体" w:hAnsi="宋体" w:cs="宋体"/>
          <w:color w:val="auto"/>
          <w:sz w:val="24"/>
          <w:highlight w:val="none"/>
        </w:rPr>
      </w:pPr>
      <w:bookmarkStart w:id="595" w:name="_Hlk101169080"/>
      <w:r>
        <w:rPr>
          <w:rFonts w:hint="eastAsia" w:ascii="宋体" w:hAnsi="宋体" w:cs="宋体"/>
          <w:color w:val="auto"/>
          <w:sz w:val="24"/>
          <w:highlight w:val="none"/>
        </w:rPr>
        <w:t>[</w:t>
      </w:r>
      <w:r>
        <w:rPr>
          <w:rFonts w:hint="eastAsia" w:ascii="宋体" w:hAnsi="宋体" w:cs="宋体"/>
          <w:b/>
          <w:color w:val="auto"/>
          <w:sz w:val="24"/>
          <w:highlight w:val="none"/>
        </w:rPr>
        <w:t>中标后以分包方式履行合同的，提供分包意向协议(附件6</w:t>
      </w:r>
      <w:r>
        <w:rPr>
          <w:rFonts w:ascii="宋体" w:hAnsi="宋体" w:cs="宋体"/>
          <w:b/>
          <w:color w:val="auto"/>
          <w:sz w:val="24"/>
          <w:highlight w:val="none"/>
        </w:rPr>
        <w:t>)</w:t>
      </w:r>
      <w:r>
        <w:rPr>
          <w:rFonts w:hint="eastAsia" w:ascii="宋体" w:hAnsi="宋体" w:cs="宋体"/>
          <w:b/>
          <w:color w:val="auto"/>
          <w:sz w:val="24"/>
          <w:highlight w:val="none"/>
        </w:rPr>
        <w:t>；采购人不同意分包或者投标人中标后不以分包方式履行合同的，则不需要提供。</w:t>
      </w:r>
      <w:r>
        <w:rPr>
          <w:rFonts w:hint="eastAsia" w:ascii="宋体" w:hAnsi="宋体" w:cs="宋体"/>
          <w:color w:val="auto"/>
          <w:sz w:val="24"/>
          <w:highlight w:val="none"/>
        </w:rPr>
        <w:t>]</w:t>
      </w:r>
    </w:p>
    <w:bookmarkEnd w:id="595"/>
    <w:p w14:paraId="2995C0D1">
      <w:pPr>
        <w:snapToGrid w:val="0"/>
        <w:spacing w:line="360" w:lineRule="auto"/>
        <w:rPr>
          <w:rFonts w:ascii="宋体" w:hAnsi="宋体" w:cs="宋体"/>
          <w:color w:val="auto"/>
          <w:kern w:val="0"/>
          <w:sz w:val="24"/>
          <w:highlight w:val="none"/>
        </w:rPr>
      </w:pPr>
    </w:p>
    <w:p w14:paraId="415526B2">
      <w:pPr>
        <w:jc w:val="center"/>
        <w:rPr>
          <w:rFonts w:ascii="宋体" w:hAnsi="宋体" w:cs="宋体"/>
          <w:b/>
          <w:color w:val="auto"/>
          <w:kern w:val="0"/>
          <w:sz w:val="32"/>
          <w:szCs w:val="32"/>
          <w:highlight w:val="none"/>
        </w:rPr>
      </w:pPr>
    </w:p>
    <w:p w14:paraId="570C91A7">
      <w:pPr>
        <w:pStyle w:val="3"/>
        <w:rPr>
          <w:color w:val="auto"/>
          <w:highlight w:val="none"/>
          <w:lang w:val="en-US"/>
        </w:rPr>
      </w:pPr>
    </w:p>
    <w:p w14:paraId="723717E4">
      <w:pPr>
        <w:rPr>
          <w:color w:val="auto"/>
          <w:highlight w:val="none"/>
        </w:rPr>
      </w:pPr>
    </w:p>
    <w:p w14:paraId="3F0E4715">
      <w:pPr>
        <w:pStyle w:val="3"/>
        <w:rPr>
          <w:color w:val="auto"/>
          <w:highlight w:val="none"/>
          <w:lang w:val="en-US"/>
        </w:rPr>
      </w:pPr>
    </w:p>
    <w:p w14:paraId="1D539343">
      <w:pPr>
        <w:jc w:val="center"/>
        <w:rPr>
          <w:rFonts w:ascii="宋体" w:hAnsi="宋体" w:cs="宋体"/>
          <w:b/>
          <w:color w:val="auto"/>
          <w:kern w:val="0"/>
          <w:sz w:val="32"/>
          <w:szCs w:val="32"/>
          <w:highlight w:val="none"/>
        </w:rPr>
      </w:pPr>
    </w:p>
    <w:p w14:paraId="2DC87E74">
      <w:pP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265918D9">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四、符合性审查资料</w:t>
      </w:r>
    </w:p>
    <w:p w14:paraId="1517717A">
      <w:pPr>
        <w:jc w:val="center"/>
        <w:rPr>
          <w:rFonts w:hint="eastAsia" w:ascii="宋体" w:hAnsi="宋体" w:eastAsia="宋体" w:cs="宋体"/>
          <w:b/>
          <w:color w:val="auto"/>
          <w:kern w:val="0"/>
          <w:sz w:val="32"/>
          <w:szCs w:val="32"/>
          <w:highlight w:val="none"/>
          <w:lang w:eastAsia="zh-CN"/>
        </w:rPr>
      </w:pPr>
      <w:r>
        <w:rPr>
          <w:rFonts w:hint="eastAsia" w:ascii="宋体" w:hAnsi="宋体" w:cs="宋体"/>
          <w:b/>
          <w:color w:val="auto"/>
          <w:kern w:val="0"/>
          <w:sz w:val="32"/>
          <w:szCs w:val="32"/>
          <w:highlight w:val="none"/>
          <w:lang w:eastAsia="zh-CN"/>
        </w:rPr>
        <w:t>（</w:t>
      </w:r>
      <w:r>
        <w:rPr>
          <w:rFonts w:hint="eastAsia" w:ascii="宋体" w:hAnsi="宋体" w:cs="宋体"/>
          <w:b/>
          <w:color w:val="auto"/>
          <w:kern w:val="0"/>
          <w:sz w:val="32"/>
          <w:szCs w:val="32"/>
          <w:highlight w:val="none"/>
          <w:lang w:val="en-US" w:eastAsia="zh-CN"/>
        </w:rPr>
        <w:t>1</w:t>
      </w:r>
      <w:r>
        <w:rPr>
          <w:rFonts w:hint="eastAsia" w:ascii="宋体" w:hAnsi="宋体" w:cs="宋体"/>
          <w:b/>
          <w:color w:val="auto"/>
          <w:kern w:val="0"/>
          <w:sz w:val="32"/>
          <w:szCs w:val="32"/>
          <w:highlight w:val="none"/>
          <w:lang w:eastAsia="zh-CN"/>
        </w:rPr>
        <w:t>）符合性审查材料汇总表</w:t>
      </w:r>
    </w:p>
    <w:tbl>
      <w:tblPr>
        <w:tblStyle w:val="6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3A9D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3FF881A2">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4991" w:type="dxa"/>
            <w:vAlign w:val="center"/>
          </w:tcPr>
          <w:p w14:paraId="0476BC25">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实质性要求</w:t>
            </w:r>
          </w:p>
        </w:tc>
        <w:tc>
          <w:tcPr>
            <w:tcW w:w="2551" w:type="dxa"/>
            <w:vAlign w:val="center"/>
          </w:tcPr>
          <w:p w14:paraId="65765E07">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需要提供的符合性审查资料</w:t>
            </w:r>
          </w:p>
        </w:tc>
        <w:tc>
          <w:tcPr>
            <w:tcW w:w="1418" w:type="dxa"/>
            <w:vAlign w:val="center"/>
          </w:tcPr>
          <w:p w14:paraId="4D0B5992">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投标文件中的</w:t>
            </w:r>
          </w:p>
          <w:p w14:paraId="58AF1A32">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页码位置</w:t>
            </w:r>
          </w:p>
        </w:tc>
      </w:tr>
      <w:tr w14:paraId="35B2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455B2DC">
            <w:pPr>
              <w:jc w:val="center"/>
              <w:rPr>
                <w:rFonts w:ascii="宋体" w:hAnsi="宋体" w:cs="宋体"/>
                <w:color w:val="auto"/>
                <w:sz w:val="24"/>
                <w:highlight w:val="none"/>
              </w:rPr>
            </w:pPr>
            <w:r>
              <w:rPr>
                <w:rFonts w:hint="eastAsia" w:ascii="宋体" w:hAnsi="宋体" w:cs="宋体"/>
                <w:color w:val="auto"/>
                <w:sz w:val="24"/>
                <w:highlight w:val="none"/>
              </w:rPr>
              <w:t>1</w:t>
            </w:r>
          </w:p>
        </w:tc>
        <w:tc>
          <w:tcPr>
            <w:tcW w:w="4991" w:type="dxa"/>
          </w:tcPr>
          <w:p w14:paraId="7374A30A">
            <w:pPr>
              <w:spacing w:line="360" w:lineRule="auto"/>
              <w:rPr>
                <w:rFonts w:ascii="宋体" w:hAnsi="宋体" w:cs="宋体"/>
                <w:color w:val="auto"/>
                <w:sz w:val="24"/>
                <w:highlight w:val="none"/>
              </w:rPr>
            </w:pPr>
            <w:r>
              <w:rPr>
                <w:rFonts w:hint="eastAsia" w:ascii="宋体" w:hAnsi="宋体" w:cs="宋体"/>
                <w:color w:val="auto"/>
                <w:sz w:val="24"/>
                <w:highlight w:val="none"/>
              </w:rPr>
              <w:t>投标文件按照招标文件要求签署、盖章。</w:t>
            </w:r>
          </w:p>
        </w:tc>
        <w:tc>
          <w:tcPr>
            <w:tcW w:w="2551" w:type="dxa"/>
            <w:vAlign w:val="center"/>
          </w:tcPr>
          <w:p w14:paraId="114F0AF6">
            <w:pPr>
              <w:rPr>
                <w:rFonts w:ascii="宋体" w:hAnsi="宋体" w:cs="宋体"/>
                <w:color w:val="auto"/>
                <w:sz w:val="24"/>
                <w:highlight w:val="none"/>
              </w:rPr>
            </w:pPr>
            <w:r>
              <w:rPr>
                <w:rFonts w:hint="eastAsia" w:ascii="宋体" w:hAnsi="宋体" w:cs="宋体"/>
                <w:color w:val="auto"/>
                <w:sz w:val="24"/>
                <w:highlight w:val="none"/>
              </w:rPr>
              <w:t>需要使用电子签名或者签字盖章的投标文件的组成部分</w:t>
            </w:r>
          </w:p>
        </w:tc>
        <w:tc>
          <w:tcPr>
            <w:tcW w:w="1418" w:type="dxa"/>
          </w:tcPr>
          <w:p w14:paraId="433B0721">
            <w:pPr>
              <w:rPr>
                <w:rFonts w:ascii="宋体" w:hAnsi="宋体" w:cs="宋体"/>
                <w:color w:val="auto"/>
                <w:sz w:val="24"/>
                <w:highlight w:val="none"/>
              </w:rPr>
            </w:pPr>
          </w:p>
          <w:p w14:paraId="7C7AC793">
            <w:pPr>
              <w:rPr>
                <w:rFonts w:ascii="宋体" w:hAnsi="宋体" w:cs="宋体"/>
                <w:color w:val="auto"/>
                <w:sz w:val="24"/>
                <w:highlight w:val="none"/>
              </w:rPr>
            </w:pPr>
            <w:r>
              <w:rPr>
                <w:rFonts w:hint="eastAsia" w:ascii="宋体" w:hAnsi="宋体" w:cs="宋体"/>
                <w:color w:val="auto"/>
                <w:sz w:val="24"/>
                <w:highlight w:val="none"/>
              </w:rPr>
              <w:t>见投标文件</w:t>
            </w:r>
          </w:p>
          <w:p w14:paraId="1734839D">
            <w:pPr>
              <w:rPr>
                <w:rFonts w:ascii="宋体" w:hAnsi="宋体" w:cs="宋体"/>
                <w:color w:val="auto"/>
                <w:highlight w:val="none"/>
              </w:rPr>
            </w:pP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745C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EC4D136">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w:t>
            </w:r>
          </w:p>
        </w:tc>
        <w:tc>
          <w:tcPr>
            <w:tcW w:w="4991" w:type="dxa"/>
            <w:vAlign w:val="center"/>
          </w:tcPr>
          <w:p w14:paraId="1A2AB613">
            <w:pPr>
              <w:spacing w:line="360" w:lineRule="auto"/>
              <w:rPr>
                <w:rFonts w:hint="eastAsia" w:ascii="宋体" w:hAnsi="宋体" w:cs="宋体"/>
                <w:color w:val="auto"/>
                <w:sz w:val="24"/>
                <w:highlight w:val="none"/>
              </w:rPr>
            </w:pPr>
            <w:r>
              <w:rPr>
                <w:rFonts w:hint="eastAsia" w:ascii="宋体" w:hAnsi="宋体" w:cs="宋体"/>
                <w:color w:val="auto"/>
                <w:sz w:val="24"/>
                <w:highlight w:val="none"/>
              </w:rPr>
              <w:t>采购人拟采购的产品属于政府强制采购的节能产品品目清单范围的，供应商按采购文件要求提供国家确定的认证机构出具的、处于有效期之内的节能产品认证证书。（</w:t>
            </w:r>
            <w:r>
              <w:rPr>
                <w:rFonts w:hint="eastAsia" w:ascii="宋体" w:hAnsi="宋体" w:cs="宋体"/>
                <w:b/>
                <w:bCs/>
                <w:color w:val="auto"/>
                <w:sz w:val="24"/>
                <w:highlight w:val="none"/>
                <w:lang w:eastAsia="zh-CN"/>
              </w:rPr>
              <w:t>水嘴（即采购清单中的台式混水厨房龙头、感应龙头、洗地龙头）需提供节能产品认证证书</w:t>
            </w:r>
            <w:r>
              <w:rPr>
                <w:rFonts w:hint="eastAsia" w:ascii="宋体" w:hAnsi="宋体" w:cs="宋体"/>
                <w:color w:val="auto"/>
                <w:sz w:val="24"/>
                <w:highlight w:val="none"/>
              </w:rPr>
              <w:t>）</w:t>
            </w:r>
          </w:p>
        </w:tc>
        <w:tc>
          <w:tcPr>
            <w:tcW w:w="2551" w:type="dxa"/>
            <w:vAlign w:val="center"/>
          </w:tcPr>
          <w:p w14:paraId="18E650EE">
            <w:pPr>
              <w:rPr>
                <w:rFonts w:hint="eastAsia" w:ascii="宋体" w:hAnsi="宋体" w:cs="宋体"/>
                <w:color w:val="auto"/>
                <w:sz w:val="24"/>
                <w:highlight w:val="none"/>
              </w:rPr>
            </w:pPr>
            <w:r>
              <w:rPr>
                <w:rFonts w:hint="eastAsia" w:ascii="宋体" w:hAnsi="宋体" w:cs="宋体"/>
                <w:color w:val="auto"/>
                <w:sz w:val="24"/>
                <w:highlight w:val="none"/>
              </w:rPr>
              <w:t>节能产品认证证书（</w:t>
            </w:r>
            <w:r>
              <w:rPr>
                <w:rFonts w:hint="eastAsia" w:ascii="宋体" w:hAnsi="宋体" w:cs="宋体"/>
                <w:b/>
                <w:bCs/>
                <w:color w:val="auto"/>
                <w:sz w:val="24"/>
                <w:highlight w:val="none"/>
                <w:lang w:eastAsia="zh-CN"/>
              </w:rPr>
              <w:t>水嘴（即采购清单中的台式混水厨房龙头、感应龙头、洗地龙头）需提供节能产品认证证书</w:t>
            </w:r>
            <w:r>
              <w:rPr>
                <w:rFonts w:hint="eastAsia" w:ascii="宋体" w:hAnsi="宋体" w:cs="宋体"/>
                <w:color w:val="auto"/>
                <w:sz w:val="24"/>
                <w:highlight w:val="none"/>
              </w:rPr>
              <w:t>）</w:t>
            </w:r>
          </w:p>
        </w:tc>
        <w:tc>
          <w:tcPr>
            <w:tcW w:w="1418" w:type="dxa"/>
            <w:vAlign w:val="center"/>
          </w:tcPr>
          <w:p w14:paraId="78043BB9">
            <w:pPr>
              <w:rPr>
                <w:rFonts w:ascii="宋体" w:hAnsi="宋体" w:cs="宋体"/>
                <w:color w:val="auto"/>
                <w:sz w:val="24"/>
                <w:highlight w:val="none"/>
              </w:rPr>
            </w:pPr>
            <w:r>
              <w:rPr>
                <w:rFonts w:hint="eastAsia" w:ascii="宋体" w:hAnsi="宋体" w:cs="宋体"/>
                <w:color w:val="auto"/>
                <w:sz w:val="24"/>
                <w:highlight w:val="none"/>
              </w:rPr>
              <w:t>见响应文件</w:t>
            </w:r>
          </w:p>
          <w:p w14:paraId="6FF8CB73">
            <w:pPr>
              <w:pStyle w:val="3"/>
              <w:ind w:left="432" w:leftChars="0" w:hanging="432" w:firstLineChars="0"/>
              <w:jc w:val="both"/>
              <w:rPr>
                <w:rFonts w:hint="eastAsia" w:ascii="宋体" w:hAnsi="宋体" w:cs="宋体"/>
                <w:color w:val="auto"/>
                <w:sz w:val="24"/>
                <w:highlight w:val="none"/>
              </w:rPr>
            </w:pPr>
            <w:r>
              <w:rPr>
                <w:rFonts w:hint="eastAsia" w:ascii="宋体" w:hAnsi="宋体" w:eastAsia="宋体" w:cs="宋体"/>
                <w:b w:val="0"/>
                <w:bCs w:val="0"/>
                <w:color w:val="auto"/>
                <w:sz w:val="24"/>
                <w:szCs w:val="24"/>
                <w:highlight w:val="none"/>
                <w:lang w:val="en-US"/>
              </w:rPr>
              <w:t>第</w:t>
            </w:r>
            <w:r>
              <w:rPr>
                <w:rFonts w:hint="eastAsia" w:ascii="宋体" w:hAnsi="宋体" w:eastAsia="宋体" w:cs="宋体"/>
                <w:b w:val="0"/>
                <w:bCs w:val="0"/>
                <w:color w:val="auto"/>
                <w:sz w:val="24"/>
                <w:szCs w:val="24"/>
                <w:highlight w:val="none"/>
                <w:u w:val="single"/>
                <w:lang w:val="en-US"/>
              </w:rPr>
              <w:t xml:space="preserve">  </w:t>
            </w:r>
            <w:r>
              <w:rPr>
                <w:rFonts w:hint="eastAsia" w:ascii="宋体" w:hAnsi="宋体" w:eastAsia="宋体" w:cs="宋体"/>
                <w:b w:val="0"/>
                <w:bCs w:val="0"/>
                <w:color w:val="auto"/>
                <w:sz w:val="24"/>
                <w:szCs w:val="24"/>
                <w:highlight w:val="none"/>
                <w:lang w:val="en-US"/>
              </w:rPr>
              <w:t>页</w:t>
            </w:r>
          </w:p>
        </w:tc>
      </w:tr>
      <w:tr w14:paraId="270F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AF10D4A">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p>
        </w:tc>
        <w:tc>
          <w:tcPr>
            <w:tcW w:w="4991" w:type="dxa"/>
          </w:tcPr>
          <w:p w14:paraId="4F3371C4">
            <w:pPr>
              <w:spacing w:line="360" w:lineRule="auto"/>
              <w:rPr>
                <w:rFonts w:ascii="宋体" w:hAnsi="宋体" w:cs="宋体"/>
                <w:color w:val="auto"/>
                <w:sz w:val="24"/>
                <w:highlight w:val="none"/>
              </w:rPr>
            </w:pPr>
            <w:r>
              <w:rPr>
                <w:rFonts w:hint="eastAsia" w:ascii="宋体" w:hAnsi="宋体" w:cs="宋体"/>
                <w:color w:val="auto"/>
                <w:sz w:val="24"/>
                <w:highlight w:val="none"/>
              </w:rPr>
              <w:t>投标文件中承诺的投标有效期不少于招标文件中载明的投标有效期。</w:t>
            </w:r>
          </w:p>
        </w:tc>
        <w:tc>
          <w:tcPr>
            <w:tcW w:w="2551" w:type="dxa"/>
            <w:vAlign w:val="center"/>
          </w:tcPr>
          <w:p w14:paraId="782930A3">
            <w:pPr>
              <w:rPr>
                <w:rFonts w:ascii="宋体" w:hAnsi="宋体" w:cs="宋体"/>
                <w:color w:val="auto"/>
                <w:sz w:val="24"/>
                <w:highlight w:val="none"/>
              </w:rPr>
            </w:pPr>
            <w:r>
              <w:rPr>
                <w:rFonts w:hint="eastAsia" w:ascii="宋体" w:hAnsi="宋体" w:cs="宋体"/>
                <w:color w:val="auto"/>
                <w:sz w:val="24"/>
                <w:highlight w:val="none"/>
              </w:rPr>
              <w:t>投标函</w:t>
            </w:r>
          </w:p>
        </w:tc>
        <w:tc>
          <w:tcPr>
            <w:tcW w:w="1418" w:type="dxa"/>
          </w:tcPr>
          <w:p w14:paraId="05534FE8">
            <w:pPr>
              <w:rPr>
                <w:rFonts w:ascii="宋体" w:hAnsi="宋体" w:cs="宋体"/>
                <w:color w:val="auto"/>
                <w:highlight w:val="none"/>
              </w:rPr>
            </w:pPr>
            <w:r>
              <w:rPr>
                <w:rFonts w:hint="eastAsia" w:ascii="宋体" w:hAnsi="宋体" w:cs="宋体"/>
                <w:color w:val="auto"/>
                <w:sz w:val="24"/>
                <w:highlight w:val="none"/>
              </w:rPr>
              <w:t>见投标文件第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17E5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4D716AC">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4</w:t>
            </w:r>
          </w:p>
        </w:tc>
        <w:tc>
          <w:tcPr>
            <w:tcW w:w="4991" w:type="dxa"/>
            <w:vAlign w:val="top"/>
          </w:tcPr>
          <w:p w14:paraId="2011DF38">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投标文件满足招标文件的其它实质性要求。</w:t>
            </w:r>
          </w:p>
        </w:tc>
        <w:tc>
          <w:tcPr>
            <w:tcW w:w="2551" w:type="dxa"/>
            <w:vAlign w:val="center"/>
          </w:tcPr>
          <w:p w14:paraId="35342E91">
            <w:pP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rPr>
              <w:t>招标文件其它实质性要求相应的材料（“▲” 系指实质性要求条款，招标文件无其它实质性要求的，无需提供）</w:t>
            </w:r>
          </w:p>
        </w:tc>
        <w:tc>
          <w:tcPr>
            <w:tcW w:w="1418" w:type="dxa"/>
            <w:vAlign w:val="top"/>
          </w:tcPr>
          <w:p w14:paraId="2D8B1124">
            <w:pPr>
              <w:rPr>
                <w:rFonts w:hint="eastAsia" w:ascii="宋体" w:hAnsi="宋体" w:eastAsia="宋体" w:cs="宋体"/>
                <w:color w:val="auto"/>
                <w:kern w:val="2"/>
                <w:sz w:val="21"/>
                <w:szCs w:val="24"/>
                <w:highlight w:val="none"/>
                <w:lang w:val="en-US" w:eastAsia="zh-CN" w:bidi="ar-SA"/>
              </w:rPr>
            </w:pPr>
            <w:r>
              <w:rPr>
                <w:rFonts w:hint="eastAsia" w:ascii="宋体" w:hAnsi="宋体" w:cs="宋体"/>
                <w:color w:val="auto"/>
                <w:sz w:val="24"/>
                <w:highlight w:val="none"/>
              </w:rPr>
              <w:t>见投标文件第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bl>
    <w:p w14:paraId="6DAB4970">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1AC94845">
      <w:pPr>
        <w:jc w:val="center"/>
        <w:rPr>
          <w:rFonts w:ascii="宋体" w:hAnsi="宋体" w:cs="宋体"/>
          <w:b/>
          <w:color w:val="auto"/>
          <w:kern w:val="0"/>
          <w:sz w:val="32"/>
          <w:szCs w:val="32"/>
          <w:highlight w:val="none"/>
        </w:rPr>
      </w:pPr>
    </w:p>
    <w:p w14:paraId="5C266C9B">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 xml:space="preserve">            </w:t>
      </w:r>
    </w:p>
    <w:p w14:paraId="7299CF16">
      <w:pPr>
        <w:snapToGrid w:val="0"/>
        <w:jc w:val="center"/>
        <w:rPr>
          <w:rFonts w:hint="eastAsia" w:ascii="宋体" w:hAnsi="宋体" w:cs="宋体"/>
          <w:b/>
          <w:bCs/>
          <w:color w:val="auto"/>
          <w:sz w:val="32"/>
          <w:szCs w:val="32"/>
          <w:highlight w:val="none"/>
          <w:u w:val="none"/>
        </w:rPr>
      </w:pPr>
      <w:r>
        <w:rPr>
          <w:rFonts w:ascii="宋体" w:hAnsi="宋体" w:cs="宋体"/>
          <w:b/>
          <w:color w:val="auto"/>
          <w:kern w:val="0"/>
          <w:sz w:val="32"/>
          <w:szCs w:val="32"/>
          <w:highlight w:val="none"/>
        </w:rPr>
        <w:br w:type="page"/>
      </w:r>
      <w:r>
        <w:rPr>
          <w:rFonts w:hint="eastAsia" w:ascii="宋体" w:hAnsi="宋体" w:cs="宋体"/>
          <w:b/>
          <w:color w:val="auto"/>
          <w:kern w:val="0"/>
          <w:sz w:val="32"/>
          <w:szCs w:val="32"/>
          <w:highlight w:val="none"/>
          <w:lang w:eastAsia="zh-CN"/>
        </w:rPr>
        <w:t>（</w:t>
      </w:r>
      <w:r>
        <w:rPr>
          <w:rFonts w:hint="eastAsia" w:ascii="宋体" w:hAnsi="宋体" w:cs="宋体"/>
          <w:b/>
          <w:color w:val="auto"/>
          <w:kern w:val="0"/>
          <w:sz w:val="32"/>
          <w:szCs w:val="32"/>
          <w:highlight w:val="none"/>
          <w:lang w:val="en-US" w:eastAsia="zh-CN"/>
        </w:rPr>
        <w:t>2</w:t>
      </w:r>
      <w:r>
        <w:rPr>
          <w:rFonts w:hint="eastAsia" w:ascii="宋体" w:hAnsi="宋体" w:cs="宋体"/>
          <w:b/>
          <w:color w:val="auto"/>
          <w:kern w:val="0"/>
          <w:sz w:val="32"/>
          <w:szCs w:val="32"/>
          <w:highlight w:val="none"/>
          <w:lang w:eastAsia="zh-CN"/>
        </w:rPr>
        <w:t>）</w:t>
      </w:r>
      <w:r>
        <w:rPr>
          <w:rFonts w:hint="eastAsia" w:ascii="宋体" w:hAnsi="宋体" w:cs="宋体"/>
          <w:b/>
          <w:bCs/>
          <w:color w:val="auto"/>
          <w:sz w:val="32"/>
          <w:szCs w:val="32"/>
          <w:highlight w:val="none"/>
          <w:u w:val="none"/>
        </w:rPr>
        <w:t>节能产品认证证书</w:t>
      </w:r>
    </w:p>
    <w:p w14:paraId="3B7DD6D9">
      <w:pPr>
        <w:jc w:val="left"/>
        <w:rPr>
          <w:rFonts w:hint="eastAsia" w:ascii="宋体" w:hAnsi="宋体" w:cs="宋体"/>
          <w:color w:val="auto"/>
          <w:sz w:val="24"/>
          <w:highlight w:val="none"/>
        </w:rPr>
      </w:pPr>
    </w:p>
    <w:p w14:paraId="5A6650A2">
      <w:pPr>
        <w:spacing w:line="360" w:lineRule="auto"/>
        <w:jc w:val="left"/>
        <w:rPr>
          <w:rFonts w:ascii="宋体" w:hAnsi="宋体" w:cs="宋体"/>
          <w:b/>
          <w:color w:val="auto"/>
          <w:kern w:val="0"/>
          <w:sz w:val="32"/>
          <w:szCs w:val="32"/>
          <w:highlight w:val="none"/>
        </w:rPr>
      </w:pPr>
      <w:r>
        <w:rPr>
          <w:rFonts w:hint="eastAsia" w:ascii="宋体" w:hAnsi="宋体" w:cs="宋体"/>
          <w:color w:val="auto"/>
          <w:sz w:val="24"/>
          <w:highlight w:val="none"/>
        </w:rPr>
        <w:t>采购人拟采购的产品属于政府强制采购的节能产品品目清单范围的，供应商按采购文件要求提供国家确定的认证机构出具的、处于有效期之内的节能产品认证证书。（</w:t>
      </w:r>
      <w:r>
        <w:rPr>
          <w:rFonts w:hint="eastAsia" w:ascii="宋体" w:hAnsi="宋体" w:cs="宋体"/>
          <w:b/>
          <w:bCs/>
          <w:color w:val="auto"/>
          <w:sz w:val="24"/>
          <w:highlight w:val="none"/>
          <w:lang w:eastAsia="zh-CN"/>
        </w:rPr>
        <w:t>水嘴（即采购清单中的台式混水厨房龙头、感应龙头、洗地龙头）需提供节能产品认证证书</w:t>
      </w:r>
      <w:r>
        <w:rPr>
          <w:rFonts w:hint="eastAsia" w:ascii="宋体" w:hAnsi="宋体" w:cs="宋体"/>
          <w:color w:val="auto"/>
          <w:sz w:val="24"/>
          <w:highlight w:val="none"/>
        </w:rPr>
        <w:t>）</w:t>
      </w:r>
    </w:p>
    <w:p w14:paraId="08E69862">
      <w:pPr>
        <w:jc w:val="center"/>
        <w:rPr>
          <w:rFonts w:hint="eastAsia" w:ascii="宋体" w:hAnsi="宋体" w:eastAsia="宋体" w:cs="宋体"/>
          <w:b/>
          <w:color w:val="auto"/>
          <w:kern w:val="0"/>
          <w:sz w:val="32"/>
          <w:szCs w:val="32"/>
          <w:highlight w:val="none"/>
          <w:lang w:eastAsia="zh-CN"/>
        </w:rPr>
      </w:pPr>
    </w:p>
    <w:p w14:paraId="72FBF88C">
      <w:pPr>
        <w:pStyle w:val="23"/>
        <w:rPr>
          <w:rFonts w:hint="eastAsia" w:ascii="宋体" w:hAnsi="宋体" w:eastAsia="宋体" w:cs="宋体"/>
          <w:b/>
          <w:color w:val="auto"/>
          <w:kern w:val="0"/>
          <w:sz w:val="32"/>
          <w:szCs w:val="32"/>
          <w:highlight w:val="none"/>
          <w:lang w:eastAsia="zh-CN"/>
        </w:rPr>
      </w:pPr>
    </w:p>
    <w:p w14:paraId="4994EE93">
      <w:pPr>
        <w:rPr>
          <w:rFonts w:hint="eastAsia" w:ascii="宋体" w:hAnsi="宋体" w:eastAsia="宋体" w:cs="宋体"/>
          <w:b/>
          <w:color w:val="auto"/>
          <w:kern w:val="0"/>
          <w:sz w:val="32"/>
          <w:szCs w:val="32"/>
          <w:highlight w:val="none"/>
          <w:lang w:eastAsia="zh-CN"/>
        </w:rPr>
      </w:pPr>
    </w:p>
    <w:p w14:paraId="13B21A5A">
      <w:pPr>
        <w:pStyle w:val="23"/>
        <w:rPr>
          <w:rFonts w:hint="eastAsia"/>
          <w:color w:val="auto"/>
          <w:highlight w:val="none"/>
          <w:lang w:eastAsia="zh-CN"/>
        </w:rPr>
      </w:pPr>
    </w:p>
    <w:p w14:paraId="3C3055E7">
      <w:pPr>
        <w:rPr>
          <w:rFonts w:hint="eastAsia" w:ascii="宋体" w:hAnsi="宋体" w:cs="宋体"/>
          <w:b/>
          <w:color w:val="auto"/>
          <w:kern w:val="0"/>
          <w:sz w:val="24"/>
          <w:szCs w:val="24"/>
          <w:highlight w:val="none"/>
          <w:lang w:eastAsia="zh-CN"/>
        </w:rPr>
      </w:pPr>
      <w:r>
        <w:rPr>
          <w:rFonts w:hint="eastAsia" w:ascii="宋体" w:hAnsi="宋体" w:cs="宋体"/>
          <w:b/>
          <w:color w:val="auto"/>
          <w:kern w:val="0"/>
          <w:sz w:val="24"/>
          <w:szCs w:val="24"/>
          <w:highlight w:val="none"/>
          <w:lang w:eastAsia="zh-CN"/>
        </w:rPr>
        <w:br w:type="page"/>
      </w:r>
    </w:p>
    <w:p w14:paraId="5992F22E">
      <w:pPr>
        <w:pStyle w:val="64"/>
        <w:jc w:val="center"/>
        <w:rPr>
          <w:rFonts w:hint="default" w:ascii="宋体" w:hAnsi="宋体" w:eastAsia="宋体" w:cs="宋体"/>
          <w:b/>
          <w:bCs/>
          <w:snapToGrid/>
          <w:color w:val="auto"/>
          <w:kern w:val="2"/>
          <w:sz w:val="32"/>
          <w:szCs w:val="32"/>
          <w:highlight w:val="none"/>
          <w:u w:val="none"/>
          <w:lang w:val="en-US" w:eastAsia="zh-CN" w:bidi="ar-SA"/>
        </w:rPr>
      </w:pPr>
      <w:r>
        <w:rPr>
          <w:rFonts w:hint="eastAsia" w:ascii="宋体" w:hAnsi="宋体" w:eastAsia="宋体" w:cs="宋体"/>
          <w:b/>
          <w:bCs/>
          <w:snapToGrid/>
          <w:color w:val="auto"/>
          <w:kern w:val="2"/>
          <w:sz w:val="32"/>
          <w:szCs w:val="32"/>
          <w:highlight w:val="none"/>
          <w:u w:val="none"/>
          <w:lang w:val="en-US" w:eastAsia="zh-CN" w:bidi="ar-SA"/>
        </w:rPr>
        <w:t>（</w:t>
      </w:r>
      <w:r>
        <w:rPr>
          <w:rFonts w:hint="eastAsia" w:hAnsi="宋体" w:cs="宋体"/>
          <w:b/>
          <w:bCs/>
          <w:snapToGrid/>
          <w:color w:val="auto"/>
          <w:kern w:val="2"/>
          <w:sz w:val="32"/>
          <w:szCs w:val="32"/>
          <w:highlight w:val="none"/>
          <w:u w:val="none"/>
          <w:lang w:val="en-US" w:eastAsia="zh-CN" w:bidi="ar-SA"/>
        </w:rPr>
        <w:t>3</w:t>
      </w:r>
      <w:r>
        <w:rPr>
          <w:rFonts w:hint="eastAsia" w:ascii="宋体" w:hAnsi="宋体" w:eastAsia="宋体" w:cs="宋体"/>
          <w:b/>
          <w:bCs/>
          <w:snapToGrid/>
          <w:color w:val="auto"/>
          <w:kern w:val="2"/>
          <w:sz w:val="32"/>
          <w:szCs w:val="32"/>
          <w:highlight w:val="none"/>
          <w:u w:val="none"/>
          <w:lang w:val="en-US" w:eastAsia="zh-CN" w:bidi="ar-SA"/>
        </w:rPr>
        <w:t>）</w:t>
      </w:r>
      <w:r>
        <w:rPr>
          <w:rFonts w:hint="eastAsia" w:hAnsi="宋体" w:cs="宋体"/>
          <w:b/>
          <w:bCs/>
          <w:snapToGrid/>
          <w:color w:val="auto"/>
          <w:kern w:val="2"/>
          <w:sz w:val="32"/>
          <w:szCs w:val="32"/>
          <w:highlight w:val="none"/>
          <w:u w:val="none"/>
          <w:lang w:val="en-US" w:eastAsia="zh-CN" w:bidi="ar-SA"/>
        </w:rPr>
        <w:t>其他证书（若有）</w:t>
      </w:r>
    </w:p>
    <w:p w14:paraId="6A9D0F49">
      <w:pPr>
        <w:pStyle w:val="64"/>
        <w:rPr>
          <w:rFonts w:hint="eastAsia"/>
          <w:color w:val="auto"/>
          <w:sz w:val="21"/>
          <w:szCs w:val="16"/>
          <w:highlight w:val="none"/>
          <w:lang w:eastAsia="zh-CN"/>
        </w:rPr>
      </w:pPr>
      <w:r>
        <w:rPr>
          <w:rFonts w:hint="eastAsia" w:ascii="宋体" w:hAnsi="宋体" w:cs="宋体"/>
          <w:b/>
          <w:color w:val="auto"/>
          <w:kern w:val="0"/>
          <w:sz w:val="24"/>
          <w:szCs w:val="24"/>
          <w:highlight w:val="none"/>
          <w:lang w:eastAsia="zh-CN"/>
        </w:rPr>
        <w:t>投标人所提供的其他产品在生产或销售中如涉及相关许可、认证等强制性规定的，应当符合其规定（投标时提供上述证书或相关证明材料的扫描件，加盖投标人公章）</w:t>
      </w:r>
    </w:p>
    <w:p w14:paraId="3078C704">
      <w:pPr>
        <w:pStyle w:val="54"/>
        <w:rPr>
          <w:rFonts w:hint="eastAsia"/>
          <w:color w:val="auto"/>
          <w:highlight w:val="none"/>
          <w:lang w:eastAsia="zh-CN"/>
        </w:rPr>
      </w:pPr>
    </w:p>
    <w:p w14:paraId="3CDD0D19">
      <w:pPr>
        <w:widowControl/>
        <w:adjustRightInd/>
        <w:jc w:val="left"/>
        <w:rPr>
          <w:rFonts w:ascii="宋体" w:hAnsi="宋体" w:cs="宋体"/>
          <w:b/>
          <w:color w:val="auto"/>
          <w:kern w:val="0"/>
          <w:sz w:val="32"/>
          <w:szCs w:val="32"/>
          <w:highlight w:val="none"/>
        </w:rPr>
      </w:pPr>
    </w:p>
    <w:p w14:paraId="015E2386">
      <w:pP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13134C43">
      <w:pPr>
        <w:jc w:val="center"/>
        <w:rPr>
          <w:rFonts w:ascii="宋体" w:hAnsi="宋体" w:cs="宋体"/>
          <w:color w:val="auto"/>
          <w:highlight w:val="none"/>
        </w:rPr>
      </w:pPr>
      <w:r>
        <w:rPr>
          <w:rFonts w:hint="eastAsia" w:ascii="宋体" w:hAnsi="宋体" w:cs="宋体"/>
          <w:b/>
          <w:color w:val="auto"/>
          <w:kern w:val="0"/>
          <w:sz w:val="32"/>
          <w:szCs w:val="32"/>
          <w:highlight w:val="none"/>
        </w:rPr>
        <w:t>五、评标标准相应的商务技术资料</w:t>
      </w:r>
    </w:p>
    <w:p w14:paraId="61DEEB3C">
      <w:pPr>
        <w:snapToGrid w:val="0"/>
        <w:spacing w:line="360" w:lineRule="auto"/>
        <w:jc w:val="left"/>
        <w:rPr>
          <w:rFonts w:hint="eastAsia" w:ascii="宋体" w:hAnsi="宋体" w:cs="宋体"/>
          <w:b/>
          <w:color w:val="auto"/>
          <w:sz w:val="24"/>
          <w:highlight w:val="none"/>
        </w:rPr>
      </w:pPr>
    </w:p>
    <w:p w14:paraId="54E32E12">
      <w:pPr>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（按招标文件第四部分评标办法前附表中“投标文件中评标标准相应的商务技术资料目录”提供资料。）</w:t>
      </w:r>
    </w:p>
    <w:p w14:paraId="03776B7E">
      <w:pPr>
        <w:jc w:val="center"/>
        <w:rPr>
          <w:rFonts w:ascii="宋体" w:hAnsi="宋体" w:cs="宋体"/>
          <w:b/>
          <w:color w:val="auto"/>
          <w:kern w:val="0"/>
          <w:sz w:val="32"/>
          <w:szCs w:val="32"/>
          <w:highlight w:val="none"/>
        </w:rPr>
      </w:pPr>
    </w:p>
    <w:p w14:paraId="21F805DA">
      <w:pP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138441FE">
      <w:pPr>
        <w:ind w:firstLine="2891" w:firstLineChars="900"/>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六、</w:t>
      </w:r>
      <w:r>
        <w:rPr>
          <w:rFonts w:hint="eastAsia" w:ascii="仿宋_GB2312" w:hAnsi="仿宋" w:eastAsia="仿宋_GB2312" w:cs="仿宋_GB2312"/>
          <w:b/>
          <w:color w:val="auto"/>
          <w:kern w:val="0"/>
          <w:sz w:val="32"/>
          <w:szCs w:val="32"/>
          <w:highlight w:val="none"/>
        </w:rPr>
        <w:t>拟派项目团队配备情况表</w:t>
      </w:r>
    </w:p>
    <w:p w14:paraId="25BB17BD">
      <w:pPr>
        <w:jc w:val="center"/>
        <w:rPr>
          <w:rFonts w:ascii="宋体" w:hAnsi="宋体" w:cs="宋体"/>
          <w:b/>
          <w:color w:val="auto"/>
          <w:kern w:val="0"/>
          <w:sz w:val="32"/>
          <w:szCs w:val="32"/>
          <w:highlight w:val="none"/>
        </w:rPr>
      </w:pPr>
    </w:p>
    <w:tbl>
      <w:tblPr>
        <w:tblStyle w:val="66"/>
        <w:tblW w:w="4996" w:type="pct"/>
        <w:tblInd w:w="0" w:type="dxa"/>
        <w:tblLayout w:type="autofit"/>
        <w:tblCellMar>
          <w:top w:w="0" w:type="dxa"/>
          <w:left w:w="108" w:type="dxa"/>
          <w:bottom w:w="0" w:type="dxa"/>
          <w:right w:w="108" w:type="dxa"/>
        </w:tblCellMar>
      </w:tblPr>
      <w:tblGrid>
        <w:gridCol w:w="658"/>
        <w:gridCol w:w="700"/>
        <w:gridCol w:w="1763"/>
        <w:gridCol w:w="1321"/>
        <w:gridCol w:w="658"/>
        <w:gridCol w:w="659"/>
        <w:gridCol w:w="659"/>
        <w:gridCol w:w="1101"/>
        <w:gridCol w:w="1101"/>
        <w:gridCol w:w="659"/>
      </w:tblGrid>
      <w:tr w14:paraId="5AFD729E">
        <w:tblPrEx>
          <w:tblCellMar>
            <w:top w:w="0" w:type="dxa"/>
            <w:left w:w="108" w:type="dxa"/>
            <w:bottom w:w="0" w:type="dxa"/>
            <w:right w:w="108" w:type="dxa"/>
          </w:tblCellMar>
        </w:tblPrEx>
        <w:trPr>
          <w:trHeight w:val="396" w:hRule="atLeast"/>
        </w:trPr>
        <w:tc>
          <w:tcPr>
            <w:tcW w:w="427" w:type="pct"/>
            <w:tcBorders>
              <w:top w:val="single" w:color="auto" w:sz="12" w:space="0"/>
              <w:left w:val="single" w:color="auto" w:sz="12" w:space="0"/>
              <w:bottom w:val="single" w:color="auto" w:sz="12" w:space="0"/>
              <w:right w:val="single" w:color="auto" w:sz="6" w:space="0"/>
            </w:tcBorders>
            <w:noWrap/>
            <w:vAlign w:val="center"/>
          </w:tcPr>
          <w:p w14:paraId="567FCC55">
            <w:pPr>
              <w:autoSpaceDE w:val="0"/>
              <w:autoSpaceDN w:val="0"/>
              <w:jc w:val="center"/>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序号</w:t>
            </w:r>
          </w:p>
        </w:tc>
        <w:tc>
          <w:tcPr>
            <w:tcW w:w="456" w:type="pct"/>
            <w:tcBorders>
              <w:top w:val="single" w:color="auto" w:sz="12" w:space="0"/>
              <w:left w:val="single" w:color="auto" w:sz="6" w:space="0"/>
              <w:bottom w:val="single" w:color="auto" w:sz="12" w:space="0"/>
              <w:right w:val="single" w:color="auto" w:sz="6" w:space="0"/>
            </w:tcBorders>
            <w:noWrap/>
            <w:vAlign w:val="center"/>
          </w:tcPr>
          <w:p w14:paraId="545C97C6">
            <w:pPr>
              <w:autoSpaceDE w:val="0"/>
              <w:autoSpaceDN w:val="0"/>
              <w:jc w:val="center"/>
              <w:rPr>
                <w:rFonts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姓名</w:t>
            </w:r>
          </w:p>
        </w:tc>
        <w:tc>
          <w:tcPr>
            <w:tcW w:w="591" w:type="pct"/>
            <w:tcBorders>
              <w:top w:val="single" w:color="auto" w:sz="12" w:space="0"/>
              <w:left w:val="single" w:color="auto" w:sz="6" w:space="0"/>
              <w:bottom w:val="single" w:color="auto" w:sz="12" w:space="0"/>
              <w:right w:val="single" w:color="auto" w:sz="6" w:space="0"/>
            </w:tcBorders>
            <w:noWrap/>
            <w:vAlign w:val="center"/>
          </w:tcPr>
          <w:p w14:paraId="011F8350">
            <w:pPr>
              <w:autoSpaceDE w:val="0"/>
              <w:autoSpaceDN w:val="0"/>
              <w:jc w:val="center"/>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zh-CN"/>
              </w:rPr>
              <w:t>本项目拟任岗位</w:t>
            </w:r>
          </w:p>
        </w:tc>
        <w:tc>
          <w:tcPr>
            <w:tcW w:w="718" w:type="pct"/>
            <w:tcBorders>
              <w:top w:val="single" w:color="auto" w:sz="12" w:space="0"/>
              <w:left w:val="single" w:color="auto" w:sz="6" w:space="0"/>
              <w:bottom w:val="single" w:color="auto" w:sz="12" w:space="0"/>
              <w:right w:val="single" w:color="auto" w:sz="6" w:space="0"/>
            </w:tcBorders>
            <w:noWrap/>
            <w:vAlign w:val="center"/>
          </w:tcPr>
          <w:p w14:paraId="2DD2158C">
            <w:pPr>
              <w:autoSpaceDE w:val="0"/>
              <w:autoSpaceDN w:val="0"/>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身份证号码</w:t>
            </w:r>
          </w:p>
        </w:tc>
        <w:tc>
          <w:tcPr>
            <w:tcW w:w="409" w:type="pct"/>
            <w:tcBorders>
              <w:top w:val="single" w:color="auto" w:sz="12" w:space="0"/>
              <w:left w:val="single" w:color="auto" w:sz="6" w:space="0"/>
              <w:bottom w:val="single" w:color="auto" w:sz="12" w:space="0"/>
              <w:right w:val="single" w:color="auto" w:sz="6" w:space="0"/>
            </w:tcBorders>
            <w:noWrap/>
            <w:vAlign w:val="center"/>
          </w:tcPr>
          <w:p w14:paraId="2BEB877C">
            <w:pPr>
              <w:autoSpaceDE w:val="0"/>
              <w:autoSpaceDN w:val="0"/>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zh-CN"/>
              </w:rPr>
              <w:t>年龄</w:t>
            </w:r>
          </w:p>
        </w:tc>
        <w:tc>
          <w:tcPr>
            <w:tcW w:w="371" w:type="pct"/>
            <w:tcBorders>
              <w:top w:val="single" w:color="auto" w:sz="12" w:space="0"/>
              <w:left w:val="single" w:color="auto" w:sz="6" w:space="0"/>
              <w:bottom w:val="single" w:color="auto" w:sz="12" w:space="0"/>
              <w:right w:val="single" w:color="auto" w:sz="6" w:space="0"/>
            </w:tcBorders>
            <w:noWrap/>
            <w:vAlign w:val="center"/>
          </w:tcPr>
          <w:p w14:paraId="640AA732">
            <w:pPr>
              <w:autoSpaceDE w:val="0"/>
              <w:autoSpaceDN w:val="0"/>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zh-CN"/>
              </w:rPr>
              <w:t>性别</w:t>
            </w:r>
          </w:p>
        </w:tc>
        <w:tc>
          <w:tcPr>
            <w:tcW w:w="371" w:type="pct"/>
            <w:tcBorders>
              <w:top w:val="single" w:color="auto" w:sz="12" w:space="0"/>
              <w:left w:val="single" w:color="auto" w:sz="6" w:space="0"/>
              <w:bottom w:val="single" w:color="auto" w:sz="12" w:space="0"/>
              <w:right w:val="single" w:color="auto" w:sz="6" w:space="0"/>
            </w:tcBorders>
            <w:noWrap/>
            <w:vAlign w:val="center"/>
          </w:tcPr>
          <w:p w14:paraId="27936B3F">
            <w:pPr>
              <w:autoSpaceDE w:val="0"/>
              <w:autoSpaceDN w:val="0"/>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zh-CN"/>
              </w:rPr>
              <w:t>专业</w:t>
            </w:r>
          </w:p>
        </w:tc>
        <w:tc>
          <w:tcPr>
            <w:tcW w:w="371" w:type="pct"/>
            <w:tcBorders>
              <w:top w:val="single" w:color="auto" w:sz="12" w:space="0"/>
              <w:left w:val="single" w:color="auto" w:sz="6" w:space="0"/>
              <w:bottom w:val="single" w:color="auto" w:sz="12" w:space="0"/>
              <w:right w:val="single" w:color="auto" w:sz="6" w:space="0"/>
            </w:tcBorders>
            <w:noWrap/>
            <w:vAlign w:val="center"/>
          </w:tcPr>
          <w:p w14:paraId="3C882480">
            <w:pPr>
              <w:autoSpaceDE w:val="0"/>
              <w:autoSpaceDN w:val="0"/>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zh-CN"/>
              </w:rPr>
              <w:t>专业年限</w:t>
            </w:r>
          </w:p>
        </w:tc>
        <w:tc>
          <w:tcPr>
            <w:tcW w:w="695" w:type="pct"/>
            <w:tcBorders>
              <w:top w:val="single" w:color="auto" w:sz="12" w:space="0"/>
              <w:left w:val="single" w:color="auto" w:sz="6" w:space="0"/>
              <w:bottom w:val="single" w:color="auto" w:sz="12" w:space="0"/>
              <w:right w:val="single" w:color="auto" w:sz="6" w:space="0"/>
            </w:tcBorders>
            <w:noWrap/>
            <w:vAlign w:val="center"/>
          </w:tcPr>
          <w:p w14:paraId="622448C1">
            <w:pPr>
              <w:autoSpaceDE w:val="0"/>
              <w:autoSpaceDN w:val="0"/>
              <w:jc w:val="center"/>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zh-CN"/>
              </w:rPr>
              <w:t>证书情况</w:t>
            </w:r>
          </w:p>
        </w:tc>
        <w:tc>
          <w:tcPr>
            <w:tcW w:w="587" w:type="pct"/>
            <w:tcBorders>
              <w:top w:val="single" w:color="auto" w:sz="12" w:space="0"/>
              <w:left w:val="single" w:color="auto" w:sz="6" w:space="0"/>
              <w:bottom w:val="single" w:color="auto" w:sz="12" w:space="0"/>
              <w:right w:val="single" w:color="auto" w:sz="12" w:space="0"/>
            </w:tcBorders>
            <w:noWrap/>
            <w:vAlign w:val="center"/>
          </w:tcPr>
          <w:p w14:paraId="3F6EB1FA">
            <w:pPr>
              <w:autoSpaceDE w:val="0"/>
              <w:autoSpaceDN w:val="0"/>
              <w:jc w:val="center"/>
              <w:rPr>
                <w:rFonts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备注</w:t>
            </w:r>
          </w:p>
        </w:tc>
      </w:tr>
      <w:tr w14:paraId="5775A66C">
        <w:tblPrEx>
          <w:tblCellMar>
            <w:top w:w="0" w:type="dxa"/>
            <w:left w:w="108" w:type="dxa"/>
            <w:bottom w:w="0" w:type="dxa"/>
            <w:right w:w="108" w:type="dxa"/>
          </w:tblCellMar>
        </w:tblPrEx>
        <w:trPr>
          <w:trHeight w:val="408" w:hRule="atLeast"/>
        </w:trPr>
        <w:tc>
          <w:tcPr>
            <w:tcW w:w="427" w:type="pct"/>
            <w:tcBorders>
              <w:top w:val="single" w:color="auto" w:sz="12" w:space="0"/>
              <w:left w:val="single" w:color="auto" w:sz="12" w:space="0"/>
              <w:bottom w:val="single" w:color="auto" w:sz="6" w:space="0"/>
              <w:right w:val="single" w:color="auto" w:sz="6" w:space="0"/>
            </w:tcBorders>
            <w:noWrap/>
            <w:vAlign w:val="center"/>
          </w:tcPr>
          <w:p w14:paraId="581B0D3B">
            <w:pPr>
              <w:autoSpaceDE w:val="0"/>
              <w:autoSpaceDN w:val="0"/>
              <w:rPr>
                <w:rFonts w:ascii="仿宋" w:hAnsi="仿宋" w:eastAsia="仿宋" w:cs="仿宋"/>
                <w:color w:val="auto"/>
                <w:szCs w:val="21"/>
                <w:highlight w:val="none"/>
              </w:rPr>
            </w:pPr>
          </w:p>
        </w:tc>
        <w:tc>
          <w:tcPr>
            <w:tcW w:w="456" w:type="pct"/>
            <w:tcBorders>
              <w:top w:val="single" w:color="auto" w:sz="12" w:space="0"/>
              <w:left w:val="single" w:color="auto" w:sz="6" w:space="0"/>
              <w:bottom w:val="single" w:color="auto" w:sz="6" w:space="0"/>
              <w:right w:val="single" w:color="auto" w:sz="6" w:space="0"/>
            </w:tcBorders>
            <w:noWrap/>
          </w:tcPr>
          <w:p w14:paraId="4F001A88">
            <w:pPr>
              <w:autoSpaceDE w:val="0"/>
              <w:autoSpaceDN w:val="0"/>
              <w:rPr>
                <w:rFonts w:ascii="仿宋" w:hAnsi="仿宋" w:eastAsia="仿宋" w:cs="仿宋"/>
                <w:color w:val="auto"/>
                <w:szCs w:val="21"/>
                <w:highlight w:val="none"/>
              </w:rPr>
            </w:pPr>
          </w:p>
        </w:tc>
        <w:tc>
          <w:tcPr>
            <w:tcW w:w="591" w:type="pct"/>
            <w:tcBorders>
              <w:top w:val="single" w:color="auto" w:sz="12" w:space="0"/>
              <w:left w:val="single" w:color="auto" w:sz="6" w:space="0"/>
              <w:bottom w:val="single" w:color="auto" w:sz="6" w:space="0"/>
              <w:right w:val="single" w:color="auto" w:sz="6" w:space="0"/>
            </w:tcBorders>
            <w:noWrap/>
            <w:vAlign w:val="center"/>
          </w:tcPr>
          <w:p w14:paraId="639A2316">
            <w:pPr>
              <w:autoSpaceDE w:val="0"/>
              <w:autoSpaceDN w:val="0"/>
              <w:rPr>
                <w:rFonts w:ascii="仿宋" w:hAnsi="仿宋" w:eastAsia="仿宋" w:cs="仿宋"/>
                <w:color w:val="auto"/>
                <w:szCs w:val="21"/>
                <w:highlight w:val="none"/>
              </w:rPr>
            </w:pPr>
          </w:p>
        </w:tc>
        <w:tc>
          <w:tcPr>
            <w:tcW w:w="718" w:type="pct"/>
            <w:tcBorders>
              <w:top w:val="single" w:color="auto" w:sz="12" w:space="0"/>
              <w:left w:val="single" w:color="auto" w:sz="6" w:space="0"/>
              <w:bottom w:val="single" w:color="auto" w:sz="6" w:space="0"/>
              <w:right w:val="single" w:color="auto" w:sz="6" w:space="0"/>
            </w:tcBorders>
            <w:noWrap/>
            <w:vAlign w:val="center"/>
          </w:tcPr>
          <w:p w14:paraId="39C9EB11">
            <w:pPr>
              <w:autoSpaceDE w:val="0"/>
              <w:autoSpaceDN w:val="0"/>
              <w:rPr>
                <w:rFonts w:ascii="仿宋" w:hAnsi="仿宋" w:eastAsia="仿宋" w:cs="仿宋"/>
                <w:color w:val="auto"/>
                <w:szCs w:val="21"/>
                <w:highlight w:val="none"/>
              </w:rPr>
            </w:pPr>
          </w:p>
        </w:tc>
        <w:tc>
          <w:tcPr>
            <w:tcW w:w="409" w:type="pct"/>
            <w:tcBorders>
              <w:top w:val="single" w:color="auto" w:sz="12" w:space="0"/>
              <w:left w:val="single" w:color="auto" w:sz="6" w:space="0"/>
              <w:bottom w:val="single" w:color="auto" w:sz="6" w:space="0"/>
              <w:right w:val="single" w:color="auto" w:sz="6" w:space="0"/>
            </w:tcBorders>
            <w:noWrap/>
            <w:vAlign w:val="center"/>
          </w:tcPr>
          <w:p w14:paraId="4D65F6BD">
            <w:pPr>
              <w:autoSpaceDE w:val="0"/>
              <w:autoSpaceDN w:val="0"/>
              <w:rPr>
                <w:rFonts w:ascii="仿宋" w:hAnsi="仿宋" w:eastAsia="仿宋" w:cs="仿宋"/>
                <w:color w:val="auto"/>
                <w:szCs w:val="21"/>
                <w:highlight w:val="none"/>
              </w:rPr>
            </w:pPr>
          </w:p>
        </w:tc>
        <w:tc>
          <w:tcPr>
            <w:tcW w:w="371" w:type="pct"/>
            <w:tcBorders>
              <w:top w:val="single" w:color="auto" w:sz="12" w:space="0"/>
              <w:left w:val="single" w:color="auto" w:sz="6" w:space="0"/>
              <w:bottom w:val="single" w:color="auto" w:sz="6" w:space="0"/>
              <w:right w:val="single" w:color="auto" w:sz="6" w:space="0"/>
            </w:tcBorders>
            <w:noWrap/>
            <w:vAlign w:val="center"/>
          </w:tcPr>
          <w:p w14:paraId="597A72FA">
            <w:pPr>
              <w:autoSpaceDE w:val="0"/>
              <w:autoSpaceDN w:val="0"/>
              <w:rPr>
                <w:rFonts w:ascii="仿宋" w:hAnsi="仿宋" w:eastAsia="仿宋" w:cs="仿宋"/>
                <w:color w:val="auto"/>
                <w:szCs w:val="21"/>
                <w:highlight w:val="none"/>
              </w:rPr>
            </w:pPr>
          </w:p>
        </w:tc>
        <w:tc>
          <w:tcPr>
            <w:tcW w:w="371" w:type="pct"/>
            <w:tcBorders>
              <w:top w:val="single" w:color="auto" w:sz="12" w:space="0"/>
              <w:left w:val="single" w:color="auto" w:sz="6" w:space="0"/>
              <w:bottom w:val="single" w:color="auto" w:sz="6" w:space="0"/>
              <w:right w:val="single" w:color="auto" w:sz="6" w:space="0"/>
            </w:tcBorders>
            <w:noWrap/>
            <w:vAlign w:val="center"/>
          </w:tcPr>
          <w:p w14:paraId="66EAEC6D">
            <w:pPr>
              <w:autoSpaceDE w:val="0"/>
              <w:autoSpaceDN w:val="0"/>
              <w:rPr>
                <w:rFonts w:ascii="仿宋" w:hAnsi="仿宋" w:eastAsia="仿宋" w:cs="仿宋"/>
                <w:color w:val="auto"/>
                <w:szCs w:val="21"/>
                <w:highlight w:val="none"/>
              </w:rPr>
            </w:pPr>
          </w:p>
        </w:tc>
        <w:tc>
          <w:tcPr>
            <w:tcW w:w="371" w:type="pct"/>
            <w:tcBorders>
              <w:top w:val="single" w:color="auto" w:sz="12" w:space="0"/>
              <w:left w:val="single" w:color="auto" w:sz="6" w:space="0"/>
              <w:bottom w:val="single" w:color="auto" w:sz="6" w:space="0"/>
              <w:right w:val="single" w:color="auto" w:sz="6" w:space="0"/>
            </w:tcBorders>
            <w:noWrap/>
            <w:vAlign w:val="center"/>
          </w:tcPr>
          <w:p w14:paraId="7A5ED5CA">
            <w:pPr>
              <w:autoSpaceDE w:val="0"/>
              <w:autoSpaceDN w:val="0"/>
              <w:rPr>
                <w:rFonts w:ascii="仿宋" w:hAnsi="仿宋" w:eastAsia="仿宋" w:cs="仿宋"/>
                <w:color w:val="auto"/>
                <w:szCs w:val="21"/>
                <w:highlight w:val="none"/>
              </w:rPr>
            </w:pPr>
          </w:p>
        </w:tc>
        <w:tc>
          <w:tcPr>
            <w:tcW w:w="695" w:type="pct"/>
            <w:tcBorders>
              <w:top w:val="single" w:color="auto" w:sz="12" w:space="0"/>
              <w:left w:val="single" w:color="auto" w:sz="6" w:space="0"/>
              <w:bottom w:val="single" w:color="auto" w:sz="6" w:space="0"/>
              <w:right w:val="single" w:color="auto" w:sz="6" w:space="0"/>
            </w:tcBorders>
            <w:noWrap/>
            <w:vAlign w:val="center"/>
          </w:tcPr>
          <w:p w14:paraId="40A9905B">
            <w:pPr>
              <w:autoSpaceDE w:val="0"/>
              <w:autoSpaceDN w:val="0"/>
              <w:ind w:left="5250"/>
              <w:rPr>
                <w:rFonts w:ascii="仿宋" w:hAnsi="仿宋" w:eastAsia="仿宋" w:cs="仿宋"/>
                <w:color w:val="auto"/>
                <w:szCs w:val="21"/>
                <w:highlight w:val="none"/>
              </w:rPr>
            </w:pPr>
          </w:p>
        </w:tc>
        <w:tc>
          <w:tcPr>
            <w:tcW w:w="587" w:type="pct"/>
            <w:tcBorders>
              <w:top w:val="single" w:color="auto" w:sz="12" w:space="0"/>
              <w:left w:val="single" w:color="auto" w:sz="6" w:space="0"/>
              <w:bottom w:val="single" w:color="auto" w:sz="6" w:space="0"/>
              <w:right w:val="single" w:color="auto" w:sz="12" w:space="0"/>
            </w:tcBorders>
            <w:noWrap/>
            <w:vAlign w:val="center"/>
          </w:tcPr>
          <w:p w14:paraId="7E842F09">
            <w:pPr>
              <w:autoSpaceDE w:val="0"/>
              <w:autoSpaceDN w:val="0"/>
              <w:rPr>
                <w:rFonts w:ascii="仿宋" w:hAnsi="仿宋" w:eastAsia="仿宋" w:cs="仿宋"/>
                <w:color w:val="auto"/>
                <w:szCs w:val="21"/>
                <w:highlight w:val="none"/>
              </w:rPr>
            </w:pPr>
          </w:p>
        </w:tc>
      </w:tr>
      <w:tr w14:paraId="1950AC57">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3C062997">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1676546F">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7AE5EAB2">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464D598D">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7C63947B">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561F8E04">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55BC5379">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441D1747">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7F5FF04A">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3C832D3A">
            <w:pPr>
              <w:autoSpaceDE w:val="0"/>
              <w:autoSpaceDN w:val="0"/>
              <w:ind w:left="5250"/>
              <w:rPr>
                <w:rFonts w:ascii="仿宋" w:hAnsi="仿宋" w:eastAsia="仿宋" w:cs="仿宋"/>
                <w:color w:val="auto"/>
                <w:szCs w:val="21"/>
                <w:highlight w:val="none"/>
              </w:rPr>
            </w:pPr>
          </w:p>
        </w:tc>
      </w:tr>
      <w:tr w14:paraId="137A0254">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6955DBA6">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207EA7C8">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5721CA4E">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64C213F2">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0C7E7904">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40F7C79F">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21E2B3FD">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7A004AAE">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468361F3">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1DDB7F57">
            <w:pPr>
              <w:autoSpaceDE w:val="0"/>
              <w:autoSpaceDN w:val="0"/>
              <w:rPr>
                <w:rFonts w:ascii="仿宋" w:hAnsi="仿宋" w:eastAsia="仿宋" w:cs="仿宋"/>
                <w:color w:val="auto"/>
                <w:szCs w:val="21"/>
                <w:highlight w:val="none"/>
              </w:rPr>
            </w:pPr>
          </w:p>
        </w:tc>
      </w:tr>
      <w:tr w14:paraId="365DC250">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0C30B6D7">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121C1EF7">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6B8E3B89">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27FFBFAE">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60D1A258">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3C677D23">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376001A8">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3378ED16">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4F238734">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3D14D602">
            <w:pPr>
              <w:autoSpaceDE w:val="0"/>
              <w:autoSpaceDN w:val="0"/>
              <w:rPr>
                <w:rFonts w:ascii="仿宋" w:hAnsi="仿宋" w:eastAsia="仿宋" w:cs="仿宋"/>
                <w:color w:val="auto"/>
                <w:szCs w:val="21"/>
                <w:highlight w:val="none"/>
              </w:rPr>
            </w:pPr>
          </w:p>
        </w:tc>
      </w:tr>
      <w:tr w14:paraId="66603536">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3CC4FFFB">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39C67C2D">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7D3181B6">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7D8FC8B6">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07FB6159">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68AE941F">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71DA293B">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12E82028">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3DDC13AC">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565D353B">
            <w:pPr>
              <w:autoSpaceDE w:val="0"/>
              <w:autoSpaceDN w:val="0"/>
              <w:rPr>
                <w:rFonts w:ascii="仿宋" w:hAnsi="仿宋" w:eastAsia="仿宋" w:cs="仿宋"/>
                <w:color w:val="auto"/>
                <w:szCs w:val="21"/>
                <w:highlight w:val="none"/>
              </w:rPr>
            </w:pPr>
          </w:p>
        </w:tc>
      </w:tr>
      <w:tr w14:paraId="1A03D685">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42C7713F">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4B7C40C6">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49423B99">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3C556AAD">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34BC76E3">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7DB4B91D">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3549D52E">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6B1342AF">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18A8A496">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735CF03D">
            <w:pPr>
              <w:autoSpaceDE w:val="0"/>
              <w:autoSpaceDN w:val="0"/>
              <w:rPr>
                <w:rFonts w:ascii="仿宋" w:hAnsi="仿宋" w:eastAsia="仿宋" w:cs="仿宋"/>
                <w:color w:val="auto"/>
                <w:szCs w:val="21"/>
                <w:highlight w:val="none"/>
              </w:rPr>
            </w:pPr>
          </w:p>
        </w:tc>
      </w:tr>
      <w:tr w14:paraId="73FE40F9">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5169D8E7">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55490629">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279512D2">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0FBC8577">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317F47F9">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111C2CD3">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65748BA1">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145BBB26">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2D849081">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3F1BEDA6">
            <w:pPr>
              <w:autoSpaceDE w:val="0"/>
              <w:autoSpaceDN w:val="0"/>
              <w:rPr>
                <w:rFonts w:ascii="仿宋" w:hAnsi="仿宋" w:eastAsia="仿宋" w:cs="仿宋"/>
                <w:color w:val="auto"/>
                <w:szCs w:val="21"/>
                <w:highlight w:val="none"/>
              </w:rPr>
            </w:pPr>
          </w:p>
        </w:tc>
      </w:tr>
      <w:tr w14:paraId="22A70040">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641D33F3">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74456137">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03AA4FF7">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694BCE33">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2F1643AB">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77F498DF">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1E9C947E">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66E3F2C9">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00E16AD4">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11523162">
            <w:pPr>
              <w:autoSpaceDE w:val="0"/>
              <w:autoSpaceDN w:val="0"/>
              <w:rPr>
                <w:rFonts w:ascii="仿宋" w:hAnsi="仿宋" w:eastAsia="仿宋" w:cs="仿宋"/>
                <w:color w:val="auto"/>
                <w:szCs w:val="21"/>
                <w:highlight w:val="none"/>
              </w:rPr>
            </w:pPr>
          </w:p>
        </w:tc>
      </w:tr>
      <w:tr w14:paraId="568602AC">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24104495">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1DD03888">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20DCDE6B">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7ED42F0B">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62E86EEF">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01979CD6">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35B2679A">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793C271B">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2EF438C0">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40307E97">
            <w:pPr>
              <w:autoSpaceDE w:val="0"/>
              <w:autoSpaceDN w:val="0"/>
              <w:rPr>
                <w:rFonts w:ascii="仿宋" w:hAnsi="仿宋" w:eastAsia="仿宋" w:cs="仿宋"/>
                <w:color w:val="auto"/>
                <w:szCs w:val="21"/>
                <w:highlight w:val="none"/>
              </w:rPr>
            </w:pPr>
          </w:p>
        </w:tc>
      </w:tr>
      <w:tr w14:paraId="2B6A22F6">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67292B8E">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446C6EDC">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7A41D3B0">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341586B7">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3BD75039">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2513DB8F">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301E3B7E">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1FC7039F">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4064B35E">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0FDE9FBC">
            <w:pPr>
              <w:autoSpaceDE w:val="0"/>
              <w:autoSpaceDN w:val="0"/>
              <w:rPr>
                <w:rFonts w:ascii="仿宋" w:hAnsi="仿宋" w:eastAsia="仿宋" w:cs="仿宋"/>
                <w:color w:val="auto"/>
                <w:szCs w:val="21"/>
                <w:highlight w:val="none"/>
              </w:rPr>
            </w:pPr>
          </w:p>
        </w:tc>
      </w:tr>
      <w:tr w14:paraId="56A82003">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5948947F">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38DBE321">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2CED3815">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4B05D67E">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7411A6D6">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7423E3C3">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6076A3B9">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1FDF1F41">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1F6097A5">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523EDC1C">
            <w:pPr>
              <w:autoSpaceDE w:val="0"/>
              <w:autoSpaceDN w:val="0"/>
              <w:rPr>
                <w:rFonts w:ascii="仿宋" w:hAnsi="仿宋" w:eastAsia="仿宋" w:cs="仿宋"/>
                <w:color w:val="auto"/>
                <w:szCs w:val="21"/>
                <w:highlight w:val="none"/>
              </w:rPr>
            </w:pPr>
          </w:p>
        </w:tc>
      </w:tr>
      <w:tr w14:paraId="48CB6944">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2CCC096F">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55724FF1">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06AE1021">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600CB5C2">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72F86BA3">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0A3A12BD">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11037E5F">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09F29492">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0C45B040">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0993F738">
            <w:pPr>
              <w:autoSpaceDE w:val="0"/>
              <w:autoSpaceDN w:val="0"/>
              <w:rPr>
                <w:rFonts w:ascii="仿宋" w:hAnsi="仿宋" w:eastAsia="仿宋" w:cs="仿宋"/>
                <w:color w:val="auto"/>
                <w:szCs w:val="21"/>
                <w:highlight w:val="none"/>
              </w:rPr>
            </w:pPr>
          </w:p>
        </w:tc>
      </w:tr>
      <w:tr w14:paraId="72EE2408">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61B2BA23">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47755483">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221C2DB8">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15F84948">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10FFBAB0">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5B6EFD2D">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3B0FBD9F">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56E9C7ED">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47F637EC">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1AA88736">
            <w:pPr>
              <w:autoSpaceDE w:val="0"/>
              <w:autoSpaceDN w:val="0"/>
              <w:rPr>
                <w:rFonts w:ascii="仿宋" w:hAnsi="仿宋" w:eastAsia="仿宋" w:cs="仿宋"/>
                <w:color w:val="auto"/>
                <w:szCs w:val="21"/>
                <w:highlight w:val="none"/>
              </w:rPr>
            </w:pPr>
          </w:p>
        </w:tc>
      </w:tr>
      <w:tr w14:paraId="0185DE4A">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2B19CA97">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036F3FDA">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63A062C7">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30C29E30">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748E1205">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6A9B6A46">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1992E020">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56D0EB5B">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091DCA23">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2311D1EC">
            <w:pPr>
              <w:autoSpaceDE w:val="0"/>
              <w:autoSpaceDN w:val="0"/>
              <w:rPr>
                <w:rFonts w:ascii="仿宋" w:hAnsi="仿宋" w:eastAsia="仿宋" w:cs="仿宋"/>
                <w:color w:val="auto"/>
                <w:szCs w:val="21"/>
                <w:highlight w:val="none"/>
              </w:rPr>
            </w:pPr>
          </w:p>
        </w:tc>
      </w:tr>
      <w:tr w14:paraId="2A69E65E">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6" w:space="0"/>
              <w:right w:val="single" w:color="auto" w:sz="6" w:space="0"/>
            </w:tcBorders>
            <w:noWrap/>
            <w:vAlign w:val="center"/>
          </w:tcPr>
          <w:p w14:paraId="3949DF3D">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6" w:space="0"/>
              <w:right w:val="single" w:color="auto" w:sz="6" w:space="0"/>
            </w:tcBorders>
            <w:noWrap/>
          </w:tcPr>
          <w:p w14:paraId="732F799D">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6" w:space="0"/>
              <w:right w:val="single" w:color="auto" w:sz="6" w:space="0"/>
            </w:tcBorders>
            <w:noWrap/>
            <w:vAlign w:val="center"/>
          </w:tcPr>
          <w:p w14:paraId="19053C88">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6" w:space="0"/>
              <w:right w:val="single" w:color="auto" w:sz="6" w:space="0"/>
            </w:tcBorders>
            <w:noWrap/>
            <w:vAlign w:val="center"/>
          </w:tcPr>
          <w:p w14:paraId="74637491">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6" w:space="0"/>
              <w:right w:val="single" w:color="auto" w:sz="6" w:space="0"/>
            </w:tcBorders>
            <w:noWrap/>
            <w:vAlign w:val="center"/>
          </w:tcPr>
          <w:p w14:paraId="4CC314D4">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2B3616DD">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01CC0E2F">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6" w:space="0"/>
              <w:right w:val="single" w:color="auto" w:sz="6" w:space="0"/>
            </w:tcBorders>
            <w:noWrap/>
            <w:vAlign w:val="center"/>
          </w:tcPr>
          <w:p w14:paraId="4D3C595C">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6" w:space="0"/>
              <w:right w:val="single" w:color="auto" w:sz="6" w:space="0"/>
            </w:tcBorders>
            <w:noWrap/>
            <w:vAlign w:val="center"/>
          </w:tcPr>
          <w:p w14:paraId="7E0AD506">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6" w:space="0"/>
              <w:right w:val="single" w:color="auto" w:sz="12" w:space="0"/>
            </w:tcBorders>
            <w:noWrap/>
            <w:vAlign w:val="center"/>
          </w:tcPr>
          <w:p w14:paraId="57164274">
            <w:pPr>
              <w:autoSpaceDE w:val="0"/>
              <w:autoSpaceDN w:val="0"/>
              <w:rPr>
                <w:rFonts w:ascii="仿宋" w:hAnsi="仿宋" w:eastAsia="仿宋" w:cs="仿宋"/>
                <w:color w:val="auto"/>
                <w:szCs w:val="21"/>
                <w:highlight w:val="none"/>
              </w:rPr>
            </w:pPr>
          </w:p>
        </w:tc>
      </w:tr>
      <w:tr w14:paraId="235A71DC">
        <w:tblPrEx>
          <w:tblCellMar>
            <w:top w:w="0" w:type="dxa"/>
            <w:left w:w="108" w:type="dxa"/>
            <w:bottom w:w="0" w:type="dxa"/>
            <w:right w:w="108" w:type="dxa"/>
          </w:tblCellMar>
        </w:tblPrEx>
        <w:trPr>
          <w:trHeight w:val="408" w:hRule="atLeast"/>
        </w:trPr>
        <w:tc>
          <w:tcPr>
            <w:tcW w:w="427" w:type="pct"/>
            <w:tcBorders>
              <w:top w:val="single" w:color="auto" w:sz="6" w:space="0"/>
              <w:left w:val="single" w:color="auto" w:sz="12" w:space="0"/>
              <w:bottom w:val="single" w:color="auto" w:sz="12" w:space="0"/>
              <w:right w:val="single" w:color="auto" w:sz="6" w:space="0"/>
            </w:tcBorders>
            <w:noWrap/>
            <w:vAlign w:val="center"/>
          </w:tcPr>
          <w:p w14:paraId="5F36CF59">
            <w:pPr>
              <w:autoSpaceDE w:val="0"/>
              <w:autoSpaceDN w:val="0"/>
              <w:rPr>
                <w:rFonts w:ascii="仿宋" w:hAnsi="仿宋" w:eastAsia="仿宋" w:cs="仿宋"/>
                <w:color w:val="auto"/>
                <w:szCs w:val="21"/>
                <w:highlight w:val="none"/>
              </w:rPr>
            </w:pPr>
          </w:p>
        </w:tc>
        <w:tc>
          <w:tcPr>
            <w:tcW w:w="456" w:type="pct"/>
            <w:tcBorders>
              <w:top w:val="single" w:color="auto" w:sz="6" w:space="0"/>
              <w:left w:val="single" w:color="auto" w:sz="6" w:space="0"/>
              <w:bottom w:val="single" w:color="auto" w:sz="12" w:space="0"/>
              <w:right w:val="single" w:color="auto" w:sz="6" w:space="0"/>
            </w:tcBorders>
            <w:noWrap/>
          </w:tcPr>
          <w:p w14:paraId="2033FB6E">
            <w:pPr>
              <w:autoSpaceDE w:val="0"/>
              <w:autoSpaceDN w:val="0"/>
              <w:rPr>
                <w:rFonts w:ascii="仿宋" w:hAnsi="仿宋" w:eastAsia="仿宋" w:cs="仿宋"/>
                <w:color w:val="auto"/>
                <w:szCs w:val="21"/>
                <w:highlight w:val="none"/>
              </w:rPr>
            </w:pPr>
          </w:p>
        </w:tc>
        <w:tc>
          <w:tcPr>
            <w:tcW w:w="591" w:type="pct"/>
            <w:tcBorders>
              <w:top w:val="single" w:color="auto" w:sz="6" w:space="0"/>
              <w:left w:val="single" w:color="auto" w:sz="6" w:space="0"/>
              <w:bottom w:val="single" w:color="auto" w:sz="12" w:space="0"/>
              <w:right w:val="single" w:color="auto" w:sz="6" w:space="0"/>
            </w:tcBorders>
            <w:noWrap/>
            <w:vAlign w:val="center"/>
          </w:tcPr>
          <w:p w14:paraId="10FF5978">
            <w:pPr>
              <w:autoSpaceDE w:val="0"/>
              <w:autoSpaceDN w:val="0"/>
              <w:rPr>
                <w:rFonts w:ascii="仿宋" w:hAnsi="仿宋" w:eastAsia="仿宋" w:cs="仿宋"/>
                <w:color w:val="auto"/>
                <w:szCs w:val="21"/>
                <w:highlight w:val="none"/>
              </w:rPr>
            </w:pPr>
          </w:p>
        </w:tc>
        <w:tc>
          <w:tcPr>
            <w:tcW w:w="718" w:type="pct"/>
            <w:tcBorders>
              <w:top w:val="single" w:color="auto" w:sz="6" w:space="0"/>
              <w:left w:val="single" w:color="auto" w:sz="6" w:space="0"/>
              <w:bottom w:val="single" w:color="auto" w:sz="12" w:space="0"/>
              <w:right w:val="single" w:color="auto" w:sz="6" w:space="0"/>
            </w:tcBorders>
            <w:noWrap/>
            <w:vAlign w:val="center"/>
          </w:tcPr>
          <w:p w14:paraId="47A7FABE">
            <w:pPr>
              <w:autoSpaceDE w:val="0"/>
              <w:autoSpaceDN w:val="0"/>
              <w:rPr>
                <w:rFonts w:ascii="仿宋" w:hAnsi="仿宋" w:eastAsia="仿宋" w:cs="仿宋"/>
                <w:color w:val="auto"/>
                <w:szCs w:val="21"/>
                <w:highlight w:val="none"/>
              </w:rPr>
            </w:pPr>
          </w:p>
        </w:tc>
        <w:tc>
          <w:tcPr>
            <w:tcW w:w="409" w:type="pct"/>
            <w:tcBorders>
              <w:top w:val="single" w:color="auto" w:sz="6" w:space="0"/>
              <w:left w:val="single" w:color="auto" w:sz="6" w:space="0"/>
              <w:bottom w:val="single" w:color="auto" w:sz="12" w:space="0"/>
              <w:right w:val="single" w:color="auto" w:sz="6" w:space="0"/>
            </w:tcBorders>
            <w:noWrap/>
            <w:vAlign w:val="center"/>
          </w:tcPr>
          <w:p w14:paraId="2A06FF5C">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12" w:space="0"/>
              <w:right w:val="single" w:color="auto" w:sz="6" w:space="0"/>
            </w:tcBorders>
            <w:noWrap/>
            <w:vAlign w:val="center"/>
          </w:tcPr>
          <w:p w14:paraId="61F1C141">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12" w:space="0"/>
              <w:right w:val="single" w:color="auto" w:sz="6" w:space="0"/>
            </w:tcBorders>
            <w:noWrap/>
            <w:vAlign w:val="center"/>
          </w:tcPr>
          <w:p w14:paraId="0AB4CAD3">
            <w:pPr>
              <w:autoSpaceDE w:val="0"/>
              <w:autoSpaceDN w:val="0"/>
              <w:rPr>
                <w:rFonts w:ascii="仿宋" w:hAnsi="仿宋" w:eastAsia="仿宋" w:cs="仿宋"/>
                <w:color w:val="auto"/>
                <w:szCs w:val="21"/>
                <w:highlight w:val="none"/>
              </w:rPr>
            </w:pPr>
          </w:p>
        </w:tc>
        <w:tc>
          <w:tcPr>
            <w:tcW w:w="371" w:type="pct"/>
            <w:tcBorders>
              <w:top w:val="single" w:color="auto" w:sz="6" w:space="0"/>
              <w:left w:val="single" w:color="auto" w:sz="6" w:space="0"/>
              <w:bottom w:val="single" w:color="auto" w:sz="12" w:space="0"/>
              <w:right w:val="single" w:color="auto" w:sz="6" w:space="0"/>
            </w:tcBorders>
            <w:noWrap/>
            <w:vAlign w:val="center"/>
          </w:tcPr>
          <w:p w14:paraId="3BF2EBDB">
            <w:pPr>
              <w:autoSpaceDE w:val="0"/>
              <w:autoSpaceDN w:val="0"/>
              <w:rPr>
                <w:rFonts w:ascii="仿宋" w:hAnsi="仿宋" w:eastAsia="仿宋" w:cs="仿宋"/>
                <w:color w:val="auto"/>
                <w:szCs w:val="21"/>
                <w:highlight w:val="none"/>
              </w:rPr>
            </w:pPr>
          </w:p>
        </w:tc>
        <w:tc>
          <w:tcPr>
            <w:tcW w:w="695" w:type="pct"/>
            <w:tcBorders>
              <w:top w:val="single" w:color="auto" w:sz="6" w:space="0"/>
              <w:left w:val="single" w:color="auto" w:sz="6" w:space="0"/>
              <w:bottom w:val="single" w:color="auto" w:sz="12" w:space="0"/>
              <w:right w:val="single" w:color="auto" w:sz="6" w:space="0"/>
            </w:tcBorders>
            <w:noWrap/>
            <w:vAlign w:val="center"/>
          </w:tcPr>
          <w:p w14:paraId="3ADAC03B">
            <w:pPr>
              <w:autoSpaceDE w:val="0"/>
              <w:autoSpaceDN w:val="0"/>
              <w:rPr>
                <w:rFonts w:ascii="仿宋" w:hAnsi="仿宋" w:eastAsia="仿宋" w:cs="仿宋"/>
                <w:color w:val="auto"/>
                <w:szCs w:val="21"/>
                <w:highlight w:val="none"/>
              </w:rPr>
            </w:pPr>
          </w:p>
        </w:tc>
        <w:tc>
          <w:tcPr>
            <w:tcW w:w="587" w:type="pct"/>
            <w:tcBorders>
              <w:top w:val="single" w:color="auto" w:sz="6" w:space="0"/>
              <w:left w:val="single" w:color="auto" w:sz="6" w:space="0"/>
              <w:bottom w:val="single" w:color="auto" w:sz="12" w:space="0"/>
              <w:right w:val="single" w:color="auto" w:sz="12" w:space="0"/>
            </w:tcBorders>
            <w:noWrap/>
            <w:vAlign w:val="center"/>
          </w:tcPr>
          <w:p w14:paraId="486A388B">
            <w:pPr>
              <w:autoSpaceDE w:val="0"/>
              <w:autoSpaceDN w:val="0"/>
              <w:rPr>
                <w:rFonts w:ascii="仿宋" w:hAnsi="仿宋" w:eastAsia="仿宋" w:cs="仿宋"/>
                <w:color w:val="auto"/>
                <w:szCs w:val="21"/>
                <w:highlight w:val="none"/>
              </w:rPr>
            </w:pPr>
          </w:p>
        </w:tc>
      </w:tr>
    </w:tbl>
    <w:p w14:paraId="27A572CD">
      <w:pPr>
        <w:keepNext w:val="0"/>
        <w:keepLines w:val="0"/>
        <w:widowControl/>
        <w:suppressLineNumbers w:val="0"/>
        <w:jc w:val="left"/>
        <w:rPr>
          <w:color w:val="auto"/>
          <w:highlight w:val="none"/>
        </w:rPr>
      </w:pPr>
      <w:r>
        <w:rPr>
          <w:rFonts w:ascii="仿宋" w:hAnsi="仿宋" w:eastAsia="仿宋" w:cs="仿宋"/>
          <w:b/>
          <w:bCs/>
          <w:color w:val="auto"/>
          <w:kern w:val="0"/>
          <w:sz w:val="20"/>
          <w:szCs w:val="20"/>
          <w:highlight w:val="none"/>
          <w:lang w:val="en-US" w:eastAsia="zh-CN" w:bidi="ar"/>
        </w:rPr>
        <w:t>注：涉及评分项的其它证明材料附后。</w:t>
      </w:r>
    </w:p>
    <w:p w14:paraId="10E9AA11">
      <w:pPr>
        <w:snapToGrid w:val="0"/>
        <w:spacing w:line="360" w:lineRule="auto"/>
        <w:ind w:firstLine="576"/>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lang w:val="en-US" w:eastAsia="zh-CN"/>
        </w:rPr>
        <w:t xml:space="preserve">         </w:t>
      </w:r>
    </w:p>
    <w:p w14:paraId="254D7E5D">
      <w:pPr>
        <w:snapToGrid w:val="0"/>
        <w:spacing w:line="360" w:lineRule="auto"/>
        <w:ind w:firstLine="576"/>
        <w:jc w:val="center"/>
        <w:rPr>
          <w:rFonts w:hint="eastAsia" w:ascii="宋体" w:hAnsi="宋体" w:cs="宋体"/>
          <w:color w:val="auto"/>
          <w:kern w:val="0"/>
          <w:sz w:val="24"/>
          <w:highlight w:val="none"/>
          <w:lang w:val="en-US" w:eastAsia="zh-CN"/>
        </w:rPr>
      </w:pPr>
    </w:p>
    <w:p w14:paraId="3873138A">
      <w:pPr>
        <w:snapToGrid w:val="0"/>
        <w:spacing w:line="360" w:lineRule="auto"/>
        <w:ind w:firstLine="576"/>
        <w:jc w:val="center"/>
        <w:rPr>
          <w:rFonts w:hint="eastAsia" w:ascii="仿宋" w:hAnsi="仿宋" w:eastAsia="仿宋" w:cs="仿宋"/>
          <w:color w:val="auto"/>
          <w:kern w:val="0"/>
          <w:sz w:val="24"/>
          <w:highlight w:val="none"/>
          <w:lang w:val="zh-CN"/>
        </w:rPr>
      </w:pPr>
      <w:r>
        <w:rPr>
          <w:rFonts w:hint="eastAsia" w:ascii="宋体" w:hAnsi="宋体" w:cs="宋体"/>
          <w:color w:val="auto"/>
          <w:kern w:val="0"/>
          <w:sz w:val="24"/>
          <w:highlight w:val="none"/>
          <w:lang w:val="en-US" w:eastAsia="zh-CN"/>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lang w:val="zh-CN"/>
        </w:rPr>
        <w:t xml:space="preserve">投标人名称(电子签名)：                              </w:t>
      </w:r>
    </w:p>
    <w:p w14:paraId="5E59155B">
      <w:pPr>
        <w:spacing w:line="360" w:lineRule="auto"/>
        <w:jc w:val="center"/>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14:paraId="1ABC4DAC">
      <w:pPr>
        <w:rPr>
          <w:rFonts w:hint="eastAsia" w:ascii="仿宋" w:hAnsi="仿宋" w:eastAsia="仿宋" w:cs="仿宋"/>
          <w:b/>
          <w:snapToGrid w:val="0"/>
          <w:color w:val="auto"/>
          <w:kern w:val="0"/>
          <w:sz w:val="28"/>
          <w:szCs w:val="28"/>
          <w:highlight w:val="none"/>
        </w:rPr>
      </w:pPr>
      <w:r>
        <w:rPr>
          <w:rFonts w:hint="eastAsia" w:ascii="仿宋" w:hAnsi="仿宋" w:eastAsia="仿宋" w:cs="仿宋"/>
          <w:b/>
          <w:snapToGrid w:val="0"/>
          <w:color w:val="auto"/>
          <w:kern w:val="0"/>
          <w:sz w:val="28"/>
          <w:szCs w:val="28"/>
          <w:highlight w:val="none"/>
        </w:rPr>
        <w:br w:type="page"/>
      </w:r>
    </w:p>
    <w:p w14:paraId="3D1577B5">
      <w:pPr>
        <w:pStyle w:val="36"/>
        <w:snapToGrid w:val="0"/>
        <w:spacing w:line="360" w:lineRule="auto"/>
        <w:jc w:val="center"/>
        <w:rPr>
          <w:rFonts w:hint="eastAsia" w:ascii="仿宋" w:hAnsi="仿宋" w:eastAsia="仿宋" w:cs="仿宋"/>
          <w:b/>
          <w:snapToGrid w:val="0"/>
          <w:color w:val="auto"/>
          <w:kern w:val="0"/>
          <w:sz w:val="28"/>
          <w:szCs w:val="28"/>
          <w:highlight w:val="none"/>
        </w:rPr>
      </w:pPr>
      <w:r>
        <w:rPr>
          <w:rFonts w:hint="eastAsia" w:ascii="仿宋" w:hAnsi="仿宋" w:eastAsia="仿宋" w:cs="仿宋"/>
          <w:b/>
          <w:snapToGrid w:val="0"/>
          <w:color w:val="auto"/>
          <w:kern w:val="0"/>
          <w:sz w:val="28"/>
          <w:szCs w:val="28"/>
          <w:highlight w:val="none"/>
        </w:rPr>
        <w:t>（2）项目负责人简历表</w:t>
      </w:r>
    </w:p>
    <w:tbl>
      <w:tblPr>
        <w:tblStyle w:val="66"/>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468"/>
        <w:gridCol w:w="6"/>
        <w:gridCol w:w="1389"/>
        <w:gridCol w:w="1155"/>
        <w:gridCol w:w="1050"/>
        <w:gridCol w:w="210"/>
        <w:gridCol w:w="1830"/>
        <w:gridCol w:w="262"/>
        <w:gridCol w:w="1270"/>
      </w:tblGrid>
      <w:tr w14:paraId="1CE277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86" w:hRule="atLeast"/>
        </w:trPr>
        <w:tc>
          <w:tcPr>
            <w:tcW w:w="1474" w:type="dxa"/>
            <w:gridSpan w:val="2"/>
            <w:noWrap w:val="0"/>
            <w:vAlign w:val="center"/>
          </w:tcPr>
          <w:p w14:paraId="7D60CE7F">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姓   名</w:t>
            </w:r>
          </w:p>
        </w:tc>
        <w:tc>
          <w:tcPr>
            <w:tcW w:w="1389" w:type="dxa"/>
            <w:noWrap w:val="0"/>
            <w:vAlign w:val="center"/>
          </w:tcPr>
          <w:p w14:paraId="58C78964">
            <w:pPr>
              <w:snapToGrid w:val="0"/>
              <w:spacing w:line="320" w:lineRule="atLeast"/>
              <w:jc w:val="center"/>
              <w:rPr>
                <w:rFonts w:hint="eastAsia" w:ascii="仿宋" w:hAnsi="仿宋" w:eastAsia="仿宋" w:cs="仿宋"/>
                <w:color w:val="auto"/>
                <w:highlight w:val="none"/>
              </w:rPr>
            </w:pPr>
          </w:p>
        </w:tc>
        <w:tc>
          <w:tcPr>
            <w:tcW w:w="1155" w:type="dxa"/>
            <w:noWrap w:val="0"/>
            <w:vAlign w:val="center"/>
          </w:tcPr>
          <w:p w14:paraId="35DC086E">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年   龄</w:t>
            </w:r>
          </w:p>
        </w:tc>
        <w:tc>
          <w:tcPr>
            <w:tcW w:w="1260" w:type="dxa"/>
            <w:gridSpan w:val="2"/>
            <w:noWrap w:val="0"/>
            <w:vAlign w:val="center"/>
          </w:tcPr>
          <w:p w14:paraId="72C02B07">
            <w:pPr>
              <w:snapToGrid w:val="0"/>
              <w:spacing w:line="320" w:lineRule="atLeast"/>
              <w:jc w:val="center"/>
              <w:rPr>
                <w:rFonts w:hint="eastAsia" w:ascii="仿宋" w:hAnsi="仿宋" w:eastAsia="仿宋" w:cs="仿宋"/>
                <w:color w:val="auto"/>
                <w:highlight w:val="none"/>
              </w:rPr>
            </w:pPr>
          </w:p>
        </w:tc>
        <w:tc>
          <w:tcPr>
            <w:tcW w:w="2092" w:type="dxa"/>
            <w:gridSpan w:val="2"/>
            <w:noWrap w:val="0"/>
            <w:vAlign w:val="center"/>
          </w:tcPr>
          <w:p w14:paraId="0899EE2B">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专   业</w:t>
            </w:r>
          </w:p>
        </w:tc>
        <w:tc>
          <w:tcPr>
            <w:tcW w:w="1270" w:type="dxa"/>
            <w:noWrap w:val="0"/>
            <w:vAlign w:val="center"/>
          </w:tcPr>
          <w:p w14:paraId="214C09F0">
            <w:pPr>
              <w:snapToGrid w:val="0"/>
              <w:spacing w:line="320" w:lineRule="atLeast"/>
              <w:jc w:val="center"/>
              <w:rPr>
                <w:rFonts w:hint="eastAsia" w:ascii="仿宋" w:hAnsi="仿宋" w:eastAsia="仿宋" w:cs="仿宋"/>
                <w:color w:val="auto"/>
                <w:highlight w:val="none"/>
              </w:rPr>
            </w:pPr>
          </w:p>
        </w:tc>
      </w:tr>
      <w:tr w14:paraId="56A1F5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474" w:type="dxa"/>
            <w:gridSpan w:val="2"/>
            <w:noWrap w:val="0"/>
            <w:vAlign w:val="center"/>
          </w:tcPr>
          <w:p w14:paraId="56D03AAF">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职   称</w:t>
            </w:r>
          </w:p>
        </w:tc>
        <w:tc>
          <w:tcPr>
            <w:tcW w:w="1389" w:type="dxa"/>
            <w:noWrap w:val="0"/>
            <w:vAlign w:val="center"/>
          </w:tcPr>
          <w:p w14:paraId="213B4B0D">
            <w:pPr>
              <w:snapToGrid w:val="0"/>
              <w:spacing w:line="320" w:lineRule="atLeast"/>
              <w:jc w:val="center"/>
              <w:rPr>
                <w:rFonts w:hint="eastAsia" w:ascii="仿宋" w:hAnsi="仿宋" w:eastAsia="仿宋" w:cs="仿宋"/>
                <w:color w:val="auto"/>
                <w:highlight w:val="none"/>
              </w:rPr>
            </w:pPr>
          </w:p>
        </w:tc>
        <w:tc>
          <w:tcPr>
            <w:tcW w:w="1155" w:type="dxa"/>
            <w:noWrap w:val="0"/>
            <w:vAlign w:val="center"/>
          </w:tcPr>
          <w:p w14:paraId="35510DBF">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职   务</w:t>
            </w:r>
          </w:p>
        </w:tc>
        <w:tc>
          <w:tcPr>
            <w:tcW w:w="1260" w:type="dxa"/>
            <w:gridSpan w:val="2"/>
            <w:noWrap w:val="0"/>
            <w:vAlign w:val="center"/>
          </w:tcPr>
          <w:p w14:paraId="6BC253E1">
            <w:pPr>
              <w:snapToGrid w:val="0"/>
              <w:spacing w:line="320" w:lineRule="atLeast"/>
              <w:jc w:val="center"/>
              <w:rPr>
                <w:rFonts w:hint="eastAsia" w:ascii="仿宋" w:hAnsi="仿宋" w:eastAsia="仿宋" w:cs="仿宋"/>
                <w:color w:val="auto"/>
                <w:highlight w:val="none"/>
              </w:rPr>
            </w:pPr>
          </w:p>
        </w:tc>
        <w:tc>
          <w:tcPr>
            <w:tcW w:w="2092" w:type="dxa"/>
            <w:gridSpan w:val="2"/>
            <w:noWrap w:val="0"/>
            <w:vAlign w:val="center"/>
          </w:tcPr>
          <w:p w14:paraId="6803857C">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拟在本合同</w:t>
            </w:r>
          </w:p>
          <w:p w14:paraId="37481020">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项目担任职务</w:t>
            </w:r>
          </w:p>
        </w:tc>
        <w:tc>
          <w:tcPr>
            <w:tcW w:w="1270" w:type="dxa"/>
            <w:noWrap w:val="0"/>
            <w:vAlign w:val="center"/>
          </w:tcPr>
          <w:p w14:paraId="4F671D83">
            <w:pPr>
              <w:snapToGrid w:val="0"/>
              <w:spacing w:line="320" w:lineRule="atLeast"/>
              <w:jc w:val="center"/>
              <w:rPr>
                <w:rFonts w:hint="eastAsia" w:ascii="仿宋" w:hAnsi="仿宋" w:eastAsia="仿宋" w:cs="仿宋"/>
                <w:color w:val="auto"/>
                <w:highlight w:val="none"/>
              </w:rPr>
            </w:pPr>
          </w:p>
        </w:tc>
      </w:tr>
      <w:tr w14:paraId="0A4EE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84" w:hRule="atLeast"/>
        </w:trPr>
        <w:tc>
          <w:tcPr>
            <w:tcW w:w="1474" w:type="dxa"/>
            <w:gridSpan w:val="2"/>
            <w:noWrap w:val="0"/>
            <w:vAlign w:val="center"/>
          </w:tcPr>
          <w:p w14:paraId="56D678F6">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毕业学校</w:t>
            </w:r>
          </w:p>
        </w:tc>
        <w:tc>
          <w:tcPr>
            <w:tcW w:w="7166" w:type="dxa"/>
            <w:gridSpan w:val="7"/>
            <w:noWrap w:val="0"/>
            <w:vAlign w:val="center"/>
          </w:tcPr>
          <w:p w14:paraId="22809172">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月毕业于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学校</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系(科)，学制</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p>
        </w:tc>
      </w:tr>
      <w:tr w14:paraId="502844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0" w:hRule="atLeast"/>
        </w:trPr>
        <w:tc>
          <w:tcPr>
            <w:tcW w:w="8640" w:type="dxa"/>
            <w:gridSpan w:val="9"/>
            <w:noWrap w:val="0"/>
            <w:vAlign w:val="center"/>
          </w:tcPr>
          <w:p w14:paraId="1B7149FE">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经                        历</w:t>
            </w:r>
          </w:p>
        </w:tc>
      </w:tr>
      <w:tr w14:paraId="49B633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81" w:hRule="atLeast"/>
        </w:trPr>
        <w:tc>
          <w:tcPr>
            <w:tcW w:w="1468" w:type="dxa"/>
            <w:noWrap w:val="0"/>
            <w:vAlign w:val="center"/>
          </w:tcPr>
          <w:p w14:paraId="527CC74E">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年   月</w:t>
            </w:r>
          </w:p>
        </w:tc>
        <w:tc>
          <w:tcPr>
            <w:tcW w:w="3600" w:type="dxa"/>
            <w:gridSpan w:val="4"/>
            <w:noWrap w:val="0"/>
            <w:vAlign w:val="center"/>
          </w:tcPr>
          <w:p w14:paraId="19122945">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工作经历</w:t>
            </w:r>
          </w:p>
        </w:tc>
        <w:tc>
          <w:tcPr>
            <w:tcW w:w="2040" w:type="dxa"/>
            <w:gridSpan w:val="2"/>
            <w:noWrap w:val="0"/>
            <w:vAlign w:val="center"/>
          </w:tcPr>
          <w:p w14:paraId="3C915757">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担 任 何 职</w:t>
            </w:r>
          </w:p>
        </w:tc>
        <w:tc>
          <w:tcPr>
            <w:tcW w:w="1532" w:type="dxa"/>
            <w:gridSpan w:val="2"/>
            <w:noWrap w:val="0"/>
            <w:vAlign w:val="center"/>
          </w:tcPr>
          <w:p w14:paraId="43AA93E3">
            <w:pPr>
              <w:snapToGrid w:val="0"/>
              <w:spacing w:line="320" w:lineRule="atLeast"/>
              <w:jc w:val="center"/>
              <w:rPr>
                <w:rFonts w:hint="eastAsia" w:ascii="仿宋" w:hAnsi="仿宋" w:eastAsia="仿宋" w:cs="仿宋"/>
                <w:color w:val="auto"/>
                <w:highlight w:val="none"/>
              </w:rPr>
            </w:pPr>
            <w:r>
              <w:rPr>
                <w:rFonts w:hint="eastAsia" w:ascii="仿宋" w:hAnsi="仿宋" w:eastAsia="仿宋" w:cs="仿宋"/>
                <w:color w:val="auto"/>
                <w:highlight w:val="none"/>
              </w:rPr>
              <w:t>备   注</w:t>
            </w:r>
          </w:p>
        </w:tc>
      </w:tr>
      <w:tr w14:paraId="0D586B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 w:hRule="atLeast"/>
        </w:trPr>
        <w:tc>
          <w:tcPr>
            <w:tcW w:w="1468" w:type="dxa"/>
            <w:noWrap w:val="0"/>
            <w:vAlign w:val="center"/>
          </w:tcPr>
          <w:p w14:paraId="4BD399F9">
            <w:pPr>
              <w:snapToGrid w:val="0"/>
              <w:spacing w:line="320" w:lineRule="atLeast"/>
              <w:jc w:val="center"/>
              <w:rPr>
                <w:rFonts w:hint="eastAsia" w:ascii="仿宋" w:hAnsi="仿宋" w:eastAsia="仿宋" w:cs="仿宋"/>
                <w:color w:val="auto"/>
                <w:highlight w:val="none"/>
              </w:rPr>
            </w:pPr>
          </w:p>
          <w:p w14:paraId="76990BB4">
            <w:pPr>
              <w:snapToGrid w:val="0"/>
              <w:spacing w:line="320" w:lineRule="atLeast"/>
              <w:jc w:val="center"/>
              <w:rPr>
                <w:rFonts w:hint="eastAsia" w:ascii="仿宋" w:hAnsi="仿宋" w:eastAsia="仿宋" w:cs="仿宋"/>
                <w:color w:val="auto"/>
                <w:highlight w:val="none"/>
              </w:rPr>
            </w:pPr>
          </w:p>
          <w:p w14:paraId="2241B0E5">
            <w:pPr>
              <w:snapToGrid w:val="0"/>
              <w:spacing w:line="320" w:lineRule="atLeast"/>
              <w:jc w:val="center"/>
              <w:rPr>
                <w:rFonts w:hint="eastAsia" w:ascii="仿宋" w:hAnsi="仿宋" w:eastAsia="仿宋" w:cs="仿宋"/>
                <w:color w:val="auto"/>
                <w:highlight w:val="none"/>
              </w:rPr>
            </w:pPr>
          </w:p>
          <w:p w14:paraId="375ACDED">
            <w:pPr>
              <w:snapToGrid w:val="0"/>
              <w:spacing w:line="320" w:lineRule="atLeast"/>
              <w:jc w:val="center"/>
              <w:rPr>
                <w:rFonts w:hint="eastAsia" w:ascii="仿宋" w:hAnsi="仿宋" w:eastAsia="仿宋" w:cs="仿宋"/>
                <w:color w:val="auto"/>
                <w:highlight w:val="none"/>
              </w:rPr>
            </w:pPr>
          </w:p>
          <w:p w14:paraId="02603665">
            <w:pPr>
              <w:snapToGrid w:val="0"/>
              <w:spacing w:line="320" w:lineRule="atLeast"/>
              <w:jc w:val="center"/>
              <w:rPr>
                <w:rFonts w:hint="eastAsia" w:ascii="仿宋" w:hAnsi="仿宋" w:eastAsia="仿宋" w:cs="仿宋"/>
                <w:color w:val="auto"/>
                <w:highlight w:val="none"/>
              </w:rPr>
            </w:pPr>
          </w:p>
          <w:p w14:paraId="23FC04C6">
            <w:pPr>
              <w:snapToGrid w:val="0"/>
              <w:spacing w:line="320" w:lineRule="atLeast"/>
              <w:jc w:val="center"/>
              <w:rPr>
                <w:rFonts w:hint="eastAsia" w:ascii="仿宋" w:hAnsi="仿宋" w:eastAsia="仿宋" w:cs="仿宋"/>
                <w:color w:val="auto"/>
                <w:highlight w:val="none"/>
              </w:rPr>
            </w:pPr>
          </w:p>
          <w:p w14:paraId="33B9562C">
            <w:pPr>
              <w:snapToGrid w:val="0"/>
              <w:spacing w:line="320" w:lineRule="atLeast"/>
              <w:jc w:val="center"/>
              <w:rPr>
                <w:rFonts w:hint="eastAsia" w:ascii="仿宋" w:hAnsi="仿宋" w:eastAsia="仿宋" w:cs="仿宋"/>
                <w:color w:val="auto"/>
                <w:highlight w:val="none"/>
              </w:rPr>
            </w:pPr>
          </w:p>
          <w:p w14:paraId="483A5F09">
            <w:pPr>
              <w:snapToGrid w:val="0"/>
              <w:spacing w:line="320" w:lineRule="atLeast"/>
              <w:jc w:val="center"/>
              <w:rPr>
                <w:rFonts w:hint="eastAsia" w:ascii="仿宋" w:hAnsi="仿宋" w:eastAsia="仿宋" w:cs="仿宋"/>
                <w:color w:val="auto"/>
                <w:highlight w:val="none"/>
              </w:rPr>
            </w:pPr>
          </w:p>
        </w:tc>
        <w:tc>
          <w:tcPr>
            <w:tcW w:w="3600" w:type="dxa"/>
            <w:gridSpan w:val="4"/>
            <w:noWrap w:val="0"/>
            <w:vAlign w:val="center"/>
          </w:tcPr>
          <w:p w14:paraId="50C24B8C">
            <w:pPr>
              <w:snapToGrid w:val="0"/>
              <w:spacing w:line="320" w:lineRule="atLeast"/>
              <w:jc w:val="center"/>
              <w:rPr>
                <w:rFonts w:hint="eastAsia" w:ascii="仿宋" w:hAnsi="仿宋" w:eastAsia="仿宋" w:cs="仿宋"/>
                <w:color w:val="auto"/>
                <w:highlight w:val="none"/>
              </w:rPr>
            </w:pPr>
          </w:p>
        </w:tc>
        <w:tc>
          <w:tcPr>
            <w:tcW w:w="2040" w:type="dxa"/>
            <w:gridSpan w:val="2"/>
            <w:noWrap w:val="0"/>
            <w:vAlign w:val="center"/>
          </w:tcPr>
          <w:p w14:paraId="07DB52B6">
            <w:pPr>
              <w:snapToGrid w:val="0"/>
              <w:spacing w:line="320" w:lineRule="atLeast"/>
              <w:jc w:val="center"/>
              <w:rPr>
                <w:rFonts w:hint="eastAsia" w:ascii="仿宋" w:hAnsi="仿宋" w:eastAsia="仿宋" w:cs="仿宋"/>
                <w:color w:val="auto"/>
                <w:highlight w:val="none"/>
              </w:rPr>
            </w:pPr>
          </w:p>
        </w:tc>
        <w:tc>
          <w:tcPr>
            <w:tcW w:w="1532" w:type="dxa"/>
            <w:gridSpan w:val="2"/>
            <w:noWrap w:val="0"/>
            <w:vAlign w:val="center"/>
          </w:tcPr>
          <w:p w14:paraId="2AE52FF9">
            <w:pPr>
              <w:snapToGrid w:val="0"/>
              <w:spacing w:line="320" w:lineRule="atLeast"/>
              <w:jc w:val="center"/>
              <w:rPr>
                <w:rFonts w:hint="eastAsia" w:ascii="仿宋" w:hAnsi="仿宋" w:eastAsia="仿宋" w:cs="仿宋"/>
                <w:color w:val="auto"/>
                <w:highlight w:val="none"/>
              </w:rPr>
            </w:pPr>
          </w:p>
          <w:p w14:paraId="5FCA3844">
            <w:pPr>
              <w:snapToGrid w:val="0"/>
              <w:spacing w:line="320" w:lineRule="atLeast"/>
              <w:jc w:val="center"/>
              <w:rPr>
                <w:rFonts w:hint="eastAsia" w:ascii="仿宋" w:hAnsi="仿宋" w:eastAsia="仿宋" w:cs="仿宋"/>
                <w:color w:val="auto"/>
                <w:highlight w:val="none"/>
              </w:rPr>
            </w:pPr>
          </w:p>
          <w:p w14:paraId="09C2E7B7">
            <w:pPr>
              <w:snapToGrid w:val="0"/>
              <w:spacing w:line="320" w:lineRule="atLeast"/>
              <w:jc w:val="center"/>
              <w:rPr>
                <w:rFonts w:hint="eastAsia" w:ascii="仿宋" w:hAnsi="仿宋" w:eastAsia="仿宋" w:cs="仿宋"/>
                <w:color w:val="auto"/>
                <w:highlight w:val="none"/>
              </w:rPr>
            </w:pPr>
          </w:p>
          <w:p w14:paraId="1BA9E82B">
            <w:pPr>
              <w:snapToGrid w:val="0"/>
              <w:spacing w:line="320" w:lineRule="atLeast"/>
              <w:jc w:val="center"/>
              <w:rPr>
                <w:rFonts w:hint="eastAsia" w:ascii="仿宋" w:hAnsi="仿宋" w:eastAsia="仿宋" w:cs="仿宋"/>
                <w:color w:val="auto"/>
                <w:highlight w:val="none"/>
              </w:rPr>
            </w:pPr>
          </w:p>
          <w:p w14:paraId="2AFAB144">
            <w:pPr>
              <w:snapToGrid w:val="0"/>
              <w:spacing w:line="320" w:lineRule="atLeast"/>
              <w:jc w:val="center"/>
              <w:rPr>
                <w:rFonts w:hint="eastAsia" w:ascii="仿宋" w:hAnsi="仿宋" w:eastAsia="仿宋" w:cs="仿宋"/>
                <w:color w:val="auto"/>
                <w:highlight w:val="none"/>
              </w:rPr>
            </w:pPr>
          </w:p>
        </w:tc>
      </w:tr>
    </w:tbl>
    <w:p w14:paraId="08B0C308">
      <w:pPr>
        <w:snapToGrid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注：与评分有关的证明材料附后。</w:t>
      </w:r>
    </w:p>
    <w:p w14:paraId="594B4B0C">
      <w:pPr>
        <w:snapToGrid w:val="0"/>
        <w:spacing w:line="360" w:lineRule="auto"/>
        <w:ind w:firstLine="576"/>
        <w:jc w:val="center"/>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 xml:space="preserve">           </w:t>
      </w:r>
    </w:p>
    <w:p w14:paraId="256D5B0D">
      <w:pPr>
        <w:snapToGrid w:val="0"/>
        <w:spacing w:line="360" w:lineRule="auto"/>
        <w:ind w:firstLine="576"/>
        <w:jc w:val="center"/>
        <w:rPr>
          <w:rFonts w:hint="eastAsia" w:ascii="仿宋" w:hAnsi="仿宋" w:eastAsia="仿宋" w:cs="仿宋"/>
          <w:color w:val="auto"/>
          <w:kern w:val="0"/>
          <w:sz w:val="24"/>
          <w:highlight w:val="none"/>
          <w:lang w:val="en-US" w:eastAsia="zh-CN"/>
        </w:rPr>
      </w:pPr>
    </w:p>
    <w:p w14:paraId="0202A32C">
      <w:pPr>
        <w:snapToGrid w:val="0"/>
        <w:spacing w:line="360" w:lineRule="auto"/>
        <w:ind w:firstLine="576"/>
        <w:jc w:val="center"/>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lang w:val="zh-CN"/>
        </w:rPr>
        <w:t xml:space="preserve">投标人名称(电子签名)：                              </w:t>
      </w:r>
    </w:p>
    <w:p w14:paraId="5EB9E537">
      <w:pPr>
        <w:spacing w:line="360" w:lineRule="auto"/>
        <w:jc w:val="center"/>
        <w:rPr>
          <w:rFonts w:ascii="宋体" w:hAnsi="宋体" w:cs="宋体"/>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14:paraId="410620D6">
      <w:pPr>
        <w:snapToGrid w:val="0"/>
        <w:spacing w:line="360" w:lineRule="auto"/>
        <w:rPr>
          <w:rFonts w:hint="eastAsia" w:ascii="仿宋" w:hAnsi="仿宋" w:eastAsia="仿宋" w:cs="仿宋"/>
          <w:color w:val="auto"/>
          <w:highlight w:val="none"/>
        </w:rPr>
      </w:pPr>
    </w:p>
    <w:p w14:paraId="7675DD49">
      <w:pPr>
        <w:jc w:val="center"/>
        <w:rPr>
          <w:rFonts w:hint="eastAsia" w:ascii="宋体" w:hAnsi="宋体" w:eastAsia="宋体" w:cs="宋体"/>
          <w:b/>
          <w:color w:val="auto"/>
          <w:kern w:val="0"/>
          <w:sz w:val="32"/>
          <w:szCs w:val="32"/>
          <w:highlight w:val="none"/>
          <w:lang w:val="en-US" w:eastAsia="zh-CN"/>
        </w:rPr>
      </w:pPr>
    </w:p>
    <w:p w14:paraId="41BC5F57">
      <w:pPr>
        <w:ind w:firstLine="2891" w:firstLineChars="900"/>
        <w:rPr>
          <w:rFonts w:ascii="宋体" w:hAnsi="宋体" w:cs="宋体"/>
          <w:b/>
          <w:color w:val="auto"/>
          <w:kern w:val="0"/>
          <w:sz w:val="32"/>
          <w:szCs w:val="32"/>
          <w:highlight w:val="none"/>
        </w:rPr>
      </w:pPr>
      <w:r>
        <w:rPr>
          <w:rFonts w:hint="eastAsia" w:ascii="宋体" w:hAnsi="宋体" w:cs="宋体"/>
          <w:b/>
          <w:color w:val="auto"/>
          <w:kern w:val="0"/>
          <w:sz w:val="32"/>
          <w:szCs w:val="32"/>
          <w:highlight w:val="none"/>
          <w:lang w:eastAsia="zh-CN"/>
        </w:rPr>
        <w:t>七</w:t>
      </w:r>
      <w:r>
        <w:rPr>
          <w:rFonts w:hint="eastAsia" w:ascii="宋体" w:hAnsi="宋体" w:cs="宋体"/>
          <w:b/>
          <w:color w:val="auto"/>
          <w:kern w:val="0"/>
          <w:sz w:val="32"/>
          <w:szCs w:val="32"/>
          <w:highlight w:val="none"/>
        </w:rPr>
        <w:t>、投标标的清单</w:t>
      </w:r>
    </w:p>
    <w:tbl>
      <w:tblPr>
        <w:tblStyle w:val="6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1673"/>
      </w:tblGrid>
      <w:tr w14:paraId="6D443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A4D31F5">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70E32E1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名称</w:t>
            </w:r>
          </w:p>
        </w:tc>
        <w:tc>
          <w:tcPr>
            <w:tcW w:w="1114" w:type="dxa"/>
            <w:tcBorders>
              <w:top w:val="single" w:color="auto" w:sz="4" w:space="0"/>
              <w:left w:val="single" w:color="auto" w:sz="4" w:space="0"/>
              <w:bottom w:val="single" w:color="auto" w:sz="4" w:space="0"/>
              <w:right w:val="single" w:color="auto" w:sz="4" w:space="0"/>
            </w:tcBorders>
          </w:tcPr>
          <w:p w14:paraId="2E2000D9">
            <w:pPr>
              <w:spacing w:line="360" w:lineRule="auto"/>
              <w:jc w:val="center"/>
              <w:rPr>
                <w:rFonts w:ascii="宋体" w:hAnsi="宋体" w:cs="宋体"/>
                <w:b/>
                <w:color w:val="auto"/>
                <w:sz w:val="24"/>
                <w:highlight w:val="none"/>
              </w:rPr>
            </w:pPr>
          </w:p>
          <w:p w14:paraId="4DEE0A6B">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1E5276E7">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规格型号</w:t>
            </w:r>
          </w:p>
        </w:tc>
        <w:tc>
          <w:tcPr>
            <w:tcW w:w="2775" w:type="dxa"/>
            <w:tcBorders>
              <w:top w:val="single" w:color="auto" w:sz="4" w:space="0"/>
              <w:left w:val="single" w:color="auto" w:sz="4" w:space="0"/>
              <w:bottom w:val="single" w:color="auto" w:sz="4" w:space="0"/>
              <w:right w:val="single" w:color="auto" w:sz="4" w:space="0"/>
            </w:tcBorders>
            <w:vAlign w:val="center"/>
          </w:tcPr>
          <w:p w14:paraId="713AD918">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数量</w:t>
            </w:r>
          </w:p>
        </w:tc>
        <w:tc>
          <w:tcPr>
            <w:tcW w:w="1673" w:type="dxa"/>
            <w:tcBorders>
              <w:top w:val="single" w:color="auto" w:sz="4" w:space="0"/>
              <w:left w:val="single" w:color="auto" w:sz="4" w:space="0"/>
              <w:bottom w:val="single" w:color="auto" w:sz="4" w:space="0"/>
              <w:right w:val="single" w:color="auto" w:sz="4" w:space="0"/>
            </w:tcBorders>
            <w:vAlign w:val="center"/>
          </w:tcPr>
          <w:p w14:paraId="17B567E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备注</w:t>
            </w:r>
          </w:p>
        </w:tc>
      </w:tr>
      <w:tr w14:paraId="45512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17A6AE4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369" w:type="dxa"/>
            <w:tcBorders>
              <w:top w:val="single" w:color="auto" w:sz="4" w:space="0"/>
              <w:left w:val="single" w:color="auto" w:sz="4" w:space="0"/>
              <w:bottom w:val="single" w:color="auto" w:sz="4" w:space="0"/>
              <w:right w:val="single" w:color="auto" w:sz="4" w:space="0"/>
            </w:tcBorders>
            <w:vAlign w:val="center"/>
          </w:tcPr>
          <w:p w14:paraId="1F81FF6C">
            <w:pPr>
              <w:snapToGrid w:val="0"/>
              <w:spacing w:line="360" w:lineRule="auto"/>
              <w:jc w:val="center"/>
              <w:rPr>
                <w:rFonts w:ascii="宋体" w:hAnsi="宋体" w:cs="宋体"/>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16ED9BF9">
            <w:pPr>
              <w:snapToGrid w:val="0"/>
              <w:spacing w:line="360" w:lineRule="auto"/>
              <w:jc w:val="center"/>
              <w:rPr>
                <w:rFonts w:ascii="宋体" w:hAnsi="宋体" w:cs="宋体"/>
                <w:color w:val="auto"/>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68C3872D">
            <w:pPr>
              <w:snapToGrid w:val="0"/>
              <w:spacing w:line="360" w:lineRule="auto"/>
              <w:jc w:val="center"/>
              <w:rPr>
                <w:rFonts w:ascii="宋体" w:hAnsi="宋体" w:cs="宋体"/>
                <w:color w:val="auto"/>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18523173">
            <w:pPr>
              <w:spacing w:line="360" w:lineRule="auto"/>
              <w:jc w:val="center"/>
              <w:rPr>
                <w:rFonts w:ascii="宋体" w:hAnsi="宋体" w:cs="宋体"/>
                <w:color w:val="auto"/>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66A6669A">
            <w:pPr>
              <w:spacing w:line="360" w:lineRule="auto"/>
              <w:jc w:val="center"/>
              <w:rPr>
                <w:rFonts w:ascii="宋体" w:hAnsi="宋体" w:cs="宋体"/>
                <w:color w:val="auto"/>
                <w:sz w:val="24"/>
                <w:highlight w:val="none"/>
              </w:rPr>
            </w:pPr>
          </w:p>
        </w:tc>
      </w:tr>
      <w:tr w14:paraId="715DD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698116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369" w:type="dxa"/>
            <w:tcBorders>
              <w:top w:val="single" w:color="auto" w:sz="4" w:space="0"/>
              <w:left w:val="single" w:color="auto" w:sz="4" w:space="0"/>
              <w:bottom w:val="single" w:color="auto" w:sz="4" w:space="0"/>
              <w:right w:val="single" w:color="auto" w:sz="4" w:space="0"/>
            </w:tcBorders>
            <w:vAlign w:val="center"/>
          </w:tcPr>
          <w:p w14:paraId="7383ACE6">
            <w:pPr>
              <w:snapToGrid w:val="0"/>
              <w:spacing w:line="360" w:lineRule="auto"/>
              <w:jc w:val="center"/>
              <w:rPr>
                <w:rFonts w:ascii="宋体" w:hAnsi="宋体" w:cs="宋体"/>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39401BD9">
            <w:pPr>
              <w:snapToGrid w:val="0"/>
              <w:spacing w:line="360" w:lineRule="auto"/>
              <w:jc w:val="center"/>
              <w:rPr>
                <w:rFonts w:ascii="宋体" w:hAnsi="宋体" w:cs="宋体"/>
                <w:color w:val="auto"/>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71775F87">
            <w:pPr>
              <w:snapToGrid w:val="0"/>
              <w:spacing w:line="360" w:lineRule="auto"/>
              <w:jc w:val="center"/>
              <w:rPr>
                <w:rFonts w:ascii="宋体" w:hAnsi="宋体" w:cs="宋体"/>
                <w:color w:val="auto"/>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7E8E7A5A">
            <w:pPr>
              <w:spacing w:line="360" w:lineRule="auto"/>
              <w:jc w:val="center"/>
              <w:rPr>
                <w:rFonts w:ascii="宋体" w:hAnsi="宋体" w:cs="宋体"/>
                <w:color w:val="auto"/>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74EE85D">
            <w:pPr>
              <w:spacing w:line="360" w:lineRule="auto"/>
              <w:jc w:val="center"/>
              <w:rPr>
                <w:rFonts w:ascii="宋体" w:hAnsi="宋体" w:cs="宋体"/>
                <w:color w:val="auto"/>
                <w:sz w:val="24"/>
                <w:highlight w:val="none"/>
              </w:rPr>
            </w:pPr>
          </w:p>
        </w:tc>
      </w:tr>
      <w:tr w14:paraId="5F13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0CAB00E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w:t>
            </w:r>
          </w:p>
        </w:tc>
        <w:tc>
          <w:tcPr>
            <w:tcW w:w="1369" w:type="dxa"/>
            <w:tcBorders>
              <w:top w:val="single" w:color="auto" w:sz="4" w:space="0"/>
              <w:left w:val="single" w:color="auto" w:sz="4" w:space="0"/>
              <w:bottom w:val="single" w:color="auto" w:sz="4" w:space="0"/>
              <w:right w:val="single" w:color="auto" w:sz="4" w:space="0"/>
            </w:tcBorders>
            <w:vAlign w:val="center"/>
          </w:tcPr>
          <w:p w14:paraId="363B7E7C">
            <w:pPr>
              <w:snapToGrid w:val="0"/>
              <w:spacing w:line="360" w:lineRule="auto"/>
              <w:jc w:val="center"/>
              <w:rPr>
                <w:rFonts w:ascii="宋体" w:hAnsi="宋体" w:cs="宋体"/>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220ED540">
            <w:pPr>
              <w:snapToGrid w:val="0"/>
              <w:spacing w:line="360" w:lineRule="auto"/>
              <w:jc w:val="center"/>
              <w:rPr>
                <w:rFonts w:ascii="宋体" w:hAnsi="宋体" w:cs="宋体"/>
                <w:color w:val="auto"/>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6141DB23">
            <w:pPr>
              <w:snapToGrid w:val="0"/>
              <w:spacing w:line="360" w:lineRule="auto"/>
              <w:jc w:val="center"/>
              <w:rPr>
                <w:rFonts w:ascii="宋体" w:hAnsi="宋体" w:cs="宋体"/>
                <w:color w:val="auto"/>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12C93D07">
            <w:pPr>
              <w:spacing w:line="360" w:lineRule="auto"/>
              <w:jc w:val="center"/>
              <w:rPr>
                <w:rFonts w:ascii="宋体" w:hAnsi="宋体" w:cs="宋体"/>
                <w:color w:val="auto"/>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4A3DE572">
            <w:pPr>
              <w:spacing w:line="360" w:lineRule="auto"/>
              <w:jc w:val="center"/>
              <w:rPr>
                <w:rFonts w:ascii="宋体" w:hAnsi="宋体" w:cs="宋体"/>
                <w:color w:val="auto"/>
                <w:sz w:val="24"/>
                <w:highlight w:val="none"/>
              </w:rPr>
            </w:pPr>
          </w:p>
        </w:tc>
      </w:tr>
    </w:tbl>
    <w:p w14:paraId="764E06A9">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3C552863">
      <w:pPr>
        <w:jc w:val="center"/>
        <w:rPr>
          <w:rFonts w:ascii="宋体" w:hAnsi="宋体" w:cs="宋体"/>
          <w:b/>
          <w:color w:val="auto"/>
          <w:kern w:val="0"/>
          <w:sz w:val="32"/>
          <w:szCs w:val="32"/>
          <w:highlight w:val="none"/>
        </w:rPr>
      </w:pPr>
    </w:p>
    <w:p w14:paraId="3F871F03">
      <w:pPr>
        <w:jc w:val="center"/>
        <w:rPr>
          <w:rFonts w:ascii="宋体" w:hAnsi="宋体" w:cs="宋体"/>
          <w:b/>
          <w:color w:val="auto"/>
          <w:kern w:val="0"/>
          <w:sz w:val="32"/>
          <w:szCs w:val="32"/>
          <w:highlight w:val="none"/>
        </w:rPr>
      </w:pPr>
    </w:p>
    <w:p w14:paraId="19710B41">
      <w:pPr>
        <w:numPr>
          <w:ilvl w:val="0"/>
          <w:numId w:val="10"/>
        </w:numPr>
        <w:jc w:val="cente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t>商务技术偏离表</w:t>
      </w:r>
    </w:p>
    <w:p w14:paraId="272B189B">
      <w:pPr>
        <w:pStyle w:val="83"/>
        <w:numPr>
          <w:ilvl w:val="0"/>
          <w:numId w:val="0"/>
        </w:numPr>
        <w:jc w:val="center"/>
        <w:rPr>
          <w:rFonts w:hint="eastAsia" w:eastAsia="仿宋_GB2312"/>
          <w:b/>
          <w:bCs/>
          <w:color w:val="auto"/>
          <w:highlight w:val="none"/>
          <w:lang w:eastAsia="zh-CN"/>
        </w:rPr>
      </w:pPr>
      <w:r>
        <w:rPr>
          <w:rFonts w:hint="eastAsia"/>
          <w:b/>
          <w:bCs/>
          <w:color w:val="auto"/>
          <w:highlight w:val="none"/>
          <w:lang w:eastAsia="zh-CN"/>
        </w:rPr>
        <w:t>（一）商务</w:t>
      </w:r>
      <w:r>
        <w:rPr>
          <w:rFonts w:hint="eastAsia"/>
          <w:b/>
          <w:bCs/>
          <w:color w:val="auto"/>
          <w:highlight w:val="none"/>
          <w:lang w:val="en-US" w:eastAsia="zh-CN"/>
        </w:rPr>
        <w:t>技术</w:t>
      </w:r>
      <w:r>
        <w:rPr>
          <w:rFonts w:hint="eastAsia"/>
          <w:b/>
          <w:bCs/>
          <w:color w:val="auto"/>
          <w:highlight w:val="none"/>
          <w:lang w:eastAsia="zh-CN"/>
        </w:rPr>
        <w:t>偏离表</w:t>
      </w:r>
    </w:p>
    <w:tbl>
      <w:tblPr>
        <w:tblStyle w:val="6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7663D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15D1D57">
            <w:pPr>
              <w:jc w:val="center"/>
              <w:rPr>
                <w:rFonts w:ascii="宋体" w:hAnsi="宋体" w:cs="宋体"/>
                <w:b/>
                <w:bCs/>
                <w:color w:val="auto"/>
                <w:sz w:val="24"/>
                <w:highlight w:val="none"/>
              </w:rPr>
            </w:pPr>
            <w:r>
              <w:rPr>
                <w:rFonts w:hint="eastAsia" w:ascii="宋体" w:hAnsi="宋体" w:cs="宋体"/>
                <w:b/>
                <w:bCs/>
                <w:color w:val="auto"/>
                <w:sz w:val="24"/>
                <w:highlight w:val="none"/>
              </w:rPr>
              <w:t>序号</w:t>
            </w:r>
          </w:p>
        </w:tc>
        <w:tc>
          <w:tcPr>
            <w:tcW w:w="3683" w:type="dxa"/>
          </w:tcPr>
          <w:p w14:paraId="624E7C6C">
            <w:pPr>
              <w:jc w:val="center"/>
              <w:rPr>
                <w:rFonts w:ascii="宋体" w:hAnsi="宋体" w:cs="宋体"/>
                <w:b/>
                <w:bCs/>
                <w:color w:val="auto"/>
                <w:sz w:val="24"/>
                <w:highlight w:val="none"/>
              </w:rPr>
            </w:pPr>
            <w:r>
              <w:rPr>
                <w:rFonts w:hint="eastAsia" w:ascii="宋体" w:hAnsi="宋体" w:cs="宋体"/>
                <w:b/>
                <w:bCs/>
                <w:color w:val="auto"/>
                <w:sz w:val="24"/>
                <w:highlight w:val="none"/>
              </w:rPr>
              <w:t>招标文件章节及具体内容</w:t>
            </w:r>
          </w:p>
        </w:tc>
        <w:tc>
          <w:tcPr>
            <w:tcW w:w="3546" w:type="dxa"/>
          </w:tcPr>
          <w:p w14:paraId="04FE6166">
            <w:pPr>
              <w:jc w:val="center"/>
              <w:rPr>
                <w:rFonts w:ascii="宋体" w:hAnsi="宋体" w:cs="宋体"/>
                <w:b/>
                <w:bCs/>
                <w:color w:val="auto"/>
                <w:sz w:val="24"/>
                <w:highlight w:val="none"/>
              </w:rPr>
            </w:pPr>
            <w:r>
              <w:rPr>
                <w:rFonts w:hint="eastAsia" w:ascii="宋体" w:hAnsi="宋体" w:cs="宋体"/>
                <w:b/>
                <w:bCs/>
                <w:color w:val="auto"/>
                <w:sz w:val="24"/>
                <w:highlight w:val="none"/>
              </w:rPr>
              <w:t>投标文件章节及具体内容</w:t>
            </w:r>
          </w:p>
        </w:tc>
        <w:tc>
          <w:tcPr>
            <w:tcW w:w="1276" w:type="dxa"/>
          </w:tcPr>
          <w:p w14:paraId="23D05A7C">
            <w:pPr>
              <w:jc w:val="center"/>
              <w:rPr>
                <w:rFonts w:ascii="宋体" w:hAnsi="宋体" w:cs="宋体"/>
                <w:b/>
                <w:bCs/>
                <w:color w:val="auto"/>
                <w:sz w:val="24"/>
                <w:highlight w:val="none"/>
              </w:rPr>
            </w:pPr>
            <w:r>
              <w:rPr>
                <w:rFonts w:hint="eastAsia" w:ascii="宋体" w:hAnsi="宋体" w:cs="宋体"/>
                <w:b/>
                <w:bCs/>
                <w:color w:val="auto"/>
                <w:sz w:val="24"/>
                <w:highlight w:val="none"/>
              </w:rPr>
              <w:t>偏离说明</w:t>
            </w:r>
          </w:p>
        </w:tc>
      </w:tr>
      <w:tr w14:paraId="5F9C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93497F7">
            <w:pPr>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683" w:type="dxa"/>
          </w:tcPr>
          <w:p w14:paraId="19E3BED8">
            <w:pPr>
              <w:jc w:val="center"/>
              <w:rPr>
                <w:rFonts w:ascii="宋体" w:hAnsi="宋体" w:cs="宋体"/>
                <w:b/>
                <w:color w:val="auto"/>
                <w:kern w:val="0"/>
                <w:sz w:val="32"/>
                <w:szCs w:val="32"/>
                <w:highlight w:val="none"/>
              </w:rPr>
            </w:pPr>
          </w:p>
        </w:tc>
        <w:tc>
          <w:tcPr>
            <w:tcW w:w="3546" w:type="dxa"/>
          </w:tcPr>
          <w:p w14:paraId="5CA94D97">
            <w:pPr>
              <w:jc w:val="center"/>
              <w:rPr>
                <w:rFonts w:ascii="宋体" w:hAnsi="宋体" w:cs="宋体"/>
                <w:b/>
                <w:color w:val="auto"/>
                <w:kern w:val="0"/>
                <w:sz w:val="32"/>
                <w:szCs w:val="32"/>
                <w:highlight w:val="none"/>
              </w:rPr>
            </w:pPr>
          </w:p>
        </w:tc>
        <w:tc>
          <w:tcPr>
            <w:tcW w:w="1276" w:type="dxa"/>
          </w:tcPr>
          <w:p w14:paraId="4F5D825A">
            <w:pPr>
              <w:jc w:val="center"/>
              <w:rPr>
                <w:rFonts w:ascii="宋体" w:hAnsi="宋体" w:cs="宋体"/>
                <w:b/>
                <w:color w:val="auto"/>
                <w:kern w:val="0"/>
                <w:sz w:val="32"/>
                <w:szCs w:val="32"/>
                <w:highlight w:val="none"/>
              </w:rPr>
            </w:pPr>
          </w:p>
        </w:tc>
      </w:tr>
      <w:tr w14:paraId="6CE8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67DDDC">
            <w:pPr>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683" w:type="dxa"/>
          </w:tcPr>
          <w:p w14:paraId="55B1E5D3">
            <w:pPr>
              <w:jc w:val="center"/>
              <w:rPr>
                <w:rFonts w:ascii="宋体" w:hAnsi="宋体" w:cs="宋体"/>
                <w:b/>
                <w:color w:val="auto"/>
                <w:kern w:val="0"/>
                <w:sz w:val="32"/>
                <w:szCs w:val="32"/>
                <w:highlight w:val="none"/>
              </w:rPr>
            </w:pPr>
          </w:p>
        </w:tc>
        <w:tc>
          <w:tcPr>
            <w:tcW w:w="3546" w:type="dxa"/>
          </w:tcPr>
          <w:p w14:paraId="643480AB">
            <w:pPr>
              <w:jc w:val="center"/>
              <w:rPr>
                <w:rFonts w:ascii="宋体" w:hAnsi="宋体" w:cs="宋体"/>
                <w:b/>
                <w:color w:val="auto"/>
                <w:kern w:val="0"/>
                <w:sz w:val="32"/>
                <w:szCs w:val="32"/>
                <w:highlight w:val="none"/>
              </w:rPr>
            </w:pPr>
          </w:p>
        </w:tc>
        <w:tc>
          <w:tcPr>
            <w:tcW w:w="1276" w:type="dxa"/>
          </w:tcPr>
          <w:p w14:paraId="6BFFB95B">
            <w:pPr>
              <w:jc w:val="center"/>
              <w:rPr>
                <w:rFonts w:ascii="宋体" w:hAnsi="宋体" w:cs="宋体"/>
                <w:b/>
                <w:color w:val="auto"/>
                <w:kern w:val="0"/>
                <w:sz w:val="32"/>
                <w:szCs w:val="32"/>
                <w:highlight w:val="none"/>
              </w:rPr>
            </w:pPr>
          </w:p>
        </w:tc>
      </w:tr>
      <w:tr w14:paraId="17B49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7183B29">
            <w:pPr>
              <w:jc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3683" w:type="dxa"/>
          </w:tcPr>
          <w:p w14:paraId="2F3AB601">
            <w:pPr>
              <w:jc w:val="center"/>
              <w:rPr>
                <w:rFonts w:ascii="宋体" w:hAnsi="宋体" w:cs="宋体"/>
                <w:b/>
                <w:color w:val="auto"/>
                <w:kern w:val="0"/>
                <w:sz w:val="32"/>
                <w:szCs w:val="32"/>
                <w:highlight w:val="none"/>
              </w:rPr>
            </w:pPr>
          </w:p>
        </w:tc>
        <w:tc>
          <w:tcPr>
            <w:tcW w:w="3546" w:type="dxa"/>
          </w:tcPr>
          <w:p w14:paraId="79550D47">
            <w:pPr>
              <w:jc w:val="center"/>
              <w:rPr>
                <w:rFonts w:ascii="宋体" w:hAnsi="宋体" w:cs="宋体"/>
                <w:b/>
                <w:color w:val="auto"/>
                <w:kern w:val="0"/>
                <w:sz w:val="32"/>
                <w:szCs w:val="32"/>
                <w:highlight w:val="none"/>
              </w:rPr>
            </w:pPr>
          </w:p>
        </w:tc>
        <w:tc>
          <w:tcPr>
            <w:tcW w:w="1276" w:type="dxa"/>
          </w:tcPr>
          <w:p w14:paraId="51052AAB">
            <w:pPr>
              <w:jc w:val="center"/>
              <w:rPr>
                <w:rFonts w:ascii="宋体" w:hAnsi="宋体" w:cs="宋体"/>
                <w:b/>
                <w:color w:val="auto"/>
                <w:kern w:val="0"/>
                <w:sz w:val="32"/>
                <w:szCs w:val="32"/>
                <w:highlight w:val="none"/>
              </w:rPr>
            </w:pPr>
          </w:p>
        </w:tc>
      </w:tr>
    </w:tbl>
    <w:p w14:paraId="31670F34">
      <w:pPr>
        <w:jc w:val="left"/>
        <w:rPr>
          <w:rFonts w:ascii="宋体" w:hAnsi="宋体" w:cs="宋体"/>
          <w:color w:val="auto"/>
          <w:kern w:val="0"/>
          <w:sz w:val="24"/>
          <w:highlight w:val="none"/>
        </w:rPr>
      </w:pPr>
      <w:r>
        <w:rPr>
          <w:rFonts w:hint="eastAsia" w:ascii="宋体" w:hAnsi="宋体" w:cs="宋体"/>
          <w:color w:val="auto"/>
          <w:kern w:val="0"/>
          <w:sz w:val="24"/>
          <w:highlight w:val="none"/>
        </w:rPr>
        <w:t>投标人保证：除商务技术偏离表列出的偏离外，投标人响应招标文件的全部要求</w:t>
      </w:r>
    </w:p>
    <w:p w14:paraId="622F8215">
      <w:pPr>
        <w:jc w:val="center"/>
        <w:rPr>
          <w:rFonts w:ascii="宋体" w:hAnsi="宋体" w:cs="宋体"/>
          <w:b/>
          <w:color w:val="auto"/>
          <w:kern w:val="0"/>
          <w:sz w:val="32"/>
          <w:szCs w:val="32"/>
          <w:highlight w:val="none"/>
        </w:rPr>
      </w:pPr>
    </w:p>
    <w:p w14:paraId="4034AADF">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29927D7A">
      <w:pPr>
        <w:ind w:firstLine="1911" w:firstLineChars="595"/>
        <w:rPr>
          <w:rFonts w:ascii="宋体" w:hAnsi="宋体" w:cs="宋体"/>
          <w:b/>
          <w:bCs/>
          <w:color w:val="auto"/>
          <w:sz w:val="32"/>
          <w:szCs w:val="32"/>
          <w:highlight w:val="none"/>
        </w:rPr>
      </w:pPr>
    </w:p>
    <w:p w14:paraId="1B03DBF4">
      <w:pPr>
        <w:ind w:firstLine="1911" w:firstLineChars="595"/>
        <w:rPr>
          <w:rFonts w:ascii="宋体" w:hAnsi="宋体" w:cs="宋体"/>
          <w:b/>
          <w:bCs/>
          <w:color w:val="auto"/>
          <w:sz w:val="32"/>
          <w:szCs w:val="32"/>
          <w:highlight w:val="none"/>
        </w:rPr>
      </w:pPr>
    </w:p>
    <w:p w14:paraId="520F2D11">
      <w:pPr>
        <w:ind w:firstLine="1911" w:firstLineChars="595"/>
        <w:rPr>
          <w:rFonts w:ascii="宋体" w:hAnsi="宋体" w:cs="宋体"/>
          <w:b/>
          <w:bCs/>
          <w:color w:val="auto"/>
          <w:sz w:val="32"/>
          <w:szCs w:val="32"/>
          <w:highlight w:val="none"/>
        </w:rPr>
      </w:pPr>
    </w:p>
    <w:p w14:paraId="6D9F9811">
      <w:pPr>
        <w:widowControl/>
        <w:spacing w:before="120" w:beforeLines="50" w:line="360" w:lineRule="auto"/>
        <w:ind w:firstLine="482" w:firstLineChars="200"/>
        <w:jc w:val="left"/>
        <w:rPr>
          <w:rFonts w:hint="eastAsia" w:ascii="宋体" w:hAnsi="宋体" w:eastAsia="仿宋" w:cs="宋体"/>
          <w:b/>
          <w:bCs/>
          <w:color w:val="auto"/>
          <w:sz w:val="32"/>
          <w:szCs w:val="32"/>
          <w:highlight w:val="none"/>
          <w:lang w:eastAsia="zh-CN"/>
        </w:rPr>
        <w:sectPr>
          <w:headerReference r:id="rId13" w:type="first"/>
          <w:footerReference r:id="rId15" w:type="first"/>
          <w:headerReference r:id="rId12" w:type="default"/>
          <w:footerReference r:id="rId14"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r>
        <w:rPr>
          <w:rFonts w:ascii="仿宋" w:hAnsi="仿宋" w:eastAsia="仿宋" w:cs="仿宋"/>
          <w:b/>
          <w:bCs/>
          <w:color w:val="auto"/>
          <w:kern w:val="0"/>
          <w:sz w:val="24"/>
          <w:highlight w:val="none"/>
          <w:lang w:bidi="ar"/>
        </w:rPr>
        <w:t>备注：1、对照《第三部分 采购需求》如实填写上表，虚假应标一律按提供虚假材料处理；2、“偏离情况”栏填写：</w:t>
      </w:r>
      <w:r>
        <w:rPr>
          <w:rFonts w:hint="eastAsia" w:ascii="仿宋" w:hAnsi="仿宋" w:eastAsia="仿宋" w:cs="仿宋"/>
          <w:b/>
          <w:bCs/>
          <w:color w:val="auto"/>
          <w:kern w:val="0"/>
          <w:sz w:val="24"/>
          <w:highlight w:val="none"/>
          <w:lang w:bidi="ar"/>
        </w:rPr>
        <w:t>“响应”或“不响应”；</w:t>
      </w:r>
      <w:r>
        <w:rPr>
          <w:rFonts w:hint="eastAsia" w:ascii="仿宋" w:hAnsi="仿宋" w:eastAsia="仿宋" w:cs="仿宋"/>
          <w:b/>
          <w:bCs/>
          <w:i w:val="0"/>
          <w:iCs w:val="0"/>
          <w:color w:val="auto"/>
          <w:kern w:val="0"/>
          <w:sz w:val="24"/>
          <w:highlight w:val="none"/>
          <w:lang w:bidi="ar"/>
        </w:rPr>
        <w:t xml:space="preserve">3、响应内容除技术参数外还需包含规格型号、品牌等信息； </w:t>
      </w:r>
      <w:r>
        <w:rPr>
          <w:rFonts w:hint="eastAsia" w:ascii="仿宋" w:hAnsi="仿宋" w:eastAsia="仿宋" w:cs="仿宋"/>
          <w:b/>
          <w:bCs/>
          <w:color w:val="auto"/>
          <w:kern w:val="0"/>
          <w:sz w:val="24"/>
          <w:highlight w:val="none"/>
          <w:lang w:bidi="ar"/>
        </w:rPr>
        <w:t>4、后附技术资料：如相关证书、产品样本资料或技术说明书或官网上公开的技术参数可以体现参数响应情况的资料</w:t>
      </w:r>
      <w:r>
        <w:rPr>
          <w:rFonts w:hint="eastAsia" w:ascii="仿宋" w:hAnsi="仿宋" w:eastAsia="仿宋" w:cs="仿宋"/>
          <w:b/>
          <w:bCs/>
          <w:color w:val="auto"/>
          <w:kern w:val="0"/>
          <w:sz w:val="24"/>
          <w:highlight w:val="none"/>
          <w:lang w:eastAsia="zh-CN" w:bidi="ar"/>
        </w:rPr>
        <w:t>。</w:t>
      </w:r>
    </w:p>
    <w:p w14:paraId="2EE39BCD">
      <w:pPr>
        <w:pStyle w:val="83"/>
        <w:rPr>
          <w:color w:val="auto"/>
          <w:highlight w:val="none"/>
        </w:rPr>
      </w:pPr>
    </w:p>
    <w:p w14:paraId="038D9750">
      <w:pPr>
        <w:ind w:firstLine="1911" w:firstLineChars="595"/>
        <w:rPr>
          <w:rFonts w:ascii="宋体" w:hAnsi="宋体" w:cs="宋体"/>
          <w:b/>
          <w:color w:val="auto"/>
          <w:kern w:val="0"/>
          <w:sz w:val="32"/>
          <w:szCs w:val="32"/>
          <w:highlight w:val="none"/>
        </w:rPr>
      </w:pPr>
      <w:r>
        <w:rPr>
          <w:rFonts w:hint="eastAsia" w:ascii="宋体" w:hAnsi="宋体" w:cs="宋体"/>
          <w:b/>
          <w:color w:val="auto"/>
          <w:kern w:val="0"/>
          <w:sz w:val="32"/>
          <w:szCs w:val="32"/>
          <w:highlight w:val="none"/>
          <w:lang w:eastAsia="zh-CN"/>
        </w:rPr>
        <w:t>九</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zh-CN"/>
        </w:rPr>
        <w:t>政府采购供应商廉洁自律承诺书</w:t>
      </w:r>
    </w:p>
    <w:p w14:paraId="3699E67A">
      <w:pPr>
        <w:snapToGrid w:val="0"/>
        <w:spacing w:line="360" w:lineRule="auto"/>
        <w:rPr>
          <w:rFonts w:ascii="宋体" w:hAnsi="宋体" w:cs="宋体"/>
          <w:color w:val="auto"/>
          <w:sz w:val="24"/>
          <w:highlight w:val="none"/>
        </w:rPr>
      </w:pPr>
    </w:p>
    <w:p w14:paraId="003E2CE9">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75069821">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项目招标要求参加投标。在这次投标过程中和中标后，我们将严格遵守国家法律法规要求，并郑重承诺：</w:t>
      </w:r>
    </w:p>
    <w:p w14:paraId="5C16B2F0">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一、不向项目有关人员及部门赠送礼金礼物、有价证券、回扣以及中介费、介绍费、咨询费等好处费； </w:t>
      </w:r>
    </w:p>
    <w:p w14:paraId="29611A5E">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二、不为项目有关人员及部门报销应由你方单位或个人支付的费用； </w:t>
      </w:r>
    </w:p>
    <w:p w14:paraId="36A37DA4">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三、不向项目有关人员及部门提供有可能影响公正的宴请和健身娱乐等活动； </w:t>
      </w:r>
    </w:p>
    <w:p w14:paraId="6B0F211B">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四、不为项目有关人员及部门出国（境）、旅游等提供方便；</w:t>
      </w:r>
    </w:p>
    <w:p w14:paraId="28DA1EA9">
      <w:pPr>
        <w:autoSpaceDE w:val="0"/>
        <w:autoSpaceDN w:val="0"/>
        <w:spacing w:line="360" w:lineRule="auto"/>
        <w:ind w:left="481" w:leftChars="229"/>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五、不为项目有关人员个人装修住房、婚丧嫁娶、配偶子女工作安排等提供</w:t>
      </w:r>
    </w:p>
    <w:p w14:paraId="69E370F1">
      <w:pPr>
        <w:autoSpaceDE w:val="0"/>
        <w:autoSpaceDN w:val="0"/>
        <w:spacing w:line="360" w:lineRule="auto"/>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好处；</w:t>
      </w:r>
    </w:p>
    <w:p w14:paraId="4C8F4870">
      <w:pPr>
        <w:autoSpaceDE w:val="0"/>
        <w:autoSpaceDN w:val="0"/>
        <w:spacing w:line="360" w:lineRule="auto"/>
        <w:ind w:left="481" w:leftChars="229"/>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六、严格遵守《</w:t>
      </w:r>
      <w:r>
        <w:rPr>
          <w:rFonts w:hint="eastAsia" w:ascii="宋体" w:hAnsi="宋体" w:cs="宋体"/>
          <w:color w:val="auto"/>
          <w:sz w:val="24"/>
          <w:highlight w:val="none"/>
          <w:lang w:val="zh-CN"/>
        </w:rPr>
        <w:t>中华人民共和国</w:t>
      </w:r>
      <w:r>
        <w:rPr>
          <w:rFonts w:hint="eastAsia" w:ascii="宋体" w:hAnsi="宋体" w:cs="宋体"/>
          <w:color w:val="auto"/>
          <w:kern w:val="0"/>
          <w:sz w:val="24"/>
          <w:highlight w:val="none"/>
          <w:lang w:val="zh-CN"/>
        </w:rPr>
        <w:t>政府采购法》《</w:t>
      </w:r>
      <w:r>
        <w:rPr>
          <w:rFonts w:hint="eastAsia" w:ascii="宋体" w:hAnsi="宋体" w:cs="宋体"/>
          <w:color w:val="auto"/>
          <w:sz w:val="24"/>
          <w:highlight w:val="none"/>
          <w:lang w:val="zh-CN"/>
        </w:rPr>
        <w:t>中华人民共和国</w:t>
      </w:r>
      <w:r>
        <w:rPr>
          <w:rFonts w:hint="eastAsia" w:ascii="宋体" w:hAnsi="宋体" w:cs="宋体"/>
          <w:color w:val="auto"/>
          <w:kern w:val="0"/>
          <w:sz w:val="24"/>
          <w:highlight w:val="none"/>
          <w:lang w:val="zh-CN"/>
        </w:rPr>
        <w:t>招标投标</w:t>
      </w:r>
    </w:p>
    <w:p w14:paraId="05208333">
      <w:pPr>
        <w:autoSpaceDE w:val="0"/>
        <w:autoSpaceDN w:val="0"/>
        <w:spacing w:line="360" w:lineRule="auto"/>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法》</w:t>
      </w:r>
      <w:r>
        <w:rPr>
          <w:rFonts w:hint="eastAsia" w:ascii="宋体" w:hAnsi="宋体" w:cs="宋体"/>
          <w:color w:val="auto"/>
          <w:sz w:val="24"/>
          <w:highlight w:val="none"/>
          <w:lang w:val="zh-CN"/>
        </w:rPr>
        <w:t>《中华人民共和国民法典》</w:t>
      </w:r>
      <w:r>
        <w:rPr>
          <w:rFonts w:hint="eastAsia" w:ascii="宋体" w:hAnsi="宋体" w:cs="宋体"/>
          <w:color w:val="auto"/>
          <w:kern w:val="0"/>
          <w:sz w:val="24"/>
          <w:highlight w:val="none"/>
          <w:lang w:val="zh-CN"/>
        </w:rPr>
        <w:t xml:space="preserve">等法律法规，诚实守信，合法经营，坚决抵制各种违法违纪行为。 </w:t>
      </w:r>
    </w:p>
    <w:p w14:paraId="1CA9A85D">
      <w:pPr>
        <w:autoSpaceDE w:val="0"/>
        <w:autoSpaceDN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如违反上述承诺，你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有权立即取消我单位投标、中标或在建项目的建设资格，有权拒绝我单位在一定时期内进入你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进行项目建设或其他经营活动，并通报市财政局。由此引起的相应损失均由我单位承担。</w:t>
      </w:r>
    </w:p>
    <w:p w14:paraId="3CC11E9C">
      <w:pPr>
        <w:autoSpaceDE w:val="0"/>
        <w:autoSpaceDN w:val="0"/>
        <w:spacing w:line="360" w:lineRule="auto"/>
        <w:ind w:left="2"/>
        <w:jc w:val="left"/>
        <w:rPr>
          <w:rFonts w:ascii="宋体" w:hAnsi="宋体" w:cs="宋体"/>
          <w:color w:val="auto"/>
          <w:kern w:val="0"/>
          <w:sz w:val="24"/>
          <w:highlight w:val="none"/>
          <w:lang w:val="zh-CN"/>
        </w:rPr>
      </w:pPr>
    </w:p>
    <w:p w14:paraId="4CE029E1">
      <w:pPr>
        <w:autoSpaceDE w:val="0"/>
        <w:autoSpaceDN w:val="0"/>
        <w:spacing w:line="360" w:lineRule="auto"/>
        <w:ind w:left="2"/>
        <w:jc w:val="left"/>
        <w:rPr>
          <w:rFonts w:ascii="宋体" w:hAnsi="宋体" w:cs="宋体"/>
          <w:color w:val="auto"/>
          <w:kern w:val="0"/>
          <w:sz w:val="24"/>
          <w:highlight w:val="none"/>
          <w:lang w:val="zh-CN"/>
        </w:rPr>
      </w:pPr>
    </w:p>
    <w:p w14:paraId="20FC634F">
      <w:pPr>
        <w:autoSpaceDE w:val="0"/>
        <w:autoSpaceDN w:val="0"/>
        <w:spacing w:line="360" w:lineRule="auto"/>
        <w:ind w:left="2"/>
        <w:jc w:val="left"/>
        <w:rPr>
          <w:rFonts w:ascii="宋体" w:hAnsi="宋体" w:cs="宋体"/>
          <w:color w:val="auto"/>
          <w:kern w:val="0"/>
          <w:sz w:val="24"/>
          <w:highlight w:val="none"/>
          <w:lang w:val="zh-CN"/>
        </w:rPr>
      </w:pPr>
    </w:p>
    <w:p w14:paraId="763579D6">
      <w:pPr>
        <w:autoSpaceDE w:val="0"/>
        <w:autoSpaceDN w:val="0"/>
        <w:spacing w:line="360" w:lineRule="auto"/>
        <w:ind w:left="2" w:leftChars="1" w:right="1120" w:firstLine="4560" w:firstLineChars="19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投标人名称（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0ED95578">
      <w:pPr>
        <w:spacing w:line="360" w:lineRule="auto"/>
        <w:ind w:left="4620" w:leftChars="2200"/>
        <w:rPr>
          <w:rFonts w:ascii="宋体" w:hAnsi="宋体" w:cs="宋体"/>
          <w:color w:val="auto"/>
          <w:sz w:val="24"/>
          <w:highlight w:val="none"/>
        </w:rPr>
      </w:pP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w:t>
      </w:r>
    </w:p>
    <w:p w14:paraId="3FF77941">
      <w:pPr>
        <w:spacing w:line="360" w:lineRule="auto"/>
        <w:jc w:val="center"/>
        <w:rPr>
          <w:rFonts w:ascii="宋体" w:hAnsi="宋体" w:cs="宋体"/>
          <w:b/>
          <w:bCs/>
          <w:color w:val="auto"/>
          <w:sz w:val="24"/>
          <w:highlight w:val="none"/>
        </w:rPr>
      </w:pPr>
    </w:p>
    <w:p w14:paraId="13AC4739">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6332DFB3">
      <w:pPr>
        <w:spacing w:line="360" w:lineRule="auto"/>
        <w:jc w:val="center"/>
        <w:rPr>
          <w:rFonts w:ascii="宋体" w:hAnsi="宋体" w:cs="宋体"/>
          <w:b/>
          <w:bCs/>
          <w:color w:val="auto"/>
          <w:sz w:val="24"/>
          <w:highlight w:val="none"/>
        </w:rPr>
        <w:sectPr>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4210EC4A">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报价文件部分</w:t>
      </w:r>
    </w:p>
    <w:p w14:paraId="39BCE959">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08664F0E">
      <w:pPr>
        <w:spacing w:line="360" w:lineRule="auto"/>
        <w:jc w:val="center"/>
        <w:outlineLvl w:val="0"/>
        <w:rPr>
          <w:rFonts w:ascii="宋体" w:hAnsi="宋体" w:cs="宋体"/>
          <w:b/>
          <w:color w:val="auto"/>
          <w:kern w:val="0"/>
          <w:sz w:val="36"/>
          <w:szCs w:val="36"/>
          <w:highlight w:val="none"/>
        </w:rPr>
      </w:pPr>
    </w:p>
    <w:p w14:paraId="01347326">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（1）开标一览表（报价表）………………………………………………………（页码）</w:t>
      </w:r>
    </w:p>
    <w:p w14:paraId="3615C79A">
      <w:pPr>
        <w:snapToGrid w:val="0"/>
        <w:spacing w:line="360" w:lineRule="auto"/>
        <w:rPr>
          <w:color w:val="auto"/>
          <w:highlight w:val="none"/>
        </w:rPr>
      </w:pPr>
      <w:r>
        <w:rPr>
          <w:rFonts w:hint="eastAsia" w:ascii="宋体" w:hAnsi="宋体" w:cs="宋体"/>
          <w:color w:val="auto"/>
          <w:sz w:val="24"/>
          <w:highlight w:val="none"/>
        </w:rPr>
        <w:t>（</w:t>
      </w:r>
      <w:r>
        <w:rPr>
          <w:rFonts w:hint="eastAsia" w:ascii="宋体" w:hAnsi="宋体" w:cs="宋体"/>
          <w:color w:val="auto"/>
          <w:sz w:val="24"/>
          <w:szCs w:val="24"/>
          <w:highlight w:val="none"/>
          <w:lang w:val="en-US" w:eastAsia="zh-CN"/>
        </w:rPr>
        <w:t>2</w:t>
      </w:r>
      <w:r>
        <w:rPr>
          <w:rFonts w:hint="eastAsia" w:ascii="宋体" w:hAnsi="宋体" w:cs="宋体"/>
          <w:color w:val="auto"/>
          <w:sz w:val="24"/>
          <w:highlight w:val="none"/>
        </w:rPr>
        <w:t>）</w:t>
      </w:r>
      <w:r>
        <w:rPr>
          <w:rFonts w:hint="eastAsia" w:hAnsi="仿宋_GB2312" w:cs="仿宋_GB2312"/>
          <w:b w:val="0"/>
          <w:bCs/>
          <w:snapToGrid w:val="0"/>
          <w:color w:val="auto"/>
          <w:kern w:val="2"/>
          <w:sz w:val="24"/>
          <w:szCs w:val="24"/>
          <w:highlight w:val="none"/>
          <w:lang w:val="en-US" w:eastAsia="zh-CN" w:bidi="ar-SA"/>
        </w:rPr>
        <w:t>报价情况说明</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rPr>
        <w:t>（页码）</w:t>
      </w:r>
    </w:p>
    <w:p w14:paraId="188849A2">
      <w:p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）中小企业声明函………………………………………………………………（页码）</w:t>
      </w:r>
    </w:p>
    <w:p w14:paraId="09AD6CF4">
      <w:pPr>
        <w:pStyle w:val="64"/>
        <w:ind w:firstLine="0"/>
        <w:rPr>
          <w:rFonts w:hint="eastAsia" w:eastAsia="宋体"/>
          <w:color w:val="auto"/>
          <w:highlight w:val="none"/>
          <w:lang w:eastAsia="zh-CN"/>
        </w:rPr>
      </w:pPr>
      <w:r>
        <w:rPr>
          <w:rFonts w:hint="eastAsia" w:hAnsi="宋体" w:cs="宋体"/>
          <w:color w:val="auto"/>
          <w:sz w:val="24"/>
          <w:highlight w:val="none"/>
          <w:lang w:eastAsia="zh-CN"/>
        </w:rPr>
        <w:t>（</w:t>
      </w:r>
      <w:r>
        <w:rPr>
          <w:rFonts w:hint="eastAsia" w:hAnsi="宋体" w:cs="宋体"/>
          <w:color w:val="auto"/>
          <w:sz w:val="24"/>
          <w:highlight w:val="none"/>
          <w:lang w:val="en-US" w:eastAsia="zh-CN"/>
        </w:rPr>
        <w:t>4</w:t>
      </w:r>
      <w:r>
        <w:rPr>
          <w:rFonts w:hint="eastAsia" w:hAnsi="宋体" w:cs="宋体"/>
          <w:color w:val="auto"/>
          <w:sz w:val="24"/>
          <w:highlight w:val="none"/>
          <w:lang w:eastAsia="zh-CN"/>
        </w:rPr>
        <w:t>）</w:t>
      </w:r>
      <w:r>
        <w:rPr>
          <w:rFonts w:hint="eastAsia" w:hAnsi="宋体" w:cs="宋体"/>
          <w:color w:val="auto"/>
          <w:sz w:val="24"/>
          <w:highlight w:val="none"/>
          <w:lang w:val="en-US" w:eastAsia="zh-CN"/>
        </w:rPr>
        <w:t xml:space="preserve">备品备件清单 </w:t>
      </w:r>
      <w:r>
        <w:rPr>
          <w:rFonts w:hint="eastAsia" w:ascii="宋体" w:hAnsi="宋体" w:cs="宋体"/>
          <w:color w:val="auto"/>
          <w:sz w:val="24"/>
          <w:highlight w:val="none"/>
        </w:rPr>
        <w:t>…………………………………………………………………（页码）</w:t>
      </w:r>
    </w:p>
    <w:p w14:paraId="62B32084">
      <w:pPr>
        <w:snapToGrid w:val="0"/>
        <w:spacing w:line="360" w:lineRule="auto"/>
        <w:ind w:right="480"/>
        <w:jc w:val="center"/>
        <w:rPr>
          <w:rFonts w:ascii="宋体" w:hAnsi="宋体" w:cs="宋体"/>
          <w:b/>
          <w:color w:val="auto"/>
          <w:kern w:val="0"/>
          <w:sz w:val="32"/>
          <w:szCs w:val="32"/>
          <w:highlight w:val="none"/>
        </w:rPr>
      </w:pPr>
    </w:p>
    <w:p w14:paraId="2A684073">
      <w:pPr>
        <w:snapToGrid w:val="0"/>
        <w:spacing w:line="360" w:lineRule="auto"/>
        <w:ind w:right="480"/>
        <w:jc w:val="center"/>
        <w:rPr>
          <w:rFonts w:ascii="宋体" w:hAnsi="宋体" w:cs="宋体"/>
          <w:b/>
          <w:color w:val="auto"/>
          <w:kern w:val="0"/>
          <w:sz w:val="32"/>
          <w:szCs w:val="32"/>
          <w:highlight w:val="none"/>
        </w:rPr>
      </w:pPr>
    </w:p>
    <w:p w14:paraId="19D9ED1D">
      <w:pPr>
        <w:snapToGrid w:val="0"/>
        <w:spacing w:line="360" w:lineRule="auto"/>
        <w:ind w:right="480"/>
        <w:jc w:val="center"/>
        <w:rPr>
          <w:rFonts w:ascii="宋体" w:hAnsi="宋体" w:cs="宋体"/>
          <w:b/>
          <w:color w:val="auto"/>
          <w:kern w:val="0"/>
          <w:sz w:val="32"/>
          <w:szCs w:val="32"/>
          <w:highlight w:val="none"/>
        </w:rPr>
      </w:pPr>
    </w:p>
    <w:p w14:paraId="52D4E117">
      <w:pPr>
        <w:snapToGrid w:val="0"/>
        <w:spacing w:line="360" w:lineRule="auto"/>
        <w:ind w:right="480"/>
        <w:jc w:val="center"/>
        <w:rPr>
          <w:rFonts w:ascii="宋体" w:hAnsi="宋体" w:cs="宋体"/>
          <w:b/>
          <w:color w:val="auto"/>
          <w:kern w:val="0"/>
          <w:sz w:val="32"/>
          <w:szCs w:val="32"/>
          <w:highlight w:val="none"/>
        </w:rPr>
      </w:pPr>
    </w:p>
    <w:p w14:paraId="4B2D9119">
      <w:pPr>
        <w:snapToGrid w:val="0"/>
        <w:spacing w:line="360" w:lineRule="auto"/>
        <w:ind w:right="480"/>
        <w:jc w:val="center"/>
        <w:rPr>
          <w:rFonts w:ascii="宋体" w:hAnsi="宋体" w:cs="宋体"/>
          <w:b/>
          <w:color w:val="auto"/>
          <w:kern w:val="0"/>
          <w:sz w:val="32"/>
          <w:szCs w:val="32"/>
          <w:highlight w:val="none"/>
        </w:rPr>
      </w:pPr>
    </w:p>
    <w:p w14:paraId="79068734">
      <w:pPr>
        <w:snapToGrid w:val="0"/>
        <w:spacing w:line="360" w:lineRule="auto"/>
        <w:ind w:right="480"/>
        <w:jc w:val="center"/>
        <w:rPr>
          <w:rFonts w:ascii="宋体" w:hAnsi="宋体" w:cs="宋体"/>
          <w:b/>
          <w:color w:val="auto"/>
          <w:kern w:val="0"/>
          <w:sz w:val="32"/>
          <w:szCs w:val="32"/>
          <w:highlight w:val="none"/>
        </w:rPr>
      </w:pPr>
    </w:p>
    <w:p w14:paraId="6AF06985">
      <w:pPr>
        <w:snapToGrid w:val="0"/>
        <w:spacing w:line="360" w:lineRule="auto"/>
        <w:ind w:right="480"/>
        <w:jc w:val="center"/>
        <w:rPr>
          <w:rFonts w:ascii="宋体" w:hAnsi="宋体" w:cs="宋体"/>
          <w:b/>
          <w:color w:val="auto"/>
          <w:kern w:val="0"/>
          <w:sz w:val="32"/>
          <w:szCs w:val="32"/>
          <w:highlight w:val="none"/>
        </w:rPr>
      </w:pPr>
    </w:p>
    <w:p w14:paraId="6E0DFF49">
      <w:pPr>
        <w:snapToGrid w:val="0"/>
        <w:spacing w:line="360" w:lineRule="auto"/>
        <w:ind w:right="480"/>
        <w:jc w:val="center"/>
        <w:rPr>
          <w:rFonts w:ascii="宋体" w:hAnsi="宋体" w:cs="宋体"/>
          <w:b/>
          <w:color w:val="auto"/>
          <w:kern w:val="0"/>
          <w:sz w:val="32"/>
          <w:szCs w:val="32"/>
          <w:highlight w:val="none"/>
        </w:rPr>
      </w:pPr>
    </w:p>
    <w:p w14:paraId="475B611A">
      <w:pPr>
        <w:snapToGrid w:val="0"/>
        <w:spacing w:line="360" w:lineRule="auto"/>
        <w:ind w:right="480"/>
        <w:jc w:val="center"/>
        <w:rPr>
          <w:rFonts w:ascii="宋体" w:hAnsi="宋体" w:cs="宋体"/>
          <w:b/>
          <w:color w:val="auto"/>
          <w:kern w:val="0"/>
          <w:sz w:val="32"/>
          <w:szCs w:val="32"/>
          <w:highlight w:val="none"/>
        </w:rPr>
      </w:pPr>
    </w:p>
    <w:p w14:paraId="7A34BBD6">
      <w:pPr>
        <w:snapToGrid w:val="0"/>
        <w:spacing w:line="360" w:lineRule="auto"/>
        <w:ind w:right="480"/>
        <w:jc w:val="center"/>
        <w:rPr>
          <w:rFonts w:ascii="宋体" w:hAnsi="宋体" w:cs="宋体"/>
          <w:b/>
          <w:color w:val="auto"/>
          <w:kern w:val="0"/>
          <w:sz w:val="32"/>
          <w:szCs w:val="32"/>
          <w:highlight w:val="none"/>
        </w:rPr>
      </w:pPr>
    </w:p>
    <w:p w14:paraId="711C9B02">
      <w:pPr>
        <w:snapToGrid w:val="0"/>
        <w:spacing w:line="360" w:lineRule="auto"/>
        <w:ind w:right="480"/>
        <w:jc w:val="center"/>
        <w:rPr>
          <w:rFonts w:ascii="宋体" w:hAnsi="宋体" w:cs="宋体"/>
          <w:b/>
          <w:color w:val="auto"/>
          <w:kern w:val="0"/>
          <w:sz w:val="32"/>
          <w:szCs w:val="32"/>
          <w:highlight w:val="none"/>
        </w:rPr>
      </w:pPr>
    </w:p>
    <w:p w14:paraId="05D26421">
      <w:pPr>
        <w:snapToGrid w:val="0"/>
        <w:spacing w:line="360" w:lineRule="auto"/>
        <w:ind w:right="480"/>
        <w:jc w:val="center"/>
        <w:rPr>
          <w:rFonts w:ascii="宋体" w:hAnsi="宋体" w:cs="宋体"/>
          <w:b/>
          <w:color w:val="auto"/>
          <w:kern w:val="0"/>
          <w:sz w:val="32"/>
          <w:szCs w:val="32"/>
          <w:highlight w:val="none"/>
        </w:rPr>
      </w:pPr>
    </w:p>
    <w:p w14:paraId="55B47635">
      <w:pPr>
        <w:snapToGrid w:val="0"/>
        <w:spacing w:line="360" w:lineRule="auto"/>
        <w:ind w:right="480"/>
        <w:jc w:val="center"/>
        <w:rPr>
          <w:rFonts w:ascii="宋体" w:hAnsi="宋体" w:cs="宋体"/>
          <w:b/>
          <w:color w:val="auto"/>
          <w:kern w:val="0"/>
          <w:sz w:val="32"/>
          <w:szCs w:val="32"/>
          <w:highlight w:val="none"/>
        </w:rPr>
      </w:pPr>
    </w:p>
    <w:p w14:paraId="0AD2088F">
      <w:pPr>
        <w:snapToGrid w:val="0"/>
        <w:spacing w:line="360" w:lineRule="auto"/>
        <w:ind w:right="480"/>
        <w:jc w:val="center"/>
        <w:rPr>
          <w:rFonts w:ascii="宋体" w:hAnsi="宋体" w:cs="宋体"/>
          <w:b/>
          <w:color w:val="auto"/>
          <w:kern w:val="0"/>
          <w:sz w:val="32"/>
          <w:szCs w:val="32"/>
          <w:highlight w:val="none"/>
        </w:rPr>
      </w:pPr>
    </w:p>
    <w:p w14:paraId="0499ABD9">
      <w:pPr>
        <w:snapToGrid w:val="0"/>
        <w:spacing w:line="360" w:lineRule="auto"/>
        <w:ind w:right="480"/>
        <w:jc w:val="center"/>
        <w:rPr>
          <w:rFonts w:ascii="宋体" w:hAnsi="宋体" w:cs="宋体"/>
          <w:b/>
          <w:color w:val="auto"/>
          <w:kern w:val="0"/>
          <w:sz w:val="32"/>
          <w:szCs w:val="32"/>
          <w:highlight w:val="none"/>
        </w:rPr>
      </w:pPr>
    </w:p>
    <w:p w14:paraId="1DEFCC3D">
      <w:pPr>
        <w:pStyle w:val="696"/>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headerReference r:id="rId17" w:type="first"/>
          <w:footerReference r:id="rId19" w:type="first"/>
          <w:headerReference r:id="rId16" w:type="default"/>
          <w:footerReference r:id="rId18" w:type="default"/>
          <w:pgSz w:w="11906" w:h="16838"/>
          <w:pgMar w:top="1276" w:right="1418" w:bottom="1247" w:left="1418" w:header="851" w:footer="992" w:gutter="0"/>
          <w:pgBorders>
            <w:top w:val="none" w:sz="0" w:space="0"/>
            <w:left w:val="none" w:sz="0" w:space="0"/>
            <w:bottom w:val="none" w:sz="0" w:space="0"/>
            <w:right w:val="none" w:sz="0" w:space="0"/>
          </w:pgBorders>
          <w:cols w:space="720" w:num="1"/>
          <w:docGrid w:linePitch="312" w:charSpace="0"/>
        </w:sectPr>
      </w:pPr>
    </w:p>
    <w:p w14:paraId="21079304">
      <w:pPr>
        <w:pStyle w:val="696"/>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一、开标一览表（报价表）</w:t>
      </w:r>
    </w:p>
    <w:p w14:paraId="7E0E7B12">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2C3F2511">
      <w:pPr>
        <w:snapToGrid w:val="0"/>
        <w:spacing w:line="360" w:lineRule="auto"/>
        <w:ind w:firstLine="482"/>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auto"/>
          <w:sz w:val="24"/>
          <w:highlight w:val="none"/>
        </w:rPr>
        <w:t>（项目名称）</w:t>
      </w:r>
      <w:r>
        <w:rPr>
          <w:rFonts w:hint="eastAsia" w:ascii="宋体" w:hAnsi="宋体" w:cs="宋体"/>
          <w:color w:val="auto"/>
          <w:kern w:val="0"/>
          <w:sz w:val="24"/>
          <w:highlight w:val="none"/>
          <w:lang w:val="zh-CN"/>
        </w:rPr>
        <w:t>【招标编号：</w:t>
      </w:r>
      <w:r>
        <w:rPr>
          <w:rFonts w:hint="eastAsia" w:ascii="宋体" w:hAnsi="宋体" w:cs="宋体"/>
          <w:color w:val="auto"/>
          <w:sz w:val="24"/>
          <w:highlight w:val="none"/>
        </w:rPr>
        <w:t>（采购编号）】的实施</w:t>
      </w:r>
      <w:r>
        <w:rPr>
          <w:rFonts w:hint="eastAsia" w:ascii="宋体" w:hAnsi="宋体" w:cs="宋体"/>
          <w:color w:val="auto"/>
          <w:kern w:val="0"/>
          <w:sz w:val="24"/>
          <w:highlight w:val="none"/>
          <w:lang w:val="zh-CN"/>
        </w:rPr>
        <w:t>。</w:t>
      </w:r>
    </w:p>
    <w:p w14:paraId="33589DDC">
      <w:pPr>
        <w:spacing w:line="360" w:lineRule="auto"/>
        <w:jc w:val="center"/>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开标一览表（报价表）(单位均为人民币元)</w:t>
      </w:r>
    </w:p>
    <w:tbl>
      <w:tblPr>
        <w:tblStyle w:val="66"/>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17"/>
        <w:gridCol w:w="1843"/>
        <w:gridCol w:w="3118"/>
        <w:gridCol w:w="993"/>
        <w:gridCol w:w="1559"/>
        <w:gridCol w:w="1984"/>
        <w:gridCol w:w="3119"/>
      </w:tblGrid>
      <w:tr w14:paraId="62C17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534" w:type="dxa"/>
            <w:vAlign w:val="center"/>
          </w:tcPr>
          <w:p w14:paraId="1A96C62C">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417" w:type="dxa"/>
            <w:vAlign w:val="center"/>
          </w:tcPr>
          <w:p w14:paraId="17F65E7F">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名称</w:t>
            </w:r>
          </w:p>
        </w:tc>
        <w:tc>
          <w:tcPr>
            <w:tcW w:w="1843" w:type="dxa"/>
          </w:tcPr>
          <w:p w14:paraId="504CED6C">
            <w:pPr>
              <w:spacing w:line="360" w:lineRule="auto"/>
              <w:jc w:val="center"/>
              <w:rPr>
                <w:rFonts w:ascii="宋体" w:hAnsi="宋体" w:cs="宋体"/>
                <w:b/>
                <w:color w:val="auto"/>
                <w:sz w:val="24"/>
                <w:highlight w:val="none"/>
              </w:rPr>
            </w:pPr>
          </w:p>
          <w:p w14:paraId="758E718C">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品牌（如果有）</w:t>
            </w:r>
          </w:p>
        </w:tc>
        <w:tc>
          <w:tcPr>
            <w:tcW w:w="3118" w:type="dxa"/>
            <w:vAlign w:val="center"/>
          </w:tcPr>
          <w:p w14:paraId="3B042F23">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规格型号</w:t>
            </w:r>
          </w:p>
        </w:tc>
        <w:tc>
          <w:tcPr>
            <w:tcW w:w="993" w:type="dxa"/>
            <w:vAlign w:val="center"/>
          </w:tcPr>
          <w:p w14:paraId="5F02B2FE">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数量</w:t>
            </w:r>
          </w:p>
        </w:tc>
        <w:tc>
          <w:tcPr>
            <w:tcW w:w="1559" w:type="dxa"/>
            <w:vAlign w:val="center"/>
          </w:tcPr>
          <w:p w14:paraId="7F4EB52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单价</w:t>
            </w:r>
          </w:p>
        </w:tc>
        <w:tc>
          <w:tcPr>
            <w:tcW w:w="1984" w:type="dxa"/>
            <w:vAlign w:val="center"/>
          </w:tcPr>
          <w:p w14:paraId="0F05886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合计</w:t>
            </w:r>
          </w:p>
        </w:tc>
        <w:tc>
          <w:tcPr>
            <w:tcW w:w="3119" w:type="dxa"/>
            <w:vAlign w:val="center"/>
          </w:tcPr>
          <w:p w14:paraId="4E945AC3">
            <w:pPr>
              <w:spacing w:line="360" w:lineRule="auto"/>
              <w:jc w:val="center"/>
              <w:rPr>
                <w:rFonts w:ascii="宋体" w:hAnsi="宋体" w:cs="宋体"/>
                <w:b/>
                <w:color w:val="auto"/>
                <w:sz w:val="24"/>
                <w:highlight w:val="none"/>
              </w:rPr>
            </w:pPr>
          </w:p>
          <w:p w14:paraId="740ADFF2">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备注（如果有）</w:t>
            </w:r>
          </w:p>
          <w:p w14:paraId="070D70B8">
            <w:pPr>
              <w:spacing w:line="360" w:lineRule="auto"/>
              <w:jc w:val="center"/>
              <w:rPr>
                <w:rFonts w:ascii="宋体" w:hAnsi="宋体" w:cs="宋体"/>
                <w:b/>
                <w:color w:val="auto"/>
                <w:sz w:val="24"/>
                <w:highlight w:val="none"/>
              </w:rPr>
            </w:pPr>
          </w:p>
        </w:tc>
      </w:tr>
      <w:tr w14:paraId="3EE5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4" w:type="dxa"/>
            <w:vAlign w:val="center"/>
          </w:tcPr>
          <w:p w14:paraId="0FA2035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417" w:type="dxa"/>
            <w:vAlign w:val="center"/>
          </w:tcPr>
          <w:p w14:paraId="64866ACE">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X</w:t>
            </w:r>
            <w:r>
              <w:rPr>
                <w:rFonts w:ascii="宋体" w:hAnsi="宋体" w:cs="宋体"/>
                <w:color w:val="auto"/>
                <w:sz w:val="24"/>
                <w:highlight w:val="none"/>
              </w:rPr>
              <w:t>X</w:t>
            </w:r>
          </w:p>
        </w:tc>
        <w:tc>
          <w:tcPr>
            <w:tcW w:w="1843" w:type="dxa"/>
            <w:vAlign w:val="center"/>
          </w:tcPr>
          <w:p w14:paraId="4D53CD02">
            <w:pPr>
              <w:snapToGrid w:val="0"/>
              <w:spacing w:line="360" w:lineRule="auto"/>
              <w:jc w:val="center"/>
              <w:rPr>
                <w:rFonts w:ascii="宋体" w:hAnsi="宋体" w:cs="宋体"/>
                <w:color w:val="auto"/>
                <w:sz w:val="24"/>
                <w:highlight w:val="none"/>
              </w:rPr>
            </w:pPr>
          </w:p>
        </w:tc>
        <w:tc>
          <w:tcPr>
            <w:tcW w:w="3118" w:type="dxa"/>
            <w:vAlign w:val="center"/>
          </w:tcPr>
          <w:p w14:paraId="6BC50B88">
            <w:pPr>
              <w:snapToGrid w:val="0"/>
              <w:spacing w:line="360" w:lineRule="auto"/>
              <w:jc w:val="center"/>
              <w:rPr>
                <w:rFonts w:ascii="宋体" w:hAnsi="宋体" w:cs="宋体"/>
                <w:color w:val="auto"/>
                <w:sz w:val="24"/>
                <w:highlight w:val="none"/>
              </w:rPr>
            </w:pPr>
          </w:p>
        </w:tc>
        <w:tc>
          <w:tcPr>
            <w:tcW w:w="993" w:type="dxa"/>
            <w:vAlign w:val="center"/>
          </w:tcPr>
          <w:p w14:paraId="7BD245A0">
            <w:pPr>
              <w:snapToGrid w:val="0"/>
              <w:spacing w:line="360" w:lineRule="auto"/>
              <w:jc w:val="center"/>
              <w:rPr>
                <w:rFonts w:ascii="宋体" w:hAnsi="宋体" w:cs="宋体"/>
                <w:color w:val="auto"/>
                <w:sz w:val="24"/>
                <w:highlight w:val="none"/>
              </w:rPr>
            </w:pPr>
          </w:p>
        </w:tc>
        <w:tc>
          <w:tcPr>
            <w:tcW w:w="1559" w:type="dxa"/>
            <w:vAlign w:val="center"/>
          </w:tcPr>
          <w:p w14:paraId="62526DB8">
            <w:pPr>
              <w:spacing w:line="360" w:lineRule="auto"/>
              <w:jc w:val="center"/>
              <w:rPr>
                <w:rFonts w:ascii="宋体" w:hAnsi="宋体" w:cs="宋体"/>
                <w:color w:val="auto"/>
                <w:sz w:val="24"/>
                <w:highlight w:val="none"/>
              </w:rPr>
            </w:pPr>
          </w:p>
        </w:tc>
        <w:tc>
          <w:tcPr>
            <w:tcW w:w="1984" w:type="dxa"/>
            <w:vAlign w:val="center"/>
          </w:tcPr>
          <w:p w14:paraId="3E8E54C1">
            <w:pPr>
              <w:spacing w:line="360" w:lineRule="auto"/>
              <w:jc w:val="center"/>
              <w:rPr>
                <w:rFonts w:ascii="宋体" w:hAnsi="宋体" w:cs="宋体"/>
                <w:color w:val="auto"/>
                <w:sz w:val="24"/>
                <w:highlight w:val="none"/>
              </w:rPr>
            </w:pPr>
          </w:p>
        </w:tc>
        <w:tc>
          <w:tcPr>
            <w:tcW w:w="3119" w:type="dxa"/>
            <w:vAlign w:val="center"/>
          </w:tcPr>
          <w:p w14:paraId="49D1BB34">
            <w:pPr>
              <w:spacing w:line="360" w:lineRule="auto"/>
              <w:jc w:val="center"/>
              <w:rPr>
                <w:rFonts w:ascii="宋体" w:hAnsi="宋体" w:cs="宋体"/>
                <w:color w:val="auto"/>
                <w:sz w:val="24"/>
                <w:highlight w:val="none"/>
              </w:rPr>
            </w:pPr>
          </w:p>
        </w:tc>
      </w:tr>
      <w:tr w14:paraId="7AFE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2BE0A29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417" w:type="dxa"/>
            <w:vAlign w:val="center"/>
          </w:tcPr>
          <w:p w14:paraId="4DC6FD28">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X</w:t>
            </w:r>
            <w:r>
              <w:rPr>
                <w:rFonts w:ascii="宋体" w:hAnsi="宋体" w:cs="宋体"/>
                <w:color w:val="auto"/>
                <w:sz w:val="24"/>
                <w:highlight w:val="none"/>
              </w:rPr>
              <w:t>X</w:t>
            </w:r>
          </w:p>
        </w:tc>
        <w:tc>
          <w:tcPr>
            <w:tcW w:w="1843" w:type="dxa"/>
            <w:vAlign w:val="center"/>
          </w:tcPr>
          <w:p w14:paraId="1A8F2CD6">
            <w:pPr>
              <w:snapToGrid w:val="0"/>
              <w:spacing w:line="360" w:lineRule="auto"/>
              <w:jc w:val="center"/>
              <w:rPr>
                <w:rFonts w:ascii="宋体" w:hAnsi="宋体" w:cs="宋体"/>
                <w:color w:val="auto"/>
                <w:sz w:val="24"/>
                <w:highlight w:val="none"/>
              </w:rPr>
            </w:pPr>
          </w:p>
        </w:tc>
        <w:tc>
          <w:tcPr>
            <w:tcW w:w="3118" w:type="dxa"/>
            <w:vAlign w:val="center"/>
          </w:tcPr>
          <w:p w14:paraId="0B3F5A91">
            <w:pPr>
              <w:snapToGrid w:val="0"/>
              <w:spacing w:line="360" w:lineRule="auto"/>
              <w:jc w:val="center"/>
              <w:rPr>
                <w:rFonts w:ascii="宋体" w:hAnsi="宋体" w:cs="宋体"/>
                <w:color w:val="auto"/>
                <w:sz w:val="24"/>
                <w:highlight w:val="none"/>
              </w:rPr>
            </w:pPr>
          </w:p>
        </w:tc>
        <w:tc>
          <w:tcPr>
            <w:tcW w:w="993" w:type="dxa"/>
            <w:vAlign w:val="center"/>
          </w:tcPr>
          <w:p w14:paraId="7412D7CF">
            <w:pPr>
              <w:snapToGrid w:val="0"/>
              <w:spacing w:line="360" w:lineRule="auto"/>
              <w:jc w:val="center"/>
              <w:rPr>
                <w:rFonts w:ascii="宋体" w:hAnsi="宋体" w:cs="宋体"/>
                <w:color w:val="auto"/>
                <w:sz w:val="24"/>
                <w:highlight w:val="none"/>
              </w:rPr>
            </w:pPr>
          </w:p>
        </w:tc>
        <w:tc>
          <w:tcPr>
            <w:tcW w:w="1559" w:type="dxa"/>
            <w:vAlign w:val="center"/>
          </w:tcPr>
          <w:p w14:paraId="611A3677">
            <w:pPr>
              <w:spacing w:line="360" w:lineRule="auto"/>
              <w:jc w:val="center"/>
              <w:rPr>
                <w:rFonts w:ascii="宋体" w:hAnsi="宋体" w:cs="宋体"/>
                <w:color w:val="auto"/>
                <w:sz w:val="24"/>
                <w:highlight w:val="none"/>
              </w:rPr>
            </w:pPr>
          </w:p>
        </w:tc>
        <w:tc>
          <w:tcPr>
            <w:tcW w:w="1984" w:type="dxa"/>
            <w:vAlign w:val="center"/>
          </w:tcPr>
          <w:p w14:paraId="1851C8ED">
            <w:pPr>
              <w:spacing w:line="360" w:lineRule="auto"/>
              <w:jc w:val="center"/>
              <w:rPr>
                <w:rFonts w:ascii="宋体" w:hAnsi="宋体" w:cs="宋体"/>
                <w:color w:val="auto"/>
                <w:sz w:val="24"/>
                <w:highlight w:val="none"/>
              </w:rPr>
            </w:pPr>
          </w:p>
        </w:tc>
        <w:tc>
          <w:tcPr>
            <w:tcW w:w="3119" w:type="dxa"/>
            <w:vAlign w:val="center"/>
          </w:tcPr>
          <w:p w14:paraId="4175A09F">
            <w:pPr>
              <w:spacing w:line="360" w:lineRule="auto"/>
              <w:jc w:val="center"/>
              <w:rPr>
                <w:rFonts w:ascii="宋体" w:hAnsi="宋体" w:cs="宋体"/>
                <w:color w:val="auto"/>
                <w:sz w:val="24"/>
                <w:highlight w:val="none"/>
              </w:rPr>
            </w:pPr>
          </w:p>
        </w:tc>
      </w:tr>
      <w:tr w14:paraId="70B98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4D7FFA7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w:t>
            </w:r>
          </w:p>
        </w:tc>
        <w:tc>
          <w:tcPr>
            <w:tcW w:w="1417" w:type="dxa"/>
            <w:vAlign w:val="center"/>
          </w:tcPr>
          <w:p w14:paraId="470A6A26">
            <w:pPr>
              <w:snapToGrid w:val="0"/>
              <w:spacing w:line="360" w:lineRule="auto"/>
              <w:jc w:val="center"/>
              <w:rPr>
                <w:rFonts w:ascii="宋体" w:hAnsi="宋体" w:cs="宋体"/>
                <w:color w:val="auto"/>
                <w:sz w:val="24"/>
                <w:highlight w:val="none"/>
              </w:rPr>
            </w:pPr>
          </w:p>
        </w:tc>
        <w:tc>
          <w:tcPr>
            <w:tcW w:w="1843" w:type="dxa"/>
            <w:vAlign w:val="center"/>
          </w:tcPr>
          <w:p w14:paraId="79DCAAE6">
            <w:pPr>
              <w:snapToGrid w:val="0"/>
              <w:spacing w:line="360" w:lineRule="auto"/>
              <w:jc w:val="center"/>
              <w:rPr>
                <w:rFonts w:ascii="宋体" w:hAnsi="宋体" w:cs="宋体"/>
                <w:color w:val="auto"/>
                <w:sz w:val="24"/>
                <w:highlight w:val="none"/>
              </w:rPr>
            </w:pPr>
          </w:p>
        </w:tc>
        <w:tc>
          <w:tcPr>
            <w:tcW w:w="3118" w:type="dxa"/>
            <w:vAlign w:val="center"/>
          </w:tcPr>
          <w:p w14:paraId="308AAA7F">
            <w:pPr>
              <w:snapToGrid w:val="0"/>
              <w:spacing w:line="360" w:lineRule="auto"/>
              <w:jc w:val="center"/>
              <w:rPr>
                <w:rFonts w:ascii="宋体" w:hAnsi="宋体" w:cs="宋体"/>
                <w:color w:val="auto"/>
                <w:sz w:val="24"/>
                <w:highlight w:val="none"/>
              </w:rPr>
            </w:pPr>
          </w:p>
        </w:tc>
        <w:tc>
          <w:tcPr>
            <w:tcW w:w="993" w:type="dxa"/>
            <w:vAlign w:val="center"/>
          </w:tcPr>
          <w:p w14:paraId="48A42204">
            <w:pPr>
              <w:snapToGrid w:val="0"/>
              <w:spacing w:line="360" w:lineRule="auto"/>
              <w:jc w:val="center"/>
              <w:rPr>
                <w:rFonts w:ascii="宋体" w:hAnsi="宋体" w:cs="宋体"/>
                <w:color w:val="auto"/>
                <w:sz w:val="24"/>
                <w:highlight w:val="none"/>
              </w:rPr>
            </w:pPr>
          </w:p>
        </w:tc>
        <w:tc>
          <w:tcPr>
            <w:tcW w:w="1559" w:type="dxa"/>
            <w:vAlign w:val="center"/>
          </w:tcPr>
          <w:p w14:paraId="456924E8">
            <w:pPr>
              <w:spacing w:line="360" w:lineRule="auto"/>
              <w:jc w:val="center"/>
              <w:rPr>
                <w:rFonts w:ascii="宋体" w:hAnsi="宋体" w:cs="宋体"/>
                <w:color w:val="auto"/>
                <w:sz w:val="24"/>
                <w:highlight w:val="none"/>
              </w:rPr>
            </w:pPr>
          </w:p>
        </w:tc>
        <w:tc>
          <w:tcPr>
            <w:tcW w:w="1984" w:type="dxa"/>
            <w:vAlign w:val="center"/>
          </w:tcPr>
          <w:p w14:paraId="0003D3ED">
            <w:pPr>
              <w:spacing w:line="360" w:lineRule="auto"/>
              <w:jc w:val="center"/>
              <w:rPr>
                <w:rFonts w:ascii="宋体" w:hAnsi="宋体" w:cs="宋体"/>
                <w:color w:val="auto"/>
                <w:sz w:val="24"/>
                <w:highlight w:val="none"/>
              </w:rPr>
            </w:pPr>
          </w:p>
        </w:tc>
        <w:tc>
          <w:tcPr>
            <w:tcW w:w="3119" w:type="dxa"/>
            <w:vAlign w:val="center"/>
          </w:tcPr>
          <w:p w14:paraId="312F7310">
            <w:pPr>
              <w:spacing w:line="360" w:lineRule="auto"/>
              <w:jc w:val="center"/>
              <w:rPr>
                <w:rFonts w:ascii="宋体" w:hAnsi="宋体" w:cs="宋体"/>
                <w:color w:val="auto"/>
                <w:sz w:val="24"/>
                <w:highlight w:val="none"/>
              </w:rPr>
            </w:pPr>
          </w:p>
        </w:tc>
      </w:tr>
      <w:tr w14:paraId="14CD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0E2849EC">
            <w:pPr>
              <w:spacing w:line="360" w:lineRule="auto"/>
              <w:jc w:val="center"/>
              <w:rPr>
                <w:rFonts w:ascii="宋体" w:hAnsi="宋体" w:cs="宋体"/>
                <w:color w:val="auto"/>
                <w:sz w:val="24"/>
                <w:highlight w:val="none"/>
              </w:rPr>
            </w:pPr>
          </w:p>
        </w:tc>
        <w:tc>
          <w:tcPr>
            <w:tcW w:w="1417" w:type="dxa"/>
            <w:vAlign w:val="center"/>
          </w:tcPr>
          <w:p w14:paraId="332B8204">
            <w:pPr>
              <w:snapToGrid w:val="0"/>
              <w:spacing w:line="360" w:lineRule="auto"/>
              <w:jc w:val="center"/>
              <w:rPr>
                <w:rFonts w:ascii="宋体" w:hAnsi="宋体" w:cs="宋体"/>
                <w:color w:val="auto"/>
                <w:sz w:val="24"/>
                <w:highlight w:val="none"/>
              </w:rPr>
            </w:pPr>
          </w:p>
        </w:tc>
        <w:tc>
          <w:tcPr>
            <w:tcW w:w="1843" w:type="dxa"/>
            <w:vAlign w:val="center"/>
          </w:tcPr>
          <w:p w14:paraId="6C80E121">
            <w:pPr>
              <w:snapToGrid w:val="0"/>
              <w:spacing w:line="360" w:lineRule="auto"/>
              <w:jc w:val="center"/>
              <w:rPr>
                <w:rFonts w:ascii="宋体" w:hAnsi="宋体" w:cs="宋体"/>
                <w:color w:val="auto"/>
                <w:sz w:val="24"/>
                <w:highlight w:val="none"/>
              </w:rPr>
            </w:pPr>
          </w:p>
        </w:tc>
        <w:tc>
          <w:tcPr>
            <w:tcW w:w="3118" w:type="dxa"/>
            <w:vAlign w:val="center"/>
          </w:tcPr>
          <w:p w14:paraId="2804B588">
            <w:pPr>
              <w:snapToGrid w:val="0"/>
              <w:spacing w:line="360" w:lineRule="auto"/>
              <w:jc w:val="center"/>
              <w:rPr>
                <w:rFonts w:ascii="宋体" w:hAnsi="宋体" w:cs="宋体"/>
                <w:color w:val="auto"/>
                <w:sz w:val="24"/>
                <w:highlight w:val="none"/>
              </w:rPr>
            </w:pPr>
          </w:p>
        </w:tc>
        <w:tc>
          <w:tcPr>
            <w:tcW w:w="993" w:type="dxa"/>
            <w:vAlign w:val="center"/>
          </w:tcPr>
          <w:p w14:paraId="25D626DA">
            <w:pPr>
              <w:snapToGrid w:val="0"/>
              <w:spacing w:line="360" w:lineRule="auto"/>
              <w:jc w:val="center"/>
              <w:rPr>
                <w:rFonts w:ascii="宋体" w:hAnsi="宋体" w:cs="宋体"/>
                <w:color w:val="auto"/>
                <w:sz w:val="24"/>
                <w:highlight w:val="none"/>
              </w:rPr>
            </w:pPr>
          </w:p>
        </w:tc>
        <w:tc>
          <w:tcPr>
            <w:tcW w:w="1559" w:type="dxa"/>
            <w:vAlign w:val="center"/>
          </w:tcPr>
          <w:p w14:paraId="22290D39">
            <w:pPr>
              <w:spacing w:line="360" w:lineRule="auto"/>
              <w:jc w:val="center"/>
              <w:rPr>
                <w:rFonts w:ascii="宋体" w:hAnsi="宋体" w:cs="宋体"/>
                <w:color w:val="auto"/>
                <w:sz w:val="24"/>
                <w:highlight w:val="none"/>
              </w:rPr>
            </w:pPr>
          </w:p>
        </w:tc>
        <w:tc>
          <w:tcPr>
            <w:tcW w:w="1984" w:type="dxa"/>
            <w:vAlign w:val="center"/>
          </w:tcPr>
          <w:p w14:paraId="4C8AF26D">
            <w:pPr>
              <w:spacing w:line="360" w:lineRule="auto"/>
              <w:jc w:val="center"/>
              <w:rPr>
                <w:rFonts w:ascii="宋体" w:hAnsi="宋体" w:cs="宋体"/>
                <w:color w:val="auto"/>
                <w:sz w:val="24"/>
                <w:highlight w:val="none"/>
              </w:rPr>
            </w:pPr>
          </w:p>
        </w:tc>
        <w:tc>
          <w:tcPr>
            <w:tcW w:w="3119" w:type="dxa"/>
            <w:vAlign w:val="center"/>
          </w:tcPr>
          <w:p w14:paraId="473B755E">
            <w:pPr>
              <w:spacing w:line="360" w:lineRule="auto"/>
              <w:jc w:val="center"/>
              <w:rPr>
                <w:rFonts w:ascii="宋体" w:hAnsi="宋体" w:cs="宋体"/>
                <w:color w:val="auto"/>
                <w:sz w:val="24"/>
                <w:highlight w:val="none"/>
              </w:rPr>
            </w:pPr>
          </w:p>
        </w:tc>
      </w:tr>
      <w:tr w14:paraId="3E28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4753C049">
            <w:pPr>
              <w:spacing w:line="360" w:lineRule="auto"/>
              <w:jc w:val="center"/>
              <w:rPr>
                <w:rFonts w:ascii="宋体" w:hAnsi="宋体" w:cs="宋体"/>
                <w:color w:val="auto"/>
                <w:sz w:val="24"/>
                <w:highlight w:val="none"/>
              </w:rPr>
            </w:pPr>
          </w:p>
        </w:tc>
        <w:tc>
          <w:tcPr>
            <w:tcW w:w="1417" w:type="dxa"/>
            <w:vAlign w:val="center"/>
          </w:tcPr>
          <w:p w14:paraId="63836196">
            <w:pPr>
              <w:snapToGrid w:val="0"/>
              <w:spacing w:line="360" w:lineRule="auto"/>
              <w:jc w:val="center"/>
              <w:rPr>
                <w:rFonts w:ascii="宋体" w:hAnsi="宋体" w:cs="宋体"/>
                <w:color w:val="auto"/>
                <w:sz w:val="24"/>
                <w:highlight w:val="none"/>
              </w:rPr>
            </w:pPr>
          </w:p>
        </w:tc>
        <w:tc>
          <w:tcPr>
            <w:tcW w:w="1843" w:type="dxa"/>
            <w:vAlign w:val="center"/>
          </w:tcPr>
          <w:p w14:paraId="62768A9F">
            <w:pPr>
              <w:snapToGrid w:val="0"/>
              <w:spacing w:line="360" w:lineRule="auto"/>
              <w:jc w:val="center"/>
              <w:rPr>
                <w:rFonts w:ascii="宋体" w:hAnsi="宋体" w:cs="宋体"/>
                <w:color w:val="auto"/>
                <w:sz w:val="24"/>
                <w:highlight w:val="none"/>
              </w:rPr>
            </w:pPr>
          </w:p>
        </w:tc>
        <w:tc>
          <w:tcPr>
            <w:tcW w:w="3118" w:type="dxa"/>
            <w:vAlign w:val="center"/>
          </w:tcPr>
          <w:p w14:paraId="325DDBC3">
            <w:pPr>
              <w:snapToGrid w:val="0"/>
              <w:spacing w:line="360" w:lineRule="auto"/>
              <w:jc w:val="center"/>
              <w:rPr>
                <w:rFonts w:ascii="宋体" w:hAnsi="宋体" w:cs="宋体"/>
                <w:color w:val="auto"/>
                <w:sz w:val="24"/>
                <w:highlight w:val="none"/>
              </w:rPr>
            </w:pPr>
          </w:p>
        </w:tc>
        <w:tc>
          <w:tcPr>
            <w:tcW w:w="993" w:type="dxa"/>
            <w:vAlign w:val="center"/>
          </w:tcPr>
          <w:p w14:paraId="3896AD08">
            <w:pPr>
              <w:snapToGrid w:val="0"/>
              <w:spacing w:line="360" w:lineRule="auto"/>
              <w:jc w:val="center"/>
              <w:rPr>
                <w:rFonts w:ascii="宋体" w:hAnsi="宋体" w:cs="宋体"/>
                <w:color w:val="auto"/>
                <w:sz w:val="24"/>
                <w:highlight w:val="none"/>
              </w:rPr>
            </w:pPr>
          </w:p>
        </w:tc>
        <w:tc>
          <w:tcPr>
            <w:tcW w:w="1559" w:type="dxa"/>
            <w:vAlign w:val="center"/>
          </w:tcPr>
          <w:p w14:paraId="1881217D">
            <w:pPr>
              <w:spacing w:line="360" w:lineRule="auto"/>
              <w:jc w:val="center"/>
              <w:rPr>
                <w:rFonts w:ascii="宋体" w:hAnsi="宋体" w:cs="宋体"/>
                <w:color w:val="auto"/>
                <w:sz w:val="24"/>
                <w:highlight w:val="none"/>
              </w:rPr>
            </w:pPr>
          </w:p>
        </w:tc>
        <w:tc>
          <w:tcPr>
            <w:tcW w:w="1984" w:type="dxa"/>
            <w:vAlign w:val="center"/>
          </w:tcPr>
          <w:p w14:paraId="211F92C7">
            <w:pPr>
              <w:spacing w:line="360" w:lineRule="auto"/>
              <w:jc w:val="center"/>
              <w:rPr>
                <w:rFonts w:ascii="宋体" w:hAnsi="宋体" w:cs="宋体"/>
                <w:color w:val="auto"/>
                <w:sz w:val="24"/>
                <w:highlight w:val="none"/>
              </w:rPr>
            </w:pPr>
          </w:p>
        </w:tc>
        <w:tc>
          <w:tcPr>
            <w:tcW w:w="3119" w:type="dxa"/>
            <w:vAlign w:val="center"/>
          </w:tcPr>
          <w:p w14:paraId="6D96CD70">
            <w:pPr>
              <w:spacing w:line="360" w:lineRule="auto"/>
              <w:jc w:val="center"/>
              <w:rPr>
                <w:rFonts w:ascii="宋体" w:hAnsi="宋体" w:cs="宋体"/>
                <w:color w:val="auto"/>
                <w:sz w:val="24"/>
                <w:highlight w:val="none"/>
              </w:rPr>
            </w:pPr>
          </w:p>
        </w:tc>
      </w:tr>
      <w:tr w14:paraId="5B18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4"/>
            <w:vAlign w:val="center"/>
          </w:tcPr>
          <w:p w14:paraId="66C3A445">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投标报价（小写）</w:t>
            </w:r>
          </w:p>
        </w:tc>
        <w:tc>
          <w:tcPr>
            <w:tcW w:w="7655" w:type="dxa"/>
            <w:gridSpan w:val="4"/>
            <w:vAlign w:val="center"/>
          </w:tcPr>
          <w:p w14:paraId="70C32A1D">
            <w:pPr>
              <w:spacing w:line="360" w:lineRule="auto"/>
              <w:jc w:val="center"/>
              <w:rPr>
                <w:rFonts w:ascii="宋体" w:hAnsi="宋体" w:cs="宋体"/>
                <w:color w:val="auto"/>
                <w:sz w:val="24"/>
                <w:highlight w:val="none"/>
              </w:rPr>
            </w:pPr>
          </w:p>
        </w:tc>
      </w:tr>
      <w:tr w14:paraId="6472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4"/>
            <w:vAlign w:val="center"/>
          </w:tcPr>
          <w:p w14:paraId="70AF9912">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投标报价（大写）</w:t>
            </w:r>
          </w:p>
        </w:tc>
        <w:tc>
          <w:tcPr>
            <w:tcW w:w="7655" w:type="dxa"/>
            <w:gridSpan w:val="4"/>
            <w:vAlign w:val="center"/>
          </w:tcPr>
          <w:p w14:paraId="33D2BFE2">
            <w:pPr>
              <w:spacing w:line="360" w:lineRule="auto"/>
              <w:jc w:val="center"/>
              <w:rPr>
                <w:rFonts w:ascii="宋体" w:hAnsi="宋体" w:cs="宋体"/>
                <w:color w:val="auto"/>
                <w:sz w:val="24"/>
                <w:highlight w:val="none"/>
              </w:rPr>
            </w:pPr>
          </w:p>
        </w:tc>
      </w:tr>
    </w:tbl>
    <w:p w14:paraId="28775CD1">
      <w:pPr>
        <w:snapToGrid w:val="0"/>
        <w:spacing w:line="360" w:lineRule="auto"/>
        <w:ind w:left="480"/>
        <w:rPr>
          <w:rFonts w:hint="eastAsia" w:ascii="宋体" w:hAnsi="宋体" w:cs="宋体"/>
          <w:b/>
          <w:color w:val="auto"/>
          <w:kern w:val="0"/>
          <w:sz w:val="24"/>
          <w:highlight w:val="none"/>
          <w:lang w:val="zh-CN"/>
        </w:rPr>
      </w:pPr>
    </w:p>
    <w:p w14:paraId="1D2A7A96">
      <w:pPr>
        <w:snapToGrid w:val="0"/>
        <w:spacing w:line="360" w:lineRule="auto"/>
        <w:ind w:left="480"/>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注：</w:t>
      </w:r>
    </w:p>
    <w:p w14:paraId="396E7BC7">
      <w:pPr>
        <w:spacing w:line="360" w:lineRule="auto"/>
        <w:ind w:left="-2" w:leftChars="-1"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1、投标人需按本表格式填写</w:t>
      </w:r>
      <w:r>
        <w:rPr>
          <w:rFonts w:hint="eastAsia" w:ascii="宋体" w:hAnsi="宋体" w:cs="宋体"/>
          <w:b/>
          <w:color w:val="auto"/>
          <w:kern w:val="0"/>
          <w:sz w:val="24"/>
          <w:highlight w:val="none"/>
          <w:lang w:val="zh-CN"/>
        </w:rPr>
        <w:t>，</w:t>
      </w:r>
      <w:r>
        <w:rPr>
          <w:rFonts w:hint="eastAsia" w:ascii="宋体" w:hAnsi="宋体" w:cs="宋体"/>
          <w:b/>
          <w:color w:val="auto"/>
          <w:kern w:val="0"/>
          <w:sz w:val="24"/>
          <w:highlight w:val="none"/>
        </w:rPr>
        <w:t>否则视为</w:t>
      </w:r>
      <w:r>
        <w:rPr>
          <w:rFonts w:hint="eastAsia" w:ascii="宋体" w:hAnsi="宋体" w:cs="宋体"/>
          <w:b/>
          <w:color w:val="auto"/>
          <w:sz w:val="24"/>
          <w:highlight w:val="none"/>
        </w:rPr>
        <w:t>投标文件含有采购人不能接受的附加条件，投标无效</w:t>
      </w:r>
      <w:r>
        <w:rPr>
          <w:rFonts w:hint="eastAsia" w:ascii="宋体" w:hAnsi="宋体" w:cs="宋体"/>
          <w:color w:val="auto"/>
          <w:kern w:val="0"/>
          <w:sz w:val="24"/>
          <w:highlight w:val="none"/>
          <w:lang w:val="zh-CN"/>
        </w:rPr>
        <w:t>。</w:t>
      </w:r>
    </w:p>
    <w:p w14:paraId="6C81DC5C">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zh-CN"/>
        </w:rPr>
        <w:t>2、有关本项目实施所涉及的一切费用均计入报价。有关本项目实施所涉及的一切费用均计入报价。</w:t>
      </w:r>
      <w:r>
        <w:rPr>
          <w:rFonts w:hint="eastAsia" w:ascii="宋体" w:hAnsi="宋体" w:cs="宋体"/>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w:t>
      </w:r>
      <w:r>
        <w:rPr>
          <w:rFonts w:hint="eastAsia" w:ascii="宋体" w:hAnsi="宋体" w:eastAsia="宋体" w:cs="宋体"/>
          <w:color w:val="auto"/>
          <w:kern w:val="0"/>
          <w:sz w:val="24"/>
          <w:highlight w:val="none"/>
          <w:lang w:val="en-US" w:eastAsia="zh-CN"/>
        </w:rPr>
        <w:t>签订条件；</w:t>
      </w:r>
      <w:r>
        <w:rPr>
          <w:rFonts w:hint="eastAsia" w:ascii="宋体" w:hAnsi="宋体" w:eastAsia="宋体" w:cs="宋体"/>
          <w:color w:val="auto"/>
          <w:spacing w:val="0"/>
          <w:kern w:val="0"/>
          <w:sz w:val="24"/>
          <w:szCs w:val="24"/>
          <w:highlight w:val="none"/>
        </w:rPr>
        <w:t>总价</w:t>
      </w:r>
      <w:r>
        <w:rPr>
          <w:rFonts w:hint="eastAsia" w:ascii="宋体" w:hAnsi="宋体" w:eastAsia="宋体" w:cs="宋体"/>
          <w:color w:val="auto"/>
          <w:spacing w:val="0"/>
          <w:kern w:val="0"/>
          <w:sz w:val="24"/>
          <w:szCs w:val="24"/>
          <w:highlight w:val="none"/>
          <w:lang w:eastAsia="zh-CN"/>
        </w:rPr>
        <w:t>不为零</w:t>
      </w:r>
      <w:r>
        <w:rPr>
          <w:rFonts w:hint="eastAsia" w:ascii="宋体" w:hAnsi="宋体" w:eastAsia="宋体" w:cs="宋体"/>
          <w:color w:val="auto"/>
          <w:spacing w:val="0"/>
          <w:kern w:val="0"/>
          <w:sz w:val="24"/>
          <w:szCs w:val="24"/>
          <w:highlight w:val="none"/>
        </w:rPr>
        <w:t>，报价明细表中</w:t>
      </w:r>
      <w:r>
        <w:rPr>
          <w:rFonts w:hint="eastAsia" w:ascii="宋体" w:hAnsi="宋体" w:eastAsia="宋体" w:cs="宋体"/>
          <w:color w:val="auto"/>
          <w:spacing w:val="0"/>
          <w:kern w:val="0"/>
          <w:sz w:val="24"/>
          <w:szCs w:val="24"/>
          <w:highlight w:val="none"/>
          <w:lang w:eastAsia="zh-CN"/>
        </w:rPr>
        <w:t>部分</w:t>
      </w:r>
      <w:r>
        <w:rPr>
          <w:rFonts w:hint="eastAsia" w:ascii="宋体" w:hAnsi="宋体" w:eastAsia="宋体" w:cs="宋体"/>
          <w:color w:val="auto"/>
          <w:spacing w:val="0"/>
          <w:kern w:val="0"/>
          <w:sz w:val="24"/>
          <w:szCs w:val="24"/>
          <w:highlight w:val="none"/>
        </w:rPr>
        <w:t>产品、服务单价为零的，视作已包含在总价中</w:t>
      </w:r>
      <w:r>
        <w:rPr>
          <w:rFonts w:hint="eastAsia" w:ascii="宋体" w:hAnsi="宋体" w:eastAsia="宋体" w:cs="宋体"/>
          <w:color w:val="auto"/>
          <w:spacing w:val="0"/>
          <w:kern w:val="0"/>
          <w:sz w:val="24"/>
          <w:szCs w:val="24"/>
          <w:highlight w:val="none"/>
          <w:lang w:eastAsia="zh-CN"/>
        </w:rPr>
        <w:t>。</w:t>
      </w:r>
      <w:r>
        <w:rPr>
          <w:rFonts w:hint="eastAsia" w:ascii="宋体" w:hAnsi="宋体" w:cs="宋体"/>
          <w:b/>
          <w:color w:val="auto"/>
          <w:kern w:val="0"/>
          <w:sz w:val="24"/>
          <w:highlight w:val="none"/>
          <w:lang w:val="zh-CN"/>
        </w:rPr>
        <w:t>采购内容未包含在《开标一览表（报价表）》名称栏中，投标人不能作出合理解释的，</w:t>
      </w:r>
      <w:r>
        <w:rPr>
          <w:rFonts w:hint="eastAsia" w:ascii="宋体" w:hAnsi="宋体" w:cs="宋体"/>
          <w:b/>
          <w:color w:val="auto"/>
          <w:kern w:val="0"/>
          <w:sz w:val="24"/>
          <w:highlight w:val="none"/>
        </w:rPr>
        <w:t>视为</w:t>
      </w:r>
      <w:r>
        <w:rPr>
          <w:rFonts w:hint="eastAsia" w:ascii="宋体" w:hAnsi="宋体" w:cs="宋体"/>
          <w:b/>
          <w:color w:val="auto"/>
          <w:sz w:val="24"/>
          <w:highlight w:val="none"/>
        </w:rPr>
        <w:t>投标文件含有采购人不能接受的附加条件的，投标无效。</w:t>
      </w:r>
    </w:p>
    <w:p w14:paraId="35345A4E">
      <w:pPr>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3、特别提示：采购代理机构将对项目名称和项目编号，中标供应商名称、地址和中标金额，主要中标标的名称、品牌（如果有）、规格型号、数量、单价等予以公示。</w:t>
      </w:r>
    </w:p>
    <w:p w14:paraId="63F6CAEA">
      <w:pPr>
        <w:snapToGrid w:val="0"/>
        <w:spacing w:line="360" w:lineRule="auto"/>
        <w:ind w:firstLine="480" w:firstLineChars="200"/>
        <w:jc w:val="left"/>
        <w:rPr>
          <w:rFonts w:ascii="宋体" w:hAnsi="宋体" w:cs="宋体"/>
          <w:color w:val="auto"/>
          <w:kern w:val="0"/>
          <w:sz w:val="24"/>
          <w:highlight w:val="none"/>
          <w:lang w:val="zh-CN"/>
        </w:rPr>
      </w:pPr>
      <w:r>
        <w:rPr>
          <w:rFonts w:ascii="宋体" w:hAnsi="宋体" w:cs="宋体"/>
          <w:color w:val="auto"/>
          <w:kern w:val="0"/>
          <w:sz w:val="24"/>
          <w:szCs w:val="22"/>
          <w:highlight w:val="none"/>
          <w:lang w:val="zh-CN"/>
        </w:rPr>
        <w:t>4</w:t>
      </w:r>
      <w:r>
        <w:rPr>
          <w:rFonts w:hint="eastAsia" w:ascii="宋体" w:hAnsi="宋体" w:cs="宋体"/>
          <w:color w:val="auto"/>
          <w:kern w:val="0"/>
          <w:sz w:val="24"/>
          <w:szCs w:val="22"/>
          <w:highlight w:val="none"/>
          <w:lang w:val="zh-CN"/>
        </w:rPr>
        <w:t>、</w:t>
      </w:r>
      <w:r>
        <w:rPr>
          <w:rFonts w:hint="eastAsia" w:ascii="宋体" w:hAnsi="宋体" w:cs="宋体"/>
          <w:color w:val="auto"/>
          <w:kern w:val="0"/>
          <w:sz w:val="24"/>
          <w:highlight w:val="none"/>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66ED7E99">
      <w:pPr>
        <w:spacing w:line="360" w:lineRule="auto"/>
        <w:ind w:firstLine="482" w:firstLineChars="200"/>
        <w:rPr>
          <w:rFonts w:hint="eastAsia" w:ascii="宋体" w:hAnsi="宋体" w:eastAsia="宋体" w:cs="宋体"/>
          <w:b/>
          <w:color w:val="auto"/>
          <w:kern w:val="0"/>
          <w:sz w:val="24"/>
          <w:highlight w:val="none"/>
          <w:lang w:eastAsia="zh-CN"/>
        </w:rPr>
      </w:pPr>
      <w:r>
        <w:rPr>
          <w:rFonts w:hint="eastAsia" w:ascii="宋体" w:hAnsi="宋体" w:cs="宋体"/>
          <w:b/>
          <w:color w:val="auto"/>
          <w:sz w:val="24"/>
          <w:highlight w:val="none"/>
        </w:rPr>
        <w:t>5、特别说明：▲供应商报价低于项目预算50%的，应当在报价文件中详细阐述不影响产品质量或者诚信履约的具体原因</w:t>
      </w:r>
      <w:r>
        <w:rPr>
          <w:rFonts w:hint="eastAsia" w:ascii="宋体" w:hAnsi="宋体" w:cs="宋体"/>
          <w:b/>
          <w:color w:val="auto"/>
          <w:sz w:val="24"/>
          <w:highlight w:val="none"/>
          <w:lang w:eastAsia="zh-CN"/>
        </w:rPr>
        <w:t>，</w:t>
      </w:r>
      <w:r>
        <w:rPr>
          <w:rFonts w:hint="eastAsia" w:ascii="宋体" w:hAnsi="宋体" w:cs="宋体"/>
          <w:b/>
          <w:color w:val="auto"/>
          <w:sz w:val="24"/>
          <w:highlight w:val="none"/>
          <w:lang w:val="en-US" w:eastAsia="zh-CN"/>
        </w:rPr>
        <w:t>未做阐述说明的，投标无效。</w:t>
      </w:r>
    </w:p>
    <w:p w14:paraId="1FC38E4A">
      <w:pPr>
        <w:pStyle w:val="696"/>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p>
    <w:p w14:paraId="0DC0E3FF">
      <w:pPr>
        <w:pStyle w:val="696"/>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pgSz w:w="16838" w:h="11906" w:orient="landscape"/>
          <w:pgMar w:top="1418" w:right="1247" w:bottom="1418" w:left="1276" w:header="851" w:footer="992" w:gutter="0"/>
          <w:pgBorders>
            <w:top w:val="none" w:sz="0" w:space="0"/>
            <w:left w:val="none" w:sz="0" w:space="0"/>
            <w:bottom w:val="none" w:sz="0" w:space="0"/>
            <w:right w:val="none" w:sz="0" w:space="0"/>
          </w:pgBorders>
          <w:cols w:space="720" w:num="1"/>
          <w:titlePg/>
          <w:docGrid w:linePitch="312" w:charSpace="0"/>
        </w:sectPr>
      </w:pPr>
    </w:p>
    <w:p w14:paraId="22719356">
      <w:pPr>
        <w:pStyle w:val="696"/>
        <w:keepNext w:val="0"/>
        <w:pageBreakBefore w:val="0"/>
        <w:numPr>
          <w:ilvl w:val="0"/>
          <w:numId w:val="11"/>
        </w:numPr>
        <w:tabs>
          <w:tab w:val="clear" w:pos="720"/>
        </w:tabs>
        <w:snapToGrid w:val="0"/>
        <w:spacing w:before="120" w:after="120"/>
        <w:ind w:firstLine="643"/>
        <w:outlineLvl w:val="9"/>
        <w:rPr>
          <w:rFonts w:hint="eastAsia" w:ascii="宋体" w:hAnsi="宋体" w:eastAsia="宋体" w:cs="宋体"/>
          <w:color w:val="auto"/>
          <w:kern w:val="2"/>
          <w:sz w:val="32"/>
          <w:szCs w:val="32"/>
          <w:highlight w:val="none"/>
          <w:lang w:val="en-US" w:eastAsia="zh-CN"/>
        </w:rPr>
      </w:pPr>
      <w:r>
        <w:rPr>
          <w:rFonts w:hint="eastAsia" w:ascii="宋体" w:hAnsi="宋体" w:eastAsia="宋体" w:cs="宋体"/>
          <w:color w:val="auto"/>
          <w:kern w:val="2"/>
          <w:sz w:val="32"/>
          <w:szCs w:val="32"/>
          <w:highlight w:val="none"/>
          <w:lang w:val="en-US" w:eastAsia="zh-CN"/>
        </w:rPr>
        <w:t>报价情况说明（如果有）</w:t>
      </w:r>
    </w:p>
    <w:p w14:paraId="32EC09B9">
      <w:pPr>
        <w:pStyle w:val="3"/>
        <w:keepNext w:val="0"/>
        <w:pageBreakBefore w:val="0"/>
        <w:numPr>
          <w:ilvl w:val="-1"/>
          <w:numId w:val="0"/>
        </w:numPr>
        <w:tabs>
          <w:tab w:val="clear" w:pos="432"/>
        </w:tabs>
        <w:snapToGrid w:val="0"/>
        <w:spacing w:before="120" w:after="120"/>
        <w:ind w:firstLine="0"/>
        <w:outlineLvl w:val="9"/>
        <w:rPr>
          <w:rFonts w:hint="default" w:ascii="宋体" w:hAnsi="宋体" w:eastAsia="宋体" w:cs="宋体"/>
          <w:color w:val="auto"/>
          <w:kern w:val="2"/>
          <w:sz w:val="32"/>
          <w:szCs w:val="32"/>
          <w:highlight w:val="none"/>
          <w:lang w:val="en-US" w:eastAsia="zh-CN"/>
        </w:rPr>
      </w:pPr>
      <w:r>
        <w:rPr>
          <w:rFonts w:hint="eastAsia" w:ascii="宋体" w:hAnsi="宋体" w:eastAsia="宋体" w:cs="宋体"/>
          <w:b w:val="0"/>
          <w:bCs w:val="0"/>
          <w:color w:val="auto"/>
          <w:sz w:val="24"/>
          <w:szCs w:val="24"/>
          <w:highlight w:val="none"/>
          <w:lang w:val="en-US"/>
        </w:rPr>
        <w:t>（如供应商报价低于项目预算50%的，应当提交本文档，详细阐述不影响产品质量或者诚信履约的具体原因</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rPr>
        <w:t>）</w:t>
      </w:r>
    </w:p>
    <w:p w14:paraId="48873FBB">
      <w:pPr>
        <w:pStyle w:val="696"/>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lang w:eastAsia="zh-CN"/>
        </w:rPr>
      </w:pPr>
    </w:p>
    <w:p w14:paraId="58427B39">
      <w:pPr>
        <w:pStyle w:val="696"/>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lang w:eastAsia="zh-CN"/>
        </w:rPr>
      </w:pPr>
    </w:p>
    <w:p w14:paraId="4622D328">
      <w:pPr>
        <w:pStyle w:val="696"/>
        <w:keepNext w:val="0"/>
        <w:pageBreakBefore w:val="0"/>
        <w:tabs>
          <w:tab w:val="clear" w:pos="720"/>
        </w:tabs>
        <w:snapToGrid w:val="0"/>
        <w:spacing w:before="120" w:after="120"/>
        <w:ind w:firstLine="643"/>
        <w:outlineLvl w:val="9"/>
        <w:rPr>
          <w:rFonts w:ascii="宋体" w:hAnsi="宋体" w:eastAsia="宋体" w:cs="宋体"/>
          <w:color w:val="auto"/>
          <w:sz w:val="32"/>
          <w:szCs w:val="32"/>
          <w:highlight w:val="none"/>
        </w:rPr>
      </w:pPr>
      <w:r>
        <w:rPr>
          <w:rFonts w:hint="eastAsia" w:ascii="宋体" w:hAnsi="宋体" w:eastAsia="宋体" w:cs="宋体"/>
          <w:color w:val="auto"/>
          <w:kern w:val="2"/>
          <w:sz w:val="32"/>
          <w:szCs w:val="32"/>
          <w:highlight w:val="none"/>
          <w:lang w:eastAsia="zh-CN"/>
        </w:rPr>
        <w:t>三</w:t>
      </w:r>
      <w:r>
        <w:rPr>
          <w:rFonts w:hint="eastAsia" w:ascii="宋体" w:hAnsi="宋体" w:eastAsia="宋体" w:cs="宋体"/>
          <w:color w:val="auto"/>
          <w:kern w:val="2"/>
          <w:sz w:val="32"/>
          <w:szCs w:val="32"/>
          <w:highlight w:val="none"/>
        </w:rPr>
        <w:t>、</w:t>
      </w:r>
      <w:r>
        <w:rPr>
          <w:rFonts w:hint="eastAsia" w:ascii="宋体" w:hAnsi="宋体" w:eastAsia="宋体" w:cs="宋体"/>
          <w:color w:val="auto"/>
          <w:sz w:val="32"/>
          <w:szCs w:val="32"/>
          <w:highlight w:val="none"/>
        </w:rPr>
        <w:t>中小企业声明函</w:t>
      </w:r>
    </w:p>
    <w:p w14:paraId="2A3E152A">
      <w:pPr>
        <w:widowControl/>
        <w:spacing w:line="360" w:lineRule="auto"/>
        <w:ind w:firstLine="120" w:firstLineChars="50"/>
        <w:jc w:val="left"/>
        <w:rPr>
          <w:rFonts w:ascii="宋体" w:hAnsi="宋体" w:cs="宋体"/>
          <w:b/>
          <w:color w:val="auto"/>
          <w:sz w:val="24"/>
          <w:highlight w:val="none"/>
        </w:rPr>
      </w:pPr>
      <w:r>
        <w:rPr>
          <w:rFonts w:hint="eastAsia" w:ascii="宋体" w:hAnsi="宋体" w:cs="宋体"/>
          <w:b/>
          <w:color w:val="auto"/>
          <w:sz w:val="24"/>
          <w:highlight w:val="none"/>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highlight w:val="none"/>
        </w:rPr>
        <w:t>7</w:t>
      </w:r>
      <w:r>
        <w:rPr>
          <w:rFonts w:hint="eastAsia" w:ascii="宋体" w:hAnsi="宋体" w:cs="宋体"/>
          <w:b/>
          <w:color w:val="auto"/>
          <w:sz w:val="24"/>
          <w:highlight w:val="none"/>
        </w:rPr>
        <w:t>）。]</w:t>
      </w:r>
    </w:p>
    <w:p w14:paraId="4DDAE10D">
      <w:pPr>
        <w:pStyle w:val="696"/>
        <w:keepNext w:val="0"/>
        <w:pageBreakBefore w:val="0"/>
        <w:tabs>
          <w:tab w:val="clear" w:pos="720"/>
        </w:tabs>
        <w:snapToGrid w:val="0"/>
        <w:spacing w:before="120" w:after="120"/>
        <w:ind w:firstLine="643"/>
        <w:outlineLvl w:val="9"/>
        <w:rPr>
          <w:rFonts w:ascii="宋体" w:hAnsi="宋体" w:eastAsia="宋体" w:cs="宋体"/>
          <w:b w:val="0"/>
          <w:color w:val="auto"/>
          <w:sz w:val="32"/>
          <w:szCs w:val="32"/>
          <w:highlight w:val="none"/>
        </w:rPr>
      </w:pPr>
    </w:p>
    <w:p w14:paraId="3B4FB186">
      <w:pPr>
        <w:spacing w:line="360" w:lineRule="auto"/>
        <w:ind w:right="420" w:firstLine="0" w:firstLineChars="0"/>
        <w:jc w:val="center"/>
        <w:rPr>
          <w:rFonts w:hint="eastAsia" w:ascii="宋体" w:hAnsi="宋体" w:eastAsia="宋体" w:cs="宋体"/>
          <w:b/>
          <w:color w:val="auto"/>
          <w:kern w:val="0"/>
          <w:sz w:val="36"/>
          <w:szCs w:val="36"/>
          <w:highlight w:val="none"/>
          <w:lang w:val="en-US" w:eastAsia="zh-CN"/>
        </w:rPr>
      </w:pPr>
      <w:r>
        <w:rPr>
          <w:rFonts w:hint="eastAsia" w:ascii="宋体" w:hAnsi="宋体" w:cs="宋体"/>
          <w:b/>
          <w:color w:val="auto"/>
          <w:kern w:val="0"/>
          <w:sz w:val="36"/>
          <w:szCs w:val="36"/>
          <w:highlight w:val="none"/>
          <w:lang w:val="en-US" w:eastAsia="zh-CN"/>
        </w:rPr>
        <w:t>四、备品备件清单</w:t>
      </w:r>
    </w:p>
    <w:p w14:paraId="776AA349">
      <w:pPr>
        <w:spacing w:line="360" w:lineRule="auto"/>
        <w:ind w:right="420" w:firstLine="3614" w:firstLineChars="1000"/>
        <w:rPr>
          <w:rFonts w:ascii="宋体" w:hAnsi="宋体" w:cs="宋体"/>
          <w:b/>
          <w:color w:val="auto"/>
          <w:kern w:val="0"/>
          <w:sz w:val="36"/>
          <w:szCs w:val="36"/>
          <w:highlight w:val="none"/>
        </w:rPr>
      </w:pPr>
    </w:p>
    <w:tbl>
      <w:tblPr>
        <w:tblStyle w:val="66"/>
        <w:tblW w:w="9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17"/>
        <w:gridCol w:w="1843"/>
        <w:gridCol w:w="2001"/>
        <w:gridCol w:w="1512"/>
        <w:gridCol w:w="1740"/>
      </w:tblGrid>
      <w:tr w14:paraId="780F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534" w:type="dxa"/>
            <w:vAlign w:val="center"/>
          </w:tcPr>
          <w:p w14:paraId="19FCAAA7">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417" w:type="dxa"/>
            <w:vAlign w:val="center"/>
          </w:tcPr>
          <w:p w14:paraId="0570C4E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名称</w:t>
            </w:r>
          </w:p>
        </w:tc>
        <w:tc>
          <w:tcPr>
            <w:tcW w:w="1843" w:type="dxa"/>
          </w:tcPr>
          <w:p w14:paraId="019888B8">
            <w:pPr>
              <w:spacing w:line="360" w:lineRule="auto"/>
              <w:jc w:val="center"/>
              <w:rPr>
                <w:rFonts w:ascii="宋体" w:hAnsi="宋体" w:cs="宋体"/>
                <w:b/>
                <w:color w:val="auto"/>
                <w:sz w:val="24"/>
                <w:highlight w:val="none"/>
              </w:rPr>
            </w:pPr>
          </w:p>
          <w:p w14:paraId="411CB138">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品牌（如果有）</w:t>
            </w:r>
          </w:p>
        </w:tc>
        <w:tc>
          <w:tcPr>
            <w:tcW w:w="2001" w:type="dxa"/>
            <w:vAlign w:val="center"/>
          </w:tcPr>
          <w:p w14:paraId="1CAD5C61">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规格型号</w:t>
            </w:r>
          </w:p>
        </w:tc>
        <w:tc>
          <w:tcPr>
            <w:tcW w:w="1512" w:type="dxa"/>
            <w:vAlign w:val="center"/>
          </w:tcPr>
          <w:p w14:paraId="00EF0FD8">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数量</w:t>
            </w:r>
          </w:p>
        </w:tc>
        <w:tc>
          <w:tcPr>
            <w:tcW w:w="1740" w:type="dxa"/>
            <w:vAlign w:val="center"/>
          </w:tcPr>
          <w:p w14:paraId="4CAE2826">
            <w:pPr>
              <w:spacing w:line="360" w:lineRule="auto"/>
              <w:jc w:val="center"/>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单价</w:t>
            </w:r>
            <w:r>
              <w:rPr>
                <w:rFonts w:hint="eastAsia" w:ascii="宋体" w:hAnsi="宋体" w:cs="宋体"/>
                <w:b/>
                <w:color w:val="auto"/>
                <w:sz w:val="24"/>
                <w:highlight w:val="none"/>
                <w:lang w:eastAsia="zh-CN"/>
              </w:rPr>
              <w:t>（</w:t>
            </w:r>
            <w:r>
              <w:rPr>
                <w:rFonts w:hint="eastAsia" w:ascii="宋体" w:hAnsi="宋体" w:cs="宋体"/>
                <w:b/>
                <w:color w:val="auto"/>
                <w:sz w:val="24"/>
                <w:highlight w:val="none"/>
                <w:lang w:val="en-US" w:eastAsia="zh-CN"/>
              </w:rPr>
              <w:t>元</w:t>
            </w:r>
            <w:r>
              <w:rPr>
                <w:rFonts w:hint="eastAsia" w:ascii="宋体" w:hAnsi="宋体" w:cs="宋体"/>
                <w:b/>
                <w:color w:val="auto"/>
                <w:sz w:val="24"/>
                <w:highlight w:val="none"/>
                <w:lang w:eastAsia="zh-CN"/>
              </w:rPr>
              <w:t>）</w:t>
            </w:r>
          </w:p>
        </w:tc>
      </w:tr>
      <w:tr w14:paraId="655E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4" w:type="dxa"/>
            <w:vAlign w:val="center"/>
          </w:tcPr>
          <w:p w14:paraId="488A708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417" w:type="dxa"/>
            <w:vAlign w:val="center"/>
          </w:tcPr>
          <w:p w14:paraId="488AAE62">
            <w:pPr>
              <w:snapToGrid w:val="0"/>
              <w:spacing w:line="360" w:lineRule="auto"/>
              <w:jc w:val="center"/>
              <w:rPr>
                <w:rFonts w:ascii="宋体" w:hAnsi="宋体" w:cs="宋体"/>
                <w:color w:val="auto"/>
                <w:sz w:val="24"/>
                <w:highlight w:val="none"/>
              </w:rPr>
            </w:pPr>
          </w:p>
        </w:tc>
        <w:tc>
          <w:tcPr>
            <w:tcW w:w="1843" w:type="dxa"/>
            <w:vAlign w:val="center"/>
          </w:tcPr>
          <w:p w14:paraId="0385BD9C">
            <w:pPr>
              <w:snapToGrid w:val="0"/>
              <w:spacing w:line="360" w:lineRule="auto"/>
              <w:jc w:val="center"/>
              <w:rPr>
                <w:rFonts w:ascii="宋体" w:hAnsi="宋体" w:cs="宋体"/>
                <w:color w:val="auto"/>
                <w:sz w:val="24"/>
                <w:highlight w:val="none"/>
              </w:rPr>
            </w:pPr>
          </w:p>
        </w:tc>
        <w:tc>
          <w:tcPr>
            <w:tcW w:w="2001" w:type="dxa"/>
            <w:vAlign w:val="center"/>
          </w:tcPr>
          <w:p w14:paraId="0082B27A">
            <w:pPr>
              <w:snapToGrid w:val="0"/>
              <w:spacing w:line="360" w:lineRule="auto"/>
              <w:jc w:val="center"/>
              <w:rPr>
                <w:rFonts w:ascii="宋体" w:hAnsi="宋体" w:cs="宋体"/>
                <w:color w:val="auto"/>
                <w:sz w:val="24"/>
                <w:highlight w:val="none"/>
              </w:rPr>
            </w:pPr>
          </w:p>
        </w:tc>
        <w:tc>
          <w:tcPr>
            <w:tcW w:w="1512" w:type="dxa"/>
            <w:vAlign w:val="center"/>
          </w:tcPr>
          <w:p w14:paraId="3CCE6AE8">
            <w:pPr>
              <w:snapToGrid w:val="0"/>
              <w:spacing w:line="360" w:lineRule="auto"/>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w:t>
            </w:r>
          </w:p>
        </w:tc>
        <w:tc>
          <w:tcPr>
            <w:tcW w:w="1740" w:type="dxa"/>
            <w:vAlign w:val="center"/>
          </w:tcPr>
          <w:p w14:paraId="34983B3D">
            <w:pPr>
              <w:spacing w:line="360" w:lineRule="auto"/>
              <w:jc w:val="center"/>
              <w:rPr>
                <w:rFonts w:ascii="宋体" w:hAnsi="宋体" w:cs="宋体"/>
                <w:color w:val="auto"/>
                <w:sz w:val="24"/>
                <w:highlight w:val="none"/>
              </w:rPr>
            </w:pPr>
          </w:p>
        </w:tc>
      </w:tr>
      <w:tr w14:paraId="6616F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1E0C926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417" w:type="dxa"/>
            <w:vAlign w:val="center"/>
          </w:tcPr>
          <w:p w14:paraId="43C8A587">
            <w:pPr>
              <w:snapToGrid w:val="0"/>
              <w:spacing w:line="360" w:lineRule="auto"/>
              <w:jc w:val="center"/>
              <w:rPr>
                <w:rFonts w:ascii="宋体" w:hAnsi="宋体" w:cs="宋体"/>
                <w:color w:val="auto"/>
                <w:sz w:val="24"/>
                <w:highlight w:val="none"/>
              </w:rPr>
            </w:pPr>
          </w:p>
        </w:tc>
        <w:tc>
          <w:tcPr>
            <w:tcW w:w="1843" w:type="dxa"/>
            <w:vAlign w:val="center"/>
          </w:tcPr>
          <w:p w14:paraId="40CF1467">
            <w:pPr>
              <w:snapToGrid w:val="0"/>
              <w:spacing w:line="360" w:lineRule="auto"/>
              <w:jc w:val="center"/>
              <w:rPr>
                <w:rFonts w:ascii="宋体" w:hAnsi="宋体" w:cs="宋体"/>
                <w:color w:val="auto"/>
                <w:sz w:val="24"/>
                <w:highlight w:val="none"/>
              </w:rPr>
            </w:pPr>
          </w:p>
        </w:tc>
        <w:tc>
          <w:tcPr>
            <w:tcW w:w="2001" w:type="dxa"/>
            <w:vAlign w:val="center"/>
          </w:tcPr>
          <w:p w14:paraId="1CA16EA0">
            <w:pPr>
              <w:snapToGrid w:val="0"/>
              <w:spacing w:line="360" w:lineRule="auto"/>
              <w:jc w:val="center"/>
              <w:rPr>
                <w:rFonts w:ascii="宋体" w:hAnsi="宋体" w:cs="宋体"/>
                <w:color w:val="auto"/>
                <w:sz w:val="24"/>
                <w:highlight w:val="none"/>
              </w:rPr>
            </w:pPr>
          </w:p>
        </w:tc>
        <w:tc>
          <w:tcPr>
            <w:tcW w:w="1512" w:type="dxa"/>
            <w:vAlign w:val="center"/>
          </w:tcPr>
          <w:p w14:paraId="79FF503A">
            <w:pPr>
              <w:snapToGrid w:val="0"/>
              <w:spacing w:line="360" w:lineRule="auto"/>
              <w:jc w:val="center"/>
              <w:rPr>
                <w:rFonts w:ascii="宋体" w:hAnsi="宋体" w:cs="宋体"/>
                <w:color w:val="auto"/>
                <w:sz w:val="24"/>
                <w:highlight w:val="none"/>
              </w:rPr>
            </w:pPr>
          </w:p>
        </w:tc>
        <w:tc>
          <w:tcPr>
            <w:tcW w:w="1740" w:type="dxa"/>
            <w:vAlign w:val="center"/>
          </w:tcPr>
          <w:p w14:paraId="2B80A802">
            <w:pPr>
              <w:spacing w:line="360" w:lineRule="auto"/>
              <w:jc w:val="center"/>
              <w:rPr>
                <w:rFonts w:ascii="宋体" w:hAnsi="宋体" w:cs="宋体"/>
                <w:color w:val="auto"/>
                <w:sz w:val="24"/>
                <w:highlight w:val="none"/>
              </w:rPr>
            </w:pPr>
          </w:p>
        </w:tc>
      </w:tr>
      <w:tr w14:paraId="2913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36CAD03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w:t>
            </w:r>
          </w:p>
        </w:tc>
        <w:tc>
          <w:tcPr>
            <w:tcW w:w="1417" w:type="dxa"/>
            <w:vAlign w:val="center"/>
          </w:tcPr>
          <w:p w14:paraId="70833765">
            <w:pPr>
              <w:snapToGrid w:val="0"/>
              <w:spacing w:line="360" w:lineRule="auto"/>
              <w:jc w:val="center"/>
              <w:rPr>
                <w:rFonts w:ascii="宋体" w:hAnsi="宋体" w:cs="宋体"/>
                <w:color w:val="auto"/>
                <w:sz w:val="24"/>
                <w:highlight w:val="none"/>
              </w:rPr>
            </w:pPr>
          </w:p>
        </w:tc>
        <w:tc>
          <w:tcPr>
            <w:tcW w:w="1843" w:type="dxa"/>
            <w:vAlign w:val="center"/>
          </w:tcPr>
          <w:p w14:paraId="39BEE7D7">
            <w:pPr>
              <w:snapToGrid w:val="0"/>
              <w:spacing w:line="360" w:lineRule="auto"/>
              <w:jc w:val="center"/>
              <w:rPr>
                <w:rFonts w:ascii="宋体" w:hAnsi="宋体" w:cs="宋体"/>
                <w:color w:val="auto"/>
                <w:sz w:val="24"/>
                <w:highlight w:val="none"/>
              </w:rPr>
            </w:pPr>
          </w:p>
        </w:tc>
        <w:tc>
          <w:tcPr>
            <w:tcW w:w="2001" w:type="dxa"/>
            <w:vAlign w:val="center"/>
          </w:tcPr>
          <w:p w14:paraId="5A1DF522">
            <w:pPr>
              <w:snapToGrid w:val="0"/>
              <w:spacing w:line="360" w:lineRule="auto"/>
              <w:jc w:val="center"/>
              <w:rPr>
                <w:rFonts w:ascii="宋体" w:hAnsi="宋体" w:cs="宋体"/>
                <w:color w:val="auto"/>
                <w:sz w:val="24"/>
                <w:highlight w:val="none"/>
              </w:rPr>
            </w:pPr>
          </w:p>
        </w:tc>
        <w:tc>
          <w:tcPr>
            <w:tcW w:w="1512" w:type="dxa"/>
            <w:vAlign w:val="center"/>
          </w:tcPr>
          <w:p w14:paraId="4631A4B5">
            <w:pPr>
              <w:snapToGrid w:val="0"/>
              <w:spacing w:line="360" w:lineRule="auto"/>
              <w:jc w:val="center"/>
              <w:rPr>
                <w:rFonts w:ascii="宋体" w:hAnsi="宋体" w:cs="宋体"/>
                <w:color w:val="auto"/>
                <w:sz w:val="24"/>
                <w:highlight w:val="none"/>
              </w:rPr>
            </w:pPr>
          </w:p>
        </w:tc>
        <w:tc>
          <w:tcPr>
            <w:tcW w:w="1740" w:type="dxa"/>
            <w:vAlign w:val="center"/>
          </w:tcPr>
          <w:p w14:paraId="7B806D3E">
            <w:pPr>
              <w:spacing w:line="360" w:lineRule="auto"/>
              <w:jc w:val="center"/>
              <w:rPr>
                <w:rFonts w:ascii="宋体" w:hAnsi="宋体" w:cs="宋体"/>
                <w:color w:val="auto"/>
                <w:sz w:val="24"/>
                <w:highlight w:val="none"/>
              </w:rPr>
            </w:pPr>
          </w:p>
        </w:tc>
      </w:tr>
      <w:tr w14:paraId="4791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59AC1925">
            <w:pPr>
              <w:spacing w:line="360" w:lineRule="auto"/>
              <w:jc w:val="center"/>
              <w:rPr>
                <w:rFonts w:ascii="宋体" w:hAnsi="宋体" w:cs="宋体"/>
                <w:color w:val="auto"/>
                <w:sz w:val="24"/>
                <w:highlight w:val="none"/>
              </w:rPr>
            </w:pPr>
          </w:p>
        </w:tc>
        <w:tc>
          <w:tcPr>
            <w:tcW w:w="1417" w:type="dxa"/>
            <w:vAlign w:val="center"/>
          </w:tcPr>
          <w:p w14:paraId="57C34F77">
            <w:pPr>
              <w:snapToGrid w:val="0"/>
              <w:spacing w:line="360" w:lineRule="auto"/>
              <w:jc w:val="center"/>
              <w:rPr>
                <w:rFonts w:ascii="宋体" w:hAnsi="宋体" w:cs="宋体"/>
                <w:color w:val="auto"/>
                <w:sz w:val="24"/>
                <w:highlight w:val="none"/>
              </w:rPr>
            </w:pPr>
          </w:p>
        </w:tc>
        <w:tc>
          <w:tcPr>
            <w:tcW w:w="1843" w:type="dxa"/>
            <w:vAlign w:val="center"/>
          </w:tcPr>
          <w:p w14:paraId="1CD7C439">
            <w:pPr>
              <w:snapToGrid w:val="0"/>
              <w:spacing w:line="360" w:lineRule="auto"/>
              <w:jc w:val="center"/>
              <w:rPr>
                <w:rFonts w:ascii="宋体" w:hAnsi="宋体" w:cs="宋体"/>
                <w:color w:val="auto"/>
                <w:sz w:val="24"/>
                <w:highlight w:val="none"/>
              </w:rPr>
            </w:pPr>
          </w:p>
        </w:tc>
        <w:tc>
          <w:tcPr>
            <w:tcW w:w="2001" w:type="dxa"/>
            <w:vAlign w:val="center"/>
          </w:tcPr>
          <w:p w14:paraId="1FB95C48">
            <w:pPr>
              <w:snapToGrid w:val="0"/>
              <w:spacing w:line="360" w:lineRule="auto"/>
              <w:jc w:val="center"/>
              <w:rPr>
                <w:rFonts w:ascii="宋体" w:hAnsi="宋体" w:cs="宋体"/>
                <w:color w:val="auto"/>
                <w:sz w:val="24"/>
                <w:highlight w:val="none"/>
              </w:rPr>
            </w:pPr>
          </w:p>
        </w:tc>
        <w:tc>
          <w:tcPr>
            <w:tcW w:w="1512" w:type="dxa"/>
            <w:vAlign w:val="center"/>
          </w:tcPr>
          <w:p w14:paraId="26EE165D">
            <w:pPr>
              <w:snapToGrid w:val="0"/>
              <w:spacing w:line="360" w:lineRule="auto"/>
              <w:jc w:val="center"/>
              <w:rPr>
                <w:rFonts w:ascii="宋体" w:hAnsi="宋体" w:cs="宋体"/>
                <w:color w:val="auto"/>
                <w:sz w:val="24"/>
                <w:highlight w:val="none"/>
              </w:rPr>
            </w:pPr>
          </w:p>
        </w:tc>
        <w:tc>
          <w:tcPr>
            <w:tcW w:w="1740" w:type="dxa"/>
            <w:vAlign w:val="center"/>
          </w:tcPr>
          <w:p w14:paraId="61ACE0B5">
            <w:pPr>
              <w:spacing w:line="360" w:lineRule="auto"/>
              <w:jc w:val="center"/>
              <w:rPr>
                <w:rFonts w:ascii="宋体" w:hAnsi="宋体" w:cs="宋体"/>
                <w:color w:val="auto"/>
                <w:sz w:val="24"/>
                <w:highlight w:val="none"/>
              </w:rPr>
            </w:pPr>
          </w:p>
        </w:tc>
      </w:tr>
      <w:tr w14:paraId="71F6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7BA4A9ED">
            <w:pPr>
              <w:spacing w:line="360" w:lineRule="auto"/>
              <w:jc w:val="center"/>
              <w:rPr>
                <w:rFonts w:ascii="宋体" w:hAnsi="宋体" w:cs="宋体"/>
                <w:color w:val="auto"/>
                <w:sz w:val="24"/>
                <w:highlight w:val="none"/>
              </w:rPr>
            </w:pPr>
          </w:p>
        </w:tc>
        <w:tc>
          <w:tcPr>
            <w:tcW w:w="1417" w:type="dxa"/>
            <w:vAlign w:val="center"/>
          </w:tcPr>
          <w:p w14:paraId="2FAA3799">
            <w:pPr>
              <w:snapToGrid w:val="0"/>
              <w:spacing w:line="360" w:lineRule="auto"/>
              <w:jc w:val="center"/>
              <w:rPr>
                <w:rFonts w:ascii="宋体" w:hAnsi="宋体" w:cs="宋体"/>
                <w:color w:val="auto"/>
                <w:sz w:val="24"/>
                <w:highlight w:val="none"/>
              </w:rPr>
            </w:pPr>
          </w:p>
        </w:tc>
        <w:tc>
          <w:tcPr>
            <w:tcW w:w="1843" w:type="dxa"/>
            <w:vAlign w:val="center"/>
          </w:tcPr>
          <w:p w14:paraId="3F5C698D">
            <w:pPr>
              <w:snapToGrid w:val="0"/>
              <w:spacing w:line="360" w:lineRule="auto"/>
              <w:jc w:val="center"/>
              <w:rPr>
                <w:rFonts w:ascii="宋体" w:hAnsi="宋体" w:cs="宋体"/>
                <w:color w:val="auto"/>
                <w:sz w:val="24"/>
                <w:highlight w:val="none"/>
              </w:rPr>
            </w:pPr>
          </w:p>
        </w:tc>
        <w:tc>
          <w:tcPr>
            <w:tcW w:w="2001" w:type="dxa"/>
            <w:vAlign w:val="center"/>
          </w:tcPr>
          <w:p w14:paraId="102C688E">
            <w:pPr>
              <w:snapToGrid w:val="0"/>
              <w:spacing w:line="360" w:lineRule="auto"/>
              <w:jc w:val="center"/>
              <w:rPr>
                <w:rFonts w:ascii="宋体" w:hAnsi="宋体" w:cs="宋体"/>
                <w:color w:val="auto"/>
                <w:sz w:val="24"/>
                <w:highlight w:val="none"/>
              </w:rPr>
            </w:pPr>
          </w:p>
        </w:tc>
        <w:tc>
          <w:tcPr>
            <w:tcW w:w="1512" w:type="dxa"/>
            <w:vAlign w:val="center"/>
          </w:tcPr>
          <w:p w14:paraId="7EA173D8">
            <w:pPr>
              <w:snapToGrid w:val="0"/>
              <w:spacing w:line="360" w:lineRule="auto"/>
              <w:jc w:val="center"/>
              <w:rPr>
                <w:rFonts w:ascii="宋体" w:hAnsi="宋体" w:cs="宋体"/>
                <w:color w:val="auto"/>
                <w:sz w:val="24"/>
                <w:highlight w:val="none"/>
              </w:rPr>
            </w:pPr>
          </w:p>
        </w:tc>
        <w:tc>
          <w:tcPr>
            <w:tcW w:w="1740" w:type="dxa"/>
            <w:vAlign w:val="center"/>
          </w:tcPr>
          <w:p w14:paraId="5CEA4F2D">
            <w:pPr>
              <w:spacing w:line="360" w:lineRule="auto"/>
              <w:jc w:val="center"/>
              <w:rPr>
                <w:rFonts w:ascii="宋体" w:hAnsi="宋体" w:cs="宋体"/>
                <w:color w:val="auto"/>
                <w:sz w:val="24"/>
                <w:highlight w:val="none"/>
              </w:rPr>
            </w:pPr>
          </w:p>
        </w:tc>
      </w:tr>
    </w:tbl>
    <w:p w14:paraId="13B70A67">
      <w:pPr>
        <w:spacing w:line="360" w:lineRule="auto"/>
        <w:ind w:right="420" w:firstLine="2400" w:firstLineChars="1000"/>
        <w:rPr>
          <w:rFonts w:hint="eastAsia" w:ascii="仿宋" w:hAnsi="仿宋" w:eastAsia="仿宋" w:cs="仿宋"/>
          <w:color w:val="auto"/>
          <w:sz w:val="24"/>
          <w:highlight w:val="none"/>
          <w:lang w:val="en-US" w:eastAsia="zh-CN"/>
        </w:rPr>
      </w:pPr>
    </w:p>
    <w:p w14:paraId="5C8798AB">
      <w:pPr>
        <w:spacing w:line="360" w:lineRule="auto"/>
        <w:ind w:right="420" w:firstLine="0" w:firstLineChars="0"/>
        <w:jc w:val="left"/>
        <w:rPr>
          <w:rFonts w:ascii="宋体" w:hAnsi="宋体" w:cs="宋体"/>
          <w:b/>
          <w:color w:val="auto"/>
          <w:kern w:val="0"/>
          <w:sz w:val="36"/>
          <w:szCs w:val="36"/>
          <w:highlight w:val="none"/>
        </w:rPr>
      </w:pPr>
      <w:r>
        <w:rPr>
          <w:rFonts w:hint="eastAsia" w:ascii="仿宋" w:hAnsi="仿宋" w:eastAsia="仿宋" w:cs="仿宋"/>
          <w:color w:val="auto"/>
          <w:sz w:val="24"/>
          <w:highlight w:val="none"/>
          <w:lang w:val="en-US" w:eastAsia="zh-CN"/>
        </w:rPr>
        <w:t>注：我公司承诺以上报价</w:t>
      </w:r>
      <w:r>
        <w:rPr>
          <w:rFonts w:hint="eastAsia" w:ascii="仿宋" w:hAnsi="仿宋" w:eastAsia="仿宋" w:cs="仿宋"/>
          <w:color w:val="auto"/>
          <w:sz w:val="24"/>
          <w:highlight w:val="none"/>
        </w:rPr>
        <w:t>在</w:t>
      </w:r>
      <w:r>
        <w:rPr>
          <w:rFonts w:hint="eastAsia" w:ascii="仿宋" w:hAnsi="仿宋" w:eastAsia="仿宋" w:cs="仿宋"/>
          <w:color w:val="auto"/>
          <w:sz w:val="24"/>
          <w:highlight w:val="none"/>
          <w:lang w:val="en-US" w:eastAsia="zh-CN"/>
        </w:rPr>
        <w:t>验收通过之日起2</w:t>
      </w:r>
      <w:r>
        <w:rPr>
          <w:rFonts w:hint="eastAsia" w:ascii="仿宋" w:hAnsi="仿宋" w:eastAsia="仿宋" w:cs="仿宋"/>
          <w:color w:val="auto"/>
          <w:sz w:val="24"/>
          <w:highlight w:val="none"/>
        </w:rPr>
        <w:t>年内有效。</w:t>
      </w:r>
    </w:p>
    <w:p w14:paraId="64A7944E">
      <w:pPr>
        <w:spacing w:line="360" w:lineRule="auto"/>
        <w:ind w:right="420" w:firstLine="3614" w:firstLineChars="1000"/>
        <w:rPr>
          <w:rFonts w:ascii="宋体" w:hAnsi="宋体" w:cs="宋体"/>
          <w:b/>
          <w:color w:val="auto"/>
          <w:kern w:val="0"/>
          <w:sz w:val="36"/>
          <w:szCs w:val="36"/>
          <w:highlight w:val="none"/>
        </w:rPr>
      </w:pPr>
    </w:p>
    <w:p w14:paraId="53A270D6">
      <w:pPr>
        <w:spacing w:line="360" w:lineRule="auto"/>
        <w:ind w:right="420" w:firstLine="3614" w:firstLineChars="1000"/>
        <w:rPr>
          <w:rFonts w:ascii="宋体" w:hAnsi="宋体" w:cs="宋体"/>
          <w:b/>
          <w:color w:val="auto"/>
          <w:kern w:val="0"/>
          <w:sz w:val="36"/>
          <w:szCs w:val="36"/>
          <w:highlight w:val="none"/>
        </w:rPr>
      </w:pPr>
    </w:p>
    <w:p w14:paraId="2D9987BC">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auto"/>
          <w:highlight w:val="none"/>
        </w:rPr>
      </w:pPr>
      <w:bookmarkStart w:id="596" w:name="_Toc465665161"/>
      <w:r>
        <w:rPr>
          <w:rFonts w:hint="eastAsia" w:ascii="宋体" w:hAnsi="宋体" w:cs="宋体"/>
          <w:color w:val="auto"/>
          <w:highlight w:val="none"/>
        </w:rPr>
        <w:t>附件</w:t>
      </w:r>
      <w:bookmarkEnd w:id="596"/>
    </w:p>
    <w:p w14:paraId="70120319">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附件1：</w:t>
      </w:r>
    </w:p>
    <w:p w14:paraId="7860579D">
      <w:pPr>
        <w:spacing w:line="360" w:lineRule="auto"/>
        <w:jc w:val="center"/>
        <w:rPr>
          <w:rFonts w:ascii="宋体" w:hAnsi="宋体" w:cs="宋体"/>
          <w:b/>
          <w:color w:val="auto"/>
          <w:spacing w:val="6"/>
          <w:sz w:val="32"/>
          <w:szCs w:val="32"/>
          <w:highlight w:val="none"/>
        </w:rPr>
      </w:pPr>
      <w:bookmarkStart w:id="597" w:name="OLE_LINK13"/>
      <w:bookmarkStart w:id="598" w:name="OLE_LINK14"/>
      <w:r>
        <w:rPr>
          <w:rFonts w:hint="eastAsia" w:ascii="宋体" w:hAnsi="宋体" w:cs="宋体"/>
          <w:b/>
          <w:color w:val="auto"/>
          <w:spacing w:val="6"/>
          <w:sz w:val="32"/>
          <w:szCs w:val="32"/>
          <w:highlight w:val="none"/>
        </w:rPr>
        <w:t>残疾人福利性单位声明函</w:t>
      </w:r>
    </w:p>
    <w:bookmarkEnd w:id="597"/>
    <w:bookmarkEnd w:id="598"/>
    <w:p w14:paraId="52A77EAC">
      <w:pPr>
        <w:spacing w:line="360" w:lineRule="auto"/>
        <w:rPr>
          <w:rFonts w:ascii="宋体" w:hAnsi="宋体" w:cs="宋体"/>
          <w:b/>
          <w:color w:val="auto"/>
          <w:spacing w:val="6"/>
          <w:sz w:val="30"/>
          <w:szCs w:val="30"/>
          <w:highlight w:val="none"/>
        </w:rPr>
      </w:pPr>
    </w:p>
    <w:p w14:paraId="3329F60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auto"/>
          <w:sz w:val="24"/>
          <w:highlight w:val="none"/>
          <w:u w:val="single"/>
        </w:rPr>
        <w:t>（采购人）</w:t>
      </w:r>
      <w:r>
        <w:rPr>
          <w:rFonts w:hint="eastAsia" w:ascii="宋体" w:hAnsi="宋体" w:cs="宋体"/>
          <w:color w:val="auto"/>
          <w:sz w:val="24"/>
          <w:highlight w:val="none"/>
        </w:rPr>
        <w:t>_单位的_</w:t>
      </w:r>
      <w:r>
        <w:rPr>
          <w:rFonts w:hint="eastAsia" w:ascii="宋体" w:hAnsi="宋体" w:cs="宋体"/>
          <w:color w:val="auto"/>
          <w:sz w:val="24"/>
          <w:highlight w:val="none"/>
          <w:u w:val="single"/>
        </w:rPr>
        <w:t>（项目名称）</w:t>
      </w:r>
      <w:r>
        <w:rPr>
          <w:rFonts w:hint="eastAsia" w:ascii="宋体" w:hAnsi="宋体" w:cs="宋体"/>
          <w:color w:val="auto"/>
          <w:sz w:val="24"/>
          <w:highlight w:val="none"/>
        </w:rPr>
        <w:t>__项目采购活动提供本单位制造的货物（由本单位承担工程/提供服务），或者提供其他残疾人福利性单位制造的货物（不包括使用非残疾人福利性单位注册商标的货物）。</w:t>
      </w:r>
    </w:p>
    <w:p w14:paraId="1B5171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本单位对上述声明的真实性负责。如有虚假，将依法承担相应责任。</w:t>
      </w:r>
    </w:p>
    <w:p w14:paraId="4EF8E2E3">
      <w:pPr>
        <w:spacing w:line="360" w:lineRule="auto"/>
        <w:ind w:firstLine="480" w:firstLineChars="200"/>
        <w:rPr>
          <w:rFonts w:ascii="宋体" w:hAnsi="宋体" w:cs="宋体"/>
          <w:color w:val="auto"/>
          <w:sz w:val="24"/>
          <w:highlight w:val="none"/>
        </w:rPr>
      </w:pPr>
    </w:p>
    <w:p w14:paraId="7F3E8600">
      <w:pPr>
        <w:spacing w:line="360" w:lineRule="auto"/>
        <w:ind w:firstLine="480" w:firstLineChars="200"/>
        <w:rPr>
          <w:rFonts w:ascii="宋体" w:hAnsi="宋体" w:cs="宋体"/>
          <w:color w:val="auto"/>
          <w:sz w:val="24"/>
          <w:highlight w:val="none"/>
        </w:rPr>
      </w:pPr>
    </w:p>
    <w:p w14:paraId="3AFDE2AF">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kern w:val="0"/>
          <w:sz w:val="24"/>
          <w:highlight w:val="none"/>
          <w:lang w:val="zh-CN"/>
        </w:rPr>
        <w:t>投标人名称（电子签名）</w:t>
      </w:r>
      <w:r>
        <w:rPr>
          <w:rFonts w:hint="eastAsia" w:ascii="宋体" w:hAnsi="宋体" w:cs="宋体"/>
          <w:color w:val="auto"/>
          <w:sz w:val="24"/>
          <w:highlight w:val="none"/>
        </w:rPr>
        <w:t>：</w:t>
      </w:r>
    </w:p>
    <w:p w14:paraId="720DD822">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日  期：</w:t>
      </w:r>
    </w:p>
    <w:p w14:paraId="5FF85FD5">
      <w:pPr>
        <w:spacing w:line="360" w:lineRule="auto"/>
        <w:ind w:firstLine="480" w:firstLineChars="200"/>
        <w:rPr>
          <w:rFonts w:ascii="宋体" w:hAnsi="宋体" w:cs="宋体"/>
          <w:color w:val="auto"/>
          <w:sz w:val="24"/>
          <w:highlight w:val="none"/>
        </w:rPr>
      </w:pPr>
    </w:p>
    <w:p w14:paraId="128FC033">
      <w:pPr>
        <w:spacing w:line="360" w:lineRule="auto"/>
        <w:ind w:firstLine="420" w:firstLineChars="200"/>
        <w:rPr>
          <w:rFonts w:ascii="宋体" w:hAnsi="宋体" w:cs="宋体"/>
          <w:color w:val="auto"/>
          <w:highlight w:val="none"/>
        </w:rPr>
      </w:pPr>
    </w:p>
    <w:p w14:paraId="258FDE51">
      <w:pPr>
        <w:spacing w:line="360" w:lineRule="auto"/>
        <w:ind w:firstLine="420" w:firstLineChars="200"/>
        <w:rPr>
          <w:rFonts w:ascii="宋体" w:hAnsi="宋体" w:cs="宋体"/>
          <w:color w:val="auto"/>
          <w:highlight w:val="none"/>
        </w:rPr>
      </w:pPr>
    </w:p>
    <w:p w14:paraId="5AA46C6A">
      <w:pPr>
        <w:spacing w:line="360" w:lineRule="auto"/>
        <w:ind w:firstLine="420" w:firstLineChars="200"/>
        <w:rPr>
          <w:rFonts w:ascii="宋体" w:hAnsi="宋体" w:cs="宋体"/>
          <w:color w:val="auto"/>
          <w:highlight w:val="none"/>
        </w:rPr>
      </w:pPr>
    </w:p>
    <w:p w14:paraId="737CF1A4">
      <w:pPr>
        <w:spacing w:line="360" w:lineRule="auto"/>
        <w:ind w:firstLine="420" w:firstLineChars="200"/>
        <w:rPr>
          <w:rFonts w:ascii="宋体" w:hAnsi="宋体" w:cs="宋体"/>
          <w:color w:val="auto"/>
          <w:highlight w:val="none"/>
        </w:rPr>
      </w:pPr>
    </w:p>
    <w:p w14:paraId="56DF284F">
      <w:pPr>
        <w:spacing w:line="360" w:lineRule="auto"/>
        <w:rPr>
          <w:rFonts w:ascii="宋体" w:hAnsi="宋体" w:cs="宋体"/>
          <w:b/>
          <w:color w:val="auto"/>
          <w:sz w:val="24"/>
          <w:highlight w:val="none"/>
        </w:rPr>
      </w:pPr>
    </w:p>
    <w:p w14:paraId="20DBE255">
      <w:pPr>
        <w:spacing w:line="360" w:lineRule="auto"/>
        <w:rPr>
          <w:rFonts w:ascii="宋体" w:hAnsi="宋体" w:cs="宋体"/>
          <w:b/>
          <w:color w:val="auto"/>
          <w:sz w:val="24"/>
          <w:highlight w:val="none"/>
        </w:rPr>
      </w:pPr>
    </w:p>
    <w:p w14:paraId="4D5BF803">
      <w:pPr>
        <w:spacing w:line="360" w:lineRule="auto"/>
        <w:rPr>
          <w:rFonts w:ascii="宋体" w:hAnsi="宋体" w:cs="宋体"/>
          <w:b/>
          <w:color w:val="auto"/>
          <w:sz w:val="24"/>
          <w:highlight w:val="none"/>
        </w:rPr>
      </w:pPr>
    </w:p>
    <w:p w14:paraId="0474C3AB">
      <w:pPr>
        <w:spacing w:line="360" w:lineRule="auto"/>
        <w:rPr>
          <w:rFonts w:ascii="宋体" w:hAnsi="宋体" w:cs="宋体"/>
          <w:b/>
          <w:color w:val="auto"/>
          <w:sz w:val="24"/>
          <w:highlight w:val="none"/>
        </w:rPr>
      </w:pPr>
    </w:p>
    <w:p w14:paraId="44C11192">
      <w:pPr>
        <w:spacing w:line="360" w:lineRule="auto"/>
        <w:rPr>
          <w:rFonts w:ascii="宋体" w:hAnsi="宋体" w:cs="宋体"/>
          <w:b/>
          <w:color w:val="auto"/>
          <w:sz w:val="24"/>
          <w:highlight w:val="none"/>
        </w:rPr>
      </w:pPr>
    </w:p>
    <w:p w14:paraId="37EE6310">
      <w:pPr>
        <w:spacing w:line="360" w:lineRule="auto"/>
        <w:rPr>
          <w:rFonts w:ascii="宋体" w:hAnsi="宋体" w:cs="宋体"/>
          <w:b/>
          <w:color w:val="auto"/>
          <w:sz w:val="24"/>
          <w:highlight w:val="none"/>
        </w:rPr>
      </w:pPr>
    </w:p>
    <w:p w14:paraId="2C4F3C08">
      <w:pPr>
        <w:spacing w:line="360" w:lineRule="auto"/>
        <w:rPr>
          <w:rFonts w:ascii="宋体" w:hAnsi="宋体" w:cs="宋体"/>
          <w:b/>
          <w:color w:val="auto"/>
          <w:sz w:val="24"/>
          <w:highlight w:val="none"/>
        </w:rPr>
      </w:pPr>
    </w:p>
    <w:p w14:paraId="54D14C5E">
      <w:pPr>
        <w:spacing w:line="360" w:lineRule="auto"/>
        <w:rPr>
          <w:rFonts w:ascii="宋体" w:hAnsi="宋体" w:cs="宋体"/>
          <w:b/>
          <w:color w:val="auto"/>
          <w:sz w:val="24"/>
          <w:highlight w:val="none"/>
        </w:rPr>
      </w:pPr>
    </w:p>
    <w:p w14:paraId="0A30D752">
      <w:pPr>
        <w:spacing w:line="360" w:lineRule="auto"/>
        <w:rPr>
          <w:rFonts w:ascii="宋体" w:hAnsi="宋体" w:cs="宋体"/>
          <w:b/>
          <w:color w:val="auto"/>
          <w:sz w:val="24"/>
          <w:highlight w:val="none"/>
        </w:rPr>
      </w:pPr>
    </w:p>
    <w:p w14:paraId="111812B6">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附件2：质疑函范本及制作说明</w:t>
      </w:r>
    </w:p>
    <w:p w14:paraId="730CD801">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质疑函范本</w:t>
      </w:r>
    </w:p>
    <w:p w14:paraId="73904FCB">
      <w:pPr>
        <w:snapToGrid w:val="0"/>
        <w:spacing w:before="240" w:beforeLines="100" w:line="360" w:lineRule="auto"/>
        <w:rPr>
          <w:rFonts w:ascii="宋体" w:hAnsi="宋体" w:cs="宋体"/>
          <w:bCs/>
          <w:color w:val="auto"/>
          <w:sz w:val="24"/>
          <w:highlight w:val="none"/>
        </w:rPr>
      </w:pPr>
      <w:r>
        <w:rPr>
          <w:rFonts w:hint="eastAsia" w:ascii="宋体" w:hAnsi="宋体" w:cs="宋体"/>
          <w:bCs/>
          <w:color w:val="auto"/>
          <w:sz w:val="24"/>
          <w:highlight w:val="none"/>
        </w:rPr>
        <w:t>一、质疑供应商基本信息</w:t>
      </w:r>
    </w:p>
    <w:p w14:paraId="71594E7E">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质疑供应商：</w:t>
      </w:r>
      <w:r>
        <w:rPr>
          <w:rFonts w:hint="eastAsia" w:ascii="宋体" w:hAnsi="宋体" w:cs="宋体"/>
          <w:color w:val="auto"/>
          <w:sz w:val="24"/>
          <w:highlight w:val="none"/>
          <w:u w:val="dotted"/>
        </w:rPr>
        <w:t xml:space="preserve">                                        </w:t>
      </w:r>
    </w:p>
    <w:p w14:paraId="196960C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2CDA9CE8">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44DB2696">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p>
    <w:p w14:paraId="20FC62C2">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12B78A0E">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地址： </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0ED06150">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二、质疑项目基本情况</w:t>
      </w:r>
    </w:p>
    <w:p w14:paraId="0EAFAA36">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质疑项目的名称：</w:t>
      </w:r>
      <w:r>
        <w:rPr>
          <w:rFonts w:hint="eastAsia" w:ascii="宋体" w:hAnsi="宋体" w:cs="宋体"/>
          <w:color w:val="auto"/>
          <w:sz w:val="24"/>
          <w:highlight w:val="none"/>
          <w:u w:val="dotted"/>
        </w:rPr>
        <w:t xml:space="preserve">                                      </w:t>
      </w:r>
    </w:p>
    <w:p w14:paraId="60D265C3">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16BC2E77">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p>
    <w:p w14:paraId="479FB390">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采购文件获取日期：</w:t>
      </w:r>
      <w:r>
        <w:rPr>
          <w:rFonts w:hint="eastAsia" w:ascii="宋体" w:hAnsi="宋体" w:cs="宋体"/>
          <w:color w:val="auto"/>
          <w:sz w:val="24"/>
          <w:highlight w:val="none"/>
          <w:u w:val="dotted"/>
        </w:rPr>
        <w:t xml:space="preserve">                                           </w:t>
      </w:r>
    </w:p>
    <w:p w14:paraId="3F975472">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三、质疑事项具体内容</w:t>
      </w:r>
    </w:p>
    <w:p w14:paraId="076ED1B3">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质疑事项1：</w:t>
      </w:r>
      <w:r>
        <w:rPr>
          <w:rFonts w:hint="eastAsia" w:ascii="宋体" w:hAnsi="宋体" w:cs="宋体"/>
          <w:color w:val="auto"/>
          <w:sz w:val="24"/>
          <w:highlight w:val="none"/>
          <w:u w:val="dotted"/>
        </w:rPr>
        <w:t xml:space="preserve">                                         </w:t>
      </w:r>
    </w:p>
    <w:p w14:paraId="424C907A">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3365E722">
      <w:pPr>
        <w:snapToGrid w:val="0"/>
        <w:spacing w:line="360" w:lineRule="auto"/>
        <w:rPr>
          <w:rFonts w:ascii="宋体" w:hAnsi="宋体" w:cs="宋体"/>
          <w:color w:val="auto"/>
          <w:sz w:val="24"/>
          <w:highlight w:val="none"/>
        </w:rPr>
      </w:pPr>
      <w:r>
        <w:rPr>
          <w:rFonts w:hint="eastAsia" w:ascii="宋体" w:hAnsi="宋体" w:cs="宋体"/>
          <w:color w:val="auto"/>
          <w:sz w:val="24"/>
          <w:highlight w:val="none"/>
          <w:u w:val="dotted"/>
        </w:rPr>
        <w:t xml:space="preserve">                                                       </w:t>
      </w:r>
    </w:p>
    <w:p w14:paraId="76942F7C">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748BDDCD">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29D2AE91">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质疑事项2</w:t>
      </w:r>
    </w:p>
    <w:p w14:paraId="77B33ABC">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p>
    <w:p w14:paraId="64B6B869">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四、与质疑事项相关的质疑请求</w:t>
      </w:r>
    </w:p>
    <w:p w14:paraId="31D0758B">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p>
    <w:p w14:paraId="231DDFD7">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2E62D54C">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599A5ECF">
      <w:pPr>
        <w:spacing w:line="360" w:lineRule="auto"/>
        <w:jc w:val="center"/>
        <w:rPr>
          <w:rFonts w:ascii="宋体" w:hAnsi="宋体" w:cs="宋体"/>
          <w:b/>
          <w:bCs/>
          <w:color w:val="auto"/>
          <w:sz w:val="24"/>
          <w:highlight w:val="none"/>
        </w:rPr>
      </w:pPr>
    </w:p>
    <w:p w14:paraId="47392701">
      <w:pPr>
        <w:spacing w:line="360" w:lineRule="auto"/>
        <w:rPr>
          <w:rFonts w:ascii="宋体" w:hAnsi="宋体" w:cs="宋体"/>
          <w:b/>
          <w:color w:val="auto"/>
          <w:sz w:val="24"/>
          <w:highlight w:val="none"/>
        </w:rPr>
      </w:pPr>
    </w:p>
    <w:p w14:paraId="7B0E561F">
      <w:pPr>
        <w:spacing w:line="360" w:lineRule="auto"/>
        <w:rPr>
          <w:rFonts w:ascii="宋体" w:hAnsi="宋体" w:cs="宋体"/>
          <w:b/>
          <w:color w:val="auto"/>
          <w:sz w:val="24"/>
          <w:highlight w:val="none"/>
        </w:rPr>
      </w:pPr>
    </w:p>
    <w:p w14:paraId="33A73888">
      <w:pPr>
        <w:spacing w:line="360" w:lineRule="auto"/>
        <w:rPr>
          <w:rFonts w:ascii="宋体" w:hAnsi="宋体" w:cs="宋体"/>
          <w:b/>
          <w:color w:val="auto"/>
          <w:sz w:val="24"/>
          <w:highlight w:val="none"/>
        </w:rPr>
      </w:pPr>
    </w:p>
    <w:p w14:paraId="3EF17D09">
      <w:pPr>
        <w:spacing w:line="360" w:lineRule="auto"/>
        <w:rPr>
          <w:rFonts w:ascii="宋体" w:hAnsi="宋体" w:cs="宋体"/>
          <w:b/>
          <w:color w:val="auto"/>
          <w:sz w:val="24"/>
          <w:highlight w:val="none"/>
        </w:rPr>
      </w:pPr>
      <w:r>
        <w:rPr>
          <w:rFonts w:hint="eastAsia" w:ascii="宋体" w:hAnsi="宋体" w:cs="宋体"/>
          <w:b/>
          <w:color w:val="auto"/>
          <w:sz w:val="24"/>
          <w:highlight w:val="none"/>
        </w:rPr>
        <w:t>质疑函制作说明：</w:t>
      </w:r>
    </w:p>
    <w:p w14:paraId="12E5286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14:paraId="6D975953">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14:paraId="0E0ABA70">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14:paraId="5E75902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14:paraId="2DB77EAC">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5.质疑函的质疑请求应与质疑事项相关。</w:t>
      </w:r>
    </w:p>
    <w:p w14:paraId="22B8704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24BD26C4">
      <w:pPr>
        <w:widowControl/>
        <w:spacing w:line="360" w:lineRule="auto"/>
        <w:ind w:firstLine="600" w:firstLineChars="200"/>
        <w:jc w:val="left"/>
        <w:rPr>
          <w:rFonts w:ascii="宋体" w:hAnsi="宋体" w:cs="宋体"/>
          <w:color w:val="auto"/>
          <w:sz w:val="30"/>
          <w:szCs w:val="30"/>
          <w:highlight w:val="none"/>
        </w:rPr>
      </w:pPr>
    </w:p>
    <w:p w14:paraId="65B6DA49">
      <w:pPr>
        <w:spacing w:line="360" w:lineRule="auto"/>
        <w:jc w:val="center"/>
        <w:rPr>
          <w:rFonts w:ascii="宋体" w:hAnsi="宋体" w:cs="宋体"/>
          <w:b/>
          <w:color w:val="auto"/>
          <w:spacing w:val="6"/>
          <w:sz w:val="32"/>
          <w:szCs w:val="32"/>
          <w:highlight w:val="none"/>
        </w:rPr>
      </w:pPr>
    </w:p>
    <w:p w14:paraId="2AAF64CD">
      <w:pPr>
        <w:spacing w:line="360" w:lineRule="auto"/>
        <w:jc w:val="center"/>
        <w:rPr>
          <w:rFonts w:ascii="宋体" w:hAnsi="宋体" w:cs="宋体"/>
          <w:b/>
          <w:color w:val="auto"/>
          <w:spacing w:val="6"/>
          <w:sz w:val="32"/>
          <w:szCs w:val="32"/>
          <w:highlight w:val="none"/>
        </w:rPr>
      </w:pPr>
    </w:p>
    <w:p w14:paraId="773AF2C8">
      <w:pPr>
        <w:spacing w:line="360" w:lineRule="auto"/>
        <w:jc w:val="center"/>
        <w:rPr>
          <w:rFonts w:ascii="宋体" w:hAnsi="宋体" w:cs="宋体"/>
          <w:b/>
          <w:color w:val="auto"/>
          <w:spacing w:val="6"/>
          <w:sz w:val="32"/>
          <w:szCs w:val="32"/>
          <w:highlight w:val="none"/>
        </w:rPr>
      </w:pPr>
    </w:p>
    <w:p w14:paraId="05C23BC4">
      <w:pPr>
        <w:spacing w:line="360" w:lineRule="auto"/>
        <w:jc w:val="center"/>
        <w:rPr>
          <w:rFonts w:ascii="宋体" w:hAnsi="宋体" w:cs="宋体"/>
          <w:b/>
          <w:color w:val="auto"/>
          <w:spacing w:val="6"/>
          <w:sz w:val="32"/>
          <w:szCs w:val="32"/>
          <w:highlight w:val="none"/>
        </w:rPr>
      </w:pPr>
    </w:p>
    <w:p w14:paraId="1815C884">
      <w:pPr>
        <w:spacing w:line="360" w:lineRule="auto"/>
        <w:jc w:val="center"/>
        <w:rPr>
          <w:rFonts w:ascii="宋体" w:hAnsi="宋体" w:cs="宋体"/>
          <w:b/>
          <w:color w:val="auto"/>
          <w:spacing w:val="6"/>
          <w:sz w:val="32"/>
          <w:szCs w:val="32"/>
          <w:highlight w:val="none"/>
        </w:rPr>
      </w:pPr>
    </w:p>
    <w:p w14:paraId="200BC2EE">
      <w:pPr>
        <w:spacing w:line="360" w:lineRule="auto"/>
        <w:jc w:val="center"/>
        <w:rPr>
          <w:rFonts w:ascii="宋体" w:hAnsi="宋体" w:cs="宋体"/>
          <w:b/>
          <w:color w:val="auto"/>
          <w:spacing w:val="6"/>
          <w:sz w:val="32"/>
          <w:szCs w:val="32"/>
          <w:highlight w:val="none"/>
        </w:rPr>
      </w:pPr>
    </w:p>
    <w:p w14:paraId="25A73FF8">
      <w:pPr>
        <w:spacing w:line="360" w:lineRule="auto"/>
        <w:jc w:val="center"/>
        <w:rPr>
          <w:rFonts w:ascii="宋体" w:hAnsi="宋体" w:cs="宋体"/>
          <w:b/>
          <w:color w:val="auto"/>
          <w:spacing w:val="6"/>
          <w:sz w:val="32"/>
          <w:szCs w:val="32"/>
          <w:highlight w:val="none"/>
        </w:rPr>
      </w:pPr>
    </w:p>
    <w:p w14:paraId="69BC6D59">
      <w:pPr>
        <w:spacing w:line="360" w:lineRule="auto"/>
        <w:jc w:val="center"/>
        <w:rPr>
          <w:rFonts w:ascii="宋体" w:hAnsi="宋体" w:cs="宋体"/>
          <w:b/>
          <w:color w:val="auto"/>
          <w:spacing w:val="6"/>
          <w:sz w:val="32"/>
          <w:szCs w:val="32"/>
          <w:highlight w:val="none"/>
        </w:rPr>
      </w:pPr>
    </w:p>
    <w:p w14:paraId="7DE97BE9">
      <w:pPr>
        <w:spacing w:line="360" w:lineRule="auto"/>
        <w:jc w:val="center"/>
        <w:rPr>
          <w:rFonts w:ascii="宋体" w:hAnsi="宋体" w:cs="宋体"/>
          <w:b/>
          <w:color w:val="auto"/>
          <w:spacing w:val="6"/>
          <w:sz w:val="32"/>
          <w:szCs w:val="32"/>
          <w:highlight w:val="none"/>
        </w:rPr>
      </w:pPr>
    </w:p>
    <w:p w14:paraId="434BFE9B">
      <w:pPr>
        <w:spacing w:line="360" w:lineRule="auto"/>
        <w:jc w:val="center"/>
        <w:rPr>
          <w:rFonts w:ascii="宋体" w:hAnsi="宋体" w:cs="宋体"/>
          <w:b/>
          <w:color w:val="auto"/>
          <w:spacing w:val="6"/>
          <w:sz w:val="32"/>
          <w:szCs w:val="32"/>
          <w:highlight w:val="none"/>
        </w:rPr>
      </w:pPr>
    </w:p>
    <w:p w14:paraId="567E15BF">
      <w:pPr>
        <w:spacing w:line="360" w:lineRule="auto"/>
        <w:jc w:val="center"/>
        <w:rPr>
          <w:rFonts w:ascii="宋体" w:hAnsi="宋体" w:cs="宋体"/>
          <w:b/>
          <w:color w:val="auto"/>
          <w:spacing w:val="6"/>
          <w:sz w:val="32"/>
          <w:szCs w:val="32"/>
          <w:highlight w:val="none"/>
        </w:rPr>
      </w:pPr>
    </w:p>
    <w:p w14:paraId="6309732E">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附件3：投诉书范本及制作说明</w:t>
      </w:r>
    </w:p>
    <w:p w14:paraId="67EBBD38">
      <w:pPr>
        <w:spacing w:line="360" w:lineRule="auto"/>
        <w:jc w:val="center"/>
        <w:rPr>
          <w:rFonts w:ascii="宋体" w:hAnsi="宋体" w:cs="宋体"/>
          <w:b/>
          <w:color w:val="auto"/>
          <w:sz w:val="24"/>
          <w:highlight w:val="none"/>
        </w:rPr>
      </w:pPr>
    </w:p>
    <w:p w14:paraId="43F4D333">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投诉书范本</w:t>
      </w:r>
    </w:p>
    <w:p w14:paraId="5324FD3D">
      <w:pPr>
        <w:spacing w:line="360" w:lineRule="auto"/>
        <w:rPr>
          <w:rFonts w:ascii="宋体" w:hAnsi="宋体" w:cs="宋体"/>
          <w:color w:val="auto"/>
          <w:sz w:val="24"/>
          <w:highlight w:val="none"/>
        </w:rPr>
      </w:pPr>
      <w:r>
        <w:rPr>
          <w:rFonts w:hint="eastAsia" w:ascii="宋体" w:hAnsi="宋体" w:cs="宋体"/>
          <w:color w:val="auto"/>
          <w:sz w:val="24"/>
          <w:highlight w:val="none"/>
        </w:rPr>
        <w:t>一、投诉相关主体基本情况</w:t>
      </w:r>
    </w:p>
    <w:p w14:paraId="0D988A9A">
      <w:pPr>
        <w:spacing w:line="360" w:lineRule="auto"/>
        <w:rPr>
          <w:rFonts w:ascii="宋体" w:hAnsi="宋体" w:cs="宋体"/>
          <w:color w:val="auto"/>
          <w:sz w:val="24"/>
          <w:highlight w:val="none"/>
          <w:u w:val="dotted"/>
        </w:rPr>
      </w:pPr>
      <w:r>
        <w:rPr>
          <w:rFonts w:hint="eastAsia" w:ascii="宋体" w:hAnsi="宋体" w:cs="宋体"/>
          <w:color w:val="auto"/>
          <w:sz w:val="24"/>
          <w:highlight w:val="none"/>
        </w:rPr>
        <w:t>投诉人：</w:t>
      </w:r>
      <w:r>
        <w:rPr>
          <w:rFonts w:hint="eastAsia" w:ascii="宋体" w:hAnsi="宋体" w:cs="宋体"/>
          <w:color w:val="auto"/>
          <w:sz w:val="24"/>
          <w:highlight w:val="none"/>
          <w:u w:val="dotted"/>
        </w:rPr>
        <w:t xml:space="preserve">                                               </w:t>
      </w:r>
    </w:p>
    <w:p w14:paraId="3FA3462C">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5A976136">
      <w:pPr>
        <w:tabs>
          <w:tab w:val="left" w:pos="6510"/>
        </w:tabs>
        <w:spacing w:line="360" w:lineRule="auto"/>
        <w:jc w:val="left"/>
        <w:rPr>
          <w:rFonts w:ascii="宋体" w:hAnsi="宋体" w:cs="宋体"/>
          <w:color w:val="auto"/>
          <w:sz w:val="24"/>
          <w:highlight w:val="none"/>
        </w:rPr>
      </w:pPr>
      <w:r>
        <w:rPr>
          <w:rFonts w:hint="eastAsia" w:ascii="宋体" w:hAnsi="宋体" w:cs="宋体"/>
          <w:color w:val="auto"/>
          <w:sz w:val="24"/>
          <w:highlight w:val="none"/>
        </w:rPr>
        <w:t>法定代表人/主要负责人：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5B98990">
      <w:pPr>
        <w:tabs>
          <w:tab w:val="left" w:pos="6510"/>
        </w:tabs>
        <w:spacing w:line="360" w:lineRule="auto"/>
        <w:rPr>
          <w:rFonts w:ascii="宋体" w:hAnsi="宋体" w:cs="宋体"/>
          <w:color w:val="auto"/>
          <w:sz w:val="24"/>
          <w:highlight w:val="none"/>
          <w:u w:val="dotted"/>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44DC2D75">
      <w:pPr>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0F4BBEC4">
      <w:pPr>
        <w:spacing w:line="360" w:lineRule="auto"/>
        <w:rPr>
          <w:rFonts w:ascii="宋体" w:hAnsi="宋体" w:cs="宋体"/>
          <w:color w:val="auto"/>
          <w:sz w:val="24"/>
          <w:highlight w:val="none"/>
          <w:u w:val="dotted"/>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dotted"/>
        </w:rPr>
        <w:t xml:space="preserve">                   </w:t>
      </w:r>
    </w:p>
    <w:p w14:paraId="05D5A1A5">
      <w:pPr>
        <w:spacing w:line="360" w:lineRule="auto"/>
        <w:rPr>
          <w:rFonts w:ascii="宋体" w:hAnsi="宋体" w:cs="宋体"/>
          <w:color w:val="auto"/>
          <w:sz w:val="24"/>
          <w:highlight w:val="none"/>
          <w:u w:val="single"/>
        </w:rPr>
      </w:pPr>
      <w:r>
        <w:rPr>
          <w:rFonts w:hint="eastAsia" w:ascii="宋体" w:hAnsi="宋体" w:cs="宋体"/>
          <w:color w:val="auto"/>
          <w:sz w:val="24"/>
          <w:highlight w:val="none"/>
        </w:rPr>
        <w:t>被投诉人1：</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28F0D22C">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FF70B72">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F7E33DC">
      <w:pPr>
        <w:spacing w:line="360" w:lineRule="auto"/>
        <w:rPr>
          <w:rFonts w:ascii="宋体" w:hAnsi="宋体" w:cs="宋体"/>
          <w:color w:val="auto"/>
          <w:sz w:val="24"/>
          <w:highlight w:val="none"/>
        </w:rPr>
      </w:pPr>
      <w:r>
        <w:rPr>
          <w:rFonts w:hint="eastAsia" w:ascii="宋体" w:hAnsi="宋体" w:cs="宋体"/>
          <w:color w:val="auto"/>
          <w:sz w:val="24"/>
          <w:highlight w:val="none"/>
        </w:rPr>
        <w:t>被投诉人2</w:t>
      </w:r>
    </w:p>
    <w:p w14:paraId="2C66C614">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68D2F743">
      <w:pPr>
        <w:spacing w:line="360" w:lineRule="auto"/>
        <w:rPr>
          <w:rFonts w:ascii="宋体" w:hAnsi="宋体" w:cs="宋体"/>
          <w:color w:val="auto"/>
          <w:sz w:val="24"/>
          <w:highlight w:val="none"/>
          <w:u w:val="single"/>
        </w:rPr>
      </w:pPr>
      <w:r>
        <w:rPr>
          <w:rFonts w:hint="eastAsia" w:ascii="宋体" w:hAnsi="宋体" w:cs="宋体"/>
          <w:color w:val="auto"/>
          <w:sz w:val="24"/>
          <w:highlight w:val="none"/>
        </w:rPr>
        <w:t>相关供应商：</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4BC02E8B">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7D34951">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7B78A17">
      <w:pPr>
        <w:spacing w:line="360" w:lineRule="auto"/>
        <w:rPr>
          <w:rFonts w:ascii="宋体" w:hAnsi="宋体" w:cs="宋体"/>
          <w:color w:val="auto"/>
          <w:sz w:val="24"/>
          <w:highlight w:val="none"/>
        </w:rPr>
      </w:pPr>
      <w:r>
        <w:rPr>
          <w:rFonts w:hint="eastAsia" w:ascii="宋体" w:hAnsi="宋体" w:cs="宋体"/>
          <w:color w:val="auto"/>
          <w:sz w:val="24"/>
          <w:highlight w:val="none"/>
        </w:rPr>
        <w:t>二、投诉项目基本情况</w:t>
      </w:r>
    </w:p>
    <w:p w14:paraId="6859BB6B">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采购项目名称：</w:t>
      </w:r>
      <w:r>
        <w:rPr>
          <w:rFonts w:hint="eastAsia" w:ascii="宋体" w:hAnsi="宋体" w:cs="宋体"/>
          <w:color w:val="auto"/>
          <w:sz w:val="24"/>
          <w:highlight w:val="none"/>
          <w:u w:val="dotted"/>
        </w:rPr>
        <w:t xml:space="preserve">                                        </w:t>
      </w:r>
    </w:p>
    <w:p w14:paraId="5AEC2666">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采购项目编号：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25B78CAC">
      <w:pPr>
        <w:spacing w:line="360" w:lineRule="auto"/>
        <w:rPr>
          <w:rFonts w:ascii="宋体" w:hAnsi="宋体" w:cs="宋体"/>
          <w:color w:val="auto"/>
          <w:sz w:val="24"/>
          <w:highlight w:val="none"/>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1FECDA4F">
      <w:pPr>
        <w:spacing w:line="360" w:lineRule="auto"/>
        <w:rPr>
          <w:rFonts w:ascii="宋体" w:hAnsi="宋体" w:cs="宋体"/>
          <w:color w:val="auto"/>
          <w:sz w:val="24"/>
          <w:highlight w:val="none"/>
          <w:u w:val="single"/>
        </w:rPr>
      </w:pPr>
      <w:r>
        <w:rPr>
          <w:rFonts w:hint="eastAsia" w:ascii="宋体" w:hAnsi="宋体" w:cs="宋体"/>
          <w:color w:val="auto"/>
          <w:sz w:val="24"/>
          <w:highlight w:val="none"/>
        </w:rPr>
        <w:t>代理机构名称：</w:t>
      </w:r>
      <w:r>
        <w:rPr>
          <w:rFonts w:hint="eastAsia" w:ascii="宋体" w:hAnsi="宋体" w:cs="宋体"/>
          <w:color w:val="auto"/>
          <w:sz w:val="24"/>
          <w:highlight w:val="none"/>
          <w:u w:val="dotted"/>
        </w:rPr>
        <w:t xml:space="preserve">                                         </w:t>
      </w:r>
    </w:p>
    <w:p w14:paraId="63517826">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采购文件公告: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68F52635">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采购结果公告: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289F5296">
      <w:pPr>
        <w:spacing w:line="360" w:lineRule="auto"/>
        <w:rPr>
          <w:rFonts w:ascii="宋体" w:hAnsi="宋体" w:cs="宋体"/>
          <w:color w:val="auto"/>
          <w:sz w:val="24"/>
          <w:highlight w:val="none"/>
        </w:rPr>
      </w:pPr>
      <w:r>
        <w:rPr>
          <w:rFonts w:hint="eastAsia" w:ascii="宋体" w:hAnsi="宋体" w:cs="宋体"/>
          <w:color w:val="auto"/>
          <w:sz w:val="24"/>
          <w:highlight w:val="none"/>
        </w:rPr>
        <w:t>三、质疑基本情况</w:t>
      </w:r>
    </w:p>
    <w:p w14:paraId="4FC49EFF">
      <w:pPr>
        <w:spacing w:line="360" w:lineRule="auto"/>
        <w:ind w:firstLine="480" w:firstLineChars="200"/>
        <w:rPr>
          <w:rFonts w:ascii="宋体" w:hAnsi="宋体" w:cs="宋体"/>
          <w:color w:val="auto"/>
          <w:sz w:val="24"/>
          <w:highlight w:val="none"/>
          <w:u w:val="dotted"/>
        </w:rPr>
      </w:pPr>
      <w:r>
        <w:rPr>
          <w:rFonts w:hint="eastAsia" w:ascii="宋体" w:hAnsi="宋体" w:cs="宋体"/>
          <w:color w:val="auto"/>
          <w:sz w:val="24"/>
          <w:highlight w:val="none"/>
        </w:rPr>
        <w:t>投诉人于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日,向</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提出质疑，质疑事项为：</w:t>
      </w:r>
      <w:r>
        <w:rPr>
          <w:rFonts w:hint="eastAsia" w:ascii="宋体" w:hAnsi="宋体" w:cs="宋体"/>
          <w:color w:val="auto"/>
          <w:sz w:val="24"/>
          <w:highlight w:val="none"/>
          <w:u w:val="dotted"/>
        </w:rPr>
        <w:t xml:space="preserve">                                </w:t>
      </w:r>
    </w:p>
    <w:p w14:paraId="207EFB47">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4593A7F2">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u w:val="dotted"/>
        </w:rPr>
        <w:t>采购人/代理机构</w:t>
      </w:r>
      <w:r>
        <w:rPr>
          <w:rFonts w:hint="eastAsia" w:ascii="宋体" w:hAnsi="宋体" w:cs="宋体"/>
          <w:color w:val="auto"/>
          <w:sz w:val="24"/>
          <w:highlight w:val="none"/>
        </w:rPr>
        <w:t>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日,就质疑事项作出了答复/没有在法定期限内作出答复。</w:t>
      </w:r>
    </w:p>
    <w:p w14:paraId="43D12CE9">
      <w:pPr>
        <w:spacing w:line="360" w:lineRule="auto"/>
        <w:rPr>
          <w:rFonts w:ascii="宋体" w:hAnsi="宋体" w:cs="宋体"/>
          <w:color w:val="auto"/>
          <w:sz w:val="24"/>
          <w:highlight w:val="none"/>
        </w:rPr>
      </w:pPr>
      <w:r>
        <w:rPr>
          <w:rFonts w:hint="eastAsia" w:ascii="宋体" w:hAnsi="宋体" w:cs="宋体"/>
          <w:color w:val="auto"/>
          <w:sz w:val="24"/>
          <w:highlight w:val="none"/>
        </w:rPr>
        <w:t>四、投诉事项具体内容</w:t>
      </w:r>
    </w:p>
    <w:p w14:paraId="45BF0934">
      <w:pPr>
        <w:spacing w:line="360" w:lineRule="auto"/>
        <w:rPr>
          <w:rFonts w:ascii="宋体" w:hAnsi="宋体" w:cs="宋体"/>
          <w:color w:val="auto"/>
          <w:sz w:val="24"/>
          <w:highlight w:val="none"/>
          <w:u w:val="single"/>
        </w:rPr>
      </w:pPr>
      <w:r>
        <w:rPr>
          <w:rFonts w:hint="eastAsia" w:ascii="宋体" w:hAnsi="宋体" w:cs="宋体"/>
          <w:color w:val="auto"/>
          <w:sz w:val="24"/>
          <w:highlight w:val="none"/>
        </w:rPr>
        <w:t>投诉事项 1：</w:t>
      </w:r>
      <w:r>
        <w:rPr>
          <w:rFonts w:hint="eastAsia" w:ascii="宋体" w:hAnsi="宋体" w:cs="宋体"/>
          <w:color w:val="auto"/>
          <w:sz w:val="24"/>
          <w:highlight w:val="none"/>
          <w:u w:val="dotted"/>
        </w:rPr>
        <w:t xml:space="preserve">                                       </w:t>
      </w:r>
    </w:p>
    <w:p w14:paraId="53D08A01">
      <w:pPr>
        <w:spacing w:line="360" w:lineRule="auto"/>
        <w:rPr>
          <w:rFonts w:ascii="宋体" w:hAnsi="宋体" w:cs="宋体"/>
          <w:color w:val="auto"/>
          <w:sz w:val="24"/>
          <w:highlight w:val="none"/>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6E15E12E">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5841672F">
      <w:pPr>
        <w:spacing w:line="360" w:lineRule="auto"/>
        <w:rPr>
          <w:rFonts w:ascii="宋体" w:hAnsi="宋体" w:cs="宋体"/>
          <w:color w:val="auto"/>
          <w:sz w:val="24"/>
          <w:highlight w:val="none"/>
          <w:u w:val="single"/>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2A5E66A6">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465EA23D">
      <w:pPr>
        <w:spacing w:line="360" w:lineRule="auto"/>
        <w:rPr>
          <w:rFonts w:ascii="宋体" w:hAnsi="宋体" w:cs="宋体"/>
          <w:color w:val="auto"/>
          <w:sz w:val="24"/>
          <w:highlight w:val="none"/>
        </w:rPr>
      </w:pPr>
      <w:r>
        <w:rPr>
          <w:rFonts w:hint="eastAsia" w:ascii="宋体" w:hAnsi="宋体" w:cs="宋体"/>
          <w:color w:val="auto"/>
          <w:sz w:val="24"/>
          <w:highlight w:val="none"/>
        </w:rPr>
        <w:t>投诉事项2</w:t>
      </w:r>
    </w:p>
    <w:p w14:paraId="0DB0A7D8">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776A2123">
      <w:pPr>
        <w:spacing w:line="360" w:lineRule="auto"/>
        <w:rPr>
          <w:rFonts w:ascii="宋体" w:hAnsi="宋体" w:cs="宋体"/>
          <w:color w:val="auto"/>
          <w:sz w:val="24"/>
          <w:highlight w:val="none"/>
        </w:rPr>
      </w:pPr>
      <w:r>
        <w:rPr>
          <w:rFonts w:hint="eastAsia" w:ascii="宋体" w:hAnsi="宋体" w:cs="宋体"/>
          <w:color w:val="auto"/>
          <w:sz w:val="24"/>
          <w:highlight w:val="none"/>
        </w:rPr>
        <w:t>五、与投诉事项相关的投诉请求</w:t>
      </w:r>
    </w:p>
    <w:p w14:paraId="416E2058">
      <w:pPr>
        <w:spacing w:line="360" w:lineRule="auto"/>
        <w:rPr>
          <w:rFonts w:ascii="宋体" w:hAnsi="宋体" w:cs="宋体"/>
          <w:color w:val="auto"/>
          <w:sz w:val="24"/>
          <w:highlight w:val="none"/>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4279AD32">
      <w:pPr>
        <w:spacing w:line="360" w:lineRule="auto"/>
        <w:rPr>
          <w:rFonts w:ascii="宋体" w:hAnsi="宋体" w:cs="宋体"/>
          <w:color w:val="auto"/>
          <w:sz w:val="24"/>
          <w:highlight w:val="none"/>
          <w:u w:val="single"/>
        </w:rPr>
      </w:pPr>
      <w:r>
        <w:rPr>
          <w:rFonts w:hint="eastAsia" w:ascii="宋体" w:hAnsi="宋体" w:cs="宋体"/>
          <w:color w:val="auto"/>
          <w:sz w:val="24"/>
          <w:highlight w:val="none"/>
        </w:rPr>
        <w:t xml:space="preserve">                                                                                                    </w:t>
      </w:r>
    </w:p>
    <w:p w14:paraId="2A73DB0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1C832235">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0C98C8D3">
      <w:pPr>
        <w:spacing w:line="360" w:lineRule="auto"/>
        <w:rPr>
          <w:rFonts w:ascii="宋体" w:hAnsi="宋体" w:cs="宋体"/>
          <w:b/>
          <w:color w:val="auto"/>
          <w:sz w:val="24"/>
          <w:highlight w:val="none"/>
        </w:rPr>
      </w:pPr>
    </w:p>
    <w:p w14:paraId="689B8863">
      <w:pPr>
        <w:spacing w:line="360" w:lineRule="auto"/>
        <w:rPr>
          <w:rFonts w:ascii="宋体" w:hAnsi="宋体" w:cs="宋体"/>
          <w:b/>
          <w:color w:val="auto"/>
          <w:sz w:val="24"/>
          <w:highlight w:val="none"/>
        </w:rPr>
      </w:pPr>
    </w:p>
    <w:p w14:paraId="794BBCC8">
      <w:pPr>
        <w:spacing w:line="360" w:lineRule="auto"/>
        <w:rPr>
          <w:rFonts w:ascii="宋体" w:hAnsi="宋体" w:cs="宋体"/>
          <w:b/>
          <w:color w:val="auto"/>
          <w:sz w:val="24"/>
          <w:highlight w:val="none"/>
        </w:rPr>
      </w:pPr>
      <w:r>
        <w:rPr>
          <w:rFonts w:hint="eastAsia" w:ascii="宋体" w:hAnsi="宋体" w:cs="宋体"/>
          <w:b/>
          <w:color w:val="auto"/>
          <w:sz w:val="24"/>
          <w:highlight w:val="none"/>
        </w:rPr>
        <w:t>投诉书制作说明：</w:t>
      </w:r>
    </w:p>
    <w:p w14:paraId="0886496D">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1.投诉人提起投诉时，应当提交投诉书和必要的证明材料，并按照被投诉人和与投诉事项有关的供应商数量提供投诉书副本。</w:t>
      </w:r>
    </w:p>
    <w:p w14:paraId="23AB1DC6">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2.投诉人若委托代理人进行投诉的，投诉书应按照要求列明“授权代表”的有关内容，并在附件中提交由</w:t>
      </w:r>
      <w:r>
        <w:rPr>
          <w:rFonts w:hint="eastAsia" w:ascii="宋体" w:hAnsi="宋体" w:cs="宋体"/>
          <w:color w:val="auto"/>
          <w:kern w:val="0"/>
          <w:sz w:val="24"/>
          <w:highlight w:val="none"/>
        </w:rPr>
        <w:t>投诉人签署的授权委托书。授权委托书应当载明代理人的姓名或者名称、代理事项、具体权限、期限和相关事项。</w:t>
      </w:r>
    </w:p>
    <w:p w14:paraId="3F935B85">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3.投诉人若对项目的某一分包进行投诉，投诉书应列明具体分包号。</w:t>
      </w:r>
    </w:p>
    <w:p w14:paraId="1C17BE47">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4.投诉书应简要列明质疑事项，质疑函、质疑答复等作为附件材料提供。</w:t>
      </w:r>
    </w:p>
    <w:p w14:paraId="744212B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5.投诉书的投诉事项应具体、明确，并有必要的事实依据和法律依据。</w:t>
      </w:r>
    </w:p>
    <w:p w14:paraId="1C68FDC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6.投诉书的投诉请求应与投诉事项相关。</w:t>
      </w:r>
    </w:p>
    <w:p w14:paraId="630930FD">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2F4C17D6">
      <w:pPr>
        <w:spacing w:line="360" w:lineRule="auto"/>
        <w:rPr>
          <w:rFonts w:ascii="宋体" w:hAnsi="宋体" w:cs="宋体"/>
          <w:b/>
          <w:color w:val="auto"/>
          <w:sz w:val="24"/>
          <w:highlight w:val="none"/>
        </w:rPr>
      </w:pPr>
    </w:p>
    <w:p w14:paraId="0AB2604D">
      <w:pPr>
        <w:autoSpaceDE w:val="0"/>
        <w:autoSpaceDN w:val="0"/>
        <w:jc w:val="center"/>
        <w:rPr>
          <w:rFonts w:ascii="宋体" w:hAnsi="宋体" w:cs="宋体"/>
          <w:b/>
          <w:color w:val="auto"/>
          <w:spacing w:val="6"/>
          <w:sz w:val="32"/>
          <w:szCs w:val="32"/>
          <w:highlight w:val="none"/>
        </w:rPr>
      </w:pPr>
    </w:p>
    <w:p w14:paraId="0D72E0F5">
      <w:pPr>
        <w:autoSpaceDE w:val="0"/>
        <w:autoSpaceDN w:val="0"/>
        <w:jc w:val="center"/>
        <w:rPr>
          <w:rFonts w:ascii="宋体" w:hAnsi="宋体" w:cs="宋体"/>
          <w:b/>
          <w:color w:val="auto"/>
          <w:spacing w:val="6"/>
          <w:sz w:val="32"/>
          <w:szCs w:val="32"/>
          <w:highlight w:val="none"/>
        </w:rPr>
      </w:pPr>
    </w:p>
    <w:p w14:paraId="14AA2F59">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附件4：</w:t>
      </w:r>
      <w:r>
        <w:rPr>
          <w:rFonts w:hint="eastAsia" w:ascii="宋体" w:hAnsi="宋体" w:cs="宋体"/>
          <w:b/>
          <w:bCs/>
          <w:color w:val="auto"/>
          <w:sz w:val="32"/>
          <w:szCs w:val="32"/>
          <w:highlight w:val="none"/>
        </w:rPr>
        <w:t>业务专用章使用说明函</w:t>
      </w:r>
    </w:p>
    <w:p w14:paraId="46494F7E">
      <w:pPr>
        <w:spacing w:line="360" w:lineRule="auto"/>
        <w:rPr>
          <w:rFonts w:ascii="宋体" w:hAnsi="宋体" w:cs="宋体"/>
          <w:color w:val="auto"/>
          <w:sz w:val="24"/>
          <w:highlight w:val="none"/>
          <w:u w:val="single"/>
        </w:rPr>
      </w:pPr>
    </w:p>
    <w:p w14:paraId="2971BA16">
      <w:pPr>
        <w:spacing w:line="360" w:lineRule="auto"/>
        <w:rPr>
          <w:rFonts w:ascii="宋体" w:hAnsi="宋体" w:cs="宋体"/>
          <w:color w:val="auto"/>
          <w:sz w:val="24"/>
          <w:highlight w:val="none"/>
        </w:rPr>
      </w:pPr>
      <w:r>
        <w:rPr>
          <w:rFonts w:hint="eastAsia" w:ascii="宋体" w:hAnsi="宋体" w:cs="宋体"/>
          <w:color w:val="auto"/>
          <w:sz w:val="24"/>
          <w:highlight w:val="none"/>
          <w:u w:val="single"/>
        </w:rPr>
        <w:t>（采购人）、（采购代理机构）：</w:t>
      </w:r>
    </w:p>
    <w:p w14:paraId="41A39DB2">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我方</w:t>
      </w:r>
      <w:r>
        <w:rPr>
          <w:rFonts w:hint="eastAsia" w:ascii="宋体" w:hAnsi="宋体" w:cs="宋体"/>
          <w:color w:val="auto"/>
          <w:kern w:val="0"/>
          <w:sz w:val="24"/>
          <w:highlight w:val="none"/>
          <w:u w:val="single"/>
          <w:lang w:val="zh-CN"/>
        </w:rPr>
        <w:t xml:space="preserve">                         </w:t>
      </w:r>
      <w:r>
        <w:rPr>
          <w:rFonts w:hint="eastAsia" w:ascii="宋体" w:hAnsi="宋体" w:cs="宋体"/>
          <w:color w:val="auto"/>
          <w:sz w:val="24"/>
          <w:highlight w:val="none"/>
        </w:rPr>
        <w:t>(投标人全称)是中华人民共和国依法登记注册的合法企业，</w:t>
      </w:r>
      <w:r>
        <w:rPr>
          <w:rFonts w:hint="eastAsia" w:ascii="宋体" w:hAnsi="宋体" w:cs="宋体"/>
          <w:bCs/>
          <w:color w:val="auto"/>
          <w:sz w:val="24"/>
          <w:highlight w:val="none"/>
        </w:rPr>
        <w:t>在参加</w:t>
      </w:r>
      <w:r>
        <w:rPr>
          <w:rFonts w:hint="eastAsia" w:ascii="宋体" w:hAnsi="宋体" w:cs="宋体"/>
          <w:color w:val="auto"/>
          <w:sz w:val="24"/>
          <w:highlight w:val="none"/>
        </w:rPr>
        <w:t>你方组织的（项目名称）【招标编号：（采购编号）】</w:t>
      </w:r>
      <w:r>
        <w:rPr>
          <w:rFonts w:hint="eastAsia" w:ascii="宋体" w:hAnsi="宋体" w:cs="宋体"/>
          <w:bCs/>
          <w:color w:val="auto"/>
          <w:sz w:val="24"/>
          <w:highlight w:val="none"/>
        </w:rPr>
        <w:t>投标活动中作如下说明：</w:t>
      </w:r>
      <w:r>
        <w:rPr>
          <w:rFonts w:hint="eastAsia" w:ascii="宋体" w:hAnsi="宋体" w:cs="宋体"/>
          <w:color w:val="auto"/>
          <w:sz w:val="24"/>
          <w:highlight w:val="none"/>
        </w:rPr>
        <w:t xml:space="preserve">我方所使用的“XX专用章”与法定名称章具有同等的法律效力，对使用“XX专用章”的行为予以完全承认，并愿意承担相应责任。   </w:t>
      </w:r>
    </w:p>
    <w:p w14:paraId="5B5F22D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特此说明。</w:t>
      </w:r>
    </w:p>
    <w:p w14:paraId="7A885F93">
      <w:pPr>
        <w:spacing w:line="360" w:lineRule="auto"/>
        <w:ind w:firstLine="494"/>
        <w:rPr>
          <w:rFonts w:ascii="宋体" w:hAnsi="宋体" w:cs="宋体"/>
          <w:color w:val="auto"/>
          <w:sz w:val="24"/>
          <w:highlight w:val="none"/>
        </w:rPr>
      </w:pPr>
    </w:p>
    <w:p w14:paraId="662EE83D">
      <w:pPr>
        <w:spacing w:line="360" w:lineRule="auto"/>
        <w:ind w:firstLine="494"/>
        <w:rPr>
          <w:rFonts w:ascii="宋体" w:hAnsi="宋体" w:cs="宋体"/>
          <w:color w:val="auto"/>
          <w:sz w:val="24"/>
          <w:highlight w:val="none"/>
        </w:rPr>
      </w:pPr>
    </w:p>
    <w:p w14:paraId="27B57B97">
      <w:pPr>
        <w:spacing w:line="360" w:lineRule="auto"/>
        <w:ind w:firstLine="494"/>
        <w:rPr>
          <w:rFonts w:ascii="宋体" w:hAnsi="宋体" w:cs="宋体"/>
          <w:color w:val="auto"/>
          <w:sz w:val="24"/>
          <w:highlight w:val="none"/>
        </w:rPr>
      </w:pPr>
    </w:p>
    <w:p w14:paraId="7B6165D1">
      <w:pPr>
        <w:spacing w:line="360" w:lineRule="auto"/>
        <w:ind w:right="480" w:firstLine="4080" w:firstLineChars="1700"/>
        <w:rPr>
          <w:rFonts w:ascii="宋体" w:hAnsi="宋体" w:cs="宋体"/>
          <w:color w:val="auto"/>
          <w:sz w:val="24"/>
          <w:highlight w:val="none"/>
        </w:rPr>
      </w:pPr>
      <w:r>
        <w:rPr>
          <w:rFonts w:hint="eastAsia" w:ascii="宋体" w:hAnsi="宋体" w:cs="宋体"/>
          <w:color w:val="auto"/>
          <w:sz w:val="24"/>
          <w:highlight w:val="none"/>
        </w:rPr>
        <w:t>投标单位（法定名称章）：</w:t>
      </w:r>
    </w:p>
    <w:p w14:paraId="77B39E51">
      <w:pPr>
        <w:ind w:right="1440" w:firstLine="494"/>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34F0371F">
      <w:pPr>
        <w:rPr>
          <w:rFonts w:ascii="宋体" w:hAnsi="宋体" w:cs="宋体"/>
          <w:color w:val="auto"/>
          <w:sz w:val="24"/>
          <w:highlight w:val="none"/>
        </w:rPr>
      </w:pPr>
      <w:r>
        <w:rPr>
          <w:rFonts w:hint="eastAsia" w:ascii="宋体" w:hAnsi="宋体" w:cs="宋体"/>
          <w:b/>
          <w:bCs/>
          <w:color w:val="auto"/>
          <w:sz w:val="24"/>
          <w:highlight w:val="none"/>
        </w:rPr>
        <w:t>附：</w:t>
      </w:r>
    </w:p>
    <w:p w14:paraId="64A70700">
      <w:pPr>
        <w:spacing w:line="360" w:lineRule="auto"/>
        <w:rPr>
          <w:rFonts w:ascii="宋体" w:hAnsi="宋体" w:cs="宋体"/>
          <w:bCs/>
          <w:color w:val="auto"/>
          <w:sz w:val="24"/>
          <w:highlight w:val="none"/>
        </w:rPr>
      </w:pPr>
      <w:r>
        <w:rPr>
          <w:rFonts w:hint="eastAsia" w:ascii="宋体" w:hAnsi="宋体"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color w:val="auto"/>
          <w:sz w:val="24"/>
          <w:highlight w:val="none"/>
        </w:rPr>
        <w:t>投标单位法定名称章（印模）                投标单位“XX专用章”（印模）</w:t>
      </w:r>
    </w:p>
    <w:p w14:paraId="367FF1D6">
      <w:pPr>
        <w:autoSpaceDE w:val="0"/>
        <w:autoSpaceDN w:val="0"/>
        <w:jc w:val="center"/>
        <w:rPr>
          <w:rFonts w:ascii="宋体" w:hAnsi="宋体" w:cs="宋体"/>
          <w:b/>
          <w:color w:val="auto"/>
          <w:spacing w:val="6"/>
          <w:sz w:val="32"/>
          <w:szCs w:val="32"/>
          <w:highlight w:val="none"/>
        </w:rPr>
      </w:pPr>
    </w:p>
    <w:p w14:paraId="679A45D0">
      <w:pPr>
        <w:autoSpaceDE w:val="0"/>
        <w:autoSpaceDN w:val="0"/>
        <w:jc w:val="center"/>
        <w:rPr>
          <w:rFonts w:ascii="宋体" w:hAnsi="宋体" w:cs="宋体"/>
          <w:b/>
          <w:color w:val="auto"/>
          <w:spacing w:val="6"/>
          <w:sz w:val="32"/>
          <w:szCs w:val="32"/>
          <w:highlight w:val="none"/>
        </w:rPr>
      </w:pPr>
    </w:p>
    <w:p w14:paraId="19111787">
      <w:pPr>
        <w:autoSpaceDE w:val="0"/>
        <w:autoSpaceDN w:val="0"/>
        <w:jc w:val="center"/>
        <w:rPr>
          <w:rFonts w:ascii="宋体" w:hAnsi="宋体" w:cs="宋体"/>
          <w:b/>
          <w:color w:val="auto"/>
          <w:spacing w:val="6"/>
          <w:sz w:val="32"/>
          <w:szCs w:val="32"/>
          <w:highlight w:val="none"/>
        </w:rPr>
      </w:pPr>
    </w:p>
    <w:p w14:paraId="181EDC06">
      <w:pPr>
        <w:autoSpaceDE w:val="0"/>
        <w:autoSpaceDN w:val="0"/>
        <w:jc w:val="center"/>
        <w:rPr>
          <w:rFonts w:ascii="宋体" w:hAnsi="宋体" w:cs="宋体"/>
          <w:b/>
          <w:color w:val="auto"/>
          <w:spacing w:val="6"/>
          <w:sz w:val="32"/>
          <w:szCs w:val="32"/>
          <w:highlight w:val="none"/>
        </w:rPr>
      </w:pPr>
    </w:p>
    <w:p w14:paraId="7D87E127">
      <w:pPr>
        <w:autoSpaceDE w:val="0"/>
        <w:autoSpaceDN w:val="0"/>
        <w:jc w:val="center"/>
        <w:rPr>
          <w:rFonts w:ascii="宋体" w:hAnsi="宋体" w:cs="宋体"/>
          <w:b/>
          <w:color w:val="auto"/>
          <w:spacing w:val="6"/>
          <w:sz w:val="32"/>
          <w:szCs w:val="32"/>
          <w:highlight w:val="none"/>
        </w:rPr>
      </w:pPr>
    </w:p>
    <w:p w14:paraId="28CB3200">
      <w:pPr>
        <w:autoSpaceDE w:val="0"/>
        <w:autoSpaceDN w:val="0"/>
        <w:jc w:val="center"/>
        <w:rPr>
          <w:rFonts w:ascii="宋体" w:hAnsi="宋体" w:cs="宋体"/>
          <w:b/>
          <w:color w:val="auto"/>
          <w:spacing w:val="6"/>
          <w:sz w:val="32"/>
          <w:szCs w:val="32"/>
          <w:highlight w:val="none"/>
        </w:rPr>
      </w:pPr>
    </w:p>
    <w:p w14:paraId="21369EEA">
      <w:pPr>
        <w:autoSpaceDE w:val="0"/>
        <w:autoSpaceDN w:val="0"/>
        <w:jc w:val="center"/>
        <w:rPr>
          <w:rFonts w:ascii="宋体" w:hAnsi="宋体" w:cs="宋体"/>
          <w:b/>
          <w:color w:val="auto"/>
          <w:spacing w:val="6"/>
          <w:sz w:val="32"/>
          <w:szCs w:val="32"/>
          <w:highlight w:val="none"/>
        </w:rPr>
      </w:pPr>
    </w:p>
    <w:p w14:paraId="4B168072">
      <w:pPr>
        <w:autoSpaceDE w:val="0"/>
        <w:autoSpaceDN w:val="0"/>
        <w:jc w:val="center"/>
        <w:rPr>
          <w:rFonts w:ascii="宋体" w:hAnsi="宋体" w:cs="宋体"/>
          <w:b/>
          <w:color w:val="auto"/>
          <w:spacing w:val="6"/>
          <w:sz w:val="32"/>
          <w:szCs w:val="32"/>
          <w:highlight w:val="none"/>
        </w:rPr>
      </w:pPr>
    </w:p>
    <w:p w14:paraId="66F946FE">
      <w:pPr>
        <w:autoSpaceDE w:val="0"/>
        <w:autoSpaceDN w:val="0"/>
        <w:jc w:val="center"/>
        <w:rPr>
          <w:rFonts w:ascii="宋体" w:hAnsi="宋体" w:cs="宋体"/>
          <w:b/>
          <w:color w:val="auto"/>
          <w:spacing w:val="6"/>
          <w:sz w:val="32"/>
          <w:szCs w:val="32"/>
          <w:highlight w:val="none"/>
        </w:rPr>
      </w:pPr>
    </w:p>
    <w:p w14:paraId="39AEDDC7">
      <w:pPr>
        <w:autoSpaceDE w:val="0"/>
        <w:autoSpaceDN w:val="0"/>
        <w:jc w:val="center"/>
        <w:rPr>
          <w:rFonts w:ascii="宋体" w:hAnsi="宋体" w:cs="宋体"/>
          <w:b/>
          <w:color w:val="auto"/>
          <w:spacing w:val="6"/>
          <w:sz w:val="32"/>
          <w:szCs w:val="32"/>
          <w:highlight w:val="none"/>
        </w:rPr>
      </w:pPr>
    </w:p>
    <w:p w14:paraId="08101006">
      <w:pPr>
        <w:autoSpaceDE w:val="0"/>
        <w:autoSpaceDN w:val="0"/>
        <w:jc w:val="center"/>
        <w:rPr>
          <w:rFonts w:ascii="宋体" w:hAnsi="宋体" w:cs="宋体"/>
          <w:b/>
          <w:color w:val="auto"/>
          <w:spacing w:val="6"/>
          <w:sz w:val="32"/>
          <w:szCs w:val="32"/>
          <w:highlight w:val="none"/>
        </w:rPr>
      </w:pPr>
    </w:p>
    <w:p w14:paraId="3D1D636E">
      <w:pPr>
        <w:autoSpaceDE w:val="0"/>
        <w:autoSpaceDN w:val="0"/>
        <w:jc w:val="center"/>
        <w:rPr>
          <w:rFonts w:ascii="宋体" w:hAnsi="宋体" w:cs="宋体"/>
          <w:b/>
          <w:color w:val="auto"/>
          <w:spacing w:val="6"/>
          <w:sz w:val="32"/>
          <w:szCs w:val="32"/>
          <w:highlight w:val="none"/>
        </w:rPr>
      </w:pPr>
    </w:p>
    <w:p w14:paraId="608F60FB">
      <w:pPr>
        <w:autoSpaceDE w:val="0"/>
        <w:autoSpaceDN w:val="0"/>
        <w:jc w:val="center"/>
        <w:rPr>
          <w:rFonts w:ascii="宋体" w:hAnsi="宋体" w:cs="宋体"/>
          <w:b/>
          <w:color w:val="auto"/>
          <w:spacing w:val="6"/>
          <w:sz w:val="32"/>
          <w:szCs w:val="32"/>
          <w:highlight w:val="none"/>
        </w:rPr>
      </w:pPr>
    </w:p>
    <w:p w14:paraId="036BC359">
      <w:pPr>
        <w:autoSpaceDE w:val="0"/>
        <w:autoSpaceDN w:val="0"/>
        <w:jc w:val="center"/>
        <w:rPr>
          <w:rFonts w:ascii="宋体" w:hAnsi="宋体" w:cs="宋体"/>
          <w:b/>
          <w:color w:val="auto"/>
          <w:spacing w:val="6"/>
          <w:sz w:val="32"/>
          <w:szCs w:val="32"/>
          <w:highlight w:val="none"/>
        </w:rPr>
      </w:pPr>
    </w:p>
    <w:p w14:paraId="3C56EDBC">
      <w:pPr>
        <w:autoSpaceDE w:val="0"/>
        <w:autoSpaceDN w:val="0"/>
        <w:jc w:val="center"/>
        <w:rPr>
          <w:rFonts w:ascii="宋体" w:hAnsi="宋体" w:cs="宋体"/>
          <w:b/>
          <w:color w:val="auto"/>
          <w:spacing w:val="6"/>
          <w:sz w:val="32"/>
          <w:szCs w:val="32"/>
          <w:highlight w:val="none"/>
        </w:rPr>
      </w:pPr>
    </w:p>
    <w:p w14:paraId="77439B73">
      <w:pPr>
        <w:snapToGrid w:val="0"/>
        <w:spacing w:line="360" w:lineRule="auto"/>
        <w:jc w:val="center"/>
        <w:outlineLvl w:val="0"/>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w:t>
      </w:r>
      <w:r>
        <w:rPr>
          <w:rFonts w:ascii="宋体" w:hAnsi="宋体" w:cs="宋体"/>
          <w:b/>
          <w:color w:val="auto"/>
          <w:kern w:val="0"/>
          <w:sz w:val="32"/>
          <w:szCs w:val="32"/>
          <w:highlight w:val="none"/>
        </w:rPr>
        <w:t>5</w:t>
      </w:r>
      <w:r>
        <w:rPr>
          <w:rFonts w:hint="eastAsia" w:ascii="宋体" w:hAnsi="宋体" w:cs="宋体"/>
          <w:b/>
          <w:color w:val="auto"/>
          <w:kern w:val="0"/>
          <w:sz w:val="32"/>
          <w:szCs w:val="32"/>
          <w:highlight w:val="none"/>
        </w:rPr>
        <w:t>：联合协议</w:t>
      </w:r>
    </w:p>
    <w:p w14:paraId="099A0114">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（以联合体形式投标的，提供联合协议；本项目不接受联合体投标或者投标人不以联合体形式投标的，则不需要提供）</w:t>
      </w:r>
    </w:p>
    <w:p w14:paraId="492042E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（联合体所有成员名称）</w:t>
      </w:r>
      <w:r>
        <w:rPr>
          <w:rFonts w:hint="eastAsia" w:ascii="宋体" w:hAnsi="宋体" w:cs="宋体"/>
          <w:color w:val="auto"/>
          <w:kern w:val="0"/>
          <w:sz w:val="24"/>
          <w:highlight w:val="none"/>
        </w:rPr>
        <w:t>自愿</w:t>
      </w:r>
      <w:r>
        <w:rPr>
          <w:rFonts w:hint="eastAsia" w:ascii="宋体" w:hAnsi="宋体" w:cs="宋体"/>
          <w:color w:val="auto"/>
          <w:kern w:val="0"/>
          <w:sz w:val="24"/>
          <w:highlight w:val="none"/>
          <w:lang w:val="zh-CN"/>
        </w:rPr>
        <w:t>组成一个联合体，以一个投标人的身份</w:t>
      </w:r>
      <w:r>
        <w:rPr>
          <w:rFonts w:hint="eastAsia" w:ascii="宋体" w:hAnsi="宋体" w:cs="宋体"/>
          <w:color w:val="auto"/>
          <w:kern w:val="0"/>
          <w:sz w:val="24"/>
          <w:highlight w:val="none"/>
        </w:rPr>
        <w:t>参加</w:t>
      </w:r>
      <w:r>
        <w:rPr>
          <w:rFonts w:hint="eastAsia" w:ascii="宋体" w:hAnsi="宋体" w:cs="宋体"/>
          <w:color w:val="auto"/>
          <w:sz w:val="24"/>
          <w:highlight w:val="none"/>
        </w:rPr>
        <w:t>（项目名称）【招标编号：（采购编号）】</w:t>
      </w:r>
      <w:r>
        <w:rPr>
          <w:rFonts w:hint="eastAsia" w:ascii="宋体" w:hAnsi="宋体" w:cs="宋体"/>
          <w:color w:val="auto"/>
          <w:kern w:val="0"/>
          <w:sz w:val="24"/>
          <w:highlight w:val="none"/>
          <w:lang w:val="zh-CN"/>
        </w:rPr>
        <w:t xml:space="preserve">投标。 </w:t>
      </w:r>
    </w:p>
    <w:p w14:paraId="1F982F1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一、各方一致决定，</w:t>
      </w:r>
      <w:r>
        <w:rPr>
          <w:rFonts w:hint="eastAsia" w:ascii="宋体" w:hAnsi="宋体" w:cs="宋体"/>
          <w:color w:val="auto"/>
          <w:kern w:val="0"/>
          <w:sz w:val="24"/>
          <w:highlight w:val="none"/>
          <w:u w:val="single"/>
        </w:rPr>
        <w:t>（某联合体成员名称）</w:t>
      </w:r>
      <w:r>
        <w:rPr>
          <w:rFonts w:hint="eastAsia" w:ascii="宋体" w:hAnsi="宋体" w:cs="宋体"/>
          <w:color w:val="auto"/>
          <w:kern w:val="0"/>
          <w:sz w:val="24"/>
          <w:highlight w:val="none"/>
        </w:rPr>
        <w:t>为联合体</w:t>
      </w:r>
      <w:r>
        <w:rPr>
          <w:rFonts w:hint="eastAsia" w:ascii="宋体" w:hAnsi="宋体" w:cs="宋体"/>
          <w:color w:val="auto"/>
          <w:kern w:val="0"/>
          <w:sz w:val="24"/>
          <w:highlight w:val="none"/>
          <w:lang w:val="zh-CN"/>
        </w:rPr>
        <w:t>牵头人</w:t>
      </w:r>
      <w:r>
        <w:rPr>
          <w:rFonts w:hint="eastAsia" w:ascii="宋体" w:hAnsi="宋体" w:cs="宋体"/>
          <w:color w:val="auto"/>
          <w:sz w:val="24"/>
          <w:highlight w:val="none"/>
        </w:rPr>
        <w:t>，代表所有联合体成员负责投标和合同实施阶段的主办、协调工作</w:t>
      </w:r>
      <w:r>
        <w:rPr>
          <w:rFonts w:hint="eastAsia" w:ascii="宋体" w:hAnsi="宋体" w:cs="宋体"/>
          <w:color w:val="auto"/>
          <w:kern w:val="0"/>
          <w:sz w:val="24"/>
          <w:highlight w:val="none"/>
          <w:lang w:val="zh-CN"/>
        </w:rPr>
        <w:t>。</w:t>
      </w:r>
    </w:p>
    <w:p w14:paraId="512C715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w:t>
      </w:r>
      <w:r>
        <w:rPr>
          <w:rFonts w:hint="eastAsia" w:ascii="宋体" w:hAnsi="宋体" w:cs="宋体"/>
          <w:color w:val="auto"/>
          <w:sz w:val="24"/>
          <w:highlight w:val="none"/>
        </w:rPr>
        <w:t>所有联合体成员各方签署授权书，授权书载明的</w:t>
      </w:r>
      <w:r>
        <w:rPr>
          <w:rFonts w:hint="eastAsia" w:ascii="宋体" w:hAnsi="宋体" w:cs="宋体"/>
          <w:color w:val="auto"/>
          <w:kern w:val="0"/>
          <w:sz w:val="24"/>
          <w:highlight w:val="none"/>
          <w:lang w:val="zh-CN"/>
        </w:rPr>
        <w:t>授权代表根据招标文件规定及投标内容而对采购人、采购代理机构所作的任何合法承诺，包括书面澄清及相应等均对联合投标各方产生约束力。</w:t>
      </w:r>
    </w:p>
    <w:p w14:paraId="0A86017D">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三、本次联合投标中，分工如下：</w:t>
      </w:r>
    </w:p>
    <w:p w14:paraId="00BF1B64">
      <w:pPr>
        <w:snapToGrid w:val="0"/>
        <w:spacing w:line="360" w:lineRule="auto"/>
        <w:ind w:firstLine="576"/>
        <w:rPr>
          <w:rFonts w:ascii="宋体" w:hAnsi="宋体" w:cs="宋体"/>
          <w:color w:val="auto"/>
          <w:kern w:val="0"/>
          <w:sz w:val="24"/>
          <w:highlight w:val="none"/>
          <w:lang w:val="zh-CN"/>
        </w:rPr>
      </w:pPr>
      <w:bookmarkStart w:id="599" w:name="_Hlk101134295"/>
      <w:r>
        <w:rPr>
          <w:rFonts w:hint="eastAsia" w:ascii="宋体" w:hAnsi="宋体" w:cs="宋体"/>
          <w:color w:val="auto"/>
          <w:kern w:val="0"/>
          <w:sz w:val="24"/>
          <w:highlight w:val="none"/>
          <w:u w:val="single"/>
        </w:rPr>
        <w:t>（联合体成员1）</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4428BD0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2</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0FBAD2E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w:t>
      </w:r>
    </w:p>
    <w:bookmarkEnd w:id="599"/>
    <w:p w14:paraId="2AB61CF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四、联合体成员中小企业合同份额。</w:t>
      </w:r>
    </w:p>
    <w:p w14:paraId="4CD313BF">
      <w:pPr>
        <w:snapToGrid w:val="0"/>
        <w:spacing w:line="360" w:lineRule="auto"/>
        <w:ind w:firstLine="576"/>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X,</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提供的全部货物由小微企业制造，其合同份额占到合同总金额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kern w:val="0"/>
          <w:sz w:val="24"/>
          <w:highlight w:val="none"/>
          <w:lang w:val="zh-CN"/>
        </w:rPr>
        <w:t>……。</w:t>
      </w:r>
      <w:r>
        <w:rPr>
          <w:rFonts w:hint="eastAsia" w:ascii="宋体" w:hAnsi="宋体" w:cs="宋体"/>
          <w:b/>
          <w:color w:val="auto"/>
          <w:kern w:val="0"/>
          <w:sz w:val="24"/>
          <w:highlight w:val="none"/>
          <w:lang w:val="zh-CN"/>
        </w:rPr>
        <w:t>（未预留份额专门面向中小企业采购的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491B7E5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sz w:val="24"/>
          <w:highlight w:val="none"/>
        </w:rPr>
        <w:t>2、中小企业合同金额达到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auto"/>
          <w:kern w:val="0"/>
          <w:sz w:val="24"/>
          <w:highlight w:val="none"/>
          <w:lang w:val="zh-CN"/>
        </w:rPr>
        <w:t>）</w:t>
      </w:r>
    </w:p>
    <w:p w14:paraId="6B866D23">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五、如果中标，</w:t>
      </w:r>
      <w:r>
        <w:rPr>
          <w:rFonts w:hint="eastAsia" w:ascii="宋体" w:hAnsi="宋体" w:cs="宋体"/>
          <w:color w:val="auto"/>
          <w:sz w:val="24"/>
          <w:highlight w:val="none"/>
        </w:rPr>
        <w:t>联合体各成员方共同与采购人签订合同，并就采购合同约定的事项对采购人承担连带责任。</w:t>
      </w:r>
    </w:p>
    <w:p w14:paraId="1A609847">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六、有关本次联合投标的其他事宜：</w:t>
      </w:r>
    </w:p>
    <w:p w14:paraId="0D8DA295">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1、联合体各方不再单独参加或者与其他供应商另外组成联合体参加同一合同项下的政府采购活动。</w:t>
      </w:r>
    </w:p>
    <w:p w14:paraId="1B8CF5B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2、联合体中有同类资质的各方按照联合体分工承担相同工作的，按照资质等级较低的供应商确定资质等级。</w:t>
      </w:r>
    </w:p>
    <w:p w14:paraId="6062E12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3、本协议提交采购人、采购代理机构后，联合体各方不得以任何形式对上述内容进行修改或撤销。</w:t>
      </w:r>
    </w:p>
    <w:p w14:paraId="129D89FE">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3451D3D4">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5B7E4F68">
      <w:pPr>
        <w:snapToGrid w:val="0"/>
        <w:spacing w:line="360" w:lineRule="auto"/>
        <w:ind w:right="960"/>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p>
    <w:p w14:paraId="1534699E">
      <w:pPr>
        <w:snapToGrid w:val="0"/>
        <w:spacing w:line="360" w:lineRule="auto"/>
        <w:jc w:val="righ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日期：  年  月   日</w:t>
      </w:r>
    </w:p>
    <w:p w14:paraId="06AACD1D">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2DE44BF2">
      <w:pPr>
        <w:autoSpaceDE w:val="0"/>
        <w:autoSpaceDN w:val="0"/>
        <w:jc w:val="center"/>
        <w:rPr>
          <w:rFonts w:ascii="宋体" w:hAnsi="宋体" w:cs="宋体"/>
          <w:b/>
          <w:color w:val="auto"/>
          <w:spacing w:val="6"/>
          <w:sz w:val="32"/>
          <w:szCs w:val="32"/>
          <w:highlight w:val="none"/>
        </w:rPr>
      </w:pPr>
    </w:p>
    <w:p w14:paraId="54029B11">
      <w:pPr>
        <w:autoSpaceDE w:val="0"/>
        <w:autoSpaceDN w:val="0"/>
        <w:jc w:val="center"/>
        <w:rPr>
          <w:rFonts w:ascii="宋体" w:hAnsi="宋体" w:cs="宋体"/>
          <w:b/>
          <w:color w:val="auto"/>
          <w:spacing w:val="6"/>
          <w:sz w:val="32"/>
          <w:szCs w:val="32"/>
          <w:highlight w:val="none"/>
        </w:rPr>
      </w:pPr>
    </w:p>
    <w:p w14:paraId="1E4D77CC">
      <w:pPr>
        <w:autoSpaceDE w:val="0"/>
        <w:autoSpaceDN w:val="0"/>
        <w:jc w:val="center"/>
        <w:rPr>
          <w:rFonts w:ascii="宋体" w:hAnsi="宋体" w:cs="宋体"/>
          <w:b/>
          <w:color w:val="auto"/>
          <w:spacing w:val="6"/>
          <w:sz w:val="32"/>
          <w:szCs w:val="32"/>
          <w:highlight w:val="none"/>
        </w:rPr>
      </w:pPr>
    </w:p>
    <w:p w14:paraId="5845AA6C">
      <w:pPr>
        <w:autoSpaceDE w:val="0"/>
        <w:autoSpaceDN w:val="0"/>
        <w:jc w:val="center"/>
        <w:rPr>
          <w:rFonts w:ascii="宋体" w:hAnsi="宋体" w:cs="宋体"/>
          <w:b/>
          <w:color w:val="auto"/>
          <w:spacing w:val="6"/>
          <w:sz w:val="32"/>
          <w:szCs w:val="32"/>
          <w:highlight w:val="none"/>
        </w:rPr>
      </w:pPr>
    </w:p>
    <w:p w14:paraId="13EC4CB1">
      <w:pPr>
        <w:autoSpaceDE w:val="0"/>
        <w:autoSpaceDN w:val="0"/>
        <w:jc w:val="center"/>
        <w:rPr>
          <w:rFonts w:ascii="宋体" w:hAnsi="宋体" w:cs="宋体"/>
          <w:b/>
          <w:color w:val="auto"/>
          <w:spacing w:val="6"/>
          <w:sz w:val="32"/>
          <w:szCs w:val="32"/>
          <w:highlight w:val="none"/>
        </w:rPr>
      </w:pPr>
    </w:p>
    <w:p w14:paraId="0EA99F77">
      <w:pPr>
        <w:autoSpaceDE w:val="0"/>
        <w:autoSpaceDN w:val="0"/>
        <w:jc w:val="center"/>
        <w:rPr>
          <w:rFonts w:ascii="宋体" w:hAnsi="宋体" w:cs="宋体"/>
          <w:b/>
          <w:color w:val="auto"/>
          <w:spacing w:val="6"/>
          <w:sz w:val="32"/>
          <w:szCs w:val="32"/>
          <w:highlight w:val="none"/>
        </w:rPr>
      </w:pPr>
    </w:p>
    <w:p w14:paraId="60F036BF">
      <w:pPr>
        <w:autoSpaceDE w:val="0"/>
        <w:autoSpaceDN w:val="0"/>
        <w:jc w:val="center"/>
        <w:rPr>
          <w:rFonts w:ascii="宋体" w:hAnsi="宋体" w:cs="宋体"/>
          <w:b/>
          <w:color w:val="auto"/>
          <w:spacing w:val="6"/>
          <w:sz w:val="32"/>
          <w:szCs w:val="32"/>
          <w:highlight w:val="none"/>
        </w:rPr>
      </w:pPr>
    </w:p>
    <w:p w14:paraId="14E9943D">
      <w:pPr>
        <w:autoSpaceDE w:val="0"/>
        <w:autoSpaceDN w:val="0"/>
        <w:jc w:val="center"/>
        <w:rPr>
          <w:rFonts w:ascii="宋体" w:hAnsi="宋体" w:cs="宋体"/>
          <w:b/>
          <w:color w:val="auto"/>
          <w:spacing w:val="6"/>
          <w:sz w:val="32"/>
          <w:szCs w:val="32"/>
          <w:highlight w:val="none"/>
        </w:rPr>
      </w:pPr>
    </w:p>
    <w:p w14:paraId="754C051D">
      <w:pPr>
        <w:autoSpaceDE w:val="0"/>
        <w:autoSpaceDN w:val="0"/>
        <w:jc w:val="center"/>
        <w:rPr>
          <w:rFonts w:ascii="宋体" w:hAnsi="宋体" w:cs="宋体"/>
          <w:b/>
          <w:color w:val="auto"/>
          <w:spacing w:val="6"/>
          <w:sz w:val="32"/>
          <w:szCs w:val="32"/>
          <w:highlight w:val="none"/>
        </w:rPr>
      </w:pPr>
    </w:p>
    <w:p w14:paraId="7DB90754">
      <w:pPr>
        <w:autoSpaceDE w:val="0"/>
        <w:autoSpaceDN w:val="0"/>
        <w:jc w:val="center"/>
        <w:rPr>
          <w:rFonts w:ascii="宋体" w:hAnsi="宋体" w:cs="宋体"/>
          <w:b/>
          <w:color w:val="auto"/>
          <w:spacing w:val="6"/>
          <w:sz w:val="32"/>
          <w:szCs w:val="32"/>
          <w:highlight w:val="none"/>
        </w:rPr>
      </w:pPr>
    </w:p>
    <w:p w14:paraId="1FE54CFE">
      <w:pPr>
        <w:autoSpaceDE w:val="0"/>
        <w:autoSpaceDN w:val="0"/>
        <w:jc w:val="center"/>
        <w:rPr>
          <w:rFonts w:ascii="宋体" w:hAnsi="宋体" w:cs="宋体"/>
          <w:b/>
          <w:color w:val="auto"/>
          <w:spacing w:val="6"/>
          <w:sz w:val="32"/>
          <w:szCs w:val="32"/>
          <w:highlight w:val="none"/>
        </w:rPr>
      </w:pPr>
    </w:p>
    <w:p w14:paraId="75A3386D">
      <w:pPr>
        <w:autoSpaceDE w:val="0"/>
        <w:autoSpaceDN w:val="0"/>
        <w:jc w:val="center"/>
        <w:rPr>
          <w:rFonts w:ascii="宋体" w:hAnsi="宋体" w:cs="宋体"/>
          <w:b/>
          <w:color w:val="auto"/>
          <w:spacing w:val="6"/>
          <w:sz w:val="32"/>
          <w:szCs w:val="32"/>
          <w:highlight w:val="none"/>
        </w:rPr>
      </w:pPr>
    </w:p>
    <w:p w14:paraId="69FA914A">
      <w:pPr>
        <w:autoSpaceDE w:val="0"/>
        <w:autoSpaceDN w:val="0"/>
        <w:jc w:val="center"/>
        <w:rPr>
          <w:rFonts w:ascii="宋体" w:hAnsi="宋体" w:cs="宋体"/>
          <w:b/>
          <w:color w:val="auto"/>
          <w:spacing w:val="6"/>
          <w:sz w:val="32"/>
          <w:szCs w:val="32"/>
          <w:highlight w:val="none"/>
        </w:rPr>
      </w:pPr>
    </w:p>
    <w:p w14:paraId="70EF8225">
      <w:pPr>
        <w:autoSpaceDE w:val="0"/>
        <w:autoSpaceDN w:val="0"/>
        <w:jc w:val="center"/>
        <w:rPr>
          <w:rFonts w:ascii="宋体" w:hAnsi="宋体" w:cs="宋体"/>
          <w:b/>
          <w:color w:val="auto"/>
          <w:spacing w:val="6"/>
          <w:sz w:val="32"/>
          <w:szCs w:val="32"/>
          <w:highlight w:val="none"/>
        </w:rPr>
      </w:pPr>
    </w:p>
    <w:p w14:paraId="4A3D3956">
      <w:pPr>
        <w:autoSpaceDE w:val="0"/>
        <w:autoSpaceDN w:val="0"/>
        <w:jc w:val="center"/>
        <w:rPr>
          <w:rFonts w:ascii="宋体" w:hAnsi="宋体" w:cs="宋体"/>
          <w:b/>
          <w:color w:val="auto"/>
          <w:spacing w:val="6"/>
          <w:sz w:val="32"/>
          <w:szCs w:val="32"/>
          <w:highlight w:val="none"/>
        </w:rPr>
      </w:pPr>
    </w:p>
    <w:p w14:paraId="0763E4EB">
      <w:pPr>
        <w:autoSpaceDE w:val="0"/>
        <w:autoSpaceDN w:val="0"/>
        <w:jc w:val="center"/>
        <w:rPr>
          <w:rFonts w:ascii="宋体" w:hAnsi="宋体" w:cs="宋体"/>
          <w:b/>
          <w:color w:val="auto"/>
          <w:spacing w:val="6"/>
          <w:sz w:val="32"/>
          <w:szCs w:val="32"/>
          <w:highlight w:val="none"/>
        </w:rPr>
      </w:pPr>
    </w:p>
    <w:p w14:paraId="6282E314">
      <w:pPr>
        <w:autoSpaceDE w:val="0"/>
        <w:autoSpaceDN w:val="0"/>
        <w:jc w:val="center"/>
        <w:rPr>
          <w:rFonts w:ascii="宋体" w:hAnsi="宋体" w:cs="宋体"/>
          <w:b/>
          <w:color w:val="auto"/>
          <w:spacing w:val="6"/>
          <w:sz w:val="32"/>
          <w:szCs w:val="32"/>
          <w:highlight w:val="none"/>
        </w:rPr>
      </w:pPr>
    </w:p>
    <w:p w14:paraId="277EED53">
      <w:pPr>
        <w:autoSpaceDE w:val="0"/>
        <w:autoSpaceDN w:val="0"/>
        <w:jc w:val="center"/>
        <w:rPr>
          <w:rFonts w:ascii="宋体" w:hAnsi="宋体" w:cs="宋体"/>
          <w:b/>
          <w:color w:val="auto"/>
          <w:spacing w:val="6"/>
          <w:sz w:val="32"/>
          <w:szCs w:val="32"/>
          <w:highlight w:val="none"/>
        </w:rPr>
      </w:pPr>
    </w:p>
    <w:p w14:paraId="37879D5A">
      <w:pPr>
        <w:autoSpaceDE w:val="0"/>
        <w:autoSpaceDN w:val="0"/>
        <w:jc w:val="center"/>
        <w:rPr>
          <w:rFonts w:ascii="宋体" w:hAnsi="宋体" w:cs="宋体"/>
          <w:b/>
          <w:color w:val="auto"/>
          <w:spacing w:val="6"/>
          <w:sz w:val="32"/>
          <w:szCs w:val="32"/>
          <w:highlight w:val="none"/>
        </w:rPr>
      </w:pPr>
    </w:p>
    <w:p w14:paraId="3D7E035D">
      <w:pPr>
        <w:autoSpaceDE w:val="0"/>
        <w:autoSpaceDN w:val="0"/>
        <w:jc w:val="center"/>
        <w:rPr>
          <w:rFonts w:ascii="宋体" w:hAnsi="宋体" w:cs="宋体"/>
          <w:b/>
          <w:color w:val="auto"/>
          <w:spacing w:val="6"/>
          <w:sz w:val="32"/>
          <w:szCs w:val="32"/>
          <w:highlight w:val="none"/>
        </w:rPr>
      </w:pPr>
    </w:p>
    <w:p w14:paraId="3E0ADF05">
      <w:pPr>
        <w:autoSpaceDE w:val="0"/>
        <w:autoSpaceDN w:val="0"/>
        <w:jc w:val="center"/>
        <w:rPr>
          <w:rFonts w:ascii="宋体" w:hAnsi="宋体" w:cs="宋体"/>
          <w:b/>
          <w:color w:val="auto"/>
          <w:spacing w:val="6"/>
          <w:sz w:val="32"/>
          <w:szCs w:val="32"/>
          <w:highlight w:val="none"/>
        </w:rPr>
      </w:pPr>
    </w:p>
    <w:p w14:paraId="4FCCF641">
      <w:pPr>
        <w:snapToGrid w:val="0"/>
        <w:spacing w:line="360" w:lineRule="auto"/>
        <w:jc w:val="center"/>
        <w:outlineLvl w:val="0"/>
        <w:rPr>
          <w:rFonts w:hint="eastAsia" w:ascii="宋体" w:hAnsi="宋体" w:cs="宋体"/>
          <w:b/>
          <w:color w:val="auto"/>
          <w:kern w:val="0"/>
          <w:sz w:val="32"/>
          <w:szCs w:val="32"/>
          <w:highlight w:val="none"/>
        </w:rPr>
        <w:sectPr>
          <w:pgSz w:w="11906" w:h="16838"/>
          <w:pgMar w:top="1276" w:right="1418" w:bottom="1247" w:left="1418" w:header="992" w:footer="992" w:gutter="0"/>
          <w:pgBorders>
            <w:top w:val="none" w:sz="0" w:space="0"/>
            <w:left w:val="none" w:sz="0" w:space="0"/>
            <w:bottom w:val="none" w:sz="0" w:space="0"/>
            <w:right w:val="none" w:sz="0" w:space="0"/>
          </w:pgBorders>
          <w:cols w:space="720" w:num="1"/>
          <w:titlePg/>
          <w:docGrid w:linePitch="312" w:charSpace="0"/>
        </w:sectPr>
      </w:pPr>
    </w:p>
    <w:p w14:paraId="12CFB621">
      <w:pPr>
        <w:snapToGrid w:val="0"/>
        <w:spacing w:line="360" w:lineRule="auto"/>
        <w:jc w:val="center"/>
        <w:outlineLvl w:val="0"/>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w:t>
      </w:r>
      <w:r>
        <w:rPr>
          <w:rFonts w:ascii="宋体" w:hAnsi="宋体" w:cs="宋体"/>
          <w:b/>
          <w:color w:val="auto"/>
          <w:kern w:val="0"/>
          <w:sz w:val="32"/>
          <w:szCs w:val="32"/>
          <w:highlight w:val="none"/>
        </w:rPr>
        <w:t>6</w:t>
      </w:r>
      <w:r>
        <w:rPr>
          <w:rFonts w:hint="eastAsia" w:ascii="宋体" w:hAnsi="宋体" w:cs="宋体"/>
          <w:b/>
          <w:color w:val="auto"/>
          <w:kern w:val="0"/>
          <w:sz w:val="32"/>
          <w:szCs w:val="32"/>
          <w:highlight w:val="none"/>
        </w:rPr>
        <w:t>：分包意向协议</w:t>
      </w:r>
    </w:p>
    <w:p w14:paraId="2C466C9C">
      <w:pPr>
        <w:widowControl/>
        <w:spacing w:line="360" w:lineRule="auto"/>
        <w:ind w:firstLine="120" w:firstLineChars="5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b/>
          <w:color w:val="auto"/>
          <w:sz w:val="24"/>
          <w:highlight w:val="none"/>
        </w:rPr>
        <w:t>中标后以分包方式履行合同的，提供分包意向协议；采购人不同意分包或者投标人中标后不以分包方式履行合同的，则不需要提供。</w:t>
      </w:r>
      <w:r>
        <w:rPr>
          <w:rFonts w:hint="eastAsia" w:ascii="宋体" w:hAnsi="宋体" w:cs="宋体"/>
          <w:color w:val="auto"/>
          <w:sz w:val="24"/>
          <w:highlight w:val="none"/>
        </w:rPr>
        <w:t>）</w:t>
      </w:r>
    </w:p>
    <w:p w14:paraId="6DEA9754">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（投标人名称）</w:t>
      </w:r>
      <w:r>
        <w:rPr>
          <w:rFonts w:hint="eastAsia" w:ascii="宋体" w:hAnsi="宋体" w:cs="宋体"/>
          <w:color w:val="auto"/>
          <w:kern w:val="0"/>
          <w:sz w:val="24"/>
          <w:highlight w:val="none"/>
          <w:lang w:val="zh-CN"/>
        </w:rPr>
        <w:t>若成为</w:t>
      </w:r>
      <w:r>
        <w:rPr>
          <w:rFonts w:hint="eastAsia" w:ascii="宋体" w:hAnsi="宋体" w:cs="宋体"/>
          <w:color w:val="auto"/>
          <w:sz w:val="24"/>
          <w:highlight w:val="none"/>
        </w:rPr>
        <w:t>（项目名称）【招标编号：（采购编号）】</w:t>
      </w:r>
      <w:r>
        <w:rPr>
          <w:rFonts w:hint="eastAsia" w:ascii="宋体" w:hAnsi="宋体" w:cs="宋体"/>
          <w:color w:val="auto"/>
          <w:kern w:val="0"/>
          <w:sz w:val="24"/>
          <w:highlight w:val="none"/>
          <w:lang w:val="zh-CN"/>
        </w:rPr>
        <w:t>的中标供应商，将依法采取分包方式履行合同。</w:t>
      </w:r>
      <w:r>
        <w:rPr>
          <w:rFonts w:hint="eastAsia" w:ascii="宋体" w:hAnsi="宋体" w:cs="宋体"/>
          <w:color w:val="auto"/>
          <w:kern w:val="0"/>
          <w:sz w:val="24"/>
          <w:highlight w:val="none"/>
          <w:u w:val="single"/>
        </w:rPr>
        <w:t>（投标人名称）</w:t>
      </w:r>
      <w:r>
        <w:rPr>
          <w:rFonts w:hint="eastAsia" w:ascii="宋体" w:hAnsi="宋体" w:cs="宋体"/>
          <w:color w:val="auto"/>
          <w:kern w:val="0"/>
          <w:sz w:val="24"/>
          <w:highlight w:val="none"/>
        </w:rPr>
        <w:t>与</w:t>
      </w:r>
      <w:r>
        <w:rPr>
          <w:rFonts w:hint="eastAsia" w:ascii="宋体" w:hAnsi="宋体" w:cs="宋体"/>
          <w:color w:val="auto"/>
          <w:kern w:val="0"/>
          <w:sz w:val="24"/>
          <w:highlight w:val="none"/>
          <w:u w:val="single"/>
        </w:rPr>
        <w:t>（所有分包供应商名称）</w:t>
      </w:r>
      <w:r>
        <w:rPr>
          <w:rFonts w:hint="eastAsia" w:ascii="宋体" w:hAnsi="宋体" w:cs="宋体"/>
          <w:color w:val="auto"/>
          <w:kern w:val="0"/>
          <w:sz w:val="24"/>
          <w:highlight w:val="none"/>
        </w:rPr>
        <w:t>达成分包意向协议</w:t>
      </w:r>
      <w:r>
        <w:rPr>
          <w:rFonts w:hint="eastAsia" w:ascii="宋体" w:hAnsi="宋体" w:cs="宋体"/>
          <w:color w:val="auto"/>
          <w:kern w:val="0"/>
          <w:sz w:val="24"/>
          <w:highlight w:val="none"/>
          <w:lang w:val="zh-CN"/>
        </w:rPr>
        <w:t xml:space="preserve">。 </w:t>
      </w:r>
    </w:p>
    <w:p w14:paraId="442ABE45">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一、分包标的及数量</w:t>
      </w:r>
    </w:p>
    <w:p w14:paraId="376B8D6D">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（投标人名称）</w:t>
      </w:r>
      <w:r>
        <w:rPr>
          <w:rFonts w:hint="eastAsia" w:ascii="宋体" w:hAnsi="宋体" w:cs="宋体"/>
          <w:color w:val="auto"/>
          <w:kern w:val="0"/>
          <w:sz w:val="24"/>
          <w:highlight w:val="none"/>
          <w:lang w:val="zh-CN"/>
        </w:rPr>
        <w:t>将</w:t>
      </w:r>
      <w:r>
        <w:rPr>
          <w:rFonts w:hint="eastAsia" w:ascii="宋体" w:hAnsi="宋体" w:cs="宋体"/>
          <w:color w:val="auto"/>
          <w:highlight w:val="none"/>
          <w:u w:val="single"/>
        </w:rPr>
        <w:t xml:space="preserve"> </w:t>
      </w:r>
      <w:r>
        <w:rPr>
          <w:rFonts w:ascii="宋体" w:hAnsi="宋体" w:cs="宋体"/>
          <w:color w:val="auto"/>
          <w:kern w:val="0"/>
          <w:sz w:val="24"/>
          <w:highlight w:val="none"/>
          <w:u w:val="single"/>
        </w:rPr>
        <w:t xml:space="preserve">  XX工作内容   </w:t>
      </w:r>
      <w:r>
        <w:rPr>
          <w:rFonts w:hint="eastAsia" w:ascii="宋体" w:hAnsi="宋体" w:cs="宋体"/>
          <w:color w:val="auto"/>
          <w:sz w:val="24"/>
          <w:highlight w:val="none"/>
        </w:rPr>
        <w:t>分包给</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具备承</w:t>
      </w:r>
      <w:r>
        <w:rPr>
          <w:rFonts w:hint="eastAsia" w:ascii="宋体" w:hAnsi="宋体" w:cs="宋体"/>
          <w:color w:val="auto"/>
          <w:kern w:val="0"/>
          <w:sz w:val="24"/>
          <w:highlight w:val="none"/>
        </w:rPr>
        <w:t>担</w:t>
      </w:r>
      <w:r>
        <w:rPr>
          <w:rFonts w:hint="eastAsia" w:ascii="宋体" w:hAnsi="宋体" w:cs="宋体"/>
          <w:color w:val="auto"/>
          <w:kern w:val="0"/>
          <w:sz w:val="24"/>
          <w:highlight w:val="none"/>
          <w:u w:val="single"/>
          <w:lang w:val="zh-CN"/>
        </w:rPr>
        <w:t>XX工作内容</w:t>
      </w:r>
      <w:r>
        <w:rPr>
          <w:rFonts w:hint="eastAsia" w:ascii="宋体" w:hAnsi="宋体" w:cs="宋体"/>
          <w:color w:val="auto"/>
          <w:kern w:val="0"/>
          <w:sz w:val="24"/>
          <w:highlight w:val="none"/>
          <w:lang w:val="zh-CN"/>
        </w:rPr>
        <w:t>相应资质条件且不得再次分包；</w:t>
      </w:r>
    </w:p>
    <w:p w14:paraId="45427FC9">
      <w:pPr>
        <w:pStyle w:val="3"/>
        <w:ind w:left="664" w:leftChars="316" w:firstLine="229" w:firstLineChars="9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14:paraId="5267286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二、分包供应商中小企业合同份额</w:t>
      </w:r>
    </w:p>
    <w:p w14:paraId="698CAA0E">
      <w:pPr>
        <w:snapToGrid w:val="0"/>
        <w:spacing w:line="360" w:lineRule="auto"/>
        <w:ind w:firstLine="576"/>
        <w:rPr>
          <w:rFonts w:ascii="宋体" w:hAnsi="宋体" w:cs="宋体"/>
          <w:b/>
          <w:color w:val="auto"/>
          <w:kern w:val="0"/>
          <w:sz w:val="24"/>
          <w:highlight w:val="none"/>
          <w:lang w:val="zh-CN"/>
        </w:rPr>
      </w:pPr>
      <w:r>
        <w:rPr>
          <w:rFonts w:ascii="宋体" w:hAnsi="宋体" w:cs="宋体"/>
          <w:color w:val="auto"/>
          <w:kern w:val="0"/>
          <w:sz w:val="24"/>
          <w:highlight w:val="none"/>
        </w:rPr>
        <w:t>1、</w:t>
      </w:r>
      <w:r>
        <w:rPr>
          <w:rFonts w:hint="eastAsia" w:ascii="宋体" w:hAnsi="宋体" w:cs="宋体"/>
          <w:color w:val="auto"/>
          <w:kern w:val="0"/>
          <w:sz w:val="24"/>
          <w:highlight w:val="none"/>
          <w:u w:val="single"/>
        </w:rPr>
        <w:t>（分包供应商X</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rPr>
        <w:t>……）提供的货物全部由小微企业制造，</w:t>
      </w:r>
      <w:r>
        <w:rPr>
          <w:rFonts w:hint="eastAsia" w:ascii="宋体" w:hAnsi="宋体" w:cs="宋体"/>
          <w:color w:val="auto"/>
          <w:kern w:val="0"/>
          <w:sz w:val="24"/>
          <w:highlight w:val="none"/>
        </w:rPr>
        <w:t>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highlight w:val="none"/>
        </w:rPr>
        <w:t>。</w:t>
      </w:r>
      <w:r>
        <w:rPr>
          <w:rFonts w:hint="eastAsia" w:ascii="宋体" w:hAnsi="宋体" w:cs="宋体"/>
          <w:b/>
          <w:color w:val="auto"/>
          <w:kern w:val="0"/>
          <w:sz w:val="24"/>
          <w:highlight w:val="none"/>
          <w:lang w:val="zh-CN"/>
        </w:rPr>
        <w:t>（未预留份额专门面向中小企业采购的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2B56E019">
      <w:pPr>
        <w:spacing w:line="360" w:lineRule="auto"/>
        <w:ind w:firstLine="480" w:firstLineChars="200"/>
        <w:rPr>
          <w:rFonts w:ascii="宋体" w:hAnsi="宋体" w:cs="宋体"/>
          <w:b/>
          <w:bCs/>
          <w:color w:val="auto"/>
          <w:kern w:val="0"/>
          <w:sz w:val="24"/>
          <w:highlight w:val="none"/>
          <w:lang w:val="zh-CN"/>
        </w:rPr>
      </w:pPr>
      <w:r>
        <w:rPr>
          <w:rFonts w:hint="eastAsia" w:ascii="宋体" w:hAnsi="宋体" w:cs="宋体"/>
          <w:color w:val="auto"/>
          <w:sz w:val="24"/>
          <w:highlight w:val="none"/>
        </w:rPr>
        <w:t>2、</w:t>
      </w:r>
      <w:bookmarkStart w:id="600" w:name="_Hlk101133173"/>
      <w:r>
        <w:rPr>
          <w:rFonts w:hint="eastAsia" w:ascii="宋体" w:hAnsi="宋体" w:cs="宋体"/>
          <w:color w:val="auto"/>
          <w:sz w:val="24"/>
          <w:highlight w:val="none"/>
        </w:rPr>
        <w:t>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要求合同分包形式参加的项目或采购包，供应商按招标文件第一部分招标公告申请人的资格要求中规定的</w:t>
      </w:r>
      <w:r>
        <w:rPr>
          <w:rFonts w:hint="eastAsia" w:ascii="宋体" w:hAnsi="宋体" w:cs="宋体"/>
          <w:b/>
          <w:color w:val="auto"/>
          <w:kern w:val="0"/>
          <w:sz w:val="24"/>
          <w:highlight w:val="none"/>
          <w:lang w:val="zh-CN"/>
        </w:rPr>
        <w:t>分包意向协议</w:t>
      </w:r>
      <w:r>
        <w:rPr>
          <w:rFonts w:hint="eastAsia" w:ascii="宋体" w:hAnsi="宋体" w:cs="宋体"/>
          <w:b/>
          <w:bCs/>
          <w:color w:val="auto"/>
          <w:sz w:val="24"/>
          <w:highlight w:val="none"/>
        </w:rPr>
        <w:t>中中小企业、小微企业合同金额应当达到的比例要求填写。</w:t>
      </w:r>
      <w:r>
        <w:rPr>
          <w:rFonts w:hint="eastAsia" w:ascii="宋体" w:hAnsi="宋体" w:cs="宋体"/>
          <w:b/>
          <w:bCs/>
          <w:color w:val="auto"/>
          <w:kern w:val="0"/>
          <w:sz w:val="24"/>
          <w:highlight w:val="none"/>
          <w:lang w:val="zh-CN"/>
        </w:rPr>
        <w:t>）</w:t>
      </w:r>
      <w:bookmarkEnd w:id="600"/>
    </w:p>
    <w:p w14:paraId="5B7AA99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三、分包工作履行期限、地点、方式</w:t>
      </w:r>
    </w:p>
    <w:p w14:paraId="6FC10182">
      <w:pPr>
        <w:snapToGrid w:val="0"/>
        <w:spacing w:line="360" w:lineRule="auto"/>
        <w:ind w:firstLine="576"/>
        <w:rPr>
          <w:rFonts w:ascii="宋体" w:hAnsi="宋体" w:cs="宋体"/>
          <w:color w:val="auto"/>
          <w:highlight w:val="none"/>
          <w:u w:val="single"/>
        </w:rPr>
      </w:pPr>
      <w:r>
        <w:rPr>
          <w:rFonts w:hint="eastAsia" w:ascii="宋体" w:hAnsi="宋体" w:cs="宋体"/>
          <w:color w:val="auto"/>
          <w:highlight w:val="none"/>
          <w:u w:val="single"/>
        </w:rPr>
        <w:t xml:space="preserve">                                                                                  </w:t>
      </w:r>
    </w:p>
    <w:p w14:paraId="2DA32C2B">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四、质量</w:t>
      </w:r>
    </w:p>
    <w:p w14:paraId="76644CE7">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2ADD236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五、价款或者报酬</w:t>
      </w:r>
    </w:p>
    <w:p w14:paraId="077ED800">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3B5701D2">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六、违约责任</w:t>
      </w:r>
    </w:p>
    <w:p w14:paraId="02177D34">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136277CB">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七、争议解决的办法</w:t>
      </w:r>
    </w:p>
    <w:p w14:paraId="0F78FEF3">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7DCCA959">
      <w:pPr>
        <w:snapToGrid w:val="0"/>
        <w:spacing w:line="360" w:lineRule="auto"/>
        <w:ind w:left="5758" w:leftChars="342" w:hanging="5040" w:hanging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投标人名称(电子签名)：</w:t>
      </w:r>
    </w:p>
    <w:p w14:paraId="3CE84DDF">
      <w:pPr>
        <w:snapToGrid w:val="0"/>
        <w:spacing w:line="360" w:lineRule="auto"/>
        <w:jc w:val="righ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分包供应商名称(电子签名/公章)：</w:t>
      </w:r>
    </w:p>
    <w:p w14:paraId="0C1F899A">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4B0F9FA5">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28B25454">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74B15A7C">
      <w:pPr>
        <w:autoSpaceDE w:val="0"/>
        <w:autoSpaceDN w:val="0"/>
        <w:jc w:val="center"/>
        <w:rPr>
          <w:rFonts w:ascii="宋体" w:hAnsi="宋体" w:cs="宋体"/>
          <w:b/>
          <w:color w:val="auto"/>
          <w:spacing w:val="6"/>
          <w:sz w:val="32"/>
          <w:szCs w:val="32"/>
          <w:highlight w:val="none"/>
        </w:rPr>
      </w:pPr>
    </w:p>
    <w:p w14:paraId="26A56E85">
      <w:pPr>
        <w:autoSpaceDE w:val="0"/>
        <w:autoSpaceDN w:val="0"/>
        <w:jc w:val="center"/>
        <w:rPr>
          <w:rFonts w:ascii="宋体" w:hAnsi="宋体" w:cs="宋体"/>
          <w:b/>
          <w:color w:val="auto"/>
          <w:spacing w:val="6"/>
          <w:sz w:val="32"/>
          <w:szCs w:val="32"/>
          <w:highlight w:val="none"/>
        </w:rPr>
      </w:pPr>
    </w:p>
    <w:p w14:paraId="4EE04ED9">
      <w:pPr>
        <w:autoSpaceDE w:val="0"/>
        <w:autoSpaceDN w:val="0"/>
        <w:jc w:val="center"/>
        <w:rPr>
          <w:rFonts w:ascii="宋体" w:hAnsi="宋体" w:cs="宋体"/>
          <w:b/>
          <w:color w:val="auto"/>
          <w:spacing w:val="6"/>
          <w:sz w:val="32"/>
          <w:szCs w:val="32"/>
          <w:highlight w:val="none"/>
        </w:rPr>
      </w:pPr>
    </w:p>
    <w:p w14:paraId="1F5B121A">
      <w:pPr>
        <w:autoSpaceDE w:val="0"/>
        <w:autoSpaceDN w:val="0"/>
        <w:jc w:val="center"/>
        <w:rPr>
          <w:rFonts w:ascii="宋体" w:hAnsi="宋体" w:cs="宋体"/>
          <w:b/>
          <w:color w:val="auto"/>
          <w:spacing w:val="6"/>
          <w:sz w:val="32"/>
          <w:szCs w:val="32"/>
          <w:highlight w:val="none"/>
        </w:rPr>
      </w:pPr>
    </w:p>
    <w:p w14:paraId="4FFB1AD7">
      <w:pPr>
        <w:autoSpaceDE w:val="0"/>
        <w:autoSpaceDN w:val="0"/>
        <w:jc w:val="center"/>
        <w:rPr>
          <w:rFonts w:ascii="宋体" w:hAnsi="宋体" w:cs="宋体"/>
          <w:b/>
          <w:color w:val="auto"/>
          <w:spacing w:val="6"/>
          <w:sz w:val="32"/>
          <w:szCs w:val="32"/>
          <w:highlight w:val="none"/>
        </w:rPr>
      </w:pPr>
    </w:p>
    <w:p w14:paraId="5B39CCD4">
      <w:pPr>
        <w:autoSpaceDE w:val="0"/>
        <w:autoSpaceDN w:val="0"/>
        <w:jc w:val="center"/>
        <w:rPr>
          <w:rFonts w:ascii="宋体" w:hAnsi="宋体" w:cs="宋体"/>
          <w:b/>
          <w:color w:val="auto"/>
          <w:spacing w:val="6"/>
          <w:sz w:val="32"/>
          <w:szCs w:val="32"/>
          <w:highlight w:val="none"/>
        </w:rPr>
      </w:pPr>
    </w:p>
    <w:p w14:paraId="69A0A400">
      <w:pPr>
        <w:autoSpaceDE w:val="0"/>
        <w:autoSpaceDN w:val="0"/>
        <w:jc w:val="center"/>
        <w:rPr>
          <w:rFonts w:ascii="宋体" w:hAnsi="宋体" w:cs="宋体"/>
          <w:b/>
          <w:color w:val="auto"/>
          <w:spacing w:val="6"/>
          <w:sz w:val="32"/>
          <w:szCs w:val="32"/>
          <w:highlight w:val="none"/>
        </w:rPr>
      </w:pPr>
    </w:p>
    <w:p w14:paraId="6F7F9302">
      <w:pPr>
        <w:autoSpaceDE w:val="0"/>
        <w:autoSpaceDN w:val="0"/>
        <w:jc w:val="center"/>
        <w:rPr>
          <w:rFonts w:ascii="宋体" w:hAnsi="宋体" w:cs="宋体"/>
          <w:b/>
          <w:color w:val="auto"/>
          <w:spacing w:val="6"/>
          <w:sz w:val="32"/>
          <w:szCs w:val="32"/>
          <w:highlight w:val="none"/>
        </w:rPr>
      </w:pPr>
    </w:p>
    <w:p w14:paraId="528E6623">
      <w:pPr>
        <w:autoSpaceDE w:val="0"/>
        <w:autoSpaceDN w:val="0"/>
        <w:jc w:val="center"/>
        <w:rPr>
          <w:rFonts w:ascii="宋体" w:hAnsi="宋体" w:cs="宋体"/>
          <w:b/>
          <w:color w:val="auto"/>
          <w:spacing w:val="6"/>
          <w:sz w:val="32"/>
          <w:szCs w:val="32"/>
          <w:highlight w:val="none"/>
        </w:rPr>
      </w:pPr>
    </w:p>
    <w:p w14:paraId="076B2120">
      <w:pPr>
        <w:autoSpaceDE w:val="0"/>
        <w:autoSpaceDN w:val="0"/>
        <w:jc w:val="center"/>
        <w:rPr>
          <w:rFonts w:ascii="宋体" w:hAnsi="宋体" w:cs="宋体"/>
          <w:b/>
          <w:color w:val="auto"/>
          <w:spacing w:val="6"/>
          <w:sz w:val="32"/>
          <w:szCs w:val="32"/>
          <w:highlight w:val="none"/>
        </w:rPr>
      </w:pPr>
    </w:p>
    <w:p w14:paraId="4752B250">
      <w:pPr>
        <w:autoSpaceDE w:val="0"/>
        <w:autoSpaceDN w:val="0"/>
        <w:jc w:val="center"/>
        <w:rPr>
          <w:rFonts w:ascii="宋体" w:hAnsi="宋体" w:cs="宋体"/>
          <w:b/>
          <w:color w:val="auto"/>
          <w:spacing w:val="6"/>
          <w:sz w:val="32"/>
          <w:szCs w:val="32"/>
          <w:highlight w:val="none"/>
        </w:rPr>
      </w:pPr>
    </w:p>
    <w:p w14:paraId="379DF7B3">
      <w:pPr>
        <w:autoSpaceDE w:val="0"/>
        <w:autoSpaceDN w:val="0"/>
        <w:jc w:val="center"/>
        <w:rPr>
          <w:rFonts w:ascii="宋体" w:hAnsi="宋体" w:cs="宋体"/>
          <w:b/>
          <w:color w:val="auto"/>
          <w:spacing w:val="6"/>
          <w:sz w:val="32"/>
          <w:szCs w:val="32"/>
          <w:highlight w:val="none"/>
        </w:rPr>
      </w:pPr>
    </w:p>
    <w:p w14:paraId="2DA05051">
      <w:pPr>
        <w:autoSpaceDE w:val="0"/>
        <w:autoSpaceDN w:val="0"/>
        <w:jc w:val="center"/>
        <w:rPr>
          <w:rFonts w:ascii="宋体" w:hAnsi="宋体" w:cs="宋体"/>
          <w:b/>
          <w:color w:val="auto"/>
          <w:spacing w:val="6"/>
          <w:sz w:val="32"/>
          <w:szCs w:val="32"/>
          <w:highlight w:val="none"/>
        </w:rPr>
      </w:pPr>
    </w:p>
    <w:p w14:paraId="0096AEE8">
      <w:pPr>
        <w:autoSpaceDE w:val="0"/>
        <w:autoSpaceDN w:val="0"/>
        <w:jc w:val="center"/>
        <w:rPr>
          <w:rFonts w:ascii="宋体" w:hAnsi="宋体" w:cs="宋体"/>
          <w:b/>
          <w:color w:val="auto"/>
          <w:spacing w:val="6"/>
          <w:sz w:val="32"/>
          <w:szCs w:val="32"/>
          <w:highlight w:val="none"/>
        </w:rPr>
      </w:pPr>
    </w:p>
    <w:p w14:paraId="7134C63C">
      <w:pPr>
        <w:autoSpaceDE w:val="0"/>
        <w:autoSpaceDN w:val="0"/>
        <w:jc w:val="center"/>
        <w:rPr>
          <w:rFonts w:ascii="宋体" w:hAnsi="宋体" w:cs="宋体"/>
          <w:b/>
          <w:color w:val="auto"/>
          <w:spacing w:val="6"/>
          <w:sz w:val="32"/>
          <w:szCs w:val="32"/>
          <w:highlight w:val="none"/>
        </w:rPr>
      </w:pPr>
    </w:p>
    <w:p w14:paraId="2FFE9F6F">
      <w:pPr>
        <w:autoSpaceDE w:val="0"/>
        <w:autoSpaceDN w:val="0"/>
        <w:jc w:val="center"/>
        <w:rPr>
          <w:rFonts w:ascii="宋体" w:hAnsi="宋体" w:cs="宋体"/>
          <w:b/>
          <w:color w:val="auto"/>
          <w:spacing w:val="6"/>
          <w:sz w:val="32"/>
          <w:szCs w:val="32"/>
          <w:highlight w:val="none"/>
        </w:rPr>
      </w:pPr>
    </w:p>
    <w:p w14:paraId="6EE620BA">
      <w:pPr>
        <w:autoSpaceDE w:val="0"/>
        <w:autoSpaceDN w:val="0"/>
        <w:jc w:val="center"/>
        <w:rPr>
          <w:rFonts w:ascii="宋体" w:hAnsi="宋体" w:cs="宋体"/>
          <w:b/>
          <w:color w:val="auto"/>
          <w:spacing w:val="6"/>
          <w:sz w:val="32"/>
          <w:szCs w:val="32"/>
          <w:highlight w:val="none"/>
        </w:rPr>
      </w:pPr>
    </w:p>
    <w:p w14:paraId="04D7A21F">
      <w:pPr>
        <w:widowControl/>
        <w:adjustRightInd/>
        <w:jc w:val="left"/>
        <w:rPr>
          <w:rFonts w:ascii="宋体" w:hAnsi="宋体" w:cs="宋体"/>
          <w:b/>
          <w:color w:val="auto"/>
          <w:kern w:val="0"/>
          <w:sz w:val="32"/>
          <w:szCs w:val="32"/>
          <w:highlight w:val="none"/>
        </w:rPr>
      </w:pPr>
    </w:p>
    <w:p w14:paraId="0610CF32">
      <w:pPr>
        <w:rPr>
          <w:rFonts w:hint="eastAsia" w:ascii="宋体" w:hAnsi="宋体" w:cs="宋体"/>
          <w:b/>
          <w:color w:val="auto"/>
          <w:kern w:val="0"/>
          <w:sz w:val="44"/>
          <w:szCs w:val="44"/>
          <w:highlight w:val="none"/>
        </w:rPr>
      </w:pPr>
      <w:r>
        <w:rPr>
          <w:rFonts w:hint="eastAsia" w:ascii="宋体" w:hAnsi="宋体" w:cs="宋体"/>
          <w:b/>
          <w:color w:val="auto"/>
          <w:kern w:val="0"/>
          <w:sz w:val="44"/>
          <w:szCs w:val="44"/>
          <w:highlight w:val="none"/>
        </w:rPr>
        <w:br w:type="page"/>
      </w:r>
    </w:p>
    <w:p w14:paraId="3AAF8B98">
      <w:pPr>
        <w:snapToGrid w:val="0"/>
        <w:spacing w:line="360" w:lineRule="auto"/>
        <w:outlineLvl w:val="0"/>
        <w:rPr>
          <w:rFonts w:ascii="宋体" w:hAnsi="宋体" w:cs="宋体"/>
          <w:b/>
          <w:color w:val="auto"/>
          <w:kern w:val="0"/>
          <w:sz w:val="44"/>
          <w:szCs w:val="44"/>
          <w:highlight w:val="none"/>
        </w:rPr>
      </w:pPr>
      <w:r>
        <w:rPr>
          <w:rFonts w:hint="eastAsia" w:ascii="宋体" w:hAnsi="宋体" w:cs="宋体"/>
          <w:b/>
          <w:color w:val="auto"/>
          <w:kern w:val="0"/>
          <w:sz w:val="44"/>
          <w:szCs w:val="44"/>
          <w:highlight w:val="none"/>
        </w:rPr>
        <w:t>附件</w:t>
      </w:r>
      <w:r>
        <w:rPr>
          <w:rFonts w:ascii="宋体" w:hAnsi="宋体" w:cs="宋体"/>
          <w:b/>
          <w:color w:val="auto"/>
          <w:kern w:val="0"/>
          <w:sz w:val="44"/>
          <w:szCs w:val="44"/>
          <w:highlight w:val="none"/>
        </w:rPr>
        <w:t>7</w:t>
      </w:r>
      <w:r>
        <w:rPr>
          <w:rFonts w:hint="eastAsia" w:ascii="宋体" w:hAnsi="宋体" w:cs="宋体"/>
          <w:b/>
          <w:color w:val="auto"/>
          <w:kern w:val="0"/>
          <w:sz w:val="44"/>
          <w:szCs w:val="44"/>
          <w:highlight w:val="none"/>
        </w:rPr>
        <w:t>：中小企业声明函</w:t>
      </w:r>
    </w:p>
    <w:p w14:paraId="2B598717">
      <w:pPr>
        <w:spacing w:line="360" w:lineRule="auto"/>
        <w:jc w:val="center"/>
        <w:rPr>
          <w:rFonts w:ascii="宋体" w:hAnsi="宋体" w:cs="宋体"/>
          <w:color w:val="auto"/>
          <w:sz w:val="24"/>
          <w:highlight w:val="none"/>
          <w:u w:val="single"/>
        </w:rPr>
      </w:pPr>
    </w:p>
    <w:p w14:paraId="21477185">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中小企业声明函（货物）</w:t>
      </w:r>
    </w:p>
    <w:p w14:paraId="1D6A27D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杭州滨江城建发展有限公司</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的 </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滨江区科技创新综合体及周边配套项目厨房设备采购（重新招标）</w:t>
      </w:r>
      <w:r>
        <w:rPr>
          <w:rFonts w:hint="eastAsia" w:ascii="宋体" w:hAnsi="宋体" w:cs="宋体"/>
          <w:color w:val="auto"/>
          <w:sz w:val="24"/>
          <w:highlight w:val="none"/>
          <w:u w:val="single"/>
        </w:rPr>
        <w:t>）</w:t>
      </w:r>
      <w:r>
        <w:rPr>
          <w:rFonts w:hint="eastAsia" w:ascii="宋体" w:hAnsi="宋体" w:cs="宋体"/>
          <w:color w:val="auto"/>
          <w:sz w:val="24"/>
          <w:highlight w:val="none"/>
        </w:rPr>
        <w:t xml:space="preserve"> 采购活动，提供的货物全部由符合政策要求的中小企业制造。相关企业（含联合体中的中小企业、签订分包意向协议的中小企业）的具体情况如下：</w:t>
      </w:r>
    </w:p>
    <w:p w14:paraId="25584F2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w:t>
      </w:r>
      <w:r>
        <w:rPr>
          <w:rFonts w:hint="eastAsia" w:ascii="宋体" w:hAnsi="宋体" w:cs="宋体"/>
          <w:color w:val="auto"/>
          <w:highlight w:val="none"/>
        </w:rPr>
        <w:t xml:space="preserve"> </w:t>
      </w:r>
      <w:r>
        <w:rPr>
          <w:rFonts w:hint="eastAsia" w:ascii="宋体" w:hAnsi="宋体" w:cs="宋体"/>
          <w:color w:val="auto"/>
          <w:sz w:val="24"/>
          <w:highlight w:val="none"/>
          <w:u w:val="single"/>
        </w:rPr>
        <w:t>详见附件（标的名称）</w:t>
      </w:r>
      <w:r>
        <w:rPr>
          <w:rFonts w:hint="eastAsia" w:ascii="宋体" w:hAnsi="宋体" w:cs="宋体"/>
          <w:color w:val="auto"/>
          <w:sz w:val="24"/>
          <w:highlight w:val="none"/>
        </w:rPr>
        <w:t xml:space="preserve"> ，属于 </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工业</w:t>
      </w:r>
      <w:r>
        <w:rPr>
          <w:rFonts w:hint="eastAsia" w:ascii="宋体" w:hAnsi="宋体" w:cs="宋体"/>
          <w:color w:val="auto"/>
          <w:sz w:val="24"/>
          <w:highlight w:val="none"/>
          <w:u w:val="single"/>
        </w:rPr>
        <w:t>）</w:t>
      </w:r>
      <w:r>
        <w:rPr>
          <w:rFonts w:hint="eastAsia" w:ascii="宋体" w:hAnsi="宋体" w:cs="宋体"/>
          <w:color w:val="auto"/>
          <w:sz w:val="24"/>
          <w:highlight w:val="none"/>
        </w:rPr>
        <w:t>行业 ；制造商为</w:t>
      </w:r>
      <w:r>
        <w:rPr>
          <w:rFonts w:hint="eastAsia" w:ascii="宋体" w:hAnsi="宋体" w:cs="宋体"/>
          <w:color w:val="auto"/>
          <w:sz w:val="24"/>
          <w:highlight w:val="none"/>
          <w:u w:val="single"/>
        </w:rPr>
        <w:t xml:space="preserve"> （企业名称）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w:t>
      </w:r>
      <w:r>
        <w:rPr>
          <w:rFonts w:hint="eastAsia" w:ascii="宋体" w:hAnsi="宋体" w:cs="宋体"/>
          <w:color w:val="auto"/>
          <w:sz w:val="24"/>
          <w:highlight w:val="none"/>
        </w:rPr>
        <w:t xml:space="preserve"> ；</w:t>
      </w:r>
      <w:r>
        <w:rPr>
          <w:rFonts w:hint="eastAsia" w:ascii="宋体" w:hAnsi="宋体" w:cs="宋体"/>
          <w:b/>
          <w:bCs/>
          <w:i/>
          <w:iCs/>
          <w:color w:val="auto"/>
          <w:sz w:val="24"/>
          <w:highlight w:val="none"/>
          <w:lang w:eastAsia="zh-CN"/>
        </w:rPr>
        <w:t>（特别提醒：选择其中一种企业类型填写，不要全部写上，下同）</w:t>
      </w:r>
    </w:p>
    <w:p w14:paraId="44BF11B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highlight w:val="none"/>
        </w:rPr>
        <w:t xml:space="preserve"> </w:t>
      </w:r>
      <w:r>
        <w:rPr>
          <w:rFonts w:hint="eastAsia" w:ascii="宋体" w:hAnsi="宋体" w:cs="宋体"/>
          <w:color w:val="auto"/>
          <w:sz w:val="24"/>
          <w:highlight w:val="none"/>
          <w:u w:val="single"/>
        </w:rPr>
        <w:t>详见附件（标的名称）</w:t>
      </w:r>
      <w:r>
        <w:rPr>
          <w:rFonts w:hint="eastAsia" w:ascii="宋体" w:hAnsi="宋体" w:cs="宋体"/>
          <w:color w:val="auto"/>
          <w:sz w:val="24"/>
          <w:highlight w:val="none"/>
        </w:rPr>
        <w:t xml:space="preserve"> ，属于 </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工业</w:t>
      </w:r>
      <w:r>
        <w:rPr>
          <w:rFonts w:hint="eastAsia" w:ascii="宋体" w:hAnsi="宋体" w:cs="宋体"/>
          <w:color w:val="auto"/>
          <w:sz w:val="24"/>
          <w:highlight w:val="none"/>
          <w:u w:val="single"/>
        </w:rPr>
        <w:t>）</w:t>
      </w:r>
      <w:r>
        <w:rPr>
          <w:rFonts w:hint="eastAsia" w:ascii="宋体" w:hAnsi="宋体" w:cs="宋体"/>
          <w:color w:val="auto"/>
          <w:sz w:val="24"/>
          <w:highlight w:val="none"/>
        </w:rPr>
        <w:t>行业 ；制造商为</w:t>
      </w:r>
      <w:r>
        <w:rPr>
          <w:rFonts w:hint="eastAsia" w:ascii="宋体" w:hAnsi="宋体" w:cs="宋体"/>
          <w:color w:val="auto"/>
          <w:sz w:val="24"/>
          <w:highlight w:val="none"/>
          <w:u w:val="single"/>
        </w:rPr>
        <w:t xml:space="preserve"> （企业名称）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w:t>
      </w:r>
      <w:r>
        <w:rPr>
          <w:rFonts w:hint="eastAsia" w:ascii="宋体" w:hAnsi="宋体" w:cs="宋体"/>
          <w:color w:val="auto"/>
          <w:sz w:val="24"/>
          <w:highlight w:val="none"/>
        </w:rPr>
        <w:t xml:space="preserve"> ；</w:t>
      </w:r>
    </w:p>
    <w:p w14:paraId="3E9DE5F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w:t>
      </w:r>
      <w:r>
        <w:rPr>
          <w:rFonts w:hint="eastAsia" w:ascii="宋体" w:hAnsi="宋体" w:cs="宋体"/>
          <w:color w:val="auto"/>
          <w:highlight w:val="none"/>
        </w:rPr>
        <w:t xml:space="preserve"> </w:t>
      </w:r>
      <w:r>
        <w:rPr>
          <w:rFonts w:hint="eastAsia" w:ascii="宋体" w:hAnsi="宋体" w:cs="宋体"/>
          <w:color w:val="auto"/>
          <w:sz w:val="24"/>
          <w:highlight w:val="none"/>
          <w:u w:val="single"/>
        </w:rPr>
        <w:t>详见附件（标的名称）</w:t>
      </w:r>
      <w:r>
        <w:rPr>
          <w:rFonts w:hint="eastAsia" w:ascii="宋体" w:hAnsi="宋体" w:cs="宋体"/>
          <w:color w:val="auto"/>
          <w:sz w:val="24"/>
          <w:highlight w:val="none"/>
        </w:rPr>
        <w:t xml:space="preserve"> ，属于 </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工业</w:t>
      </w:r>
      <w:r>
        <w:rPr>
          <w:rFonts w:hint="eastAsia" w:ascii="宋体" w:hAnsi="宋体" w:cs="宋体"/>
          <w:color w:val="auto"/>
          <w:sz w:val="24"/>
          <w:highlight w:val="none"/>
          <w:u w:val="single"/>
        </w:rPr>
        <w:t>）</w:t>
      </w:r>
      <w:r>
        <w:rPr>
          <w:rFonts w:hint="eastAsia" w:ascii="宋体" w:hAnsi="宋体" w:cs="宋体"/>
          <w:color w:val="auto"/>
          <w:sz w:val="24"/>
          <w:highlight w:val="none"/>
        </w:rPr>
        <w:t>行业 ；制造商为</w:t>
      </w:r>
      <w:r>
        <w:rPr>
          <w:rFonts w:hint="eastAsia" w:ascii="宋体" w:hAnsi="宋体" w:cs="宋体"/>
          <w:color w:val="auto"/>
          <w:sz w:val="24"/>
          <w:highlight w:val="none"/>
          <w:u w:val="single"/>
        </w:rPr>
        <w:t xml:space="preserve"> （企业名称）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w:t>
      </w:r>
      <w:r>
        <w:rPr>
          <w:rFonts w:hint="eastAsia" w:ascii="宋体" w:hAnsi="宋体" w:cs="宋体"/>
          <w:color w:val="auto"/>
          <w:sz w:val="24"/>
          <w:highlight w:val="none"/>
        </w:rPr>
        <w:t xml:space="preserve"> ；</w:t>
      </w:r>
    </w:p>
    <w:p w14:paraId="23360CEA">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w:t>
      </w:r>
    </w:p>
    <w:p w14:paraId="1BB40D8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以上企业，不属于大企业的分支机构，不存在控股股东为大企业的情形，也不存在与大企业的负责人为同一人的情形。</w:t>
      </w:r>
    </w:p>
    <w:p w14:paraId="5785CFB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本企业对上述声明内容的真实性负责。如有虚假，将依法承担相应责任。</w:t>
      </w:r>
    </w:p>
    <w:p w14:paraId="6546C813">
      <w:pPr>
        <w:snapToGrid w:val="0"/>
        <w:spacing w:line="360" w:lineRule="auto"/>
        <w:ind w:firstLine="5160" w:firstLineChars="2150"/>
        <w:rPr>
          <w:rFonts w:ascii="宋体" w:hAnsi="宋体" w:cs="宋体"/>
          <w:color w:val="auto"/>
          <w:kern w:val="0"/>
          <w:sz w:val="24"/>
          <w:highlight w:val="none"/>
        </w:rPr>
      </w:pPr>
      <w:r>
        <w:rPr>
          <w:rFonts w:hint="eastAsia" w:ascii="宋体" w:hAnsi="宋体" w:cs="宋体"/>
          <w:color w:val="auto"/>
          <w:kern w:val="0"/>
          <w:sz w:val="24"/>
          <w:highlight w:val="none"/>
          <w:lang w:val="zh-CN"/>
        </w:rPr>
        <w:t>投标人名称(电子签名)：</w:t>
      </w:r>
    </w:p>
    <w:p w14:paraId="61B390E0">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58027D1B">
      <w:pPr>
        <w:spacing w:line="36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从业人员、营业收入、资产总额填报上一年度数据，无上一年度数据的新成立企业可不填报。</w:t>
      </w:r>
    </w:p>
    <w:p w14:paraId="29BA7E93">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注：</w:t>
      </w:r>
    </w:p>
    <w:p w14:paraId="4CE95A25">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6B9335E2">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35D43019">
      <w:pPr>
        <w:spacing w:line="360" w:lineRule="auto"/>
        <w:ind w:right="420" w:firstLine="482" w:firstLineChars="200"/>
        <w:rPr>
          <w:rFonts w:hint="eastAsia" w:ascii="宋体" w:hAnsi="宋体" w:eastAsia="宋体" w:cs="宋体"/>
          <w:b/>
          <w:bCs/>
          <w:i/>
          <w:iCs/>
          <w:color w:val="auto"/>
          <w:sz w:val="24"/>
          <w:highlight w:val="none"/>
          <w:lang w:val="en-US" w:eastAsia="zh-CN"/>
        </w:rPr>
      </w:pPr>
      <w:r>
        <w:rPr>
          <w:rFonts w:hint="eastAsia" w:ascii="宋体" w:hAnsi="宋体" w:eastAsia="宋体" w:cs="宋体"/>
          <w:b/>
          <w:bCs/>
          <w:i/>
          <w:iCs/>
          <w:color w:val="auto"/>
          <w:sz w:val="24"/>
          <w:highlight w:val="none"/>
          <w:lang w:val="en-US" w:eastAsia="zh-CN"/>
        </w:rPr>
        <w:t>特别提醒:</w:t>
      </w:r>
    </w:p>
    <w:p w14:paraId="1EA7D899">
      <w:pPr>
        <w:keepNext w:val="0"/>
        <w:keepLines w:val="0"/>
        <w:pageBreakBefore w:val="0"/>
        <w:widowControl w:val="0"/>
        <w:kinsoku/>
        <w:wordWrap/>
        <w:overflowPunct/>
        <w:topLinePunct w:val="0"/>
        <w:autoSpaceDE/>
        <w:autoSpaceDN/>
        <w:bidi w:val="0"/>
        <w:adjustRightInd w:val="0"/>
        <w:snapToGrid w:val="0"/>
        <w:spacing w:line="360" w:lineRule="auto"/>
        <w:ind w:right="420" w:firstLine="482" w:firstLineChars="200"/>
        <w:textAlignment w:val="auto"/>
        <w:rPr>
          <w:rFonts w:hint="eastAsia" w:ascii="宋体" w:hAnsi="宋体" w:eastAsia="宋体" w:cs="宋体"/>
          <w:b/>
          <w:bCs/>
          <w:i/>
          <w:iCs/>
          <w:color w:val="auto"/>
          <w:sz w:val="24"/>
          <w:szCs w:val="24"/>
          <w:highlight w:val="none"/>
          <w:lang w:val="en-US" w:eastAsia="zh-CN"/>
        </w:rPr>
      </w:pPr>
      <w:r>
        <w:rPr>
          <w:rFonts w:hint="eastAsia" w:ascii="宋体" w:hAnsi="宋体" w:eastAsia="宋体" w:cs="宋体"/>
          <w:b/>
          <w:bCs/>
          <w:i/>
          <w:iCs/>
          <w:color w:val="auto"/>
          <w:sz w:val="24"/>
          <w:szCs w:val="24"/>
          <w:highlight w:val="none"/>
          <w:lang w:val="en-US" w:eastAsia="zh-CN"/>
        </w:rPr>
        <w:t>1.本项目含有多个标的物，各标的物对应的所属行业均为工业。投标人必须针对所有标的物制造商的情况逐个进行说明。</w:t>
      </w:r>
    </w:p>
    <w:p w14:paraId="33FEEFD6">
      <w:pPr>
        <w:keepNext w:val="0"/>
        <w:keepLines w:val="0"/>
        <w:pageBreakBefore w:val="0"/>
        <w:widowControl w:val="0"/>
        <w:kinsoku/>
        <w:wordWrap/>
        <w:overflowPunct/>
        <w:topLinePunct w:val="0"/>
        <w:autoSpaceDE/>
        <w:autoSpaceDN/>
        <w:bidi w:val="0"/>
        <w:adjustRightInd w:val="0"/>
        <w:snapToGrid w:val="0"/>
        <w:spacing w:line="360" w:lineRule="auto"/>
        <w:ind w:right="420" w:firstLine="482" w:firstLineChars="200"/>
        <w:textAlignment w:val="auto"/>
        <w:rPr>
          <w:rFonts w:hint="default" w:ascii="仿宋" w:hAnsi="仿宋" w:eastAsia="仿宋" w:cs="仿宋"/>
          <w:b/>
          <w:bCs/>
          <w:i/>
          <w:iCs/>
          <w:color w:val="auto"/>
          <w:sz w:val="21"/>
          <w:szCs w:val="21"/>
          <w:highlight w:val="none"/>
          <w:lang w:val="en-US" w:eastAsia="zh-CN"/>
        </w:rPr>
        <w:sectPr>
          <w:pgSz w:w="11906" w:h="16838"/>
          <w:pgMar w:top="1276" w:right="1418" w:bottom="1247" w:left="1418" w:header="992" w:footer="992" w:gutter="0"/>
          <w:pgBorders>
            <w:top w:val="none" w:sz="0" w:space="0"/>
            <w:left w:val="none" w:sz="0" w:space="0"/>
            <w:bottom w:val="none" w:sz="0" w:space="0"/>
            <w:right w:val="none" w:sz="0" w:space="0"/>
          </w:pgBorders>
          <w:cols w:space="720" w:num="1"/>
          <w:titlePg/>
          <w:docGrid w:linePitch="312" w:charSpace="0"/>
        </w:sectPr>
      </w:pPr>
      <w:r>
        <w:rPr>
          <w:rFonts w:hint="eastAsia" w:ascii="宋体" w:hAnsi="宋体" w:eastAsia="宋体" w:cs="宋体"/>
          <w:b/>
          <w:bCs/>
          <w:i/>
          <w:iCs/>
          <w:color w:val="auto"/>
          <w:sz w:val="24"/>
          <w:szCs w:val="24"/>
          <w:highlight w:val="none"/>
          <w:lang w:val="en-US" w:eastAsia="zh-CN"/>
        </w:rPr>
        <w:t>2.鉴于本项目标的物数量较多，请各供应商直接按照附件格式填写</w:t>
      </w:r>
      <w:r>
        <w:rPr>
          <w:rFonts w:hint="eastAsia" w:ascii="仿宋" w:hAnsi="仿宋" w:eastAsia="仿宋" w:cs="仿宋"/>
          <w:b/>
          <w:bCs/>
          <w:i/>
          <w:iCs/>
          <w:color w:val="auto"/>
          <w:sz w:val="21"/>
          <w:szCs w:val="21"/>
          <w:highlight w:val="none"/>
          <w:lang w:val="en-US" w:eastAsia="zh-CN"/>
        </w:rPr>
        <w:t>。</w:t>
      </w:r>
    </w:p>
    <w:p w14:paraId="22303BEB">
      <w:pPr>
        <w:pStyle w:val="3"/>
        <w:jc w:val="left"/>
        <w:rPr>
          <w:rFonts w:hint="default" w:eastAsia="仿宋_GB2312" w:cs="仿宋_GB2312"/>
          <w:color w:val="auto"/>
          <w:sz w:val="24"/>
          <w:highlight w:val="none"/>
          <w:lang w:val="en-US" w:eastAsia="zh-CN"/>
        </w:rPr>
      </w:pPr>
      <w:r>
        <w:rPr>
          <w:rFonts w:hint="eastAsia"/>
          <w:color w:val="auto"/>
          <w:highlight w:val="none"/>
        </w:rPr>
        <w:t>附件</w:t>
      </w:r>
      <w:r>
        <w:rPr>
          <w:rFonts w:hint="eastAsia"/>
          <w:color w:val="auto"/>
          <w:highlight w:val="none"/>
          <w:lang w:val="en-US" w:eastAsia="zh-CN"/>
        </w:rPr>
        <w:t>8送退样授权委托书及样品签收单</w:t>
      </w:r>
    </w:p>
    <w:p w14:paraId="79BD6031">
      <w:pPr>
        <w:pStyle w:val="65"/>
        <w:ind w:left="0" w:leftChars="0" w:firstLine="0" w:firstLineChars="0"/>
        <w:jc w:val="center"/>
        <w:rPr>
          <w:rFonts w:hint="default" w:ascii="宋体" w:hAnsi="宋体" w:eastAsia="宋体" w:cs="宋体"/>
          <w:b/>
          <w:bCs w:val="0"/>
          <w:color w:val="auto"/>
          <w:sz w:val="32"/>
          <w:szCs w:val="32"/>
          <w:highlight w:val="none"/>
          <w:lang w:val="en-US" w:eastAsia="zh-CN"/>
        </w:rPr>
      </w:pPr>
      <w:r>
        <w:rPr>
          <w:rFonts w:hint="eastAsia" w:ascii="宋体" w:hAnsi="宋体" w:cs="宋体"/>
          <w:b/>
          <w:bCs w:val="0"/>
          <w:color w:val="auto"/>
          <w:sz w:val="32"/>
          <w:szCs w:val="32"/>
          <w:highlight w:val="none"/>
          <w:lang w:val="en-US" w:eastAsia="zh-CN"/>
        </w:rPr>
        <w:t>送退样授权委托书</w:t>
      </w:r>
    </w:p>
    <w:p w14:paraId="2349C4B8">
      <w:pPr>
        <w:pStyle w:val="25"/>
        <w:rPr>
          <w:rFonts w:ascii="宋体" w:hAnsi="宋体" w:cs="宋体"/>
          <w:b/>
          <w:color w:val="auto"/>
          <w:sz w:val="32"/>
          <w:szCs w:val="32"/>
          <w:highlight w:val="none"/>
        </w:rPr>
      </w:pPr>
    </w:p>
    <w:p w14:paraId="71C4BADD">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317E2155">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（项目名称）【招标编号：</w:t>
      </w:r>
      <w:r>
        <w:rPr>
          <w:rFonts w:hint="eastAsia" w:ascii="宋体" w:hAnsi="宋体" w:cs="宋体"/>
          <w:color w:val="auto"/>
          <w:sz w:val="24"/>
          <w:highlight w:val="none"/>
          <w:lang w:eastAsia="zh-CN"/>
        </w:rPr>
        <w:t>浙房咨2024【D-224】-0001-1</w:t>
      </w:r>
      <w:r>
        <w:rPr>
          <w:rFonts w:hint="eastAsia" w:ascii="宋体" w:hAnsi="宋体" w:cs="宋体"/>
          <w:color w:val="auto"/>
          <w:sz w:val="24"/>
          <w:highlight w:val="none"/>
        </w:rPr>
        <w:t>】</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u w:val="single"/>
          <w:lang w:val="en-US" w:eastAsia="zh-CN"/>
        </w:rPr>
        <w:t>送、退样品</w:t>
      </w:r>
      <w:r>
        <w:rPr>
          <w:rFonts w:hint="eastAsia" w:ascii="宋体" w:hAnsi="宋体" w:cs="宋体"/>
          <w:color w:val="auto"/>
          <w:kern w:val="0"/>
          <w:sz w:val="24"/>
          <w:highlight w:val="none"/>
          <w:lang w:val="zh-CN"/>
        </w:rPr>
        <w:t>的一切事项，其法律后果由我方承担。</w:t>
      </w:r>
    </w:p>
    <w:p w14:paraId="02D117FD">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79610743">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4B051616">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投标人名称(电子签名)：</w:t>
      </w:r>
    </w:p>
    <w:p w14:paraId="41A02E32">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签发日期：  年  月   日</w:t>
      </w:r>
    </w:p>
    <w:p w14:paraId="058772A3">
      <w:pPr>
        <w:spacing w:line="360" w:lineRule="auto"/>
        <w:rPr>
          <w:rFonts w:ascii="宋体" w:hAnsi="宋体" w:cs="宋体"/>
          <w:bCs/>
          <w:color w:val="auto"/>
          <w:sz w:val="24"/>
          <w:highlight w:val="none"/>
        </w:rPr>
      </w:pPr>
    </w:p>
    <w:p w14:paraId="681604C5">
      <w:pPr>
        <w:pStyle w:val="3"/>
        <w:rPr>
          <w:color w:val="auto"/>
          <w:highlight w:val="none"/>
        </w:rPr>
      </w:pPr>
    </w:p>
    <w:p w14:paraId="49A4917A">
      <w:pPr>
        <w:spacing w:line="360" w:lineRule="auto"/>
        <w:jc w:val="center"/>
        <w:rPr>
          <w:rFonts w:ascii="宋体" w:hAnsi="宋体" w:cs="宋体"/>
          <w:b/>
          <w:color w:val="auto"/>
          <w:sz w:val="32"/>
          <w:szCs w:val="32"/>
          <w:highlight w:val="none"/>
        </w:rPr>
      </w:pPr>
    </w:p>
    <w:p w14:paraId="48E5AD8F">
      <w:pPr>
        <w:rPr>
          <w:rFonts w:ascii="仿宋" w:hAnsi="仿宋" w:eastAsia="仿宋" w:cs="仿宋"/>
          <w:color w:val="auto"/>
          <w:kern w:val="0"/>
          <w:sz w:val="20"/>
          <w:szCs w:val="20"/>
          <w:highlight w:val="none"/>
          <w:lang w:val="en-US" w:eastAsia="zh-CN" w:bidi="ar"/>
        </w:rPr>
      </w:pPr>
    </w:p>
    <w:p w14:paraId="77BE7E70">
      <w:pPr>
        <w:rPr>
          <w:rFonts w:ascii="仿宋" w:hAnsi="仿宋" w:eastAsia="仿宋" w:cs="仿宋"/>
          <w:color w:val="auto"/>
          <w:kern w:val="0"/>
          <w:sz w:val="20"/>
          <w:szCs w:val="20"/>
          <w:highlight w:val="none"/>
          <w:lang w:val="en-US" w:eastAsia="zh-CN" w:bidi="ar"/>
        </w:rPr>
      </w:pPr>
    </w:p>
    <w:p w14:paraId="2910C337">
      <w:pPr>
        <w:rPr>
          <w:rFonts w:ascii="仿宋" w:hAnsi="仿宋" w:eastAsia="仿宋" w:cs="仿宋"/>
          <w:color w:val="auto"/>
          <w:kern w:val="0"/>
          <w:sz w:val="20"/>
          <w:szCs w:val="20"/>
          <w:highlight w:val="none"/>
          <w:lang w:val="en-US" w:eastAsia="zh-CN" w:bidi="ar"/>
        </w:rPr>
      </w:pPr>
    </w:p>
    <w:p w14:paraId="5EF1F948">
      <w:pPr>
        <w:rPr>
          <w:rFonts w:ascii="仿宋" w:hAnsi="仿宋" w:eastAsia="仿宋" w:cs="仿宋"/>
          <w:color w:val="auto"/>
          <w:kern w:val="0"/>
          <w:sz w:val="20"/>
          <w:szCs w:val="20"/>
          <w:highlight w:val="none"/>
          <w:lang w:val="en-US" w:eastAsia="zh-CN" w:bidi="ar"/>
        </w:rPr>
      </w:pPr>
    </w:p>
    <w:p w14:paraId="4B831575">
      <w:pPr>
        <w:rPr>
          <w:rFonts w:ascii="仿宋" w:hAnsi="仿宋" w:eastAsia="仿宋" w:cs="仿宋"/>
          <w:color w:val="auto"/>
          <w:kern w:val="0"/>
          <w:sz w:val="20"/>
          <w:szCs w:val="20"/>
          <w:highlight w:val="none"/>
          <w:lang w:val="en-US" w:eastAsia="zh-CN" w:bidi="ar"/>
        </w:rPr>
      </w:pPr>
    </w:p>
    <w:p w14:paraId="2F65F56E">
      <w:pPr>
        <w:rPr>
          <w:rFonts w:ascii="仿宋" w:hAnsi="仿宋" w:eastAsia="仿宋" w:cs="仿宋"/>
          <w:color w:val="auto"/>
          <w:kern w:val="0"/>
          <w:sz w:val="20"/>
          <w:szCs w:val="20"/>
          <w:highlight w:val="none"/>
          <w:lang w:val="en-US" w:eastAsia="zh-CN" w:bidi="ar"/>
        </w:rPr>
      </w:pPr>
    </w:p>
    <w:p w14:paraId="6BF4DE15">
      <w:pPr>
        <w:rPr>
          <w:rFonts w:ascii="仿宋" w:hAnsi="仿宋" w:eastAsia="仿宋" w:cs="仿宋"/>
          <w:color w:val="auto"/>
          <w:kern w:val="0"/>
          <w:sz w:val="20"/>
          <w:szCs w:val="20"/>
          <w:highlight w:val="none"/>
          <w:lang w:val="en-US" w:eastAsia="zh-CN" w:bidi="ar"/>
        </w:rPr>
      </w:pPr>
    </w:p>
    <w:p w14:paraId="74A64440">
      <w:pPr>
        <w:rPr>
          <w:rFonts w:ascii="仿宋" w:hAnsi="仿宋" w:eastAsia="仿宋" w:cs="仿宋"/>
          <w:color w:val="auto"/>
          <w:kern w:val="0"/>
          <w:sz w:val="20"/>
          <w:szCs w:val="20"/>
          <w:highlight w:val="none"/>
          <w:lang w:val="en-US" w:eastAsia="zh-CN" w:bidi="ar"/>
        </w:rPr>
      </w:pPr>
    </w:p>
    <w:p w14:paraId="7611BFAA">
      <w:pPr>
        <w:rPr>
          <w:rFonts w:ascii="仿宋" w:hAnsi="仿宋" w:eastAsia="仿宋" w:cs="仿宋"/>
          <w:color w:val="auto"/>
          <w:kern w:val="0"/>
          <w:sz w:val="20"/>
          <w:szCs w:val="20"/>
          <w:highlight w:val="none"/>
          <w:lang w:val="en-US" w:eastAsia="zh-CN" w:bidi="ar"/>
        </w:rPr>
      </w:pPr>
    </w:p>
    <w:p w14:paraId="1598A1A1">
      <w:pPr>
        <w:rPr>
          <w:rFonts w:ascii="仿宋" w:hAnsi="仿宋" w:eastAsia="仿宋" w:cs="仿宋"/>
          <w:color w:val="auto"/>
          <w:kern w:val="0"/>
          <w:sz w:val="20"/>
          <w:szCs w:val="20"/>
          <w:highlight w:val="none"/>
          <w:lang w:val="en-US" w:eastAsia="zh-CN" w:bidi="ar"/>
        </w:rPr>
      </w:pPr>
    </w:p>
    <w:p w14:paraId="363098F4">
      <w:pPr>
        <w:rPr>
          <w:rFonts w:ascii="仿宋" w:hAnsi="仿宋" w:eastAsia="仿宋" w:cs="仿宋"/>
          <w:color w:val="auto"/>
          <w:kern w:val="0"/>
          <w:sz w:val="20"/>
          <w:szCs w:val="20"/>
          <w:highlight w:val="none"/>
          <w:lang w:val="en-US" w:eastAsia="zh-CN" w:bidi="ar"/>
        </w:rPr>
      </w:pPr>
    </w:p>
    <w:p w14:paraId="11870047">
      <w:pPr>
        <w:rPr>
          <w:rFonts w:ascii="仿宋" w:hAnsi="仿宋" w:eastAsia="仿宋" w:cs="仿宋"/>
          <w:color w:val="auto"/>
          <w:kern w:val="0"/>
          <w:sz w:val="20"/>
          <w:szCs w:val="20"/>
          <w:highlight w:val="none"/>
          <w:lang w:val="en-US" w:eastAsia="zh-CN" w:bidi="ar"/>
        </w:rPr>
      </w:pPr>
    </w:p>
    <w:p w14:paraId="35D642B9">
      <w:pPr>
        <w:rPr>
          <w:rFonts w:ascii="仿宋" w:hAnsi="仿宋" w:eastAsia="仿宋" w:cs="仿宋"/>
          <w:color w:val="auto"/>
          <w:kern w:val="0"/>
          <w:sz w:val="20"/>
          <w:szCs w:val="20"/>
          <w:highlight w:val="none"/>
          <w:lang w:val="en-US" w:eastAsia="zh-CN" w:bidi="ar"/>
        </w:rPr>
      </w:pPr>
    </w:p>
    <w:p w14:paraId="0A0BAD5E">
      <w:pPr>
        <w:rPr>
          <w:rFonts w:ascii="仿宋" w:hAnsi="仿宋" w:eastAsia="仿宋" w:cs="仿宋"/>
          <w:color w:val="auto"/>
          <w:kern w:val="0"/>
          <w:sz w:val="20"/>
          <w:szCs w:val="20"/>
          <w:highlight w:val="none"/>
          <w:lang w:val="en-US" w:eastAsia="zh-CN" w:bidi="ar"/>
        </w:rPr>
      </w:pPr>
    </w:p>
    <w:p w14:paraId="052E542A">
      <w:pPr>
        <w:rPr>
          <w:rFonts w:ascii="仿宋" w:hAnsi="仿宋" w:eastAsia="仿宋" w:cs="仿宋"/>
          <w:color w:val="auto"/>
          <w:kern w:val="0"/>
          <w:sz w:val="20"/>
          <w:szCs w:val="20"/>
          <w:highlight w:val="none"/>
          <w:lang w:val="en-US" w:eastAsia="zh-CN" w:bidi="ar"/>
        </w:rPr>
      </w:pPr>
    </w:p>
    <w:p w14:paraId="51DA9193">
      <w:pPr>
        <w:rPr>
          <w:rFonts w:ascii="仿宋" w:hAnsi="仿宋" w:eastAsia="仿宋" w:cs="仿宋"/>
          <w:color w:val="auto"/>
          <w:kern w:val="0"/>
          <w:sz w:val="20"/>
          <w:szCs w:val="20"/>
          <w:highlight w:val="none"/>
          <w:lang w:val="en-US" w:eastAsia="zh-CN" w:bidi="ar"/>
        </w:rPr>
      </w:pPr>
    </w:p>
    <w:p w14:paraId="5E91DEAD">
      <w:pPr>
        <w:rPr>
          <w:rFonts w:ascii="仿宋" w:hAnsi="仿宋" w:eastAsia="仿宋" w:cs="仿宋"/>
          <w:color w:val="auto"/>
          <w:kern w:val="0"/>
          <w:sz w:val="20"/>
          <w:szCs w:val="20"/>
          <w:highlight w:val="none"/>
          <w:lang w:val="en-US" w:eastAsia="zh-CN" w:bidi="ar"/>
        </w:rPr>
      </w:pPr>
    </w:p>
    <w:p w14:paraId="0A80F1C1">
      <w:pPr>
        <w:rPr>
          <w:rFonts w:ascii="仿宋" w:hAnsi="仿宋" w:eastAsia="仿宋" w:cs="仿宋"/>
          <w:color w:val="auto"/>
          <w:kern w:val="0"/>
          <w:sz w:val="20"/>
          <w:szCs w:val="20"/>
          <w:highlight w:val="none"/>
          <w:lang w:val="en-US" w:eastAsia="zh-CN" w:bidi="ar"/>
        </w:rPr>
      </w:pPr>
    </w:p>
    <w:p w14:paraId="04625144">
      <w:pPr>
        <w:rPr>
          <w:rFonts w:ascii="仿宋" w:hAnsi="仿宋" w:eastAsia="仿宋" w:cs="仿宋"/>
          <w:color w:val="auto"/>
          <w:kern w:val="0"/>
          <w:sz w:val="20"/>
          <w:szCs w:val="20"/>
          <w:highlight w:val="none"/>
          <w:lang w:val="en-US" w:eastAsia="zh-CN" w:bidi="ar"/>
        </w:rPr>
      </w:pPr>
    </w:p>
    <w:p w14:paraId="38D88B75">
      <w:pPr>
        <w:keepNext w:val="0"/>
        <w:keepLines w:val="0"/>
        <w:pageBreakBefore w:val="0"/>
        <w:kinsoku/>
        <w:wordWrap/>
        <w:overflowPunct/>
        <w:topLinePunct w:val="0"/>
        <w:bidi w:val="0"/>
        <w:adjustRightInd/>
        <w:spacing w:line="440" w:lineRule="exact"/>
        <w:jc w:val="center"/>
        <w:rPr>
          <w:rFonts w:hint="eastAsia" w:ascii="宋体" w:hAnsi="宋体" w:cs="宋体"/>
          <w:b/>
          <w:bCs/>
          <w:color w:val="auto"/>
          <w:sz w:val="30"/>
          <w:szCs w:val="30"/>
          <w:highlight w:val="none"/>
          <w:lang w:val="en-US" w:eastAsia="zh-CN"/>
        </w:rPr>
        <w:sectPr>
          <w:headerReference r:id="rId21" w:type="first"/>
          <w:footerReference r:id="rId23" w:type="first"/>
          <w:headerReference r:id="rId20" w:type="default"/>
          <w:footerReference r:id="rId22"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286B12FC">
      <w:pPr>
        <w:keepNext w:val="0"/>
        <w:keepLines w:val="0"/>
        <w:pageBreakBefore w:val="0"/>
        <w:kinsoku/>
        <w:wordWrap/>
        <w:overflowPunct/>
        <w:topLinePunct w:val="0"/>
        <w:bidi w:val="0"/>
        <w:adjustRightInd/>
        <w:spacing w:line="440" w:lineRule="exact"/>
        <w:jc w:val="center"/>
        <w:rPr>
          <w:rFonts w:hint="eastAsia" w:ascii="宋体" w:hAnsi="宋体" w:cs="宋体"/>
          <w:b/>
          <w:bCs/>
          <w:color w:val="auto"/>
          <w:sz w:val="30"/>
          <w:szCs w:val="30"/>
          <w:highlight w:val="none"/>
          <w:lang w:val="en-US" w:eastAsia="zh-CN"/>
        </w:rPr>
      </w:pPr>
      <w:r>
        <w:rPr>
          <w:rFonts w:hint="eastAsia" w:ascii="宋体" w:hAnsi="宋体" w:cs="宋体"/>
          <w:b/>
          <w:bCs/>
          <w:color w:val="auto"/>
          <w:sz w:val="30"/>
          <w:szCs w:val="30"/>
          <w:highlight w:val="none"/>
          <w:lang w:val="en-US" w:eastAsia="zh-CN"/>
        </w:rPr>
        <w:t>样品签收单</w:t>
      </w:r>
    </w:p>
    <w:p w14:paraId="40D497F5">
      <w:pPr>
        <w:keepNext w:val="0"/>
        <w:keepLines w:val="0"/>
        <w:pageBreakBefore w:val="0"/>
        <w:kinsoku/>
        <w:wordWrap/>
        <w:overflowPunct/>
        <w:topLinePunct w:val="0"/>
        <w:bidi w:val="0"/>
        <w:adjustRightInd/>
        <w:spacing w:line="440" w:lineRule="exact"/>
        <w:jc w:val="both"/>
        <w:rPr>
          <w:rFonts w:hint="default"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 xml:space="preserve">项目编号：滨江区科技创新综合体及周边配套项目厨房设备采购（重新招标）                            </w:t>
      </w:r>
    </w:p>
    <w:p w14:paraId="5320D73A">
      <w:pPr>
        <w:pStyle w:val="23"/>
        <w:keepNext w:val="0"/>
        <w:keepLines w:val="0"/>
        <w:pageBreakBefore w:val="0"/>
        <w:kinsoku/>
        <w:wordWrap/>
        <w:overflowPunct/>
        <w:topLinePunct w:val="0"/>
        <w:bidi w:val="0"/>
        <w:spacing w:line="440" w:lineRule="exact"/>
        <w:ind w:left="1205" w:hanging="1205" w:hangingChars="500"/>
        <w:rPr>
          <w:rFonts w:hint="default" w:ascii="宋体" w:hAnsi="宋体" w:cs="宋体"/>
          <w:b/>
          <w:bCs/>
          <w:color w:val="auto"/>
          <w:sz w:val="24"/>
          <w:szCs w:val="24"/>
          <w:highlight w:val="none"/>
          <w:lang w:val="en-US"/>
        </w:rPr>
      </w:pPr>
      <w:r>
        <w:rPr>
          <w:rFonts w:hint="eastAsia" w:hAnsi="宋体" w:cs="宋体"/>
          <w:b/>
          <w:bCs/>
          <w:color w:val="auto"/>
          <w:sz w:val="24"/>
          <w:szCs w:val="24"/>
          <w:highlight w:val="none"/>
          <w:lang w:val="en-US" w:eastAsia="zh-CN"/>
        </w:rPr>
        <w:t xml:space="preserve">项目名称：浙房咨2024【D-224】-0001-1                              </w:t>
      </w:r>
    </w:p>
    <w:p w14:paraId="36763EA3">
      <w:pPr>
        <w:keepNext w:val="0"/>
        <w:keepLines w:val="0"/>
        <w:pageBreakBefore w:val="0"/>
        <w:widowControl w:val="0"/>
        <w:kinsoku/>
        <w:wordWrap/>
        <w:overflowPunct/>
        <w:topLinePunct w:val="0"/>
        <w:bidi w:val="0"/>
        <w:adjustRightInd w:val="0"/>
        <w:spacing w:line="440" w:lineRule="exact"/>
        <w:textAlignment w:val="auto"/>
        <w:rPr>
          <w:rFonts w:hint="default"/>
          <w:b/>
          <w:bCs/>
          <w:color w:val="auto"/>
          <w:sz w:val="24"/>
          <w:szCs w:val="24"/>
          <w:highlight w:val="none"/>
          <w:u w:val="single"/>
          <w:lang w:val="en-US" w:eastAsia="zh-CN"/>
        </w:rPr>
      </w:pPr>
      <w:r>
        <w:rPr>
          <w:rFonts w:hint="eastAsia"/>
          <w:b/>
          <w:bCs/>
          <w:color w:val="auto"/>
          <w:sz w:val="24"/>
          <w:szCs w:val="24"/>
          <w:highlight w:val="none"/>
          <w:lang w:val="en-US" w:eastAsia="zh-CN"/>
        </w:rPr>
        <w:t>送样单位：</w:t>
      </w:r>
      <w:r>
        <w:rPr>
          <w:rFonts w:hint="eastAsia"/>
          <w:b/>
          <w:bCs/>
          <w:color w:val="auto"/>
          <w:sz w:val="24"/>
          <w:szCs w:val="24"/>
          <w:highlight w:val="none"/>
          <w:u w:val="single"/>
          <w:lang w:val="en-US" w:eastAsia="zh-CN"/>
        </w:rPr>
        <w:t xml:space="preserve">                              </w:t>
      </w:r>
    </w:p>
    <w:p w14:paraId="6577CC64">
      <w:pPr>
        <w:pStyle w:val="23"/>
        <w:keepNext w:val="0"/>
        <w:keepLines w:val="0"/>
        <w:pageBreakBefore w:val="0"/>
        <w:widowControl w:val="0"/>
        <w:kinsoku/>
        <w:wordWrap/>
        <w:overflowPunct/>
        <w:topLinePunct w:val="0"/>
        <w:bidi w:val="0"/>
        <w:adjustRightInd w:val="0"/>
        <w:spacing w:line="440" w:lineRule="exact"/>
        <w:textAlignment w:val="auto"/>
        <w:rPr>
          <w:rFonts w:hint="default"/>
          <w:b/>
          <w:bCs/>
          <w:color w:val="auto"/>
          <w:sz w:val="24"/>
          <w:szCs w:val="24"/>
          <w:highlight w:val="none"/>
          <w:u w:val="single"/>
          <w:lang w:val="en-US" w:eastAsia="zh-CN"/>
        </w:rPr>
      </w:pPr>
      <w:r>
        <w:rPr>
          <w:rFonts w:hint="eastAsia"/>
          <w:b/>
          <w:bCs/>
          <w:color w:val="auto"/>
          <w:sz w:val="24"/>
          <w:szCs w:val="24"/>
          <w:highlight w:val="none"/>
          <w:lang w:val="en-US" w:eastAsia="zh-CN"/>
        </w:rPr>
        <w:t>送样联系人：</w:t>
      </w:r>
      <w:r>
        <w:rPr>
          <w:rFonts w:hint="eastAsia"/>
          <w:b/>
          <w:bCs/>
          <w:color w:val="auto"/>
          <w:sz w:val="24"/>
          <w:szCs w:val="24"/>
          <w:highlight w:val="none"/>
          <w:u w:val="single"/>
          <w:lang w:val="en-US" w:eastAsia="zh-CN"/>
        </w:rPr>
        <w:t xml:space="preserve">          </w:t>
      </w:r>
      <w:r>
        <w:rPr>
          <w:rFonts w:hint="eastAsia"/>
          <w:b/>
          <w:bCs/>
          <w:color w:val="auto"/>
          <w:sz w:val="24"/>
          <w:szCs w:val="24"/>
          <w:highlight w:val="none"/>
          <w:u w:val="none"/>
          <w:lang w:val="en-US" w:eastAsia="zh-CN"/>
        </w:rPr>
        <w:t>身份证号：</w:t>
      </w:r>
      <w:r>
        <w:rPr>
          <w:rFonts w:hint="eastAsia"/>
          <w:b/>
          <w:bCs/>
          <w:color w:val="auto"/>
          <w:sz w:val="24"/>
          <w:szCs w:val="24"/>
          <w:highlight w:val="none"/>
          <w:u w:val="single"/>
          <w:lang w:val="en-US" w:eastAsia="zh-CN"/>
        </w:rPr>
        <w:t xml:space="preserve">                  </w:t>
      </w:r>
      <w:r>
        <w:rPr>
          <w:rFonts w:hint="eastAsia"/>
          <w:b/>
          <w:bCs/>
          <w:color w:val="auto"/>
          <w:sz w:val="24"/>
          <w:szCs w:val="24"/>
          <w:highlight w:val="none"/>
          <w:lang w:val="en-US" w:eastAsia="zh-CN"/>
        </w:rPr>
        <w:t>联系电话：</w:t>
      </w:r>
      <w:r>
        <w:rPr>
          <w:rFonts w:hint="eastAsia"/>
          <w:b/>
          <w:bCs/>
          <w:color w:val="auto"/>
          <w:sz w:val="24"/>
          <w:szCs w:val="24"/>
          <w:highlight w:val="none"/>
          <w:u w:val="single"/>
          <w:lang w:val="en-US" w:eastAsia="zh-CN"/>
        </w:rPr>
        <w:t xml:space="preserve">                  </w:t>
      </w:r>
    </w:p>
    <w:p w14:paraId="21D7A51F">
      <w:pPr>
        <w:keepNext w:val="0"/>
        <w:keepLines w:val="0"/>
        <w:pageBreakBefore w:val="0"/>
        <w:widowControl w:val="0"/>
        <w:kinsoku/>
        <w:wordWrap/>
        <w:overflowPunct/>
        <w:topLinePunct w:val="0"/>
        <w:bidi w:val="0"/>
        <w:adjustRightInd w:val="0"/>
        <w:snapToGrid w:val="0"/>
        <w:spacing w:line="440" w:lineRule="exact"/>
        <w:textAlignment w:val="auto"/>
        <w:rPr>
          <w:rFonts w:hint="eastAsia" w:ascii="宋体" w:hAnsi="宋体" w:eastAsia="宋体" w:cs="宋体"/>
          <w:b/>
          <w:bCs/>
          <w:color w:val="auto"/>
          <w:kern w:val="10"/>
          <w:sz w:val="24"/>
          <w:highlight w:val="none"/>
          <w:lang w:eastAsia="zh-CN"/>
        </w:rPr>
      </w:pPr>
      <w:r>
        <w:rPr>
          <w:rFonts w:hint="eastAsia" w:ascii="宋体" w:hAnsi="宋体" w:cs="宋体"/>
          <w:b/>
          <w:bCs/>
          <w:color w:val="auto"/>
          <w:kern w:val="10"/>
          <w:sz w:val="24"/>
          <w:highlight w:val="none"/>
        </w:rPr>
        <w:t>递交时间：</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rPr>
        <w:t>年</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rPr>
        <w:t>月</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none"/>
        </w:rPr>
        <w:t>日</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rPr>
        <w:t>时</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rPr>
        <w:t>分</w:t>
      </w:r>
      <w:r>
        <w:rPr>
          <w:rFonts w:hint="eastAsia" w:ascii="宋体" w:hAnsi="宋体" w:cs="宋体"/>
          <w:b/>
          <w:bCs/>
          <w:color w:val="auto"/>
          <w:kern w:val="10"/>
          <w:sz w:val="24"/>
          <w:highlight w:val="none"/>
          <w:lang w:eastAsia="zh-CN"/>
        </w:rPr>
        <w:t>（</w:t>
      </w:r>
      <w:r>
        <w:rPr>
          <w:rFonts w:hint="eastAsia" w:ascii="宋体" w:hAnsi="宋体" w:cs="宋体"/>
          <w:b/>
          <w:bCs/>
          <w:color w:val="auto"/>
          <w:kern w:val="10"/>
          <w:sz w:val="24"/>
          <w:highlight w:val="none"/>
          <w:lang w:val="en-US" w:eastAsia="zh-CN"/>
        </w:rPr>
        <w:t>送样现场填写</w:t>
      </w:r>
      <w:r>
        <w:rPr>
          <w:rFonts w:hint="eastAsia" w:ascii="宋体" w:hAnsi="宋体" w:cs="宋体"/>
          <w:b/>
          <w:bCs/>
          <w:color w:val="auto"/>
          <w:kern w:val="10"/>
          <w:sz w:val="24"/>
          <w:highlight w:val="none"/>
          <w:lang w:eastAsia="zh-CN"/>
        </w:rPr>
        <w:t>）</w:t>
      </w:r>
    </w:p>
    <w:p w14:paraId="6D3FAFA1">
      <w:pPr>
        <w:keepNext w:val="0"/>
        <w:keepLines w:val="0"/>
        <w:pageBreakBefore w:val="0"/>
        <w:kinsoku/>
        <w:wordWrap/>
        <w:overflowPunct/>
        <w:topLinePunct w:val="0"/>
        <w:bidi w:val="0"/>
        <w:spacing w:line="440" w:lineRule="exact"/>
        <w:rPr>
          <w:rFonts w:hint="eastAsia"/>
          <w:color w:val="auto"/>
          <w:highlight w:val="none"/>
        </w:rPr>
      </w:pPr>
    </w:p>
    <w:tbl>
      <w:tblPr>
        <w:tblStyle w:val="67"/>
        <w:tblW w:w="9087"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2855"/>
        <w:gridCol w:w="1312"/>
        <w:gridCol w:w="1775"/>
        <w:gridCol w:w="2400"/>
      </w:tblGrid>
      <w:tr w14:paraId="5C85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14:paraId="176C761A">
            <w:pPr>
              <w:keepNext w:val="0"/>
              <w:keepLines w:val="0"/>
              <w:pageBreakBefore w:val="0"/>
              <w:widowControl/>
              <w:kinsoku/>
              <w:wordWrap/>
              <w:overflowPunct/>
              <w:topLinePunct w:val="0"/>
              <w:bidi w:val="0"/>
              <w:spacing w:line="440" w:lineRule="exact"/>
              <w:jc w:val="center"/>
              <w:rPr>
                <w:b/>
                <w:bCs w:val="0"/>
                <w:color w:val="auto"/>
                <w:sz w:val="21"/>
                <w:szCs w:val="21"/>
                <w:highlight w:val="none"/>
              </w:rPr>
            </w:pPr>
            <w:r>
              <w:rPr>
                <w:rFonts w:hint="eastAsia" w:ascii="宋体" w:hAnsi="宋体" w:eastAsia="宋体" w:cs="宋体"/>
                <w:b/>
                <w:bCs w:val="0"/>
                <w:color w:val="auto"/>
                <w:sz w:val="21"/>
                <w:szCs w:val="21"/>
                <w:highlight w:val="none"/>
              </w:rPr>
              <w:t>序号</w:t>
            </w:r>
          </w:p>
        </w:tc>
        <w:tc>
          <w:tcPr>
            <w:tcW w:w="2855" w:type="dxa"/>
            <w:vAlign w:val="center"/>
          </w:tcPr>
          <w:p w14:paraId="6E853735">
            <w:pPr>
              <w:keepNext w:val="0"/>
              <w:keepLines w:val="0"/>
              <w:pageBreakBefore w:val="0"/>
              <w:widowControl/>
              <w:kinsoku/>
              <w:wordWrap/>
              <w:overflowPunct/>
              <w:topLinePunct w:val="0"/>
              <w:bidi w:val="0"/>
              <w:spacing w:line="440" w:lineRule="exact"/>
              <w:jc w:val="center"/>
              <w:rPr>
                <w:rFonts w:hint="eastAsia" w:eastAsia="宋体"/>
                <w:b/>
                <w:bCs w:val="0"/>
                <w:color w:val="auto"/>
                <w:sz w:val="21"/>
                <w:szCs w:val="21"/>
                <w:highlight w:val="none"/>
                <w:lang w:eastAsia="zh-CN"/>
              </w:rPr>
            </w:pPr>
            <w:r>
              <w:rPr>
                <w:rFonts w:hint="eastAsia" w:ascii="宋体" w:hAnsi="宋体" w:cs="宋体"/>
                <w:b/>
                <w:bCs w:val="0"/>
                <w:color w:val="auto"/>
                <w:sz w:val="21"/>
                <w:szCs w:val="21"/>
                <w:highlight w:val="none"/>
                <w:lang w:val="en-US" w:eastAsia="zh-CN"/>
              </w:rPr>
              <w:t>名称</w:t>
            </w:r>
          </w:p>
        </w:tc>
        <w:tc>
          <w:tcPr>
            <w:tcW w:w="1312" w:type="dxa"/>
            <w:vAlign w:val="center"/>
          </w:tcPr>
          <w:p w14:paraId="4313CE8C">
            <w:pPr>
              <w:keepNext w:val="0"/>
              <w:keepLines w:val="0"/>
              <w:pageBreakBefore w:val="0"/>
              <w:tabs>
                <w:tab w:val="left" w:pos="1260"/>
              </w:tabs>
              <w:kinsoku/>
              <w:wordWrap/>
              <w:overflowPunct/>
              <w:topLinePunct w:val="0"/>
              <w:autoSpaceDE w:val="0"/>
              <w:autoSpaceDN w:val="0"/>
              <w:bidi w:val="0"/>
              <w:spacing w:before="100" w:after="100" w:line="440" w:lineRule="exact"/>
              <w:ind w:left="0" w:leftChars="0" w:right="131" w:rightChars="0" w:firstLine="0" w:firstLineChars="0"/>
              <w:jc w:val="center"/>
              <w:rPr>
                <w:rFonts w:hint="default" w:eastAsia="宋体"/>
                <w:b/>
                <w:bCs w:val="0"/>
                <w:color w:val="auto"/>
                <w:sz w:val="21"/>
                <w:szCs w:val="21"/>
                <w:highlight w:val="none"/>
                <w:lang w:val="en-US" w:eastAsia="zh-CN"/>
              </w:rPr>
            </w:pPr>
            <w:r>
              <w:rPr>
                <w:rFonts w:hint="eastAsia" w:eastAsia="宋体"/>
                <w:b/>
                <w:bCs w:val="0"/>
                <w:color w:val="auto"/>
                <w:sz w:val="21"/>
                <w:szCs w:val="21"/>
                <w:highlight w:val="none"/>
                <w:lang w:val="en-US" w:eastAsia="zh-CN"/>
              </w:rPr>
              <w:t>数量</w:t>
            </w:r>
          </w:p>
        </w:tc>
        <w:tc>
          <w:tcPr>
            <w:tcW w:w="1775" w:type="dxa"/>
            <w:vAlign w:val="center"/>
          </w:tcPr>
          <w:p w14:paraId="19A3E502">
            <w:pPr>
              <w:keepNext w:val="0"/>
              <w:keepLines w:val="0"/>
              <w:pageBreakBefore w:val="0"/>
              <w:widowControl/>
              <w:kinsoku/>
              <w:wordWrap/>
              <w:overflowPunct/>
              <w:topLinePunct w:val="0"/>
              <w:bidi w:val="0"/>
              <w:spacing w:line="440" w:lineRule="exact"/>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eastAsia="宋体" w:cs="Times New Roman"/>
                <w:b/>
                <w:bCs w:val="0"/>
                <w:color w:val="auto"/>
                <w:kern w:val="2"/>
                <w:sz w:val="21"/>
                <w:szCs w:val="21"/>
                <w:highlight w:val="none"/>
                <w:lang w:val="en-US" w:eastAsia="zh-CN" w:bidi="ar-SA"/>
              </w:rPr>
              <w:t>单位</w:t>
            </w:r>
          </w:p>
        </w:tc>
        <w:tc>
          <w:tcPr>
            <w:tcW w:w="2400" w:type="dxa"/>
            <w:vAlign w:val="center"/>
          </w:tcPr>
          <w:p w14:paraId="71322AAC">
            <w:pPr>
              <w:keepNext w:val="0"/>
              <w:keepLines w:val="0"/>
              <w:pageBreakBefore w:val="0"/>
              <w:widowControl/>
              <w:kinsoku/>
              <w:wordWrap/>
              <w:overflowPunct/>
              <w:topLinePunct w:val="0"/>
              <w:bidi w:val="0"/>
              <w:spacing w:line="440" w:lineRule="exact"/>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eastAsia="宋体" w:cs="Times New Roman"/>
                <w:b/>
                <w:bCs w:val="0"/>
                <w:color w:val="auto"/>
                <w:kern w:val="2"/>
                <w:sz w:val="21"/>
                <w:szCs w:val="21"/>
                <w:highlight w:val="none"/>
                <w:lang w:val="en-US" w:eastAsia="zh-CN" w:bidi="ar-SA"/>
              </w:rPr>
              <w:t>备注</w:t>
            </w:r>
          </w:p>
        </w:tc>
      </w:tr>
      <w:tr w14:paraId="39AB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45" w:type="dxa"/>
            <w:vAlign w:val="center"/>
          </w:tcPr>
          <w:p w14:paraId="09A23501">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sz w:val="21"/>
                <w:szCs w:val="21"/>
                <w:highlight w:val="none"/>
                <w:lang w:val="en-US" w:eastAsia="zh-CN"/>
              </w:rPr>
            </w:pPr>
          </w:p>
        </w:tc>
        <w:tc>
          <w:tcPr>
            <w:tcW w:w="2855" w:type="dxa"/>
            <w:vAlign w:val="center"/>
          </w:tcPr>
          <w:p w14:paraId="23450BCF">
            <w:pPr>
              <w:keepNext w:val="0"/>
              <w:keepLines w:val="0"/>
              <w:pageBreakBefore w:val="0"/>
              <w:widowControl/>
              <w:kinsoku/>
              <w:wordWrap/>
              <w:overflowPunct/>
              <w:topLinePunct w:val="0"/>
              <w:bidi w:val="0"/>
              <w:spacing w:line="440" w:lineRule="exact"/>
              <w:jc w:val="center"/>
              <w:textAlignment w:val="center"/>
              <w:rPr>
                <w:rFonts w:hint="default" w:ascii="宋体" w:hAnsi="宋体" w:eastAsia="宋体" w:cs="宋体"/>
                <w:b/>
                <w:bCs/>
                <w:color w:val="auto"/>
                <w:sz w:val="21"/>
                <w:szCs w:val="21"/>
                <w:highlight w:val="none"/>
                <w:u w:val="none"/>
                <w:lang w:val="en-US" w:eastAsia="zh-CN"/>
              </w:rPr>
            </w:pPr>
          </w:p>
        </w:tc>
        <w:tc>
          <w:tcPr>
            <w:tcW w:w="1312" w:type="dxa"/>
            <w:vAlign w:val="center"/>
          </w:tcPr>
          <w:p w14:paraId="15716409">
            <w:pPr>
              <w:keepNext w:val="0"/>
              <w:keepLines w:val="0"/>
              <w:pageBreakBefore w:val="0"/>
              <w:widowControl/>
              <w:kinsoku/>
              <w:wordWrap/>
              <w:overflowPunct/>
              <w:topLinePunct w:val="0"/>
              <w:bidi w:val="0"/>
              <w:spacing w:line="440" w:lineRule="exact"/>
              <w:jc w:val="center"/>
              <w:textAlignment w:val="center"/>
              <w:rPr>
                <w:rFonts w:hint="default" w:ascii="宋体" w:hAnsi="宋体" w:eastAsia="宋体" w:cs="宋体"/>
                <w:b/>
                <w:bCs/>
                <w:color w:val="auto"/>
                <w:sz w:val="21"/>
                <w:szCs w:val="21"/>
                <w:highlight w:val="none"/>
                <w:lang w:val="en-US" w:eastAsia="zh-CN"/>
              </w:rPr>
            </w:pPr>
          </w:p>
        </w:tc>
        <w:tc>
          <w:tcPr>
            <w:tcW w:w="1775" w:type="dxa"/>
            <w:vAlign w:val="center"/>
          </w:tcPr>
          <w:p w14:paraId="0644199D">
            <w:pPr>
              <w:keepNext w:val="0"/>
              <w:keepLines w:val="0"/>
              <w:pageBreakBefore w:val="0"/>
              <w:widowControl/>
              <w:kinsoku/>
              <w:wordWrap/>
              <w:overflowPunct/>
              <w:topLinePunct w:val="0"/>
              <w:bidi w:val="0"/>
              <w:spacing w:line="440" w:lineRule="exact"/>
              <w:jc w:val="center"/>
              <w:textAlignment w:val="center"/>
              <w:rPr>
                <w:rFonts w:hint="default" w:ascii="宋体" w:hAnsi="宋体" w:eastAsia="宋体" w:cs="宋体"/>
                <w:b/>
                <w:bCs/>
                <w:color w:val="auto"/>
                <w:kern w:val="2"/>
                <w:sz w:val="21"/>
                <w:szCs w:val="21"/>
                <w:highlight w:val="none"/>
                <w:lang w:val="en-US" w:eastAsia="zh-CN" w:bidi="ar-SA"/>
              </w:rPr>
            </w:pPr>
          </w:p>
        </w:tc>
        <w:tc>
          <w:tcPr>
            <w:tcW w:w="2400" w:type="dxa"/>
            <w:vAlign w:val="center"/>
          </w:tcPr>
          <w:p w14:paraId="065A2580">
            <w:pPr>
              <w:keepNext w:val="0"/>
              <w:keepLines w:val="0"/>
              <w:pageBreakBefore w:val="0"/>
              <w:widowControl/>
              <w:kinsoku/>
              <w:wordWrap/>
              <w:overflowPunct/>
              <w:topLinePunct w:val="0"/>
              <w:bidi w:val="0"/>
              <w:spacing w:line="440" w:lineRule="exact"/>
              <w:jc w:val="left"/>
              <w:textAlignment w:val="center"/>
              <w:rPr>
                <w:rFonts w:hint="eastAsia" w:ascii="宋体" w:hAnsi="宋体" w:eastAsia="宋体" w:cs="宋体"/>
                <w:b/>
                <w:bCs/>
                <w:i w:val="0"/>
                <w:iCs w:val="0"/>
                <w:color w:val="auto"/>
                <w:kern w:val="0"/>
                <w:sz w:val="21"/>
                <w:szCs w:val="21"/>
                <w:highlight w:val="none"/>
                <w:u w:val="none"/>
                <w:lang w:val="en-US" w:eastAsia="zh-CN" w:bidi="ar"/>
              </w:rPr>
            </w:pPr>
          </w:p>
        </w:tc>
      </w:tr>
      <w:tr w14:paraId="5552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745" w:type="dxa"/>
            <w:vAlign w:val="center"/>
          </w:tcPr>
          <w:p w14:paraId="0F31472F">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sz w:val="21"/>
                <w:szCs w:val="21"/>
                <w:highlight w:val="none"/>
                <w:lang w:val="en-US" w:eastAsia="zh-CN"/>
              </w:rPr>
            </w:pPr>
          </w:p>
        </w:tc>
        <w:tc>
          <w:tcPr>
            <w:tcW w:w="2855" w:type="dxa"/>
            <w:vAlign w:val="center"/>
          </w:tcPr>
          <w:p w14:paraId="7C2C2521">
            <w:pPr>
              <w:keepNext w:val="0"/>
              <w:keepLines w:val="0"/>
              <w:pageBreakBefore w:val="0"/>
              <w:widowControl/>
              <w:kinsoku/>
              <w:wordWrap/>
              <w:overflowPunct/>
              <w:topLinePunct w:val="0"/>
              <w:bidi w:val="0"/>
              <w:spacing w:line="440" w:lineRule="exact"/>
              <w:jc w:val="left"/>
              <w:rPr>
                <w:rFonts w:hint="eastAsia" w:ascii="宋体" w:hAnsi="宋体" w:eastAsia="宋体" w:cs="宋体"/>
                <w:b/>
                <w:bCs/>
                <w:color w:val="auto"/>
                <w:sz w:val="21"/>
                <w:szCs w:val="21"/>
                <w:highlight w:val="none"/>
                <w:u w:val="none"/>
              </w:rPr>
            </w:pPr>
          </w:p>
        </w:tc>
        <w:tc>
          <w:tcPr>
            <w:tcW w:w="1312" w:type="dxa"/>
            <w:vAlign w:val="center"/>
          </w:tcPr>
          <w:p w14:paraId="39647ACF">
            <w:pPr>
              <w:keepNext w:val="0"/>
              <w:keepLines w:val="0"/>
              <w:pageBreakBefore w:val="0"/>
              <w:kinsoku/>
              <w:wordWrap/>
              <w:overflowPunct/>
              <w:topLinePunct w:val="0"/>
              <w:bidi w:val="0"/>
              <w:snapToGrid w:val="0"/>
              <w:spacing w:line="440" w:lineRule="exact"/>
              <w:jc w:val="center"/>
              <w:rPr>
                <w:rFonts w:hint="eastAsia" w:ascii="宋体" w:hAnsi="宋体" w:eastAsia="宋体" w:cs="宋体"/>
                <w:b/>
                <w:bCs/>
                <w:color w:val="auto"/>
                <w:sz w:val="21"/>
                <w:szCs w:val="21"/>
                <w:highlight w:val="none"/>
                <w:lang w:val="en-US" w:eastAsia="zh-CN"/>
              </w:rPr>
            </w:pPr>
          </w:p>
        </w:tc>
        <w:tc>
          <w:tcPr>
            <w:tcW w:w="1775" w:type="dxa"/>
            <w:vAlign w:val="center"/>
          </w:tcPr>
          <w:p w14:paraId="55D58C8A">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kern w:val="2"/>
                <w:sz w:val="21"/>
                <w:szCs w:val="21"/>
                <w:highlight w:val="none"/>
                <w:lang w:val="en-US" w:eastAsia="zh-CN" w:bidi="ar-SA"/>
              </w:rPr>
            </w:pPr>
          </w:p>
        </w:tc>
        <w:tc>
          <w:tcPr>
            <w:tcW w:w="2400" w:type="dxa"/>
            <w:vAlign w:val="center"/>
          </w:tcPr>
          <w:p w14:paraId="1C103736">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kern w:val="2"/>
                <w:sz w:val="21"/>
                <w:szCs w:val="21"/>
                <w:highlight w:val="none"/>
                <w:lang w:val="en-US" w:eastAsia="zh-CN" w:bidi="ar-SA"/>
              </w:rPr>
            </w:pPr>
          </w:p>
        </w:tc>
      </w:tr>
      <w:tr w14:paraId="123A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745" w:type="dxa"/>
            <w:vAlign w:val="center"/>
          </w:tcPr>
          <w:p w14:paraId="62843D82">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sz w:val="21"/>
                <w:szCs w:val="21"/>
                <w:highlight w:val="none"/>
                <w:lang w:val="en-US" w:eastAsia="zh-CN"/>
              </w:rPr>
            </w:pPr>
          </w:p>
        </w:tc>
        <w:tc>
          <w:tcPr>
            <w:tcW w:w="2855" w:type="dxa"/>
            <w:vAlign w:val="center"/>
          </w:tcPr>
          <w:p w14:paraId="4B37A30B">
            <w:pPr>
              <w:keepNext w:val="0"/>
              <w:keepLines w:val="0"/>
              <w:pageBreakBefore w:val="0"/>
              <w:widowControl/>
              <w:kinsoku/>
              <w:wordWrap/>
              <w:overflowPunct/>
              <w:topLinePunct w:val="0"/>
              <w:bidi w:val="0"/>
              <w:spacing w:line="440" w:lineRule="exact"/>
              <w:jc w:val="left"/>
              <w:rPr>
                <w:rFonts w:hint="eastAsia" w:ascii="宋体" w:hAnsi="宋体" w:eastAsia="宋体" w:cs="宋体"/>
                <w:b/>
                <w:bCs/>
                <w:color w:val="auto"/>
                <w:sz w:val="21"/>
                <w:szCs w:val="21"/>
                <w:highlight w:val="none"/>
                <w:u w:val="none"/>
              </w:rPr>
            </w:pPr>
          </w:p>
        </w:tc>
        <w:tc>
          <w:tcPr>
            <w:tcW w:w="1312" w:type="dxa"/>
            <w:vAlign w:val="center"/>
          </w:tcPr>
          <w:p w14:paraId="2205C362">
            <w:pPr>
              <w:keepNext w:val="0"/>
              <w:keepLines w:val="0"/>
              <w:pageBreakBefore w:val="0"/>
              <w:kinsoku/>
              <w:wordWrap/>
              <w:overflowPunct/>
              <w:topLinePunct w:val="0"/>
              <w:bidi w:val="0"/>
              <w:snapToGrid w:val="0"/>
              <w:spacing w:line="440" w:lineRule="exact"/>
              <w:jc w:val="center"/>
              <w:rPr>
                <w:rFonts w:hint="eastAsia" w:ascii="宋体" w:hAnsi="宋体" w:eastAsia="宋体" w:cs="宋体"/>
                <w:b/>
                <w:bCs/>
                <w:color w:val="auto"/>
                <w:sz w:val="21"/>
                <w:szCs w:val="21"/>
                <w:highlight w:val="none"/>
                <w:lang w:val="en-US" w:eastAsia="zh-CN"/>
              </w:rPr>
            </w:pPr>
          </w:p>
        </w:tc>
        <w:tc>
          <w:tcPr>
            <w:tcW w:w="1775" w:type="dxa"/>
            <w:vAlign w:val="center"/>
          </w:tcPr>
          <w:p w14:paraId="1A4C897E">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kern w:val="2"/>
                <w:sz w:val="21"/>
                <w:szCs w:val="21"/>
                <w:highlight w:val="none"/>
                <w:lang w:val="en-US" w:eastAsia="zh-CN" w:bidi="ar-SA"/>
              </w:rPr>
            </w:pPr>
          </w:p>
        </w:tc>
        <w:tc>
          <w:tcPr>
            <w:tcW w:w="2400" w:type="dxa"/>
            <w:vAlign w:val="center"/>
          </w:tcPr>
          <w:p w14:paraId="75B8E700">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kern w:val="2"/>
                <w:sz w:val="21"/>
                <w:szCs w:val="21"/>
                <w:highlight w:val="none"/>
                <w:lang w:val="en-US" w:eastAsia="zh-CN" w:bidi="ar-SA"/>
              </w:rPr>
            </w:pPr>
          </w:p>
        </w:tc>
      </w:tr>
      <w:tr w14:paraId="5F6F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745" w:type="dxa"/>
            <w:vAlign w:val="center"/>
          </w:tcPr>
          <w:p w14:paraId="01B38DE2">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sz w:val="21"/>
                <w:szCs w:val="21"/>
                <w:highlight w:val="none"/>
                <w:lang w:val="en-US" w:eastAsia="zh-CN"/>
              </w:rPr>
            </w:pPr>
          </w:p>
        </w:tc>
        <w:tc>
          <w:tcPr>
            <w:tcW w:w="2855" w:type="dxa"/>
            <w:vAlign w:val="center"/>
          </w:tcPr>
          <w:p w14:paraId="526521B2">
            <w:pPr>
              <w:keepNext w:val="0"/>
              <w:keepLines w:val="0"/>
              <w:pageBreakBefore w:val="0"/>
              <w:widowControl/>
              <w:kinsoku/>
              <w:wordWrap/>
              <w:overflowPunct/>
              <w:topLinePunct w:val="0"/>
              <w:bidi w:val="0"/>
              <w:spacing w:line="440" w:lineRule="exact"/>
              <w:jc w:val="left"/>
              <w:rPr>
                <w:rFonts w:hint="eastAsia" w:ascii="宋体" w:hAnsi="宋体" w:eastAsia="宋体" w:cs="宋体"/>
                <w:b/>
                <w:bCs/>
                <w:color w:val="auto"/>
                <w:sz w:val="21"/>
                <w:szCs w:val="21"/>
                <w:highlight w:val="none"/>
                <w:u w:val="none"/>
              </w:rPr>
            </w:pPr>
          </w:p>
        </w:tc>
        <w:tc>
          <w:tcPr>
            <w:tcW w:w="1312" w:type="dxa"/>
            <w:vAlign w:val="center"/>
          </w:tcPr>
          <w:p w14:paraId="78A3DD00">
            <w:pPr>
              <w:keepNext w:val="0"/>
              <w:keepLines w:val="0"/>
              <w:pageBreakBefore w:val="0"/>
              <w:kinsoku/>
              <w:wordWrap/>
              <w:overflowPunct/>
              <w:topLinePunct w:val="0"/>
              <w:bidi w:val="0"/>
              <w:snapToGrid w:val="0"/>
              <w:spacing w:line="440" w:lineRule="exact"/>
              <w:jc w:val="center"/>
              <w:rPr>
                <w:rFonts w:hint="eastAsia" w:ascii="宋体" w:hAnsi="宋体" w:eastAsia="宋体" w:cs="宋体"/>
                <w:b/>
                <w:bCs/>
                <w:color w:val="auto"/>
                <w:sz w:val="21"/>
                <w:szCs w:val="21"/>
                <w:highlight w:val="none"/>
                <w:lang w:val="en-US" w:eastAsia="zh-CN"/>
              </w:rPr>
            </w:pPr>
          </w:p>
        </w:tc>
        <w:tc>
          <w:tcPr>
            <w:tcW w:w="1775" w:type="dxa"/>
            <w:vAlign w:val="center"/>
          </w:tcPr>
          <w:p w14:paraId="17C132C7">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kern w:val="2"/>
                <w:sz w:val="21"/>
                <w:szCs w:val="21"/>
                <w:highlight w:val="none"/>
                <w:lang w:val="en-US" w:eastAsia="zh-CN" w:bidi="ar-SA"/>
              </w:rPr>
            </w:pPr>
          </w:p>
        </w:tc>
        <w:tc>
          <w:tcPr>
            <w:tcW w:w="2400" w:type="dxa"/>
            <w:vAlign w:val="center"/>
          </w:tcPr>
          <w:p w14:paraId="686482BC">
            <w:pPr>
              <w:keepNext w:val="0"/>
              <w:keepLines w:val="0"/>
              <w:pageBreakBefore w:val="0"/>
              <w:widowControl/>
              <w:kinsoku/>
              <w:wordWrap/>
              <w:overflowPunct/>
              <w:topLinePunct w:val="0"/>
              <w:bidi w:val="0"/>
              <w:spacing w:line="440" w:lineRule="exact"/>
              <w:jc w:val="center"/>
              <w:rPr>
                <w:rFonts w:hint="eastAsia" w:ascii="宋体" w:hAnsi="宋体" w:eastAsia="宋体" w:cs="宋体"/>
                <w:b/>
                <w:bCs/>
                <w:color w:val="auto"/>
                <w:kern w:val="2"/>
                <w:sz w:val="21"/>
                <w:szCs w:val="21"/>
                <w:highlight w:val="none"/>
                <w:lang w:val="en-US" w:eastAsia="zh-CN" w:bidi="ar-SA"/>
              </w:rPr>
            </w:pPr>
          </w:p>
        </w:tc>
      </w:tr>
    </w:tbl>
    <w:p w14:paraId="39F50913">
      <w:pPr>
        <w:keepNext w:val="0"/>
        <w:keepLines w:val="0"/>
        <w:pageBreakBefore w:val="0"/>
        <w:kinsoku/>
        <w:wordWrap/>
        <w:overflowPunct/>
        <w:topLinePunct w:val="0"/>
        <w:bidi w:val="0"/>
        <w:spacing w:line="440" w:lineRule="exact"/>
        <w:rPr>
          <w:color w:val="auto"/>
          <w:sz w:val="24"/>
          <w:szCs w:val="24"/>
          <w:highlight w:val="none"/>
        </w:rPr>
      </w:pPr>
    </w:p>
    <w:p w14:paraId="1DB4ABBE">
      <w:pPr>
        <w:keepNext w:val="0"/>
        <w:keepLines w:val="0"/>
        <w:pageBreakBefore w:val="0"/>
        <w:kinsoku/>
        <w:wordWrap/>
        <w:overflowPunct/>
        <w:topLinePunct w:val="0"/>
        <w:bidi w:val="0"/>
        <w:spacing w:line="440" w:lineRule="exact"/>
        <w:rPr>
          <w:rFonts w:hint="eastAsia"/>
          <w:b/>
          <w:bCs/>
          <w:color w:val="auto"/>
          <w:sz w:val="24"/>
          <w:highlight w:val="none"/>
          <w:u w:val="single"/>
          <w:lang w:val="en-US" w:eastAsia="zh-CN"/>
        </w:rPr>
      </w:pPr>
      <w:r>
        <w:rPr>
          <w:rFonts w:hint="eastAsia"/>
          <w:b/>
          <w:bCs/>
          <w:color w:val="auto"/>
          <w:sz w:val="24"/>
          <w:highlight w:val="none"/>
          <w:lang w:val="en-US" w:eastAsia="zh-CN"/>
        </w:rPr>
        <w:t>接 收 人：</w:t>
      </w:r>
      <w:r>
        <w:rPr>
          <w:rFonts w:hint="eastAsia"/>
          <w:b/>
          <w:bCs/>
          <w:color w:val="auto"/>
          <w:sz w:val="24"/>
          <w:highlight w:val="none"/>
          <w:u w:val="single"/>
          <w:lang w:val="en-US" w:eastAsia="zh-CN"/>
        </w:rPr>
        <w:t xml:space="preserve">浙江省房地产管理咨询有限公司（                           ）  </w:t>
      </w:r>
    </w:p>
    <w:p w14:paraId="7C824038">
      <w:pPr>
        <w:keepNext w:val="0"/>
        <w:keepLines w:val="0"/>
        <w:pageBreakBefore w:val="0"/>
        <w:kinsoku/>
        <w:wordWrap/>
        <w:overflowPunct/>
        <w:topLinePunct w:val="0"/>
        <w:bidi w:val="0"/>
        <w:adjustRightInd/>
        <w:spacing w:line="440" w:lineRule="exact"/>
        <w:jc w:val="center"/>
        <w:rPr>
          <w:rFonts w:hint="eastAsia" w:ascii="宋体" w:hAnsi="宋体" w:eastAsia="宋体" w:cs="宋体"/>
          <w:b/>
          <w:bCs/>
          <w:color w:val="auto"/>
          <w:sz w:val="30"/>
          <w:szCs w:val="30"/>
          <w:highlight w:val="none"/>
          <w:lang w:val="en-US" w:eastAsia="zh-CN"/>
        </w:rPr>
      </w:pPr>
    </w:p>
    <w:p w14:paraId="104D6234">
      <w:pPr>
        <w:keepNext w:val="0"/>
        <w:keepLines w:val="0"/>
        <w:pageBreakBefore w:val="0"/>
        <w:kinsoku/>
        <w:wordWrap/>
        <w:overflowPunct/>
        <w:topLinePunct w:val="0"/>
        <w:bidi w:val="0"/>
        <w:adjustRightInd/>
        <w:spacing w:line="440" w:lineRule="exact"/>
        <w:jc w:val="center"/>
        <w:rPr>
          <w:rFonts w:hint="eastAsia" w:ascii="宋体" w:hAnsi="宋体" w:eastAsia="宋体" w:cs="宋体"/>
          <w:b/>
          <w:bCs/>
          <w:color w:val="auto"/>
          <w:sz w:val="30"/>
          <w:szCs w:val="30"/>
          <w:highlight w:val="none"/>
          <w:lang w:val="en-US" w:eastAsia="zh-CN"/>
        </w:rPr>
      </w:pPr>
      <w:r>
        <w:rPr>
          <w:color w:val="auto"/>
          <w:sz w:val="30"/>
          <w:highlight w:val="none"/>
        </w:rPr>
        <mc:AlternateContent>
          <mc:Choice Requires="wps">
            <w:drawing>
              <wp:anchor distT="0" distB="0" distL="114300" distR="114300" simplePos="0" relativeHeight="251662336" behindDoc="0" locked="0" layoutInCell="1" allowOverlap="1">
                <wp:simplePos x="0" y="0"/>
                <wp:positionH relativeFrom="column">
                  <wp:posOffset>-36195</wp:posOffset>
                </wp:positionH>
                <wp:positionV relativeFrom="paragraph">
                  <wp:posOffset>231140</wp:posOffset>
                </wp:positionV>
                <wp:extent cx="6071870" cy="8255"/>
                <wp:effectExtent l="0" t="13970" r="8890" b="23495"/>
                <wp:wrapNone/>
                <wp:docPr id="498" name="直接连接符 498"/>
                <wp:cNvGraphicFramePr/>
                <a:graphic xmlns:a="http://schemas.openxmlformats.org/drawingml/2006/main">
                  <a:graphicData uri="http://schemas.microsoft.com/office/word/2010/wordprocessingShape">
                    <wps:wsp>
                      <wps:cNvCnPr/>
                      <wps:spPr>
                        <a:xfrm flipV="1">
                          <a:off x="1673225" y="5632450"/>
                          <a:ext cx="6071870" cy="8255"/>
                        </a:xfrm>
                        <a:prstGeom prst="line">
                          <a:avLst/>
                        </a:prstGeom>
                        <a:noFill/>
                        <a:ln w="28575" cap="flat" cmpd="sng" algn="ctr">
                          <a:solidFill>
                            <a:srgbClr val="000000"/>
                          </a:solidFill>
                          <a:prstDash val="sysDot"/>
                          <a:miter lim="800000"/>
                        </a:ln>
                        <a:effectLst/>
                      </wps:spPr>
                      <wps:bodyPr/>
                    </wps:wsp>
                  </a:graphicData>
                </a:graphic>
              </wp:anchor>
            </w:drawing>
          </mc:Choice>
          <mc:Fallback>
            <w:pict>
              <v:line id="_x0000_s1026" o:spid="_x0000_s1026" o:spt="20" style="position:absolute;left:0pt;flip:y;margin-left:-2.85pt;margin-top:18.2pt;height:0.65pt;width:478.1pt;z-index:251662336;mso-width-relative:page;mso-height-relative:page;" filled="f" stroked="t" coordsize="21600,21600" o:gfxdata="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&#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c3Fj2AAAAAgBAAAPAAAAAAAAAAEAIAAAACIAAABk&#10;cnMvZG93bnJldi54bWxQSwECFAAUAAAACACHTuJAltM/ZwYCAADeAwAADgAAAAAAAAABACAAAAAn&#10;AQAAZHJzL2Uyb0RvYy54bWxQSwUGAAAAAAYABgBZAQAAnwUAAAAA&#10;">
                <v:fill on="f" focussize="0,0"/>
                <v:stroke weight="2.25pt" color="#000000" miterlimit="8" joinstyle="miter" dashstyle="1 1"/>
                <v:imagedata o:title=""/>
                <o:lock v:ext="edit" aspectratio="f"/>
              </v:line>
            </w:pict>
          </mc:Fallback>
        </mc:AlternateContent>
      </w:r>
    </w:p>
    <w:p w14:paraId="537AC96A">
      <w:pPr>
        <w:keepNext w:val="0"/>
        <w:keepLines w:val="0"/>
        <w:pageBreakBefore w:val="0"/>
        <w:kinsoku/>
        <w:wordWrap/>
        <w:overflowPunct/>
        <w:topLinePunct w:val="0"/>
        <w:bidi w:val="0"/>
        <w:adjustRightInd/>
        <w:spacing w:line="440" w:lineRule="exact"/>
        <w:jc w:val="cente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退样回执单</w:t>
      </w:r>
    </w:p>
    <w:p w14:paraId="7B0E2E4A">
      <w:pPr>
        <w:keepNext w:val="0"/>
        <w:keepLines w:val="0"/>
        <w:pageBreakBefore w:val="0"/>
        <w:kinsoku/>
        <w:wordWrap/>
        <w:overflowPunct/>
        <w:topLinePunct w:val="0"/>
        <w:bidi w:val="0"/>
        <w:adjustRightInd/>
        <w:spacing w:line="440" w:lineRule="exact"/>
        <w:jc w:val="center"/>
        <w:rPr>
          <w:rFonts w:hint="eastAsia" w:ascii="宋体" w:hAnsi="宋体" w:eastAsia="宋体" w:cs="宋体"/>
          <w:b/>
          <w:bCs/>
          <w:color w:val="auto"/>
          <w:sz w:val="24"/>
          <w:szCs w:val="24"/>
          <w:highlight w:val="none"/>
          <w:lang w:val="en-US" w:eastAsia="zh-CN"/>
        </w:rPr>
      </w:pPr>
    </w:p>
    <w:p w14:paraId="352BE8CE">
      <w:pPr>
        <w:keepNext w:val="0"/>
        <w:keepLines w:val="0"/>
        <w:pageBreakBefore w:val="0"/>
        <w:widowControl w:val="0"/>
        <w:kinsoku/>
        <w:wordWrap/>
        <w:overflowPunct/>
        <w:topLinePunct w:val="0"/>
        <w:autoSpaceDE/>
        <w:autoSpaceDN/>
        <w:bidi w:val="0"/>
        <w:adjustRightInd w:val="0"/>
        <w:snapToGrid/>
        <w:spacing w:line="440" w:lineRule="exact"/>
        <w:ind w:left="0" w:leftChars="0" w:right="-313" w:rightChars="-149" w:firstLine="545" w:firstLineChars="226"/>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我单位</w:t>
      </w:r>
      <w:r>
        <w:rPr>
          <w:rFonts w:hint="eastAsia" w:ascii="宋体" w:hAnsi="宋体" w:cs="宋体"/>
          <w:b/>
          <w:bCs/>
          <w:color w:val="auto"/>
          <w:sz w:val="24"/>
          <w:szCs w:val="24"/>
          <w:highlight w:val="none"/>
          <w:lang w:val="en-US" w:eastAsia="zh-CN"/>
        </w:rPr>
        <w:t>(</w:t>
      </w:r>
      <w:r>
        <w:rPr>
          <w:rFonts w:hint="eastAsia" w:ascii="宋体" w:hAnsi="宋体" w:cs="宋体"/>
          <w:b/>
          <w:bCs/>
          <w:color w:val="auto"/>
          <w:sz w:val="24"/>
          <w:szCs w:val="24"/>
          <w:highlight w:val="none"/>
          <w:u w:val="single"/>
          <w:lang w:val="en-US" w:eastAsia="zh-CN"/>
        </w:rPr>
        <w:t xml:space="preserve">                                加盖投标人公章)</w:t>
      </w:r>
      <w:r>
        <w:rPr>
          <w:rFonts w:hint="eastAsia" w:ascii="宋体" w:hAnsi="宋体" w:eastAsia="宋体" w:cs="宋体"/>
          <w:b/>
          <w:bCs/>
          <w:color w:val="auto"/>
          <w:sz w:val="24"/>
          <w:szCs w:val="24"/>
          <w:highlight w:val="none"/>
          <w:lang w:val="en-US" w:eastAsia="zh-CN"/>
        </w:rPr>
        <w:t>已领取上述《样品签收单》内所有</w:t>
      </w:r>
      <w:r>
        <w:rPr>
          <w:rFonts w:hint="eastAsia" w:ascii="宋体" w:hAnsi="宋体" w:cs="宋体"/>
          <w:b/>
          <w:bCs/>
          <w:color w:val="auto"/>
          <w:sz w:val="24"/>
          <w:szCs w:val="24"/>
          <w:highlight w:val="none"/>
          <w:lang w:val="en-US" w:eastAsia="zh-CN"/>
        </w:rPr>
        <w:t>样品内容（</w:t>
      </w:r>
      <w:r>
        <w:rPr>
          <w:rFonts w:hint="eastAsia" w:ascii="宋体" w:hAnsi="宋体" w:eastAsia="宋体" w:cs="宋体"/>
          <w:b/>
          <w:bCs/>
          <w:color w:val="auto"/>
          <w:sz w:val="24"/>
          <w:szCs w:val="24"/>
          <w:highlight w:val="none"/>
          <w:lang w:val="en-US" w:eastAsia="zh-CN"/>
        </w:rPr>
        <w:t>含</w:t>
      </w:r>
      <w:r>
        <w:rPr>
          <w:rFonts w:hint="eastAsia" w:ascii="宋体" w:hAnsi="宋体" w:cs="宋体"/>
          <w:b/>
          <w:bCs/>
          <w:color w:val="auto"/>
          <w:sz w:val="24"/>
          <w:szCs w:val="24"/>
          <w:highlight w:val="none"/>
          <w:lang w:val="en-US" w:eastAsia="zh-CN"/>
        </w:rPr>
        <w:t>递交的</w:t>
      </w:r>
      <w:r>
        <w:rPr>
          <w:rFonts w:hint="eastAsia" w:ascii="宋体" w:hAnsi="宋体" w:eastAsia="宋体" w:cs="宋体"/>
          <w:b/>
          <w:bCs/>
          <w:color w:val="auto"/>
          <w:sz w:val="24"/>
          <w:szCs w:val="24"/>
          <w:highlight w:val="none"/>
          <w:lang w:val="en-US" w:eastAsia="zh-CN"/>
        </w:rPr>
        <w:t>检测报告</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w:t>
      </w:r>
    </w:p>
    <w:p w14:paraId="67BDB4B1">
      <w:pPr>
        <w:keepNext w:val="0"/>
        <w:keepLines w:val="0"/>
        <w:pageBreakBefore w:val="0"/>
        <w:kinsoku/>
        <w:wordWrap/>
        <w:overflowPunct/>
        <w:topLinePunct w:val="0"/>
        <w:bidi w:val="0"/>
        <w:spacing w:line="440" w:lineRule="exact"/>
        <w:ind w:firstLine="482" w:firstLineChars="200"/>
        <w:jc w:val="left"/>
        <w:rPr>
          <w:rFonts w:hint="eastAsia" w:ascii="宋体" w:hAnsi="宋体" w:cs="宋体"/>
          <w:b/>
          <w:color w:val="auto"/>
          <w:sz w:val="32"/>
          <w:szCs w:val="32"/>
          <w:highlight w:val="none"/>
          <w:lang w:val="en-US" w:eastAsia="zh-CN"/>
        </w:rPr>
      </w:pPr>
      <w:r>
        <w:rPr>
          <w:rFonts w:hint="eastAsia"/>
          <w:b/>
          <w:bCs/>
          <w:color w:val="auto"/>
          <w:sz w:val="24"/>
          <w:szCs w:val="24"/>
          <w:highlight w:val="none"/>
          <w:lang w:val="en-US" w:eastAsia="zh-CN"/>
        </w:rPr>
        <w:t>退样联系人：</w:t>
      </w:r>
      <w:r>
        <w:rPr>
          <w:rFonts w:hint="eastAsia"/>
          <w:b/>
          <w:bCs/>
          <w:color w:val="auto"/>
          <w:sz w:val="24"/>
          <w:szCs w:val="24"/>
          <w:highlight w:val="none"/>
          <w:u w:val="single"/>
          <w:lang w:val="en-US" w:eastAsia="zh-CN"/>
        </w:rPr>
        <w:t xml:space="preserve">         </w:t>
      </w:r>
      <w:r>
        <w:rPr>
          <w:rFonts w:hint="eastAsia"/>
          <w:b/>
          <w:bCs/>
          <w:color w:val="auto"/>
          <w:sz w:val="24"/>
          <w:szCs w:val="24"/>
          <w:highlight w:val="none"/>
          <w:u w:val="none"/>
          <w:lang w:val="en-US" w:eastAsia="zh-CN"/>
        </w:rPr>
        <w:t>身份证号码：</w:t>
      </w:r>
      <w:r>
        <w:rPr>
          <w:rFonts w:hint="eastAsia"/>
          <w:b/>
          <w:bCs/>
          <w:color w:val="auto"/>
          <w:sz w:val="24"/>
          <w:szCs w:val="24"/>
          <w:highlight w:val="none"/>
          <w:u w:val="single"/>
          <w:lang w:val="en-US" w:eastAsia="zh-CN"/>
        </w:rPr>
        <w:t xml:space="preserve">                    </w:t>
      </w:r>
      <w:r>
        <w:rPr>
          <w:rFonts w:hint="eastAsia"/>
          <w:b/>
          <w:bCs/>
          <w:color w:val="auto"/>
          <w:sz w:val="24"/>
          <w:szCs w:val="24"/>
          <w:highlight w:val="none"/>
          <w:lang w:val="en-US" w:eastAsia="zh-CN"/>
        </w:rPr>
        <w:t>联系电话：</w:t>
      </w:r>
      <w:r>
        <w:rPr>
          <w:rFonts w:hint="eastAsia"/>
          <w:b/>
          <w:bCs/>
          <w:color w:val="auto"/>
          <w:sz w:val="24"/>
          <w:szCs w:val="24"/>
          <w:highlight w:val="none"/>
          <w:u w:val="single"/>
          <w:lang w:val="en-US" w:eastAsia="zh-CN"/>
        </w:rPr>
        <w:t xml:space="preserve">        </w:t>
      </w:r>
      <w:r>
        <w:rPr>
          <w:rFonts w:hint="eastAsia"/>
          <w:b/>
          <w:bCs/>
          <w:color w:val="auto"/>
          <w:sz w:val="28"/>
          <w:szCs w:val="28"/>
          <w:highlight w:val="none"/>
          <w:u w:val="single"/>
          <w:lang w:val="en-US" w:eastAsia="zh-CN"/>
        </w:rPr>
        <w:t xml:space="preserve">     </w:t>
      </w:r>
    </w:p>
    <w:p w14:paraId="30C9FE46">
      <w:pPr>
        <w:pStyle w:val="24"/>
        <w:keepNext w:val="0"/>
        <w:keepLines w:val="0"/>
        <w:pageBreakBefore w:val="0"/>
        <w:kinsoku/>
        <w:wordWrap/>
        <w:overflowPunct/>
        <w:topLinePunct w:val="0"/>
        <w:bidi w:val="0"/>
        <w:spacing w:line="440" w:lineRule="exact"/>
        <w:rPr>
          <w:rFonts w:hint="eastAsia" w:ascii="宋体" w:hAnsi="宋体" w:cs="宋体"/>
          <w:b/>
          <w:bCs/>
          <w:color w:val="auto"/>
          <w:kern w:val="10"/>
          <w:sz w:val="24"/>
          <w:highlight w:val="none"/>
        </w:rPr>
      </w:pPr>
      <w:r>
        <w:rPr>
          <w:rFonts w:hint="eastAsia"/>
          <w:b/>
          <w:bCs/>
          <w:color w:val="auto"/>
          <w:highlight w:val="none"/>
          <w:lang w:val="en-US" w:eastAsia="zh-CN"/>
        </w:rPr>
        <w:t>退样时间：</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rPr>
        <w:t>年</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rPr>
        <w:t>月</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none"/>
        </w:rPr>
        <w:t>日</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u w:val="single"/>
        </w:rPr>
        <w:t xml:space="preserve"> </w:t>
      </w:r>
      <w:r>
        <w:rPr>
          <w:rFonts w:hint="eastAsia" w:ascii="宋体" w:hAnsi="宋体" w:cs="宋体"/>
          <w:b/>
          <w:bCs/>
          <w:color w:val="auto"/>
          <w:kern w:val="10"/>
          <w:sz w:val="24"/>
          <w:highlight w:val="none"/>
        </w:rPr>
        <w:t>时</w:t>
      </w:r>
      <w:r>
        <w:rPr>
          <w:rFonts w:hint="eastAsia" w:ascii="宋体" w:hAnsi="宋体" w:cs="宋体"/>
          <w:b/>
          <w:bCs/>
          <w:color w:val="auto"/>
          <w:kern w:val="10"/>
          <w:sz w:val="24"/>
          <w:highlight w:val="none"/>
          <w:u w:val="single"/>
          <w:lang w:val="en-US" w:eastAsia="zh-CN"/>
        </w:rPr>
        <w:t xml:space="preserve">    </w:t>
      </w:r>
      <w:r>
        <w:rPr>
          <w:rFonts w:hint="eastAsia" w:ascii="宋体" w:hAnsi="宋体" w:cs="宋体"/>
          <w:b/>
          <w:bCs/>
          <w:color w:val="auto"/>
          <w:kern w:val="10"/>
          <w:sz w:val="24"/>
          <w:highlight w:val="none"/>
        </w:rPr>
        <w:t>分</w:t>
      </w:r>
    </w:p>
    <w:p w14:paraId="0ADCE8CB">
      <w:pPr>
        <w:pStyle w:val="24"/>
        <w:keepNext w:val="0"/>
        <w:keepLines w:val="0"/>
        <w:pageBreakBefore w:val="0"/>
        <w:kinsoku/>
        <w:wordWrap/>
        <w:overflowPunct/>
        <w:topLinePunct w:val="0"/>
        <w:bidi w:val="0"/>
        <w:spacing w:line="440" w:lineRule="exact"/>
        <w:rPr>
          <w:rFonts w:hint="default" w:ascii="宋体" w:hAnsi="宋体"/>
          <w:b/>
          <w:bCs/>
          <w:color w:val="auto"/>
          <w:highlight w:val="none"/>
          <w:u w:val="single"/>
          <w:lang w:val="en-US" w:eastAsia="zh-CN"/>
        </w:rPr>
      </w:pPr>
      <w:r>
        <w:rPr>
          <w:rFonts w:hint="eastAsia" w:ascii="宋体" w:hAnsi="宋体" w:cs="Times New Roman"/>
          <w:b/>
          <w:bCs/>
          <w:color w:val="auto"/>
          <w:kern w:val="2"/>
          <w:sz w:val="24"/>
          <w:highlight w:val="none"/>
          <w:lang w:val="en-US" w:eastAsia="zh-CN"/>
        </w:rPr>
        <w:t>退样经办人：</w:t>
      </w:r>
      <w:r>
        <w:rPr>
          <w:rFonts w:hint="eastAsia" w:ascii="宋体" w:hAnsi="宋体" w:cs="Times New Roman"/>
          <w:b/>
          <w:bCs/>
          <w:color w:val="auto"/>
          <w:kern w:val="2"/>
          <w:sz w:val="24"/>
          <w:highlight w:val="none"/>
          <w:u w:val="single"/>
          <w:lang w:val="en-US" w:eastAsia="zh-CN"/>
        </w:rPr>
        <w:t xml:space="preserve">                    </w:t>
      </w:r>
    </w:p>
    <w:p w14:paraId="22116155">
      <w:pPr>
        <w:pStyle w:val="24"/>
        <w:keepNext w:val="0"/>
        <w:keepLines w:val="0"/>
        <w:pageBreakBefore w:val="0"/>
        <w:kinsoku/>
        <w:wordWrap/>
        <w:overflowPunct/>
        <w:topLinePunct w:val="0"/>
        <w:bidi w:val="0"/>
        <w:spacing w:line="440" w:lineRule="exact"/>
        <w:rPr>
          <w:rFonts w:hint="eastAsia" w:cs="Times New Roman"/>
          <w:b/>
          <w:bCs/>
          <w:color w:val="auto"/>
          <w:highlight w:val="none"/>
        </w:rPr>
      </w:pPr>
    </w:p>
    <w:p w14:paraId="38ECC4EB">
      <w:pPr>
        <w:spacing w:line="360" w:lineRule="auto"/>
        <w:rPr>
          <w:rFonts w:ascii="宋体" w:hAnsi="宋体" w:cs="宋体"/>
          <w:bCs/>
          <w:color w:val="auto"/>
          <w:sz w:val="24"/>
          <w:highlight w:val="none"/>
        </w:rPr>
      </w:pPr>
    </w:p>
    <w:p w14:paraId="0F30F1BD">
      <w:pPr>
        <w:pStyle w:val="24"/>
        <w:rPr>
          <w:rFonts w:hint="eastAsia" w:ascii="宋体" w:hAnsi="宋体" w:eastAsia="宋体"/>
          <w:b/>
          <w:bCs/>
          <w:color w:val="auto"/>
          <w:sz w:val="24"/>
          <w:szCs w:val="24"/>
          <w:highlight w:val="none"/>
        </w:rPr>
      </w:pPr>
      <w:r>
        <w:rPr>
          <w:rFonts w:hint="eastAsia" w:ascii="宋体" w:hAnsi="宋体" w:eastAsia="宋体" w:cs="Times New Roman"/>
          <w:b/>
          <w:bCs/>
          <w:color w:val="auto"/>
          <w:sz w:val="24"/>
          <w:szCs w:val="24"/>
          <w:highlight w:val="none"/>
          <w:u w:val="none"/>
          <w:lang w:val="en-US" w:eastAsia="zh-CN"/>
        </w:rPr>
        <w:t>备注：若送样人员与退样非同一人的，请提供加盖供应商公章的授权委托书，谢谢各供应商合作。</w:t>
      </w:r>
    </w:p>
    <w:p w14:paraId="1781D323">
      <w:pPr>
        <w:rPr>
          <w:rFonts w:ascii="仿宋" w:hAnsi="仿宋" w:eastAsia="仿宋" w:cs="仿宋"/>
          <w:color w:val="auto"/>
          <w:kern w:val="0"/>
          <w:sz w:val="20"/>
          <w:szCs w:val="20"/>
          <w:highlight w:val="none"/>
          <w:lang w:val="en-US" w:eastAsia="zh-CN" w:bidi="ar"/>
        </w:rPr>
      </w:pPr>
    </w:p>
    <w:p w14:paraId="50B19001">
      <w:pPr>
        <w:spacing w:line="360" w:lineRule="exact"/>
        <w:jc w:val="left"/>
        <w:rPr>
          <w:rFonts w:ascii="宋体" w:hAnsi="宋体" w:cs="宋体"/>
          <w:b/>
          <w:color w:val="auto"/>
          <w:sz w:val="32"/>
          <w:szCs w:val="32"/>
          <w:highlight w:val="none"/>
        </w:rPr>
      </w:pPr>
      <w:r>
        <w:rPr>
          <w:rFonts w:ascii="仿宋" w:hAnsi="仿宋" w:eastAsia="仿宋" w:cs="仿宋"/>
          <w:color w:val="auto"/>
          <w:kern w:val="0"/>
          <w:sz w:val="20"/>
          <w:szCs w:val="20"/>
          <w:highlight w:val="none"/>
          <w:lang w:val="en-US" w:eastAsia="zh-CN" w:bidi="ar"/>
        </w:rPr>
        <w:br w:type="page"/>
      </w:r>
      <w:r>
        <w:rPr>
          <w:rFonts w:hint="eastAsia" w:ascii="宋体" w:hAnsi="宋体" w:eastAsia="宋体" w:cs="宋体"/>
          <w:b/>
          <w:color w:val="auto"/>
          <w:sz w:val="32"/>
          <w:szCs w:val="32"/>
          <w:highlight w:val="none"/>
          <w:lang w:val="en-US" w:eastAsia="zh-CN"/>
        </w:rPr>
        <w:t xml:space="preserve">附件9 </w:t>
      </w:r>
      <w:r>
        <w:rPr>
          <w:rFonts w:hint="eastAsia" w:ascii="宋体" w:hAnsi="宋体" w:cs="宋体"/>
          <w:b/>
          <w:color w:val="auto"/>
          <w:sz w:val="32"/>
          <w:szCs w:val="32"/>
          <w:highlight w:val="none"/>
        </w:rPr>
        <w:t>现场活动申明书</w:t>
      </w:r>
    </w:p>
    <w:p w14:paraId="5AD12E83">
      <w:pPr>
        <w:ind w:left="658" w:right="1979" w:hanging="1003" w:hangingChars="227"/>
        <w:jc w:val="right"/>
        <w:rPr>
          <w:rFonts w:ascii="宋体" w:hAnsi="宋体" w:cs="宋体"/>
          <w:color w:val="auto"/>
          <w:sz w:val="29"/>
          <w:szCs w:val="29"/>
          <w:highlight w:val="none"/>
        </w:rPr>
      </w:pPr>
      <w:r>
        <w:rPr>
          <w:rFonts w:hint="eastAsia" w:ascii="宋体" w:hAnsi="宋体" w:cs="宋体"/>
          <w:b/>
          <w:bCs/>
          <w:color w:val="auto"/>
          <w:sz w:val="44"/>
          <w:szCs w:val="44"/>
          <w:highlight w:val="none"/>
        </w:rPr>
        <w:t>政府采购活动现场确认声明书</w:t>
      </w:r>
    </w:p>
    <w:p w14:paraId="52156020">
      <w:pPr>
        <w:pStyle w:val="23"/>
        <w:spacing w:line="360" w:lineRule="exact"/>
        <w:ind w:left="159" w:right="1981"/>
        <w:jc w:val="left"/>
        <w:rPr>
          <w:rFonts w:hAnsi="宋体" w:cs="宋体"/>
          <w:color w:val="auto"/>
          <w:highlight w:val="none"/>
        </w:rPr>
      </w:pPr>
      <w:r>
        <w:rPr>
          <w:rFonts w:hint="eastAsia" w:hAnsi="宋体" w:cs="宋体"/>
          <w:color w:val="auto"/>
          <w:highlight w:val="none"/>
        </w:rPr>
        <w:t>浙江省房地产管理咨询有限公司:</w:t>
      </w:r>
    </w:p>
    <w:p w14:paraId="5EE64FC4">
      <w:pPr>
        <w:pStyle w:val="23"/>
        <w:tabs>
          <w:tab w:val="left" w:pos="2213"/>
          <w:tab w:val="left" w:pos="7529"/>
          <w:tab w:val="left" w:pos="9676"/>
        </w:tabs>
        <w:spacing w:before="158" w:line="360" w:lineRule="exact"/>
        <w:ind w:left="111" w:right="-170" w:firstLine="384"/>
        <w:rPr>
          <w:rFonts w:hAnsi="宋体" w:cs="宋体"/>
          <w:color w:val="auto"/>
          <w:highlight w:val="none"/>
        </w:rPr>
      </w:pPr>
      <w:r>
        <w:rPr>
          <w:rFonts w:hint="eastAsia" w:hAnsi="宋体" w:cs="宋体"/>
          <w:color w:val="auto"/>
          <w:highlight w:val="none"/>
        </w:rPr>
        <w:t>本人</w:t>
      </w:r>
      <w:r>
        <w:rPr>
          <w:rFonts w:hint="eastAsia" w:hAnsi="宋体" w:cs="宋体"/>
          <w:color w:val="auto"/>
          <w:highlight w:val="none"/>
          <w:u w:val="single" w:color="000000"/>
        </w:rPr>
        <w:tab/>
      </w:r>
      <w:r>
        <w:rPr>
          <w:rFonts w:hint="eastAsia" w:hAnsi="宋体" w:cs="宋体"/>
          <w:color w:val="auto"/>
          <w:highlight w:val="none"/>
        </w:rPr>
        <w:t>（授权代表姓名），经由（单位）</w:t>
      </w:r>
      <w:r>
        <w:rPr>
          <w:rFonts w:hint="eastAsia" w:hAnsi="宋体" w:cs="宋体"/>
          <w:color w:val="auto"/>
          <w:highlight w:val="none"/>
          <w:u w:val="single" w:color="000000"/>
        </w:rPr>
        <w:tab/>
      </w:r>
      <w:r>
        <w:rPr>
          <w:rFonts w:hint="eastAsia" w:hAnsi="宋体" w:cs="宋体"/>
          <w:color w:val="auto"/>
          <w:highlight w:val="none"/>
        </w:rPr>
        <w:t>（法定代表人姓名）合法授权参加（编号：）政府采购活动．经与本单位法人代表（负责人）联系确认，现就有关公平竞争事项郑重声明如下:</w:t>
      </w:r>
    </w:p>
    <w:p w14:paraId="0B02BA04">
      <w:pPr>
        <w:pStyle w:val="23"/>
        <w:spacing w:line="360" w:lineRule="exact"/>
        <w:rPr>
          <w:rFonts w:hint="eastAsia" w:hAnsi="宋体" w:eastAsia="宋体" w:cs="宋体"/>
          <w:color w:val="auto"/>
          <w:spacing w:val="-9"/>
          <w:highlight w:val="none"/>
          <w:lang w:eastAsia="zh-CN"/>
        </w:rPr>
      </w:pPr>
      <w:r>
        <w:rPr>
          <w:rFonts w:hint="eastAsia" w:hAnsi="宋体" w:cs="宋体"/>
          <w:color w:val="auto"/>
          <w:highlight w:val="none"/>
          <w:lang w:val="en-US"/>
        </w:rPr>
        <w:t>一、</w:t>
      </w:r>
      <w:r>
        <w:rPr>
          <w:rFonts w:hint="eastAsia" w:hAnsi="宋体" w:cs="宋体"/>
          <w:color w:val="auto"/>
          <w:highlight w:val="none"/>
        </w:rPr>
        <w:t>本单位与采购人之间</w:t>
      </w:r>
      <w:r>
        <w:rPr>
          <w:rFonts w:hint="eastAsia" w:hAnsi="宋体" w:cs="宋体"/>
          <w:color w:val="auto"/>
          <w:highlight w:val="none"/>
        </w:rPr>
        <w:sym w:font="Wingdings 2" w:char="00A3"/>
      </w:r>
      <w:r>
        <w:rPr>
          <w:rFonts w:hint="eastAsia" w:hAnsi="宋体" w:cs="宋体"/>
          <w:color w:val="auto"/>
          <w:highlight w:val="none"/>
        </w:rPr>
        <w:t>不存在利害关系</w:t>
      </w:r>
      <w:r>
        <w:rPr>
          <w:rFonts w:hint="eastAsia" w:hAnsi="宋体" w:cs="宋体"/>
          <w:color w:val="auto"/>
          <w:highlight w:val="none"/>
        </w:rPr>
        <w:sym w:font="Wingdings 2" w:char="00A3"/>
      </w:r>
      <w:r>
        <w:rPr>
          <w:rFonts w:hint="eastAsia" w:hAnsi="宋体" w:cs="宋体"/>
          <w:color w:val="auto"/>
          <w:highlight w:val="none"/>
        </w:rPr>
        <w:t>存在下列利害关系:</w:t>
      </w:r>
    </w:p>
    <w:p w14:paraId="085756BD">
      <w:pPr>
        <w:pStyle w:val="23"/>
        <w:spacing w:line="360" w:lineRule="exact"/>
        <w:ind w:firstLine="480" w:firstLineChars="200"/>
        <w:rPr>
          <w:rFonts w:hint="eastAsia" w:hAnsi="宋体" w:eastAsia="宋体" w:cs="宋体"/>
          <w:color w:val="auto"/>
          <w:highlight w:val="none"/>
          <w:lang w:val="en-US" w:eastAsia="zh-CN"/>
        </w:rPr>
      </w:pPr>
      <w:r>
        <w:rPr>
          <w:rFonts w:hint="eastAsia" w:hAnsi="宋体" w:cs="宋体"/>
          <w:color w:val="auto"/>
          <w:highlight w:val="none"/>
        </w:rPr>
        <w:t>A．投资关系</w:t>
      </w:r>
      <w:r>
        <w:rPr>
          <w:rFonts w:hint="eastAsia" w:hAnsi="宋体" w:cs="宋体"/>
          <w:color w:val="auto"/>
          <w:highlight w:val="none"/>
        </w:rPr>
        <w:tab/>
      </w:r>
    </w:p>
    <w:p w14:paraId="0830F06C">
      <w:pPr>
        <w:pStyle w:val="23"/>
        <w:spacing w:line="360" w:lineRule="exact"/>
        <w:ind w:firstLine="480" w:firstLineChars="200"/>
        <w:rPr>
          <w:rFonts w:hAnsi="宋体" w:cs="宋体"/>
          <w:color w:val="auto"/>
          <w:highlight w:val="none"/>
        </w:rPr>
      </w:pPr>
      <w:r>
        <w:rPr>
          <w:rFonts w:hint="eastAsia" w:hAnsi="宋体" w:cs="宋体"/>
          <w:color w:val="auto"/>
          <w:highlight w:val="none"/>
        </w:rPr>
        <w:t>B．行政隶属关系</w:t>
      </w:r>
      <w:r>
        <w:rPr>
          <w:rFonts w:hint="eastAsia" w:hAnsi="宋体" w:cs="宋体"/>
          <w:color w:val="auto"/>
          <w:highlight w:val="none"/>
        </w:rPr>
        <w:tab/>
      </w:r>
    </w:p>
    <w:p w14:paraId="7B2C4E36">
      <w:pPr>
        <w:pStyle w:val="23"/>
        <w:spacing w:line="360" w:lineRule="exact"/>
        <w:ind w:firstLine="480" w:firstLineChars="200"/>
        <w:rPr>
          <w:rFonts w:hint="eastAsia" w:hAnsi="宋体" w:eastAsia="宋体" w:cs="宋体"/>
          <w:color w:val="auto"/>
          <w:highlight w:val="none"/>
          <w:lang w:val="en-US" w:eastAsia="zh-CN"/>
        </w:rPr>
      </w:pPr>
      <w:r>
        <w:rPr>
          <w:rFonts w:hint="eastAsia" w:hAnsi="宋体" w:cs="宋体"/>
          <w:color w:val="auto"/>
          <w:highlight w:val="none"/>
        </w:rPr>
        <w:t>C．业务指导关系</w:t>
      </w:r>
    </w:p>
    <w:p w14:paraId="7A828C5F">
      <w:pPr>
        <w:pStyle w:val="23"/>
        <w:spacing w:line="360" w:lineRule="exact"/>
        <w:ind w:firstLine="480" w:firstLineChars="200"/>
        <w:rPr>
          <w:rFonts w:hAnsi="宋体" w:cs="宋体"/>
          <w:color w:val="auto"/>
          <w:highlight w:val="none"/>
        </w:rPr>
      </w:pPr>
      <w:r>
        <w:rPr>
          <w:rFonts w:hint="eastAsia" w:hAnsi="宋体" w:cs="宋体"/>
          <w:color w:val="auto"/>
          <w:highlight w:val="none"/>
        </w:rPr>
        <w:t>D．其他可能影响采购公正的利害关系（如有，请如实说明）。</w:t>
      </w:r>
    </w:p>
    <w:p w14:paraId="67584CD9">
      <w:pPr>
        <w:pStyle w:val="23"/>
        <w:tabs>
          <w:tab w:val="left" w:pos="1797"/>
        </w:tabs>
        <w:spacing w:line="360" w:lineRule="exact"/>
        <w:ind w:left="111" w:right="30" w:firstLine="384"/>
        <w:rPr>
          <w:rFonts w:hAnsi="宋体" w:cs="宋体"/>
          <w:color w:val="auto"/>
          <w:highlight w:val="none"/>
        </w:rPr>
      </w:pPr>
      <w:r>
        <w:rPr>
          <w:rFonts w:hint="eastAsia" w:hAnsi="宋体" w:cs="宋体"/>
          <w:color w:val="auto"/>
          <w:highlight w:val="none"/>
        </w:rPr>
        <w:t>二、现己清楚知道参加本项目采购活动的其他所有供应商名称，本单位</w:t>
      </w:r>
      <w:r>
        <w:rPr>
          <w:rFonts w:hint="eastAsia" w:hAnsi="宋体" w:cs="宋体"/>
          <w:color w:val="auto"/>
          <w:highlight w:val="none"/>
        </w:rPr>
        <w:sym w:font="Wingdings 2" w:char="00A3"/>
      </w:r>
      <w:r>
        <w:rPr>
          <w:rFonts w:hint="eastAsia" w:hAnsi="宋体" w:cs="宋体"/>
          <w:color w:val="auto"/>
          <w:highlight w:val="none"/>
        </w:rPr>
        <w:t>与其他所有供应商之间均不存在利害关系</w:t>
      </w:r>
      <w:r>
        <w:rPr>
          <w:rFonts w:hint="eastAsia" w:hAnsi="宋体" w:cs="宋体"/>
          <w:color w:val="auto"/>
          <w:highlight w:val="none"/>
        </w:rPr>
        <w:sym w:font="Wingdings 2" w:char="00A3"/>
      </w:r>
      <w:r>
        <w:rPr>
          <w:rFonts w:hint="eastAsia" w:hAnsi="宋体" w:cs="宋体"/>
          <w:color w:val="auto"/>
          <w:highlight w:val="none"/>
        </w:rPr>
        <w:t>与（供应商名称）之间存在下列利害关系:</w:t>
      </w:r>
    </w:p>
    <w:p w14:paraId="7BC51AA0">
      <w:pPr>
        <w:pStyle w:val="23"/>
        <w:spacing w:before="11" w:line="360" w:lineRule="exact"/>
        <w:ind w:right="1981" w:firstLine="480" w:firstLineChars="200"/>
        <w:jc w:val="left"/>
        <w:rPr>
          <w:rFonts w:hint="eastAsia" w:hAnsi="宋体" w:eastAsia="宋体" w:cs="宋体"/>
          <w:color w:val="auto"/>
          <w:spacing w:val="-65"/>
          <w:highlight w:val="none"/>
          <w:lang w:eastAsia="zh-CN"/>
        </w:rPr>
      </w:pPr>
      <w:r>
        <w:rPr>
          <w:rFonts w:hint="eastAsia" w:hAnsi="宋体" w:cs="宋体"/>
          <w:color w:val="auto"/>
          <w:highlight w:val="none"/>
        </w:rPr>
        <w:t>A．法定代表人或负责人或实际控制人是同一人</w:t>
      </w:r>
    </w:p>
    <w:p w14:paraId="2153DB17">
      <w:pPr>
        <w:pStyle w:val="23"/>
        <w:spacing w:before="11" w:line="360" w:lineRule="exact"/>
        <w:ind w:right="1981" w:firstLine="480" w:firstLineChars="200"/>
        <w:jc w:val="left"/>
        <w:rPr>
          <w:rFonts w:hAnsi="宋体" w:cs="宋体"/>
          <w:color w:val="auto"/>
          <w:highlight w:val="none"/>
        </w:rPr>
      </w:pPr>
      <w:r>
        <w:rPr>
          <w:rFonts w:hint="eastAsia" w:hAnsi="宋体" w:cs="宋体"/>
          <w:color w:val="auto"/>
          <w:highlight w:val="none"/>
        </w:rPr>
        <w:t>B．法定代表人或负责人或实际控制人是夫妻关系</w:t>
      </w:r>
    </w:p>
    <w:p w14:paraId="600EF1E4">
      <w:pPr>
        <w:pStyle w:val="23"/>
        <w:spacing w:before="11" w:line="360" w:lineRule="exact"/>
        <w:ind w:right="1981" w:firstLine="480" w:firstLineChars="200"/>
        <w:jc w:val="left"/>
        <w:rPr>
          <w:rFonts w:hAnsi="宋体" w:cs="宋体"/>
          <w:color w:val="auto"/>
          <w:highlight w:val="none"/>
        </w:rPr>
      </w:pPr>
      <w:r>
        <w:rPr>
          <w:rFonts w:hint="eastAsia" w:hAnsi="宋体" w:cs="宋体"/>
          <w:color w:val="auto"/>
          <w:highlight w:val="none"/>
        </w:rPr>
        <w:t>C．法定代表人或负责人或实际控制人是直系血亲关系</w:t>
      </w:r>
    </w:p>
    <w:p w14:paraId="0D88F4D6">
      <w:pPr>
        <w:pStyle w:val="23"/>
        <w:autoSpaceDE/>
        <w:autoSpaceDN/>
        <w:spacing w:before="11" w:line="360" w:lineRule="exact"/>
        <w:ind w:right="1510" w:firstLine="480" w:firstLineChars="200"/>
        <w:jc w:val="left"/>
        <w:rPr>
          <w:rFonts w:hint="eastAsia" w:hAnsi="宋体" w:eastAsia="宋体" w:cs="宋体"/>
          <w:color w:val="auto"/>
          <w:spacing w:val="-51"/>
          <w:highlight w:val="none"/>
          <w:lang w:eastAsia="zh-CN"/>
        </w:rPr>
      </w:pPr>
      <w:r>
        <w:rPr>
          <w:rFonts w:hint="eastAsia" w:hAnsi="宋体" w:cs="宋体"/>
          <w:color w:val="auto"/>
          <w:highlight w:val="none"/>
        </w:rPr>
        <w:t>D．法定代表人或负责人或实际控制人存在三代以内旁系血亲关系</w:t>
      </w:r>
    </w:p>
    <w:p w14:paraId="760CE2F8">
      <w:pPr>
        <w:pStyle w:val="23"/>
        <w:autoSpaceDE/>
        <w:autoSpaceDN/>
        <w:spacing w:before="11" w:line="360" w:lineRule="exact"/>
        <w:ind w:right="1981" w:firstLine="480" w:firstLineChars="200"/>
        <w:jc w:val="left"/>
        <w:rPr>
          <w:rFonts w:hAnsi="宋体" w:cs="宋体"/>
          <w:color w:val="auto"/>
          <w:highlight w:val="none"/>
        </w:rPr>
      </w:pPr>
      <w:r>
        <w:rPr>
          <w:rFonts w:hint="eastAsia" w:hAnsi="宋体" w:cs="宋体"/>
          <w:color w:val="auto"/>
          <w:highlight w:val="none"/>
        </w:rPr>
        <w:t>E．法定代表人或负责人或实际控制人存在近姻亲关系</w:t>
      </w:r>
    </w:p>
    <w:p w14:paraId="052C1962">
      <w:pPr>
        <w:pStyle w:val="23"/>
        <w:autoSpaceDE/>
        <w:autoSpaceDN/>
        <w:spacing w:before="11" w:line="360" w:lineRule="exact"/>
        <w:ind w:right="670" w:firstLine="480" w:firstLineChars="200"/>
        <w:jc w:val="left"/>
        <w:rPr>
          <w:rFonts w:hint="eastAsia" w:hAnsi="宋体" w:eastAsia="宋体" w:cs="宋体"/>
          <w:color w:val="auto"/>
          <w:spacing w:val="-51"/>
          <w:highlight w:val="none"/>
          <w:lang w:eastAsia="zh-CN"/>
        </w:rPr>
      </w:pPr>
      <w:r>
        <w:rPr>
          <w:rFonts w:hint="eastAsia" w:hAnsi="宋体" w:cs="宋体"/>
          <w:color w:val="auto"/>
          <w:highlight w:val="none"/>
        </w:rPr>
        <w:t>F．法定代表人或负责人或实际控制人存在股份控制或实际控制关系</w:t>
      </w:r>
    </w:p>
    <w:p w14:paraId="03B862BA">
      <w:pPr>
        <w:pStyle w:val="23"/>
        <w:autoSpaceDE/>
        <w:autoSpaceDN/>
        <w:spacing w:before="11" w:line="360" w:lineRule="exact"/>
        <w:ind w:right="30" w:firstLine="480" w:firstLineChars="200"/>
        <w:jc w:val="left"/>
        <w:rPr>
          <w:rFonts w:hAnsi="宋体" w:cs="宋体"/>
          <w:color w:val="auto"/>
          <w:highlight w:val="none"/>
        </w:rPr>
      </w:pPr>
      <w:r>
        <w:rPr>
          <w:rFonts w:hint="eastAsia" w:hAnsi="宋体" w:cs="宋体"/>
          <w:color w:val="auto"/>
          <w:highlight w:val="none"/>
        </w:rPr>
        <w:t>G．存在共同直接或间接投资设立子公司、联营企业和合营企业情况</w:t>
      </w:r>
    </w:p>
    <w:p w14:paraId="210D7416">
      <w:pPr>
        <w:pStyle w:val="23"/>
        <w:autoSpaceDE/>
        <w:autoSpaceDN/>
        <w:spacing w:line="360" w:lineRule="exact"/>
        <w:ind w:right="29" w:rightChars="14" w:firstLine="480" w:firstLineChars="200"/>
        <w:jc w:val="left"/>
        <w:rPr>
          <w:rFonts w:hAnsi="宋体" w:cs="宋体"/>
          <w:color w:val="auto"/>
          <w:highlight w:val="none"/>
        </w:rPr>
      </w:pPr>
      <w:r>
        <w:rPr>
          <w:rFonts w:hint="eastAsia" w:hAnsi="宋体" w:cs="宋体"/>
          <w:color w:val="auto"/>
          <w:highlight w:val="none"/>
        </w:rPr>
        <w:t>H．存在分级代理或代销关系、同一生产制造商关系、管理关系、重要业务（占主营业务收入50％以上）或重要财务往来关系（如融资）等其他实质性控制关系</w:t>
      </w:r>
    </w:p>
    <w:p w14:paraId="3C5FB663">
      <w:pPr>
        <w:pStyle w:val="23"/>
        <w:tabs>
          <w:tab w:val="left" w:pos="6600"/>
        </w:tabs>
        <w:spacing w:before="57" w:line="360" w:lineRule="exact"/>
        <w:ind w:left="479" w:leftChars="228" w:right="3706"/>
        <w:jc w:val="left"/>
        <w:rPr>
          <w:rFonts w:hint="eastAsia" w:hAnsi="宋体" w:eastAsia="宋体" w:cs="宋体"/>
          <w:color w:val="auto"/>
          <w:highlight w:val="none"/>
          <w:lang w:eastAsia="zh-CN"/>
        </w:rPr>
      </w:pPr>
      <w:r>
        <w:rPr>
          <w:rFonts w:hint="eastAsia" w:hAnsi="宋体" w:cs="宋体"/>
          <w:color w:val="auto"/>
          <w:highlight w:val="none"/>
        </w:rPr>
        <w:t>I．其他利害关系情况。</w:t>
      </w:r>
    </w:p>
    <w:p w14:paraId="40CA0D1E">
      <w:pPr>
        <w:pStyle w:val="23"/>
        <w:tabs>
          <w:tab w:val="left" w:pos="6600"/>
        </w:tabs>
        <w:spacing w:before="57" w:line="360" w:lineRule="exact"/>
        <w:ind w:left="479" w:leftChars="228" w:right="30"/>
        <w:jc w:val="left"/>
        <w:rPr>
          <w:rFonts w:hAnsi="宋体" w:cs="宋体"/>
          <w:color w:val="auto"/>
          <w:highlight w:val="none"/>
        </w:rPr>
      </w:pPr>
      <w:r>
        <w:rPr>
          <w:rFonts w:hint="eastAsia" w:hAnsi="宋体" w:cs="宋体"/>
          <w:color w:val="auto"/>
          <w:highlight w:val="none"/>
        </w:rPr>
        <w:t>三、现己清楚知道并严格遵守政府采购法律法规和现场纪律。</w:t>
      </w:r>
    </w:p>
    <w:p w14:paraId="15744CB4">
      <w:pPr>
        <w:pStyle w:val="23"/>
        <w:tabs>
          <w:tab w:val="left" w:pos="3643"/>
          <w:tab w:val="left" w:pos="8436"/>
        </w:tabs>
        <w:spacing w:before="57" w:line="360" w:lineRule="exact"/>
        <w:ind w:right="30" w:firstLine="480" w:firstLineChars="200"/>
        <w:jc w:val="left"/>
        <w:rPr>
          <w:rFonts w:hint="eastAsia" w:hAnsi="宋体" w:eastAsia="宋体" w:cs="宋体"/>
          <w:color w:val="auto"/>
          <w:spacing w:val="-87"/>
          <w:highlight w:val="none"/>
          <w:lang w:eastAsia="zh-CN"/>
        </w:rPr>
      </w:pPr>
      <w:r>
        <w:rPr>
          <w:rFonts w:hint="eastAsia" w:hAnsi="宋体" w:cs="宋体"/>
          <w:color w:val="auto"/>
          <w:highlight w:val="none"/>
        </w:rPr>
        <w:t>四、我发现</w:t>
      </w:r>
      <w:r>
        <w:rPr>
          <w:rFonts w:hint="eastAsia" w:hAnsi="宋体" w:cs="宋体"/>
          <w:color w:val="auto"/>
          <w:highlight w:val="none"/>
          <w:u w:val="single" w:color="000000"/>
        </w:rPr>
        <w:tab/>
      </w:r>
      <w:r>
        <w:rPr>
          <w:rFonts w:hint="eastAsia" w:hAnsi="宋体" w:cs="宋体"/>
          <w:color w:val="auto"/>
          <w:highlight w:val="none"/>
        </w:rPr>
        <w:t>供应商之间存在或可能存在上述第二条第项利害关系。</w:t>
      </w:r>
    </w:p>
    <w:p w14:paraId="4A92E2F5">
      <w:pPr>
        <w:pStyle w:val="23"/>
        <w:tabs>
          <w:tab w:val="left" w:pos="3643"/>
        </w:tabs>
        <w:spacing w:before="57" w:line="360" w:lineRule="exact"/>
        <w:ind w:right="30" w:firstLine="480" w:firstLineChars="200"/>
        <w:jc w:val="left"/>
        <w:rPr>
          <w:rFonts w:hAnsi="宋体" w:cs="宋体"/>
          <w:color w:val="auto"/>
          <w:highlight w:val="none"/>
        </w:rPr>
      </w:pPr>
      <w:r>
        <w:rPr>
          <w:rFonts w:hint="eastAsia" w:hAnsi="宋体" w:cs="宋体"/>
          <w:color w:val="auto"/>
          <w:highlight w:val="none"/>
        </w:rPr>
        <w:t>五、经检查确认所有投标人投标文件</w:t>
      </w:r>
      <w:r>
        <w:rPr>
          <w:rFonts w:hint="eastAsia" w:hAnsi="宋体" w:cs="宋体"/>
          <w:color w:val="auto"/>
          <w:highlight w:val="none"/>
        </w:rPr>
        <w:sym w:font="Wingdings 2" w:char="00A3"/>
      </w:r>
      <w:r>
        <w:rPr>
          <w:rFonts w:hint="eastAsia" w:hAnsi="宋体" w:cs="宋体"/>
          <w:color w:val="auto"/>
          <w:highlight w:val="none"/>
        </w:rPr>
        <w:t>不存在密封包装问题</w:t>
      </w:r>
      <w:r>
        <w:rPr>
          <w:rFonts w:hint="eastAsia" w:hAnsi="宋体" w:cs="宋体"/>
          <w:color w:val="auto"/>
          <w:highlight w:val="none"/>
        </w:rPr>
        <w:sym w:font="Wingdings 2" w:char="00A3"/>
      </w:r>
      <w:r>
        <w:rPr>
          <w:rFonts w:hint="eastAsia" w:hAnsi="宋体" w:cs="宋体"/>
          <w:color w:val="auto"/>
          <w:highlight w:val="none"/>
        </w:rPr>
        <w:t>存在密封包装问题（具体指出）</w:t>
      </w:r>
      <w:r>
        <w:rPr>
          <w:rFonts w:hint="eastAsia" w:hAnsi="宋体" w:cs="宋体"/>
          <w:color w:val="auto"/>
          <w:highlight w:val="none"/>
          <w:u w:val="single"/>
        </w:rPr>
        <w:tab/>
      </w:r>
      <w:r>
        <w:rPr>
          <w:rFonts w:hint="eastAsia" w:hAnsi="宋体" w:cs="宋体"/>
          <w:color w:val="auto"/>
          <w:highlight w:val="none"/>
        </w:rPr>
        <w:t>。</w:t>
      </w:r>
    </w:p>
    <w:p w14:paraId="02DC7358">
      <w:pPr>
        <w:spacing w:line="360" w:lineRule="exact"/>
        <w:jc w:val="center"/>
        <w:rPr>
          <w:rFonts w:ascii="宋体" w:hAnsi="宋体" w:cs="宋体"/>
          <w:color w:val="auto"/>
          <w:spacing w:val="-39"/>
          <w:sz w:val="24"/>
          <w:highlight w:val="none"/>
        </w:rPr>
      </w:pPr>
      <w:r>
        <w:rPr>
          <w:rFonts w:hint="eastAsia" w:ascii="宋体" w:hAnsi="宋体" w:cs="宋体"/>
          <w:color w:val="auto"/>
          <w:sz w:val="24"/>
          <w:highlight w:val="none"/>
        </w:rPr>
        <w:t>（供应商代表签名）:</w:t>
      </w:r>
    </w:p>
    <w:p w14:paraId="7D083EB3">
      <w:pPr>
        <w:spacing w:line="360" w:lineRule="exact"/>
        <w:jc w:val="right"/>
        <w:rPr>
          <w:rFonts w:ascii="宋体" w:hAnsi="宋体" w:cs="宋体"/>
          <w:color w:val="auto"/>
          <w:sz w:val="24"/>
          <w:highlight w:val="none"/>
        </w:rPr>
      </w:pP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14:paraId="2F360063">
      <w:pPr>
        <w:pStyle w:val="24"/>
        <w:spacing w:line="360" w:lineRule="exact"/>
        <w:ind w:firstLine="0" w:firstLineChars="0"/>
        <w:jc w:val="distribute"/>
        <w:rPr>
          <w:rFonts w:cs="宋体"/>
          <w:b/>
          <w:bCs/>
          <w:color w:val="auto"/>
          <w:spacing w:val="8166"/>
          <w:kern w:val="0"/>
          <w:highlight w:val="none"/>
        </w:rPr>
      </w:pPr>
    </w:p>
    <w:p w14:paraId="655C1ACD">
      <w:pPr>
        <w:pStyle w:val="23"/>
        <w:tabs>
          <w:tab w:val="left" w:pos="3643"/>
        </w:tabs>
        <w:spacing w:before="57" w:line="360" w:lineRule="exact"/>
        <w:ind w:right="30"/>
        <w:jc w:val="left"/>
        <w:rPr>
          <w:rFonts w:hAnsi="宋体" w:cs="宋体"/>
          <w:color w:val="auto"/>
          <w:highlight w:val="none"/>
          <w:lang w:val="en-US"/>
        </w:rPr>
      </w:pPr>
      <w:r>
        <w:rPr>
          <w:rFonts w:hint="eastAsia" w:hAnsi="宋体" w:cs="宋体"/>
          <w:b/>
          <w:bCs/>
          <w:color w:val="auto"/>
          <w:sz w:val="22"/>
          <w:szCs w:val="20"/>
          <w:highlight w:val="none"/>
          <w:lang w:val="en-US"/>
        </w:rPr>
        <w:t>请在开标当天解密响应文件后30分钟内签署本声明书，并发送到</w:t>
      </w:r>
      <w:r>
        <w:rPr>
          <w:rFonts w:hint="eastAsia" w:hAnsi="宋体" w:cs="宋体"/>
          <w:b/>
          <w:bCs/>
          <w:color w:val="auto"/>
          <w:sz w:val="22"/>
          <w:szCs w:val="20"/>
          <w:highlight w:val="none"/>
          <w:lang w:val="en-US" w:eastAsia="zh-CN"/>
        </w:rPr>
        <w:t>邮箱357473346</w:t>
      </w:r>
      <w:r>
        <w:rPr>
          <w:rFonts w:hint="eastAsia" w:hAnsi="宋体" w:cs="宋体"/>
          <w:b/>
          <w:bCs/>
          <w:color w:val="auto"/>
          <w:sz w:val="22"/>
          <w:szCs w:val="20"/>
          <w:highlight w:val="none"/>
          <w:lang w:val="en-US"/>
        </w:rPr>
        <w:t>@qq.com。</w:t>
      </w:r>
    </w:p>
    <w:p w14:paraId="5AF37529">
      <w:pPr>
        <w:rPr>
          <w:rFonts w:hint="default" w:ascii="仿宋" w:hAnsi="仿宋" w:eastAsia="仿宋" w:cs="仿宋"/>
          <w:color w:val="auto"/>
          <w:kern w:val="0"/>
          <w:sz w:val="20"/>
          <w:szCs w:val="20"/>
          <w:highlight w:val="none"/>
          <w:lang w:val="en-US" w:eastAsia="zh-CN" w:bidi="ar"/>
        </w:rPr>
      </w:pPr>
    </w:p>
    <w:sectPr>
      <w:headerReference r:id="rId25" w:type="first"/>
      <w:footerReference r:id="rId27" w:type="first"/>
      <w:headerReference r:id="rId24" w:type="default"/>
      <w:footerReference r:id="rId26"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Futura Bk">
    <w:altName w:val="Segoe Print"/>
    <w:panose1 w:val="00000000000000000000"/>
    <w:charset w:val="00"/>
    <w:family w:val="swiss"/>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50402020203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Wingdings 2">
    <w:panose1 w:val="05020102010507070707"/>
    <w:charset w:val="00"/>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9327D">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885C">
    <w:pPr>
      <w:pStyle w:val="43"/>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42EF0">
    <w:pPr>
      <w:pStyle w:val="43"/>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bookmarkStart w:id="601" w:name="_Toc91899912"/>
    <w:bookmarkStart w:id="602" w:name="_Toc131845147"/>
    <w:bookmarkStart w:id="603" w:name="_Toc164085800"/>
    <w:bookmarkStart w:id="604" w:name="_Toc36110187"/>
    <w:r>
      <w:rPr>
        <w:rFonts w:hint="eastAsia" w:ascii="仿宋_GB2312" w:eastAsia="仿宋_GB2312"/>
        <w:kern w:val="0"/>
        <w:szCs w:val="21"/>
      </w:rPr>
      <w:t xml:space="preserve"> 页</w:t>
    </w:r>
    <w:bookmarkEnd w:id="601"/>
    <w:bookmarkEnd w:id="602"/>
    <w:bookmarkEnd w:id="603"/>
    <w:bookmarkEnd w:id="604"/>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415A2">
    <w:pPr>
      <w:pStyle w:val="43"/>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9D62B">
    <w:pPr>
      <w:pStyle w:val="43"/>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6B9F3">
    <w:pPr>
      <w:pStyle w:val="43"/>
      <w:framePr w:wrap="around" w:vAnchor="text" w:hAnchor="margin" w:xAlign="right" w:y="1"/>
      <w:rPr>
        <w:rStyle w:val="76"/>
      </w:rPr>
    </w:pPr>
    <w:r>
      <w:fldChar w:fldCharType="begin"/>
    </w:r>
    <w:r>
      <w:rPr>
        <w:rStyle w:val="76"/>
      </w:rPr>
      <w:instrText xml:space="preserve">PAGE  </w:instrText>
    </w:r>
    <w:r>
      <w:fldChar w:fldCharType="end"/>
    </w:r>
  </w:p>
  <w:p w14:paraId="46BE3816">
    <w:pPr>
      <w:pStyle w:val="4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F40D3">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987EC">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300B5A85">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5FB70">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4EA89AD7">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ED10">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63DC83F1">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2E916">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04AC2A87">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041F9">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61C9801F">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369AA">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7F501A06">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3C269">
    <w:pPr>
      <w:pStyle w:val="44"/>
      <w:widowControl w:val="0"/>
      <w:pBdr>
        <w:top w:val="none" w:color="auto" w:sz="0" w:space="1"/>
        <w:left w:val="none" w:color="auto" w:sz="0" w:space="4"/>
        <w:bottom w:val="none" w:color="auto" w:sz="0" w:space="4"/>
        <w:right w:val="none" w:color="auto" w:sz="0" w:space="4"/>
        <w:between w:val="none" w:color="auto" w:sz="0" w:space="0"/>
      </w:pBdr>
      <w:adjustRightInd w:val="0"/>
      <w:snapToGrid w:val="0"/>
      <w:jc w:val="right"/>
    </w:pPr>
    <w:r>
      <w:t></w:t>
    </w:r>
    <w:r>
      <w:rPr>
        <w:rFonts w:hint="eastAsia"/>
      </w:rPr>
      <w:t xml:space="preserve">           </w:t>
    </w:r>
  </w:p>
  <w:p w14:paraId="3FDCC8DA">
    <w:pPr>
      <w:pStyle w:val="62"/>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092DB">
    <w:pPr>
      <w:pStyle w:val="44"/>
      <w:widowControl w:val="0"/>
      <w:pBdr>
        <w:top w:val="none" w:color="auto" w:sz="0" w:space="1"/>
        <w:left w:val="none" w:color="auto" w:sz="0" w:space="4"/>
        <w:bottom w:val="none" w:color="auto" w:sz="0" w:space="1"/>
        <w:right w:val="none" w:color="auto" w:sz="0" w:space="4"/>
        <w:between w:val="none" w:color="auto" w:sz="0" w:space="0"/>
      </w:pBdr>
      <w:adjustRightInd w:val="0"/>
      <w:snapToGrid w:val="0"/>
      <w:jc w:val="center"/>
    </w:pPr>
    <w:r>
      <w:rPr>
        <w:rFonts w:hint="eastAsia"/>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570EB">
    <w:pPr>
      <w:pStyle w:val="44"/>
      <w:widowControl w:val="0"/>
      <w:pBdr>
        <w:top w:val="none" w:color="auto" w:sz="0" w:space="1"/>
        <w:left w:val="none" w:color="auto" w:sz="0" w:space="4"/>
        <w:bottom w:val="none" w:color="auto" w:sz="0" w:space="1"/>
        <w:right w:val="none" w:color="auto" w:sz="0" w:space="4"/>
        <w:between w:val="none" w:color="auto" w:sz="0" w:space="0"/>
      </w:pBdr>
      <w:adjustRightInd w:val="0"/>
      <w:snapToGrid w:val="0"/>
      <w:jc w:val="cent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D6D84">
    <w:pPr>
      <w:pStyle w:val="44"/>
      <w:widowControl w:val="0"/>
      <w:pBdr>
        <w:top w:val="none" w:color="auto" w:sz="0" w:space="1"/>
        <w:left w:val="none" w:color="auto" w:sz="0" w:space="4"/>
        <w:bottom w:val="none" w:color="auto" w:sz="0" w:space="1"/>
        <w:right w:val="none" w:color="auto" w:sz="0" w:space="4"/>
        <w:between w:val="none" w:color="auto" w:sz="0" w:space="0"/>
      </w:pBdr>
      <w:adjustRightInd w:val="0"/>
      <w:snapToGrid w:val="0"/>
      <w:jc w:val="center"/>
    </w:pPr>
    <w:r>
      <w:t></w:t>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49FE2">
    <w:pPr>
      <w:pStyle w:val="44"/>
      <w:widowControl w:val="0"/>
      <w:pBdr>
        <w:top w:val="none" w:color="auto" w:sz="0" w:space="1"/>
        <w:left w:val="none" w:color="auto" w:sz="0" w:space="4"/>
        <w:bottom w:val="none" w:color="auto" w:sz="0" w:space="0"/>
        <w:right w:val="none" w:color="auto" w:sz="0" w:space="4"/>
        <w:between w:val="none" w:color="auto" w:sz="0" w:space="0"/>
      </w:pBdr>
      <w:tabs>
        <w:tab w:val="center" w:pos="4535"/>
        <w:tab w:val="right" w:pos="9070"/>
        <w:tab w:val="clear" w:pos="4153"/>
        <w:tab w:val="clear" w:pos="8306"/>
      </w:tabs>
      <w:adjustRightInd w:val="0"/>
      <w:snapToGrid w:val="0"/>
      <w:jc w:val="right"/>
    </w:pPr>
    <w:r>
      <w:rPr>
        <w:lang w:val="zh-CN"/>
      </w:rPr>
      <w:t></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76E68">
    <w:pPr>
      <w:pStyle w:val="44"/>
      <w:widowControl w:val="0"/>
      <w:pBdr>
        <w:top w:val="none" w:color="auto" w:sz="0" w:space="1"/>
        <w:left w:val="none" w:color="auto" w:sz="0" w:space="4"/>
        <w:bottom w:val="none" w:color="auto" w:sz="0" w:space="1"/>
        <w:right w:val="none" w:color="auto" w:sz="0" w:space="4"/>
        <w:between w:val="none" w:color="auto" w:sz="0" w:space="0"/>
      </w:pBdr>
      <w:adjustRightInd w:val="0"/>
      <w:snapToGrid w:val="0"/>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D4485">
    <w:pPr>
      <w:pStyle w:val="44"/>
    </w:pPr>
    <w:r>
      <w:t></w:t>
    </w:r>
    <w:r>
      <w:rPr>
        <w:rFonts w:hint="eastAsia"/>
      </w:rPr>
      <w:t xml:space="preserve">         </w:t>
    </w:r>
  </w:p>
  <w:p w14:paraId="00B841D2">
    <w:pPr>
      <w:pStyle w:val="44"/>
    </w:pPr>
    <w:r>
      <w:rPr>
        <w:rFonts w:hint="eastAsia"/>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2B73">
    <w:pPr>
      <w:rPr>
        <w:rFonts w:ascii="仿宋_GB2312" w:eastAsia="仿宋_GB2312"/>
        <w:b/>
        <w:i/>
        <w:sz w:val="18"/>
        <w:u w:val="single"/>
      </w:rPr>
    </w:pPr>
    <w:r>
      <w:t></w:t>
    </w:r>
    <w:r>
      <w:rPr>
        <w:rFonts w:hint="eastAsia"/>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8EDB0">
    <w:pPr>
      <w:pStyle w:val="44"/>
      <w:widowControl w:val="0"/>
      <w:pBdr>
        <w:top w:val="none" w:color="auto" w:sz="0" w:space="1"/>
        <w:left w:val="none" w:color="auto" w:sz="0" w:space="4"/>
        <w:bottom w:val="none" w:color="auto" w:sz="0" w:space="1"/>
        <w:right w:val="none" w:color="auto" w:sz="0" w:space="4"/>
        <w:between w:val="none" w:color="auto" w:sz="0" w:space="0"/>
      </w:pBdr>
      <w:adjustRightInd w:val="0"/>
      <w:snapToGrid w:val="0"/>
      <w:jc w:val="right"/>
    </w:pPr>
    <w: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EB7E2">
    <w:pPr>
      <w:pStyle w:val="44"/>
      <w:widowControl w:val="0"/>
      <w:pBdr>
        <w:top w:val="none" w:color="auto" w:sz="0" w:space="1"/>
        <w:left w:val="none" w:color="auto" w:sz="0" w:space="4"/>
        <w:bottom w:val="none" w:color="auto" w:sz="0" w:space="1"/>
        <w:right w:val="none" w:color="auto" w:sz="0" w:space="4"/>
        <w:between w:val="none" w:color="auto" w:sz="0" w:space="0"/>
      </w:pBdr>
      <w:adjustRightInd w:val="0"/>
      <w:snapToGrid w:val="0"/>
      <w:jc w:val="right"/>
      <w:rPr>
        <w:rFonts w:ascii="仿宋_GB2312" w:eastAsia="仿宋_GB2312"/>
        <w:b/>
        <w:i/>
        <w:u w:val="single"/>
      </w:rPr>
    </w:pPr>
    <w:r>
      <w:rPr>
        <w:rFonts w:hint="eastAsia"/>
      </w:rPr>
      <w:t xml:space="preserve">                          </w:t>
    </w:r>
  </w:p>
  <w:p w14:paraId="41999147">
    <w:pPr>
      <w:rPr>
        <w:rFonts w:ascii="仿宋_GB2312" w:eastAsia="仿宋_GB2312"/>
        <w:b/>
        <w:i/>
        <w:sz w:val="18"/>
        <w:u w:val="singl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5F6CC">
    <w:pPr>
      <w:pStyle w:val="44"/>
      <w:widowControl w:val="0"/>
      <w:pBdr>
        <w:top w:val="none" w:color="auto" w:sz="0" w:space="1"/>
        <w:left w:val="none" w:color="auto" w:sz="0" w:space="4"/>
        <w:bottom w:val="none" w:color="auto" w:sz="0" w:space="1"/>
        <w:right w:val="none" w:color="auto" w:sz="0" w:space="4"/>
        <w:between w:val="none" w:color="auto" w:sz="0" w:space="0"/>
      </w:pBdr>
      <w:adjustRightInd w:val="0"/>
      <w:snapToGrid w:val="0"/>
      <w:jc w:val="right"/>
    </w:pPr>
    <w:r>
      <w:rPr>
        <w:rFonts w:hint="eastAsia"/>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FF890">
    <w:pPr>
      <w:pStyle w:val="44"/>
      <w:jc w:val="right"/>
      <w:rPr>
        <w:rFonts w:ascii="仿宋_GB2312" w:eastAsia="仿宋_GB2312"/>
        <w:b/>
        <w:i/>
        <w:iCs/>
        <w:u w:val="single"/>
      </w:rPr>
    </w:pP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D62DE9"/>
    <w:multiLevelType w:val="singleLevel"/>
    <w:tmpl w:val="B6D62DE9"/>
    <w:lvl w:ilvl="0" w:tentative="0">
      <w:start w:val="4"/>
      <w:numFmt w:val="decimal"/>
      <w:lvlText w:val="%1."/>
      <w:lvlJc w:val="left"/>
      <w:pPr>
        <w:tabs>
          <w:tab w:val="left" w:pos="312"/>
        </w:tabs>
      </w:pPr>
      <w:rPr>
        <w:rFonts w:hint="default"/>
        <w:color w:val="auto"/>
      </w:rPr>
    </w:lvl>
  </w:abstractNum>
  <w:abstractNum w:abstractNumId="1">
    <w:nsid w:val="00000006"/>
    <w:multiLevelType w:val="singleLevel"/>
    <w:tmpl w:val="00000006"/>
    <w:lvl w:ilvl="0" w:tentative="0">
      <w:start w:val="1"/>
      <w:numFmt w:val="chineseCounting"/>
      <w:suff w:val="nothing"/>
      <w:lvlText w:val="%1、"/>
      <w:lvlJc w:val="left"/>
      <w:pPr>
        <w:ind w:left="0" w:firstLine="420"/>
      </w:pPr>
      <w:rPr>
        <w:rFonts w:hint="eastAsia" w:ascii="宋体" w:hAnsi="宋体" w:eastAsia="宋体"/>
        <w:b/>
        <w:sz w:val="30"/>
      </w:rPr>
    </w:lvl>
  </w:abstractNum>
  <w:abstractNum w:abstractNumId="2">
    <w:nsid w:val="13B578C5"/>
    <w:multiLevelType w:val="singleLevel"/>
    <w:tmpl w:val="13B578C5"/>
    <w:lvl w:ilvl="0" w:tentative="0">
      <w:start w:val="1"/>
      <w:numFmt w:val="decimal"/>
      <w:lvlText w:val="%1."/>
      <w:lvlJc w:val="left"/>
      <w:pPr>
        <w:tabs>
          <w:tab w:val="left" w:pos="312"/>
        </w:tabs>
      </w:pPr>
    </w:lvl>
  </w:abstractNum>
  <w:abstractNum w:abstractNumId="3">
    <w:nsid w:val="35D71722"/>
    <w:multiLevelType w:val="singleLevel"/>
    <w:tmpl w:val="35D71722"/>
    <w:lvl w:ilvl="0" w:tentative="0">
      <w:start w:val="2"/>
      <w:numFmt w:val="chineseCounting"/>
      <w:suff w:val="nothing"/>
      <w:lvlText w:val="%1、"/>
      <w:lvlJc w:val="left"/>
      <w:rPr>
        <w:rFonts w:hint="eastAsia"/>
      </w:rPr>
    </w:lvl>
  </w:abstractNum>
  <w:abstractNum w:abstractNumId="4">
    <w:nsid w:val="3A4167CE"/>
    <w:multiLevelType w:val="singleLevel"/>
    <w:tmpl w:val="3A4167CE"/>
    <w:lvl w:ilvl="0" w:tentative="0">
      <w:start w:val="1"/>
      <w:numFmt w:val="decimal"/>
      <w:suff w:val="nothing"/>
      <w:lvlText w:val="（%1）"/>
      <w:lvlJc w:val="left"/>
    </w:lvl>
  </w:abstractNum>
  <w:abstractNum w:abstractNumId="5">
    <w:nsid w:val="428F8B28"/>
    <w:multiLevelType w:val="singleLevel"/>
    <w:tmpl w:val="428F8B28"/>
    <w:lvl w:ilvl="0" w:tentative="0">
      <w:start w:val="1"/>
      <w:numFmt w:val="decimal"/>
      <w:lvlText w:val="%1."/>
      <w:lvlJc w:val="left"/>
      <w:pPr>
        <w:tabs>
          <w:tab w:val="left" w:pos="312"/>
        </w:tabs>
      </w:pPr>
    </w:lvl>
  </w:abstractNum>
  <w:abstractNum w:abstractNumId="6">
    <w:nsid w:val="5237A27F"/>
    <w:multiLevelType w:val="singleLevel"/>
    <w:tmpl w:val="5237A27F"/>
    <w:lvl w:ilvl="0" w:tentative="0">
      <w:start w:val="1"/>
      <w:numFmt w:val="decimal"/>
      <w:suff w:val="nothing"/>
      <w:lvlText w:val="%1）"/>
      <w:lvlJc w:val="left"/>
    </w:lvl>
  </w:abstractNum>
  <w:abstractNum w:abstractNumId="7">
    <w:nsid w:val="5A7EEB86"/>
    <w:multiLevelType w:val="singleLevel"/>
    <w:tmpl w:val="5A7EEB86"/>
    <w:lvl w:ilvl="0" w:tentative="0">
      <w:start w:val="1"/>
      <w:numFmt w:val="decimal"/>
      <w:suff w:val="nothing"/>
      <w:lvlText w:val="%1、"/>
      <w:lvlJc w:val="left"/>
    </w:lvl>
  </w:abstractNum>
  <w:abstractNum w:abstractNumId="8">
    <w:nsid w:val="61BF1789"/>
    <w:multiLevelType w:val="singleLevel"/>
    <w:tmpl w:val="61BF1789"/>
    <w:lvl w:ilvl="0" w:tentative="0">
      <w:start w:val="2"/>
      <w:numFmt w:val="decimal"/>
      <w:lvlText w:val="%1."/>
      <w:lvlJc w:val="left"/>
      <w:pPr>
        <w:tabs>
          <w:tab w:val="left" w:pos="312"/>
        </w:tabs>
        <w:ind w:left="480" w:firstLine="0"/>
      </w:pPr>
    </w:lvl>
  </w:abstractNum>
  <w:abstractNum w:abstractNumId="9">
    <w:nsid w:val="68280281"/>
    <w:multiLevelType w:val="singleLevel"/>
    <w:tmpl w:val="68280281"/>
    <w:lvl w:ilvl="0" w:tentative="0">
      <w:start w:val="8"/>
      <w:numFmt w:val="chineseCounting"/>
      <w:suff w:val="nothing"/>
      <w:lvlText w:val="%1、"/>
      <w:lvlJc w:val="left"/>
      <w:rPr>
        <w:rFonts w:hint="eastAsia"/>
      </w:rPr>
    </w:lvl>
  </w:abstractNum>
  <w:abstractNum w:abstractNumId="10">
    <w:nsid w:val="779BF660"/>
    <w:multiLevelType w:val="singleLevel"/>
    <w:tmpl w:val="779BF660"/>
    <w:lvl w:ilvl="0" w:tentative="0">
      <w:start w:val="1"/>
      <w:numFmt w:val="decimal"/>
      <w:suff w:val="nothing"/>
      <w:lvlText w:val="%1、"/>
      <w:lvlJc w:val="left"/>
    </w:lvl>
  </w:abstractNum>
  <w:num w:numId="1">
    <w:abstractNumId w:val="0"/>
  </w:num>
  <w:num w:numId="2">
    <w:abstractNumId w:val="8"/>
  </w:num>
  <w:num w:numId="3">
    <w:abstractNumId w:val="4"/>
  </w:num>
  <w:num w:numId="4">
    <w:abstractNumId w:val="7"/>
  </w:num>
  <w:num w:numId="5">
    <w:abstractNumId w:val="1"/>
  </w:num>
  <w:num w:numId="6">
    <w:abstractNumId w:val="10"/>
  </w:num>
  <w:num w:numId="7">
    <w:abstractNumId w:val="5"/>
  </w:num>
  <w:num w:numId="8">
    <w:abstractNumId w:val="2"/>
  </w:num>
  <w:num w:numId="9">
    <w:abstractNumId w:val="6"/>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ZTFlNDU5NTc3NGQ1OGM1MGIxZWFiMzM0ODBlNmY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A2"/>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37B93"/>
    <w:rsid w:val="00040447"/>
    <w:rsid w:val="00040494"/>
    <w:rsid w:val="00040B70"/>
    <w:rsid w:val="00042441"/>
    <w:rsid w:val="00042533"/>
    <w:rsid w:val="00042DBB"/>
    <w:rsid w:val="00042E65"/>
    <w:rsid w:val="0004347C"/>
    <w:rsid w:val="00043907"/>
    <w:rsid w:val="00044F48"/>
    <w:rsid w:val="00047354"/>
    <w:rsid w:val="00050072"/>
    <w:rsid w:val="00050656"/>
    <w:rsid w:val="00050A19"/>
    <w:rsid w:val="000511B6"/>
    <w:rsid w:val="00051B00"/>
    <w:rsid w:val="00051C72"/>
    <w:rsid w:val="00052192"/>
    <w:rsid w:val="0005238F"/>
    <w:rsid w:val="00052787"/>
    <w:rsid w:val="00052BB8"/>
    <w:rsid w:val="00052F10"/>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3DB"/>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1D6"/>
    <w:rsid w:val="000B456C"/>
    <w:rsid w:val="000B45B9"/>
    <w:rsid w:val="000B47CE"/>
    <w:rsid w:val="000B4B56"/>
    <w:rsid w:val="000B4C62"/>
    <w:rsid w:val="000B541D"/>
    <w:rsid w:val="000B54C1"/>
    <w:rsid w:val="000B5553"/>
    <w:rsid w:val="000B5FE8"/>
    <w:rsid w:val="000B666E"/>
    <w:rsid w:val="000C0A43"/>
    <w:rsid w:val="000C0CB1"/>
    <w:rsid w:val="000C1411"/>
    <w:rsid w:val="000C1A69"/>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25C"/>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32A"/>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575"/>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5AF"/>
    <w:rsid w:val="00171622"/>
    <w:rsid w:val="001716BB"/>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977"/>
    <w:rsid w:val="001A4ED9"/>
    <w:rsid w:val="001A5785"/>
    <w:rsid w:val="001A5FD7"/>
    <w:rsid w:val="001A66A6"/>
    <w:rsid w:val="001A6BAF"/>
    <w:rsid w:val="001A6BBB"/>
    <w:rsid w:val="001A79A2"/>
    <w:rsid w:val="001A7FA5"/>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1F3"/>
    <w:rsid w:val="001F5DA1"/>
    <w:rsid w:val="001F612E"/>
    <w:rsid w:val="001F6A92"/>
    <w:rsid w:val="001F77E8"/>
    <w:rsid w:val="0020022C"/>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274"/>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801"/>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45F"/>
    <w:rsid w:val="002C66B8"/>
    <w:rsid w:val="002C70E7"/>
    <w:rsid w:val="002D0C27"/>
    <w:rsid w:val="002D0E88"/>
    <w:rsid w:val="002D0EA7"/>
    <w:rsid w:val="002D0F31"/>
    <w:rsid w:val="002D1593"/>
    <w:rsid w:val="002D1A1E"/>
    <w:rsid w:val="002D22A6"/>
    <w:rsid w:val="002D26AF"/>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18A6"/>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0E1A"/>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0BC"/>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3FEE"/>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57D7B"/>
    <w:rsid w:val="0046028A"/>
    <w:rsid w:val="00460E3A"/>
    <w:rsid w:val="00460E68"/>
    <w:rsid w:val="004614BC"/>
    <w:rsid w:val="004619A5"/>
    <w:rsid w:val="00461F80"/>
    <w:rsid w:val="0046240D"/>
    <w:rsid w:val="00462898"/>
    <w:rsid w:val="00462D84"/>
    <w:rsid w:val="00463208"/>
    <w:rsid w:val="00463576"/>
    <w:rsid w:val="004636D6"/>
    <w:rsid w:val="0046399D"/>
    <w:rsid w:val="00463D23"/>
    <w:rsid w:val="00463EA4"/>
    <w:rsid w:val="00465A21"/>
    <w:rsid w:val="00465DE5"/>
    <w:rsid w:val="00466978"/>
    <w:rsid w:val="00466ABA"/>
    <w:rsid w:val="004672E3"/>
    <w:rsid w:val="0046775D"/>
    <w:rsid w:val="00467823"/>
    <w:rsid w:val="00467FA0"/>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4E90"/>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28D"/>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861"/>
    <w:rsid w:val="0050591C"/>
    <w:rsid w:val="005059BD"/>
    <w:rsid w:val="005060AE"/>
    <w:rsid w:val="0050790B"/>
    <w:rsid w:val="00507FDF"/>
    <w:rsid w:val="0051037C"/>
    <w:rsid w:val="0051050F"/>
    <w:rsid w:val="0051058B"/>
    <w:rsid w:val="00510DDC"/>
    <w:rsid w:val="00511166"/>
    <w:rsid w:val="00511A7A"/>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A91"/>
    <w:rsid w:val="00546BF8"/>
    <w:rsid w:val="00547BA2"/>
    <w:rsid w:val="00550AC5"/>
    <w:rsid w:val="00550B7E"/>
    <w:rsid w:val="00551052"/>
    <w:rsid w:val="005524ED"/>
    <w:rsid w:val="00553F0C"/>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69F"/>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703"/>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B7840"/>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5CA3"/>
    <w:rsid w:val="005D65BF"/>
    <w:rsid w:val="005D6D84"/>
    <w:rsid w:val="005D70A1"/>
    <w:rsid w:val="005D79F2"/>
    <w:rsid w:val="005D7CB1"/>
    <w:rsid w:val="005D7F57"/>
    <w:rsid w:val="005E0067"/>
    <w:rsid w:val="005E0141"/>
    <w:rsid w:val="005E09CA"/>
    <w:rsid w:val="005E1AB4"/>
    <w:rsid w:val="005E1F81"/>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5EF"/>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57A3"/>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0EB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2C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46F6"/>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3F81"/>
    <w:rsid w:val="00684592"/>
    <w:rsid w:val="00684963"/>
    <w:rsid w:val="00685033"/>
    <w:rsid w:val="0068517F"/>
    <w:rsid w:val="00685D65"/>
    <w:rsid w:val="00685FC8"/>
    <w:rsid w:val="00686E80"/>
    <w:rsid w:val="0068790B"/>
    <w:rsid w:val="00687AF2"/>
    <w:rsid w:val="006901AC"/>
    <w:rsid w:val="00690C8D"/>
    <w:rsid w:val="00691890"/>
    <w:rsid w:val="00691AAD"/>
    <w:rsid w:val="00691CD1"/>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9A8"/>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3ABE"/>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0F1"/>
    <w:rsid w:val="00716C67"/>
    <w:rsid w:val="007170AB"/>
    <w:rsid w:val="0071779C"/>
    <w:rsid w:val="00717808"/>
    <w:rsid w:val="007208A7"/>
    <w:rsid w:val="00720B3D"/>
    <w:rsid w:val="00720B6A"/>
    <w:rsid w:val="007210F6"/>
    <w:rsid w:val="0072129A"/>
    <w:rsid w:val="0072139F"/>
    <w:rsid w:val="0072198A"/>
    <w:rsid w:val="00721AD9"/>
    <w:rsid w:val="00721F61"/>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4AF7"/>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A5A"/>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87639"/>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0D9"/>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6E3"/>
    <w:rsid w:val="007B08E4"/>
    <w:rsid w:val="007B0D86"/>
    <w:rsid w:val="007B28C3"/>
    <w:rsid w:val="007B3A8E"/>
    <w:rsid w:val="007B3C9B"/>
    <w:rsid w:val="007B4271"/>
    <w:rsid w:val="007B497D"/>
    <w:rsid w:val="007B4EE9"/>
    <w:rsid w:val="007B5234"/>
    <w:rsid w:val="007B530C"/>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654"/>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9FA"/>
    <w:rsid w:val="007F7F8F"/>
    <w:rsid w:val="00800509"/>
    <w:rsid w:val="0080078E"/>
    <w:rsid w:val="00800B7F"/>
    <w:rsid w:val="008012B1"/>
    <w:rsid w:val="008019E5"/>
    <w:rsid w:val="00801D63"/>
    <w:rsid w:val="0080348B"/>
    <w:rsid w:val="00803D82"/>
    <w:rsid w:val="00803D98"/>
    <w:rsid w:val="008052CE"/>
    <w:rsid w:val="0080548A"/>
    <w:rsid w:val="008058D0"/>
    <w:rsid w:val="00806A4C"/>
    <w:rsid w:val="0080705B"/>
    <w:rsid w:val="0080723C"/>
    <w:rsid w:val="00807F71"/>
    <w:rsid w:val="0081000F"/>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47B7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6D7"/>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0FF"/>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0CE"/>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09B"/>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3FA1"/>
    <w:rsid w:val="0090408F"/>
    <w:rsid w:val="0090446A"/>
    <w:rsid w:val="00904537"/>
    <w:rsid w:val="00904DC3"/>
    <w:rsid w:val="0090534A"/>
    <w:rsid w:val="00905469"/>
    <w:rsid w:val="009054F4"/>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59B3"/>
    <w:rsid w:val="009A5FAE"/>
    <w:rsid w:val="009A6B3A"/>
    <w:rsid w:val="009A70A3"/>
    <w:rsid w:val="009A73C5"/>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2B"/>
    <w:rsid w:val="009F2EDB"/>
    <w:rsid w:val="009F33DC"/>
    <w:rsid w:val="009F3572"/>
    <w:rsid w:val="009F3B27"/>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1770E"/>
    <w:rsid w:val="00A21838"/>
    <w:rsid w:val="00A22C3E"/>
    <w:rsid w:val="00A22C4D"/>
    <w:rsid w:val="00A2334E"/>
    <w:rsid w:val="00A23442"/>
    <w:rsid w:val="00A249D2"/>
    <w:rsid w:val="00A254AB"/>
    <w:rsid w:val="00A259F2"/>
    <w:rsid w:val="00A266CC"/>
    <w:rsid w:val="00A26DB4"/>
    <w:rsid w:val="00A27425"/>
    <w:rsid w:val="00A27F0F"/>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47E11"/>
    <w:rsid w:val="00A47F4D"/>
    <w:rsid w:val="00A5004A"/>
    <w:rsid w:val="00A5013E"/>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5B2"/>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185"/>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3F85"/>
    <w:rsid w:val="00A94423"/>
    <w:rsid w:val="00A94A32"/>
    <w:rsid w:val="00A94AFC"/>
    <w:rsid w:val="00A94BF5"/>
    <w:rsid w:val="00A94D97"/>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55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0E72"/>
    <w:rsid w:val="00AE11C1"/>
    <w:rsid w:val="00AE163D"/>
    <w:rsid w:val="00AE1A42"/>
    <w:rsid w:val="00AE1C5C"/>
    <w:rsid w:val="00AE30B0"/>
    <w:rsid w:val="00AE315E"/>
    <w:rsid w:val="00AE319F"/>
    <w:rsid w:val="00AE31D9"/>
    <w:rsid w:val="00AE3CF0"/>
    <w:rsid w:val="00AE4546"/>
    <w:rsid w:val="00AE6575"/>
    <w:rsid w:val="00AE71EE"/>
    <w:rsid w:val="00AE7368"/>
    <w:rsid w:val="00AE7ADA"/>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107"/>
    <w:rsid w:val="00B05BA6"/>
    <w:rsid w:val="00B066FE"/>
    <w:rsid w:val="00B06912"/>
    <w:rsid w:val="00B06CF6"/>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47E"/>
    <w:rsid w:val="00B2551D"/>
    <w:rsid w:val="00B25F8C"/>
    <w:rsid w:val="00B260BE"/>
    <w:rsid w:val="00B26677"/>
    <w:rsid w:val="00B26A96"/>
    <w:rsid w:val="00B26F5E"/>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06C6"/>
    <w:rsid w:val="00B41A04"/>
    <w:rsid w:val="00B42743"/>
    <w:rsid w:val="00B430E9"/>
    <w:rsid w:val="00B4311F"/>
    <w:rsid w:val="00B431AE"/>
    <w:rsid w:val="00B43A43"/>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774"/>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6D0C"/>
    <w:rsid w:val="00B672EA"/>
    <w:rsid w:val="00B6747B"/>
    <w:rsid w:val="00B70200"/>
    <w:rsid w:val="00B702D7"/>
    <w:rsid w:val="00B70389"/>
    <w:rsid w:val="00B70E01"/>
    <w:rsid w:val="00B713F0"/>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77BB2"/>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59FB"/>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854"/>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532"/>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063"/>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17BDC"/>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379F5"/>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3D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0FBD"/>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22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2F4"/>
    <w:rsid w:val="00D91337"/>
    <w:rsid w:val="00D915C9"/>
    <w:rsid w:val="00D918DA"/>
    <w:rsid w:val="00D9198F"/>
    <w:rsid w:val="00D92078"/>
    <w:rsid w:val="00D926F0"/>
    <w:rsid w:val="00D92A87"/>
    <w:rsid w:val="00D9384E"/>
    <w:rsid w:val="00D93AEE"/>
    <w:rsid w:val="00D93E95"/>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B9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17DE"/>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376D"/>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19C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2FD"/>
    <w:rsid w:val="00E91B26"/>
    <w:rsid w:val="00E92C6E"/>
    <w:rsid w:val="00E92D0B"/>
    <w:rsid w:val="00E92FFF"/>
    <w:rsid w:val="00E93195"/>
    <w:rsid w:val="00E9391C"/>
    <w:rsid w:val="00E93D05"/>
    <w:rsid w:val="00E950D4"/>
    <w:rsid w:val="00E951D8"/>
    <w:rsid w:val="00E95C2A"/>
    <w:rsid w:val="00E95F03"/>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077"/>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2D1"/>
    <w:rsid w:val="00F04D19"/>
    <w:rsid w:val="00F050A3"/>
    <w:rsid w:val="00F06340"/>
    <w:rsid w:val="00F0665D"/>
    <w:rsid w:val="00F06D42"/>
    <w:rsid w:val="00F07134"/>
    <w:rsid w:val="00F0724D"/>
    <w:rsid w:val="00F07378"/>
    <w:rsid w:val="00F10B81"/>
    <w:rsid w:val="00F10BC9"/>
    <w:rsid w:val="00F113C9"/>
    <w:rsid w:val="00F11C01"/>
    <w:rsid w:val="00F11D80"/>
    <w:rsid w:val="00F12129"/>
    <w:rsid w:val="00F121BE"/>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B10"/>
    <w:rsid w:val="00F24C28"/>
    <w:rsid w:val="00F254C4"/>
    <w:rsid w:val="00F25641"/>
    <w:rsid w:val="00F256D8"/>
    <w:rsid w:val="00F25824"/>
    <w:rsid w:val="00F25E8C"/>
    <w:rsid w:val="00F26065"/>
    <w:rsid w:val="00F266E3"/>
    <w:rsid w:val="00F2689C"/>
    <w:rsid w:val="00F26D17"/>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EDB"/>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57E2D"/>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4016"/>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1EF"/>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B8D"/>
    <w:rsid w:val="00FF5C6A"/>
    <w:rsid w:val="00FF651D"/>
    <w:rsid w:val="00FF6843"/>
    <w:rsid w:val="00FF6C25"/>
    <w:rsid w:val="0103164E"/>
    <w:rsid w:val="010651D9"/>
    <w:rsid w:val="011F6449"/>
    <w:rsid w:val="01236AFB"/>
    <w:rsid w:val="014F219D"/>
    <w:rsid w:val="017165B7"/>
    <w:rsid w:val="019F7441"/>
    <w:rsid w:val="01B37585"/>
    <w:rsid w:val="01C31FA1"/>
    <w:rsid w:val="01D55165"/>
    <w:rsid w:val="01DF6BF8"/>
    <w:rsid w:val="01EC2C57"/>
    <w:rsid w:val="020105E8"/>
    <w:rsid w:val="020D4DDE"/>
    <w:rsid w:val="025F0711"/>
    <w:rsid w:val="02664792"/>
    <w:rsid w:val="026B2E25"/>
    <w:rsid w:val="02824D4D"/>
    <w:rsid w:val="02D2788D"/>
    <w:rsid w:val="02DC4B10"/>
    <w:rsid w:val="02DD0278"/>
    <w:rsid w:val="02DD76CE"/>
    <w:rsid w:val="02F36323"/>
    <w:rsid w:val="02F5619C"/>
    <w:rsid w:val="02F62D5C"/>
    <w:rsid w:val="0326446A"/>
    <w:rsid w:val="032D5555"/>
    <w:rsid w:val="036634D2"/>
    <w:rsid w:val="03B1713F"/>
    <w:rsid w:val="03B74E41"/>
    <w:rsid w:val="03DD35E4"/>
    <w:rsid w:val="04076900"/>
    <w:rsid w:val="041A5A3B"/>
    <w:rsid w:val="042311BA"/>
    <w:rsid w:val="042B157A"/>
    <w:rsid w:val="04824B9E"/>
    <w:rsid w:val="048F763B"/>
    <w:rsid w:val="049F168E"/>
    <w:rsid w:val="049F330E"/>
    <w:rsid w:val="04AA775C"/>
    <w:rsid w:val="04AF1889"/>
    <w:rsid w:val="04F66F48"/>
    <w:rsid w:val="05251E14"/>
    <w:rsid w:val="057C2E9B"/>
    <w:rsid w:val="059B6E87"/>
    <w:rsid w:val="05A16594"/>
    <w:rsid w:val="05A33A8F"/>
    <w:rsid w:val="05A7762D"/>
    <w:rsid w:val="060E5941"/>
    <w:rsid w:val="06110FAF"/>
    <w:rsid w:val="061F00D4"/>
    <w:rsid w:val="06493CA7"/>
    <w:rsid w:val="065A6178"/>
    <w:rsid w:val="066F1CF3"/>
    <w:rsid w:val="06930BB8"/>
    <w:rsid w:val="06A92350"/>
    <w:rsid w:val="06BB0A1A"/>
    <w:rsid w:val="071F3A7A"/>
    <w:rsid w:val="07245D42"/>
    <w:rsid w:val="07264C62"/>
    <w:rsid w:val="0779354C"/>
    <w:rsid w:val="07974F19"/>
    <w:rsid w:val="07A56FBB"/>
    <w:rsid w:val="07AF2B27"/>
    <w:rsid w:val="08061376"/>
    <w:rsid w:val="0825203D"/>
    <w:rsid w:val="08452D77"/>
    <w:rsid w:val="086401F8"/>
    <w:rsid w:val="08751CAA"/>
    <w:rsid w:val="087E4C40"/>
    <w:rsid w:val="08A871D0"/>
    <w:rsid w:val="08BC7CA5"/>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AC1D16"/>
    <w:rsid w:val="0ABC5606"/>
    <w:rsid w:val="0B30404E"/>
    <w:rsid w:val="0B352404"/>
    <w:rsid w:val="0B4C6C14"/>
    <w:rsid w:val="0B547599"/>
    <w:rsid w:val="0B631A88"/>
    <w:rsid w:val="0B683D45"/>
    <w:rsid w:val="0B7F3F11"/>
    <w:rsid w:val="0B884417"/>
    <w:rsid w:val="0BF6188C"/>
    <w:rsid w:val="0BF73C91"/>
    <w:rsid w:val="0C170175"/>
    <w:rsid w:val="0C193247"/>
    <w:rsid w:val="0C571A41"/>
    <w:rsid w:val="0C5C1171"/>
    <w:rsid w:val="0C5E1CBC"/>
    <w:rsid w:val="0C615B50"/>
    <w:rsid w:val="0C682533"/>
    <w:rsid w:val="0C8445DA"/>
    <w:rsid w:val="0C87121B"/>
    <w:rsid w:val="0CAA755C"/>
    <w:rsid w:val="0CB60A60"/>
    <w:rsid w:val="0CC007F7"/>
    <w:rsid w:val="0CC42001"/>
    <w:rsid w:val="0CC617AC"/>
    <w:rsid w:val="0CC70BCA"/>
    <w:rsid w:val="0CE618DF"/>
    <w:rsid w:val="0CFE707A"/>
    <w:rsid w:val="0D063BDA"/>
    <w:rsid w:val="0D08375F"/>
    <w:rsid w:val="0D0F7E0C"/>
    <w:rsid w:val="0D184CFB"/>
    <w:rsid w:val="0D4A7419"/>
    <w:rsid w:val="0D4F4888"/>
    <w:rsid w:val="0D827401"/>
    <w:rsid w:val="0D84094E"/>
    <w:rsid w:val="0D8A00E9"/>
    <w:rsid w:val="0D8D589E"/>
    <w:rsid w:val="0DA01C73"/>
    <w:rsid w:val="0DD63300"/>
    <w:rsid w:val="0DF50604"/>
    <w:rsid w:val="0DF702FE"/>
    <w:rsid w:val="0E060E51"/>
    <w:rsid w:val="0E46753C"/>
    <w:rsid w:val="0E4E33A5"/>
    <w:rsid w:val="0E5604B2"/>
    <w:rsid w:val="0E6D5D79"/>
    <w:rsid w:val="0E710BF6"/>
    <w:rsid w:val="0E8D7100"/>
    <w:rsid w:val="0E9D0089"/>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9C2F25"/>
    <w:rsid w:val="10C26171"/>
    <w:rsid w:val="10F33360"/>
    <w:rsid w:val="10FC16EA"/>
    <w:rsid w:val="10FC6AD8"/>
    <w:rsid w:val="110F1D40"/>
    <w:rsid w:val="11266F33"/>
    <w:rsid w:val="118963A1"/>
    <w:rsid w:val="11C6522A"/>
    <w:rsid w:val="11E104CC"/>
    <w:rsid w:val="11E20309"/>
    <w:rsid w:val="12255233"/>
    <w:rsid w:val="12530213"/>
    <w:rsid w:val="12542195"/>
    <w:rsid w:val="127723A9"/>
    <w:rsid w:val="12862074"/>
    <w:rsid w:val="12883966"/>
    <w:rsid w:val="128976BA"/>
    <w:rsid w:val="129E45B4"/>
    <w:rsid w:val="12D81596"/>
    <w:rsid w:val="13072A44"/>
    <w:rsid w:val="135F4BE2"/>
    <w:rsid w:val="13782CAF"/>
    <w:rsid w:val="139B1A0A"/>
    <w:rsid w:val="139D25C7"/>
    <w:rsid w:val="13A700DF"/>
    <w:rsid w:val="13BF3CE4"/>
    <w:rsid w:val="13FD017F"/>
    <w:rsid w:val="141008D8"/>
    <w:rsid w:val="14125FE6"/>
    <w:rsid w:val="1415556D"/>
    <w:rsid w:val="146D271E"/>
    <w:rsid w:val="14982588"/>
    <w:rsid w:val="149A5AD9"/>
    <w:rsid w:val="14A7619D"/>
    <w:rsid w:val="150536C3"/>
    <w:rsid w:val="150C1963"/>
    <w:rsid w:val="151447A0"/>
    <w:rsid w:val="154A6454"/>
    <w:rsid w:val="15762120"/>
    <w:rsid w:val="16A8729C"/>
    <w:rsid w:val="16B33777"/>
    <w:rsid w:val="16BC70A7"/>
    <w:rsid w:val="16C6339E"/>
    <w:rsid w:val="171F0D37"/>
    <w:rsid w:val="172F2D79"/>
    <w:rsid w:val="17557BEF"/>
    <w:rsid w:val="17D349C1"/>
    <w:rsid w:val="18244F26"/>
    <w:rsid w:val="1830729E"/>
    <w:rsid w:val="18650755"/>
    <w:rsid w:val="1870062C"/>
    <w:rsid w:val="187B448D"/>
    <w:rsid w:val="18817102"/>
    <w:rsid w:val="18830A15"/>
    <w:rsid w:val="18852B28"/>
    <w:rsid w:val="188B5321"/>
    <w:rsid w:val="18A511FC"/>
    <w:rsid w:val="19563CB9"/>
    <w:rsid w:val="19932372"/>
    <w:rsid w:val="19A06F66"/>
    <w:rsid w:val="19A20DD5"/>
    <w:rsid w:val="19A838D1"/>
    <w:rsid w:val="19AE03F1"/>
    <w:rsid w:val="1A071A03"/>
    <w:rsid w:val="1A1F16AE"/>
    <w:rsid w:val="1A3B5C77"/>
    <w:rsid w:val="1A984BAD"/>
    <w:rsid w:val="1AAF4090"/>
    <w:rsid w:val="1AB8220E"/>
    <w:rsid w:val="1AE4166C"/>
    <w:rsid w:val="1AF06CFB"/>
    <w:rsid w:val="1AF11B8D"/>
    <w:rsid w:val="1B11359C"/>
    <w:rsid w:val="1B2A271F"/>
    <w:rsid w:val="1B443EEE"/>
    <w:rsid w:val="1B530544"/>
    <w:rsid w:val="1B642F6C"/>
    <w:rsid w:val="1B713184"/>
    <w:rsid w:val="1BA209CF"/>
    <w:rsid w:val="1BB4777D"/>
    <w:rsid w:val="1BD75AB8"/>
    <w:rsid w:val="1C0459C2"/>
    <w:rsid w:val="1C1B3B4A"/>
    <w:rsid w:val="1C3861F8"/>
    <w:rsid w:val="1C462CE8"/>
    <w:rsid w:val="1C88086E"/>
    <w:rsid w:val="1CE441BD"/>
    <w:rsid w:val="1D266CE1"/>
    <w:rsid w:val="1D3963AF"/>
    <w:rsid w:val="1D6A673C"/>
    <w:rsid w:val="1D9247AE"/>
    <w:rsid w:val="1DB567EC"/>
    <w:rsid w:val="1DEF6D8A"/>
    <w:rsid w:val="1DF216DA"/>
    <w:rsid w:val="1DF51A98"/>
    <w:rsid w:val="1E051CD9"/>
    <w:rsid w:val="1E3D060F"/>
    <w:rsid w:val="1E3F7D2E"/>
    <w:rsid w:val="1E4134E4"/>
    <w:rsid w:val="1E5062B3"/>
    <w:rsid w:val="1E523514"/>
    <w:rsid w:val="1E714A66"/>
    <w:rsid w:val="1E7554E1"/>
    <w:rsid w:val="1E802593"/>
    <w:rsid w:val="1E8B6156"/>
    <w:rsid w:val="1E9A552B"/>
    <w:rsid w:val="1EA703CC"/>
    <w:rsid w:val="1EB7330C"/>
    <w:rsid w:val="1F0A0FF3"/>
    <w:rsid w:val="1F2E743E"/>
    <w:rsid w:val="1F5771FF"/>
    <w:rsid w:val="1FB42039"/>
    <w:rsid w:val="1FD52574"/>
    <w:rsid w:val="1FE868A9"/>
    <w:rsid w:val="20034907"/>
    <w:rsid w:val="20173E4B"/>
    <w:rsid w:val="20272197"/>
    <w:rsid w:val="203C3AD8"/>
    <w:rsid w:val="204E48BC"/>
    <w:rsid w:val="20536993"/>
    <w:rsid w:val="205D622D"/>
    <w:rsid w:val="208921B3"/>
    <w:rsid w:val="208D5628"/>
    <w:rsid w:val="209150AE"/>
    <w:rsid w:val="20973DEB"/>
    <w:rsid w:val="20B26522"/>
    <w:rsid w:val="20B44310"/>
    <w:rsid w:val="211116EB"/>
    <w:rsid w:val="216133FC"/>
    <w:rsid w:val="21C2643E"/>
    <w:rsid w:val="21D56769"/>
    <w:rsid w:val="21E52EF3"/>
    <w:rsid w:val="21FB5D7B"/>
    <w:rsid w:val="22015E94"/>
    <w:rsid w:val="220B1C3D"/>
    <w:rsid w:val="221B435E"/>
    <w:rsid w:val="221D1D20"/>
    <w:rsid w:val="22334A87"/>
    <w:rsid w:val="223922E3"/>
    <w:rsid w:val="223956DB"/>
    <w:rsid w:val="224C70C3"/>
    <w:rsid w:val="227A4A01"/>
    <w:rsid w:val="22BE6801"/>
    <w:rsid w:val="23067FD0"/>
    <w:rsid w:val="233500BF"/>
    <w:rsid w:val="23377FF7"/>
    <w:rsid w:val="236B425F"/>
    <w:rsid w:val="236C6787"/>
    <w:rsid w:val="23836192"/>
    <w:rsid w:val="23901F29"/>
    <w:rsid w:val="239C0061"/>
    <w:rsid w:val="23B908A4"/>
    <w:rsid w:val="23BA7198"/>
    <w:rsid w:val="23E95BEF"/>
    <w:rsid w:val="23FD0064"/>
    <w:rsid w:val="2443357E"/>
    <w:rsid w:val="245375B0"/>
    <w:rsid w:val="24642C0A"/>
    <w:rsid w:val="24A438C3"/>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7B6969"/>
    <w:rsid w:val="27907362"/>
    <w:rsid w:val="27B6464C"/>
    <w:rsid w:val="28333E1D"/>
    <w:rsid w:val="28454BD6"/>
    <w:rsid w:val="28455253"/>
    <w:rsid w:val="28551971"/>
    <w:rsid w:val="285B1C53"/>
    <w:rsid w:val="289F7086"/>
    <w:rsid w:val="28C32028"/>
    <w:rsid w:val="28CC490F"/>
    <w:rsid w:val="28DE40AA"/>
    <w:rsid w:val="29345E77"/>
    <w:rsid w:val="293E4D31"/>
    <w:rsid w:val="294C65AD"/>
    <w:rsid w:val="29806583"/>
    <w:rsid w:val="298B3C4C"/>
    <w:rsid w:val="299732C3"/>
    <w:rsid w:val="29E67BCF"/>
    <w:rsid w:val="29F26D24"/>
    <w:rsid w:val="2A15033F"/>
    <w:rsid w:val="2A1662C1"/>
    <w:rsid w:val="2A1C7367"/>
    <w:rsid w:val="2A2815FA"/>
    <w:rsid w:val="2A6D6092"/>
    <w:rsid w:val="2A7D76B4"/>
    <w:rsid w:val="2ACC7CD0"/>
    <w:rsid w:val="2B437463"/>
    <w:rsid w:val="2B7807EE"/>
    <w:rsid w:val="2B966A97"/>
    <w:rsid w:val="2BA50BF7"/>
    <w:rsid w:val="2BBF00EC"/>
    <w:rsid w:val="2BC37CFD"/>
    <w:rsid w:val="2BCA7561"/>
    <w:rsid w:val="2BD5237F"/>
    <w:rsid w:val="2BD61589"/>
    <w:rsid w:val="2BE536CE"/>
    <w:rsid w:val="2BE758D9"/>
    <w:rsid w:val="2BF346BB"/>
    <w:rsid w:val="2C09049E"/>
    <w:rsid w:val="2C0A653C"/>
    <w:rsid w:val="2C191F85"/>
    <w:rsid w:val="2C784583"/>
    <w:rsid w:val="2CE82D6F"/>
    <w:rsid w:val="2D343236"/>
    <w:rsid w:val="2D575011"/>
    <w:rsid w:val="2D6F2B24"/>
    <w:rsid w:val="2DD15014"/>
    <w:rsid w:val="2DF72DE4"/>
    <w:rsid w:val="2E0220AF"/>
    <w:rsid w:val="2E1B3FF1"/>
    <w:rsid w:val="2E4B082A"/>
    <w:rsid w:val="2E5D4E86"/>
    <w:rsid w:val="2E5D790B"/>
    <w:rsid w:val="2E9A3C18"/>
    <w:rsid w:val="2E9E1042"/>
    <w:rsid w:val="2EBB0FEE"/>
    <w:rsid w:val="2EC63002"/>
    <w:rsid w:val="2ECF1CF8"/>
    <w:rsid w:val="2F0A6B38"/>
    <w:rsid w:val="2F7048FF"/>
    <w:rsid w:val="2F946CCB"/>
    <w:rsid w:val="2FD25781"/>
    <w:rsid w:val="2FDC745C"/>
    <w:rsid w:val="2FFD7934"/>
    <w:rsid w:val="30491329"/>
    <w:rsid w:val="30733ACD"/>
    <w:rsid w:val="308C3862"/>
    <w:rsid w:val="309379D8"/>
    <w:rsid w:val="30A270F7"/>
    <w:rsid w:val="30DF1478"/>
    <w:rsid w:val="30EC586F"/>
    <w:rsid w:val="310570DC"/>
    <w:rsid w:val="310E70FE"/>
    <w:rsid w:val="31556AAC"/>
    <w:rsid w:val="316A07AA"/>
    <w:rsid w:val="319C6071"/>
    <w:rsid w:val="31AC537E"/>
    <w:rsid w:val="31D73965"/>
    <w:rsid w:val="31E3679B"/>
    <w:rsid w:val="31E467B1"/>
    <w:rsid w:val="31E732FD"/>
    <w:rsid w:val="32517576"/>
    <w:rsid w:val="32B51EF8"/>
    <w:rsid w:val="32BE5C2C"/>
    <w:rsid w:val="32DA76CD"/>
    <w:rsid w:val="32FB6478"/>
    <w:rsid w:val="33263B3F"/>
    <w:rsid w:val="336963EB"/>
    <w:rsid w:val="33816EEB"/>
    <w:rsid w:val="33EB55CD"/>
    <w:rsid w:val="33EC4C02"/>
    <w:rsid w:val="340D2360"/>
    <w:rsid w:val="3410665D"/>
    <w:rsid w:val="34211214"/>
    <w:rsid w:val="342E63AB"/>
    <w:rsid w:val="343D03F7"/>
    <w:rsid w:val="34950E68"/>
    <w:rsid w:val="34986E94"/>
    <w:rsid w:val="34AF62C9"/>
    <w:rsid w:val="34CB4388"/>
    <w:rsid w:val="34FA6E12"/>
    <w:rsid w:val="354D7158"/>
    <w:rsid w:val="358D5588"/>
    <w:rsid w:val="359327BC"/>
    <w:rsid w:val="35B84990"/>
    <w:rsid w:val="35EA5CD3"/>
    <w:rsid w:val="363A3B40"/>
    <w:rsid w:val="365302AE"/>
    <w:rsid w:val="36607A0A"/>
    <w:rsid w:val="366E227C"/>
    <w:rsid w:val="366F2E0D"/>
    <w:rsid w:val="367B6A5C"/>
    <w:rsid w:val="36A14E21"/>
    <w:rsid w:val="36A74ADA"/>
    <w:rsid w:val="36AD60D5"/>
    <w:rsid w:val="36B224F9"/>
    <w:rsid w:val="36B3510A"/>
    <w:rsid w:val="36EC0CC9"/>
    <w:rsid w:val="373F410B"/>
    <w:rsid w:val="376D4844"/>
    <w:rsid w:val="376E7A04"/>
    <w:rsid w:val="37734F22"/>
    <w:rsid w:val="37751C56"/>
    <w:rsid w:val="37AD13F0"/>
    <w:rsid w:val="37EE7094"/>
    <w:rsid w:val="3801173C"/>
    <w:rsid w:val="38296C89"/>
    <w:rsid w:val="383002EB"/>
    <w:rsid w:val="38586797"/>
    <w:rsid w:val="385D15DF"/>
    <w:rsid w:val="386429E2"/>
    <w:rsid w:val="38BC0149"/>
    <w:rsid w:val="38CA0447"/>
    <w:rsid w:val="38D87D1C"/>
    <w:rsid w:val="39357784"/>
    <w:rsid w:val="393618B9"/>
    <w:rsid w:val="395446BF"/>
    <w:rsid w:val="39636459"/>
    <w:rsid w:val="39643757"/>
    <w:rsid w:val="396B7F6C"/>
    <w:rsid w:val="39B417A9"/>
    <w:rsid w:val="39FC5695"/>
    <w:rsid w:val="3A006D8E"/>
    <w:rsid w:val="3A136626"/>
    <w:rsid w:val="3A1E0383"/>
    <w:rsid w:val="3A233FDF"/>
    <w:rsid w:val="3A3651E5"/>
    <w:rsid w:val="3A744481"/>
    <w:rsid w:val="3A7534F6"/>
    <w:rsid w:val="3A8C7BEF"/>
    <w:rsid w:val="3A906246"/>
    <w:rsid w:val="3A98366A"/>
    <w:rsid w:val="3AB06A98"/>
    <w:rsid w:val="3B2349B7"/>
    <w:rsid w:val="3B616CFF"/>
    <w:rsid w:val="3B6259F6"/>
    <w:rsid w:val="3B976654"/>
    <w:rsid w:val="3BC01EFC"/>
    <w:rsid w:val="3BCA786A"/>
    <w:rsid w:val="3BD31E2F"/>
    <w:rsid w:val="3BF15831"/>
    <w:rsid w:val="3C0331F7"/>
    <w:rsid w:val="3C105946"/>
    <w:rsid w:val="3C281ED2"/>
    <w:rsid w:val="3C471448"/>
    <w:rsid w:val="3C5F759A"/>
    <w:rsid w:val="3C6C525A"/>
    <w:rsid w:val="3CCE23CB"/>
    <w:rsid w:val="3CD17D17"/>
    <w:rsid w:val="3D0971DD"/>
    <w:rsid w:val="3D1C437D"/>
    <w:rsid w:val="3D3C7F39"/>
    <w:rsid w:val="3D440F09"/>
    <w:rsid w:val="3D4504A0"/>
    <w:rsid w:val="3D8734BB"/>
    <w:rsid w:val="3D9616FC"/>
    <w:rsid w:val="3D9A11D4"/>
    <w:rsid w:val="3DA16D89"/>
    <w:rsid w:val="3DA364BE"/>
    <w:rsid w:val="3DBD2F5B"/>
    <w:rsid w:val="3DE041CB"/>
    <w:rsid w:val="3E0D48F6"/>
    <w:rsid w:val="3E18158D"/>
    <w:rsid w:val="3E1868B4"/>
    <w:rsid w:val="3E377251"/>
    <w:rsid w:val="3E42664B"/>
    <w:rsid w:val="3E5A7334"/>
    <w:rsid w:val="3E7B5D6B"/>
    <w:rsid w:val="3E843E66"/>
    <w:rsid w:val="3E8F51FE"/>
    <w:rsid w:val="3E926F87"/>
    <w:rsid w:val="3E9A59DE"/>
    <w:rsid w:val="3EAF4836"/>
    <w:rsid w:val="3EC33DFA"/>
    <w:rsid w:val="3F060E16"/>
    <w:rsid w:val="3F1D1096"/>
    <w:rsid w:val="3F2F0234"/>
    <w:rsid w:val="3F6363FE"/>
    <w:rsid w:val="3F6A57DD"/>
    <w:rsid w:val="3F756B8F"/>
    <w:rsid w:val="3F95482B"/>
    <w:rsid w:val="3FC220F1"/>
    <w:rsid w:val="4019356B"/>
    <w:rsid w:val="40592157"/>
    <w:rsid w:val="406E1CAE"/>
    <w:rsid w:val="40A0133A"/>
    <w:rsid w:val="40A77CE0"/>
    <w:rsid w:val="40C31A53"/>
    <w:rsid w:val="40FF545D"/>
    <w:rsid w:val="410067C8"/>
    <w:rsid w:val="418F0D2A"/>
    <w:rsid w:val="41D01505"/>
    <w:rsid w:val="41EF74E9"/>
    <w:rsid w:val="42474939"/>
    <w:rsid w:val="424C3C57"/>
    <w:rsid w:val="42613FF3"/>
    <w:rsid w:val="42660D96"/>
    <w:rsid w:val="428667D2"/>
    <w:rsid w:val="42903DE8"/>
    <w:rsid w:val="42CD1CE0"/>
    <w:rsid w:val="42E1381E"/>
    <w:rsid w:val="42ED6459"/>
    <w:rsid w:val="42FE58DD"/>
    <w:rsid w:val="43174B3D"/>
    <w:rsid w:val="43465A4C"/>
    <w:rsid w:val="434B790E"/>
    <w:rsid w:val="4360274F"/>
    <w:rsid w:val="43977AB6"/>
    <w:rsid w:val="43A3342B"/>
    <w:rsid w:val="43B917B2"/>
    <w:rsid w:val="43C77C27"/>
    <w:rsid w:val="43DE09EE"/>
    <w:rsid w:val="44002FAD"/>
    <w:rsid w:val="442F335C"/>
    <w:rsid w:val="44301C44"/>
    <w:rsid w:val="44867251"/>
    <w:rsid w:val="449101DD"/>
    <w:rsid w:val="44DE1391"/>
    <w:rsid w:val="451A02FB"/>
    <w:rsid w:val="451B225C"/>
    <w:rsid w:val="452410C9"/>
    <w:rsid w:val="45317DFB"/>
    <w:rsid w:val="45434DB7"/>
    <w:rsid w:val="456D3CE4"/>
    <w:rsid w:val="4579042C"/>
    <w:rsid w:val="457F0571"/>
    <w:rsid w:val="45814568"/>
    <w:rsid w:val="45851176"/>
    <w:rsid w:val="45C63B94"/>
    <w:rsid w:val="460E7DA5"/>
    <w:rsid w:val="46276812"/>
    <w:rsid w:val="46422483"/>
    <w:rsid w:val="4659254A"/>
    <w:rsid w:val="465B0637"/>
    <w:rsid w:val="465E3F0D"/>
    <w:rsid w:val="466A16E6"/>
    <w:rsid w:val="46893F2B"/>
    <w:rsid w:val="46C4686E"/>
    <w:rsid w:val="477B778F"/>
    <w:rsid w:val="478203EC"/>
    <w:rsid w:val="47B025FA"/>
    <w:rsid w:val="4809698F"/>
    <w:rsid w:val="480B000A"/>
    <w:rsid w:val="480E5EDB"/>
    <w:rsid w:val="4811697D"/>
    <w:rsid w:val="487A3E25"/>
    <w:rsid w:val="488B5503"/>
    <w:rsid w:val="48937E21"/>
    <w:rsid w:val="489A0361"/>
    <w:rsid w:val="48B94FF3"/>
    <w:rsid w:val="48CC0682"/>
    <w:rsid w:val="48E37AAB"/>
    <w:rsid w:val="48FD4B4C"/>
    <w:rsid w:val="490A68E0"/>
    <w:rsid w:val="491055FE"/>
    <w:rsid w:val="495F5B3E"/>
    <w:rsid w:val="496F77D7"/>
    <w:rsid w:val="497654FD"/>
    <w:rsid w:val="49B64211"/>
    <w:rsid w:val="49F6167F"/>
    <w:rsid w:val="4A064FA0"/>
    <w:rsid w:val="4A16615C"/>
    <w:rsid w:val="4A4424D7"/>
    <w:rsid w:val="4A8C08AA"/>
    <w:rsid w:val="4AB82D0F"/>
    <w:rsid w:val="4AEB7664"/>
    <w:rsid w:val="4AFD7C19"/>
    <w:rsid w:val="4B0567D1"/>
    <w:rsid w:val="4B0C5FD6"/>
    <w:rsid w:val="4B236AAE"/>
    <w:rsid w:val="4B6E4EE3"/>
    <w:rsid w:val="4B707271"/>
    <w:rsid w:val="4B9739F7"/>
    <w:rsid w:val="4BA206E8"/>
    <w:rsid w:val="4BEE2503"/>
    <w:rsid w:val="4C245A30"/>
    <w:rsid w:val="4CA00932"/>
    <w:rsid w:val="4CB6685F"/>
    <w:rsid w:val="4CBB7CB4"/>
    <w:rsid w:val="4CC367FE"/>
    <w:rsid w:val="4CF7055E"/>
    <w:rsid w:val="4D077F3C"/>
    <w:rsid w:val="4D123355"/>
    <w:rsid w:val="4D2A3B31"/>
    <w:rsid w:val="4D312C52"/>
    <w:rsid w:val="4D905305"/>
    <w:rsid w:val="4D964A72"/>
    <w:rsid w:val="4D9C1254"/>
    <w:rsid w:val="4E1F37AC"/>
    <w:rsid w:val="4E793892"/>
    <w:rsid w:val="4E800872"/>
    <w:rsid w:val="4EC569ED"/>
    <w:rsid w:val="4ED50EA1"/>
    <w:rsid w:val="4EEC050C"/>
    <w:rsid w:val="4F104EC3"/>
    <w:rsid w:val="4F3855EC"/>
    <w:rsid w:val="4F47354A"/>
    <w:rsid w:val="4F8540B8"/>
    <w:rsid w:val="4F911C54"/>
    <w:rsid w:val="4FE625E0"/>
    <w:rsid w:val="4FF37764"/>
    <w:rsid w:val="5021480F"/>
    <w:rsid w:val="50962ECB"/>
    <w:rsid w:val="50A42E38"/>
    <w:rsid w:val="50A4577F"/>
    <w:rsid w:val="50B73D1F"/>
    <w:rsid w:val="50BD5BC9"/>
    <w:rsid w:val="50C11EEE"/>
    <w:rsid w:val="50E97CFC"/>
    <w:rsid w:val="50FA4028"/>
    <w:rsid w:val="510D65B7"/>
    <w:rsid w:val="511157AB"/>
    <w:rsid w:val="5142540C"/>
    <w:rsid w:val="518832C8"/>
    <w:rsid w:val="519A07DF"/>
    <w:rsid w:val="519D3C50"/>
    <w:rsid w:val="51A0432A"/>
    <w:rsid w:val="51A86090"/>
    <w:rsid w:val="51B7396D"/>
    <w:rsid w:val="522E4CC3"/>
    <w:rsid w:val="52414D89"/>
    <w:rsid w:val="5244713B"/>
    <w:rsid w:val="52615633"/>
    <w:rsid w:val="526F4DE4"/>
    <w:rsid w:val="52977FD4"/>
    <w:rsid w:val="52A25790"/>
    <w:rsid w:val="52A96B6F"/>
    <w:rsid w:val="52B45975"/>
    <w:rsid w:val="52D94AA4"/>
    <w:rsid w:val="52EA3A62"/>
    <w:rsid w:val="52F50BB8"/>
    <w:rsid w:val="52FF7816"/>
    <w:rsid w:val="53097272"/>
    <w:rsid w:val="530B3D85"/>
    <w:rsid w:val="53544462"/>
    <w:rsid w:val="5397158E"/>
    <w:rsid w:val="53A72B6C"/>
    <w:rsid w:val="53DE1356"/>
    <w:rsid w:val="54013861"/>
    <w:rsid w:val="54441D24"/>
    <w:rsid w:val="54487265"/>
    <w:rsid w:val="544D6070"/>
    <w:rsid w:val="54544735"/>
    <w:rsid w:val="54605E1E"/>
    <w:rsid w:val="54613836"/>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1B338B"/>
    <w:rsid w:val="562406A2"/>
    <w:rsid w:val="566B6D1E"/>
    <w:rsid w:val="56D71D47"/>
    <w:rsid w:val="57032A2C"/>
    <w:rsid w:val="570F5219"/>
    <w:rsid w:val="575D12B5"/>
    <w:rsid w:val="57610A87"/>
    <w:rsid w:val="577B1140"/>
    <w:rsid w:val="577B7F21"/>
    <w:rsid w:val="577F181B"/>
    <w:rsid w:val="57921984"/>
    <w:rsid w:val="579737F0"/>
    <w:rsid w:val="57AB7B30"/>
    <w:rsid w:val="57AF5251"/>
    <w:rsid w:val="57B26373"/>
    <w:rsid w:val="57B63F04"/>
    <w:rsid w:val="57CD20C2"/>
    <w:rsid w:val="57D675AB"/>
    <w:rsid w:val="57D73717"/>
    <w:rsid w:val="57D95FDD"/>
    <w:rsid w:val="583733A3"/>
    <w:rsid w:val="58917D2F"/>
    <w:rsid w:val="5894085C"/>
    <w:rsid w:val="58AE4F0C"/>
    <w:rsid w:val="58B85899"/>
    <w:rsid w:val="58E363A9"/>
    <w:rsid w:val="59166304"/>
    <w:rsid w:val="591732B3"/>
    <w:rsid w:val="595E1678"/>
    <w:rsid w:val="59656E31"/>
    <w:rsid w:val="596D5BD4"/>
    <w:rsid w:val="597E3DD8"/>
    <w:rsid w:val="59A64B68"/>
    <w:rsid w:val="59D36F81"/>
    <w:rsid w:val="59F80043"/>
    <w:rsid w:val="5A09252F"/>
    <w:rsid w:val="5A0B2778"/>
    <w:rsid w:val="5A2A7C7B"/>
    <w:rsid w:val="5A2D3773"/>
    <w:rsid w:val="5A3E2560"/>
    <w:rsid w:val="5A5D3B6E"/>
    <w:rsid w:val="5A637A76"/>
    <w:rsid w:val="5A6D33BA"/>
    <w:rsid w:val="5A792B1F"/>
    <w:rsid w:val="5A874767"/>
    <w:rsid w:val="5A8F6584"/>
    <w:rsid w:val="5AA153EC"/>
    <w:rsid w:val="5AA85BE2"/>
    <w:rsid w:val="5AAD6F28"/>
    <w:rsid w:val="5AC71F19"/>
    <w:rsid w:val="5AD63A24"/>
    <w:rsid w:val="5AE71988"/>
    <w:rsid w:val="5B2E1A1D"/>
    <w:rsid w:val="5B670337"/>
    <w:rsid w:val="5B843A1C"/>
    <w:rsid w:val="5B873E3F"/>
    <w:rsid w:val="5BBB49A8"/>
    <w:rsid w:val="5C02690E"/>
    <w:rsid w:val="5C196DA7"/>
    <w:rsid w:val="5C1C706A"/>
    <w:rsid w:val="5C2A048C"/>
    <w:rsid w:val="5C327B4C"/>
    <w:rsid w:val="5C80234E"/>
    <w:rsid w:val="5C8A680C"/>
    <w:rsid w:val="5CA73DB1"/>
    <w:rsid w:val="5CFA59A7"/>
    <w:rsid w:val="5D0C4701"/>
    <w:rsid w:val="5D0F0395"/>
    <w:rsid w:val="5D221076"/>
    <w:rsid w:val="5D397964"/>
    <w:rsid w:val="5D5A391C"/>
    <w:rsid w:val="5D5F10C0"/>
    <w:rsid w:val="5D891B7B"/>
    <w:rsid w:val="5DAD189A"/>
    <w:rsid w:val="5DAD38EE"/>
    <w:rsid w:val="5E006862"/>
    <w:rsid w:val="5E0207B9"/>
    <w:rsid w:val="5E1834A1"/>
    <w:rsid w:val="5E261785"/>
    <w:rsid w:val="5E4A7017"/>
    <w:rsid w:val="5E552BBA"/>
    <w:rsid w:val="5E611C10"/>
    <w:rsid w:val="5E7A0F3F"/>
    <w:rsid w:val="5EFC7377"/>
    <w:rsid w:val="5F06174D"/>
    <w:rsid w:val="5F3A3602"/>
    <w:rsid w:val="5F45733B"/>
    <w:rsid w:val="5F482646"/>
    <w:rsid w:val="5F6277C6"/>
    <w:rsid w:val="5F6D0B1D"/>
    <w:rsid w:val="5F8D0B82"/>
    <w:rsid w:val="5FA40637"/>
    <w:rsid w:val="5FCC5339"/>
    <w:rsid w:val="5FE34A5B"/>
    <w:rsid w:val="5FFE1E36"/>
    <w:rsid w:val="601E122F"/>
    <w:rsid w:val="60232584"/>
    <w:rsid w:val="6045463A"/>
    <w:rsid w:val="607330CE"/>
    <w:rsid w:val="60825176"/>
    <w:rsid w:val="609F2AC4"/>
    <w:rsid w:val="60D847A8"/>
    <w:rsid w:val="60FA2EE8"/>
    <w:rsid w:val="61054A27"/>
    <w:rsid w:val="610A52BC"/>
    <w:rsid w:val="61173F5D"/>
    <w:rsid w:val="611D2366"/>
    <w:rsid w:val="613444C1"/>
    <w:rsid w:val="61421856"/>
    <w:rsid w:val="615227C4"/>
    <w:rsid w:val="61654E3F"/>
    <w:rsid w:val="6182292A"/>
    <w:rsid w:val="61834D74"/>
    <w:rsid w:val="619F7F92"/>
    <w:rsid w:val="61C64CD9"/>
    <w:rsid w:val="61F94C26"/>
    <w:rsid w:val="62000E56"/>
    <w:rsid w:val="624F3E49"/>
    <w:rsid w:val="62632286"/>
    <w:rsid w:val="62885958"/>
    <w:rsid w:val="62F40B65"/>
    <w:rsid w:val="62FC2CFE"/>
    <w:rsid w:val="63024505"/>
    <w:rsid w:val="634843D1"/>
    <w:rsid w:val="635600A5"/>
    <w:rsid w:val="635B1DB5"/>
    <w:rsid w:val="636613E1"/>
    <w:rsid w:val="636D1B37"/>
    <w:rsid w:val="63711FED"/>
    <w:rsid w:val="63880DDC"/>
    <w:rsid w:val="638D750D"/>
    <w:rsid w:val="63AC6CC0"/>
    <w:rsid w:val="64055776"/>
    <w:rsid w:val="64240056"/>
    <w:rsid w:val="64353CA6"/>
    <w:rsid w:val="643E143A"/>
    <w:rsid w:val="64491666"/>
    <w:rsid w:val="648B6EEF"/>
    <w:rsid w:val="64C158BF"/>
    <w:rsid w:val="64CE2EAA"/>
    <w:rsid w:val="653C3090"/>
    <w:rsid w:val="65854376"/>
    <w:rsid w:val="658767BE"/>
    <w:rsid w:val="65892531"/>
    <w:rsid w:val="659F468D"/>
    <w:rsid w:val="66195831"/>
    <w:rsid w:val="662E75B1"/>
    <w:rsid w:val="66342C2E"/>
    <w:rsid w:val="663E784C"/>
    <w:rsid w:val="668B6A45"/>
    <w:rsid w:val="66961C35"/>
    <w:rsid w:val="67184DEA"/>
    <w:rsid w:val="672F3F24"/>
    <w:rsid w:val="673E055F"/>
    <w:rsid w:val="67550FD9"/>
    <w:rsid w:val="67551CE3"/>
    <w:rsid w:val="67A22552"/>
    <w:rsid w:val="67B22DCC"/>
    <w:rsid w:val="67BE71AA"/>
    <w:rsid w:val="67C823EF"/>
    <w:rsid w:val="67D90273"/>
    <w:rsid w:val="67DE5875"/>
    <w:rsid w:val="67DF7354"/>
    <w:rsid w:val="67E55852"/>
    <w:rsid w:val="67EB1AB4"/>
    <w:rsid w:val="67FA1285"/>
    <w:rsid w:val="682269E1"/>
    <w:rsid w:val="68551F4F"/>
    <w:rsid w:val="68643E18"/>
    <w:rsid w:val="68690137"/>
    <w:rsid w:val="68751AA8"/>
    <w:rsid w:val="687C10C9"/>
    <w:rsid w:val="68840C16"/>
    <w:rsid w:val="68876EFB"/>
    <w:rsid w:val="68884654"/>
    <w:rsid w:val="689F444F"/>
    <w:rsid w:val="68B96DBB"/>
    <w:rsid w:val="68BC69A9"/>
    <w:rsid w:val="68CA2805"/>
    <w:rsid w:val="68E937A3"/>
    <w:rsid w:val="693130A1"/>
    <w:rsid w:val="693E15D3"/>
    <w:rsid w:val="69627681"/>
    <w:rsid w:val="6977531D"/>
    <w:rsid w:val="698A6279"/>
    <w:rsid w:val="69CC2BFF"/>
    <w:rsid w:val="69FD55B8"/>
    <w:rsid w:val="6A0B1C62"/>
    <w:rsid w:val="6A2406C8"/>
    <w:rsid w:val="6A454623"/>
    <w:rsid w:val="6ADE0BD1"/>
    <w:rsid w:val="6AE96859"/>
    <w:rsid w:val="6B147746"/>
    <w:rsid w:val="6B24787C"/>
    <w:rsid w:val="6B361121"/>
    <w:rsid w:val="6B573233"/>
    <w:rsid w:val="6B5B6274"/>
    <w:rsid w:val="6B890DF1"/>
    <w:rsid w:val="6B935D53"/>
    <w:rsid w:val="6C054650"/>
    <w:rsid w:val="6C196F71"/>
    <w:rsid w:val="6C226FCB"/>
    <w:rsid w:val="6C31226F"/>
    <w:rsid w:val="6C537AB1"/>
    <w:rsid w:val="6C552F0B"/>
    <w:rsid w:val="6C8C67B7"/>
    <w:rsid w:val="6C9D744C"/>
    <w:rsid w:val="6CC4275D"/>
    <w:rsid w:val="6D0D005C"/>
    <w:rsid w:val="6D167928"/>
    <w:rsid w:val="6D26299B"/>
    <w:rsid w:val="6D4772EC"/>
    <w:rsid w:val="6D9078AF"/>
    <w:rsid w:val="6DA97A76"/>
    <w:rsid w:val="6DAA3FEF"/>
    <w:rsid w:val="6DC0172B"/>
    <w:rsid w:val="6DCB690C"/>
    <w:rsid w:val="6DD41A5B"/>
    <w:rsid w:val="6DF43C2E"/>
    <w:rsid w:val="6DF51CA3"/>
    <w:rsid w:val="6E8335BD"/>
    <w:rsid w:val="6E8E12EF"/>
    <w:rsid w:val="6E972936"/>
    <w:rsid w:val="6E9F2B3A"/>
    <w:rsid w:val="6ED446C5"/>
    <w:rsid w:val="6EE70791"/>
    <w:rsid w:val="6F2A7D94"/>
    <w:rsid w:val="6F7F4378"/>
    <w:rsid w:val="6F8331F1"/>
    <w:rsid w:val="6FA9085B"/>
    <w:rsid w:val="6FAE1A09"/>
    <w:rsid w:val="6FD75BF8"/>
    <w:rsid w:val="70713D1E"/>
    <w:rsid w:val="707723D0"/>
    <w:rsid w:val="70F5661B"/>
    <w:rsid w:val="71360107"/>
    <w:rsid w:val="713B688E"/>
    <w:rsid w:val="714D4812"/>
    <w:rsid w:val="715440AF"/>
    <w:rsid w:val="719F449E"/>
    <w:rsid w:val="71D43752"/>
    <w:rsid w:val="71F1796A"/>
    <w:rsid w:val="72154626"/>
    <w:rsid w:val="721F43B3"/>
    <w:rsid w:val="72262B5D"/>
    <w:rsid w:val="72283FF7"/>
    <w:rsid w:val="722E7212"/>
    <w:rsid w:val="723A0474"/>
    <w:rsid w:val="72442B64"/>
    <w:rsid w:val="725923E4"/>
    <w:rsid w:val="72864BF7"/>
    <w:rsid w:val="729023FC"/>
    <w:rsid w:val="73C0646E"/>
    <w:rsid w:val="73D500DA"/>
    <w:rsid w:val="742222F5"/>
    <w:rsid w:val="74476126"/>
    <w:rsid w:val="74706664"/>
    <w:rsid w:val="747F3682"/>
    <w:rsid w:val="749C4185"/>
    <w:rsid w:val="74C257AA"/>
    <w:rsid w:val="75067759"/>
    <w:rsid w:val="751002ED"/>
    <w:rsid w:val="752E6DCD"/>
    <w:rsid w:val="7551380D"/>
    <w:rsid w:val="75600BE5"/>
    <w:rsid w:val="75616D9B"/>
    <w:rsid w:val="7564475C"/>
    <w:rsid w:val="7583797F"/>
    <w:rsid w:val="75D20F1D"/>
    <w:rsid w:val="75DA2C18"/>
    <w:rsid w:val="75F54412"/>
    <w:rsid w:val="761D08E0"/>
    <w:rsid w:val="765D347C"/>
    <w:rsid w:val="76826699"/>
    <w:rsid w:val="76C87133"/>
    <w:rsid w:val="76CD08D5"/>
    <w:rsid w:val="76DB4B92"/>
    <w:rsid w:val="76F37EC6"/>
    <w:rsid w:val="76FF5330"/>
    <w:rsid w:val="77052AA4"/>
    <w:rsid w:val="77136511"/>
    <w:rsid w:val="77167A87"/>
    <w:rsid w:val="771739AE"/>
    <w:rsid w:val="77340A39"/>
    <w:rsid w:val="77351FD0"/>
    <w:rsid w:val="77472422"/>
    <w:rsid w:val="777F31F2"/>
    <w:rsid w:val="77D1700D"/>
    <w:rsid w:val="77EA74CC"/>
    <w:rsid w:val="77EC04CC"/>
    <w:rsid w:val="78775729"/>
    <w:rsid w:val="78A42DB0"/>
    <w:rsid w:val="78A656AB"/>
    <w:rsid w:val="78B2245C"/>
    <w:rsid w:val="78E172CC"/>
    <w:rsid w:val="78EA1D1F"/>
    <w:rsid w:val="7904172F"/>
    <w:rsid w:val="790F7E27"/>
    <w:rsid w:val="79254583"/>
    <w:rsid w:val="79271FEB"/>
    <w:rsid w:val="792A231A"/>
    <w:rsid w:val="79316829"/>
    <w:rsid w:val="79635B60"/>
    <w:rsid w:val="797E66A9"/>
    <w:rsid w:val="798518A4"/>
    <w:rsid w:val="79A97383"/>
    <w:rsid w:val="79AD136E"/>
    <w:rsid w:val="79E27E8B"/>
    <w:rsid w:val="79F850CE"/>
    <w:rsid w:val="79FD443C"/>
    <w:rsid w:val="7A1D1975"/>
    <w:rsid w:val="7A3E5150"/>
    <w:rsid w:val="7A4670D6"/>
    <w:rsid w:val="7A534B63"/>
    <w:rsid w:val="7A615382"/>
    <w:rsid w:val="7A67303B"/>
    <w:rsid w:val="7AAB1D04"/>
    <w:rsid w:val="7AB114F6"/>
    <w:rsid w:val="7ABA4368"/>
    <w:rsid w:val="7AD05746"/>
    <w:rsid w:val="7B257FFD"/>
    <w:rsid w:val="7B2C6B48"/>
    <w:rsid w:val="7B343476"/>
    <w:rsid w:val="7B5A2978"/>
    <w:rsid w:val="7B5A7E4C"/>
    <w:rsid w:val="7B667AF9"/>
    <w:rsid w:val="7B7468F8"/>
    <w:rsid w:val="7BEB3C37"/>
    <w:rsid w:val="7BEE0103"/>
    <w:rsid w:val="7C0A0FE4"/>
    <w:rsid w:val="7C254906"/>
    <w:rsid w:val="7C395948"/>
    <w:rsid w:val="7C590818"/>
    <w:rsid w:val="7C6732F0"/>
    <w:rsid w:val="7C6F4969"/>
    <w:rsid w:val="7C7C10F6"/>
    <w:rsid w:val="7C853BEA"/>
    <w:rsid w:val="7C881368"/>
    <w:rsid w:val="7CD460A4"/>
    <w:rsid w:val="7CE27788"/>
    <w:rsid w:val="7D0C32F1"/>
    <w:rsid w:val="7D0F408D"/>
    <w:rsid w:val="7D146DE8"/>
    <w:rsid w:val="7D491C6C"/>
    <w:rsid w:val="7D5429C0"/>
    <w:rsid w:val="7D6E6D43"/>
    <w:rsid w:val="7D9C12B8"/>
    <w:rsid w:val="7DB57A34"/>
    <w:rsid w:val="7DE60973"/>
    <w:rsid w:val="7DEF0916"/>
    <w:rsid w:val="7E1E5218"/>
    <w:rsid w:val="7E9A4E1F"/>
    <w:rsid w:val="7EA7723A"/>
    <w:rsid w:val="7EF56FBB"/>
    <w:rsid w:val="7F0768EB"/>
    <w:rsid w:val="7F143BEC"/>
    <w:rsid w:val="7F1B445E"/>
    <w:rsid w:val="7F6341BF"/>
    <w:rsid w:val="7F715AF2"/>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6"/>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1"/>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5">
    <w:name w:val="heading 4"/>
    <w:basedOn w:val="1"/>
    <w:next w:val="1"/>
    <w:link w:val="330"/>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6">
    <w:name w:val="heading 5"/>
    <w:basedOn w:val="1"/>
    <w:next w:val="1"/>
    <w:link w:val="296"/>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7">
    <w:name w:val="heading 6"/>
    <w:basedOn w:val="1"/>
    <w:next w:val="1"/>
    <w:link w:val="150"/>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8">
    <w:name w:val="heading 7"/>
    <w:basedOn w:val="1"/>
    <w:next w:val="1"/>
    <w:link w:val="310"/>
    <w:autoRedefine/>
    <w:qFormat/>
    <w:uiPriority w:val="0"/>
    <w:pPr>
      <w:keepNext/>
      <w:keepLines/>
      <w:tabs>
        <w:tab w:val="left" w:pos="1296"/>
      </w:tabs>
      <w:spacing w:before="240" w:after="64" w:line="320" w:lineRule="auto"/>
      <w:ind w:left="1296" w:hanging="1296"/>
      <w:outlineLvl w:val="6"/>
    </w:pPr>
    <w:rPr>
      <w:b/>
      <w:bCs/>
      <w:sz w:val="24"/>
    </w:rPr>
  </w:style>
  <w:style w:type="paragraph" w:styleId="9">
    <w:name w:val="heading 8"/>
    <w:basedOn w:val="1"/>
    <w:next w:val="1"/>
    <w:link w:val="361"/>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0">
    <w:name w:val="heading 9"/>
    <w:basedOn w:val="1"/>
    <w:next w:val="1"/>
    <w:link w:val="185"/>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3">
    <w:name w:val="Default Paragraph Font"/>
    <w:autoRedefine/>
    <w:semiHidden/>
    <w:unhideWhenUsed/>
    <w:qFormat/>
    <w:uiPriority w:val="1"/>
  </w:style>
  <w:style w:type="table" w:default="1" w:styleId="6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style>
  <w:style w:type="paragraph" w:styleId="12">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3">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5">
    <w:name w:val="Normal Indent"/>
    <w:basedOn w:val="1"/>
    <w:link w:val="196"/>
    <w:autoRedefine/>
    <w:qFormat/>
    <w:uiPriority w:val="0"/>
    <w:pPr>
      <w:widowControl/>
      <w:snapToGrid w:val="0"/>
      <w:spacing w:line="480" w:lineRule="exact"/>
      <w:ind w:firstLine="567"/>
    </w:pPr>
    <w:rPr>
      <w:rFonts w:ascii="宋体"/>
      <w:snapToGrid w:val="0"/>
      <w:color w:val="000000"/>
      <w:kern w:val="28"/>
      <w:sz w:val="28"/>
      <w:szCs w:val="20"/>
    </w:rPr>
  </w:style>
  <w:style w:type="paragraph" w:styleId="16">
    <w:name w:val="caption"/>
    <w:basedOn w:val="1"/>
    <w:next w:val="1"/>
    <w:link w:val="232"/>
    <w:autoRedefine/>
    <w:qFormat/>
    <w:uiPriority w:val="0"/>
    <w:rPr>
      <w:b/>
      <w:sz w:val="28"/>
      <w:szCs w:val="20"/>
    </w:rPr>
  </w:style>
  <w:style w:type="paragraph" w:styleId="17">
    <w:name w:val="index 5"/>
    <w:basedOn w:val="1"/>
    <w:next w:val="1"/>
    <w:autoRedefine/>
    <w:qFormat/>
    <w:uiPriority w:val="0"/>
    <w:pPr>
      <w:adjustRightInd/>
      <w:ind w:left="800" w:leftChars="800" w:firstLine="200" w:firstLineChars="200"/>
    </w:pPr>
  </w:style>
  <w:style w:type="paragraph" w:styleId="18">
    <w:name w:val="Document Map"/>
    <w:basedOn w:val="1"/>
    <w:link w:val="205"/>
    <w:autoRedefine/>
    <w:qFormat/>
    <w:uiPriority w:val="0"/>
    <w:pPr>
      <w:shd w:val="clear" w:color="auto" w:fill="000080"/>
    </w:pPr>
  </w:style>
  <w:style w:type="paragraph" w:styleId="19">
    <w:name w:val="annotation text"/>
    <w:basedOn w:val="1"/>
    <w:link w:val="347"/>
    <w:autoRedefine/>
    <w:qFormat/>
    <w:uiPriority w:val="99"/>
    <w:pPr>
      <w:jc w:val="left"/>
    </w:pPr>
  </w:style>
  <w:style w:type="paragraph" w:styleId="20">
    <w:name w:val="Salutation"/>
    <w:basedOn w:val="1"/>
    <w:next w:val="1"/>
    <w:link w:val="301"/>
    <w:autoRedefine/>
    <w:qFormat/>
    <w:uiPriority w:val="0"/>
    <w:rPr>
      <w:rFonts w:ascii="仿宋_GB2312" w:eastAsia="仿宋_GB2312"/>
      <w:sz w:val="28"/>
      <w:szCs w:val="20"/>
    </w:rPr>
  </w:style>
  <w:style w:type="paragraph" w:styleId="21">
    <w:name w:val="Body Text 3"/>
    <w:basedOn w:val="1"/>
    <w:link w:val="333"/>
    <w:autoRedefine/>
    <w:qFormat/>
    <w:uiPriority w:val="0"/>
    <w:pPr>
      <w:jc w:val="center"/>
    </w:pPr>
    <w:rPr>
      <w:szCs w:val="20"/>
    </w:rPr>
  </w:style>
  <w:style w:type="paragraph" w:styleId="22">
    <w:name w:val="List Bullet 3"/>
    <w:basedOn w:val="1"/>
    <w:autoRedefine/>
    <w:unhideWhenUsed/>
    <w:qFormat/>
    <w:uiPriority w:val="0"/>
    <w:pPr>
      <w:snapToGrid w:val="0"/>
      <w:spacing w:line="360" w:lineRule="auto"/>
      <w:ind w:left="360" w:right="238" w:hanging="360"/>
      <w:contextualSpacing/>
    </w:pPr>
    <w:rPr>
      <w:sz w:val="24"/>
    </w:rPr>
  </w:style>
  <w:style w:type="paragraph" w:styleId="23">
    <w:name w:val="Body Text"/>
    <w:basedOn w:val="1"/>
    <w:next w:val="1"/>
    <w:link w:val="433"/>
    <w:autoRedefine/>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next w:val="25"/>
    <w:link w:val="268"/>
    <w:autoRedefine/>
    <w:qFormat/>
    <w:uiPriority w:val="0"/>
    <w:pPr>
      <w:spacing w:line="480" w:lineRule="exact"/>
      <w:ind w:firstLine="480" w:firstLineChars="200"/>
    </w:pPr>
    <w:rPr>
      <w:rFonts w:ascii="宋体" w:hAnsi="宋体"/>
      <w:sz w:val="24"/>
    </w:rPr>
  </w:style>
  <w:style w:type="paragraph" w:customStyle="1" w:styleId="25">
    <w:name w:val="正文文本首行缩进 2"/>
    <w:basedOn w:val="26"/>
    <w:autoRedefine/>
    <w:qFormat/>
    <w:uiPriority w:val="99"/>
    <w:pPr>
      <w:tabs>
        <w:tab w:val="right" w:leader="dot" w:pos="8268"/>
      </w:tabs>
      <w:spacing w:line="200" w:lineRule="atLeast"/>
      <w:ind w:firstLine="420"/>
    </w:pPr>
    <w:rPr>
      <w:rFonts w:ascii="宋体" w:hAnsi="Courier New" w:cs="宋体"/>
      <w:spacing w:val="-4"/>
      <w:sz w:val="18"/>
      <w:szCs w:val="18"/>
    </w:rPr>
  </w:style>
  <w:style w:type="paragraph" w:customStyle="1" w:styleId="26">
    <w:name w:val="正文缩进1"/>
    <w:basedOn w:val="27"/>
    <w:next w:val="25"/>
    <w:autoRedefine/>
    <w:qFormat/>
    <w:uiPriority w:val="0"/>
    <w:pPr>
      <w:tabs>
        <w:tab w:val="right" w:leader="dot" w:pos="8268"/>
      </w:tabs>
      <w:autoSpaceDE w:val="0"/>
      <w:autoSpaceDN w:val="0"/>
      <w:snapToGrid w:val="0"/>
      <w:spacing w:after="120" w:line="360" w:lineRule="auto"/>
      <w:ind w:left="420" w:leftChars="200" w:firstLine="480" w:firstLineChars="200"/>
    </w:pPr>
    <w:rPr>
      <w:sz w:val="24"/>
      <w:szCs w:val="21"/>
    </w:rPr>
  </w:style>
  <w:style w:type="paragraph" w:customStyle="1" w:styleId="27">
    <w:name w:val="正文1"/>
    <w:basedOn w:val="28"/>
    <w:next w:val="29"/>
    <w:autoRedefine/>
    <w:qFormat/>
    <w:uiPriority w:val="0"/>
    <w:pPr>
      <w:tabs>
        <w:tab w:val="right" w:leader="dot" w:pos="8268"/>
      </w:tabs>
      <w:ind w:left="0" w:leftChars="0" w:firstLine="480" w:firstLineChars="200"/>
    </w:pPr>
    <w:rPr>
      <w:rFonts w:ascii="仿宋_GB2312" w:hAnsi="Courier New" w:eastAsia="仿宋_GB2312"/>
      <w:kern w:val="28"/>
      <w:sz w:val="24"/>
    </w:rPr>
  </w:style>
  <w:style w:type="paragraph" w:styleId="28">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customStyle="1" w:styleId="29">
    <w:name w:val="标题 21"/>
    <w:basedOn w:val="27"/>
    <w:next w:val="27"/>
    <w:autoRedefine/>
    <w:qFormat/>
    <w:uiPriority w:val="99"/>
    <w:pPr>
      <w:keepNext/>
      <w:keepLines/>
      <w:tabs>
        <w:tab w:val="left" w:pos="706"/>
        <w:tab w:val="clear" w:pos="8268"/>
      </w:tabs>
      <w:spacing w:line="360" w:lineRule="auto"/>
      <w:ind w:left="106" w:firstLine="454"/>
      <w:outlineLvl w:val="1"/>
    </w:pPr>
    <w:rPr>
      <w:rFonts w:ascii="Arial" w:hAnsi="Arial" w:eastAsia="宋体" w:cs="Arial"/>
      <w:b/>
      <w:bCs/>
    </w:rPr>
  </w:style>
  <w:style w:type="paragraph" w:styleId="30">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31">
    <w:name w:val="List 2"/>
    <w:basedOn w:val="1"/>
    <w:autoRedefine/>
    <w:qFormat/>
    <w:uiPriority w:val="0"/>
    <w:pPr>
      <w:adjustRightInd/>
      <w:spacing w:line="360" w:lineRule="auto"/>
      <w:ind w:left="100" w:leftChars="200" w:hanging="200" w:hangingChars="200"/>
    </w:pPr>
    <w:rPr>
      <w:rFonts w:eastAsia="微软雅黑"/>
    </w:rPr>
  </w:style>
  <w:style w:type="paragraph" w:styleId="32">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33">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4">
    <w:name w:val="HTML Address"/>
    <w:basedOn w:val="1"/>
    <w:link w:val="222"/>
    <w:autoRedefine/>
    <w:qFormat/>
    <w:uiPriority w:val="0"/>
    <w:pPr>
      <w:widowControl/>
      <w:adjustRightInd/>
      <w:ind w:firstLine="200" w:firstLineChars="200"/>
      <w:jc w:val="left"/>
    </w:pPr>
    <w:rPr>
      <w:rFonts w:ascii="宋体" w:hAnsi="宋体"/>
      <w:i/>
      <w:iCs/>
      <w:kern w:val="0"/>
      <w:sz w:val="24"/>
    </w:rPr>
  </w:style>
  <w:style w:type="paragraph" w:styleId="35">
    <w:name w:val="toc 5"/>
    <w:basedOn w:val="1"/>
    <w:next w:val="1"/>
    <w:autoRedefine/>
    <w:qFormat/>
    <w:uiPriority w:val="0"/>
    <w:pPr>
      <w:ind w:left="1680" w:leftChars="800"/>
    </w:pPr>
  </w:style>
  <w:style w:type="paragraph" w:styleId="36">
    <w:name w:val="Plain Text"/>
    <w:basedOn w:val="1"/>
    <w:next w:val="1"/>
    <w:link w:val="128"/>
    <w:autoRedefine/>
    <w:qFormat/>
    <w:uiPriority w:val="0"/>
    <w:rPr>
      <w:rFonts w:ascii="宋体" w:hAnsi="Courier New" w:cs="Arial"/>
      <w:snapToGrid w:val="0"/>
      <w:szCs w:val="21"/>
    </w:rPr>
  </w:style>
  <w:style w:type="paragraph" w:styleId="37">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8">
    <w:name w:val="toc 8"/>
    <w:basedOn w:val="1"/>
    <w:next w:val="1"/>
    <w:autoRedefine/>
    <w:qFormat/>
    <w:uiPriority w:val="0"/>
    <w:pPr>
      <w:ind w:left="2940" w:leftChars="1400"/>
    </w:pPr>
  </w:style>
  <w:style w:type="paragraph" w:styleId="39">
    <w:name w:val="Date"/>
    <w:basedOn w:val="1"/>
    <w:next w:val="1"/>
    <w:link w:val="184"/>
    <w:autoRedefine/>
    <w:qFormat/>
    <w:uiPriority w:val="0"/>
    <w:pPr>
      <w:ind w:left="100" w:leftChars="2500"/>
    </w:pPr>
    <w:rPr>
      <w:rFonts w:ascii="宋体"/>
      <w:sz w:val="24"/>
      <w:szCs w:val="21"/>
      <w:lang w:val="zh-CN"/>
    </w:rPr>
  </w:style>
  <w:style w:type="paragraph" w:styleId="40">
    <w:name w:val="Body Text Indent 2"/>
    <w:basedOn w:val="1"/>
    <w:link w:val="311"/>
    <w:autoRedefine/>
    <w:qFormat/>
    <w:uiPriority w:val="0"/>
    <w:pPr>
      <w:spacing w:line="360" w:lineRule="auto"/>
      <w:ind w:firstLine="601"/>
      <w:textAlignment w:val="baseline"/>
    </w:pPr>
    <w:rPr>
      <w:rFonts w:ascii="宋体"/>
      <w:kern w:val="0"/>
      <w:sz w:val="28"/>
      <w:szCs w:val="20"/>
    </w:rPr>
  </w:style>
  <w:style w:type="paragraph" w:styleId="41">
    <w:name w:val="endnote text"/>
    <w:basedOn w:val="1"/>
    <w:link w:val="933"/>
    <w:autoRedefine/>
    <w:qFormat/>
    <w:uiPriority w:val="0"/>
    <w:rPr>
      <w:lang w:val="zh-CN"/>
    </w:rPr>
  </w:style>
  <w:style w:type="paragraph" w:styleId="42">
    <w:name w:val="Balloon Text"/>
    <w:basedOn w:val="1"/>
    <w:link w:val="191"/>
    <w:autoRedefine/>
    <w:qFormat/>
    <w:uiPriority w:val="0"/>
    <w:rPr>
      <w:sz w:val="18"/>
      <w:szCs w:val="18"/>
    </w:rPr>
  </w:style>
  <w:style w:type="paragraph" w:styleId="43">
    <w:name w:val="footer"/>
    <w:basedOn w:val="1"/>
    <w:link w:val="386"/>
    <w:autoRedefine/>
    <w:qFormat/>
    <w:uiPriority w:val="99"/>
    <w:pPr>
      <w:tabs>
        <w:tab w:val="center" w:pos="4153"/>
        <w:tab w:val="right" w:pos="8306"/>
      </w:tabs>
      <w:snapToGrid w:val="0"/>
      <w:jc w:val="left"/>
    </w:pPr>
    <w:rPr>
      <w:sz w:val="18"/>
      <w:szCs w:val="18"/>
    </w:rPr>
  </w:style>
  <w:style w:type="paragraph" w:styleId="44">
    <w:name w:val="header"/>
    <w:basedOn w:val="1"/>
    <w:link w:val="395"/>
    <w:autoRedefine/>
    <w:qFormat/>
    <w:uiPriority w:val="99"/>
    <w:pPr>
      <w:pBdr>
        <w:bottom w:val="single" w:color="auto" w:sz="6" w:space="1"/>
      </w:pBdr>
      <w:tabs>
        <w:tab w:val="center" w:pos="4153"/>
        <w:tab w:val="right" w:pos="8306"/>
      </w:tabs>
      <w:snapToGrid w:val="0"/>
      <w:jc w:val="center"/>
    </w:pPr>
    <w:rPr>
      <w:sz w:val="18"/>
      <w:szCs w:val="18"/>
    </w:rPr>
  </w:style>
  <w:style w:type="paragraph" w:styleId="45">
    <w:name w:val="Signature"/>
    <w:basedOn w:val="1"/>
    <w:link w:val="348"/>
    <w:autoRedefine/>
    <w:qFormat/>
    <w:uiPriority w:val="0"/>
    <w:pPr>
      <w:spacing w:after="600" w:line="312" w:lineRule="atLeast"/>
      <w:jc w:val="center"/>
      <w:textAlignment w:val="baseline"/>
    </w:pPr>
    <w:rPr>
      <w:rFonts w:eastAsia="仿宋_GB2312"/>
      <w:kern w:val="0"/>
      <w:sz w:val="24"/>
      <w:szCs w:val="20"/>
    </w:rPr>
  </w:style>
  <w:style w:type="paragraph" w:styleId="46">
    <w:name w:val="toc 1"/>
    <w:basedOn w:val="1"/>
    <w:next w:val="1"/>
    <w:autoRedefine/>
    <w:qFormat/>
    <w:uiPriority w:val="0"/>
  </w:style>
  <w:style w:type="paragraph" w:styleId="47">
    <w:name w:val="toc 4"/>
    <w:basedOn w:val="1"/>
    <w:next w:val="1"/>
    <w:autoRedefine/>
    <w:qFormat/>
    <w:uiPriority w:val="0"/>
    <w:pPr>
      <w:ind w:left="1260" w:leftChars="600"/>
    </w:pPr>
  </w:style>
  <w:style w:type="paragraph" w:styleId="48">
    <w:name w:val="index heading"/>
    <w:basedOn w:val="1"/>
    <w:next w:val="49"/>
    <w:autoRedefine/>
    <w:qFormat/>
    <w:uiPriority w:val="0"/>
    <w:pPr>
      <w:adjustRightInd/>
      <w:ind w:firstLine="200" w:firstLineChars="200"/>
    </w:pPr>
  </w:style>
  <w:style w:type="paragraph" w:styleId="49">
    <w:name w:val="index 1"/>
    <w:basedOn w:val="1"/>
    <w:next w:val="1"/>
    <w:autoRedefine/>
    <w:qFormat/>
    <w:uiPriority w:val="0"/>
    <w:pPr>
      <w:adjustRightInd/>
      <w:spacing w:line="360" w:lineRule="auto"/>
      <w:ind w:firstLine="200" w:firstLineChars="200"/>
      <w:jc w:val="center"/>
    </w:pPr>
    <w:rPr>
      <w:sz w:val="24"/>
      <w:szCs w:val="20"/>
    </w:rPr>
  </w:style>
  <w:style w:type="paragraph" w:styleId="50">
    <w:name w:val="Subtitle"/>
    <w:link w:val="136"/>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1">
    <w:name w:val="List Number 5"/>
    <w:basedOn w:val="1"/>
    <w:autoRedefine/>
    <w:qFormat/>
    <w:uiPriority w:val="0"/>
    <w:pPr>
      <w:tabs>
        <w:tab w:val="left" w:pos="902"/>
      </w:tabs>
      <w:adjustRightInd/>
      <w:spacing w:line="400" w:lineRule="exact"/>
      <w:ind w:left="902" w:hanging="420"/>
    </w:pPr>
    <w:rPr>
      <w:sz w:val="24"/>
      <w:szCs w:val="20"/>
    </w:rPr>
  </w:style>
  <w:style w:type="paragraph" w:styleId="52">
    <w:name w:val="List"/>
    <w:basedOn w:val="1"/>
    <w:autoRedefine/>
    <w:qFormat/>
    <w:uiPriority w:val="0"/>
    <w:pPr>
      <w:ind w:left="200" w:hanging="200" w:hangingChars="200"/>
    </w:pPr>
  </w:style>
  <w:style w:type="paragraph" w:styleId="53">
    <w:name w:val="footnote text"/>
    <w:basedOn w:val="15"/>
    <w:link w:val="313"/>
    <w:autoRedefine/>
    <w:qFormat/>
    <w:uiPriority w:val="0"/>
    <w:pPr>
      <w:adjustRightInd/>
      <w:snapToGrid/>
      <w:spacing w:before="60" w:after="60" w:line="300" w:lineRule="exact"/>
      <w:ind w:firstLine="0"/>
    </w:pPr>
    <w:rPr>
      <w:rFonts w:ascii="Calibri"/>
      <w:snapToGrid/>
      <w:color w:val="0000FF"/>
      <w:kern w:val="0"/>
      <w:sz w:val="21"/>
    </w:rPr>
  </w:style>
  <w:style w:type="paragraph" w:styleId="54">
    <w:name w:val="toc 6"/>
    <w:basedOn w:val="1"/>
    <w:next w:val="1"/>
    <w:autoRedefine/>
    <w:qFormat/>
    <w:uiPriority w:val="0"/>
    <w:pPr>
      <w:ind w:left="2100" w:leftChars="1000"/>
    </w:pPr>
  </w:style>
  <w:style w:type="paragraph" w:styleId="55">
    <w:name w:val="List 5"/>
    <w:basedOn w:val="1"/>
    <w:autoRedefine/>
    <w:qFormat/>
    <w:uiPriority w:val="0"/>
    <w:pPr>
      <w:adjustRightInd/>
      <w:ind w:left="100" w:leftChars="800" w:hanging="200" w:hangingChars="200"/>
    </w:pPr>
  </w:style>
  <w:style w:type="paragraph" w:styleId="56">
    <w:name w:val="Body Text Indent 3"/>
    <w:basedOn w:val="1"/>
    <w:link w:val="378"/>
    <w:autoRedefine/>
    <w:qFormat/>
    <w:uiPriority w:val="0"/>
    <w:pPr>
      <w:spacing w:line="360" w:lineRule="auto"/>
      <w:ind w:firstLine="420"/>
    </w:pPr>
    <w:rPr>
      <w:sz w:val="24"/>
      <w:szCs w:val="20"/>
    </w:rPr>
  </w:style>
  <w:style w:type="paragraph" w:styleId="57">
    <w:name w:val="toc 2"/>
    <w:basedOn w:val="1"/>
    <w:next w:val="1"/>
    <w:autoRedefine/>
    <w:qFormat/>
    <w:uiPriority w:val="0"/>
    <w:pPr>
      <w:ind w:left="420" w:leftChars="200"/>
    </w:pPr>
  </w:style>
  <w:style w:type="paragraph" w:styleId="58">
    <w:name w:val="toc 9"/>
    <w:basedOn w:val="1"/>
    <w:next w:val="1"/>
    <w:autoRedefine/>
    <w:qFormat/>
    <w:uiPriority w:val="0"/>
    <w:pPr>
      <w:ind w:left="3360" w:leftChars="1600"/>
    </w:pPr>
  </w:style>
  <w:style w:type="paragraph" w:styleId="59">
    <w:name w:val="Body Text 2"/>
    <w:basedOn w:val="1"/>
    <w:link w:val="305"/>
    <w:autoRedefine/>
    <w:qFormat/>
    <w:uiPriority w:val="0"/>
    <w:pPr>
      <w:spacing w:after="120" w:line="480" w:lineRule="auto"/>
    </w:pPr>
  </w:style>
  <w:style w:type="paragraph" w:styleId="60">
    <w:name w:val="HTML Preformatted"/>
    <w:basedOn w:val="1"/>
    <w:link w:val="304"/>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61">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62">
    <w:name w:val="Title"/>
    <w:basedOn w:val="1"/>
    <w:link w:val="289"/>
    <w:autoRedefine/>
    <w:qFormat/>
    <w:uiPriority w:val="10"/>
    <w:pPr>
      <w:widowControl/>
      <w:overflowPunct w:val="0"/>
      <w:autoSpaceDE w:val="0"/>
      <w:autoSpaceDN w:val="0"/>
      <w:jc w:val="center"/>
      <w:textAlignment w:val="baseline"/>
    </w:pPr>
    <w:rPr>
      <w:b/>
      <w:kern w:val="0"/>
      <w:sz w:val="24"/>
      <w:szCs w:val="20"/>
      <w:lang w:val="en-GB"/>
    </w:rPr>
  </w:style>
  <w:style w:type="paragraph" w:styleId="63">
    <w:name w:val="annotation subject"/>
    <w:basedOn w:val="19"/>
    <w:next w:val="19"/>
    <w:link w:val="99"/>
    <w:autoRedefine/>
    <w:qFormat/>
    <w:uiPriority w:val="0"/>
    <w:rPr>
      <w:b/>
      <w:bCs/>
    </w:rPr>
  </w:style>
  <w:style w:type="paragraph" w:styleId="64">
    <w:name w:val="Body Text First Indent"/>
    <w:basedOn w:val="23"/>
    <w:link w:val="324"/>
    <w:autoRedefine/>
    <w:qFormat/>
    <w:uiPriority w:val="0"/>
    <w:pPr>
      <w:ind w:firstLine="420"/>
    </w:pPr>
    <w:rPr>
      <w:rFonts w:hAnsi="Calibri" w:cs="Times New Roman"/>
      <w:snapToGrid/>
      <w:szCs w:val="20"/>
    </w:rPr>
  </w:style>
  <w:style w:type="paragraph" w:styleId="65">
    <w:name w:val="Body Text First Indent 2"/>
    <w:basedOn w:val="24"/>
    <w:link w:val="124"/>
    <w:autoRedefine/>
    <w:qFormat/>
    <w:uiPriority w:val="0"/>
    <w:pPr>
      <w:adjustRightInd/>
      <w:spacing w:after="120" w:line="240" w:lineRule="auto"/>
      <w:ind w:left="420" w:leftChars="200" w:firstLine="210"/>
    </w:pPr>
    <w:rPr>
      <w:sz w:val="21"/>
    </w:rPr>
  </w:style>
  <w:style w:type="table" w:styleId="67">
    <w:name w:val="Table Grid"/>
    <w:basedOn w:val="6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8">
    <w:name w:val="Table Theme"/>
    <w:basedOn w:val="6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9">
    <w:name w:val="Table Elegant"/>
    <w:basedOn w:val="66"/>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0">
    <w:name w:val="Table Grid 5"/>
    <w:basedOn w:val="66"/>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71">
    <w:name w:val="Table Grid 8"/>
    <w:basedOn w:val="66"/>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2">
    <w:name w:val="Table Professional"/>
    <w:basedOn w:val="66"/>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4">
    <w:name w:val="Strong"/>
    <w:autoRedefine/>
    <w:qFormat/>
    <w:uiPriority w:val="22"/>
    <w:rPr>
      <w:b/>
      <w:bCs/>
    </w:rPr>
  </w:style>
  <w:style w:type="character" w:styleId="75">
    <w:name w:val="endnote reference"/>
    <w:autoRedefine/>
    <w:qFormat/>
    <w:uiPriority w:val="0"/>
    <w:rPr>
      <w:vertAlign w:val="superscript"/>
    </w:rPr>
  </w:style>
  <w:style w:type="character" w:styleId="76">
    <w:name w:val="page number"/>
    <w:basedOn w:val="73"/>
    <w:autoRedefine/>
    <w:qFormat/>
    <w:uiPriority w:val="0"/>
    <w:rPr>
      <w:rFonts w:ascii="Arial" w:hAnsi="Arial" w:eastAsia="黑体" w:cs="Arial"/>
      <w:snapToGrid w:val="0"/>
      <w:kern w:val="0"/>
      <w:szCs w:val="21"/>
    </w:rPr>
  </w:style>
  <w:style w:type="character" w:styleId="77">
    <w:name w:val="FollowedHyperlink"/>
    <w:autoRedefine/>
    <w:qFormat/>
    <w:uiPriority w:val="99"/>
    <w:rPr>
      <w:rFonts w:ascii="Arial" w:hAnsi="Arial" w:eastAsia="黑体" w:cs="Arial"/>
      <w:snapToGrid w:val="0"/>
      <w:color w:val="000000"/>
      <w:kern w:val="0"/>
      <w:sz w:val="18"/>
      <w:szCs w:val="18"/>
      <w:u w:val="none"/>
    </w:rPr>
  </w:style>
  <w:style w:type="character" w:styleId="78">
    <w:name w:val="Emphasis"/>
    <w:autoRedefine/>
    <w:qFormat/>
    <w:uiPriority w:val="20"/>
    <w:rPr>
      <w:color w:val="CC0033"/>
    </w:rPr>
  </w:style>
  <w:style w:type="character" w:styleId="79">
    <w:name w:val="line number"/>
    <w:basedOn w:val="73"/>
    <w:autoRedefine/>
    <w:qFormat/>
    <w:uiPriority w:val="0"/>
    <w:rPr>
      <w:rFonts w:ascii="Arial" w:hAnsi="Arial" w:eastAsia="黑体" w:cs="Arial"/>
      <w:snapToGrid w:val="0"/>
      <w:kern w:val="0"/>
      <w:szCs w:val="21"/>
    </w:rPr>
  </w:style>
  <w:style w:type="character" w:styleId="80">
    <w:name w:val="Hyperlink"/>
    <w:autoRedefine/>
    <w:qFormat/>
    <w:uiPriority w:val="99"/>
    <w:rPr>
      <w:rFonts w:ascii="Arial" w:hAnsi="Arial" w:eastAsia="黑体" w:cs="Arial"/>
      <w:snapToGrid w:val="0"/>
      <w:color w:val="000000"/>
      <w:kern w:val="0"/>
      <w:sz w:val="18"/>
      <w:szCs w:val="18"/>
      <w:u w:val="none"/>
    </w:rPr>
  </w:style>
  <w:style w:type="character" w:styleId="81">
    <w:name w:val="HTML Code"/>
    <w:autoRedefine/>
    <w:qFormat/>
    <w:uiPriority w:val="0"/>
    <w:rPr>
      <w:rFonts w:ascii="黑体" w:hAnsi="Courier New" w:eastAsia="黑体" w:cs="楷体_GB2312"/>
      <w:sz w:val="20"/>
      <w:szCs w:val="20"/>
    </w:rPr>
  </w:style>
  <w:style w:type="character" w:styleId="82">
    <w:name w:val="annotation reference"/>
    <w:autoRedefine/>
    <w:qFormat/>
    <w:uiPriority w:val="99"/>
    <w:rPr>
      <w:sz w:val="21"/>
      <w:szCs w:val="21"/>
    </w:rPr>
  </w:style>
  <w:style w:type="paragraph" w:customStyle="1" w:styleId="83">
    <w:name w:val="正文空2字"/>
    <w:basedOn w:val="84"/>
    <w:autoRedefine/>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4">
    <w:name w:val="左对齐正文"/>
    <w:autoRedefine/>
    <w:qFormat/>
    <w:uiPriority w:val="99"/>
    <w:rPr>
      <w:rFonts w:ascii="Calibri" w:hAnsi="Calibri" w:eastAsia="仿宋_GB2312" w:cs="Calibri"/>
      <w:kern w:val="2"/>
      <w:sz w:val="32"/>
      <w:szCs w:val="32"/>
      <w:lang w:val="en-US" w:eastAsia="zh-CN" w:bidi="ar-SA"/>
    </w:rPr>
  </w:style>
  <w:style w:type="character" w:customStyle="1" w:styleId="85">
    <w:name w:val="表格非标题文字 Char"/>
    <w:link w:val="86"/>
    <w:autoRedefine/>
    <w:qFormat/>
    <w:uiPriority w:val="0"/>
    <w:rPr>
      <w:rFonts w:ascii="Futura Bk" w:hAnsi="Futura Bk"/>
      <w:kern w:val="2"/>
      <w:sz w:val="18"/>
      <w:szCs w:val="21"/>
      <w:lang w:val="en-US" w:eastAsia="zh-CN" w:bidi="ar-SA"/>
    </w:rPr>
  </w:style>
  <w:style w:type="paragraph" w:customStyle="1" w:styleId="86">
    <w:name w:val="表格非标题文字"/>
    <w:link w:val="85"/>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7">
    <w:name w:val="*正文 Char"/>
    <w:link w:val="88"/>
    <w:autoRedefine/>
    <w:qFormat/>
    <w:locked/>
    <w:uiPriority w:val="0"/>
    <w:rPr>
      <w:rFonts w:ascii="宋体" w:hAnsi="宋体"/>
      <w:sz w:val="24"/>
    </w:rPr>
  </w:style>
  <w:style w:type="paragraph" w:customStyle="1" w:styleId="88">
    <w:name w:val="*正文"/>
    <w:basedOn w:val="1"/>
    <w:link w:val="87"/>
    <w:autoRedefine/>
    <w:qFormat/>
    <w:uiPriority w:val="0"/>
    <w:pPr>
      <w:snapToGrid w:val="0"/>
      <w:spacing w:line="360" w:lineRule="auto"/>
      <w:ind w:firstLine="482"/>
      <w:jc w:val="left"/>
    </w:pPr>
    <w:rPr>
      <w:rFonts w:ascii="宋体" w:hAnsi="宋体"/>
      <w:kern w:val="0"/>
      <w:sz w:val="24"/>
      <w:szCs w:val="20"/>
    </w:rPr>
  </w:style>
  <w:style w:type="character" w:customStyle="1" w:styleId="89">
    <w:name w:val="Char Char71"/>
    <w:autoRedefine/>
    <w:semiHidden/>
    <w:qFormat/>
    <w:uiPriority w:val="0"/>
    <w:rPr>
      <w:rFonts w:eastAsia="宋体"/>
      <w:kern w:val="2"/>
      <w:sz w:val="21"/>
      <w:szCs w:val="24"/>
      <w:lang w:val="en-US" w:eastAsia="zh-CN" w:bidi="ar-SA"/>
    </w:rPr>
  </w:style>
  <w:style w:type="character" w:customStyle="1" w:styleId="90">
    <w:name w:val="Char Char6"/>
    <w:autoRedefine/>
    <w:qFormat/>
    <w:uiPriority w:val="0"/>
    <w:rPr>
      <w:rFonts w:eastAsia="宋体"/>
      <w:kern w:val="2"/>
      <w:sz w:val="21"/>
      <w:szCs w:val="24"/>
      <w:lang w:val="en-US" w:eastAsia="zh-CN" w:bidi="ar-SA"/>
    </w:rPr>
  </w:style>
  <w:style w:type="character" w:customStyle="1" w:styleId="91">
    <w:name w:val="正文缩进 Char"/>
    <w:autoRedefine/>
    <w:qFormat/>
    <w:uiPriority w:val="0"/>
    <w:rPr>
      <w:rFonts w:eastAsia="宋体"/>
      <w:kern w:val="2"/>
      <w:sz w:val="21"/>
      <w:lang w:val="en-US" w:eastAsia="zh-CN"/>
    </w:rPr>
  </w:style>
  <w:style w:type="character" w:customStyle="1" w:styleId="92">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93">
    <w:name w:val="Char Char28"/>
    <w:autoRedefine/>
    <w:qFormat/>
    <w:uiPriority w:val="6"/>
    <w:rPr>
      <w:rFonts w:ascii="仿宋_GB2312" w:hAnsi="仿宋_GB2312" w:eastAsia="仿宋_GB2312"/>
      <w:kern w:val="1"/>
      <w:sz w:val="28"/>
    </w:rPr>
  </w:style>
  <w:style w:type="character" w:customStyle="1" w:styleId="94">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5">
    <w:name w:val="Heading 1 Char"/>
    <w:autoRedefine/>
    <w:qFormat/>
    <w:uiPriority w:val="6"/>
    <w:rPr>
      <w:rFonts w:ascii="Times New Roman" w:hAnsi="Times New Roman" w:eastAsia="黑体" w:cs="Times New Roman"/>
      <w:b/>
      <w:kern w:val="0"/>
      <w:sz w:val="24"/>
      <w:szCs w:val="24"/>
    </w:rPr>
  </w:style>
  <w:style w:type="character" w:customStyle="1" w:styleId="96">
    <w:name w:val="U_正文 Char"/>
    <w:link w:val="97"/>
    <w:autoRedefine/>
    <w:qFormat/>
    <w:uiPriority w:val="0"/>
    <w:rPr>
      <w:sz w:val="24"/>
      <w:szCs w:val="24"/>
    </w:rPr>
  </w:style>
  <w:style w:type="paragraph" w:customStyle="1" w:styleId="97">
    <w:name w:val="U_正文"/>
    <w:basedOn w:val="1"/>
    <w:link w:val="96"/>
    <w:autoRedefine/>
    <w:qFormat/>
    <w:uiPriority w:val="0"/>
    <w:pPr>
      <w:adjustRightInd/>
      <w:spacing w:beforeLines="20" w:afterLines="20" w:line="300" w:lineRule="auto"/>
      <w:ind w:firstLine="200" w:firstLineChars="200"/>
    </w:pPr>
    <w:rPr>
      <w:kern w:val="0"/>
      <w:sz w:val="24"/>
    </w:rPr>
  </w:style>
  <w:style w:type="character" w:customStyle="1" w:styleId="98">
    <w:name w:val="HTML 地址 Char1"/>
    <w:autoRedefine/>
    <w:qFormat/>
    <w:uiPriority w:val="0"/>
    <w:rPr>
      <w:rFonts w:ascii="Times New Roman" w:hAnsi="Times New Roman" w:eastAsia="宋体" w:cs="Times New Roman"/>
      <w:i/>
      <w:iCs/>
      <w:szCs w:val="24"/>
    </w:rPr>
  </w:style>
  <w:style w:type="character" w:customStyle="1" w:styleId="99">
    <w:name w:val="批注主题 Char1"/>
    <w:link w:val="63"/>
    <w:autoRedefine/>
    <w:qFormat/>
    <w:uiPriority w:val="0"/>
    <w:rPr>
      <w:b/>
      <w:bCs/>
      <w:kern w:val="2"/>
      <w:sz w:val="21"/>
      <w:szCs w:val="24"/>
    </w:rPr>
  </w:style>
  <w:style w:type="character" w:customStyle="1" w:styleId="100">
    <w:name w:val="Char Char51"/>
    <w:autoRedefine/>
    <w:qFormat/>
    <w:uiPriority w:val="0"/>
    <w:rPr>
      <w:rFonts w:ascii="宋体" w:hAnsi="Courier New" w:eastAsia="宋体"/>
      <w:kern w:val="2"/>
      <w:sz w:val="21"/>
      <w:lang w:val="en-US" w:eastAsia="zh-CN"/>
    </w:rPr>
  </w:style>
  <w:style w:type="character" w:customStyle="1" w:styleId="101">
    <w:name w:val="表正文 Char"/>
    <w:autoRedefine/>
    <w:qFormat/>
    <w:uiPriority w:val="0"/>
    <w:rPr>
      <w:rFonts w:ascii="宋体" w:eastAsia="宋体"/>
      <w:snapToGrid w:val="0"/>
      <w:color w:val="000000"/>
      <w:kern w:val="28"/>
      <w:sz w:val="28"/>
      <w:lang w:val="en-US" w:eastAsia="zh-CN" w:bidi="ar-SA"/>
    </w:rPr>
  </w:style>
  <w:style w:type="character" w:customStyle="1" w:styleId="102">
    <w:name w:val="Char Char34"/>
    <w:autoRedefine/>
    <w:qFormat/>
    <w:uiPriority w:val="6"/>
    <w:rPr>
      <w:b/>
      <w:kern w:val="1"/>
      <w:sz w:val="28"/>
      <w:szCs w:val="28"/>
    </w:rPr>
  </w:style>
  <w:style w:type="character" w:customStyle="1" w:styleId="103">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104">
    <w:name w:val="哈哈正文 Char"/>
    <w:link w:val="105"/>
    <w:autoRedefine/>
    <w:qFormat/>
    <w:uiPriority w:val="0"/>
    <w:rPr>
      <w:rFonts w:ascii="宋体" w:hAnsi="宋体" w:eastAsia="宋体"/>
      <w:kern w:val="2"/>
      <w:sz w:val="24"/>
      <w:lang w:bidi="ar-SA"/>
    </w:rPr>
  </w:style>
  <w:style w:type="paragraph" w:customStyle="1" w:styleId="105">
    <w:name w:val="哈哈正文"/>
    <w:basedOn w:val="1"/>
    <w:link w:val="104"/>
    <w:autoRedefine/>
    <w:qFormat/>
    <w:uiPriority w:val="0"/>
    <w:pPr>
      <w:adjustRightInd/>
      <w:spacing w:line="360" w:lineRule="auto"/>
      <w:ind w:firstLine="200" w:firstLineChars="200"/>
    </w:pPr>
    <w:rPr>
      <w:rFonts w:ascii="宋体" w:hAnsi="宋体"/>
      <w:sz w:val="24"/>
      <w:szCs w:val="20"/>
    </w:rPr>
  </w:style>
  <w:style w:type="character" w:customStyle="1" w:styleId="106">
    <w:name w:val="未处理的提及1"/>
    <w:autoRedefine/>
    <w:qFormat/>
    <w:uiPriority w:val="0"/>
    <w:rPr>
      <w:color w:val="808080"/>
      <w:shd w:val="clear" w:color="auto" w:fill="E6E6E6"/>
    </w:rPr>
  </w:style>
  <w:style w:type="character" w:customStyle="1" w:styleId="107">
    <w:name w:val="txt"/>
    <w:autoRedefine/>
    <w:qFormat/>
    <w:uiPriority w:val="0"/>
    <w:rPr>
      <w:rFonts w:ascii="仿宋_GB2312" w:eastAsia="微软雅黑"/>
      <w:b/>
      <w:kern w:val="2"/>
      <w:sz w:val="32"/>
      <w:szCs w:val="32"/>
      <w:lang w:val="en-US" w:eastAsia="zh-CN" w:bidi="ar-SA"/>
    </w:rPr>
  </w:style>
  <w:style w:type="character" w:customStyle="1" w:styleId="108">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9">
    <w:name w:val="Char Char32"/>
    <w:autoRedefine/>
    <w:qFormat/>
    <w:uiPriority w:val="6"/>
    <w:rPr>
      <w:b/>
      <w:kern w:val="1"/>
      <w:sz w:val="24"/>
      <w:szCs w:val="24"/>
    </w:rPr>
  </w:style>
  <w:style w:type="character" w:customStyle="1" w:styleId="110">
    <w:name w:val="PI Char1"/>
    <w:autoRedefine/>
    <w:qFormat/>
    <w:uiPriority w:val="0"/>
    <w:rPr>
      <w:rFonts w:ascii="宋体" w:hAnsi="宋体"/>
      <w:kern w:val="2"/>
      <w:sz w:val="24"/>
      <w:szCs w:val="24"/>
    </w:rPr>
  </w:style>
  <w:style w:type="character" w:customStyle="1" w:styleId="111">
    <w:name w:val="tw4winTerm"/>
    <w:autoRedefine/>
    <w:qFormat/>
    <w:uiPriority w:val="0"/>
    <w:rPr>
      <w:color w:val="0000FF"/>
    </w:rPr>
  </w:style>
  <w:style w:type="character" w:customStyle="1" w:styleId="112">
    <w:name w:val="Footer Char"/>
    <w:autoRedefine/>
    <w:qFormat/>
    <w:locked/>
    <w:uiPriority w:val="0"/>
    <w:rPr>
      <w:rFonts w:eastAsia="宋体"/>
      <w:kern w:val="2"/>
      <w:sz w:val="18"/>
      <w:lang w:val="en-US" w:eastAsia="zh-CN" w:bidi="ar-SA"/>
    </w:rPr>
  </w:style>
  <w:style w:type="character" w:customStyle="1" w:styleId="113">
    <w:name w:val="普通文字 Char Char1"/>
    <w:autoRedefine/>
    <w:qFormat/>
    <w:uiPriority w:val="0"/>
    <w:rPr>
      <w:rFonts w:ascii="宋体" w:hAnsi="Courier New"/>
      <w:kern w:val="2"/>
      <w:sz w:val="21"/>
    </w:rPr>
  </w:style>
  <w:style w:type="character" w:customStyle="1" w:styleId="114">
    <w:name w:val="Char Char101"/>
    <w:autoRedefine/>
    <w:qFormat/>
    <w:uiPriority w:val="6"/>
    <w:rPr>
      <w:rFonts w:ascii="宋体" w:hAnsi="宋体"/>
      <w:kern w:val="2"/>
      <w:sz w:val="21"/>
      <w:szCs w:val="24"/>
      <w:lang w:val="en-US" w:eastAsia="zh-CN"/>
    </w:rPr>
  </w:style>
  <w:style w:type="character" w:customStyle="1" w:styleId="115">
    <w:name w:val="标题 4 Char"/>
    <w:autoRedefine/>
    <w:qFormat/>
    <w:uiPriority w:val="0"/>
    <w:rPr>
      <w:rFonts w:ascii="Arial" w:hAnsi="Arial" w:eastAsia="黑体"/>
      <w:b/>
      <w:kern w:val="2"/>
      <w:sz w:val="28"/>
    </w:rPr>
  </w:style>
  <w:style w:type="character" w:customStyle="1" w:styleId="116">
    <w:name w:val="链接"/>
    <w:autoRedefine/>
    <w:qFormat/>
    <w:uiPriority w:val="0"/>
    <w:rPr>
      <w:color w:val="0000FF"/>
      <w:sz w:val="21"/>
      <w:szCs w:val="21"/>
      <w:u w:val="single"/>
    </w:rPr>
  </w:style>
  <w:style w:type="character" w:customStyle="1" w:styleId="117">
    <w:name w:val="h4 Char"/>
    <w:autoRedefine/>
    <w:qFormat/>
    <w:uiPriority w:val="0"/>
    <w:rPr>
      <w:rFonts w:ascii="Arial" w:hAnsi="Arial" w:eastAsia="黑体"/>
      <w:b/>
      <w:bCs/>
      <w:kern w:val="2"/>
      <w:sz w:val="28"/>
      <w:szCs w:val="28"/>
      <w:lang w:val="zh-CN" w:eastAsia="zh-CN" w:bidi="ar-SA"/>
    </w:rPr>
  </w:style>
  <w:style w:type="character" w:customStyle="1" w:styleId="118">
    <w:name w:val="5正文 Char"/>
    <w:link w:val="119"/>
    <w:autoRedefine/>
    <w:qFormat/>
    <w:uiPriority w:val="0"/>
    <w:rPr>
      <w:rFonts w:ascii="仿宋_GB2312" w:hAnsi="微软雅黑" w:eastAsia="仿宋_GB2312"/>
      <w:sz w:val="28"/>
      <w:szCs w:val="21"/>
    </w:rPr>
  </w:style>
  <w:style w:type="paragraph" w:customStyle="1" w:styleId="119">
    <w:name w:val="5正文"/>
    <w:basedOn w:val="1"/>
    <w:link w:val="118"/>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20">
    <w:name w:val="标题 3 字符"/>
    <w:autoRedefine/>
    <w:qFormat/>
    <w:uiPriority w:val="9"/>
    <w:rPr>
      <w:b/>
      <w:bCs/>
      <w:kern w:val="2"/>
      <w:sz w:val="32"/>
      <w:szCs w:val="32"/>
    </w:rPr>
  </w:style>
  <w:style w:type="character" w:customStyle="1" w:styleId="121">
    <w:name w:val="样式6 Char"/>
    <w:autoRedefine/>
    <w:qFormat/>
    <w:uiPriority w:val="0"/>
    <w:rPr>
      <w:rFonts w:ascii="仿宋_GB2312" w:hAnsi="宋体" w:eastAsia="仿宋_GB2312"/>
      <w:b/>
      <w:bCs/>
      <w:kern w:val="2"/>
      <w:sz w:val="24"/>
      <w:szCs w:val="24"/>
      <w:lang w:val="en-US" w:eastAsia="zh-CN" w:bidi="ar-SA"/>
    </w:rPr>
  </w:style>
  <w:style w:type="character" w:customStyle="1" w:styleId="122">
    <w:name w:val="Char Char14"/>
    <w:autoRedefine/>
    <w:qFormat/>
    <w:uiPriority w:val="6"/>
    <w:rPr>
      <w:rFonts w:ascii="黑体" w:hAnsi="黑体" w:eastAsia="黑体"/>
    </w:rPr>
  </w:style>
  <w:style w:type="character" w:customStyle="1" w:styleId="123">
    <w:name w:val="Heading 2 Hidden Char"/>
    <w:autoRedefine/>
    <w:qFormat/>
    <w:uiPriority w:val="0"/>
    <w:rPr>
      <w:rFonts w:ascii="仿宋_GB2312" w:eastAsia="仿宋_GB2312"/>
      <w:b/>
      <w:bCs/>
      <w:kern w:val="2"/>
      <w:sz w:val="24"/>
      <w:szCs w:val="24"/>
      <w:lang w:val="zh-CN" w:eastAsia="zh-CN" w:bidi="ar-SA"/>
    </w:rPr>
  </w:style>
  <w:style w:type="character" w:customStyle="1" w:styleId="124">
    <w:name w:val="正文首行缩进 2 Char"/>
    <w:link w:val="65"/>
    <w:autoRedefine/>
    <w:qFormat/>
    <w:uiPriority w:val="0"/>
    <w:rPr>
      <w:rFonts w:ascii="宋体" w:hAnsi="宋体"/>
      <w:kern w:val="2"/>
      <w:sz w:val="21"/>
      <w:szCs w:val="24"/>
    </w:rPr>
  </w:style>
  <w:style w:type="character" w:customStyle="1" w:styleId="125">
    <w:name w:val="font11"/>
    <w:autoRedefine/>
    <w:qFormat/>
    <w:uiPriority w:val="0"/>
    <w:rPr>
      <w:rFonts w:hint="default" w:ascii="Times New Roman" w:hAnsi="Times New Roman" w:cs="Times New Roman"/>
      <w:color w:val="000000"/>
      <w:sz w:val="22"/>
      <w:szCs w:val="22"/>
      <w:u w:val="none"/>
    </w:rPr>
  </w:style>
  <w:style w:type="character" w:customStyle="1" w:styleId="126">
    <w:name w:val="表正文 Char1"/>
    <w:autoRedefine/>
    <w:qFormat/>
    <w:uiPriority w:val="0"/>
    <w:rPr>
      <w:rFonts w:ascii="宋体" w:eastAsia="宋体"/>
      <w:snapToGrid w:val="0"/>
      <w:color w:val="000000"/>
      <w:kern w:val="28"/>
      <w:sz w:val="28"/>
    </w:rPr>
  </w:style>
  <w:style w:type="character" w:customStyle="1" w:styleId="127">
    <w:name w:val="blue1"/>
    <w:basedOn w:val="73"/>
    <w:autoRedefine/>
    <w:qFormat/>
    <w:uiPriority w:val="0"/>
    <w:rPr>
      <w:rFonts w:ascii="Arial" w:hAnsi="Arial" w:eastAsia="黑体" w:cs="Arial"/>
      <w:snapToGrid w:val="0"/>
      <w:kern w:val="0"/>
      <w:szCs w:val="21"/>
    </w:rPr>
  </w:style>
  <w:style w:type="character" w:customStyle="1" w:styleId="128">
    <w:name w:val="纯文本 Char"/>
    <w:link w:val="36"/>
    <w:autoRedefine/>
    <w:qFormat/>
    <w:uiPriority w:val="0"/>
    <w:rPr>
      <w:rFonts w:ascii="宋体" w:hAnsi="Courier New" w:eastAsia="宋体" w:cs="Arial"/>
      <w:snapToGrid w:val="0"/>
      <w:kern w:val="2"/>
      <w:sz w:val="21"/>
      <w:szCs w:val="21"/>
      <w:lang w:val="en-US" w:eastAsia="zh-CN" w:bidi="ar-SA"/>
    </w:rPr>
  </w:style>
  <w:style w:type="character" w:customStyle="1" w:styleId="129">
    <w:name w:val="标书1 Char"/>
    <w:autoRedefine/>
    <w:qFormat/>
    <w:uiPriority w:val="0"/>
    <w:rPr>
      <w:rFonts w:eastAsia="宋体"/>
      <w:b/>
      <w:bCs/>
      <w:kern w:val="44"/>
      <w:sz w:val="44"/>
      <w:szCs w:val="44"/>
      <w:lang w:val="en-US" w:eastAsia="zh-CN" w:bidi="ar-SA"/>
    </w:rPr>
  </w:style>
  <w:style w:type="character" w:customStyle="1" w:styleId="130">
    <w:name w:val="样式5 Char"/>
    <w:autoRedefine/>
    <w:qFormat/>
    <w:uiPriority w:val="0"/>
    <w:rPr>
      <w:rFonts w:ascii="仿宋_GB2312" w:hAnsi="仿宋" w:eastAsia="仿宋_GB2312"/>
      <w:kern w:val="2"/>
      <w:sz w:val="24"/>
      <w:szCs w:val="24"/>
    </w:rPr>
  </w:style>
  <w:style w:type="character" w:customStyle="1" w:styleId="131">
    <w:name w:val="样式4 Char"/>
    <w:autoRedefine/>
    <w:qFormat/>
    <w:uiPriority w:val="0"/>
    <w:rPr>
      <w:rFonts w:ascii="仿宋_GB2312" w:hAnsi="仿宋" w:eastAsia="仿宋_GB2312"/>
      <w:b/>
      <w:kern w:val="2"/>
      <w:sz w:val="32"/>
      <w:szCs w:val="32"/>
      <w:lang w:bidi="ar-SA"/>
    </w:rPr>
  </w:style>
  <w:style w:type="character" w:customStyle="1" w:styleId="132">
    <w:name w:val="插图说明 Char"/>
    <w:autoRedefine/>
    <w:qFormat/>
    <w:uiPriority w:val="0"/>
    <w:rPr>
      <w:rFonts w:eastAsia="黑体"/>
      <w:sz w:val="24"/>
      <w:lang w:val="en-US" w:eastAsia="zh-CN"/>
    </w:rPr>
  </w:style>
  <w:style w:type="character" w:customStyle="1" w:styleId="133">
    <w:name w:val="正文2 Char Char"/>
    <w:link w:val="134"/>
    <w:autoRedefine/>
    <w:qFormat/>
    <w:uiPriority w:val="0"/>
    <w:rPr>
      <w:rFonts w:eastAsia="宋体"/>
      <w:kern w:val="2"/>
      <w:sz w:val="24"/>
      <w:lang w:val="en-US" w:eastAsia="zh-CN" w:bidi="ar-SA"/>
    </w:rPr>
  </w:style>
  <w:style w:type="paragraph" w:customStyle="1" w:styleId="134">
    <w:name w:val="正文2"/>
    <w:basedOn w:val="1"/>
    <w:link w:val="133"/>
    <w:autoRedefine/>
    <w:qFormat/>
    <w:uiPriority w:val="0"/>
    <w:pPr>
      <w:spacing w:before="156" w:line="360" w:lineRule="auto"/>
      <w:ind w:firstLine="510" w:firstLineChars="200"/>
    </w:pPr>
    <w:rPr>
      <w:sz w:val="24"/>
      <w:szCs w:val="20"/>
    </w:rPr>
  </w:style>
  <w:style w:type="character" w:customStyle="1" w:styleId="135">
    <w:name w:val="Char Char24"/>
    <w:autoRedefine/>
    <w:qFormat/>
    <w:uiPriority w:val="6"/>
    <w:rPr>
      <w:kern w:val="1"/>
      <w:sz w:val="21"/>
    </w:rPr>
  </w:style>
  <w:style w:type="character" w:customStyle="1" w:styleId="136">
    <w:name w:val="副标题 Char"/>
    <w:link w:val="50"/>
    <w:autoRedefine/>
    <w:qFormat/>
    <w:uiPriority w:val="0"/>
    <w:rPr>
      <w:rFonts w:ascii="Arial" w:hAnsi="Arial" w:eastAsia="隶书"/>
      <w:b/>
      <w:bCs/>
      <w:kern w:val="28"/>
      <w:sz w:val="44"/>
      <w:szCs w:val="32"/>
      <w:lang w:val="en-US" w:eastAsia="zh-CN" w:bidi="ar-SA"/>
    </w:rPr>
  </w:style>
  <w:style w:type="character" w:customStyle="1" w:styleId="137">
    <w:name w:val="普通文字 Char1 Char"/>
    <w:autoRedefine/>
    <w:qFormat/>
    <w:uiPriority w:val="0"/>
    <w:rPr>
      <w:rFonts w:ascii="宋体" w:hAnsi="Courier New" w:eastAsia="宋体"/>
      <w:kern w:val="2"/>
      <w:sz w:val="21"/>
      <w:szCs w:val="24"/>
      <w:lang w:val="en-US" w:eastAsia="zh-CN" w:bidi="ar-SA"/>
    </w:rPr>
  </w:style>
  <w:style w:type="character" w:customStyle="1" w:styleId="138">
    <w:name w:val="h3 Char1"/>
    <w:autoRedefine/>
    <w:qFormat/>
    <w:uiPriority w:val="0"/>
    <w:rPr>
      <w:rFonts w:eastAsia="宋体"/>
      <w:b/>
      <w:bCs/>
      <w:kern w:val="2"/>
      <w:sz w:val="32"/>
      <w:szCs w:val="32"/>
      <w:lang w:bidi="ar-SA"/>
    </w:rPr>
  </w:style>
  <w:style w:type="character" w:customStyle="1" w:styleId="139">
    <w:name w:val="标题 Char1"/>
    <w:autoRedefine/>
    <w:qFormat/>
    <w:uiPriority w:val="0"/>
    <w:rPr>
      <w:rFonts w:ascii="Cambria" w:hAnsi="Cambria" w:eastAsia="宋体" w:cs="Times New Roman"/>
      <w:b/>
      <w:bCs/>
      <w:sz w:val="32"/>
      <w:szCs w:val="32"/>
      <w:lang w:bidi="ar-SA"/>
    </w:rPr>
  </w:style>
  <w:style w:type="character" w:customStyle="1" w:styleId="140">
    <w:name w:val="gf正文1 Char"/>
    <w:autoRedefine/>
    <w:qFormat/>
    <w:uiPriority w:val="0"/>
    <w:rPr>
      <w:rFonts w:ascii="宋体" w:hAnsi="宋体" w:eastAsia="宋体" w:cs="宋体"/>
      <w:kern w:val="2"/>
      <w:sz w:val="24"/>
      <w:szCs w:val="24"/>
      <w:lang w:val="en-US" w:eastAsia="zh-CN" w:bidi="ar-SA"/>
    </w:rPr>
  </w:style>
  <w:style w:type="character" w:customStyle="1" w:styleId="141">
    <w:name w:val="正文文本缩进 Char1"/>
    <w:autoRedefine/>
    <w:qFormat/>
    <w:uiPriority w:val="0"/>
    <w:rPr>
      <w:rFonts w:ascii="Calibri" w:hAnsi="Calibri"/>
      <w:sz w:val="28"/>
    </w:rPr>
  </w:style>
  <w:style w:type="character" w:customStyle="1" w:styleId="142">
    <w:name w:val="No Spacing Char"/>
    <w:link w:val="143"/>
    <w:autoRedefine/>
    <w:qFormat/>
    <w:uiPriority w:val="1"/>
    <w:rPr>
      <w:sz w:val="22"/>
      <w:szCs w:val="22"/>
      <w:lang w:val="en-US" w:eastAsia="zh-CN" w:bidi="ar-SA"/>
    </w:rPr>
  </w:style>
  <w:style w:type="paragraph" w:customStyle="1" w:styleId="143">
    <w:name w:val="无间隔1"/>
    <w:link w:val="142"/>
    <w:autoRedefine/>
    <w:qFormat/>
    <w:uiPriority w:val="1"/>
    <w:rPr>
      <w:rFonts w:ascii="Times New Roman" w:hAnsi="Times New Roman" w:eastAsia="宋体" w:cs="Times New Roman"/>
      <w:sz w:val="22"/>
      <w:szCs w:val="22"/>
      <w:lang w:val="en-US" w:eastAsia="zh-CN" w:bidi="ar-SA"/>
    </w:rPr>
  </w:style>
  <w:style w:type="character" w:customStyle="1" w:styleId="144">
    <w:name w:val="样式7 Char"/>
    <w:autoRedefine/>
    <w:qFormat/>
    <w:uiPriority w:val="0"/>
    <w:rPr>
      <w:rFonts w:ascii="仿宋_GB2312" w:hAnsi="仿宋" w:eastAsia="仿宋_GB2312"/>
      <w:b/>
      <w:kern w:val="2"/>
      <w:sz w:val="24"/>
      <w:szCs w:val="24"/>
    </w:rPr>
  </w:style>
  <w:style w:type="character" w:customStyle="1" w:styleId="145">
    <w:name w:val="font12gray1"/>
    <w:autoRedefine/>
    <w:qFormat/>
    <w:uiPriority w:val="0"/>
    <w:rPr>
      <w:rFonts w:ascii="仿宋_GB2312" w:eastAsia="微软雅黑"/>
      <w:b/>
      <w:spacing w:val="300"/>
      <w:kern w:val="2"/>
      <w:sz w:val="18"/>
      <w:szCs w:val="18"/>
      <w:lang w:val="en-US" w:eastAsia="zh-CN" w:bidi="ar-SA"/>
    </w:rPr>
  </w:style>
  <w:style w:type="character" w:customStyle="1" w:styleId="146">
    <w:name w:val="Char Char7"/>
    <w:autoRedefine/>
    <w:semiHidden/>
    <w:qFormat/>
    <w:uiPriority w:val="0"/>
    <w:rPr>
      <w:rFonts w:eastAsia="宋体"/>
      <w:kern w:val="2"/>
      <w:sz w:val="21"/>
      <w:szCs w:val="24"/>
      <w:lang w:val="en-US" w:eastAsia="zh-CN" w:bidi="ar-SA"/>
    </w:rPr>
  </w:style>
  <w:style w:type="character" w:customStyle="1" w:styleId="147">
    <w:name w:val="表名 Char"/>
    <w:autoRedefine/>
    <w:qFormat/>
    <w:uiPriority w:val="0"/>
    <w:rPr>
      <w:rFonts w:eastAsia="宋体"/>
      <w:b/>
      <w:bCs/>
      <w:kern w:val="2"/>
      <w:sz w:val="24"/>
      <w:szCs w:val="24"/>
      <w:lang w:val="en-US" w:eastAsia="zh-CN" w:bidi="ar-SA"/>
    </w:rPr>
  </w:style>
  <w:style w:type="character" w:customStyle="1" w:styleId="148">
    <w:name w:val="Document Map Char"/>
    <w:autoRedefine/>
    <w:qFormat/>
    <w:locked/>
    <w:uiPriority w:val="0"/>
    <w:rPr>
      <w:rFonts w:eastAsia="宋体"/>
      <w:kern w:val="2"/>
      <w:sz w:val="21"/>
      <w:szCs w:val="24"/>
      <w:lang w:val="en-US" w:eastAsia="zh-CN" w:bidi="ar-SA"/>
    </w:rPr>
  </w:style>
  <w:style w:type="character" w:customStyle="1" w:styleId="149">
    <w:name w:val="font41"/>
    <w:autoRedefine/>
    <w:qFormat/>
    <w:uiPriority w:val="0"/>
    <w:rPr>
      <w:rFonts w:hint="eastAsia" w:ascii="仿宋_GB2312" w:eastAsia="仿宋_GB2312" w:cs="仿宋_GB2312"/>
      <w:color w:val="000000"/>
      <w:sz w:val="22"/>
      <w:szCs w:val="22"/>
      <w:u w:val="none"/>
    </w:rPr>
  </w:style>
  <w:style w:type="character" w:customStyle="1" w:styleId="150">
    <w:name w:val="标题 6 Char"/>
    <w:link w:val="7"/>
    <w:autoRedefine/>
    <w:qFormat/>
    <w:uiPriority w:val="0"/>
    <w:rPr>
      <w:rFonts w:ascii="Arial" w:hAnsi="Arial" w:eastAsia="黑体"/>
      <w:b/>
      <w:bCs/>
      <w:kern w:val="2"/>
      <w:sz w:val="24"/>
      <w:szCs w:val="24"/>
    </w:rPr>
  </w:style>
  <w:style w:type="character" w:customStyle="1" w:styleId="151">
    <w:name w:val="纯文本 Char_0"/>
    <w:link w:val="152"/>
    <w:autoRedefine/>
    <w:qFormat/>
    <w:uiPriority w:val="0"/>
    <w:rPr>
      <w:rFonts w:ascii="宋体" w:hAnsi="Courier New"/>
      <w:kern w:val="2"/>
      <w:sz w:val="21"/>
      <w:szCs w:val="21"/>
      <w:lang w:val="en-US" w:eastAsia="zh-CN"/>
    </w:rPr>
  </w:style>
  <w:style w:type="paragraph" w:customStyle="1" w:styleId="152">
    <w:name w:val="纯文本_0_0"/>
    <w:basedOn w:val="153"/>
    <w:link w:val="151"/>
    <w:autoRedefine/>
    <w:qFormat/>
    <w:uiPriority w:val="0"/>
    <w:rPr>
      <w:rFonts w:ascii="宋体" w:hAnsi="Courier New"/>
      <w:szCs w:val="21"/>
    </w:rPr>
  </w:style>
  <w:style w:type="paragraph" w:customStyle="1" w:styleId="153">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4">
    <w:name w:val="Balloon Text Char"/>
    <w:autoRedefine/>
    <w:qFormat/>
    <w:locked/>
    <w:uiPriority w:val="0"/>
    <w:rPr>
      <w:rFonts w:eastAsia="宋体"/>
      <w:kern w:val="2"/>
      <w:sz w:val="18"/>
      <w:szCs w:val="18"/>
      <w:lang w:val="en-US" w:eastAsia="zh-CN" w:bidi="ar-SA"/>
    </w:rPr>
  </w:style>
  <w:style w:type="character" w:customStyle="1" w:styleId="155">
    <w:name w:val="正文 项目2 Char"/>
    <w:basedOn w:val="156"/>
    <w:autoRedefine/>
    <w:qFormat/>
    <w:uiPriority w:val="0"/>
    <w:rPr>
      <w:rFonts w:ascii="仿宋_GB2312" w:hAnsi="仿宋_GB2312" w:eastAsia="仿宋_GB2312"/>
      <w:kern w:val="2"/>
      <w:sz w:val="24"/>
      <w:lang w:bidi="ar-SA"/>
    </w:rPr>
  </w:style>
  <w:style w:type="character" w:customStyle="1" w:styleId="156">
    <w:name w:val="正文 项目 Char"/>
    <w:autoRedefine/>
    <w:qFormat/>
    <w:uiPriority w:val="0"/>
    <w:rPr>
      <w:rFonts w:ascii="仿宋_GB2312" w:hAnsi="仿宋_GB2312" w:eastAsia="仿宋_GB2312"/>
      <w:kern w:val="2"/>
      <w:sz w:val="24"/>
      <w:lang w:bidi="ar-SA"/>
    </w:rPr>
  </w:style>
  <w:style w:type="character" w:customStyle="1" w:styleId="157">
    <w:name w:val="h Char Char1"/>
    <w:autoRedefine/>
    <w:qFormat/>
    <w:uiPriority w:val="0"/>
    <w:rPr>
      <w:rFonts w:eastAsia="宋体"/>
      <w:kern w:val="2"/>
      <w:sz w:val="18"/>
      <w:szCs w:val="18"/>
      <w:lang w:val="en-US" w:eastAsia="zh-CN" w:bidi="ar-SA"/>
    </w:rPr>
  </w:style>
  <w:style w:type="character" w:customStyle="1" w:styleId="158">
    <w:name w:val="Char Char27"/>
    <w:autoRedefine/>
    <w:qFormat/>
    <w:uiPriority w:val="6"/>
    <w:rPr>
      <w:rFonts w:ascii="宋体" w:hAnsi="宋体" w:eastAsia="宋体"/>
      <w:color w:val="000000"/>
      <w:kern w:val="1"/>
      <w:sz w:val="28"/>
      <w:lang w:val="en-US" w:eastAsia="zh-CN" w:bidi="ar-SA"/>
    </w:rPr>
  </w:style>
  <w:style w:type="character" w:customStyle="1" w:styleId="159">
    <w:name w:val="px14"/>
    <w:autoRedefine/>
    <w:qFormat/>
    <w:uiPriority w:val="0"/>
    <w:rPr>
      <w:rFonts w:ascii="仿宋_GB2312" w:eastAsia="微软雅黑" w:cs="Times New Roman"/>
      <w:b/>
      <w:kern w:val="2"/>
      <w:sz w:val="32"/>
      <w:szCs w:val="32"/>
      <w:lang w:val="en-US" w:eastAsia="zh-CN" w:bidi="ar-SA"/>
    </w:rPr>
  </w:style>
  <w:style w:type="character" w:customStyle="1" w:styleId="160">
    <w:name w:val="HTML 预设格式 Char1"/>
    <w:autoRedefine/>
    <w:qFormat/>
    <w:uiPriority w:val="0"/>
    <w:rPr>
      <w:rFonts w:ascii="Courier New" w:hAnsi="Courier New" w:eastAsia="宋体" w:cs="Courier New"/>
      <w:sz w:val="20"/>
      <w:szCs w:val="20"/>
    </w:rPr>
  </w:style>
  <w:style w:type="character" w:customStyle="1" w:styleId="161">
    <w:name w:val="普通文字 Char1"/>
    <w:autoRedefine/>
    <w:qFormat/>
    <w:uiPriority w:val="0"/>
    <w:rPr>
      <w:rFonts w:ascii="宋体" w:hAnsi="Courier New" w:eastAsia="宋体"/>
      <w:kern w:val="2"/>
      <w:sz w:val="21"/>
      <w:lang w:val="en-US" w:eastAsia="zh-CN"/>
    </w:rPr>
  </w:style>
  <w:style w:type="character" w:customStyle="1" w:styleId="162">
    <w:name w:val="hei16b1"/>
    <w:autoRedefine/>
    <w:qFormat/>
    <w:uiPriority w:val="0"/>
    <w:rPr>
      <w:rFonts w:hint="default" w:ascii="Arial" w:hAnsi="Arial" w:cs="Arial"/>
      <w:b/>
      <w:bCs/>
      <w:color w:val="000000"/>
      <w:sz w:val="24"/>
      <w:szCs w:val="24"/>
    </w:rPr>
  </w:style>
  <w:style w:type="character" w:customStyle="1" w:styleId="163">
    <w:name w:val="正文（绿盟科技） Char"/>
    <w:link w:val="164"/>
    <w:autoRedefine/>
    <w:qFormat/>
    <w:uiPriority w:val="0"/>
    <w:rPr>
      <w:rFonts w:ascii="Arial" w:hAnsi="Arial"/>
      <w:sz w:val="21"/>
      <w:szCs w:val="21"/>
    </w:rPr>
  </w:style>
  <w:style w:type="paragraph" w:customStyle="1" w:styleId="164">
    <w:name w:val="正文（绿盟科技）"/>
    <w:link w:val="163"/>
    <w:autoRedefine/>
    <w:qFormat/>
    <w:uiPriority w:val="0"/>
    <w:pPr>
      <w:spacing w:line="300" w:lineRule="auto"/>
    </w:pPr>
    <w:rPr>
      <w:rFonts w:ascii="Arial" w:hAnsi="Arial" w:eastAsia="宋体" w:cs="Times New Roman"/>
      <w:sz w:val="21"/>
      <w:szCs w:val="21"/>
      <w:lang w:val="en-US" w:eastAsia="zh-CN" w:bidi="ar-SA"/>
    </w:rPr>
  </w:style>
  <w:style w:type="character" w:customStyle="1" w:styleId="165">
    <w:name w:val="Char Char19"/>
    <w:autoRedefine/>
    <w:qFormat/>
    <w:uiPriority w:val="6"/>
    <w:rPr>
      <w:rFonts w:ascii="宋体" w:hAnsi="宋体"/>
      <w:i/>
      <w:sz w:val="24"/>
      <w:szCs w:val="24"/>
    </w:rPr>
  </w:style>
  <w:style w:type="character" w:customStyle="1" w:styleId="166">
    <w:name w:val="页脚 Char"/>
    <w:autoRedefine/>
    <w:qFormat/>
    <w:uiPriority w:val="0"/>
    <w:rPr>
      <w:rFonts w:eastAsia="仿宋_GB2312"/>
      <w:kern w:val="2"/>
      <w:sz w:val="18"/>
      <w:lang w:val="en-US" w:eastAsia="zh-CN"/>
    </w:rPr>
  </w:style>
  <w:style w:type="character" w:customStyle="1" w:styleId="167">
    <w:name w:val="批注主题 Char"/>
    <w:autoRedefine/>
    <w:qFormat/>
    <w:uiPriority w:val="0"/>
    <w:rPr>
      <w:rFonts w:eastAsia="宋体"/>
      <w:b/>
      <w:bCs/>
      <w:kern w:val="2"/>
      <w:sz w:val="21"/>
      <w:szCs w:val="24"/>
      <w:lang w:val="en-US" w:eastAsia="zh-CN" w:bidi="ar-SA"/>
    </w:rPr>
  </w:style>
  <w:style w:type="character" w:customStyle="1" w:styleId="168">
    <w:name w:val="Comment Text Char"/>
    <w:autoRedefine/>
    <w:qFormat/>
    <w:locked/>
    <w:uiPriority w:val="0"/>
    <w:rPr>
      <w:rFonts w:ascii="宋体" w:hAnsi="宋体" w:eastAsia="宋体"/>
      <w:kern w:val="2"/>
      <w:sz w:val="24"/>
      <w:lang w:val="en-US" w:eastAsia="zh-CN" w:bidi="ar-SA"/>
    </w:rPr>
  </w:style>
  <w:style w:type="character" w:customStyle="1" w:styleId="169">
    <w:name w:val="标题 2 字符"/>
    <w:autoRedefine/>
    <w:qFormat/>
    <w:uiPriority w:val="1"/>
    <w:rPr>
      <w:rFonts w:ascii="仿宋_GB2312" w:hAnsi="Times New Roman" w:eastAsia="仿宋_GB2312" w:cs="Times New Roman"/>
      <w:b/>
      <w:kern w:val="2"/>
      <w:sz w:val="24"/>
      <w:lang w:val="zh-CN"/>
    </w:rPr>
  </w:style>
  <w:style w:type="character" w:customStyle="1" w:styleId="170">
    <w:name w:val="Char Char72"/>
    <w:autoRedefine/>
    <w:qFormat/>
    <w:uiPriority w:val="0"/>
    <w:rPr>
      <w:rFonts w:eastAsia="宋体"/>
      <w:kern w:val="2"/>
      <w:sz w:val="21"/>
      <w:szCs w:val="24"/>
      <w:lang w:val="en-US" w:eastAsia="zh-CN" w:bidi="ar-SA"/>
    </w:rPr>
  </w:style>
  <w:style w:type="character" w:customStyle="1" w:styleId="171">
    <w:name w:val="正文文本缩进 Char2"/>
    <w:autoRedefine/>
    <w:qFormat/>
    <w:uiPriority w:val="0"/>
    <w:rPr>
      <w:rFonts w:ascii="Times New Roman" w:hAnsi="Times New Roman" w:eastAsia="宋体" w:cs="Times New Roman"/>
      <w:snapToGrid w:val="0"/>
      <w:kern w:val="0"/>
      <w:szCs w:val="24"/>
    </w:rPr>
  </w:style>
  <w:style w:type="character" w:customStyle="1" w:styleId="172">
    <w:name w:val="样式2 Char"/>
    <w:autoRedefine/>
    <w:qFormat/>
    <w:uiPriority w:val="0"/>
    <w:rPr>
      <w:rFonts w:ascii="仿宋_GB2312" w:hAnsi="仿宋" w:eastAsia="仿宋_GB2312" w:cs="仿宋_GB2312"/>
      <w:b/>
      <w:bCs/>
      <w:sz w:val="32"/>
      <w:szCs w:val="30"/>
      <w:lang w:val="zh-CN"/>
    </w:rPr>
  </w:style>
  <w:style w:type="character" w:customStyle="1" w:styleId="173">
    <w:name w:val="表格名称[858D7CFB-ED40-4347-BF05-701D383B685F]"/>
    <w:link w:val="174"/>
    <w:autoRedefine/>
    <w:qFormat/>
    <w:uiPriority w:val="0"/>
    <w:rPr>
      <w:sz w:val="32"/>
    </w:rPr>
  </w:style>
  <w:style w:type="paragraph" w:customStyle="1" w:styleId="174">
    <w:name w:val="表格名称"/>
    <w:basedOn w:val="3"/>
    <w:link w:val="173"/>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5">
    <w:name w:val="Char Char4"/>
    <w:autoRedefine/>
    <w:qFormat/>
    <w:uiPriority w:val="0"/>
    <w:rPr>
      <w:rFonts w:eastAsia="宋体"/>
      <w:b/>
      <w:sz w:val="24"/>
      <w:lang w:val="en-GB" w:eastAsia="zh-CN" w:bidi="ar-SA"/>
    </w:rPr>
  </w:style>
  <w:style w:type="character" w:customStyle="1" w:styleId="176">
    <w:name w:val="c7 style3"/>
    <w:autoRedefine/>
    <w:qFormat/>
    <w:uiPriority w:val="0"/>
  </w:style>
  <w:style w:type="character" w:customStyle="1" w:styleId="177">
    <w:name w:val="正文文本 3 Char1"/>
    <w:autoRedefine/>
    <w:semiHidden/>
    <w:qFormat/>
    <w:uiPriority w:val="99"/>
    <w:rPr>
      <w:rFonts w:ascii="Times New Roman" w:hAnsi="Times New Roman" w:eastAsia="宋体" w:cs="Times New Roman"/>
      <w:sz w:val="16"/>
      <w:szCs w:val="16"/>
    </w:rPr>
  </w:style>
  <w:style w:type="character" w:customStyle="1" w:styleId="178">
    <w:name w:val="tw4winInternal"/>
    <w:autoRedefine/>
    <w:qFormat/>
    <w:uiPriority w:val="0"/>
    <w:rPr>
      <w:rFonts w:ascii="Courier New" w:hAnsi="Courier New" w:cs="Courier New"/>
      <w:color w:val="FF0000"/>
      <w:lang w:val="en-US" w:eastAsia="zh-CN"/>
    </w:rPr>
  </w:style>
  <w:style w:type="character" w:customStyle="1" w:styleId="179">
    <w:name w:val="Char Char10"/>
    <w:autoRedefine/>
    <w:semiHidden/>
    <w:qFormat/>
    <w:uiPriority w:val="0"/>
    <w:rPr>
      <w:rFonts w:ascii="宋体" w:hAnsi="宋体"/>
      <w:kern w:val="2"/>
      <w:sz w:val="21"/>
      <w:szCs w:val="24"/>
      <w:lang w:val="en-US" w:eastAsia="zh-CN"/>
    </w:rPr>
  </w:style>
  <w:style w:type="character" w:customStyle="1" w:styleId="180">
    <w:name w:val="shadow11"/>
    <w:autoRedefine/>
    <w:qFormat/>
    <w:uiPriority w:val="0"/>
    <w:rPr>
      <w:color w:val="000000"/>
      <w:sz w:val="21"/>
    </w:rPr>
  </w:style>
  <w:style w:type="character" w:customStyle="1" w:styleId="181">
    <w:name w:val="正文非缩进 Char3"/>
    <w:autoRedefine/>
    <w:qFormat/>
    <w:uiPriority w:val="0"/>
    <w:rPr>
      <w:rFonts w:ascii="宋体" w:eastAsia="宋体"/>
      <w:snapToGrid w:val="0"/>
      <w:color w:val="000000"/>
      <w:kern w:val="28"/>
      <w:sz w:val="28"/>
      <w:lang w:val="en-US" w:eastAsia="zh-CN" w:bidi="ar-SA"/>
    </w:rPr>
  </w:style>
  <w:style w:type="character" w:customStyle="1" w:styleId="182">
    <w:name w:val="Char Char"/>
    <w:autoRedefine/>
    <w:qFormat/>
    <w:uiPriority w:val="0"/>
    <w:rPr>
      <w:rFonts w:ascii="宋体" w:hAnsi="Courier New" w:eastAsia="宋体"/>
      <w:kern w:val="2"/>
      <w:sz w:val="21"/>
      <w:lang w:val="en-US" w:eastAsia="zh-CN" w:bidi="ar-SA"/>
    </w:rPr>
  </w:style>
  <w:style w:type="character" w:customStyle="1" w:styleId="183">
    <w:name w:val="签名 Char1"/>
    <w:autoRedefine/>
    <w:qFormat/>
    <w:uiPriority w:val="0"/>
    <w:rPr>
      <w:rFonts w:ascii="Times New Roman" w:hAnsi="Times New Roman" w:eastAsia="宋体" w:cs="Times New Roman"/>
      <w:szCs w:val="24"/>
    </w:rPr>
  </w:style>
  <w:style w:type="character" w:customStyle="1" w:styleId="184">
    <w:name w:val="日期 Char"/>
    <w:link w:val="39"/>
    <w:autoRedefine/>
    <w:qFormat/>
    <w:uiPriority w:val="0"/>
    <w:rPr>
      <w:rFonts w:ascii="宋体"/>
      <w:kern w:val="2"/>
      <w:sz w:val="24"/>
      <w:szCs w:val="21"/>
      <w:lang w:val="zh-CN"/>
    </w:rPr>
  </w:style>
  <w:style w:type="character" w:customStyle="1" w:styleId="185">
    <w:name w:val="标题 9 Char"/>
    <w:link w:val="10"/>
    <w:autoRedefine/>
    <w:qFormat/>
    <w:uiPriority w:val="0"/>
    <w:rPr>
      <w:rFonts w:ascii="Arial" w:hAnsi="Arial" w:eastAsia="黑体"/>
      <w:kern w:val="2"/>
      <w:sz w:val="21"/>
      <w:szCs w:val="21"/>
    </w:rPr>
  </w:style>
  <w:style w:type="character" w:customStyle="1" w:styleId="186">
    <w:name w:val="Char Char18"/>
    <w:autoRedefine/>
    <w:qFormat/>
    <w:uiPriority w:val="6"/>
    <w:rPr>
      <w:rFonts w:ascii="宋体" w:hAnsi="宋体"/>
      <w:sz w:val="28"/>
    </w:rPr>
  </w:style>
  <w:style w:type="character" w:customStyle="1" w:styleId="187">
    <w:name w:val="批注文字 Char"/>
    <w:autoRedefine/>
    <w:qFormat/>
    <w:uiPriority w:val="0"/>
    <w:rPr>
      <w:kern w:val="2"/>
      <w:sz w:val="21"/>
      <w:szCs w:val="24"/>
    </w:rPr>
  </w:style>
  <w:style w:type="character" w:customStyle="1" w:styleId="188">
    <w:name w:val="Char Char22"/>
    <w:autoRedefine/>
    <w:qFormat/>
    <w:uiPriority w:val="6"/>
    <w:rPr>
      <w:rFonts w:ascii="宋体" w:hAnsi="宋体"/>
      <w:kern w:val="1"/>
      <w:sz w:val="24"/>
      <w:szCs w:val="24"/>
    </w:rPr>
  </w:style>
  <w:style w:type="character" w:customStyle="1" w:styleId="189">
    <w:name w:val="pt141"/>
    <w:autoRedefine/>
    <w:qFormat/>
    <w:uiPriority w:val="0"/>
    <w:rPr>
      <w:color w:val="330066"/>
      <w:sz w:val="22"/>
      <w:szCs w:val="22"/>
    </w:rPr>
  </w:style>
  <w:style w:type="character" w:customStyle="1" w:styleId="190">
    <w:name w:val="正文文本缩进 2 Char1"/>
    <w:autoRedefine/>
    <w:semiHidden/>
    <w:qFormat/>
    <w:uiPriority w:val="99"/>
    <w:rPr>
      <w:rFonts w:ascii="Times New Roman" w:hAnsi="Times New Roman" w:eastAsia="宋体" w:cs="Times New Roman"/>
      <w:szCs w:val="24"/>
    </w:rPr>
  </w:style>
  <w:style w:type="character" w:customStyle="1" w:styleId="191">
    <w:name w:val="批注框文本 Char"/>
    <w:link w:val="42"/>
    <w:autoRedefine/>
    <w:qFormat/>
    <w:uiPriority w:val="0"/>
    <w:rPr>
      <w:kern w:val="2"/>
      <w:sz w:val="18"/>
      <w:szCs w:val="18"/>
    </w:rPr>
  </w:style>
  <w:style w:type="character" w:customStyle="1" w:styleId="192">
    <w:name w:val="Char Char611"/>
    <w:autoRedefine/>
    <w:qFormat/>
    <w:uiPriority w:val="0"/>
    <w:rPr>
      <w:rFonts w:eastAsia="宋体"/>
      <w:kern w:val="2"/>
      <w:sz w:val="21"/>
      <w:szCs w:val="24"/>
      <w:lang w:val="en-US" w:eastAsia="zh-CN" w:bidi="ar-SA"/>
    </w:rPr>
  </w:style>
  <w:style w:type="character" w:customStyle="1" w:styleId="193">
    <w:name w:val="highlight1"/>
    <w:autoRedefine/>
    <w:qFormat/>
    <w:uiPriority w:val="0"/>
    <w:rPr>
      <w:rFonts w:ascii="仿宋_GB2312" w:eastAsia="微软雅黑"/>
      <w:b/>
      <w:kern w:val="2"/>
      <w:sz w:val="23"/>
      <w:szCs w:val="23"/>
      <w:lang w:val="en-US" w:eastAsia="zh-CN" w:bidi="ar-SA"/>
    </w:rPr>
  </w:style>
  <w:style w:type="character" w:customStyle="1" w:styleId="194">
    <w:name w:val="my正文 Char"/>
    <w:link w:val="195"/>
    <w:autoRedefine/>
    <w:qFormat/>
    <w:locked/>
    <w:uiPriority w:val="0"/>
    <w:rPr>
      <w:rFonts w:ascii="Tahoma" w:hAnsi="Tahoma"/>
      <w:sz w:val="24"/>
      <w:szCs w:val="24"/>
    </w:rPr>
  </w:style>
  <w:style w:type="paragraph" w:customStyle="1" w:styleId="195">
    <w:name w:val="my正文"/>
    <w:basedOn w:val="1"/>
    <w:link w:val="194"/>
    <w:autoRedefine/>
    <w:qFormat/>
    <w:uiPriority w:val="0"/>
    <w:pPr>
      <w:adjustRightInd/>
      <w:spacing w:line="360" w:lineRule="auto"/>
      <w:ind w:firstLine="480" w:firstLineChars="200"/>
    </w:pPr>
    <w:rPr>
      <w:rFonts w:ascii="Tahoma" w:hAnsi="Tahoma"/>
      <w:kern w:val="0"/>
      <w:sz w:val="24"/>
    </w:rPr>
  </w:style>
  <w:style w:type="character" w:customStyle="1" w:styleId="196">
    <w:name w:val="正文缩进 Char2"/>
    <w:link w:val="15"/>
    <w:autoRedefine/>
    <w:qFormat/>
    <w:uiPriority w:val="0"/>
    <w:rPr>
      <w:rFonts w:ascii="宋体" w:eastAsia="宋体"/>
      <w:snapToGrid w:val="0"/>
      <w:color w:val="000000"/>
      <w:kern w:val="28"/>
      <w:sz w:val="28"/>
      <w:lang w:val="en-US" w:eastAsia="zh-CN" w:bidi="ar-SA"/>
    </w:rPr>
  </w:style>
  <w:style w:type="character" w:customStyle="1" w:styleId="197">
    <w:name w:val="Used by Word for text of Help footnotes Char Char1"/>
    <w:autoRedefine/>
    <w:qFormat/>
    <w:uiPriority w:val="0"/>
    <w:rPr>
      <w:color w:val="0000FF"/>
      <w:sz w:val="21"/>
    </w:rPr>
  </w:style>
  <w:style w:type="character" w:customStyle="1" w:styleId="198">
    <w:name w:val="页眉 Char"/>
    <w:autoRedefine/>
    <w:qFormat/>
    <w:uiPriority w:val="0"/>
    <w:rPr>
      <w:rFonts w:eastAsia="仿宋_GB2312"/>
      <w:kern w:val="2"/>
      <w:sz w:val="18"/>
      <w:lang w:val="en-US" w:eastAsia="zh-CN"/>
    </w:rPr>
  </w:style>
  <w:style w:type="character" w:customStyle="1" w:styleId="199">
    <w:name w:val="FA正文 Char Char"/>
    <w:autoRedefine/>
    <w:qFormat/>
    <w:uiPriority w:val="0"/>
    <w:rPr>
      <w:rFonts w:hAnsi="宋体"/>
      <w:kern w:val="2"/>
      <w:sz w:val="24"/>
      <w:lang w:bidi="ar-SA"/>
    </w:rPr>
  </w:style>
  <w:style w:type="character" w:customStyle="1" w:styleId="200">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201">
    <w:name w:val="3级 Char"/>
    <w:link w:val="202"/>
    <w:autoRedefine/>
    <w:qFormat/>
    <w:uiPriority w:val="0"/>
    <w:rPr>
      <w:rFonts w:ascii="宋体" w:hAnsi="宋体"/>
      <w:b/>
      <w:bCs/>
      <w:snapToGrid/>
      <w:sz w:val="28"/>
    </w:rPr>
  </w:style>
  <w:style w:type="paragraph" w:customStyle="1" w:styleId="202">
    <w:name w:val="3级"/>
    <w:basedOn w:val="203"/>
    <w:link w:val="201"/>
    <w:autoRedefine/>
    <w:qFormat/>
    <w:uiPriority w:val="0"/>
    <w:pPr>
      <w:ind w:left="0" w:right="466" w:firstLine="288"/>
    </w:pPr>
    <w:rPr>
      <w:rFonts w:hAnsi="宋体"/>
      <w:snapToGrid/>
    </w:rPr>
  </w:style>
  <w:style w:type="paragraph" w:customStyle="1" w:styleId="203">
    <w:name w:val="样式 标题 3h33rd level3BOD 0H3l3CTHeading 3 - oldLevel 3 He..."/>
    <w:basedOn w:val="4"/>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4">
    <w:name w:val="myp11"/>
    <w:autoRedefine/>
    <w:qFormat/>
    <w:uiPriority w:val="0"/>
    <w:rPr>
      <w:rFonts w:ascii="仿宋_GB2312" w:eastAsia="微软雅黑"/>
      <w:b/>
      <w:kern w:val="2"/>
      <w:sz w:val="32"/>
      <w:szCs w:val="32"/>
      <w:lang w:val="en-US" w:eastAsia="zh-CN" w:bidi="ar-SA"/>
    </w:rPr>
  </w:style>
  <w:style w:type="character" w:customStyle="1" w:styleId="205">
    <w:name w:val="文档结构图 Char1"/>
    <w:link w:val="18"/>
    <w:autoRedefine/>
    <w:qFormat/>
    <w:uiPriority w:val="0"/>
    <w:rPr>
      <w:kern w:val="2"/>
      <w:sz w:val="21"/>
      <w:szCs w:val="24"/>
      <w:shd w:val="clear" w:color="auto" w:fill="000080"/>
    </w:rPr>
  </w:style>
  <w:style w:type="character" w:customStyle="1" w:styleId="206">
    <w:name w:val="H6 Char"/>
    <w:autoRedefine/>
    <w:qFormat/>
    <w:uiPriority w:val="0"/>
    <w:rPr>
      <w:rFonts w:ascii="Arial" w:hAnsi="Arial" w:eastAsia="黑体"/>
      <w:b/>
      <w:bCs/>
      <w:kern w:val="2"/>
      <w:sz w:val="24"/>
      <w:szCs w:val="24"/>
    </w:rPr>
  </w:style>
  <w:style w:type="character" w:customStyle="1" w:styleId="207">
    <w:name w:val="Char Char91"/>
    <w:autoRedefine/>
    <w:qFormat/>
    <w:uiPriority w:val="0"/>
    <w:rPr>
      <w:rFonts w:eastAsia="宋体"/>
      <w:kern w:val="2"/>
      <w:sz w:val="18"/>
      <w:szCs w:val="18"/>
      <w:lang w:val="en-US" w:eastAsia="zh-CN" w:bidi="ar-SA"/>
    </w:rPr>
  </w:style>
  <w:style w:type="character" w:customStyle="1" w:styleId="208">
    <w:name w:val="副标题 Char1"/>
    <w:autoRedefine/>
    <w:qFormat/>
    <w:uiPriority w:val="0"/>
    <w:rPr>
      <w:rFonts w:ascii="Cambria" w:hAnsi="Cambria" w:eastAsia="宋体" w:cs="Times New Roman"/>
      <w:b/>
      <w:bCs/>
      <w:snapToGrid w:val="0"/>
      <w:kern w:val="28"/>
      <w:sz w:val="32"/>
      <w:szCs w:val="32"/>
    </w:rPr>
  </w:style>
  <w:style w:type="character" w:customStyle="1" w:styleId="209">
    <w:name w:val="font61"/>
    <w:autoRedefine/>
    <w:qFormat/>
    <w:uiPriority w:val="0"/>
    <w:rPr>
      <w:rFonts w:hint="eastAsia" w:ascii="仿宋" w:hAnsi="仿宋" w:eastAsia="仿宋" w:cs="仿宋"/>
      <w:color w:val="000000"/>
      <w:sz w:val="20"/>
      <w:szCs w:val="20"/>
      <w:u w:val="none"/>
    </w:rPr>
  </w:style>
  <w:style w:type="character" w:customStyle="1" w:styleId="210">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11">
    <w:name w:val="Char Char211"/>
    <w:autoRedefine/>
    <w:qFormat/>
    <w:uiPriority w:val="0"/>
    <w:rPr>
      <w:rFonts w:eastAsia="宋体"/>
      <w:b/>
      <w:bCs/>
      <w:kern w:val="2"/>
      <w:sz w:val="21"/>
      <w:szCs w:val="24"/>
      <w:lang w:val="en-US" w:eastAsia="zh-CN" w:bidi="ar-SA"/>
    </w:rPr>
  </w:style>
  <w:style w:type="character" w:customStyle="1" w:styleId="212">
    <w:name w:val="标题 2 Char"/>
    <w:autoRedefine/>
    <w:qFormat/>
    <w:uiPriority w:val="0"/>
    <w:rPr>
      <w:rFonts w:ascii="Arial" w:hAnsi="Arial" w:eastAsia="黑体"/>
      <w:b/>
      <w:kern w:val="2"/>
      <w:sz w:val="32"/>
      <w:lang w:val="en-US" w:eastAsia="zh-CN"/>
    </w:rPr>
  </w:style>
  <w:style w:type="character" w:customStyle="1" w:styleId="213">
    <w:name w:val="maywed421"/>
    <w:autoRedefine/>
    <w:qFormat/>
    <w:uiPriority w:val="0"/>
    <w:rPr>
      <w:color w:val="366FB6"/>
      <w:u w:val="none"/>
    </w:rPr>
  </w:style>
  <w:style w:type="character" w:customStyle="1" w:styleId="214">
    <w:name w:val="正文文本缩进 Char"/>
    <w:autoRedefine/>
    <w:qFormat/>
    <w:uiPriority w:val="0"/>
    <w:rPr>
      <w:rFonts w:ascii="宋体" w:hAnsi="宋体"/>
      <w:kern w:val="2"/>
      <w:sz w:val="24"/>
      <w:szCs w:val="24"/>
    </w:rPr>
  </w:style>
  <w:style w:type="character" w:customStyle="1" w:styleId="215">
    <w:name w:val="Char Char102"/>
    <w:autoRedefine/>
    <w:semiHidden/>
    <w:qFormat/>
    <w:uiPriority w:val="0"/>
    <w:rPr>
      <w:rFonts w:ascii="宋体" w:hAnsi="宋体"/>
      <w:kern w:val="2"/>
      <w:sz w:val="21"/>
      <w:szCs w:val="24"/>
      <w:lang w:val="en-US" w:eastAsia="zh-CN"/>
    </w:rPr>
  </w:style>
  <w:style w:type="character" w:customStyle="1" w:styleId="216">
    <w:name w:val="页眉 Char1"/>
    <w:autoRedefine/>
    <w:qFormat/>
    <w:uiPriority w:val="0"/>
    <w:rPr>
      <w:rFonts w:eastAsia="宋体"/>
      <w:kern w:val="2"/>
      <w:sz w:val="18"/>
      <w:szCs w:val="18"/>
      <w:lang w:val="en-US" w:eastAsia="zh-CN" w:bidi="ar-SA"/>
    </w:rPr>
  </w:style>
  <w:style w:type="character" w:customStyle="1" w:styleId="217">
    <w:name w:val="md"/>
    <w:basedOn w:val="73"/>
    <w:autoRedefine/>
    <w:qFormat/>
    <w:uiPriority w:val="0"/>
    <w:rPr>
      <w:rFonts w:ascii="Arial" w:hAnsi="Arial" w:eastAsia="黑体" w:cs="Arial"/>
      <w:snapToGrid w:val="0"/>
      <w:kern w:val="0"/>
      <w:szCs w:val="21"/>
    </w:rPr>
  </w:style>
  <w:style w:type="character" w:customStyle="1" w:styleId="218">
    <w:name w:val="big1"/>
    <w:autoRedefine/>
    <w:qFormat/>
    <w:uiPriority w:val="0"/>
    <w:rPr>
      <w:rFonts w:hint="eastAsia" w:ascii="宋体" w:hAnsi="宋体" w:eastAsia="宋体"/>
      <w:color w:val="333333"/>
      <w:sz w:val="22"/>
      <w:szCs w:val="22"/>
    </w:rPr>
  </w:style>
  <w:style w:type="character" w:customStyle="1" w:styleId="219">
    <w:name w:val="Char Char311"/>
    <w:autoRedefine/>
    <w:qFormat/>
    <w:uiPriority w:val="0"/>
    <w:rPr>
      <w:rFonts w:eastAsia="宋体"/>
      <w:kern w:val="2"/>
      <w:sz w:val="21"/>
      <w:szCs w:val="24"/>
      <w:lang w:val="en-US" w:eastAsia="zh-CN" w:bidi="ar-SA"/>
    </w:rPr>
  </w:style>
  <w:style w:type="character" w:customStyle="1" w:styleId="220">
    <w:name w:val="Char Char81"/>
    <w:autoRedefine/>
    <w:qFormat/>
    <w:uiPriority w:val="6"/>
    <w:rPr>
      <w:rFonts w:eastAsia="宋体"/>
      <w:b/>
      <w:sz w:val="24"/>
      <w:lang w:val="en-GB" w:eastAsia="zh-CN"/>
    </w:rPr>
  </w:style>
  <w:style w:type="character" w:customStyle="1" w:styleId="221">
    <w:name w:val="样式3 Char"/>
    <w:basedOn w:val="172"/>
    <w:autoRedefine/>
    <w:qFormat/>
    <w:uiPriority w:val="0"/>
    <w:rPr>
      <w:rFonts w:ascii="仿宋_GB2312" w:hAnsi="仿宋" w:eastAsia="仿宋_GB2312" w:cs="仿宋_GB2312"/>
      <w:sz w:val="32"/>
      <w:szCs w:val="30"/>
      <w:lang w:val="zh-CN"/>
    </w:rPr>
  </w:style>
  <w:style w:type="character" w:customStyle="1" w:styleId="222">
    <w:name w:val="HTML 地址 Char"/>
    <w:link w:val="34"/>
    <w:autoRedefine/>
    <w:qFormat/>
    <w:uiPriority w:val="0"/>
    <w:rPr>
      <w:rFonts w:ascii="宋体" w:hAnsi="宋体"/>
      <w:i/>
      <w:iCs/>
      <w:sz w:val="24"/>
      <w:szCs w:val="24"/>
    </w:rPr>
  </w:style>
  <w:style w:type="character" w:customStyle="1" w:styleId="223">
    <w:name w:val="正文首行缩进 2 Char1"/>
    <w:autoRedefine/>
    <w:qFormat/>
    <w:uiPriority w:val="0"/>
    <w:rPr>
      <w:rFonts w:ascii="Times New Roman" w:hAnsi="Times New Roman" w:eastAsia="宋体" w:cs="Times New Roman"/>
      <w:kern w:val="2"/>
      <w:sz w:val="24"/>
      <w:szCs w:val="24"/>
    </w:rPr>
  </w:style>
  <w:style w:type="character" w:customStyle="1" w:styleId="224">
    <w:name w:val="副标题 Char2"/>
    <w:autoRedefine/>
    <w:qFormat/>
    <w:uiPriority w:val="0"/>
    <w:rPr>
      <w:rFonts w:ascii="Cambria" w:hAnsi="Cambria" w:eastAsia="宋体" w:cs="Times New Roman"/>
      <w:b/>
      <w:bCs/>
      <w:snapToGrid w:val="0"/>
      <w:kern w:val="28"/>
      <w:sz w:val="32"/>
      <w:szCs w:val="32"/>
    </w:rPr>
  </w:style>
  <w:style w:type="character" w:customStyle="1" w:styleId="225">
    <w:name w:val="标题4-dyf Char"/>
    <w:link w:val="226"/>
    <w:autoRedefine/>
    <w:qFormat/>
    <w:uiPriority w:val="0"/>
    <w:rPr>
      <w:rFonts w:ascii="Cambria" w:hAnsi="Cambria"/>
      <w:b/>
      <w:bCs/>
      <w:color w:val="000000"/>
      <w:kern w:val="2"/>
      <w:sz w:val="21"/>
      <w:szCs w:val="21"/>
    </w:rPr>
  </w:style>
  <w:style w:type="paragraph" w:customStyle="1" w:styleId="226">
    <w:name w:val="标题4-dyf"/>
    <w:basedOn w:val="5"/>
    <w:link w:val="225"/>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7">
    <w:name w:val="dectext1"/>
    <w:autoRedefine/>
    <w:qFormat/>
    <w:uiPriority w:val="0"/>
    <w:rPr>
      <w:rFonts w:ascii="宋体" w:hAnsi="宋体" w:eastAsia="宋体"/>
      <w:color w:val="333333"/>
      <w:sz w:val="21"/>
      <w:szCs w:val="21"/>
      <w:u w:val="none"/>
    </w:rPr>
  </w:style>
  <w:style w:type="character" w:customStyle="1" w:styleId="228">
    <w:name w:val="冯 Char"/>
    <w:link w:val="229"/>
    <w:autoRedefine/>
    <w:qFormat/>
    <w:uiPriority w:val="0"/>
    <w:rPr>
      <w:rFonts w:ascii="宋体" w:hAnsi="宋体"/>
      <w:color w:val="000000"/>
      <w:sz w:val="24"/>
      <w:szCs w:val="24"/>
    </w:rPr>
  </w:style>
  <w:style w:type="paragraph" w:customStyle="1" w:styleId="229">
    <w:name w:val="冯"/>
    <w:basedOn w:val="1"/>
    <w:link w:val="228"/>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30">
    <w:name w:val="Header Char"/>
    <w:autoRedefine/>
    <w:qFormat/>
    <w:locked/>
    <w:uiPriority w:val="0"/>
    <w:rPr>
      <w:rFonts w:eastAsia="宋体"/>
      <w:kern w:val="2"/>
      <w:sz w:val="18"/>
      <w:szCs w:val="18"/>
      <w:lang w:val="en-US" w:eastAsia="zh-CN" w:bidi="ar-SA"/>
    </w:rPr>
  </w:style>
  <w:style w:type="character" w:customStyle="1" w:styleId="231">
    <w:name w:val="Char Char12"/>
    <w:autoRedefine/>
    <w:qFormat/>
    <w:uiPriority w:val="0"/>
    <w:rPr>
      <w:rFonts w:ascii="仿宋_GB2312" w:eastAsia="仿宋_GB2312"/>
      <w:b/>
      <w:bCs/>
      <w:kern w:val="2"/>
      <w:sz w:val="24"/>
      <w:szCs w:val="24"/>
      <w:lang w:val="zh-CN" w:eastAsia="zh-CN" w:bidi="ar-SA"/>
    </w:rPr>
  </w:style>
  <w:style w:type="character" w:customStyle="1" w:styleId="232">
    <w:name w:val="题注 Char"/>
    <w:link w:val="16"/>
    <w:autoRedefine/>
    <w:qFormat/>
    <w:uiPriority w:val="0"/>
    <w:rPr>
      <w:b/>
      <w:kern w:val="2"/>
      <w:sz w:val="28"/>
    </w:rPr>
  </w:style>
  <w:style w:type="character" w:customStyle="1" w:styleId="233">
    <w:name w:val="普通文字 Char3"/>
    <w:autoRedefine/>
    <w:qFormat/>
    <w:uiPriority w:val="0"/>
    <w:rPr>
      <w:rFonts w:ascii="宋体" w:hAnsi="Courier New" w:eastAsia="宋体"/>
      <w:kern w:val="2"/>
      <w:sz w:val="21"/>
      <w:lang w:val="en-US" w:eastAsia="zh-CN" w:bidi="ar-SA"/>
    </w:rPr>
  </w:style>
  <w:style w:type="character" w:customStyle="1" w:styleId="234">
    <w:name w:val="公文正文 Char"/>
    <w:autoRedefine/>
    <w:qFormat/>
    <w:uiPriority w:val="0"/>
    <w:rPr>
      <w:rFonts w:ascii="仿宋_GB2312" w:eastAsia="仿宋_GB2312"/>
      <w:kern w:val="2"/>
      <w:sz w:val="24"/>
      <w:szCs w:val="24"/>
      <w:lang w:val="en-US" w:eastAsia="zh-CN" w:bidi="ar-SA"/>
    </w:rPr>
  </w:style>
  <w:style w:type="character" w:customStyle="1" w:styleId="235">
    <w:name w:val="正文首行缩进 Char Char Char Char Char"/>
    <w:autoRedefine/>
    <w:qFormat/>
    <w:uiPriority w:val="0"/>
    <w:rPr>
      <w:rFonts w:ascii="宋体"/>
      <w:kern w:val="2"/>
      <w:sz w:val="24"/>
      <w:lang w:val="zh-CN"/>
    </w:rPr>
  </w:style>
  <w:style w:type="character" w:customStyle="1" w:styleId="236">
    <w:name w:val="PI Char"/>
    <w:autoRedefine/>
    <w:qFormat/>
    <w:uiPriority w:val="0"/>
    <w:rPr>
      <w:rFonts w:ascii="宋体" w:hAnsi="宋体" w:eastAsia="宋体"/>
      <w:kern w:val="2"/>
      <w:sz w:val="24"/>
      <w:szCs w:val="24"/>
      <w:lang w:val="en-US" w:eastAsia="zh-CN" w:bidi="ar-SA"/>
    </w:rPr>
  </w:style>
  <w:style w:type="character" w:customStyle="1" w:styleId="237">
    <w:name w:val="Default Char"/>
    <w:link w:val="238"/>
    <w:autoRedefine/>
    <w:qFormat/>
    <w:uiPriority w:val="0"/>
    <w:rPr>
      <w:rFonts w:ascii="仿宋_GB2312" w:eastAsia="仿宋_GB2312" w:cs="仿宋_GB2312"/>
      <w:color w:val="000000"/>
      <w:sz w:val="24"/>
      <w:szCs w:val="24"/>
      <w:lang w:val="en-US" w:eastAsia="zh-CN" w:bidi="ar-SA"/>
    </w:rPr>
  </w:style>
  <w:style w:type="paragraph" w:customStyle="1" w:styleId="238">
    <w:name w:val="Default"/>
    <w:link w:val="237"/>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9">
    <w:name w:val="style91"/>
    <w:autoRedefine/>
    <w:qFormat/>
    <w:uiPriority w:val="0"/>
    <w:rPr>
      <w:color w:val="333333"/>
    </w:rPr>
  </w:style>
  <w:style w:type="character" w:customStyle="1" w:styleId="240">
    <w:name w:val="列出段落 Char2"/>
    <w:autoRedefine/>
    <w:qFormat/>
    <w:uiPriority w:val="34"/>
    <w:rPr>
      <w:rFonts w:ascii="Calibri" w:hAnsi="Calibri"/>
      <w:kern w:val="2"/>
      <w:sz w:val="28"/>
    </w:rPr>
  </w:style>
  <w:style w:type="character" w:customStyle="1" w:styleId="241">
    <w:name w:val="mdeck"/>
    <w:autoRedefine/>
    <w:qFormat/>
    <w:uiPriority w:val="0"/>
    <w:rPr>
      <w:rFonts w:ascii="仿宋_GB2312" w:eastAsia="微软雅黑"/>
      <w:b/>
      <w:kern w:val="2"/>
      <w:sz w:val="32"/>
      <w:szCs w:val="32"/>
      <w:lang w:val="en-US" w:eastAsia="zh-CN" w:bidi="ar-SA"/>
    </w:rPr>
  </w:style>
  <w:style w:type="character" w:customStyle="1" w:styleId="242">
    <w:name w:val="unnamed11"/>
    <w:autoRedefine/>
    <w:qFormat/>
    <w:uiPriority w:val="0"/>
    <w:rPr>
      <w:sz w:val="20"/>
      <w:szCs w:val="20"/>
    </w:rPr>
  </w:style>
  <w:style w:type="character" w:customStyle="1" w:styleId="243">
    <w:name w:val="正文文本 Char2"/>
    <w:autoRedefine/>
    <w:semiHidden/>
    <w:qFormat/>
    <w:uiPriority w:val="99"/>
    <w:rPr>
      <w:rFonts w:ascii="Times New Roman" w:hAnsi="Times New Roman" w:eastAsia="宋体" w:cs="Times New Roman"/>
      <w:snapToGrid w:val="0"/>
      <w:kern w:val="0"/>
      <w:szCs w:val="24"/>
    </w:rPr>
  </w:style>
  <w:style w:type="character" w:customStyle="1" w:styleId="244">
    <w:name w:val="标书正文格式 Char"/>
    <w:autoRedefine/>
    <w:qFormat/>
    <w:uiPriority w:val="0"/>
    <w:rPr>
      <w:rFonts w:eastAsia="楷体_GB2312"/>
      <w:kern w:val="2"/>
      <w:sz w:val="24"/>
      <w:szCs w:val="24"/>
      <w:lang w:bidi="ar-SA"/>
    </w:rPr>
  </w:style>
  <w:style w:type="character" w:customStyle="1" w:styleId="245">
    <w:name w:val="Char Char11"/>
    <w:autoRedefine/>
    <w:qFormat/>
    <w:locked/>
    <w:uiPriority w:val="0"/>
    <w:rPr>
      <w:rFonts w:ascii="宋体" w:hAnsi="宋体" w:eastAsia="宋体"/>
      <w:b/>
      <w:kern w:val="2"/>
      <w:sz w:val="24"/>
      <w:szCs w:val="24"/>
      <w:lang w:val="en-US" w:eastAsia="zh-CN" w:bidi="ar-SA"/>
    </w:rPr>
  </w:style>
  <w:style w:type="character" w:customStyle="1" w:styleId="246">
    <w:name w:val="ca-131"/>
    <w:autoRedefine/>
    <w:qFormat/>
    <w:uiPriority w:val="0"/>
    <w:rPr>
      <w:rFonts w:hint="eastAsia" w:ascii="仿宋_GB2312" w:eastAsia="仿宋_GB2312"/>
      <w:b/>
      <w:bCs/>
      <w:color w:val="000000"/>
      <w:spacing w:val="-20"/>
      <w:sz w:val="24"/>
      <w:szCs w:val="24"/>
    </w:rPr>
  </w:style>
  <w:style w:type="character" w:customStyle="1" w:styleId="247">
    <w:name w:val="tw4winMark"/>
    <w:autoRedefine/>
    <w:qFormat/>
    <w:uiPriority w:val="0"/>
    <w:rPr>
      <w:rFonts w:ascii="Courier New" w:hAnsi="Courier New" w:cs="Courier New"/>
      <w:vanish/>
      <w:color w:val="800080"/>
      <w:sz w:val="24"/>
      <w:szCs w:val="24"/>
      <w:vertAlign w:val="subscript"/>
    </w:rPr>
  </w:style>
  <w:style w:type="character" w:customStyle="1" w:styleId="248">
    <w:name w:val="正文样式 Char"/>
    <w:link w:val="249"/>
    <w:autoRedefine/>
    <w:qFormat/>
    <w:uiPriority w:val="0"/>
    <w:rPr>
      <w:rFonts w:ascii="Calibri" w:hAnsi="Calibri"/>
      <w:sz w:val="24"/>
      <w:szCs w:val="24"/>
    </w:rPr>
  </w:style>
  <w:style w:type="paragraph" w:customStyle="1" w:styleId="249">
    <w:name w:val="正文样式"/>
    <w:basedOn w:val="1"/>
    <w:link w:val="248"/>
    <w:autoRedefine/>
    <w:qFormat/>
    <w:uiPriority w:val="0"/>
    <w:pPr>
      <w:adjustRightInd/>
      <w:spacing w:line="360" w:lineRule="auto"/>
      <w:ind w:firstLine="480" w:firstLineChars="200"/>
    </w:pPr>
    <w:rPr>
      <w:kern w:val="0"/>
      <w:sz w:val="24"/>
    </w:rPr>
  </w:style>
  <w:style w:type="character" w:customStyle="1" w:styleId="250">
    <w:name w:val="表正文 Char3"/>
    <w:autoRedefine/>
    <w:qFormat/>
    <w:uiPriority w:val="0"/>
    <w:rPr>
      <w:rFonts w:eastAsia="宋体"/>
    </w:rPr>
  </w:style>
  <w:style w:type="character" w:customStyle="1" w:styleId="251">
    <w:name w:val="H5 Char"/>
    <w:autoRedefine/>
    <w:qFormat/>
    <w:uiPriority w:val="0"/>
    <w:rPr>
      <w:b/>
      <w:bCs/>
      <w:kern w:val="2"/>
      <w:sz w:val="28"/>
      <w:szCs w:val="28"/>
    </w:rPr>
  </w:style>
  <w:style w:type="character" w:customStyle="1" w:styleId="252">
    <w:name w:val="Char Char3"/>
    <w:autoRedefine/>
    <w:qFormat/>
    <w:uiPriority w:val="0"/>
    <w:rPr>
      <w:rFonts w:eastAsia="宋体"/>
      <w:kern w:val="2"/>
      <w:sz w:val="21"/>
      <w:szCs w:val="24"/>
      <w:lang w:val="en-US" w:eastAsia="zh-CN" w:bidi="ar-SA"/>
    </w:rPr>
  </w:style>
  <w:style w:type="character" w:customStyle="1" w:styleId="253">
    <w:name w:val="正文 编号 Char"/>
    <w:autoRedefine/>
    <w:qFormat/>
    <w:uiPriority w:val="0"/>
    <w:rPr>
      <w:rFonts w:ascii="仿宋_GB2312" w:hAnsi="仿宋_GB2312" w:eastAsia="仿宋_GB2312"/>
      <w:kern w:val="2"/>
      <w:sz w:val="24"/>
      <w:lang w:bidi="ar-SA"/>
    </w:rPr>
  </w:style>
  <w:style w:type="character" w:customStyle="1" w:styleId="254">
    <w:name w:val="question-title2"/>
    <w:autoRedefine/>
    <w:qFormat/>
    <w:uiPriority w:val="6"/>
    <w:rPr>
      <w:rFonts w:ascii="Arial" w:hAnsi="Arial" w:eastAsia="黑体" w:cs="Arial"/>
      <w:snapToGrid w:val="0"/>
      <w:kern w:val="0"/>
      <w:szCs w:val="21"/>
    </w:rPr>
  </w:style>
  <w:style w:type="character" w:customStyle="1" w:styleId="255">
    <w:name w:val="gf正文1 Char Char"/>
    <w:link w:val="256"/>
    <w:autoRedefine/>
    <w:qFormat/>
    <w:uiPriority w:val="0"/>
    <w:rPr>
      <w:rFonts w:ascii="宋体" w:hAnsi="宋体" w:cs="宋体"/>
      <w:kern w:val="2"/>
      <w:sz w:val="24"/>
      <w:szCs w:val="24"/>
    </w:rPr>
  </w:style>
  <w:style w:type="paragraph" w:customStyle="1" w:styleId="256">
    <w:name w:val="gf正文1"/>
    <w:basedOn w:val="1"/>
    <w:link w:val="255"/>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7">
    <w:name w:val="Char Char15"/>
    <w:autoRedefine/>
    <w:qFormat/>
    <w:uiPriority w:val="6"/>
    <w:rPr>
      <w:rFonts w:ascii="宋体" w:hAnsi="宋体"/>
      <w:kern w:val="1"/>
      <w:sz w:val="21"/>
    </w:rPr>
  </w:style>
  <w:style w:type="character" w:customStyle="1" w:styleId="258">
    <w:name w:val="正文缩进 Char3"/>
    <w:autoRedefine/>
    <w:qFormat/>
    <w:uiPriority w:val="0"/>
    <w:rPr>
      <w:rFonts w:ascii="宋体" w:eastAsia="宋体"/>
      <w:snapToGrid w:val="0"/>
      <w:color w:val="000000"/>
      <w:kern w:val="28"/>
      <w:sz w:val="28"/>
      <w:lang w:val="en-US" w:eastAsia="zh-CN" w:bidi="ar-SA"/>
    </w:rPr>
  </w:style>
  <w:style w:type="character" w:customStyle="1" w:styleId="259">
    <w:name w:val="列出段落 Char1"/>
    <w:link w:val="260"/>
    <w:autoRedefine/>
    <w:qFormat/>
    <w:uiPriority w:val="0"/>
    <w:rPr>
      <w:rFonts w:ascii="Calibri" w:hAnsi="Calibri"/>
      <w:sz w:val="24"/>
      <w:lang w:eastAsia="en-US"/>
    </w:rPr>
  </w:style>
  <w:style w:type="paragraph" w:customStyle="1" w:styleId="260">
    <w:name w:val="列表1"/>
    <w:basedOn w:val="1"/>
    <w:next w:val="261"/>
    <w:link w:val="259"/>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styleId="261">
    <w:name w:val="List Paragraph"/>
    <w:basedOn w:val="1"/>
    <w:autoRedefine/>
    <w:qFormat/>
    <w:uiPriority w:val="34"/>
    <w:pPr>
      <w:spacing w:line="360" w:lineRule="auto"/>
      <w:ind w:firstLine="200" w:firstLineChars="200"/>
    </w:pPr>
    <w:rPr>
      <w:rFonts w:eastAsia="楷体_GB2312" w:cs="Lucida Sans"/>
      <w:sz w:val="24"/>
    </w:rPr>
  </w:style>
  <w:style w:type="character" w:customStyle="1" w:styleId="262">
    <w:name w:val="Char Char8"/>
    <w:autoRedefine/>
    <w:qFormat/>
    <w:uiPriority w:val="0"/>
    <w:rPr>
      <w:rFonts w:eastAsia="宋体"/>
      <w:b/>
      <w:sz w:val="24"/>
      <w:lang w:val="en-GB" w:eastAsia="zh-CN"/>
    </w:rPr>
  </w:style>
  <w:style w:type="character" w:customStyle="1" w:styleId="263">
    <w:name w:val="Normal Indent Char Char"/>
    <w:autoRedefine/>
    <w:qFormat/>
    <w:uiPriority w:val="0"/>
    <w:rPr>
      <w:rFonts w:eastAsia="宋体"/>
      <w:kern w:val="2"/>
      <w:sz w:val="21"/>
      <w:lang w:val="en-US" w:eastAsia="zh-CN" w:bidi="ar-SA"/>
    </w:rPr>
  </w:style>
  <w:style w:type="character" w:customStyle="1" w:styleId="264">
    <w:name w:val="列表段落 字符"/>
    <w:autoRedefine/>
    <w:qFormat/>
    <w:uiPriority w:val="99"/>
  </w:style>
  <w:style w:type="character" w:customStyle="1" w:styleId="265">
    <w:name w:val="Ò³Ã¼ Char Char1"/>
    <w:autoRedefine/>
    <w:qFormat/>
    <w:uiPriority w:val="0"/>
    <w:rPr>
      <w:rFonts w:eastAsia="宋体"/>
      <w:kern w:val="2"/>
      <w:sz w:val="18"/>
      <w:szCs w:val="18"/>
      <w:lang w:val="en-US" w:eastAsia="zh-CN" w:bidi="ar-SA"/>
    </w:rPr>
  </w:style>
  <w:style w:type="character" w:customStyle="1" w:styleId="266">
    <w:name w:val="方案正文 Char"/>
    <w:autoRedefine/>
    <w:qFormat/>
    <w:uiPriority w:val="0"/>
    <w:rPr>
      <w:rFonts w:ascii="仿宋_GB2312" w:eastAsia="仿宋_GB2312"/>
      <w:b/>
      <w:color w:val="000000"/>
      <w:kern w:val="2"/>
      <w:sz w:val="24"/>
      <w:lang w:val="en-US" w:eastAsia="zh-CN" w:bidi="ar-SA"/>
    </w:rPr>
  </w:style>
  <w:style w:type="character" w:customStyle="1" w:styleId="267">
    <w:name w:val="Char Char30"/>
    <w:autoRedefine/>
    <w:qFormat/>
    <w:uiPriority w:val="6"/>
    <w:rPr>
      <w:rFonts w:ascii="Arial" w:hAnsi="Arial" w:eastAsia="黑体"/>
      <w:kern w:val="1"/>
      <w:sz w:val="21"/>
      <w:szCs w:val="21"/>
    </w:rPr>
  </w:style>
  <w:style w:type="character" w:customStyle="1" w:styleId="268">
    <w:name w:val="正文文本缩进 Char3"/>
    <w:link w:val="24"/>
    <w:autoRedefine/>
    <w:qFormat/>
    <w:uiPriority w:val="0"/>
    <w:rPr>
      <w:rFonts w:ascii="宋体" w:hAnsi="宋体"/>
      <w:kern w:val="2"/>
      <w:sz w:val="24"/>
      <w:szCs w:val="24"/>
    </w:rPr>
  </w:style>
  <w:style w:type="character" w:customStyle="1" w:styleId="269">
    <w:name w:val="font01"/>
    <w:autoRedefine/>
    <w:qFormat/>
    <w:uiPriority w:val="0"/>
    <w:rPr>
      <w:rFonts w:hint="eastAsia" w:ascii="微软雅黑" w:hAnsi="微软雅黑" w:eastAsia="微软雅黑" w:cs="微软雅黑"/>
      <w:color w:val="000000"/>
      <w:sz w:val="20"/>
      <w:szCs w:val="20"/>
      <w:u w:val="none"/>
    </w:rPr>
  </w:style>
  <w:style w:type="character" w:customStyle="1" w:styleId="270">
    <w:name w:val="Char Char20"/>
    <w:autoRedefine/>
    <w:qFormat/>
    <w:uiPriority w:val="6"/>
    <w:rPr>
      <w:kern w:val="1"/>
      <w:sz w:val="24"/>
    </w:rPr>
  </w:style>
  <w:style w:type="character" w:customStyle="1" w:styleId="271">
    <w:name w:val="tw4winExternal"/>
    <w:autoRedefine/>
    <w:qFormat/>
    <w:uiPriority w:val="0"/>
    <w:rPr>
      <w:rFonts w:ascii="Courier New" w:hAnsi="Courier New" w:cs="Courier New"/>
      <w:color w:val="808080"/>
      <w:lang w:val="en-US" w:eastAsia="zh-CN"/>
    </w:rPr>
  </w:style>
  <w:style w:type="character" w:customStyle="1" w:styleId="272">
    <w:name w:val="标题 4 Char1"/>
    <w:autoRedefine/>
    <w:qFormat/>
    <w:uiPriority w:val="9"/>
    <w:rPr>
      <w:rFonts w:ascii="Cambria" w:hAnsi="Cambria" w:eastAsia="宋体" w:cs="Times New Roman"/>
      <w:b/>
      <w:bCs/>
      <w:kern w:val="2"/>
      <w:sz w:val="28"/>
      <w:szCs w:val="28"/>
    </w:rPr>
  </w:style>
  <w:style w:type="character" w:customStyle="1" w:styleId="273">
    <w:name w:val="批注文字 Char2"/>
    <w:autoRedefine/>
    <w:qFormat/>
    <w:uiPriority w:val="99"/>
    <w:rPr>
      <w:rFonts w:ascii="Times New Roman" w:hAnsi="Times New Roman" w:eastAsia="宋体" w:cs="Times New Roman"/>
      <w:snapToGrid w:val="0"/>
      <w:kern w:val="0"/>
      <w:szCs w:val="24"/>
    </w:rPr>
  </w:style>
  <w:style w:type="character" w:customStyle="1" w:styleId="274">
    <w:name w:val="正文文本 2 Char"/>
    <w:autoRedefine/>
    <w:qFormat/>
    <w:uiPriority w:val="0"/>
    <w:rPr>
      <w:rFonts w:eastAsia="宋体"/>
      <w:kern w:val="2"/>
      <w:sz w:val="21"/>
      <w:szCs w:val="24"/>
      <w:lang w:val="en-US" w:eastAsia="zh-CN" w:bidi="ar-SA"/>
    </w:rPr>
  </w:style>
  <w:style w:type="character" w:customStyle="1" w:styleId="275">
    <w:name w:val="Ò³Ã¼ Char Char"/>
    <w:autoRedefine/>
    <w:qFormat/>
    <w:uiPriority w:val="0"/>
    <w:rPr>
      <w:rFonts w:eastAsia="宋体"/>
      <w:kern w:val="2"/>
      <w:sz w:val="18"/>
      <w:lang w:val="en-US" w:eastAsia="zh-CN" w:bidi="ar-SA"/>
    </w:rPr>
  </w:style>
  <w:style w:type="character" w:customStyle="1" w:styleId="276">
    <w:name w:val="message1"/>
    <w:autoRedefine/>
    <w:qFormat/>
    <w:uiPriority w:val="0"/>
    <w:rPr>
      <w:rFonts w:hint="default" w:ascii="Tahoma" w:hAnsi="Tahoma" w:cs="Tahoma"/>
      <w:sz w:val="18"/>
      <w:szCs w:val="18"/>
    </w:rPr>
  </w:style>
  <w:style w:type="character" w:customStyle="1" w:styleId="277">
    <w:name w:val="Char Char23"/>
    <w:autoRedefine/>
    <w:qFormat/>
    <w:uiPriority w:val="6"/>
    <w:rPr>
      <w:color w:val="0000FF"/>
      <w:sz w:val="21"/>
    </w:rPr>
  </w:style>
  <w:style w:type="character" w:customStyle="1" w:styleId="278">
    <w:name w:val="批注框文本 字符"/>
    <w:autoRedefine/>
    <w:qFormat/>
    <w:uiPriority w:val="0"/>
    <w:rPr>
      <w:rFonts w:ascii="Arial" w:hAnsi="Arial" w:eastAsia="黑体" w:cs="Arial"/>
      <w:snapToGrid w:val="0"/>
      <w:kern w:val="0"/>
      <w:sz w:val="18"/>
      <w:szCs w:val="18"/>
    </w:rPr>
  </w:style>
  <w:style w:type="character" w:customStyle="1" w:styleId="279">
    <w:name w:val="纯文本 Char2"/>
    <w:autoRedefine/>
    <w:semiHidden/>
    <w:qFormat/>
    <w:uiPriority w:val="99"/>
    <w:rPr>
      <w:rFonts w:ascii="宋体" w:hAnsi="Courier New" w:eastAsia="宋体" w:cs="Courier New"/>
    </w:rPr>
  </w:style>
  <w:style w:type="character" w:customStyle="1" w:styleId="280">
    <w:name w:val="Char Char25"/>
    <w:autoRedefine/>
    <w:qFormat/>
    <w:uiPriority w:val="6"/>
    <w:rPr>
      <w:rFonts w:ascii="宋体" w:hAnsi="宋体"/>
      <w:kern w:val="1"/>
      <w:sz w:val="24"/>
      <w:lang w:val="zh-CN"/>
    </w:rPr>
  </w:style>
  <w:style w:type="character" w:customStyle="1" w:styleId="281">
    <w:name w:val="Char Char411"/>
    <w:autoRedefine/>
    <w:qFormat/>
    <w:uiPriority w:val="0"/>
    <w:rPr>
      <w:rFonts w:eastAsia="宋体"/>
      <w:b/>
      <w:sz w:val="24"/>
      <w:lang w:val="en-GB" w:eastAsia="zh-CN" w:bidi="ar-SA"/>
    </w:rPr>
  </w:style>
  <w:style w:type="character" w:customStyle="1" w:styleId="282">
    <w:name w:val="Heading 7 Char"/>
    <w:autoRedefine/>
    <w:qFormat/>
    <w:locked/>
    <w:uiPriority w:val="0"/>
    <w:rPr>
      <w:rFonts w:ascii="宋体" w:hAnsi="宋体" w:eastAsia="宋体"/>
      <w:b/>
      <w:bCs/>
      <w:kern w:val="2"/>
      <w:sz w:val="24"/>
      <w:szCs w:val="24"/>
      <w:lang w:val="en-US" w:eastAsia="zh-CN" w:bidi="ar-SA"/>
    </w:rPr>
  </w:style>
  <w:style w:type="character" w:customStyle="1" w:styleId="283">
    <w:name w:val="此正文 Char"/>
    <w:link w:val="284"/>
    <w:autoRedefine/>
    <w:qFormat/>
    <w:uiPriority w:val="0"/>
    <w:rPr>
      <w:kern w:val="2"/>
      <w:sz w:val="24"/>
      <w:szCs w:val="24"/>
    </w:rPr>
  </w:style>
  <w:style w:type="paragraph" w:customStyle="1" w:styleId="284">
    <w:name w:val="此正文"/>
    <w:basedOn w:val="1"/>
    <w:link w:val="283"/>
    <w:autoRedefine/>
    <w:qFormat/>
    <w:uiPriority w:val="0"/>
    <w:pPr>
      <w:adjustRightInd/>
      <w:spacing w:line="360" w:lineRule="auto"/>
      <w:ind w:firstLine="200" w:firstLineChars="200"/>
    </w:pPr>
    <w:rPr>
      <w:sz w:val="24"/>
    </w:rPr>
  </w:style>
  <w:style w:type="character" w:customStyle="1" w:styleId="285">
    <w:name w:val="Char Char2"/>
    <w:autoRedefine/>
    <w:qFormat/>
    <w:uiPriority w:val="0"/>
    <w:rPr>
      <w:rFonts w:eastAsia="宋体"/>
      <w:b/>
      <w:bCs/>
      <w:kern w:val="2"/>
      <w:sz w:val="21"/>
      <w:szCs w:val="24"/>
      <w:lang w:val="en-US" w:eastAsia="zh-CN" w:bidi="ar-SA"/>
    </w:rPr>
  </w:style>
  <w:style w:type="character" w:customStyle="1" w:styleId="286">
    <w:name w:val="标题 1 Char"/>
    <w:link w:val="2"/>
    <w:autoRedefine/>
    <w:qFormat/>
    <w:uiPriority w:val="9"/>
    <w:rPr>
      <w:b/>
      <w:bCs/>
      <w:kern w:val="44"/>
      <w:sz w:val="44"/>
      <w:szCs w:val="44"/>
    </w:rPr>
  </w:style>
  <w:style w:type="character" w:customStyle="1" w:styleId="287">
    <w:name w:val="Footer-Even Char1"/>
    <w:autoRedefine/>
    <w:qFormat/>
    <w:uiPriority w:val="0"/>
    <w:rPr>
      <w:rFonts w:eastAsia="宋体"/>
      <w:kern w:val="2"/>
      <w:sz w:val="18"/>
      <w:szCs w:val="18"/>
      <w:lang w:val="en-US" w:eastAsia="zh-CN" w:bidi="ar-SA"/>
    </w:rPr>
  </w:style>
  <w:style w:type="character" w:customStyle="1" w:styleId="288">
    <w:name w:val="Char Char29"/>
    <w:autoRedefine/>
    <w:qFormat/>
    <w:uiPriority w:val="6"/>
    <w:rPr>
      <w:rFonts w:ascii="Arial" w:hAnsi="Arial" w:eastAsia="微软雅黑"/>
      <w:b/>
      <w:kern w:val="1"/>
      <w:sz w:val="44"/>
      <w:szCs w:val="32"/>
      <w:lang w:val="en-US" w:eastAsia="zh-CN" w:bidi="ar-SA"/>
    </w:rPr>
  </w:style>
  <w:style w:type="character" w:customStyle="1" w:styleId="289">
    <w:name w:val="标题 Char2"/>
    <w:link w:val="62"/>
    <w:autoRedefine/>
    <w:qFormat/>
    <w:uiPriority w:val="10"/>
    <w:rPr>
      <w:b/>
      <w:sz w:val="24"/>
      <w:lang w:val="en-GB"/>
    </w:rPr>
  </w:style>
  <w:style w:type="character" w:customStyle="1" w:styleId="290">
    <w:name w:val="font81"/>
    <w:autoRedefine/>
    <w:qFormat/>
    <w:uiPriority w:val="0"/>
    <w:rPr>
      <w:rFonts w:ascii="微软雅黑" w:hAnsi="微软雅黑" w:eastAsia="微软雅黑" w:cs="微软雅黑"/>
      <w:color w:val="000000"/>
      <w:sz w:val="20"/>
      <w:szCs w:val="20"/>
      <w:u w:val="none"/>
    </w:rPr>
  </w:style>
  <w:style w:type="character" w:customStyle="1" w:styleId="291">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92">
    <w:name w:val="t21"/>
    <w:autoRedefine/>
    <w:qFormat/>
    <w:uiPriority w:val="0"/>
    <w:rPr>
      <w:rFonts w:ascii="仿宋_GB2312" w:eastAsia="微软雅黑"/>
      <w:b/>
      <w:kern w:val="2"/>
      <w:sz w:val="23"/>
      <w:szCs w:val="23"/>
      <w:lang w:val="en-US" w:eastAsia="zh-CN" w:bidi="ar-SA"/>
    </w:rPr>
  </w:style>
  <w:style w:type="character" w:customStyle="1" w:styleId="293">
    <w:name w:val="样式8 Char"/>
    <w:autoRedefine/>
    <w:qFormat/>
    <w:uiPriority w:val="0"/>
    <w:rPr>
      <w:rFonts w:ascii="仿宋_GB2312" w:hAnsi="宋体" w:eastAsia="仿宋_GB2312"/>
      <w:b/>
      <w:bCs/>
      <w:kern w:val="2"/>
      <w:sz w:val="24"/>
      <w:szCs w:val="24"/>
    </w:rPr>
  </w:style>
  <w:style w:type="character" w:customStyle="1" w:styleId="294">
    <w:name w:val="表格 Char Char"/>
    <w:autoRedefine/>
    <w:qFormat/>
    <w:uiPriority w:val="0"/>
    <w:rPr>
      <w:rFonts w:ascii="宋体" w:hAnsi="宋体" w:eastAsia="宋体"/>
      <w:lang w:bidi="ar-SA"/>
    </w:rPr>
  </w:style>
  <w:style w:type="character" w:customStyle="1" w:styleId="295">
    <w:name w:val="正文文本 字符1"/>
    <w:autoRedefine/>
    <w:qFormat/>
    <w:uiPriority w:val="0"/>
    <w:rPr>
      <w:rFonts w:ascii="Calibri" w:hAnsi="Calibri" w:eastAsia="黑体" w:cs="Arial"/>
      <w:snapToGrid w:val="0"/>
      <w:kern w:val="2"/>
      <w:sz w:val="28"/>
      <w:szCs w:val="21"/>
    </w:rPr>
  </w:style>
  <w:style w:type="character" w:customStyle="1" w:styleId="296">
    <w:name w:val="标题 5 Char"/>
    <w:link w:val="6"/>
    <w:autoRedefine/>
    <w:qFormat/>
    <w:uiPriority w:val="9"/>
    <w:rPr>
      <w:b/>
      <w:bCs/>
      <w:kern w:val="2"/>
      <w:sz w:val="28"/>
      <w:szCs w:val="28"/>
    </w:rPr>
  </w:style>
  <w:style w:type="character" w:customStyle="1" w:styleId="297">
    <w:name w:val="标题 6 Char1"/>
    <w:autoRedefine/>
    <w:qFormat/>
    <w:uiPriority w:val="0"/>
    <w:rPr>
      <w:rFonts w:ascii="Arial" w:hAnsi="Arial" w:eastAsia="黑体" w:cs="Times New Roman"/>
      <w:b/>
      <w:sz w:val="24"/>
      <w:szCs w:val="20"/>
      <w:lang w:bidi="ar-SA"/>
    </w:rPr>
  </w:style>
  <w:style w:type="character" w:customStyle="1" w:styleId="298">
    <w:name w:val="带编号样式 Char"/>
    <w:autoRedefine/>
    <w:qFormat/>
    <w:uiPriority w:val="0"/>
    <w:rPr>
      <w:rFonts w:ascii="仿宋_GB2312" w:eastAsia="仿宋_GB2312"/>
      <w:color w:val="000000"/>
      <w:sz w:val="24"/>
      <w:lang w:bidi="ar-SA"/>
    </w:rPr>
  </w:style>
  <w:style w:type="character" w:customStyle="1" w:styleId="299">
    <w:name w:val="unnamed31"/>
    <w:autoRedefine/>
    <w:qFormat/>
    <w:uiPriority w:val="0"/>
    <w:rPr>
      <w:rFonts w:ascii="Tahoma" w:hAnsi="Tahoma" w:eastAsia="宋体"/>
      <w:b/>
      <w:kern w:val="2"/>
      <w:sz w:val="24"/>
      <w:szCs w:val="32"/>
      <w:u w:val="none"/>
      <w:lang w:val="en-US" w:eastAsia="zh-CN" w:bidi="ar-SA"/>
    </w:rPr>
  </w:style>
  <w:style w:type="character" w:customStyle="1" w:styleId="300">
    <w:name w:val="正文首行缩进 Char Char Char Char Char Char1"/>
    <w:autoRedefine/>
    <w:qFormat/>
    <w:uiPriority w:val="0"/>
    <w:rPr>
      <w:rFonts w:ascii="宋体" w:eastAsia="宋体"/>
      <w:kern w:val="2"/>
      <w:sz w:val="24"/>
      <w:szCs w:val="24"/>
      <w:lang w:val="zh-CN" w:bidi="ar-SA"/>
    </w:rPr>
  </w:style>
  <w:style w:type="character" w:customStyle="1" w:styleId="301">
    <w:name w:val="称呼 Char"/>
    <w:link w:val="20"/>
    <w:autoRedefine/>
    <w:qFormat/>
    <w:uiPriority w:val="0"/>
    <w:rPr>
      <w:rFonts w:ascii="仿宋_GB2312" w:eastAsia="仿宋_GB2312"/>
      <w:kern w:val="2"/>
      <w:sz w:val="28"/>
    </w:rPr>
  </w:style>
  <w:style w:type="character" w:customStyle="1" w:styleId="302">
    <w:name w:val="文本正文 Char Char"/>
    <w:autoRedefine/>
    <w:qFormat/>
    <w:locked/>
    <w:uiPriority w:val="0"/>
    <w:rPr>
      <w:sz w:val="24"/>
      <w:lang w:bidi="ar-SA"/>
    </w:rPr>
  </w:style>
  <w:style w:type="character" w:customStyle="1" w:styleId="303">
    <w:name w:val="正文缩进 字符"/>
    <w:autoRedefine/>
    <w:qFormat/>
    <w:uiPriority w:val="0"/>
    <w:rPr>
      <w:rFonts w:ascii="宋体" w:eastAsia="宋体"/>
      <w:snapToGrid w:val="0"/>
      <w:color w:val="000000"/>
      <w:kern w:val="28"/>
      <w:sz w:val="28"/>
      <w:lang w:val="en-US" w:eastAsia="zh-CN" w:bidi="ar-SA"/>
    </w:rPr>
  </w:style>
  <w:style w:type="character" w:customStyle="1" w:styleId="304">
    <w:name w:val="HTML 预设格式 Char"/>
    <w:link w:val="60"/>
    <w:autoRedefine/>
    <w:qFormat/>
    <w:uiPriority w:val="0"/>
    <w:rPr>
      <w:rFonts w:ascii="黑体" w:hAnsi="Courier New" w:eastAsia="黑体"/>
    </w:rPr>
  </w:style>
  <w:style w:type="character" w:customStyle="1" w:styleId="305">
    <w:name w:val="正文文本 2 Char1"/>
    <w:link w:val="59"/>
    <w:autoRedefine/>
    <w:qFormat/>
    <w:uiPriority w:val="0"/>
    <w:rPr>
      <w:kern w:val="2"/>
      <w:sz w:val="21"/>
      <w:szCs w:val="24"/>
    </w:rPr>
  </w:style>
  <w:style w:type="character" w:customStyle="1" w:styleId="306">
    <w:name w:val="样式 样式 标题 4h4H4Fab-4T5Ref Heading 1rh1Heading sqlsect 1.2.3.... +... Char"/>
    <w:link w:val="307"/>
    <w:autoRedefine/>
    <w:qFormat/>
    <w:uiPriority w:val="0"/>
    <w:rPr>
      <w:rFonts w:ascii="微软雅黑" w:hAnsi="微软雅黑" w:eastAsia="微软雅黑"/>
      <w:b/>
      <w:bCs/>
      <w:kern w:val="2"/>
      <w:sz w:val="24"/>
      <w:szCs w:val="28"/>
    </w:rPr>
  </w:style>
  <w:style w:type="paragraph" w:customStyle="1" w:styleId="307">
    <w:name w:val="样式 样式 标题 4h4H4Fab-4T5Ref Heading 1rh1Heading sqlsect 1.2.3.... +..."/>
    <w:basedOn w:val="308"/>
    <w:link w:val="306"/>
    <w:autoRedefine/>
    <w:qFormat/>
    <w:uiPriority w:val="0"/>
    <w:pPr>
      <w:tabs>
        <w:tab w:val="left" w:pos="2356"/>
      </w:tabs>
    </w:pPr>
  </w:style>
  <w:style w:type="paragraph" w:customStyle="1" w:styleId="308">
    <w:name w:val="样式 标题 4h4H4Fab-4T5Ref Heading 1rh1Heading sqlsect 1.2.3...."/>
    <w:basedOn w:val="5"/>
    <w:link w:val="416"/>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9">
    <w:name w:val="正文非缩进 Char"/>
    <w:autoRedefine/>
    <w:qFormat/>
    <w:uiPriority w:val="0"/>
    <w:rPr>
      <w:rFonts w:ascii="宋体" w:eastAsia="宋体"/>
      <w:snapToGrid w:val="0"/>
      <w:color w:val="000000"/>
      <w:kern w:val="28"/>
      <w:sz w:val="28"/>
      <w:lang w:val="en-US" w:eastAsia="zh-CN" w:bidi="ar-SA"/>
    </w:rPr>
  </w:style>
  <w:style w:type="character" w:customStyle="1" w:styleId="310">
    <w:name w:val="标题 7 Char"/>
    <w:link w:val="8"/>
    <w:autoRedefine/>
    <w:qFormat/>
    <w:uiPriority w:val="0"/>
    <w:rPr>
      <w:b/>
      <w:bCs/>
      <w:kern w:val="2"/>
      <w:sz w:val="24"/>
      <w:szCs w:val="24"/>
    </w:rPr>
  </w:style>
  <w:style w:type="character" w:customStyle="1" w:styleId="311">
    <w:name w:val="正文文本缩进 2 Char"/>
    <w:link w:val="40"/>
    <w:autoRedefine/>
    <w:qFormat/>
    <w:uiPriority w:val="0"/>
    <w:rPr>
      <w:rFonts w:ascii="宋体"/>
      <w:sz w:val="28"/>
    </w:rPr>
  </w:style>
  <w:style w:type="character" w:customStyle="1" w:styleId="312">
    <w:name w:val="Char Char5"/>
    <w:autoRedefine/>
    <w:qFormat/>
    <w:uiPriority w:val="0"/>
    <w:rPr>
      <w:rFonts w:ascii="宋体" w:hAnsi="Courier New" w:eastAsia="宋体"/>
      <w:kern w:val="2"/>
      <w:sz w:val="21"/>
      <w:lang w:val="en-US" w:eastAsia="zh-CN"/>
    </w:rPr>
  </w:style>
  <w:style w:type="character" w:customStyle="1" w:styleId="313">
    <w:name w:val="脚注文本 Char"/>
    <w:link w:val="53"/>
    <w:autoRedefine/>
    <w:qFormat/>
    <w:uiPriority w:val="0"/>
    <w:rPr>
      <w:color w:val="0000FF"/>
      <w:sz w:val="21"/>
    </w:rPr>
  </w:style>
  <w:style w:type="character" w:customStyle="1" w:styleId="314">
    <w:name w:val="称呼 Char1"/>
    <w:autoRedefine/>
    <w:qFormat/>
    <w:uiPriority w:val="0"/>
    <w:rPr>
      <w:rFonts w:ascii="Times New Roman" w:hAnsi="Times New Roman" w:eastAsia="宋体" w:cs="Times New Roman"/>
      <w:szCs w:val="24"/>
    </w:rPr>
  </w:style>
  <w:style w:type="character" w:customStyle="1" w:styleId="315">
    <w:name w:val="正文1 Char"/>
    <w:autoRedefine/>
    <w:qFormat/>
    <w:uiPriority w:val="0"/>
    <w:rPr>
      <w:rFonts w:ascii="宋体" w:eastAsia="宋体"/>
      <w:snapToGrid w:val="0"/>
      <w:color w:val="000000"/>
      <w:kern w:val="28"/>
      <w:sz w:val="28"/>
      <w:lang w:val="en-US" w:eastAsia="zh-CN" w:bidi="ar-SA"/>
    </w:rPr>
  </w:style>
  <w:style w:type="character" w:customStyle="1" w:styleId="316">
    <w:name w:val="正文缩进 Char1"/>
    <w:autoRedefine/>
    <w:qFormat/>
    <w:uiPriority w:val="0"/>
    <w:rPr>
      <w:rFonts w:ascii="宋体" w:eastAsia="宋体"/>
      <w:snapToGrid w:val="0"/>
      <w:color w:val="000000"/>
      <w:kern w:val="28"/>
      <w:sz w:val="28"/>
      <w:lang w:val="en-US" w:eastAsia="zh-CN" w:bidi="ar-SA"/>
    </w:rPr>
  </w:style>
  <w:style w:type="character" w:customStyle="1" w:styleId="317">
    <w:name w:val="font21"/>
    <w:autoRedefine/>
    <w:qFormat/>
    <w:uiPriority w:val="0"/>
    <w:rPr>
      <w:rFonts w:hint="eastAsia" w:ascii="宋体" w:hAnsi="宋体" w:eastAsia="宋体"/>
      <w:kern w:val="2"/>
      <w:sz w:val="28"/>
      <w:szCs w:val="28"/>
      <w:lang w:val="en-US" w:eastAsia="zh-CN" w:bidi="ar-SA"/>
    </w:rPr>
  </w:style>
  <w:style w:type="character" w:customStyle="1" w:styleId="318">
    <w:name w:val="Char Char26"/>
    <w:autoRedefine/>
    <w:qFormat/>
    <w:uiPriority w:val="6"/>
    <w:rPr>
      <w:kern w:val="1"/>
      <w:sz w:val="21"/>
      <w:szCs w:val="24"/>
    </w:rPr>
  </w:style>
  <w:style w:type="character" w:customStyle="1" w:styleId="319">
    <w:name w:val="Item List Char"/>
    <w:link w:val="320"/>
    <w:autoRedefine/>
    <w:qFormat/>
    <w:uiPriority w:val="0"/>
    <w:rPr>
      <w:rFonts w:ascii="Arial"/>
      <w:bCs/>
      <w:sz w:val="21"/>
      <w:szCs w:val="21"/>
      <w:lang w:val="en-US" w:eastAsia="zh-CN" w:bidi="ar-SA"/>
    </w:rPr>
  </w:style>
  <w:style w:type="paragraph" w:customStyle="1" w:styleId="320">
    <w:name w:val="Item List"/>
    <w:link w:val="319"/>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1">
    <w:name w:val="批注框文本 Char1"/>
    <w:autoRedefine/>
    <w:qFormat/>
    <w:uiPriority w:val="0"/>
    <w:rPr>
      <w:rFonts w:ascii="Times New Roman" w:hAnsi="Times New Roman" w:eastAsia="宋体" w:cs="Times New Roman"/>
      <w:sz w:val="18"/>
      <w:szCs w:val="18"/>
    </w:rPr>
  </w:style>
  <w:style w:type="character" w:customStyle="1" w:styleId="322">
    <w:name w:val="纯文本 Char1"/>
    <w:link w:val="323"/>
    <w:autoRedefine/>
    <w:qFormat/>
    <w:uiPriority w:val="0"/>
    <w:rPr>
      <w:rFonts w:ascii="宋体" w:hAnsi="Courier New"/>
    </w:rPr>
  </w:style>
  <w:style w:type="paragraph" w:customStyle="1" w:styleId="323">
    <w:name w:val="纯文本1"/>
    <w:basedOn w:val="1"/>
    <w:link w:val="322"/>
    <w:autoRedefine/>
    <w:qFormat/>
    <w:uiPriority w:val="0"/>
    <w:pPr>
      <w:adjustRightInd/>
    </w:pPr>
    <w:rPr>
      <w:rFonts w:ascii="宋体" w:hAnsi="Courier New"/>
      <w:kern w:val="0"/>
      <w:sz w:val="20"/>
      <w:szCs w:val="20"/>
    </w:rPr>
  </w:style>
  <w:style w:type="character" w:customStyle="1" w:styleId="324">
    <w:name w:val="正文首行缩进 Char"/>
    <w:link w:val="64"/>
    <w:autoRedefine/>
    <w:qFormat/>
    <w:uiPriority w:val="0"/>
    <w:rPr>
      <w:rFonts w:ascii="宋体"/>
      <w:kern w:val="2"/>
      <w:sz w:val="24"/>
      <w:lang w:val="zh-CN"/>
    </w:rPr>
  </w:style>
  <w:style w:type="character" w:customStyle="1" w:styleId="325">
    <w:name w:val="h3 Char"/>
    <w:autoRedefine/>
    <w:qFormat/>
    <w:uiPriority w:val="0"/>
    <w:rPr>
      <w:rFonts w:eastAsia="宋体"/>
      <w:b/>
      <w:kern w:val="2"/>
      <w:sz w:val="32"/>
      <w:lang w:val="en-US" w:eastAsia="zh-CN" w:bidi="ar-SA"/>
    </w:rPr>
  </w:style>
  <w:style w:type="character" w:customStyle="1" w:styleId="326">
    <w:name w:val="dandyren_title1"/>
    <w:autoRedefine/>
    <w:qFormat/>
    <w:uiPriority w:val="0"/>
    <w:rPr>
      <w:b/>
      <w:bCs/>
      <w:color w:val="FF6633"/>
      <w:sz w:val="18"/>
      <w:szCs w:val="18"/>
    </w:rPr>
  </w:style>
  <w:style w:type="character" w:customStyle="1" w:styleId="327">
    <w:name w:val="Char Char31"/>
    <w:autoRedefine/>
    <w:qFormat/>
    <w:uiPriority w:val="6"/>
    <w:rPr>
      <w:rFonts w:ascii="Arial" w:hAnsi="Arial" w:eastAsia="黑体"/>
      <w:kern w:val="1"/>
      <w:sz w:val="24"/>
      <w:szCs w:val="24"/>
    </w:rPr>
  </w:style>
  <w:style w:type="character" w:customStyle="1" w:styleId="328">
    <w:name w:val="h Char1"/>
    <w:autoRedefine/>
    <w:qFormat/>
    <w:uiPriority w:val="0"/>
    <w:rPr>
      <w:sz w:val="18"/>
      <w:szCs w:val="18"/>
    </w:rPr>
  </w:style>
  <w:style w:type="character" w:customStyle="1" w:styleId="329">
    <w:name w:val="solutionfonts"/>
    <w:autoRedefine/>
    <w:qFormat/>
    <w:uiPriority w:val="0"/>
  </w:style>
  <w:style w:type="character" w:customStyle="1" w:styleId="330">
    <w:name w:val="标题 4 Char2"/>
    <w:link w:val="5"/>
    <w:autoRedefine/>
    <w:qFormat/>
    <w:uiPriority w:val="9"/>
    <w:rPr>
      <w:rFonts w:ascii="Arial" w:hAnsi="Arial" w:eastAsia="黑体"/>
      <w:b/>
      <w:bCs/>
      <w:kern w:val="2"/>
      <w:sz w:val="28"/>
      <w:szCs w:val="28"/>
      <w:lang w:val="zh-CN"/>
    </w:rPr>
  </w:style>
  <w:style w:type="character" w:customStyle="1" w:styleId="331">
    <w:name w:val="首行缩进 Char"/>
    <w:autoRedefine/>
    <w:qFormat/>
    <w:uiPriority w:val="0"/>
    <w:rPr>
      <w:rFonts w:ascii="宋体" w:eastAsia="宋体"/>
      <w:kern w:val="2"/>
      <w:sz w:val="24"/>
      <w:lang w:val="en-US" w:eastAsia="zh-CN" w:bidi="ar-SA"/>
    </w:rPr>
  </w:style>
  <w:style w:type="character" w:customStyle="1" w:styleId="332">
    <w:name w:val="Char Char52"/>
    <w:autoRedefine/>
    <w:qFormat/>
    <w:uiPriority w:val="0"/>
    <w:rPr>
      <w:rFonts w:ascii="宋体" w:hAnsi="Courier New" w:eastAsia="宋体"/>
      <w:kern w:val="2"/>
      <w:sz w:val="21"/>
      <w:lang w:val="en-US" w:eastAsia="zh-CN"/>
    </w:rPr>
  </w:style>
  <w:style w:type="character" w:customStyle="1" w:styleId="333">
    <w:name w:val="正文文本 3 Char"/>
    <w:link w:val="21"/>
    <w:autoRedefine/>
    <w:qFormat/>
    <w:uiPriority w:val="0"/>
    <w:rPr>
      <w:kern w:val="2"/>
      <w:sz w:val="21"/>
    </w:rPr>
  </w:style>
  <w:style w:type="character" w:customStyle="1" w:styleId="334">
    <w:name w:val="font31"/>
    <w:autoRedefine/>
    <w:qFormat/>
    <w:uiPriority w:val="0"/>
    <w:rPr>
      <w:rFonts w:hint="eastAsia" w:ascii="仿宋" w:hAnsi="仿宋" w:eastAsia="仿宋" w:cs="仿宋"/>
      <w:color w:val="000000"/>
      <w:sz w:val="20"/>
      <w:szCs w:val="20"/>
      <w:u w:val="none"/>
    </w:rPr>
  </w:style>
  <w:style w:type="character" w:customStyle="1" w:styleId="335">
    <w:name w:val="正文说明 Char"/>
    <w:link w:val="336"/>
    <w:autoRedefine/>
    <w:qFormat/>
    <w:uiPriority w:val="0"/>
    <w:rPr>
      <w:sz w:val="24"/>
      <w:szCs w:val="24"/>
    </w:rPr>
  </w:style>
  <w:style w:type="paragraph" w:customStyle="1" w:styleId="336">
    <w:name w:val="正文说明"/>
    <w:basedOn w:val="1"/>
    <w:link w:val="335"/>
    <w:autoRedefine/>
    <w:qFormat/>
    <w:uiPriority w:val="0"/>
    <w:pPr>
      <w:adjustRightInd/>
      <w:spacing w:line="360" w:lineRule="auto"/>
    </w:pPr>
    <w:rPr>
      <w:kern w:val="0"/>
      <w:sz w:val="24"/>
    </w:rPr>
  </w:style>
  <w:style w:type="character" w:customStyle="1" w:styleId="337">
    <w:name w:val="脚注文本 Char1"/>
    <w:autoRedefine/>
    <w:qFormat/>
    <w:uiPriority w:val="0"/>
    <w:rPr>
      <w:rFonts w:ascii="Times New Roman" w:hAnsi="Times New Roman" w:eastAsia="宋体" w:cs="Times New Roman"/>
      <w:sz w:val="18"/>
      <w:szCs w:val="18"/>
    </w:rPr>
  </w:style>
  <w:style w:type="character" w:customStyle="1" w:styleId="338">
    <w:name w:val="Char Char1211"/>
    <w:autoRedefine/>
    <w:qFormat/>
    <w:uiPriority w:val="0"/>
    <w:rPr>
      <w:rFonts w:ascii="仿宋_GB2312" w:eastAsia="仿宋_GB2312"/>
      <w:b/>
      <w:bCs/>
      <w:kern w:val="2"/>
      <w:sz w:val="24"/>
      <w:szCs w:val="24"/>
      <w:lang w:val="zh-CN" w:eastAsia="zh-CN" w:bidi="ar-SA"/>
    </w:rPr>
  </w:style>
  <w:style w:type="character" w:customStyle="1" w:styleId="339">
    <w:name w:val="标题 Char"/>
    <w:autoRedefine/>
    <w:qFormat/>
    <w:uiPriority w:val="0"/>
    <w:rPr>
      <w:rFonts w:eastAsia="宋体"/>
      <w:b/>
      <w:sz w:val="24"/>
      <w:lang w:val="en-GB" w:eastAsia="zh-CN" w:bidi="ar-SA"/>
    </w:rPr>
  </w:style>
  <w:style w:type="character" w:customStyle="1" w:styleId="340">
    <w:name w:val="Char Char35"/>
    <w:autoRedefine/>
    <w:qFormat/>
    <w:uiPriority w:val="6"/>
    <w:rPr>
      <w:rFonts w:ascii="Arial" w:hAnsi="Arial" w:eastAsia="黑体"/>
      <w:b/>
      <w:kern w:val="1"/>
      <w:sz w:val="28"/>
      <w:szCs w:val="28"/>
      <w:lang w:val="zh-CN"/>
    </w:rPr>
  </w:style>
  <w:style w:type="character" w:customStyle="1" w:styleId="341">
    <w:name w:val="纯文本 Char Char Char"/>
    <w:autoRedefine/>
    <w:qFormat/>
    <w:uiPriority w:val="0"/>
    <w:rPr>
      <w:rFonts w:ascii="宋体" w:hAnsi="Courier New" w:eastAsia="宋体"/>
      <w:kern w:val="2"/>
      <w:sz w:val="21"/>
      <w:lang w:val="en-US" w:eastAsia="zh-CN" w:bidi="ar-SA"/>
    </w:rPr>
  </w:style>
  <w:style w:type="character" w:customStyle="1" w:styleId="342">
    <w:name w:val="Table Text Char"/>
    <w:link w:val="343"/>
    <w:autoRedefine/>
    <w:qFormat/>
    <w:uiPriority w:val="0"/>
    <w:rPr>
      <w:sz w:val="24"/>
      <w:szCs w:val="24"/>
    </w:rPr>
  </w:style>
  <w:style w:type="paragraph" w:customStyle="1" w:styleId="343">
    <w:name w:val="Table Text"/>
    <w:basedOn w:val="1"/>
    <w:link w:val="342"/>
    <w:autoRedefine/>
    <w:qFormat/>
    <w:uiPriority w:val="0"/>
    <w:pPr>
      <w:widowControl/>
      <w:spacing w:before="60" w:after="60"/>
      <w:jc w:val="left"/>
    </w:pPr>
    <w:rPr>
      <w:kern w:val="0"/>
      <w:sz w:val="24"/>
    </w:rPr>
  </w:style>
  <w:style w:type="character" w:customStyle="1" w:styleId="344">
    <w:name w:val="正文1 Char1"/>
    <w:autoRedefine/>
    <w:qFormat/>
    <w:uiPriority w:val="0"/>
    <w:rPr>
      <w:rFonts w:ascii="仿宋_GB2312" w:hAnsi="Courier New" w:eastAsia="仿宋_GB2312"/>
      <w:kern w:val="28"/>
      <w:sz w:val="24"/>
      <w:szCs w:val="24"/>
      <w:lang w:val="en-US" w:eastAsia="zh-CN"/>
    </w:rPr>
  </w:style>
  <w:style w:type="character" w:customStyle="1" w:styleId="345">
    <w:name w:val="页脚 Char1"/>
    <w:autoRedefine/>
    <w:qFormat/>
    <w:uiPriority w:val="0"/>
    <w:rPr>
      <w:rFonts w:eastAsia="宋体"/>
      <w:kern w:val="2"/>
      <w:sz w:val="18"/>
      <w:szCs w:val="18"/>
      <w:lang w:val="en-US" w:eastAsia="zh-CN" w:bidi="ar-SA"/>
    </w:rPr>
  </w:style>
  <w:style w:type="character" w:customStyle="1" w:styleId="346">
    <w:name w:val="Bold"/>
    <w:autoRedefine/>
    <w:qFormat/>
    <w:uiPriority w:val="0"/>
    <w:rPr>
      <w:rFonts w:ascii="Arial" w:hAnsi="Arial" w:eastAsia="黑体" w:cs="Times New Roman"/>
      <w:b/>
      <w:kern w:val="2"/>
      <w:sz w:val="32"/>
      <w:szCs w:val="32"/>
      <w:lang w:val="en-US" w:eastAsia="zh-CN" w:bidi="ar-SA"/>
    </w:rPr>
  </w:style>
  <w:style w:type="character" w:customStyle="1" w:styleId="347">
    <w:name w:val="批注文字 Char1"/>
    <w:link w:val="19"/>
    <w:autoRedefine/>
    <w:qFormat/>
    <w:uiPriority w:val="0"/>
    <w:rPr>
      <w:kern w:val="2"/>
      <w:sz w:val="21"/>
      <w:szCs w:val="24"/>
    </w:rPr>
  </w:style>
  <w:style w:type="character" w:customStyle="1" w:styleId="348">
    <w:name w:val="签名 Char"/>
    <w:link w:val="45"/>
    <w:autoRedefine/>
    <w:qFormat/>
    <w:uiPriority w:val="0"/>
    <w:rPr>
      <w:rFonts w:eastAsia="仿宋_GB2312"/>
      <w:sz w:val="24"/>
    </w:rPr>
  </w:style>
  <w:style w:type="character" w:customStyle="1" w:styleId="349">
    <w:name w:val="hui3"/>
    <w:autoRedefine/>
    <w:qFormat/>
    <w:uiPriority w:val="0"/>
    <w:rPr>
      <w:color w:val="333333"/>
    </w:rPr>
  </w:style>
  <w:style w:type="character" w:customStyle="1" w:styleId="350">
    <w:name w:val="Char Char17"/>
    <w:autoRedefine/>
    <w:qFormat/>
    <w:uiPriority w:val="6"/>
    <w:rPr>
      <w:rFonts w:eastAsia="仿宋_GB2312"/>
      <w:sz w:val="24"/>
    </w:rPr>
  </w:style>
  <w:style w:type="character" w:customStyle="1" w:styleId="351">
    <w:name w:val="标题 4 字符"/>
    <w:autoRedefine/>
    <w:qFormat/>
    <w:uiPriority w:val="9"/>
    <w:rPr>
      <w:rFonts w:ascii="等线 Light" w:hAnsi="等线 Light" w:eastAsia="等线 Light" w:cs="Times New Roman"/>
      <w:b/>
      <w:bCs/>
      <w:snapToGrid w:val="0"/>
      <w:kern w:val="0"/>
      <w:sz w:val="28"/>
      <w:szCs w:val="28"/>
    </w:rPr>
  </w:style>
  <w:style w:type="character" w:customStyle="1" w:styleId="352">
    <w:name w:val="Char Char37"/>
    <w:autoRedefine/>
    <w:qFormat/>
    <w:uiPriority w:val="6"/>
    <w:rPr>
      <w:b/>
      <w:kern w:val="1"/>
      <w:sz w:val="44"/>
      <w:szCs w:val="44"/>
    </w:rPr>
  </w:style>
  <w:style w:type="character" w:customStyle="1" w:styleId="353">
    <w:name w:val="列出段落 Char"/>
    <w:autoRedefine/>
    <w:qFormat/>
    <w:uiPriority w:val="0"/>
    <w:rPr>
      <w:rFonts w:eastAsia="楷体_GB2312" w:cs="Lucida Sans"/>
      <w:kern w:val="2"/>
      <w:sz w:val="24"/>
      <w:szCs w:val="24"/>
      <w:lang w:val="en-US" w:eastAsia="zh-CN" w:bidi="ar-SA"/>
    </w:rPr>
  </w:style>
  <w:style w:type="character" w:customStyle="1" w:styleId="354">
    <w:name w:val="正文文本缩进 3 Char1"/>
    <w:autoRedefine/>
    <w:semiHidden/>
    <w:qFormat/>
    <w:uiPriority w:val="99"/>
    <w:rPr>
      <w:rFonts w:ascii="Times New Roman" w:hAnsi="Times New Roman" w:eastAsia="宋体" w:cs="Times New Roman"/>
      <w:sz w:val="16"/>
      <w:szCs w:val="16"/>
    </w:rPr>
  </w:style>
  <w:style w:type="character" w:customStyle="1" w:styleId="355">
    <w:name w:val="公文正文 Char Char"/>
    <w:link w:val="356"/>
    <w:autoRedefine/>
    <w:qFormat/>
    <w:uiPriority w:val="0"/>
    <w:rPr>
      <w:rFonts w:ascii="仿宋_GB2312" w:eastAsia="仿宋_GB2312"/>
      <w:kern w:val="2"/>
      <w:sz w:val="24"/>
      <w:szCs w:val="24"/>
    </w:rPr>
  </w:style>
  <w:style w:type="paragraph" w:customStyle="1" w:styleId="356">
    <w:name w:val="公文正文"/>
    <w:basedOn w:val="1"/>
    <w:link w:val="355"/>
    <w:autoRedefine/>
    <w:qFormat/>
    <w:uiPriority w:val="0"/>
    <w:pPr>
      <w:adjustRightInd/>
      <w:spacing w:before="156" w:line="360" w:lineRule="auto"/>
      <w:ind w:firstLine="360" w:firstLineChars="200"/>
    </w:pPr>
    <w:rPr>
      <w:rFonts w:ascii="仿宋_GB2312" w:eastAsia="仿宋_GB2312"/>
      <w:sz w:val="24"/>
    </w:rPr>
  </w:style>
  <w:style w:type="character" w:customStyle="1" w:styleId="357">
    <w:name w:val="Table Text Char1"/>
    <w:autoRedefine/>
    <w:qFormat/>
    <w:uiPriority w:val="0"/>
    <w:rPr>
      <w:rFonts w:eastAsia="宋体"/>
      <w:sz w:val="24"/>
      <w:szCs w:val="24"/>
      <w:lang w:val="en-US" w:eastAsia="zh-CN" w:bidi="ar-SA"/>
    </w:rPr>
  </w:style>
  <w:style w:type="character" w:customStyle="1" w:styleId="358">
    <w:name w:val="标题 1 Char Char"/>
    <w:autoRedefine/>
    <w:qFormat/>
    <w:uiPriority w:val="0"/>
    <w:rPr>
      <w:rFonts w:hint="eastAsia" w:ascii="宋体" w:hAnsi="宋体" w:eastAsia="宋体"/>
      <w:b/>
      <w:spacing w:val="-2"/>
      <w:sz w:val="24"/>
      <w:lang w:val="en-US" w:eastAsia="zh-CN" w:bidi="ar-SA"/>
    </w:rPr>
  </w:style>
  <w:style w:type="character" w:customStyle="1" w:styleId="359">
    <w:name w:val="正文（缩进2汉字） Char"/>
    <w:link w:val="360"/>
    <w:autoRedefine/>
    <w:qFormat/>
    <w:uiPriority w:val="0"/>
    <w:rPr>
      <w:rFonts w:ascii="宋体"/>
    </w:rPr>
  </w:style>
  <w:style w:type="paragraph" w:customStyle="1" w:styleId="360">
    <w:name w:val="正文（缩进2汉字）"/>
    <w:basedOn w:val="1"/>
    <w:link w:val="359"/>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1">
    <w:name w:val="标题 8 Char"/>
    <w:link w:val="9"/>
    <w:autoRedefine/>
    <w:qFormat/>
    <w:uiPriority w:val="0"/>
    <w:rPr>
      <w:rFonts w:ascii="Arial" w:hAnsi="Arial" w:eastAsia="黑体"/>
      <w:kern w:val="2"/>
      <w:sz w:val="24"/>
      <w:szCs w:val="24"/>
    </w:rPr>
  </w:style>
  <w:style w:type="character" w:customStyle="1" w:styleId="362">
    <w:name w:val="标书表格字体格式 Char"/>
    <w:autoRedefine/>
    <w:qFormat/>
    <w:uiPriority w:val="0"/>
    <w:rPr>
      <w:kern w:val="2"/>
      <w:sz w:val="21"/>
      <w:szCs w:val="24"/>
      <w:lang w:bidi="ar-SA"/>
    </w:rPr>
  </w:style>
  <w:style w:type="character" w:customStyle="1" w:styleId="363">
    <w:name w:val="tw4winError"/>
    <w:autoRedefine/>
    <w:qFormat/>
    <w:uiPriority w:val="0"/>
    <w:rPr>
      <w:rFonts w:ascii="Courier New" w:hAnsi="Courier New" w:cs="Courier New"/>
      <w:color w:val="00FF00"/>
      <w:sz w:val="40"/>
      <w:szCs w:val="40"/>
    </w:rPr>
  </w:style>
  <w:style w:type="character" w:customStyle="1" w:styleId="364">
    <w:name w:val="Body Text(ch) Char Char"/>
    <w:autoRedefine/>
    <w:qFormat/>
    <w:uiPriority w:val="0"/>
    <w:rPr>
      <w:rFonts w:ascii="宋体"/>
      <w:kern w:val="2"/>
      <w:sz w:val="24"/>
      <w:szCs w:val="21"/>
      <w:lang w:val="zh-CN"/>
    </w:rPr>
  </w:style>
  <w:style w:type="character" w:customStyle="1" w:styleId="365">
    <w:name w:val="正文首行缩进两字 Char"/>
    <w:autoRedefine/>
    <w:qFormat/>
    <w:uiPriority w:val="0"/>
    <w:rPr>
      <w:sz w:val="24"/>
      <w:szCs w:val="24"/>
      <w:lang w:val="en-US" w:eastAsia="zh-CN" w:bidi="ar-SA"/>
    </w:rPr>
  </w:style>
  <w:style w:type="character" w:customStyle="1" w:styleId="366">
    <w:name w:val="正文文本 Char"/>
    <w:autoRedefine/>
    <w:qFormat/>
    <w:uiPriority w:val="0"/>
    <w:rPr>
      <w:rFonts w:eastAsia="宋体"/>
      <w:kern w:val="2"/>
      <w:sz w:val="24"/>
      <w:szCs w:val="24"/>
      <w:lang w:val="en-US" w:eastAsia="zh-CN" w:bidi="ar-SA"/>
    </w:rPr>
  </w:style>
  <w:style w:type="character" w:customStyle="1" w:styleId="367">
    <w:name w:val="文档结构图 字符1"/>
    <w:autoRedefine/>
    <w:qFormat/>
    <w:uiPriority w:val="0"/>
    <w:rPr>
      <w:rFonts w:ascii="宋体" w:hAnsi="Calibri" w:eastAsia="黑体" w:cs="Arial"/>
      <w:snapToGrid w:val="0"/>
      <w:kern w:val="2"/>
      <w:sz w:val="18"/>
      <w:szCs w:val="18"/>
    </w:rPr>
  </w:style>
  <w:style w:type="character" w:customStyle="1" w:styleId="368">
    <w:name w:val="content"/>
    <w:autoRedefine/>
    <w:qFormat/>
    <w:uiPriority w:val="0"/>
  </w:style>
  <w:style w:type="character" w:customStyle="1" w:styleId="369">
    <w:name w:val="tw4winPopup"/>
    <w:autoRedefine/>
    <w:qFormat/>
    <w:uiPriority w:val="0"/>
    <w:rPr>
      <w:rFonts w:ascii="Courier New" w:hAnsi="Courier New" w:cs="Courier New"/>
      <w:color w:val="008000"/>
      <w:lang w:val="en-US" w:eastAsia="zh-CN"/>
    </w:rPr>
  </w:style>
  <w:style w:type="character" w:customStyle="1" w:styleId="370">
    <w:name w:val="param-name"/>
    <w:autoRedefine/>
    <w:qFormat/>
    <w:uiPriority w:val="99"/>
    <w:rPr>
      <w:rFonts w:ascii="Arial" w:hAnsi="Arial" w:eastAsia="黑体" w:cs="Arial"/>
      <w:snapToGrid w:val="0"/>
      <w:kern w:val="0"/>
      <w:szCs w:val="21"/>
    </w:rPr>
  </w:style>
  <w:style w:type="character" w:customStyle="1" w:styleId="371">
    <w:name w:val="标准正文格式 Char"/>
    <w:autoRedefine/>
    <w:qFormat/>
    <w:uiPriority w:val="0"/>
    <w:rPr>
      <w:rFonts w:ascii="宋体" w:eastAsia="仿宋_GB2312" w:cs="宋体"/>
      <w:color w:val="000000"/>
      <w:sz w:val="24"/>
      <w:lang w:val="en-US" w:eastAsia="zh-CN" w:bidi="ar-SA"/>
    </w:rPr>
  </w:style>
  <w:style w:type="character" w:customStyle="1" w:styleId="372">
    <w:name w:val="Char Char212"/>
    <w:autoRedefine/>
    <w:qFormat/>
    <w:uiPriority w:val="0"/>
    <w:rPr>
      <w:rFonts w:eastAsia="宋体"/>
      <w:b/>
      <w:bCs/>
      <w:kern w:val="2"/>
      <w:sz w:val="21"/>
      <w:szCs w:val="24"/>
      <w:lang w:val="en-US" w:eastAsia="zh-CN" w:bidi="ar-SA"/>
    </w:rPr>
  </w:style>
  <w:style w:type="character" w:customStyle="1" w:styleId="373">
    <w:name w:val="文档结构图 Char"/>
    <w:autoRedefine/>
    <w:qFormat/>
    <w:uiPriority w:val="0"/>
    <w:rPr>
      <w:rFonts w:eastAsia="宋体"/>
      <w:kern w:val="2"/>
      <w:sz w:val="21"/>
      <w:szCs w:val="24"/>
      <w:lang w:val="en-US" w:eastAsia="zh-CN" w:bidi="ar-SA"/>
    </w:rPr>
  </w:style>
  <w:style w:type="character" w:customStyle="1" w:styleId="374">
    <w:name w:val="zbggmain style9"/>
    <w:autoRedefine/>
    <w:qFormat/>
    <w:uiPriority w:val="0"/>
  </w:style>
  <w:style w:type="character" w:customStyle="1" w:styleId="375">
    <w:name w:val="Char Char16"/>
    <w:autoRedefine/>
    <w:qFormat/>
    <w:uiPriority w:val="6"/>
    <w:rPr>
      <w:kern w:val="1"/>
      <w:sz w:val="18"/>
      <w:szCs w:val="18"/>
    </w:rPr>
  </w:style>
  <w:style w:type="character" w:customStyle="1" w:styleId="376">
    <w:name w:val="font51"/>
    <w:basedOn w:val="73"/>
    <w:autoRedefine/>
    <w:qFormat/>
    <w:uiPriority w:val="0"/>
    <w:rPr>
      <w:rFonts w:hint="eastAsia" w:ascii="仿宋" w:hAnsi="仿宋" w:eastAsia="仿宋" w:cs="仿宋"/>
      <w:color w:val="000000"/>
      <w:sz w:val="20"/>
      <w:szCs w:val="20"/>
      <w:u w:val="none"/>
    </w:rPr>
  </w:style>
  <w:style w:type="character" w:customStyle="1" w:styleId="377">
    <w:name w:val="Char Char82"/>
    <w:autoRedefine/>
    <w:qFormat/>
    <w:uiPriority w:val="0"/>
    <w:rPr>
      <w:rFonts w:eastAsia="宋体"/>
      <w:b/>
      <w:sz w:val="24"/>
      <w:lang w:val="en-GB" w:eastAsia="zh-CN"/>
    </w:rPr>
  </w:style>
  <w:style w:type="character" w:customStyle="1" w:styleId="378">
    <w:name w:val="正文文本缩进 3 Char"/>
    <w:link w:val="56"/>
    <w:autoRedefine/>
    <w:qFormat/>
    <w:uiPriority w:val="0"/>
    <w:rPr>
      <w:kern w:val="2"/>
      <w:sz w:val="24"/>
    </w:rPr>
  </w:style>
  <w:style w:type="character" w:customStyle="1" w:styleId="379">
    <w:name w:val="日期 Char1"/>
    <w:autoRedefine/>
    <w:semiHidden/>
    <w:qFormat/>
    <w:uiPriority w:val="99"/>
    <w:rPr>
      <w:rFonts w:ascii="Times New Roman" w:hAnsi="Times New Roman" w:eastAsia="宋体" w:cs="Times New Roman"/>
      <w:szCs w:val="24"/>
    </w:rPr>
  </w:style>
  <w:style w:type="character" w:customStyle="1" w:styleId="380">
    <w:name w:val="页眉 字符"/>
    <w:autoRedefine/>
    <w:qFormat/>
    <w:uiPriority w:val="99"/>
    <w:rPr>
      <w:kern w:val="2"/>
      <w:sz w:val="18"/>
      <w:szCs w:val="18"/>
    </w:rPr>
  </w:style>
  <w:style w:type="character" w:customStyle="1" w:styleId="381">
    <w:name w:val="Char Char33"/>
    <w:autoRedefine/>
    <w:qFormat/>
    <w:uiPriority w:val="6"/>
    <w:rPr>
      <w:rFonts w:ascii="Arial" w:hAnsi="Arial" w:eastAsia="黑体"/>
      <w:b/>
      <w:kern w:val="1"/>
      <w:sz w:val="24"/>
      <w:szCs w:val="24"/>
    </w:rPr>
  </w:style>
  <w:style w:type="character" w:customStyle="1" w:styleId="382">
    <w:name w:val="b11_01b Char"/>
    <w:link w:val="383"/>
    <w:autoRedefine/>
    <w:qFormat/>
    <w:uiPriority w:val="0"/>
    <w:rPr>
      <w:rFonts w:ascii="Verdana" w:hAnsi="Verdana"/>
      <w:b/>
      <w:bCs/>
      <w:color w:val="4A82CA"/>
      <w:sz w:val="17"/>
      <w:szCs w:val="17"/>
    </w:rPr>
  </w:style>
  <w:style w:type="paragraph" w:customStyle="1" w:styleId="383">
    <w:name w:val="b11_01b"/>
    <w:basedOn w:val="1"/>
    <w:next w:val="1"/>
    <w:link w:val="382"/>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4">
    <w:name w:val="Char Char121"/>
    <w:autoRedefine/>
    <w:qFormat/>
    <w:uiPriority w:val="6"/>
    <w:rPr>
      <w:rFonts w:ascii="仿宋_GB2312" w:eastAsia="仿宋_GB2312"/>
      <w:b/>
      <w:bCs/>
      <w:kern w:val="2"/>
      <w:sz w:val="24"/>
      <w:szCs w:val="24"/>
      <w:lang w:val="zh-CN" w:eastAsia="zh-CN" w:bidi="ar-SA"/>
    </w:rPr>
  </w:style>
  <w:style w:type="character" w:customStyle="1" w:styleId="385">
    <w:name w:val="Footer-Even Char"/>
    <w:autoRedefine/>
    <w:qFormat/>
    <w:uiPriority w:val="0"/>
    <w:rPr>
      <w:rFonts w:eastAsia="宋体"/>
      <w:kern w:val="2"/>
      <w:sz w:val="18"/>
      <w:lang w:val="en-US" w:eastAsia="zh-CN" w:bidi="ar-SA"/>
    </w:rPr>
  </w:style>
  <w:style w:type="character" w:customStyle="1" w:styleId="386">
    <w:name w:val="页脚 Char2"/>
    <w:link w:val="43"/>
    <w:autoRedefine/>
    <w:qFormat/>
    <w:locked/>
    <w:uiPriority w:val="99"/>
    <w:rPr>
      <w:kern w:val="2"/>
      <w:sz w:val="18"/>
      <w:szCs w:val="18"/>
    </w:rPr>
  </w:style>
  <w:style w:type="character" w:customStyle="1" w:styleId="387">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8">
    <w:name w:val="Char Char61"/>
    <w:autoRedefine/>
    <w:qFormat/>
    <w:uiPriority w:val="6"/>
    <w:rPr>
      <w:rFonts w:eastAsia="宋体"/>
      <w:kern w:val="2"/>
      <w:sz w:val="21"/>
      <w:szCs w:val="24"/>
      <w:lang w:val="en-US" w:eastAsia="zh-CN" w:bidi="ar-SA"/>
    </w:rPr>
  </w:style>
  <w:style w:type="character" w:customStyle="1" w:styleId="389">
    <w:name w:val="正文文字缩进 2 Char Char"/>
    <w:autoRedefine/>
    <w:qFormat/>
    <w:uiPriority w:val="0"/>
    <w:rPr>
      <w:rFonts w:ascii="宋体"/>
      <w:sz w:val="28"/>
    </w:rPr>
  </w:style>
  <w:style w:type="character" w:customStyle="1" w:styleId="390">
    <w:name w:val="f141"/>
    <w:autoRedefine/>
    <w:qFormat/>
    <w:uiPriority w:val="0"/>
    <w:rPr>
      <w:rFonts w:ascii="Tahoma" w:hAnsi="Tahoma" w:eastAsia="宋体"/>
      <w:b/>
      <w:kern w:val="2"/>
      <w:sz w:val="21"/>
      <w:szCs w:val="21"/>
      <w:lang w:val="en-US" w:eastAsia="zh-CN" w:bidi="ar-SA"/>
    </w:rPr>
  </w:style>
  <w:style w:type="character" w:customStyle="1" w:styleId="391">
    <w:name w:val="段落 Char Char"/>
    <w:link w:val="392"/>
    <w:autoRedefine/>
    <w:qFormat/>
    <w:uiPriority w:val="0"/>
    <w:rPr>
      <w:rFonts w:ascii="宋体" w:hAnsi="宋体"/>
      <w:sz w:val="24"/>
    </w:rPr>
  </w:style>
  <w:style w:type="paragraph" w:customStyle="1" w:styleId="392">
    <w:name w:val="段落"/>
    <w:basedOn w:val="1"/>
    <w:link w:val="391"/>
    <w:autoRedefine/>
    <w:qFormat/>
    <w:uiPriority w:val="0"/>
    <w:pPr>
      <w:adjustRightInd/>
      <w:spacing w:line="360" w:lineRule="auto"/>
      <w:ind w:firstLine="480" w:firstLineChars="200"/>
    </w:pPr>
    <w:rPr>
      <w:rFonts w:ascii="宋体" w:hAnsi="宋体"/>
      <w:kern w:val="0"/>
      <w:sz w:val="24"/>
      <w:szCs w:val="20"/>
    </w:rPr>
  </w:style>
  <w:style w:type="character" w:customStyle="1" w:styleId="393">
    <w:name w:val="标题 3 Char2"/>
    <w:autoRedefine/>
    <w:qFormat/>
    <w:uiPriority w:val="0"/>
    <w:rPr>
      <w:rFonts w:eastAsia="宋体"/>
      <w:b/>
      <w:bCs/>
      <w:kern w:val="2"/>
      <w:sz w:val="32"/>
      <w:szCs w:val="32"/>
      <w:lang w:val="en-US" w:eastAsia="zh-CN" w:bidi="ar-SA"/>
    </w:rPr>
  </w:style>
  <w:style w:type="character" w:customStyle="1" w:styleId="394">
    <w:name w:val="apple-converted-space"/>
    <w:autoRedefine/>
    <w:qFormat/>
    <w:uiPriority w:val="0"/>
  </w:style>
  <w:style w:type="character" w:customStyle="1" w:styleId="395">
    <w:name w:val="页眉 Char2"/>
    <w:link w:val="44"/>
    <w:autoRedefine/>
    <w:qFormat/>
    <w:uiPriority w:val="99"/>
    <w:rPr>
      <w:kern w:val="2"/>
      <w:sz w:val="18"/>
      <w:szCs w:val="18"/>
    </w:rPr>
  </w:style>
  <w:style w:type="character" w:customStyle="1" w:styleId="396">
    <w:name w:val="Char Char9"/>
    <w:autoRedefine/>
    <w:qFormat/>
    <w:uiPriority w:val="0"/>
    <w:rPr>
      <w:rFonts w:eastAsia="宋体"/>
      <w:kern w:val="2"/>
      <w:sz w:val="18"/>
      <w:szCs w:val="18"/>
      <w:lang w:val="en-US" w:eastAsia="zh-CN" w:bidi="ar-SA"/>
    </w:rPr>
  </w:style>
  <w:style w:type="character" w:customStyle="1" w:styleId="397">
    <w:name w:val="Char Char41"/>
    <w:autoRedefine/>
    <w:qFormat/>
    <w:uiPriority w:val="0"/>
    <w:rPr>
      <w:rFonts w:eastAsia="宋体"/>
      <w:b/>
      <w:sz w:val="24"/>
      <w:lang w:val="en-GB" w:eastAsia="zh-CN" w:bidi="ar-SA"/>
    </w:rPr>
  </w:style>
  <w:style w:type="character" w:customStyle="1" w:styleId="398">
    <w:name w:val="large1"/>
    <w:autoRedefine/>
    <w:qFormat/>
    <w:uiPriority w:val="0"/>
    <w:rPr>
      <w:rFonts w:hint="eastAsia" w:ascii="宋体" w:hAnsi="宋体" w:eastAsia="宋体"/>
      <w:sz w:val="21"/>
      <w:szCs w:val="21"/>
    </w:rPr>
  </w:style>
  <w:style w:type="character" w:customStyle="1" w:styleId="399">
    <w:name w:val="正文段 Char"/>
    <w:link w:val="400"/>
    <w:autoRedefine/>
    <w:qFormat/>
    <w:uiPriority w:val="0"/>
    <w:rPr>
      <w:sz w:val="24"/>
    </w:rPr>
  </w:style>
  <w:style w:type="paragraph" w:customStyle="1" w:styleId="400">
    <w:name w:val="正文段"/>
    <w:basedOn w:val="1"/>
    <w:link w:val="399"/>
    <w:autoRedefine/>
    <w:qFormat/>
    <w:uiPriority w:val="0"/>
    <w:pPr>
      <w:widowControl/>
      <w:snapToGrid w:val="0"/>
      <w:spacing w:after="156" w:afterLines="50"/>
      <w:ind w:firstLine="200" w:firstLineChars="200"/>
    </w:pPr>
    <w:rPr>
      <w:kern w:val="0"/>
      <w:sz w:val="24"/>
      <w:szCs w:val="20"/>
    </w:rPr>
  </w:style>
  <w:style w:type="character" w:customStyle="1" w:styleId="401">
    <w:name w:val="Char Char13"/>
    <w:autoRedefine/>
    <w:qFormat/>
    <w:uiPriority w:val="6"/>
    <w:rPr>
      <w:rFonts w:ascii="宋体" w:hAnsi="宋体"/>
      <w:kern w:val="1"/>
      <w:sz w:val="21"/>
      <w:szCs w:val="24"/>
    </w:rPr>
  </w:style>
  <w:style w:type="character" w:customStyle="1" w:styleId="402">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403">
    <w:name w:val="冯广丽 Char"/>
    <w:link w:val="404"/>
    <w:autoRedefine/>
    <w:qFormat/>
    <w:uiPriority w:val="0"/>
    <w:rPr>
      <w:rFonts w:ascii="宋体" w:hAnsi="宋体"/>
      <w:kern w:val="2"/>
      <w:sz w:val="24"/>
      <w:szCs w:val="22"/>
    </w:rPr>
  </w:style>
  <w:style w:type="paragraph" w:customStyle="1" w:styleId="404">
    <w:name w:val="冯广丽"/>
    <w:basedOn w:val="1"/>
    <w:link w:val="403"/>
    <w:autoRedefine/>
    <w:qFormat/>
    <w:uiPriority w:val="0"/>
    <w:pPr>
      <w:adjustRightInd/>
      <w:spacing w:line="360" w:lineRule="auto"/>
      <w:ind w:firstLine="480" w:firstLineChars="200"/>
    </w:pPr>
    <w:rPr>
      <w:rFonts w:ascii="宋体" w:hAnsi="宋体"/>
      <w:sz w:val="24"/>
      <w:szCs w:val="22"/>
    </w:rPr>
  </w:style>
  <w:style w:type="character" w:customStyle="1" w:styleId="405">
    <w:name w:val="批注文字 字符"/>
    <w:autoRedefine/>
    <w:qFormat/>
    <w:uiPriority w:val="0"/>
    <w:rPr>
      <w:rFonts w:ascii="Arial" w:hAnsi="Arial" w:eastAsia="黑体" w:cs="Arial"/>
      <w:snapToGrid w:val="0"/>
      <w:kern w:val="0"/>
      <w:szCs w:val="21"/>
    </w:rPr>
  </w:style>
  <w:style w:type="character" w:customStyle="1" w:styleId="406">
    <w:name w:val="Char Char161"/>
    <w:autoRedefine/>
    <w:qFormat/>
    <w:uiPriority w:val="0"/>
    <w:rPr>
      <w:rFonts w:eastAsia="宋体"/>
      <w:b/>
      <w:kern w:val="2"/>
      <w:sz w:val="32"/>
      <w:lang w:val="en-US" w:eastAsia="zh-CN"/>
    </w:rPr>
  </w:style>
  <w:style w:type="character" w:customStyle="1" w:styleId="407">
    <w:name w:val="javascript"/>
    <w:autoRedefine/>
    <w:qFormat/>
    <w:uiPriority w:val="0"/>
  </w:style>
  <w:style w:type="character" w:customStyle="1" w:styleId="408">
    <w:name w:val="图名 Char"/>
    <w:autoRedefine/>
    <w:qFormat/>
    <w:uiPriority w:val="0"/>
    <w:rPr>
      <w:rFonts w:ascii="Arial" w:hAnsi="Arial" w:eastAsia="黑体"/>
      <w:kern w:val="2"/>
      <w:sz w:val="24"/>
      <w:szCs w:val="24"/>
      <w:lang w:val="en-US" w:eastAsia="zh-CN" w:bidi="ar-SA"/>
    </w:rPr>
  </w:style>
  <w:style w:type="character" w:customStyle="1" w:styleId="409">
    <w:name w:val="Used by Word for text of Help footnotes Char Char"/>
    <w:autoRedefine/>
    <w:qFormat/>
    <w:uiPriority w:val="0"/>
    <w:rPr>
      <w:rFonts w:ascii="Times New Roman" w:hAnsi="Times New Roman" w:eastAsia="宋体" w:cs="Times New Roman"/>
      <w:sz w:val="20"/>
      <w:szCs w:val="20"/>
    </w:rPr>
  </w:style>
  <w:style w:type="character" w:customStyle="1" w:styleId="410">
    <w:name w:val="编号，小四 Char"/>
    <w:link w:val="411"/>
    <w:autoRedefine/>
    <w:qFormat/>
    <w:uiPriority w:val="0"/>
    <w:rPr>
      <w:rFonts w:ascii="Arial" w:hAnsi="Arial"/>
      <w:sz w:val="24"/>
    </w:rPr>
  </w:style>
  <w:style w:type="paragraph" w:customStyle="1" w:styleId="411">
    <w:name w:val="编号，小四"/>
    <w:basedOn w:val="1"/>
    <w:link w:val="410"/>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12">
    <w:name w:val="Font Style82"/>
    <w:autoRedefine/>
    <w:qFormat/>
    <w:uiPriority w:val="99"/>
    <w:rPr>
      <w:rFonts w:ascii="宋体" w:eastAsia="宋体" w:cs="宋体"/>
      <w:color w:val="000000"/>
      <w:sz w:val="14"/>
      <w:szCs w:val="14"/>
    </w:rPr>
  </w:style>
  <w:style w:type="character" w:customStyle="1" w:styleId="413">
    <w:name w:val="标题 2 Char Char"/>
    <w:autoRedefine/>
    <w:qFormat/>
    <w:uiPriority w:val="0"/>
    <w:rPr>
      <w:rFonts w:ascii="楷体_GB2312" w:hAnsi="Arial" w:eastAsia="楷体_GB2312"/>
      <w:b/>
      <w:bCs/>
      <w:kern w:val="2"/>
      <w:sz w:val="24"/>
      <w:szCs w:val="32"/>
      <w:lang w:val="en-US" w:eastAsia="zh-CN" w:bidi="ar-SA"/>
    </w:rPr>
  </w:style>
  <w:style w:type="character" w:customStyle="1" w:styleId="414">
    <w:name w:val="未用 Char"/>
    <w:autoRedefine/>
    <w:qFormat/>
    <w:uiPriority w:val="0"/>
    <w:rPr>
      <w:rFonts w:ascii="Arial" w:hAnsi="Arial" w:eastAsia="黑体"/>
      <w:kern w:val="2"/>
      <w:sz w:val="21"/>
      <w:szCs w:val="21"/>
      <w:lang w:val="en-US" w:eastAsia="zh-CN" w:bidi="ar-SA"/>
    </w:rPr>
  </w:style>
  <w:style w:type="character" w:customStyle="1" w:styleId="415">
    <w:name w:val="myp1111"/>
    <w:autoRedefine/>
    <w:qFormat/>
    <w:uiPriority w:val="0"/>
    <w:rPr>
      <w:rFonts w:hint="default" w:ascii="ˎ̥" w:hAnsi="ˎ̥"/>
      <w:color w:val="000000"/>
      <w:sz w:val="20"/>
      <w:szCs w:val="20"/>
      <w:u w:val="none"/>
    </w:rPr>
  </w:style>
  <w:style w:type="character" w:customStyle="1" w:styleId="416">
    <w:name w:val="样式 标题 4h4H4Fab-4T5Ref Heading 1rh1Heading sqlsect 1.2.3.... Char"/>
    <w:link w:val="308"/>
    <w:autoRedefine/>
    <w:qFormat/>
    <w:uiPriority w:val="0"/>
    <w:rPr>
      <w:rFonts w:ascii="微软雅黑" w:hAnsi="微软雅黑" w:eastAsia="微软雅黑"/>
      <w:b/>
      <w:bCs/>
      <w:kern w:val="2"/>
      <w:sz w:val="24"/>
      <w:szCs w:val="28"/>
    </w:rPr>
  </w:style>
  <w:style w:type="character" w:customStyle="1" w:styleId="417">
    <w:name w:val="h Char Char"/>
    <w:autoRedefine/>
    <w:qFormat/>
    <w:uiPriority w:val="0"/>
    <w:rPr>
      <w:rFonts w:eastAsia="宋体"/>
      <w:kern w:val="2"/>
      <w:sz w:val="18"/>
      <w:lang w:val="en-US" w:eastAsia="zh-CN" w:bidi="ar-SA"/>
    </w:rPr>
  </w:style>
  <w:style w:type="character" w:customStyle="1" w:styleId="418">
    <w:name w:val="仿宋正文 Char"/>
    <w:link w:val="419"/>
    <w:autoRedefine/>
    <w:qFormat/>
    <w:uiPriority w:val="0"/>
    <w:rPr>
      <w:rFonts w:ascii="仿宋_GB2312" w:eastAsia="仿宋_GB2312"/>
      <w:kern w:val="2"/>
      <w:sz w:val="24"/>
      <w:lang w:val="en-US" w:eastAsia="zh-CN" w:bidi="ar-SA"/>
    </w:rPr>
  </w:style>
  <w:style w:type="paragraph" w:customStyle="1" w:styleId="419">
    <w:name w:val="仿宋正文"/>
    <w:basedOn w:val="1"/>
    <w:link w:val="418"/>
    <w:autoRedefine/>
    <w:qFormat/>
    <w:uiPriority w:val="0"/>
    <w:pPr>
      <w:adjustRightInd/>
      <w:spacing w:line="360" w:lineRule="auto"/>
      <w:ind w:firstLine="480" w:firstLineChars="200"/>
    </w:pPr>
    <w:rPr>
      <w:rFonts w:ascii="仿宋_GB2312" w:eastAsia="仿宋_GB2312"/>
      <w:sz w:val="24"/>
      <w:szCs w:val="20"/>
    </w:rPr>
  </w:style>
  <w:style w:type="character" w:customStyle="1" w:styleId="420">
    <w:name w:val="正文首行缩进 Char Char Char Char Char Char"/>
    <w:autoRedefine/>
    <w:qFormat/>
    <w:uiPriority w:val="0"/>
    <w:rPr>
      <w:rFonts w:ascii="宋体" w:eastAsia="宋体"/>
      <w:kern w:val="2"/>
      <w:sz w:val="24"/>
      <w:lang w:val="zh-CN" w:bidi="ar-SA"/>
    </w:rPr>
  </w:style>
  <w:style w:type="character" w:customStyle="1" w:styleId="421">
    <w:name w:val="样式 宋体"/>
    <w:autoRedefine/>
    <w:qFormat/>
    <w:uiPriority w:val="0"/>
    <w:rPr>
      <w:rFonts w:ascii="宋体" w:hAnsi="宋体"/>
      <w:sz w:val="24"/>
    </w:rPr>
  </w:style>
  <w:style w:type="character" w:customStyle="1" w:styleId="422">
    <w:name w:val="tw4winJump"/>
    <w:autoRedefine/>
    <w:qFormat/>
    <w:uiPriority w:val="0"/>
    <w:rPr>
      <w:rFonts w:ascii="Courier New" w:hAnsi="Courier New" w:cs="Courier New"/>
      <w:color w:val="008080"/>
      <w:lang w:val="en-US" w:eastAsia="zh-CN"/>
    </w:rPr>
  </w:style>
  <w:style w:type="character" w:customStyle="1" w:styleId="423">
    <w:name w:val="标题 1 字符"/>
    <w:autoRedefine/>
    <w:qFormat/>
    <w:uiPriority w:val="9"/>
    <w:rPr>
      <w:rFonts w:ascii="Arial" w:hAnsi="Arial" w:eastAsia="黑体" w:cs="Arial"/>
      <w:b/>
      <w:bCs/>
      <w:snapToGrid w:val="0"/>
      <w:kern w:val="44"/>
      <w:sz w:val="44"/>
      <w:szCs w:val="44"/>
    </w:rPr>
  </w:style>
  <w:style w:type="character" w:customStyle="1" w:styleId="424">
    <w:name w:val="style36"/>
    <w:basedOn w:val="73"/>
    <w:autoRedefine/>
    <w:qFormat/>
    <w:uiPriority w:val="0"/>
    <w:rPr>
      <w:rFonts w:ascii="Arial" w:hAnsi="Arial" w:eastAsia="黑体" w:cs="Arial"/>
      <w:snapToGrid w:val="0"/>
      <w:kern w:val="0"/>
      <w:szCs w:val="21"/>
    </w:rPr>
  </w:style>
  <w:style w:type="character" w:customStyle="1" w:styleId="425">
    <w:name w:val="pt9"/>
    <w:autoRedefine/>
    <w:qFormat/>
    <w:uiPriority w:val="0"/>
    <w:rPr>
      <w:rFonts w:ascii="仿宋_GB2312" w:eastAsia="微软雅黑"/>
      <w:b/>
      <w:kern w:val="2"/>
      <w:sz w:val="32"/>
      <w:szCs w:val="32"/>
      <w:lang w:val="en-US" w:eastAsia="zh-CN" w:bidi="ar-SA"/>
    </w:rPr>
  </w:style>
  <w:style w:type="character" w:customStyle="1" w:styleId="426">
    <w:name w:val="DO_NOT_TRANSLATE"/>
    <w:autoRedefine/>
    <w:qFormat/>
    <w:uiPriority w:val="0"/>
    <w:rPr>
      <w:rFonts w:ascii="Courier New" w:hAnsi="Courier New" w:cs="Courier New"/>
      <w:color w:val="800000"/>
      <w:lang w:val="en-US" w:eastAsia="zh-CN"/>
    </w:rPr>
  </w:style>
  <w:style w:type="character" w:customStyle="1" w:styleId="427">
    <w:name w:val="标书1 Char1"/>
    <w:autoRedefine/>
    <w:qFormat/>
    <w:uiPriority w:val="0"/>
    <w:rPr>
      <w:rFonts w:eastAsia="宋体"/>
      <w:b/>
      <w:bCs/>
      <w:kern w:val="44"/>
      <w:sz w:val="44"/>
      <w:szCs w:val="44"/>
      <w:lang w:val="en-US" w:eastAsia="zh-CN" w:bidi="ar-SA"/>
    </w:rPr>
  </w:style>
  <w:style w:type="character" w:customStyle="1" w:styleId="428">
    <w:name w:val="页脚 字符"/>
    <w:autoRedefine/>
    <w:qFormat/>
    <w:uiPriority w:val="99"/>
    <w:rPr>
      <w:kern w:val="2"/>
      <w:sz w:val="18"/>
      <w:szCs w:val="18"/>
    </w:rPr>
  </w:style>
  <w:style w:type="character" w:customStyle="1" w:styleId="429">
    <w:name w:val="正文2 Char"/>
    <w:autoRedefine/>
    <w:qFormat/>
    <w:uiPriority w:val="0"/>
    <w:rPr>
      <w:rFonts w:eastAsia="宋体"/>
      <w:kern w:val="2"/>
      <w:sz w:val="24"/>
      <w:lang w:val="en-US" w:eastAsia="zh-CN" w:bidi="ar-SA"/>
    </w:rPr>
  </w:style>
  <w:style w:type="character" w:customStyle="1" w:styleId="430">
    <w:name w:val="Char Char21"/>
    <w:autoRedefine/>
    <w:qFormat/>
    <w:uiPriority w:val="6"/>
    <w:rPr>
      <w:rFonts w:ascii="宋体" w:hAnsi="宋体"/>
      <w:kern w:val="1"/>
      <w:sz w:val="24"/>
      <w:szCs w:val="21"/>
      <w:lang w:val="zh-CN"/>
    </w:rPr>
  </w:style>
  <w:style w:type="character" w:customStyle="1" w:styleId="431">
    <w:name w:val="样式 正文缩进 + 首行缩进:  2 字符 Char Char"/>
    <w:link w:val="432"/>
    <w:autoRedefine/>
    <w:qFormat/>
    <w:uiPriority w:val="0"/>
    <w:rPr>
      <w:rFonts w:cs="宋体"/>
      <w:kern w:val="2"/>
      <w:sz w:val="24"/>
    </w:rPr>
  </w:style>
  <w:style w:type="paragraph" w:customStyle="1" w:styleId="432">
    <w:name w:val="样式 正文缩进 + 首行缩进:  2 字符"/>
    <w:basedOn w:val="15"/>
    <w:link w:val="431"/>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3">
    <w:name w:val="正文文本 Char1"/>
    <w:link w:val="23"/>
    <w:autoRedefine/>
    <w:qFormat/>
    <w:uiPriority w:val="0"/>
    <w:rPr>
      <w:rFonts w:ascii="宋体" w:hAnsi="Arial" w:eastAsia="宋体" w:cs="Arial"/>
      <w:snapToGrid w:val="0"/>
      <w:kern w:val="2"/>
      <w:sz w:val="24"/>
      <w:szCs w:val="21"/>
      <w:lang w:val="zh-CN" w:eastAsia="zh-CN" w:bidi="ar-SA"/>
    </w:rPr>
  </w:style>
  <w:style w:type="character" w:customStyle="1" w:styleId="434">
    <w:name w:val="gray6"/>
    <w:basedOn w:val="73"/>
    <w:autoRedefine/>
    <w:qFormat/>
    <w:uiPriority w:val="0"/>
    <w:rPr>
      <w:rFonts w:ascii="Arial" w:hAnsi="Arial" w:eastAsia="黑体" w:cs="Arial"/>
      <w:snapToGrid w:val="0"/>
      <w:kern w:val="0"/>
      <w:szCs w:val="21"/>
    </w:rPr>
  </w:style>
  <w:style w:type="character" w:customStyle="1" w:styleId="435">
    <w:name w:val="hui"/>
    <w:basedOn w:val="73"/>
    <w:autoRedefine/>
    <w:qFormat/>
    <w:uiPriority w:val="0"/>
    <w:rPr>
      <w:rFonts w:ascii="Arial" w:hAnsi="Arial" w:eastAsia="黑体" w:cs="Arial"/>
      <w:snapToGrid w:val="0"/>
      <w:kern w:val="0"/>
      <w:szCs w:val="21"/>
    </w:rPr>
  </w:style>
  <w:style w:type="character" w:customStyle="1" w:styleId="436">
    <w:name w:val="哈哈正文 Char Char"/>
    <w:autoRedefine/>
    <w:qFormat/>
    <w:uiPriority w:val="0"/>
    <w:rPr>
      <w:rFonts w:ascii="宋体" w:hAnsi="宋体" w:eastAsia="宋体" w:cs="宋体"/>
      <w:kern w:val="2"/>
      <w:sz w:val="24"/>
      <w:lang w:val="en-US" w:eastAsia="zh-CN" w:bidi="ar-SA"/>
    </w:rPr>
  </w:style>
  <w:style w:type="paragraph" w:customStyle="1" w:styleId="437">
    <w:name w:val="样式 正文文本缩进 + 左侧:  2 字符 首行缩进:  2 字符"/>
    <w:basedOn w:val="24"/>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8">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9">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40">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41">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2">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43">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44">
    <w:name w:val="标题4_自定义"/>
    <w:basedOn w:val="5"/>
    <w:autoRedefine/>
    <w:qFormat/>
    <w:uiPriority w:val="0"/>
    <w:pPr>
      <w:adjustRightInd/>
      <w:spacing w:before="0" w:after="0" w:line="360" w:lineRule="auto"/>
    </w:pPr>
    <w:rPr>
      <w:rFonts w:ascii="Verdana" w:eastAsia="Verdana"/>
      <w:sz w:val="21"/>
      <w:lang w:val="en-US"/>
    </w:rPr>
  </w:style>
  <w:style w:type="paragraph" w:customStyle="1" w:styleId="445">
    <w:name w:val="正文 内标 序号标"/>
    <w:basedOn w:val="446"/>
    <w:autoRedefine/>
    <w:qFormat/>
    <w:uiPriority w:val="0"/>
    <w:pPr>
      <w:tabs>
        <w:tab w:val="left" w:pos="0"/>
      </w:tabs>
      <w:adjustRightInd/>
      <w:spacing w:before="0"/>
      <w:ind w:firstLine="482"/>
    </w:pPr>
    <w:rPr>
      <w:rFonts w:ascii="微软雅黑" w:hAnsi="微软雅黑"/>
      <w:sz w:val="24"/>
      <w:szCs w:val="24"/>
    </w:rPr>
  </w:style>
  <w:style w:type="paragraph" w:customStyle="1" w:styleId="446">
    <w:name w:val="My正文"/>
    <w:basedOn w:val="1"/>
    <w:autoRedefine/>
    <w:qFormat/>
    <w:uiPriority w:val="0"/>
    <w:pPr>
      <w:spacing w:before="120" w:line="360" w:lineRule="auto"/>
      <w:ind w:firstLine="567"/>
    </w:pPr>
    <w:rPr>
      <w:rFonts w:ascii="Arial" w:hAnsi="Arial"/>
      <w:sz w:val="20"/>
      <w:szCs w:val="20"/>
    </w:rPr>
  </w:style>
  <w:style w:type="paragraph" w:customStyle="1" w:styleId="447">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48">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49">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50">
    <w:name w:val="修订2"/>
    <w:autoRedefine/>
    <w:qFormat/>
    <w:uiPriority w:val="0"/>
    <w:rPr>
      <w:rFonts w:ascii="Times New Roman" w:hAnsi="Times New Roman" w:eastAsia="宋体" w:cs="Times New Roman"/>
      <w:kern w:val="2"/>
      <w:sz w:val="21"/>
      <w:lang w:val="en-US" w:eastAsia="zh-CN" w:bidi="ar-SA"/>
    </w:rPr>
  </w:style>
  <w:style w:type="paragraph" w:customStyle="1" w:styleId="451">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52">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3">
    <w:name w:val="文章标题"/>
    <w:next w:val="454"/>
    <w:autoRedefine/>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4">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55">
    <w:name w:val="Char1 Char Char Char5"/>
    <w:basedOn w:val="1"/>
    <w:autoRedefine/>
    <w:qFormat/>
    <w:uiPriority w:val="0"/>
    <w:pPr>
      <w:adjustRightInd/>
      <w:ind w:firstLine="200" w:firstLineChars="200"/>
    </w:pPr>
    <w:rPr>
      <w:rFonts w:ascii="Tahoma" w:hAnsi="Tahoma"/>
      <w:sz w:val="24"/>
      <w:szCs w:val="20"/>
    </w:rPr>
  </w:style>
  <w:style w:type="paragraph" w:customStyle="1" w:styleId="456">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7">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8">
    <w:name w:val="Char Char Char Char Char Char Char Char"/>
    <w:basedOn w:val="1"/>
    <w:autoRedefine/>
    <w:qFormat/>
    <w:uiPriority w:val="0"/>
    <w:pPr>
      <w:tabs>
        <w:tab w:val="left" w:pos="360"/>
      </w:tabs>
    </w:pPr>
    <w:rPr>
      <w:sz w:val="24"/>
      <w:szCs w:val="20"/>
    </w:rPr>
  </w:style>
  <w:style w:type="paragraph" w:customStyle="1" w:styleId="459">
    <w:name w:val="Char Char11 Char Char Char"/>
    <w:basedOn w:val="1"/>
    <w:autoRedefine/>
    <w:qFormat/>
    <w:uiPriority w:val="0"/>
    <w:pPr>
      <w:spacing w:line="360" w:lineRule="auto"/>
    </w:pPr>
    <w:rPr>
      <w:szCs w:val="20"/>
    </w:rPr>
  </w:style>
  <w:style w:type="paragraph" w:customStyle="1" w:styleId="460">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1">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62">
    <w:name w:val="样式3"/>
    <w:basedOn w:val="463"/>
    <w:autoRedefine/>
    <w:qFormat/>
    <w:uiPriority w:val="0"/>
    <w:pPr>
      <w:tabs>
        <w:tab w:val="left" w:pos="2790"/>
        <w:tab w:val="left" w:pos="4230"/>
      </w:tabs>
      <w:spacing w:before="312" w:beforeLines="100"/>
      <w:jc w:val="left"/>
    </w:pPr>
  </w:style>
  <w:style w:type="paragraph" w:customStyle="1" w:styleId="463">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4">
    <w:name w:val="Char Char1 Char Char1 Char Char1"/>
    <w:basedOn w:val="1"/>
    <w:autoRedefine/>
    <w:qFormat/>
    <w:uiPriority w:val="0"/>
    <w:pPr>
      <w:tabs>
        <w:tab w:val="left" w:pos="840"/>
      </w:tabs>
      <w:ind w:left="840" w:hanging="420"/>
    </w:pPr>
    <w:rPr>
      <w:rFonts w:ascii="Tahoma" w:hAnsi="Tahoma"/>
      <w:sz w:val="24"/>
    </w:rPr>
  </w:style>
  <w:style w:type="paragraph" w:customStyle="1" w:styleId="465">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6">
    <w:name w:val="标书标题2"/>
    <w:basedOn w:val="3"/>
    <w:autoRedefine/>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7">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8">
    <w:name w:val="正文21"/>
    <w:basedOn w:val="1"/>
    <w:autoRedefine/>
    <w:qFormat/>
    <w:uiPriority w:val="0"/>
    <w:pPr>
      <w:adjustRightInd/>
      <w:spacing w:before="156" w:line="360" w:lineRule="auto"/>
      <w:ind w:firstLine="510" w:firstLineChars="200"/>
    </w:pPr>
    <w:rPr>
      <w:sz w:val="24"/>
      <w:szCs w:val="20"/>
    </w:rPr>
  </w:style>
  <w:style w:type="paragraph" w:customStyle="1" w:styleId="469">
    <w:name w:val="Test2"/>
    <w:basedOn w:val="3"/>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70">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1">
    <w:name w:val="Char1"/>
    <w:basedOn w:val="1"/>
    <w:autoRedefine/>
    <w:qFormat/>
    <w:uiPriority w:val="0"/>
    <w:rPr>
      <w:rFonts w:ascii="仿宋_GB2312" w:eastAsia="仿宋_GB2312"/>
      <w:b/>
      <w:sz w:val="32"/>
      <w:szCs w:val="32"/>
    </w:rPr>
  </w:style>
  <w:style w:type="paragraph" w:customStyle="1" w:styleId="472">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3">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74">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75">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6">
    <w:name w:val="6级标题"/>
    <w:basedOn w:val="477"/>
    <w:autoRedefine/>
    <w:qFormat/>
    <w:uiPriority w:val="0"/>
    <w:pPr>
      <w:keepNext/>
      <w:tabs>
        <w:tab w:val="left" w:pos="360"/>
      </w:tabs>
      <w:spacing w:before="0" w:after="0"/>
      <w:outlineLvl w:val="5"/>
    </w:pPr>
  </w:style>
  <w:style w:type="paragraph" w:customStyle="1" w:styleId="477">
    <w:name w:val="5级标题"/>
    <w:basedOn w:val="478"/>
    <w:autoRedefine/>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8">
    <w:name w:val="4级标题"/>
    <w:basedOn w:val="261"/>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9">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80">
    <w:name w:val="Char2 Char Char"/>
    <w:basedOn w:val="1"/>
    <w:autoRedefine/>
    <w:qFormat/>
    <w:uiPriority w:val="0"/>
    <w:pPr>
      <w:adjustRightInd/>
    </w:pPr>
    <w:rPr>
      <w:rFonts w:ascii="Tahoma" w:hAnsi="Tahoma"/>
      <w:sz w:val="24"/>
      <w:szCs w:val="20"/>
    </w:rPr>
  </w:style>
  <w:style w:type="paragraph" w:customStyle="1" w:styleId="481">
    <w:name w:val="_Style 11"/>
    <w:basedOn w:val="1"/>
    <w:autoRedefine/>
    <w:qFormat/>
    <w:uiPriority w:val="34"/>
    <w:pPr>
      <w:adjustRightInd/>
      <w:ind w:firstLine="420" w:firstLineChars="200"/>
    </w:pPr>
    <w:rPr>
      <w:rFonts w:eastAsia="仿宋_GB2312"/>
      <w:sz w:val="28"/>
    </w:rPr>
  </w:style>
  <w:style w:type="paragraph" w:customStyle="1" w:styleId="482">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3">
    <w:name w:val="Char Char Char"/>
    <w:basedOn w:val="1"/>
    <w:autoRedefine/>
    <w:qFormat/>
    <w:uiPriority w:val="0"/>
    <w:rPr>
      <w:rFonts w:ascii="Tahoma" w:hAnsi="Tahoma"/>
      <w:sz w:val="24"/>
      <w:szCs w:val="20"/>
    </w:rPr>
  </w:style>
  <w:style w:type="paragraph" w:customStyle="1" w:styleId="484">
    <w:name w:val="数字标题6"/>
    <w:basedOn w:val="7"/>
    <w:next w:val="1"/>
    <w:autoRedefine/>
    <w:qFormat/>
    <w:uiPriority w:val="0"/>
    <w:pPr>
      <w:tabs>
        <w:tab w:val="left" w:pos="1080"/>
      </w:tabs>
      <w:ind w:left="1080" w:hanging="1080"/>
    </w:pPr>
    <w:rPr>
      <w:rFonts w:ascii="Times New Roman" w:hAnsi="Times New Roman" w:eastAsia="宋体"/>
      <w:i/>
    </w:rPr>
  </w:style>
  <w:style w:type="paragraph" w:customStyle="1" w:styleId="485">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6">
    <w:name w:val="No Spacing"/>
    <w:basedOn w:val="1"/>
    <w:link w:val="934"/>
    <w:autoRedefine/>
    <w:qFormat/>
    <w:uiPriority w:val="99"/>
    <w:rPr>
      <w:szCs w:val="22"/>
    </w:rPr>
  </w:style>
  <w:style w:type="paragraph" w:customStyle="1" w:styleId="487">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8">
    <w:name w:val="Char Char Char Char Char Char Char Char Char Char Char Char1 Char1"/>
    <w:basedOn w:val="1"/>
    <w:autoRedefine/>
    <w:qFormat/>
    <w:uiPriority w:val="6"/>
    <w:rPr>
      <w:rFonts w:ascii="Tahoma" w:hAnsi="Tahoma" w:cs="仿宋_GB2312"/>
      <w:sz w:val="24"/>
      <w:szCs w:val="20"/>
    </w:rPr>
  </w:style>
  <w:style w:type="paragraph" w:customStyle="1" w:styleId="489">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90">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1">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2">
    <w:name w:val="MM Topic 2"/>
    <w:basedOn w:val="3"/>
    <w:autoRedefine/>
    <w:qFormat/>
    <w:uiPriority w:val="0"/>
    <w:pPr>
      <w:tabs>
        <w:tab w:val="left" w:pos="1260"/>
      </w:tabs>
      <w:ind w:left="1260" w:hanging="420"/>
    </w:pPr>
    <w:rPr>
      <w:rFonts w:ascii="Arial" w:hAnsi="Arial" w:eastAsia="黑体"/>
      <w:lang w:val="en-US"/>
    </w:rPr>
  </w:style>
  <w:style w:type="paragraph" w:customStyle="1" w:styleId="493">
    <w:name w:val="五级无标题条"/>
    <w:basedOn w:val="1"/>
    <w:autoRedefine/>
    <w:qFormat/>
    <w:uiPriority w:val="0"/>
    <w:pPr>
      <w:adjustRightInd/>
    </w:pPr>
  </w:style>
  <w:style w:type="paragraph" w:customStyle="1" w:styleId="494">
    <w:name w:val="Char5"/>
    <w:basedOn w:val="1"/>
    <w:autoRedefine/>
    <w:qFormat/>
    <w:uiPriority w:val="0"/>
    <w:rPr>
      <w:rFonts w:ascii="仿宋_GB2312" w:eastAsia="仿宋_GB2312"/>
      <w:b/>
      <w:sz w:val="32"/>
      <w:szCs w:val="32"/>
    </w:rPr>
  </w:style>
  <w:style w:type="paragraph" w:customStyle="1" w:styleId="495">
    <w:name w:val="TOC 标题1"/>
    <w:basedOn w:val="2"/>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6">
    <w:name w:val="彩色列表 - 强调文字颜色 12"/>
    <w:basedOn w:val="1"/>
    <w:autoRedefine/>
    <w:qFormat/>
    <w:uiPriority w:val="0"/>
    <w:pPr>
      <w:adjustRightInd/>
      <w:ind w:firstLine="420" w:firstLineChars="200"/>
    </w:pPr>
    <w:rPr>
      <w:rFonts w:ascii="Calibri" w:hAnsi="Calibri"/>
      <w:szCs w:val="22"/>
    </w:rPr>
  </w:style>
  <w:style w:type="paragraph" w:customStyle="1" w:styleId="497">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8">
    <w:name w:val="Char2"/>
    <w:basedOn w:val="1"/>
    <w:autoRedefine/>
    <w:qFormat/>
    <w:uiPriority w:val="0"/>
    <w:rPr>
      <w:rFonts w:ascii="仿宋_GB2312" w:eastAsia="仿宋_GB2312"/>
      <w:b/>
      <w:sz w:val="32"/>
      <w:szCs w:val="32"/>
    </w:rPr>
  </w:style>
  <w:style w:type="paragraph" w:customStyle="1" w:styleId="499">
    <w:name w:val="数字标题3"/>
    <w:basedOn w:val="4"/>
    <w:next w:val="1"/>
    <w:autoRedefine/>
    <w:qFormat/>
    <w:uiPriority w:val="0"/>
    <w:pPr>
      <w:spacing w:line="240" w:lineRule="auto"/>
    </w:pPr>
    <w:rPr>
      <w:sz w:val="28"/>
      <w:szCs w:val="28"/>
    </w:rPr>
  </w:style>
  <w:style w:type="paragraph" w:customStyle="1" w:styleId="500">
    <w:name w:val="FA正文"/>
    <w:basedOn w:val="1"/>
    <w:autoRedefine/>
    <w:qFormat/>
    <w:uiPriority w:val="0"/>
    <w:pPr>
      <w:spacing w:line="360" w:lineRule="auto"/>
      <w:ind w:firstLine="480" w:firstLineChars="200"/>
    </w:pPr>
    <w:rPr>
      <w:rFonts w:hAnsi="宋体"/>
      <w:sz w:val="24"/>
      <w:szCs w:val="20"/>
    </w:rPr>
  </w:style>
  <w:style w:type="paragraph" w:customStyle="1" w:styleId="501">
    <w:name w:val="MM Topic 5"/>
    <w:basedOn w:val="6"/>
    <w:autoRedefine/>
    <w:qFormat/>
    <w:uiPriority w:val="0"/>
    <w:pPr>
      <w:tabs>
        <w:tab w:val="left" w:pos="2520"/>
      </w:tabs>
      <w:adjustRightInd/>
      <w:ind w:left="2520" w:hanging="420"/>
    </w:pPr>
  </w:style>
  <w:style w:type="paragraph" w:customStyle="1" w:styleId="502">
    <w:name w:val="Char Char Char Char Char Char Char Char Char Char1"/>
    <w:basedOn w:val="1"/>
    <w:autoRedefine/>
    <w:qFormat/>
    <w:uiPriority w:val="0"/>
    <w:rPr>
      <w:rFonts w:ascii="仿宋_GB2312" w:eastAsia="仿宋_GB2312"/>
      <w:b/>
      <w:sz w:val="32"/>
      <w:szCs w:val="32"/>
    </w:rPr>
  </w:style>
  <w:style w:type="paragraph" w:customStyle="1" w:styleId="503">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4">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05">
    <w:name w:val="Char2 Char Char Char"/>
    <w:basedOn w:val="1"/>
    <w:autoRedefine/>
    <w:qFormat/>
    <w:uiPriority w:val="0"/>
    <w:rPr>
      <w:rFonts w:ascii="仿宋_GB2312" w:eastAsia="仿宋_GB2312"/>
      <w:b/>
      <w:sz w:val="32"/>
      <w:szCs w:val="32"/>
    </w:rPr>
  </w:style>
  <w:style w:type="paragraph" w:customStyle="1" w:styleId="506">
    <w:name w:val="Char2 Char Char Char1"/>
    <w:basedOn w:val="1"/>
    <w:autoRedefine/>
    <w:qFormat/>
    <w:uiPriority w:val="6"/>
    <w:rPr>
      <w:rFonts w:ascii="仿宋_GB2312" w:eastAsia="仿宋_GB2312"/>
      <w:b/>
      <w:sz w:val="32"/>
      <w:szCs w:val="32"/>
    </w:rPr>
  </w:style>
  <w:style w:type="paragraph" w:customStyle="1" w:styleId="507">
    <w:name w:val="默认段落样式"/>
    <w:basedOn w:val="134"/>
    <w:autoRedefine/>
    <w:qFormat/>
    <w:uiPriority w:val="0"/>
    <w:pPr>
      <w:spacing w:before="0"/>
      <w:ind w:firstLine="480"/>
      <w:outlineLvl w:val="2"/>
    </w:pPr>
    <w:rPr>
      <w:rFonts w:ascii="仿宋_GB2312" w:hAnsi="宋体" w:eastAsia="仿宋_GB2312"/>
      <w:color w:val="000000"/>
      <w:szCs w:val="24"/>
    </w:rPr>
  </w:style>
  <w:style w:type="paragraph" w:customStyle="1" w:styleId="508">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09">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10">
    <w:name w:val="MM Topic 3"/>
    <w:basedOn w:val="4"/>
    <w:autoRedefine/>
    <w:qFormat/>
    <w:uiPriority w:val="0"/>
    <w:pPr>
      <w:tabs>
        <w:tab w:val="left" w:pos="1680"/>
      </w:tabs>
      <w:adjustRightInd/>
      <w:ind w:left="1680" w:hanging="420"/>
    </w:pPr>
  </w:style>
  <w:style w:type="paragraph" w:customStyle="1" w:styleId="511">
    <w:name w:val="标准小四"/>
    <w:basedOn w:val="1"/>
    <w:autoRedefine/>
    <w:qFormat/>
    <w:uiPriority w:val="0"/>
    <w:pPr>
      <w:spacing w:line="360" w:lineRule="auto"/>
      <w:ind w:firstLine="480" w:firstLineChars="200"/>
    </w:pPr>
    <w:rPr>
      <w:rFonts w:ascii="Arial" w:hAnsi="Arial"/>
      <w:sz w:val="24"/>
      <w:szCs w:val="21"/>
    </w:rPr>
  </w:style>
  <w:style w:type="paragraph" w:customStyle="1" w:styleId="512">
    <w:name w:val="样式 标题 2H2h2Underrubrik1prop2l2Chapter Titlesect 1.2DO NO..."/>
    <w:basedOn w:val="3"/>
    <w:autoRedefine/>
    <w:qFormat/>
    <w:uiPriority w:val="0"/>
    <w:pPr>
      <w:spacing w:before="120" w:after="120"/>
      <w:ind w:left="425" w:hanging="425"/>
    </w:pPr>
    <w:rPr>
      <w:rFonts w:ascii="微软雅黑" w:hAnsi="微软雅黑" w:eastAsia="微软雅黑" w:cs="宋体"/>
      <w:szCs w:val="20"/>
      <w:lang w:val="en-US"/>
    </w:rPr>
  </w:style>
  <w:style w:type="paragraph" w:customStyle="1" w:styleId="513">
    <w:name w:val="表格（小）"/>
    <w:basedOn w:val="1"/>
    <w:autoRedefine/>
    <w:qFormat/>
    <w:uiPriority w:val="0"/>
    <w:pPr>
      <w:adjustRightInd/>
      <w:snapToGrid w:val="0"/>
      <w:spacing w:line="300" w:lineRule="auto"/>
    </w:pPr>
    <w:rPr>
      <w:rFonts w:eastAsia="仿宋"/>
      <w:szCs w:val="21"/>
    </w:rPr>
  </w:style>
  <w:style w:type="paragraph" w:customStyle="1" w:styleId="514">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15">
    <w:name w:val="Char2 Char Char1"/>
    <w:basedOn w:val="1"/>
    <w:autoRedefine/>
    <w:qFormat/>
    <w:uiPriority w:val="6"/>
    <w:pPr>
      <w:adjustRightInd/>
    </w:pPr>
    <w:rPr>
      <w:rFonts w:ascii="Tahoma" w:hAnsi="Tahoma"/>
      <w:sz w:val="24"/>
      <w:szCs w:val="20"/>
    </w:rPr>
  </w:style>
  <w:style w:type="paragraph" w:customStyle="1" w:styleId="516">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7">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8">
    <w:name w:val="表格文字"/>
    <w:basedOn w:val="1"/>
    <w:next w:val="15"/>
    <w:autoRedefine/>
    <w:qFormat/>
    <w:uiPriority w:val="0"/>
    <w:pPr>
      <w:adjustRightInd/>
      <w:ind w:firstLine="200" w:firstLineChars="200"/>
    </w:pPr>
    <w:rPr>
      <w:rFonts w:ascii="Arial" w:hAnsi="Arial"/>
      <w:spacing w:val="-5"/>
      <w:kern w:val="0"/>
      <w:sz w:val="24"/>
      <w:szCs w:val="20"/>
    </w:rPr>
  </w:style>
  <w:style w:type="paragraph" w:customStyle="1" w:styleId="519">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20">
    <w:name w:val="TOC 标题111"/>
    <w:basedOn w:val="2"/>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1">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2">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23">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4">
    <w:name w:val="_Style 3"/>
    <w:basedOn w:val="1"/>
    <w:autoRedefine/>
    <w:qFormat/>
    <w:uiPriority w:val="0"/>
    <w:pPr>
      <w:adjustRightInd/>
      <w:ind w:firstLine="420" w:firstLineChars="200"/>
    </w:pPr>
    <w:rPr>
      <w:rFonts w:eastAsia="仿宋_GB2312"/>
      <w:sz w:val="28"/>
    </w:rPr>
  </w:style>
  <w:style w:type="paragraph" w:customStyle="1" w:styleId="525">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6">
    <w:name w:val="Bulleting First Indent 1"/>
    <w:basedOn w:val="64"/>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7">
    <w:name w:val="左对齐表格文字"/>
    <w:basedOn w:val="1"/>
    <w:autoRedefine/>
    <w:qFormat/>
    <w:uiPriority w:val="0"/>
    <w:pPr>
      <w:adjustRightInd/>
      <w:ind w:firstLine="200" w:firstLineChars="200"/>
      <w:jc w:val="right"/>
    </w:pPr>
  </w:style>
  <w:style w:type="paragraph" w:customStyle="1" w:styleId="528">
    <w:name w:val="Char Char11 Char Char Char Char Char Char Char Char Char"/>
    <w:basedOn w:val="1"/>
    <w:autoRedefine/>
    <w:qFormat/>
    <w:uiPriority w:val="0"/>
    <w:pPr>
      <w:spacing w:line="360" w:lineRule="auto"/>
    </w:pPr>
    <w:rPr>
      <w:szCs w:val="20"/>
    </w:rPr>
  </w:style>
  <w:style w:type="paragraph" w:customStyle="1" w:styleId="529">
    <w:name w:val="正文1.25"/>
    <w:basedOn w:val="1"/>
    <w:autoRedefine/>
    <w:qFormat/>
    <w:uiPriority w:val="0"/>
    <w:pPr>
      <w:adjustRightInd/>
      <w:spacing w:line="300" w:lineRule="auto"/>
      <w:ind w:firstLine="480" w:firstLineChars="200"/>
    </w:pPr>
    <w:rPr>
      <w:sz w:val="24"/>
      <w:szCs w:val="20"/>
    </w:rPr>
  </w:style>
  <w:style w:type="paragraph" w:customStyle="1" w:styleId="530">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31">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2">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3">
    <w:name w:val="Char Char1 Char Char Char1"/>
    <w:basedOn w:val="1"/>
    <w:autoRedefine/>
    <w:qFormat/>
    <w:uiPriority w:val="6"/>
    <w:rPr>
      <w:rFonts w:ascii="仿宋_GB2312" w:eastAsia="仿宋_GB2312"/>
      <w:b/>
      <w:sz w:val="32"/>
      <w:szCs w:val="20"/>
    </w:rPr>
  </w:style>
  <w:style w:type="paragraph" w:customStyle="1" w:styleId="534">
    <w:name w:val="列出段落2"/>
    <w:basedOn w:val="1"/>
    <w:autoRedefine/>
    <w:qFormat/>
    <w:uiPriority w:val="0"/>
    <w:pPr>
      <w:adjustRightInd/>
      <w:ind w:firstLine="420" w:firstLineChars="200"/>
    </w:pPr>
    <w:rPr>
      <w:rFonts w:ascii="宋体" w:hAnsi="宋体"/>
      <w:sz w:val="24"/>
    </w:rPr>
  </w:style>
  <w:style w:type="paragraph" w:customStyle="1" w:styleId="535">
    <w:name w:val="默认段落字体 Para Char Char Char Char Char Char Char"/>
    <w:basedOn w:val="1"/>
    <w:autoRedefine/>
    <w:qFormat/>
    <w:uiPriority w:val="0"/>
    <w:rPr>
      <w:rFonts w:eastAsia="仿宋_GB2312"/>
      <w:sz w:val="28"/>
      <w:szCs w:val="20"/>
    </w:rPr>
  </w:style>
  <w:style w:type="paragraph" w:customStyle="1" w:styleId="536">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7">
    <w:name w:val="样式 标题 4PIM 4H4h4bulletblbbH41H42H43H44H45H46H47H48...1"/>
    <w:basedOn w:val="5"/>
    <w:autoRedefine/>
    <w:qFormat/>
    <w:uiPriority w:val="0"/>
    <w:pPr>
      <w:widowControl/>
      <w:jc w:val="left"/>
    </w:pPr>
    <w:rPr>
      <w:rFonts w:cs="宋体"/>
      <w:sz w:val="24"/>
      <w:szCs w:val="20"/>
    </w:rPr>
  </w:style>
  <w:style w:type="paragraph" w:customStyle="1" w:styleId="538">
    <w:name w:val="彩色列表 - 强调文字颜色 11"/>
    <w:basedOn w:val="1"/>
    <w:autoRedefine/>
    <w:qFormat/>
    <w:uiPriority w:val="0"/>
    <w:pPr>
      <w:adjustRightInd/>
      <w:ind w:firstLine="420" w:firstLineChars="200"/>
    </w:pPr>
    <w:rPr>
      <w:rFonts w:ascii="Calibri" w:hAnsi="Calibri"/>
      <w:szCs w:val="22"/>
    </w:rPr>
  </w:style>
  <w:style w:type="paragraph" w:customStyle="1" w:styleId="539">
    <w:name w:val="加粗正文"/>
    <w:basedOn w:val="1"/>
    <w:autoRedefine/>
    <w:qFormat/>
    <w:uiPriority w:val="0"/>
    <w:pPr>
      <w:adjustRightInd/>
      <w:spacing w:before="156" w:beforeLines="50" w:after="156" w:afterLines="50" w:line="360" w:lineRule="auto"/>
      <w:ind w:firstLine="422" w:firstLineChars="200"/>
    </w:pPr>
    <w:rPr>
      <w:b/>
      <w:bCs/>
      <w:szCs w:val="21"/>
    </w:rPr>
  </w:style>
  <w:style w:type="paragraph" w:customStyle="1" w:styleId="540">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1">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42">
    <w:name w:val="Char Char Char1 Char1"/>
    <w:basedOn w:val="1"/>
    <w:autoRedefine/>
    <w:qFormat/>
    <w:uiPriority w:val="6"/>
    <w:rPr>
      <w:szCs w:val="20"/>
    </w:rPr>
  </w:style>
  <w:style w:type="paragraph" w:customStyle="1" w:styleId="543">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4">
    <w:name w:val="样式 标题 2 + 宋体 左侧:  1.76 厘米 首行缩进:  0 厘米"/>
    <w:basedOn w:val="3"/>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5">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6">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7">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8">
    <w:name w:val="CM14"/>
    <w:basedOn w:val="238"/>
    <w:next w:val="238"/>
    <w:autoRedefine/>
    <w:qFormat/>
    <w:uiPriority w:val="0"/>
    <w:pPr>
      <w:spacing w:after="68"/>
    </w:pPr>
    <w:rPr>
      <w:rFonts w:ascii="FHLHE E+ Futura Bk" w:eastAsia="FHLHE E+ Futura Bk" w:cs="Times New Roman"/>
      <w:color w:val="auto"/>
    </w:rPr>
  </w:style>
  <w:style w:type="paragraph" w:customStyle="1" w:styleId="549">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50">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1">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52">
    <w:name w:val="正文文字 2"/>
    <w:basedOn w:val="238"/>
    <w:next w:val="238"/>
    <w:autoRedefine/>
    <w:qFormat/>
    <w:uiPriority w:val="0"/>
    <w:rPr>
      <w:rFonts w:ascii="宋体" w:eastAsia="宋体" w:cs="Times New Roman"/>
      <w:color w:val="auto"/>
    </w:rPr>
  </w:style>
  <w:style w:type="paragraph" w:customStyle="1" w:styleId="553">
    <w:name w:val="正文首行缩进两字"/>
    <w:autoRedefine/>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4">
    <w:name w:val="Char Char1 Char"/>
    <w:basedOn w:val="1"/>
    <w:autoRedefine/>
    <w:qFormat/>
    <w:uiPriority w:val="0"/>
    <w:rPr>
      <w:rFonts w:ascii="仿宋_GB2312" w:eastAsia="仿宋_GB2312"/>
      <w:b/>
      <w:sz w:val="32"/>
      <w:szCs w:val="32"/>
    </w:rPr>
  </w:style>
  <w:style w:type="paragraph" w:customStyle="1" w:styleId="555">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6">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7">
    <w:name w:val="Char Char111"/>
    <w:basedOn w:val="1"/>
    <w:autoRedefine/>
    <w:qFormat/>
    <w:uiPriority w:val="0"/>
    <w:pPr>
      <w:spacing w:line="360" w:lineRule="auto"/>
    </w:pPr>
    <w:rPr>
      <w:szCs w:val="20"/>
    </w:rPr>
  </w:style>
  <w:style w:type="paragraph" w:customStyle="1" w:styleId="558">
    <w:name w:val="Char"/>
    <w:basedOn w:val="1"/>
    <w:autoRedefine/>
    <w:qFormat/>
    <w:uiPriority w:val="0"/>
    <w:rPr>
      <w:rFonts w:ascii="仿宋_GB2312" w:eastAsia="仿宋_GB2312"/>
      <w:b/>
      <w:sz w:val="32"/>
      <w:szCs w:val="32"/>
    </w:rPr>
  </w:style>
  <w:style w:type="paragraph" w:customStyle="1" w:styleId="559">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60">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1">
    <w:name w:val="Char Char Char1 Char"/>
    <w:basedOn w:val="1"/>
    <w:autoRedefine/>
    <w:qFormat/>
    <w:uiPriority w:val="0"/>
    <w:rPr>
      <w:szCs w:val="20"/>
    </w:rPr>
  </w:style>
  <w:style w:type="paragraph" w:customStyle="1" w:styleId="562">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63">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4">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5">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6">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567">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8">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9">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70">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1">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2">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3">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4">
    <w:name w:val="标准有序列表（L1）"/>
    <w:basedOn w:val="15"/>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5">
    <w:name w:val="Char Char Char Char Char Char Char Char Char Char"/>
    <w:basedOn w:val="1"/>
    <w:autoRedefine/>
    <w:qFormat/>
    <w:uiPriority w:val="0"/>
    <w:rPr>
      <w:rFonts w:ascii="仿宋_GB2312" w:eastAsia="仿宋_GB2312"/>
      <w:b/>
      <w:sz w:val="32"/>
      <w:szCs w:val="32"/>
    </w:rPr>
  </w:style>
  <w:style w:type="paragraph" w:customStyle="1" w:styleId="576">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7">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78">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79">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80">
    <w:name w:val="正文（首行缩进）"/>
    <w:basedOn w:val="24"/>
    <w:autoRedefine/>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1">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82">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3">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4">
    <w:name w:val="Char Char Char1 Char2"/>
    <w:basedOn w:val="1"/>
    <w:autoRedefine/>
    <w:qFormat/>
    <w:uiPriority w:val="0"/>
    <w:rPr>
      <w:szCs w:val="20"/>
    </w:rPr>
  </w:style>
  <w:style w:type="paragraph" w:customStyle="1" w:styleId="585">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586">
    <w:name w:val="默认段落字体 Para Char"/>
    <w:basedOn w:val="1"/>
    <w:autoRedefine/>
    <w:qFormat/>
    <w:uiPriority w:val="0"/>
    <w:rPr>
      <w:rFonts w:ascii="Tahoma" w:hAnsi="Tahoma"/>
      <w:sz w:val="24"/>
      <w:szCs w:val="20"/>
    </w:rPr>
  </w:style>
  <w:style w:type="paragraph" w:customStyle="1" w:styleId="587">
    <w:name w:val="标题五"/>
    <w:basedOn w:val="1"/>
    <w:autoRedefine/>
    <w:qFormat/>
    <w:uiPriority w:val="0"/>
    <w:pPr>
      <w:adjustRightInd/>
      <w:spacing w:before="156" w:beforeLines="50" w:line="360" w:lineRule="auto"/>
    </w:pPr>
    <w:rPr>
      <w:b/>
      <w:sz w:val="24"/>
    </w:rPr>
  </w:style>
  <w:style w:type="paragraph" w:customStyle="1" w:styleId="588">
    <w:name w:val="Char Char1101"/>
    <w:basedOn w:val="1"/>
    <w:autoRedefine/>
    <w:qFormat/>
    <w:uiPriority w:val="0"/>
    <w:pPr>
      <w:spacing w:line="360" w:lineRule="auto"/>
    </w:pPr>
    <w:rPr>
      <w:rFonts w:ascii="Tahoma" w:hAnsi="Tahoma"/>
      <w:sz w:val="24"/>
      <w:szCs w:val="20"/>
    </w:rPr>
  </w:style>
  <w:style w:type="paragraph" w:customStyle="1" w:styleId="589">
    <w:name w:val="Char Char Char Char Char Char Char Char1"/>
    <w:basedOn w:val="1"/>
    <w:autoRedefine/>
    <w:qFormat/>
    <w:uiPriority w:val="0"/>
    <w:pPr>
      <w:tabs>
        <w:tab w:val="left" w:pos="360"/>
      </w:tabs>
    </w:pPr>
    <w:rPr>
      <w:sz w:val="24"/>
      <w:szCs w:val="20"/>
    </w:rPr>
  </w:style>
  <w:style w:type="paragraph" w:customStyle="1" w:styleId="590">
    <w:name w:val="Char Char Char 字元 字元"/>
    <w:basedOn w:val="1"/>
    <w:autoRedefine/>
    <w:qFormat/>
    <w:uiPriority w:val="0"/>
    <w:pPr>
      <w:adjustRightInd/>
      <w:spacing w:line="360" w:lineRule="auto"/>
      <w:ind w:firstLine="200" w:firstLineChars="200"/>
    </w:pPr>
    <w:rPr>
      <w:szCs w:val="20"/>
    </w:rPr>
  </w:style>
  <w:style w:type="paragraph" w:customStyle="1" w:styleId="591">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2">
    <w:name w:val="Char Char Char Char Char Char Char"/>
    <w:basedOn w:val="1"/>
    <w:autoRedefine/>
    <w:qFormat/>
    <w:uiPriority w:val="0"/>
    <w:rPr>
      <w:rFonts w:ascii="仿宋_GB2312" w:eastAsia="仿宋_GB2312"/>
      <w:b/>
      <w:sz w:val="32"/>
      <w:szCs w:val="32"/>
    </w:rPr>
  </w:style>
  <w:style w:type="paragraph" w:customStyle="1" w:styleId="593">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4">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5">
    <w:name w:val="样式 标题 22h2L1 Heading 2H2sect 1.2H21sect 1.21H22sect 1.2..."/>
    <w:basedOn w:val="3"/>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6">
    <w:name w:val="样式6"/>
    <w:basedOn w:val="36"/>
    <w:autoRedefine/>
    <w:qFormat/>
    <w:uiPriority w:val="0"/>
    <w:pPr>
      <w:spacing w:line="460" w:lineRule="exact"/>
      <w:outlineLvl w:val="2"/>
    </w:pPr>
    <w:rPr>
      <w:rFonts w:ascii="仿宋_GB2312" w:hAnsi="宋体" w:eastAsia="仿宋_GB2312"/>
      <w:b/>
      <w:bCs/>
      <w:sz w:val="24"/>
      <w:szCs w:val="24"/>
    </w:rPr>
  </w:style>
  <w:style w:type="paragraph" w:customStyle="1" w:styleId="597">
    <w:name w:val="批注框文本 Char Char"/>
    <w:basedOn w:val="1"/>
    <w:autoRedefine/>
    <w:qFormat/>
    <w:uiPriority w:val="0"/>
    <w:pPr>
      <w:adjustRightInd/>
    </w:pPr>
    <w:rPr>
      <w:sz w:val="18"/>
      <w:szCs w:val="20"/>
    </w:rPr>
  </w:style>
  <w:style w:type="paragraph" w:customStyle="1" w:styleId="598">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9">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0">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601">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2">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603">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4">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05">
    <w:name w:val="正文文字缩进项目"/>
    <w:basedOn w:val="24"/>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6">
    <w:name w:val="文档正文"/>
    <w:basedOn w:val="1"/>
    <w:autoRedefine/>
    <w:qFormat/>
    <w:uiPriority w:val="0"/>
    <w:pPr>
      <w:spacing w:line="480" w:lineRule="atLeast"/>
      <w:ind w:firstLine="567"/>
      <w:textAlignment w:val="baseline"/>
    </w:pPr>
    <w:rPr>
      <w:kern w:val="0"/>
      <w:sz w:val="24"/>
      <w:szCs w:val="20"/>
    </w:rPr>
  </w:style>
  <w:style w:type="paragraph" w:customStyle="1" w:styleId="607">
    <w:name w:val="正文文字表格居中"/>
    <w:basedOn w:val="1"/>
    <w:next w:val="59"/>
    <w:autoRedefine/>
    <w:qFormat/>
    <w:uiPriority w:val="0"/>
    <w:pPr>
      <w:snapToGrid w:val="0"/>
      <w:spacing w:line="360" w:lineRule="auto"/>
    </w:pPr>
    <w:rPr>
      <w:rFonts w:ascii="宋体"/>
      <w:b/>
      <w:sz w:val="24"/>
      <w:szCs w:val="20"/>
    </w:rPr>
  </w:style>
  <w:style w:type="paragraph" w:customStyle="1" w:styleId="608">
    <w:name w:val="规划正文"/>
    <w:basedOn w:val="1"/>
    <w:autoRedefine/>
    <w:qFormat/>
    <w:uiPriority w:val="0"/>
    <w:pPr>
      <w:adjustRightInd/>
      <w:spacing w:before="312" w:beforeLines="100" w:line="360" w:lineRule="auto"/>
      <w:jc w:val="left"/>
    </w:pPr>
    <w:rPr>
      <w:rFonts w:ascii="Arial" w:hAnsi="Arial" w:eastAsia="仿宋_GB2312"/>
      <w:bCs/>
      <w:sz w:val="28"/>
    </w:rPr>
  </w:style>
  <w:style w:type="paragraph" w:customStyle="1" w:styleId="609">
    <w:name w:val="小节"/>
    <w:basedOn w:val="4"/>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10">
    <w:name w:val="Plain Text1"/>
    <w:basedOn w:val="1"/>
    <w:autoRedefine/>
    <w:qFormat/>
    <w:uiPriority w:val="7"/>
    <w:pPr>
      <w:adjustRightInd/>
    </w:pPr>
    <w:rPr>
      <w:rFonts w:ascii="宋体" w:hAnsi="Courier New"/>
    </w:rPr>
  </w:style>
  <w:style w:type="paragraph" w:customStyle="1" w:styleId="611">
    <w:name w:val="Char3"/>
    <w:basedOn w:val="1"/>
    <w:autoRedefine/>
    <w:qFormat/>
    <w:uiPriority w:val="0"/>
    <w:pPr>
      <w:adjustRightInd/>
    </w:pPr>
    <w:rPr>
      <w:rFonts w:ascii="仿宋_GB2312" w:eastAsia="仿宋_GB2312"/>
      <w:b/>
      <w:sz w:val="32"/>
      <w:szCs w:val="32"/>
    </w:rPr>
  </w:style>
  <w:style w:type="paragraph" w:customStyle="1" w:styleId="612">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3">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4">
    <w:name w:val="标题2"/>
    <w:basedOn w:val="3"/>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15">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16">
    <w:name w:val="样式 标题 3标题 3 Char第二层条h33Bold Headbh章标题1小标题level_3PIM 3..."/>
    <w:basedOn w:val="4"/>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7">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8">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9">
    <w:name w:val="Char3 Char Char Char"/>
    <w:basedOn w:val="1"/>
    <w:autoRedefine/>
    <w:qFormat/>
    <w:uiPriority w:val="0"/>
    <w:pPr>
      <w:widowControl/>
      <w:adjustRightInd/>
      <w:spacing w:after="160" w:line="240" w:lineRule="exact"/>
      <w:jc w:val="left"/>
    </w:pPr>
    <w:rPr>
      <w:szCs w:val="20"/>
    </w:rPr>
  </w:style>
  <w:style w:type="paragraph" w:customStyle="1" w:styleId="620">
    <w:name w:val="表格标题2"/>
    <w:basedOn w:val="621"/>
    <w:autoRedefine/>
    <w:qFormat/>
    <w:uiPriority w:val="0"/>
    <w:rPr>
      <w:b/>
    </w:rPr>
  </w:style>
  <w:style w:type="paragraph" w:customStyle="1" w:styleId="621">
    <w:name w:val="表格内文"/>
    <w:basedOn w:val="1"/>
    <w:autoRedefine/>
    <w:qFormat/>
    <w:uiPriority w:val="0"/>
    <w:pPr>
      <w:adjustRightInd/>
      <w:spacing w:line="360" w:lineRule="auto"/>
    </w:pPr>
    <w:rPr>
      <w:rFonts w:ascii="宋体" w:hAnsi="宋体" w:cs="宋体"/>
      <w:color w:val="000000"/>
      <w:szCs w:val="20"/>
    </w:rPr>
  </w:style>
  <w:style w:type="paragraph" w:customStyle="1" w:styleId="622">
    <w:name w:val="Char Char Char Char Char Char Char Char Char Char2"/>
    <w:basedOn w:val="1"/>
    <w:autoRedefine/>
    <w:qFormat/>
    <w:uiPriority w:val="0"/>
    <w:rPr>
      <w:rFonts w:ascii="仿宋_GB2312" w:eastAsia="仿宋_GB2312"/>
      <w:b/>
      <w:sz w:val="32"/>
      <w:szCs w:val="32"/>
    </w:rPr>
  </w:style>
  <w:style w:type="paragraph" w:customStyle="1" w:styleId="623">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4">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5">
    <w:name w:val="Char Char11 Char Char Char Char Char Char Char Char Char11"/>
    <w:basedOn w:val="1"/>
    <w:autoRedefine/>
    <w:qFormat/>
    <w:uiPriority w:val="0"/>
    <w:pPr>
      <w:spacing w:line="360" w:lineRule="auto"/>
    </w:pPr>
    <w:rPr>
      <w:szCs w:val="20"/>
    </w:rPr>
  </w:style>
  <w:style w:type="paragraph" w:customStyle="1" w:styleId="626">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27">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28">
    <w:name w:val="MM Topic 1"/>
    <w:basedOn w:val="2"/>
    <w:autoRedefine/>
    <w:qFormat/>
    <w:uiPriority w:val="0"/>
    <w:pPr>
      <w:tabs>
        <w:tab w:val="left" w:pos="840"/>
      </w:tabs>
      <w:adjustRightInd/>
      <w:ind w:left="840" w:hanging="420"/>
    </w:pPr>
  </w:style>
  <w:style w:type="paragraph" w:customStyle="1" w:styleId="629">
    <w:name w:val="样式 标题 2标题2H2Heading 2 HiddenHeading 2 CCBSheading 22nd lev..."/>
    <w:basedOn w:val="3"/>
    <w:autoRedefine/>
    <w:qFormat/>
    <w:uiPriority w:val="0"/>
    <w:pPr>
      <w:widowControl/>
      <w:spacing w:before="260" w:after="260" w:line="416" w:lineRule="auto"/>
      <w:ind w:left="0" w:firstLine="0"/>
    </w:pPr>
    <w:rPr>
      <w:rFonts w:ascii="Arial" w:hAnsi="Arial" w:eastAsia="黑体"/>
      <w:sz w:val="30"/>
      <w:szCs w:val="21"/>
    </w:rPr>
  </w:style>
  <w:style w:type="paragraph" w:customStyle="1" w:styleId="630">
    <w:name w:val="文本正文 Char"/>
    <w:basedOn w:val="1"/>
    <w:autoRedefine/>
    <w:qFormat/>
    <w:uiPriority w:val="0"/>
    <w:pPr>
      <w:spacing w:line="360" w:lineRule="auto"/>
      <w:ind w:firstLine="200" w:firstLineChars="200"/>
    </w:pPr>
    <w:rPr>
      <w:kern w:val="0"/>
      <w:sz w:val="24"/>
      <w:szCs w:val="20"/>
    </w:rPr>
  </w:style>
  <w:style w:type="paragraph" w:customStyle="1" w:styleId="631">
    <w:name w:val="表格"/>
    <w:basedOn w:val="1"/>
    <w:autoRedefine/>
    <w:qFormat/>
    <w:uiPriority w:val="0"/>
    <w:pPr>
      <w:snapToGrid w:val="0"/>
      <w:ind w:firstLine="42" w:firstLineChars="21"/>
    </w:pPr>
    <w:rPr>
      <w:rFonts w:ascii="宋体" w:hAnsi="宋体"/>
      <w:kern w:val="0"/>
      <w:sz w:val="20"/>
      <w:szCs w:val="20"/>
    </w:rPr>
  </w:style>
  <w:style w:type="paragraph" w:customStyle="1" w:styleId="632">
    <w:name w:val="标书标题4"/>
    <w:basedOn w:val="5"/>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3">
    <w:name w:val="插图题注"/>
    <w:next w:val="1"/>
    <w:autoRedefine/>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4">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5">
    <w:name w:val="表格项目符号 2"/>
    <w:basedOn w:val="33"/>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6">
    <w:name w:val="EB_表格"/>
    <w:basedOn w:val="1"/>
    <w:autoRedefine/>
    <w:qFormat/>
    <w:uiPriority w:val="0"/>
    <w:pPr>
      <w:adjustRightInd/>
      <w:spacing w:line="300" w:lineRule="auto"/>
      <w:jc w:val="center"/>
    </w:pPr>
  </w:style>
  <w:style w:type="paragraph" w:customStyle="1" w:styleId="637">
    <w:name w:val="_Style 6"/>
    <w:basedOn w:val="1"/>
    <w:autoRedefine/>
    <w:qFormat/>
    <w:uiPriority w:val="34"/>
    <w:pPr>
      <w:adjustRightInd/>
      <w:ind w:firstLine="420" w:firstLineChars="200"/>
    </w:pPr>
    <w:rPr>
      <w:rFonts w:eastAsia="仿宋_GB2312"/>
      <w:sz w:val="28"/>
    </w:rPr>
  </w:style>
  <w:style w:type="paragraph" w:customStyle="1" w:styleId="638">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9">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40">
    <w:name w:val="!大节"/>
    <w:basedOn w:val="3"/>
    <w:autoRedefine/>
    <w:qFormat/>
    <w:uiPriority w:val="0"/>
    <w:pPr>
      <w:spacing w:before="260" w:after="260" w:line="415" w:lineRule="auto"/>
      <w:ind w:left="420" w:hanging="420"/>
    </w:pPr>
    <w:rPr>
      <w:rFonts w:ascii="Arial" w:hAnsi="Arial" w:eastAsia="微软雅黑"/>
      <w:lang w:val="en-US"/>
    </w:rPr>
  </w:style>
  <w:style w:type="paragraph" w:customStyle="1" w:styleId="641">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42">
    <w:name w:val="正文表标题"/>
    <w:next w:val="643"/>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3">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4">
    <w:name w:val="Char Char Char Char Char Char"/>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5">
    <w:name w:val="trademark"/>
    <w:autoRedefine/>
    <w:qFormat/>
    <w:uiPriority w:val="0"/>
    <w:pPr>
      <w:spacing w:after="60"/>
    </w:pPr>
    <w:rPr>
      <w:rFonts w:ascii="Futura Bk" w:hAnsi="Futura Bk" w:eastAsia="宋体" w:cs="Times New Roman"/>
      <w:sz w:val="15"/>
      <w:lang w:val="en-US" w:eastAsia="en-US" w:bidi="ar-SA"/>
    </w:rPr>
  </w:style>
  <w:style w:type="paragraph" w:customStyle="1" w:styleId="646">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7">
    <w:name w:val="Char Char1 Char Char Char Char Char Char1"/>
    <w:basedOn w:val="1"/>
    <w:autoRedefine/>
    <w:qFormat/>
    <w:uiPriority w:val="0"/>
    <w:rPr>
      <w:rFonts w:ascii="仿宋_GB2312" w:eastAsia="仿宋_GB2312"/>
      <w:b/>
      <w:sz w:val="32"/>
      <w:szCs w:val="20"/>
    </w:rPr>
  </w:style>
  <w:style w:type="paragraph" w:customStyle="1" w:styleId="648">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9">
    <w:name w:val="Char1 Char Char Char1"/>
    <w:basedOn w:val="1"/>
    <w:autoRedefine/>
    <w:qFormat/>
    <w:uiPriority w:val="0"/>
    <w:pPr>
      <w:adjustRightInd/>
      <w:ind w:firstLine="200" w:firstLineChars="200"/>
    </w:pPr>
    <w:rPr>
      <w:rFonts w:ascii="Tahoma" w:hAnsi="Tahoma"/>
      <w:sz w:val="24"/>
      <w:szCs w:val="20"/>
    </w:rPr>
  </w:style>
  <w:style w:type="paragraph" w:customStyle="1" w:styleId="650">
    <w:name w:val="a1"/>
    <w:basedOn w:val="1"/>
    <w:autoRedefine/>
    <w:qFormat/>
    <w:uiPriority w:val="0"/>
    <w:pPr>
      <w:widowControl/>
      <w:spacing w:line="300" w:lineRule="atLeast"/>
      <w:jc w:val="left"/>
    </w:pPr>
    <w:rPr>
      <w:rFonts w:ascii="宋体" w:hAnsi="宋体"/>
      <w:kern w:val="0"/>
      <w:sz w:val="18"/>
      <w:szCs w:val="20"/>
    </w:rPr>
  </w:style>
  <w:style w:type="paragraph" w:customStyle="1" w:styleId="651">
    <w:name w:val="样式7"/>
    <w:basedOn w:val="652"/>
    <w:next w:val="1"/>
    <w:autoRedefine/>
    <w:qFormat/>
    <w:uiPriority w:val="0"/>
    <w:pPr>
      <w:spacing w:after="156" w:afterLines="50"/>
      <w:jc w:val="left"/>
      <w:outlineLvl w:val="3"/>
    </w:pPr>
    <w:rPr>
      <w:sz w:val="24"/>
      <w:szCs w:val="24"/>
    </w:rPr>
  </w:style>
  <w:style w:type="paragraph" w:customStyle="1" w:styleId="652">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53">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54">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5">
    <w:name w:val="样式 样式2 + 左侧:  1 字符 右侧:  1 字符"/>
    <w:basedOn w:val="463"/>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6">
    <w:name w:val="Char2 Char Char2"/>
    <w:basedOn w:val="1"/>
    <w:autoRedefine/>
    <w:qFormat/>
    <w:uiPriority w:val="0"/>
    <w:pPr>
      <w:adjustRightInd/>
    </w:pPr>
    <w:rPr>
      <w:rFonts w:ascii="Tahoma" w:hAnsi="Tahoma"/>
      <w:sz w:val="24"/>
      <w:szCs w:val="20"/>
    </w:rPr>
  </w:style>
  <w:style w:type="paragraph" w:customStyle="1" w:styleId="657">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8">
    <w:name w:val="三级条标题"/>
    <w:basedOn w:val="659"/>
    <w:next w:val="643"/>
    <w:autoRedefine/>
    <w:qFormat/>
    <w:uiPriority w:val="0"/>
    <w:pPr>
      <w:tabs>
        <w:tab w:val="left" w:pos="1260"/>
        <w:tab w:val="left" w:pos="1680"/>
        <w:tab w:val="left" w:pos="2100"/>
        <w:tab w:val="left" w:pos="2520"/>
      </w:tabs>
      <w:ind w:left="2520"/>
      <w:outlineLvl w:val="4"/>
    </w:pPr>
  </w:style>
  <w:style w:type="paragraph" w:customStyle="1" w:styleId="659">
    <w:name w:val="二级条标题"/>
    <w:basedOn w:val="660"/>
    <w:next w:val="643"/>
    <w:autoRedefine/>
    <w:qFormat/>
    <w:uiPriority w:val="0"/>
    <w:pPr>
      <w:tabs>
        <w:tab w:val="left" w:pos="1260"/>
        <w:tab w:val="left" w:pos="1680"/>
        <w:tab w:val="left" w:pos="2100"/>
      </w:tabs>
      <w:ind w:left="0"/>
      <w:outlineLvl w:val="3"/>
    </w:pPr>
  </w:style>
  <w:style w:type="paragraph" w:customStyle="1" w:styleId="660">
    <w:name w:val="一级条标题"/>
    <w:basedOn w:val="661"/>
    <w:next w:val="643"/>
    <w:autoRedefine/>
    <w:qFormat/>
    <w:uiPriority w:val="0"/>
    <w:pPr>
      <w:tabs>
        <w:tab w:val="left" w:pos="1260"/>
        <w:tab w:val="left" w:pos="1680"/>
      </w:tabs>
      <w:spacing w:before="0" w:beforeLines="0" w:after="0" w:afterLines="0"/>
      <w:ind w:left="1680"/>
      <w:outlineLvl w:val="2"/>
    </w:pPr>
  </w:style>
  <w:style w:type="paragraph" w:customStyle="1" w:styleId="661">
    <w:name w:val="章标题"/>
    <w:next w:val="643"/>
    <w:autoRedefine/>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2">
    <w:name w:val="数字标题2"/>
    <w:basedOn w:val="3"/>
    <w:next w:val="1"/>
    <w:autoRedefine/>
    <w:qFormat/>
    <w:uiPriority w:val="0"/>
    <w:pPr>
      <w:tabs>
        <w:tab w:val="left" w:pos="480"/>
      </w:tabs>
      <w:ind w:left="480" w:hanging="480"/>
    </w:pPr>
    <w:rPr>
      <w:rFonts w:ascii="Times New Roman" w:eastAsia="宋体"/>
      <w:i/>
      <w:sz w:val="36"/>
      <w:szCs w:val="36"/>
      <w:lang w:val="en-US"/>
    </w:rPr>
  </w:style>
  <w:style w:type="paragraph" w:customStyle="1" w:styleId="663">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64">
    <w:name w:val="样式 标题 1Level 1 HeadPIM 1Section Headh1l11Heading 0Datash..."/>
    <w:basedOn w:val="2"/>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5">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6">
    <w:name w:val="样式 标题 1章节第一层h1H"/>
    <w:basedOn w:val="2"/>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7">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8">
    <w:name w:val="正文 项目2"/>
    <w:basedOn w:val="669"/>
    <w:autoRedefine/>
    <w:qFormat/>
    <w:uiPriority w:val="0"/>
    <w:pPr>
      <w:tabs>
        <w:tab w:val="left" w:pos="840"/>
      </w:tabs>
      <w:spacing w:after="0"/>
      <w:ind w:left="900"/>
    </w:pPr>
  </w:style>
  <w:style w:type="paragraph" w:customStyle="1" w:styleId="669">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70">
    <w:name w:val="Body Text 2*"/>
    <w:basedOn w:val="1"/>
    <w:autoRedefine/>
    <w:qFormat/>
    <w:uiPriority w:val="6"/>
    <w:pPr>
      <w:widowControl/>
      <w:adjustRightInd/>
      <w:ind w:left="720" w:hanging="720"/>
    </w:pPr>
    <w:rPr>
      <w:color w:val="000000"/>
      <w:kern w:val="0"/>
      <w:sz w:val="24"/>
      <w:szCs w:val="20"/>
      <w:lang w:val="en-GB"/>
    </w:rPr>
  </w:style>
  <w:style w:type="paragraph" w:customStyle="1" w:styleId="671">
    <w:name w:val="表1"/>
    <w:basedOn w:val="1"/>
    <w:autoRedefine/>
    <w:qFormat/>
    <w:uiPriority w:val="0"/>
    <w:pPr>
      <w:tabs>
        <w:tab w:val="left" w:pos="703"/>
      </w:tabs>
      <w:adjustRightInd/>
      <w:spacing w:line="360" w:lineRule="auto"/>
      <w:ind w:left="703"/>
      <w:jc w:val="center"/>
    </w:pPr>
  </w:style>
  <w:style w:type="paragraph" w:customStyle="1" w:styleId="672">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3">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74">
    <w:name w:val="章正文"/>
    <w:basedOn w:val="1"/>
    <w:autoRedefine/>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5">
    <w:name w:val="2级标题"/>
    <w:basedOn w:val="676"/>
    <w:autoRedefine/>
    <w:qFormat/>
    <w:uiPriority w:val="0"/>
    <w:pPr>
      <w:jc w:val="left"/>
      <w:outlineLvl w:val="1"/>
    </w:pPr>
    <w:rPr>
      <w:rFonts w:ascii="Times New Roman" w:hAnsi="Times New Roman" w:eastAsia="仿宋"/>
      <w:sz w:val="30"/>
    </w:rPr>
  </w:style>
  <w:style w:type="paragraph" w:customStyle="1" w:styleId="676">
    <w:name w:val="1级标题"/>
    <w:basedOn w:val="1"/>
    <w:autoRedefine/>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7">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8">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9">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80">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1">
    <w:name w:val="bullet"/>
    <w:basedOn w:val="1"/>
    <w:autoRedefine/>
    <w:qFormat/>
    <w:uiPriority w:val="0"/>
    <w:pPr>
      <w:tabs>
        <w:tab w:val="left" w:pos="840"/>
      </w:tabs>
      <w:adjustRightInd/>
      <w:ind w:left="840" w:hanging="420"/>
    </w:pPr>
  </w:style>
  <w:style w:type="paragraph" w:customStyle="1" w:styleId="682">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3">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4">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5">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6">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7">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8">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9">
    <w:name w:val="MM Topic 4"/>
    <w:basedOn w:val="5"/>
    <w:autoRedefine/>
    <w:qFormat/>
    <w:uiPriority w:val="0"/>
    <w:pPr>
      <w:tabs>
        <w:tab w:val="left" w:pos="2100"/>
      </w:tabs>
      <w:adjustRightInd/>
      <w:ind w:left="2100" w:hanging="420"/>
    </w:pPr>
    <w:rPr>
      <w:lang w:val="en-US"/>
    </w:rPr>
  </w:style>
  <w:style w:type="paragraph" w:customStyle="1" w:styleId="690">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691">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2">
    <w:name w:val="Char Char11 Char Char Char Char Char Char Char Char Char1"/>
    <w:basedOn w:val="1"/>
    <w:autoRedefine/>
    <w:qFormat/>
    <w:uiPriority w:val="6"/>
    <w:pPr>
      <w:spacing w:line="360" w:lineRule="auto"/>
    </w:pPr>
    <w:rPr>
      <w:szCs w:val="20"/>
    </w:rPr>
  </w:style>
  <w:style w:type="paragraph" w:customStyle="1" w:styleId="693">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94">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95">
    <w:name w:val="body text bold"/>
    <w:basedOn w:val="23"/>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6">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7">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8">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9">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00">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1">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2">
    <w:name w:val="单元格居中"/>
    <w:basedOn w:val="1"/>
    <w:autoRedefine/>
    <w:qFormat/>
    <w:uiPriority w:val="0"/>
    <w:pPr>
      <w:adjustRightInd/>
      <w:spacing w:line="360" w:lineRule="auto"/>
      <w:jc w:val="center"/>
    </w:pPr>
    <w:rPr>
      <w:sz w:val="24"/>
    </w:rPr>
  </w:style>
  <w:style w:type="paragraph" w:customStyle="1" w:styleId="703">
    <w:name w:val="正文3"/>
    <w:basedOn w:val="1"/>
    <w:autoRedefine/>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4">
    <w:name w:val="Char Char Char Char Char Char Char1"/>
    <w:basedOn w:val="1"/>
    <w:autoRedefine/>
    <w:qFormat/>
    <w:uiPriority w:val="6"/>
    <w:rPr>
      <w:rFonts w:ascii="仿宋_GB2312" w:eastAsia="仿宋_GB2312"/>
      <w:b/>
      <w:sz w:val="32"/>
      <w:szCs w:val="32"/>
    </w:rPr>
  </w:style>
  <w:style w:type="paragraph" w:customStyle="1" w:styleId="705">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6">
    <w:name w:val="Char3 Char Char Char11"/>
    <w:basedOn w:val="1"/>
    <w:autoRedefine/>
    <w:qFormat/>
    <w:uiPriority w:val="0"/>
    <w:pPr>
      <w:widowControl/>
      <w:adjustRightInd/>
      <w:spacing w:after="160" w:line="240" w:lineRule="exact"/>
      <w:jc w:val="left"/>
    </w:pPr>
    <w:rPr>
      <w:szCs w:val="20"/>
    </w:rPr>
  </w:style>
  <w:style w:type="paragraph" w:customStyle="1" w:styleId="707">
    <w:name w:val="Char Char1121"/>
    <w:basedOn w:val="1"/>
    <w:autoRedefine/>
    <w:qFormat/>
    <w:uiPriority w:val="0"/>
    <w:pPr>
      <w:spacing w:line="360" w:lineRule="auto"/>
    </w:pPr>
    <w:rPr>
      <w:szCs w:val="20"/>
    </w:rPr>
  </w:style>
  <w:style w:type="paragraph" w:customStyle="1" w:styleId="708">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9">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0">
    <w:name w:val="Normal0"/>
    <w:autoRedefine/>
    <w:qFormat/>
    <w:uiPriority w:val="0"/>
    <w:rPr>
      <w:rFonts w:ascii="Times New Roman" w:hAnsi="Times New Roman" w:eastAsia="宋体" w:cs="Times New Roman"/>
      <w:lang w:val="en-US" w:eastAsia="en-US" w:bidi="ar-SA"/>
    </w:rPr>
  </w:style>
  <w:style w:type="paragraph" w:customStyle="1" w:styleId="711">
    <w:name w:val="带编号样式"/>
    <w:basedOn w:val="630"/>
    <w:autoRedefine/>
    <w:qFormat/>
    <w:uiPriority w:val="0"/>
    <w:pPr>
      <w:tabs>
        <w:tab w:val="left" w:pos="840"/>
      </w:tabs>
      <w:snapToGrid w:val="0"/>
      <w:ind w:left="840" w:hanging="420" w:firstLineChars="0"/>
    </w:pPr>
    <w:rPr>
      <w:rFonts w:ascii="仿宋_GB2312" w:eastAsia="仿宋_GB2312"/>
      <w:color w:val="000000"/>
    </w:rPr>
  </w:style>
  <w:style w:type="paragraph" w:customStyle="1" w:styleId="712">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3">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4">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5">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6">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7">
    <w:name w:val="默认段落字体 Para Char Char Char1 Char"/>
    <w:basedOn w:val="1"/>
    <w:autoRedefine/>
    <w:qFormat/>
    <w:uiPriority w:val="0"/>
    <w:pPr>
      <w:spacing w:line="240" w:lineRule="atLeast"/>
      <w:ind w:left="420" w:firstLine="420"/>
    </w:pPr>
    <w:rPr>
      <w:sz w:val="24"/>
    </w:rPr>
  </w:style>
  <w:style w:type="paragraph" w:customStyle="1" w:styleId="718">
    <w:name w:val="WW-正文文字缩进 2"/>
    <w:basedOn w:val="1"/>
    <w:autoRedefine/>
    <w:qFormat/>
    <w:uiPriority w:val="0"/>
    <w:pPr>
      <w:suppressAutoHyphens/>
      <w:adjustRightInd/>
      <w:ind w:firstLine="420"/>
    </w:pPr>
    <w:rPr>
      <w:kern w:val="1"/>
      <w:szCs w:val="20"/>
    </w:rPr>
  </w:style>
  <w:style w:type="paragraph" w:customStyle="1" w:styleId="719">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0">
    <w:name w:val="样式 标题 2 + 四号"/>
    <w:basedOn w:val="3"/>
    <w:autoRedefine/>
    <w:qFormat/>
    <w:uiPriority w:val="0"/>
    <w:pPr>
      <w:spacing w:before="120" w:after="120"/>
      <w:ind w:left="0" w:firstLine="0"/>
      <w:jc w:val="both"/>
    </w:pPr>
    <w:rPr>
      <w:rFonts w:ascii="宋体" w:hAnsi="Arial" w:eastAsia="宋体"/>
      <w:sz w:val="28"/>
      <w:lang w:val="en-US"/>
    </w:rPr>
  </w:style>
  <w:style w:type="paragraph" w:customStyle="1" w:styleId="721">
    <w:name w:val="有符号正文"/>
    <w:basedOn w:val="1"/>
    <w:autoRedefine/>
    <w:qFormat/>
    <w:uiPriority w:val="0"/>
    <w:pPr>
      <w:adjustRightInd/>
      <w:spacing w:line="400" w:lineRule="exact"/>
      <w:ind w:firstLine="200" w:firstLineChars="200"/>
    </w:pPr>
    <w:rPr>
      <w:rFonts w:ascii="Arial" w:hAnsi="Arial"/>
    </w:rPr>
  </w:style>
  <w:style w:type="paragraph" w:customStyle="1" w:styleId="722">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3">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4">
    <w:name w:val="4"/>
    <w:basedOn w:val="1"/>
    <w:next w:val="40"/>
    <w:autoRedefine/>
    <w:qFormat/>
    <w:uiPriority w:val="0"/>
    <w:pPr>
      <w:spacing w:after="120" w:line="480" w:lineRule="auto"/>
      <w:ind w:left="420" w:leftChars="200"/>
    </w:pPr>
    <w:rPr>
      <w:sz w:val="24"/>
      <w:szCs w:val="20"/>
    </w:rPr>
  </w:style>
  <w:style w:type="paragraph" w:customStyle="1" w:styleId="725">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6">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7">
    <w:name w:val="样式 标题 3H3 + 两端对齐"/>
    <w:basedOn w:val="4"/>
    <w:autoRedefine/>
    <w:qFormat/>
    <w:uiPriority w:val="0"/>
    <w:pPr>
      <w:keepLines w:val="0"/>
      <w:spacing w:before="0" w:after="0" w:line="240" w:lineRule="auto"/>
      <w:jc w:val="left"/>
    </w:pPr>
    <w:rPr>
      <w:rFonts w:cs="宋体"/>
      <w:sz w:val="21"/>
      <w:szCs w:val="20"/>
    </w:rPr>
  </w:style>
  <w:style w:type="paragraph" w:customStyle="1" w:styleId="728">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9">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30">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1">
    <w:name w:val="表格 表头"/>
    <w:basedOn w:val="1"/>
    <w:autoRedefine/>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2">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3">
    <w:name w:val="Char Char1 Char Char Char"/>
    <w:basedOn w:val="1"/>
    <w:autoRedefine/>
    <w:qFormat/>
    <w:uiPriority w:val="0"/>
    <w:rPr>
      <w:rFonts w:ascii="仿宋_GB2312" w:eastAsia="仿宋_GB2312"/>
      <w:b/>
      <w:sz w:val="32"/>
      <w:szCs w:val="20"/>
    </w:rPr>
  </w:style>
  <w:style w:type="paragraph" w:customStyle="1" w:styleId="734">
    <w:name w:val="表格题注"/>
    <w:next w:val="1"/>
    <w:autoRedefine/>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5">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6">
    <w:name w:val="Picture"/>
    <w:basedOn w:val="1"/>
    <w:next w:val="16"/>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7">
    <w:name w:val="Char Char1 Char Char Char2"/>
    <w:basedOn w:val="1"/>
    <w:autoRedefine/>
    <w:qFormat/>
    <w:uiPriority w:val="0"/>
    <w:rPr>
      <w:rFonts w:ascii="仿宋_GB2312" w:eastAsia="仿宋_GB2312"/>
      <w:b/>
      <w:sz w:val="32"/>
      <w:szCs w:val="32"/>
    </w:rPr>
  </w:style>
  <w:style w:type="paragraph" w:customStyle="1" w:styleId="738">
    <w:name w:val="Char3 Char Char Char1"/>
    <w:basedOn w:val="1"/>
    <w:autoRedefine/>
    <w:qFormat/>
    <w:uiPriority w:val="6"/>
    <w:pPr>
      <w:widowControl/>
      <w:adjustRightInd/>
      <w:spacing w:after="160" w:line="240" w:lineRule="exact"/>
      <w:jc w:val="left"/>
    </w:pPr>
    <w:rPr>
      <w:szCs w:val="20"/>
    </w:rPr>
  </w:style>
  <w:style w:type="paragraph" w:customStyle="1" w:styleId="739">
    <w:name w:val="Char1 Char Char Char21"/>
    <w:basedOn w:val="1"/>
    <w:autoRedefine/>
    <w:qFormat/>
    <w:uiPriority w:val="0"/>
    <w:rPr>
      <w:rFonts w:ascii="Tahoma" w:hAnsi="Tahoma"/>
      <w:sz w:val="24"/>
      <w:szCs w:val="20"/>
    </w:rPr>
  </w:style>
  <w:style w:type="paragraph" w:customStyle="1" w:styleId="740">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41">
    <w:name w:val="正文（标题三）"/>
    <w:basedOn w:val="1"/>
    <w:autoRedefine/>
    <w:qFormat/>
    <w:uiPriority w:val="0"/>
    <w:pPr>
      <w:spacing w:line="360" w:lineRule="auto"/>
      <w:ind w:firstLine="200" w:firstLineChars="200"/>
    </w:pPr>
    <w:rPr>
      <w:sz w:val="24"/>
    </w:rPr>
  </w:style>
  <w:style w:type="paragraph" w:customStyle="1" w:styleId="742">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43">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4">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5">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6">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7">
    <w:name w:val="Char1 Char Char Char4"/>
    <w:basedOn w:val="1"/>
    <w:autoRedefine/>
    <w:qFormat/>
    <w:uiPriority w:val="0"/>
    <w:pPr>
      <w:adjustRightInd/>
      <w:ind w:firstLine="200" w:firstLineChars="200"/>
    </w:pPr>
    <w:rPr>
      <w:rFonts w:ascii="Tahoma" w:hAnsi="Tahoma"/>
      <w:sz w:val="24"/>
      <w:szCs w:val="20"/>
    </w:rPr>
  </w:style>
  <w:style w:type="paragraph" w:customStyle="1" w:styleId="748">
    <w:name w:val="_标题2"/>
    <w:basedOn w:val="715"/>
    <w:next w:val="715"/>
    <w:autoRedefine/>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9">
    <w:name w:val="样式1 + (中宋体"/>
    <w:basedOn w:val="726"/>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0">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1">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2">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3">
    <w:name w:val="四号　首行缩进"/>
    <w:basedOn w:val="1"/>
    <w:autoRedefine/>
    <w:qFormat/>
    <w:uiPriority w:val="0"/>
    <w:pPr>
      <w:adjustRightInd/>
      <w:spacing w:line="360" w:lineRule="auto"/>
    </w:pPr>
    <w:rPr>
      <w:rFonts w:ascii="宋体" w:hAnsi="宋体"/>
      <w:szCs w:val="20"/>
    </w:rPr>
  </w:style>
  <w:style w:type="paragraph" w:customStyle="1" w:styleId="754">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5">
    <w:name w:val="Char Char Char Char Char Char Char Char Char Char Char1 Char"/>
    <w:basedOn w:val="1"/>
    <w:autoRedefine/>
    <w:qFormat/>
    <w:uiPriority w:val="0"/>
    <w:pPr>
      <w:adjustRightInd/>
    </w:pPr>
    <w:rPr>
      <w:rFonts w:ascii="Tahoma" w:hAnsi="Tahoma"/>
      <w:sz w:val="24"/>
    </w:rPr>
  </w:style>
  <w:style w:type="paragraph" w:customStyle="1" w:styleId="756">
    <w:name w:val="Char Char Char Char11"/>
    <w:basedOn w:val="1"/>
    <w:autoRedefine/>
    <w:qFormat/>
    <w:uiPriority w:val="0"/>
    <w:rPr>
      <w:rFonts w:ascii="Tahoma" w:hAnsi="Tahoma"/>
      <w:sz w:val="24"/>
      <w:szCs w:val="20"/>
    </w:rPr>
  </w:style>
  <w:style w:type="paragraph" w:customStyle="1" w:styleId="757">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8">
    <w:name w:val="Char Char Char Char"/>
    <w:basedOn w:val="1"/>
    <w:autoRedefine/>
    <w:qFormat/>
    <w:uiPriority w:val="0"/>
    <w:rPr>
      <w:rFonts w:ascii="Tahoma" w:hAnsi="Tahoma"/>
      <w:sz w:val="24"/>
      <w:szCs w:val="20"/>
    </w:rPr>
  </w:style>
  <w:style w:type="paragraph" w:customStyle="1" w:styleId="759">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0">
    <w:name w:val="Char19"/>
    <w:basedOn w:val="1"/>
    <w:autoRedefine/>
    <w:qFormat/>
    <w:uiPriority w:val="0"/>
    <w:pPr>
      <w:adjustRightInd/>
    </w:pPr>
    <w:rPr>
      <w:szCs w:val="20"/>
    </w:rPr>
  </w:style>
  <w:style w:type="paragraph" w:customStyle="1" w:styleId="761">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2">
    <w:name w:val="样式8"/>
    <w:basedOn w:val="1"/>
    <w:autoRedefine/>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3">
    <w:name w:val="_Style 5"/>
    <w:basedOn w:val="1"/>
    <w:autoRedefine/>
    <w:qFormat/>
    <w:uiPriority w:val="34"/>
    <w:pPr>
      <w:adjustRightInd/>
      <w:ind w:firstLine="420" w:firstLineChars="200"/>
    </w:pPr>
    <w:rPr>
      <w:rFonts w:eastAsia="仿宋_GB2312"/>
      <w:sz w:val="28"/>
    </w:rPr>
  </w:style>
  <w:style w:type="paragraph" w:customStyle="1" w:styleId="764">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5">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6">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7">
    <w:name w:val="标书表格字体格式"/>
    <w:next w:val="761"/>
    <w:autoRedefine/>
    <w:qFormat/>
    <w:uiPriority w:val="0"/>
    <w:rPr>
      <w:rFonts w:ascii="Times New Roman" w:hAnsi="Times New Roman" w:eastAsia="宋体" w:cs="Times New Roman"/>
      <w:kern w:val="2"/>
      <w:sz w:val="21"/>
      <w:szCs w:val="24"/>
      <w:lang w:val="en-US" w:eastAsia="zh-CN" w:bidi="ar-SA"/>
    </w:rPr>
  </w:style>
  <w:style w:type="paragraph" w:customStyle="1" w:styleId="768">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9">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0">
    <w:name w:val="修订3"/>
    <w:autoRedefine/>
    <w:qFormat/>
    <w:uiPriority w:val="0"/>
    <w:rPr>
      <w:rFonts w:ascii="Times New Roman" w:hAnsi="Times New Roman" w:eastAsia="宋体" w:cs="Times New Roman"/>
      <w:kern w:val="2"/>
      <w:sz w:val="21"/>
      <w:lang w:val="en-US" w:eastAsia="zh-CN" w:bidi="ar-SA"/>
    </w:rPr>
  </w:style>
  <w:style w:type="paragraph" w:customStyle="1" w:styleId="771">
    <w:name w:val="CSS1级正文 Char"/>
    <w:basedOn w:val="23"/>
    <w:autoRedefine/>
    <w:qFormat/>
    <w:uiPriority w:val="0"/>
    <w:pPr>
      <w:autoSpaceDE/>
      <w:autoSpaceDN/>
      <w:snapToGrid w:val="0"/>
      <w:ind w:firstLine="480" w:firstLineChars="200"/>
    </w:pPr>
    <w:rPr>
      <w:rFonts w:ascii="Times New Roman"/>
      <w:szCs w:val="24"/>
      <w:lang w:val="en-US"/>
    </w:rPr>
  </w:style>
  <w:style w:type="paragraph" w:customStyle="1" w:styleId="772">
    <w:name w:val="无间隔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3">
    <w:name w:val="表文字"/>
    <w:autoRedefine/>
    <w:qFormat/>
    <w:uiPriority w:val="0"/>
    <w:rPr>
      <w:rFonts w:ascii="宋体" w:hAnsi="Times New Roman" w:eastAsia="宋体" w:cs="Times New Roman"/>
      <w:kern w:val="2"/>
      <w:lang w:val="en-US" w:eastAsia="zh-CN" w:bidi="ar-SA"/>
    </w:rPr>
  </w:style>
  <w:style w:type="paragraph" w:customStyle="1" w:styleId="774">
    <w:name w:val="MM Title"/>
    <w:basedOn w:val="62"/>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5">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6">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7">
    <w:name w:val="Char Char Char Char Char Char Char Char2"/>
    <w:basedOn w:val="1"/>
    <w:autoRedefine/>
    <w:qFormat/>
    <w:uiPriority w:val="0"/>
    <w:pPr>
      <w:tabs>
        <w:tab w:val="left" w:pos="360"/>
      </w:tabs>
    </w:pPr>
    <w:rPr>
      <w:sz w:val="24"/>
      <w:szCs w:val="20"/>
    </w:rPr>
  </w:style>
  <w:style w:type="paragraph" w:customStyle="1" w:styleId="778">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9">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80">
    <w:name w:val="中文标题 3"/>
    <w:basedOn w:val="24"/>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1">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2">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3">
    <w:name w:val="正文－恩普"/>
    <w:basedOn w:val="15"/>
    <w:autoRedefine/>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4">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5">
    <w:name w:val="Char4"/>
    <w:basedOn w:val="1"/>
    <w:autoRedefine/>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6">
    <w:name w:val="p0"/>
    <w:basedOn w:val="1"/>
    <w:autoRedefine/>
    <w:qFormat/>
    <w:uiPriority w:val="0"/>
    <w:pPr>
      <w:widowControl/>
      <w:adjustRightInd/>
    </w:pPr>
    <w:rPr>
      <w:kern w:val="0"/>
      <w:szCs w:val="21"/>
    </w:rPr>
  </w:style>
  <w:style w:type="paragraph" w:customStyle="1" w:styleId="787">
    <w:name w:val="Char6"/>
    <w:basedOn w:val="1"/>
    <w:autoRedefine/>
    <w:qFormat/>
    <w:uiPriority w:val="0"/>
    <w:rPr>
      <w:rFonts w:ascii="仿宋_GB2312" w:eastAsia="仿宋_GB2312"/>
      <w:b/>
      <w:sz w:val="32"/>
      <w:szCs w:val="32"/>
    </w:rPr>
  </w:style>
  <w:style w:type="paragraph" w:customStyle="1" w:styleId="788">
    <w:name w:val="Char111"/>
    <w:basedOn w:val="1"/>
    <w:autoRedefine/>
    <w:qFormat/>
    <w:uiPriority w:val="0"/>
    <w:rPr>
      <w:rFonts w:ascii="仿宋_GB2312" w:eastAsia="仿宋_GB2312"/>
      <w:b/>
      <w:sz w:val="32"/>
      <w:szCs w:val="32"/>
    </w:rPr>
  </w:style>
  <w:style w:type="paragraph" w:customStyle="1" w:styleId="789">
    <w:name w:val="标题3"/>
    <w:basedOn w:val="4"/>
    <w:next w:val="56"/>
    <w:autoRedefine/>
    <w:qFormat/>
    <w:uiPriority w:val="0"/>
    <w:pPr>
      <w:tabs>
        <w:tab w:val="clear" w:pos="900"/>
      </w:tabs>
      <w:spacing w:after="0" w:line="360" w:lineRule="auto"/>
    </w:pPr>
    <w:rPr>
      <w:rFonts w:ascii="仿宋" w:hAnsi="仿宋" w:eastAsia="仿宋" w:cs="仿宋"/>
    </w:rPr>
  </w:style>
  <w:style w:type="paragraph" w:customStyle="1" w:styleId="790">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1">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92">
    <w:name w:val="Char1 Char Char Char2"/>
    <w:basedOn w:val="1"/>
    <w:autoRedefine/>
    <w:qFormat/>
    <w:uiPriority w:val="0"/>
    <w:pPr>
      <w:adjustRightInd/>
      <w:ind w:firstLine="200" w:firstLineChars="200"/>
    </w:pPr>
    <w:rPr>
      <w:rFonts w:ascii="Tahoma" w:hAnsi="Tahoma"/>
      <w:sz w:val="24"/>
      <w:szCs w:val="20"/>
    </w:rPr>
  </w:style>
  <w:style w:type="paragraph" w:customStyle="1" w:styleId="793">
    <w:name w:val="列出段落1"/>
    <w:basedOn w:val="1"/>
    <w:autoRedefine/>
    <w:qFormat/>
    <w:uiPriority w:val="0"/>
    <w:pPr>
      <w:adjustRightInd/>
      <w:spacing w:line="360" w:lineRule="auto"/>
      <w:ind w:firstLine="420" w:firstLineChars="200"/>
    </w:pPr>
    <w:rPr>
      <w:rFonts w:ascii="Calibri" w:hAnsi="Calibri"/>
      <w:sz w:val="24"/>
      <w:szCs w:val="22"/>
    </w:rPr>
  </w:style>
  <w:style w:type="paragraph" w:customStyle="1" w:styleId="794">
    <w:name w:val="样式 标题 1 + 黑色 段前: 0.5 行 段后: 0.5 行1"/>
    <w:basedOn w:val="2"/>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5">
    <w:name w:val="Char Char Char Char Char Char Char2"/>
    <w:basedOn w:val="1"/>
    <w:autoRedefine/>
    <w:qFormat/>
    <w:uiPriority w:val="0"/>
    <w:rPr>
      <w:rFonts w:ascii="仿宋_GB2312" w:eastAsia="仿宋_GB2312"/>
      <w:b/>
      <w:sz w:val="32"/>
      <w:szCs w:val="32"/>
    </w:rPr>
  </w:style>
  <w:style w:type="paragraph" w:customStyle="1" w:styleId="796">
    <w:name w:val="五级条标题"/>
    <w:basedOn w:val="797"/>
    <w:next w:val="643"/>
    <w:autoRedefine/>
    <w:qFormat/>
    <w:uiPriority w:val="0"/>
    <w:pPr>
      <w:tabs>
        <w:tab w:val="left" w:pos="1260"/>
        <w:tab w:val="left" w:pos="1680"/>
        <w:tab w:val="left" w:pos="2100"/>
        <w:tab w:val="left" w:pos="2940"/>
        <w:tab w:val="left" w:pos="3360"/>
      </w:tabs>
      <w:ind w:left="3360"/>
      <w:outlineLvl w:val="6"/>
    </w:pPr>
  </w:style>
  <w:style w:type="paragraph" w:customStyle="1" w:styleId="797">
    <w:name w:val="四级条标题"/>
    <w:basedOn w:val="658"/>
    <w:next w:val="643"/>
    <w:autoRedefine/>
    <w:qFormat/>
    <w:uiPriority w:val="0"/>
    <w:pPr>
      <w:tabs>
        <w:tab w:val="left" w:pos="2940"/>
        <w:tab w:val="clear" w:pos="2520"/>
      </w:tabs>
      <w:ind w:left="2940"/>
      <w:outlineLvl w:val="5"/>
    </w:pPr>
  </w:style>
  <w:style w:type="paragraph" w:customStyle="1" w:styleId="798">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9">
    <w:name w:val="Char23"/>
    <w:basedOn w:val="1"/>
    <w:autoRedefine/>
    <w:qFormat/>
    <w:uiPriority w:val="0"/>
    <w:rPr>
      <w:rFonts w:ascii="仿宋_GB2312" w:eastAsia="仿宋_GB2312"/>
      <w:b/>
      <w:sz w:val="32"/>
      <w:szCs w:val="32"/>
    </w:rPr>
  </w:style>
  <w:style w:type="paragraph" w:customStyle="1" w:styleId="800">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1">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802">
    <w:name w:val="首行缩进"/>
    <w:basedOn w:val="1"/>
    <w:autoRedefine/>
    <w:qFormat/>
    <w:uiPriority w:val="0"/>
    <w:pPr>
      <w:spacing w:line="360" w:lineRule="auto"/>
      <w:ind w:firstLine="480" w:firstLineChars="200"/>
    </w:pPr>
    <w:rPr>
      <w:rFonts w:ascii="宋体"/>
      <w:sz w:val="24"/>
      <w:szCs w:val="20"/>
    </w:rPr>
  </w:style>
  <w:style w:type="paragraph" w:customStyle="1" w:styleId="803">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04">
    <w:name w:val="单元格左对齐"/>
    <w:basedOn w:val="1"/>
    <w:autoRedefine/>
    <w:qFormat/>
    <w:uiPriority w:val="0"/>
    <w:pPr>
      <w:adjustRightInd/>
      <w:spacing w:line="360" w:lineRule="auto"/>
    </w:pPr>
    <w:rPr>
      <w:sz w:val="24"/>
    </w:rPr>
  </w:style>
  <w:style w:type="paragraph" w:customStyle="1" w:styleId="805">
    <w:name w:val="正文主体"/>
    <w:basedOn w:val="627"/>
    <w:autoRedefine/>
    <w:qFormat/>
    <w:uiPriority w:val="0"/>
  </w:style>
  <w:style w:type="paragraph" w:customStyle="1" w:styleId="806">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7">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8">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9">
    <w:name w:val="正文（首行缩进2字符）"/>
    <w:basedOn w:val="1"/>
    <w:autoRedefine/>
    <w:qFormat/>
    <w:uiPriority w:val="0"/>
    <w:pPr>
      <w:adjustRightInd/>
      <w:spacing w:line="360" w:lineRule="auto"/>
      <w:ind w:firstLine="480" w:firstLineChars="200"/>
    </w:pPr>
    <w:rPr>
      <w:sz w:val="24"/>
      <w:szCs w:val="20"/>
    </w:rPr>
  </w:style>
  <w:style w:type="paragraph" w:customStyle="1" w:styleId="810">
    <w:name w:val="P1"/>
    <w:basedOn w:val="1"/>
    <w:autoRedefine/>
    <w:qFormat/>
    <w:uiPriority w:val="0"/>
    <w:pPr>
      <w:adjustRightInd/>
      <w:spacing w:line="288" w:lineRule="auto"/>
      <w:ind w:firstLine="425" w:firstLineChars="200"/>
    </w:pPr>
  </w:style>
  <w:style w:type="paragraph" w:customStyle="1" w:styleId="811">
    <w:name w:val="列表内容"/>
    <w:basedOn w:val="1"/>
    <w:next w:val="1"/>
    <w:autoRedefine/>
    <w:qFormat/>
    <w:uiPriority w:val="0"/>
    <w:pPr>
      <w:widowControl/>
      <w:tabs>
        <w:tab w:val="left" w:pos="840"/>
      </w:tabs>
      <w:ind w:left="840" w:hanging="420"/>
      <w:jc w:val="left"/>
    </w:pPr>
    <w:rPr>
      <w:kern w:val="0"/>
      <w:sz w:val="18"/>
    </w:rPr>
  </w:style>
  <w:style w:type="paragraph" w:customStyle="1" w:styleId="812">
    <w:name w:val="Char Char11 Char Char Char1"/>
    <w:basedOn w:val="1"/>
    <w:autoRedefine/>
    <w:qFormat/>
    <w:uiPriority w:val="6"/>
    <w:pPr>
      <w:spacing w:line="360" w:lineRule="auto"/>
    </w:pPr>
    <w:rPr>
      <w:szCs w:val="20"/>
    </w:rPr>
  </w:style>
  <w:style w:type="paragraph" w:customStyle="1" w:styleId="813">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4">
    <w:name w:val="Char Char Char Char Char Char11"/>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5">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6">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7">
    <w:name w:val="正文文字缩进2字"/>
    <w:basedOn w:val="23"/>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8">
    <w:name w:val="默认段落字体 Para Char Char Char Char"/>
    <w:basedOn w:val="1"/>
    <w:autoRedefine/>
    <w:qFormat/>
    <w:uiPriority w:val="0"/>
    <w:pPr>
      <w:spacing w:line="360" w:lineRule="auto"/>
    </w:pPr>
    <w:rPr>
      <w:szCs w:val="20"/>
    </w:rPr>
  </w:style>
  <w:style w:type="paragraph" w:customStyle="1" w:styleId="819">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20">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1">
    <w:name w:val="Char2 Char Char Char2"/>
    <w:basedOn w:val="1"/>
    <w:autoRedefine/>
    <w:qFormat/>
    <w:uiPriority w:val="0"/>
    <w:rPr>
      <w:rFonts w:ascii="仿宋_GB2312" w:eastAsia="仿宋_GB2312"/>
      <w:b/>
      <w:sz w:val="32"/>
      <w:szCs w:val="32"/>
    </w:rPr>
  </w:style>
  <w:style w:type="paragraph" w:customStyle="1" w:styleId="822">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23">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4">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5">
    <w:name w:val="Char Char4 Char Char"/>
    <w:basedOn w:val="1"/>
    <w:autoRedefine/>
    <w:qFormat/>
    <w:uiPriority w:val="0"/>
    <w:pPr>
      <w:widowControl/>
      <w:adjustRightInd/>
      <w:spacing w:after="160" w:line="240" w:lineRule="exact"/>
      <w:jc w:val="left"/>
    </w:pPr>
  </w:style>
  <w:style w:type="paragraph" w:customStyle="1" w:styleId="826">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7">
    <w:name w:val="Char Char11 Char Char Char2"/>
    <w:basedOn w:val="1"/>
    <w:autoRedefine/>
    <w:qFormat/>
    <w:uiPriority w:val="0"/>
    <w:pPr>
      <w:spacing w:line="360" w:lineRule="auto"/>
    </w:pPr>
    <w:rPr>
      <w:szCs w:val="20"/>
    </w:rPr>
  </w:style>
  <w:style w:type="paragraph" w:customStyle="1" w:styleId="828">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9">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0">
    <w:name w:val="数字标题4"/>
    <w:basedOn w:val="5"/>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1">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32">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33">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4">
    <w:name w:val="Char311"/>
    <w:basedOn w:val="1"/>
    <w:autoRedefine/>
    <w:qFormat/>
    <w:uiPriority w:val="0"/>
    <w:pPr>
      <w:adjustRightInd/>
      <w:ind w:firstLine="200" w:firstLineChars="200"/>
    </w:pPr>
    <w:rPr>
      <w:rFonts w:ascii="Tahoma" w:hAnsi="Tahoma"/>
      <w:sz w:val="24"/>
      <w:szCs w:val="20"/>
    </w:rPr>
  </w:style>
  <w:style w:type="paragraph" w:customStyle="1" w:styleId="835">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6">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7">
    <w:name w:val="正文 内标"/>
    <w:basedOn w:val="752"/>
    <w:autoRedefine/>
    <w:qFormat/>
    <w:uiPriority w:val="0"/>
    <w:pPr>
      <w:tabs>
        <w:tab w:val="left" w:pos="0"/>
      </w:tabs>
      <w:ind w:left="900" w:firstLine="0" w:firstLineChars="0"/>
    </w:pPr>
  </w:style>
  <w:style w:type="paragraph" w:customStyle="1" w:styleId="838">
    <w:name w:val="Bulleted List"/>
    <w:basedOn w:val="1"/>
    <w:autoRedefine/>
    <w:qFormat/>
    <w:uiPriority w:val="0"/>
    <w:pPr>
      <w:tabs>
        <w:tab w:val="left" w:pos="1260"/>
      </w:tabs>
      <w:adjustRightInd/>
      <w:ind w:left="1260" w:hanging="420"/>
    </w:pPr>
  </w:style>
  <w:style w:type="paragraph" w:customStyle="1" w:styleId="839">
    <w:name w:val="样式 正文文本缩进 2 + 仿宋_GB2312 黑色 行距: 1.5 倍行距"/>
    <w:basedOn w:val="40"/>
    <w:autoRedefine/>
    <w:qFormat/>
    <w:uiPriority w:val="0"/>
    <w:pPr>
      <w:adjustRightInd/>
      <w:ind w:firstLine="560" w:firstLineChars="200"/>
      <w:textAlignment w:val="auto"/>
    </w:pPr>
    <w:rPr>
      <w:rFonts w:hAnsi="宋体" w:cs="宋体"/>
      <w:color w:val="000000"/>
      <w:kern w:val="2"/>
      <w:sz w:val="24"/>
    </w:rPr>
  </w:style>
  <w:style w:type="paragraph" w:customStyle="1" w:styleId="840">
    <w:name w:val="样式 左侧:  0.85 厘米"/>
    <w:basedOn w:val="1"/>
    <w:autoRedefine/>
    <w:qFormat/>
    <w:uiPriority w:val="2"/>
    <w:pPr>
      <w:adjustRightInd/>
      <w:spacing w:line="360" w:lineRule="auto"/>
    </w:pPr>
    <w:rPr>
      <w:rFonts w:cs="宋体"/>
      <w:sz w:val="24"/>
      <w:szCs w:val="20"/>
    </w:rPr>
  </w:style>
  <w:style w:type="paragraph" w:customStyle="1" w:styleId="841">
    <w:name w:val="Char Char Char Char Char Char Char Char Char Char Char Char1 Char"/>
    <w:basedOn w:val="1"/>
    <w:autoRedefine/>
    <w:qFormat/>
    <w:uiPriority w:val="0"/>
    <w:rPr>
      <w:rFonts w:ascii="Tahoma" w:hAnsi="Tahoma" w:cs="仿宋_GB2312"/>
      <w:sz w:val="24"/>
      <w:szCs w:val="20"/>
    </w:rPr>
  </w:style>
  <w:style w:type="paragraph" w:customStyle="1" w:styleId="842">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3">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4">
    <w:name w:val="模板普通正文"/>
    <w:basedOn w:val="24"/>
    <w:autoRedefine/>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5">
    <w:name w:val="Char Char1 Char Char Char Char Char Char"/>
    <w:basedOn w:val="1"/>
    <w:autoRedefine/>
    <w:qFormat/>
    <w:uiPriority w:val="0"/>
    <w:rPr>
      <w:rFonts w:ascii="仿宋_GB2312" w:eastAsia="仿宋_GB2312"/>
      <w:b/>
      <w:sz w:val="32"/>
      <w:szCs w:val="20"/>
    </w:rPr>
  </w:style>
  <w:style w:type="paragraph" w:customStyle="1" w:styleId="846">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47">
    <w:name w:val="Char Char1 Char Char Char Char Char Char2"/>
    <w:basedOn w:val="1"/>
    <w:autoRedefine/>
    <w:qFormat/>
    <w:uiPriority w:val="0"/>
    <w:rPr>
      <w:rFonts w:ascii="仿宋_GB2312" w:eastAsia="仿宋_GB2312"/>
      <w:b/>
      <w:sz w:val="32"/>
      <w:szCs w:val="20"/>
    </w:rPr>
  </w:style>
  <w:style w:type="paragraph" w:customStyle="1" w:styleId="848">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9">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50">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1">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2">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53">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4">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5">
    <w:name w:val="xl8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6">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7">
    <w:name w:val="Char31"/>
    <w:basedOn w:val="1"/>
    <w:autoRedefine/>
    <w:qFormat/>
    <w:uiPriority w:val="0"/>
    <w:pPr>
      <w:adjustRightInd/>
    </w:pPr>
    <w:rPr>
      <w:rFonts w:ascii="仿宋_GB2312" w:eastAsia="仿宋_GB2312"/>
      <w:b/>
      <w:sz w:val="32"/>
      <w:szCs w:val="32"/>
    </w:rPr>
  </w:style>
  <w:style w:type="paragraph" w:customStyle="1" w:styleId="858">
    <w:name w:val="样式 标题 3h33rd level3Heading 3 - oldH3l3CTheading 3Headin..."/>
    <w:basedOn w:val="4"/>
    <w:autoRedefine/>
    <w:qFormat/>
    <w:uiPriority w:val="0"/>
    <w:pPr>
      <w:snapToGrid w:val="0"/>
      <w:ind w:left="0" w:firstLine="0"/>
      <w:jc w:val="left"/>
    </w:pPr>
    <w:rPr>
      <w:rFonts w:eastAsia="黑体" w:cs="宋体"/>
      <w:sz w:val="28"/>
      <w:szCs w:val="20"/>
    </w:rPr>
  </w:style>
  <w:style w:type="paragraph" w:customStyle="1" w:styleId="859">
    <w:name w:val="Char Char Char Char Char Char1"/>
    <w:basedOn w:val="1"/>
    <w:autoRedefine/>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0">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1">
    <w:name w:val="Char Char1"/>
    <w:basedOn w:val="1"/>
    <w:autoRedefine/>
    <w:qFormat/>
    <w:uiPriority w:val="0"/>
    <w:pPr>
      <w:widowControl/>
      <w:spacing w:after="160" w:line="240" w:lineRule="exact"/>
      <w:jc w:val="left"/>
    </w:pPr>
    <w:rPr>
      <w:rFonts w:eastAsia="仿宋_GB2312"/>
      <w:sz w:val="28"/>
    </w:rPr>
  </w:style>
  <w:style w:type="paragraph" w:customStyle="1" w:styleId="862">
    <w:name w:val="Char21"/>
    <w:basedOn w:val="1"/>
    <w:autoRedefine/>
    <w:qFormat/>
    <w:uiPriority w:val="0"/>
    <w:pPr>
      <w:adjustRightInd/>
      <w:ind w:firstLine="200" w:firstLineChars="200"/>
    </w:pPr>
    <w:rPr>
      <w:rFonts w:ascii="仿宋_GB2312" w:eastAsia="仿宋_GB2312"/>
      <w:b/>
      <w:sz w:val="32"/>
      <w:szCs w:val="32"/>
    </w:rPr>
  </w:style>
  <w:style w:type="paragraph" w:customStyle="1" w:styleId="863">
    <w:name w:val="列表段落1"/>
    <w:basedOn w:val="1"/>
    <w:autoRedefine/>
    <w:qFormat/>
    <w:uiPriority w:val="34"/>
    <w:pPr>
      <w:adjustRightInd/>
      <w:ind w:right="238" w:firstLine="420"/>
    </w:pPr>
    <w:rPr>
      <w:rFonts w:ascii="Calibri" w:hAnsi="Calibri"/>
      <w:sz w:val="24"/>
    </w:rPr>
  </w:style>
  <w:style w:type="paragraph" w:customStyle="1" w:styleId="864">
    <w:name w:val="Char Char110"/>
    <w:basedOn w:val="1"/>
    <w:autoRedefine/>
    <w:qFormat/>
    <w:uiPriority w:val="6"/>
    <w:pPr>
      <w:spacing w:line="360" w:lineRule="auto"/>
    </w:pPr>
    <w:rPr>
      <w:rFonts w:ascii="Tahoma" w:hAnsi="Tahoma"/>
      <w:sz w:val="24"/>
      <w:szCs w:val="20"/>
    </w:rPr>
  </w:style>
  <w:style w:type="paragraph" w:customStyle="1" w:styleId="865">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6">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7">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8">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69">
    <w:name w:val="Char Char Char Char Char Char Char Char Char Char Char Char1 Char2"/>
    <w:basedOn w:val="1"/>
    <w:autoRedefine/>
    <w:qFormat/>
    <w:uiPriority w:val="0"/>
    <w:rPr>
      <w:rFonts w:ascii="Tahoma" w:hAnsi="Tahoma" w:cs="仿宋_GB2312"/>
      <w:sz w:val="24"/>
      <w:szCs w:val="20"/>
    </w:rPr>
  </w:style>
  <w:style w:type="paragraph" w:customStyle="1" w:styleId="870">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1">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72">
    <w:name w:val="样式 列表编号 + 段后: 0.5 行"/>
    <w:basedOn w:val="14"/>
    <w:autoRedefine/>
    <w:qFormat/>
    <w:uiPriority w:val="2"/>
    <w:pPr>
      <w:tabs>
        <w:tab w:val="clear" w:pos="390"/>
        <w:tab w:val="clear" w:pos="454"/>
      </w:tabs>
      <w:spacing w:after="0"/>
      <w:ind w:left="840" w:hanging="420"/>
      <w:contextualSpacing/>
    </w:pPr>
    <w:rPr>
      <w:rFonts w:cs="宋体"/>
    </w:rPr>
  </w:style>
  <w:style w:type="paragraph" w:customStyle="1" w:styleId="873">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4">
    <w:name w:val="_Style 12"/>
    <w:basedOn w:val="18"/>
    <w:autoRedefine/>
    <w:qFormat/>
    <w:uiPriority w:val="0"/>
    <w:pPr>
      <w:snapToGrid w:val="0"/>
      <w:spacing w:line="360" w:lineRule="auto"/>
    </w:pPr>
  </w:style>
  <w:style w:type="paragraph" w:customStyle="1" w:styleId="875">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6">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7">
    <w:name w:val="_Style 94"/>
    <w:basedOn w:val="1"/>
    <w:next w:val="261"/>
    <w:autoRedefine/>
    <w:qFormat/>
    <w:uiPriority w:val="34"/>
    <w:pPr>
      <w:adjustRightInd/>
      <w:spacing w:line="360" w:lineRule="auto"/>
      <w:ind w:firstLine="200" w:firstLineChars="200"/>
    </w:pPr>
    <w:rPr>
      <w:rFonts w:ascii="Calibri" w:hAnsi="Calibri"/>
      <w:sz w:val="28"/>
      <w:szCs w:val="20"/>
    </w:rPr>
  </w:style>
  <w:style w:type="paragraph" w:customStyle="1" w:styleId="878">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9">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0">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1">
    <w:name w:val="3级标题"/>
    <w:basedOn w:val="675"/>
    <w:autoRedefine/>
    <w:qFormat/>
    <w:uiPriority w:val="0"/>
    <w:pPr>
      <w:outlineLvl w:val="2"/>
    </w:pPr>
  </w:style>
  <w:style w:type="paragraph" w:customStyle="1" w:styleId="882">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3">
    <w:name w:val="Char1 Char Char Char3"/>
    <w:basedOn w:val="1"/>
    <w:autoRedefine/>
    <w:qFormat/>
    <w:uiPriority w:val="0"/>
    <w:pPr>
      <w:adjustRightInd/>
      <w:ind w:firstLine="200" w:firstLineChars="200"/>
    </w:pPr>
    <w:rPr>
      <w:rFonts w:ascii="Tahoma" w:hAnsi="Tahoma"/>
      <w:sz w:val="24"/>
      <w:szCs w:val="20"/>
    </w:rPr>
  </w:style>
  <w:style w:type="paragraph" w:customStyle="1" w:styleId="884">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5">
    <w:name w:val="MM Empty"/>
    <w:basedOn w:val="1"/>
    <w:autoRedefine/>
    <w:qFormat/>
    <w:uiPriority w:val="0"/>
    <w:pPr>
      <w:adjustRightInd/>
    </w:pPr>
  </w:style>
  <w:style w:type="paragraph" w:customStyle="1" w:styleId="886">
    <w:name w:val="Char24"/>
    <w:basedOn w:val="1"/>
    <w:autoRedefine/>
    <w:qFormat/>
    <w:uiPriority w:val="0"/>
    <w:rPr>
      <w:rFonts w:ascii="仿宋_GB2312" w:eastAsia="仿宋_GB2312"/>
      <w:b/>
      <w:sz w:val="32"/>
      <w:szCs w:val="32"/>
    </w:rPr>
  </w:style>
  <w:style w:type="paragraph" w:customStyle="1" w:styleId="887">
    <w:name w:val="正文箭头"/>
    <w:basedOn w:val="541"/>
    <w:autoRedefine/>
    <w:qFormat/>
    <w:uiPriority w:val="0"/>
  </w:style>
  <w:style w:type="paragraph" w:customStyle="1" w:styleId="888">
    <w:name w:val="U_编号2"/>
    <w:basedOn w:val="1"/>
    <w:autoRedefine/>
    <w:qFormat/>
    <w:uiPriority w:val="0"/>
    <w:pPr>
      <w:tabs>
        <w:tab w:val="left" w:pos="785"/>
      </w:tabs>
      <w:adjustRightInd/>
      <w:spacing w:beforeLines="10" w:afterLines="10" w:line="300" w:lineRule="auto"/>
    </w:pPr>
    <w:rPr>
      <w:sz w:val="24"/>
    </w:rPr>
  </w:style>
  <w:style w:type="paragraph" w:customStyle="1" w:styleId="889">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0">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1">
    <w:name w:val="标书标题3"/>
    <w:basedOn w:val="4"/>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2">
    <w:name w:val="TOC 标题11"/>
    <w:basedOn w:val="2"/>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3">
    <w:name w:val="_Style 1"/>
    <w:basedOn w:val="1"/>
    <w:autoRedefine/>
    <w:qFormat/>
    <w:uiPriority w:val="34"/>
    <w:pPr>
      <w:adjustRightInd/>
      <w:ind w:firstLine="420" w:firstLineChars="200"/>
    </w:pPr>
    <w:rPr>
      <w:rFonts w:eastAsia="仿宋_GB2312"/>
      <w:sz w:val="28"/>
    </w:rPr>
  </w:style>
  <w:style w:type="paragraph" w:customStyle="1" w:styleId="894">
    <w:name w:val="表格 内容"/>
    <w:basedOn w:val="731"/>
    <w:autoRedefine/>
    <w:qFormat/>
    <w:uiPriority w:val="0"/>
    <w:rPr>
      <w:b w:val="0"/>
      <w:sz w:val="20"/>
    </w:rPr>
  </w:style>
  <w:style w:type="paragraph" w:customStyle="1" w:styleId="895">
    <w:name w:val="正文首行缩进1"/>
    <w:basedOn w:val="23"/>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6">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7">
    <w:name w:val="数字标题5"/>
    <w:basedOn w:val="6"/>
    <w:next w:val="1"/>
    <w:autoRedefine/>
    <w:qFormat/>
    <w:uiPriority w:val="0"/>
    <w:pPr>
      <w:tabs>
        <w:tab w:val="left" w:pos="1080"/>
      </w:tabs>
      <w:ind w:left="1080" w:hanging="1080"/>
    </w:pPr>
  </w:style>
  <w:style w:type="paragraph" w:customStyle="1" w:styleId="898">
    <w:name w:val="数字标题1"/>
    <w:basedOn w:val="2"/>
    <w:next w:val="1"/>
    <w:autoRedefine/>
    <w:qFormat/>
    <w:uiPriority w:val="0"/>
    <w:pPr>
      <w:tabs>
        <w:tab w:val="left" w:pos="480"/>
      </w:tabs>
      <w:ind w:left="480" w:hanging="480"/>
    </w:pPr>
  </w:style>
  <w:style w:type="paragraph" w:customStyle="1" w:styleId="899">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900">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1">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2">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3">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4">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5">
    <w:name w:val="0"/>
    <w:basedOn w:val="1"/>
    <w:autoRedefine/>
    <w:qFormat/>
    <w:uiPriority w:val="0"/>
    <w:pPr>
      <w:widowControl/>
    </w:pPr>
    <w:rPr>
      <w:kern w:val="0"/>
      <w:sz w:val="24"/>
      <w:szCs w:val="20"/>
    </w:rPr>
  </w:style>
  <w:style w:type="paragraph" w:customStyle="1" w:styleId="906">
    <w:name w:val="Char Char113"/>
    <w:basedOn w:val="1"/>
    <w:autoRedefine/>
    <w:qFormat/>
    <w:uiPriority w:val="0"/>
    <w:pPr>
      <w:widowControl/>
      <w:spacing w:after="160" w:line="240" w:lineRule="exact"/>
      <w:jc w:val="left"/>
    </w:pPr>
    <w:rPr>
      <w:rFonts w:eastAsia="仿宋_GB2312"/>
      <w:sz w:val="28"/>
    </w:rPr>
  </w:style>
  <w:style w:type="paragraph" w:customStyle="1" w:styleId="907">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8">
    <w:name w:val="_Style 8"/>
    <w:basedOn w:val="1"/>
    <w:autoRedefine/>
    <w:qFormat/>
    <w:uiPriority w:val="34"/>
    <w:pPr>
      <w:adjustRightInd/>
      <w:ind w:firstLine="420" w:firstLineChars="200"/>
    </w:pPr>
    <w:rPr>
      <w:rFonts w:eastAsia="仿宋_GB2312"/>
      <w:sz w:val="28"/>
    </w:rPr>
  </w:style>
  <w:style w:type="paragraph" w:customStyle="1" w:styleId="909">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0">
    <w:name w:val="正文样式 首行缩进:  0.74 厘米"/>
    <w:basedOn w:val="1"/>
    <w:autoRedefine/>
    <w:qFormat/>
    <w:uiPriority w:val="0"/>
    <w:pPr>
      <w:adjustRightInd/>
      <w:spacing w:before="156" w:beforeLines="50" w:line="360" w:lineRule="auto"/>
      <w:ind w:firstLine="420"/>
    </w:pPr>
    <w:rPr>
      <w:rFonts w:cs="宋体"/>
      <w:sz w:val="24"/>
      <w:szCs w:val="20"/>
    </w:rPr>
  </w:style>
  <w:style w:type="paragraph" w:customStyle="1" w:styleId="911">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2">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3">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4">
    <w:name w:val="Char Char112"/>
    <w:basedOn w:val="1"/>
    <w:autoRedefine/>
    <w:qFormat/>
    <w:uiPriority w:val="6"/>
    <w:pPr>
      <w:widowControl/>
      <w:spacing w:after="160" w:line="240" w:lineRule="exact"/>
      <w:jc w:val="left"/>
    </w:pPr>
    <w:rPr>
      <w:rFonts w:eastAsia="仿宋_GB2312"/>
      <w:sz w:val="28"/>
    </w:rPr>
  </w:style>
  <w:style w:type="paragraph" w:customStyle="1" w:styleId="915">
    <w:name w:val="正文 图"/>
    <w:basedOn w:val="446"/>
    <w:autoRedefine/>
    <w:qFormat/>
    <w:uiPriority w:val="0"/>
    <w:pPr>
      <w:adjustRightInd/>
      <w:spacing w:before="0"/>
      <w:ind w:firstLine="0"/>
      <w:jc w:val="center"/>
    </w:pPr>
    <w:rPr>
      <w:rFonts w:ascii="微软雅黑" w:hAnsi="微软雅黑"/>
    </w:rPr>
  </w:style>
  <w:style w:type="paragraph" w:customStyle="1" w:styleId="916">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7">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8">
    <w:name w:val="Thf"/>
    <w:basedOn w:val="565"/>
    <w:autoRedefine/>
    <w:qFormat/>
    <w:uiPriority w:val="0"/>
    <w:pPr>
      <w:ind w:left="0"/>
    </w:pPr>
  </w:style>
  <w:style w:type="paragraph" w:customStyle="1" w:styleId="919">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0">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21">
    <w:name w:val="注释"/>
    <w:basedOn w:val="1"/>
    <w:autoRedefine/>
    <w:qFormat/>
    <w:uiPriority w:val="0"/>
    <w:pPr>
      <w:adjustRightInd/>
      <w:spacing w:line="360" w:lineRule="auto"/>
      <w:ind w:firstLine="480"/>
    </w:pPr>
    <w:rPr>
      <w:sz w:val="24"/>
    </w:rPr>
  </w:style>
  <w:style w:type="table" w:customStyle="1" w:styleId="922">
    <w:name w:val="网格型2"/>
    <w:basedOn w:val="66"/>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1"/>
    <w:basedOn w:val="66"/>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6"/>
    <w:basedOn w:val="66"/>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3"/>
    <w:basedOn w:val="66"/>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4"/>
    <w:basedOn w:val="66"/>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网格型5"/>
    <w:basedOn w:val="66"/>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8">
    <w:name w:val="列出段落111"/>
    <w:basedOn w:val="1"/>
    <w:autoRedefine/>
    <w:qFormat/>
    <w:uiPriority w:val="34"/>
    <w:pPr>
      <w:ind w:firstLine="420" w:firstLineChars="200"/>
    </w:pPr>
  </w:style>
  <w:style w:type="character" w:customStyle="1" w:styleId="929">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30">
    <w:name w:val="正文缩进 字符1"/>
    <w:autoRedefine/>
    <w:qFormat/>
    <w:uiPriority w:val="0"/>
    <w:rPr>
      <w:rFonts w:ascii="宋体" w:eastAsia="宋体"/>
      <w:snapToGrid w:val="0"/>
      <w:color w:val="000000"/>
      <w:kern w:val="28"/>
      <w:sz w:val="28"/>
      <w:lang w:val="en-US" w:eastAsia="zh-CN" w:bidi="ar-SA"/>
    </w:rPr>
  </w:style>
  <w:style w:type="character" w:customStyle="1" w:styleId="931">
    <w:name w:val="页脚 字符1"/>
    <w:autoRedefine/>
    <w:qFormat/>
    <w:locked/>
    <w:uiPriority w:val="99"/>
    <w:rPr>
      <w:kern w:val="2"/>
      <w:sz w:val="18"/>
      <w:szCs w:val="18"/>
    </w:rPr>
  </w:style>
  <w:style w:type="character" w:customStyle="1" w:styleId="932">
    <w:name w:val="页眉 字符1"/>
    <w:autoRedefine/>
    <w:qFormat/>
    <w:uiPriority w:val="99"/>
    <w:rPr>
      <w:kern w:val="2"/>
      <w:sz w:val="18"/>
      <w:szCs w:val="18"/>
    </w:rPr>
  </w:style>
  <w:style w:type="character" w:customStyle="1" w:styleId="933">
    <w:name w:val="尾注文本 Char"/>
    <w:link w:val="41"/>
    <w:autoRedefine/>
    <w:qFormat/>
    <w:uiPriority w:val="0"/>
    <w:rPr>
      <w:kern w:val="2"/>
      <w:sz w:val="21"/>
      <w:szCs w:val="24"/>
      <w:lang w:val="zh-CN"/>
    </w:rPr>
  </w:style>
  <w:style w:type="character" w:customStyle="1" w:styleId="934">
    <w:name w:val="无间隔 Char"/>
    <w:link w:val="486"/>
    <w:autoRedefine/>
    <w:qFormat/>
    <w:uiPriority w:val="99"/>
    <w:rPr>
      <w:kern w:val="2"/>
      <w:sz w:val="21"/>
      <w:szCs w:val="22"/>
    </w:rPr>
  </w:style>
  <w:style w:type="character" w:customStyle="1" w:styleId="935">
    <w:name w:val="标准文本 Char Char"/>
    <w:link w:val="936"/>
    <w:autoRedefine/>
    <w:qFormat/>
    <w:uiPriority w:val="0"/>
    <w:rPr>
      <w:rFonts w:cs="宋体"/>
      <w:kern w:val="2"/>
      <w:sz w:val="24"/>
    </w:rPr>
  </w:style>
  <w:style w:type="paragraph" w:customStyle="1" w:styleId="936">
    <w:name w:val="标准文本"/>
    <w:basedOn w:val="1"/>
    <w:link w:val="935"/>
    <w:autoRedefine/>
    <w:qFormat/>
    <w:uiPriority w:val="0"/>
    <w:pPr>
      <w:adjustRightInd/>
      <w:spacing w:line="360" w:lineRule="auto"/>
      <w:ind w:firstLine="480" w:firstLineChars="200"/>
    </w:pPr>
    <w:rPr>
      <w:rFonts w:cs="宋体"/>
      <w:sz w:val="24"/>
      <w:szCs w:val="20"/>
    </w:rPr>
  </w:style>
  <w:style w:type="character" w:customStyle="1" w:styleId="937">
    <w:name w:val="Char Char213"/>
    <w:autoRedefine/>
    <w:qFormat/>
    <w:uiPriority w:val="0"/>
    <w:rPr>
      <w:rFonts w:eastAsia="Century Gothic"/>
      <w:b/>
      <w:bCs/>
      <w:kern w:val="44"/>
      <w:sz w:val="32"/>
      <w:szCs w:val="44"/>
      <w:lang w:val="en-US" w:eastAsia="zh-CN" w:bidi="ar-SA"/>
    </w:rPr>
  </w:style>
  <w:style w:type="character" w:customStyle="1" w:styleId="938">
    <w:name w:val="apple-style-span"/>
    <w:autoRedefine/>
    <w:qFormat/>
    <w:uiPriority w:val="0"/>
    <w:rPr>
      <w:rFonts w:ascii="Arial" w:hAnsi="Arial" w:eastAsia="黑体" w:cs="Arial"/>
      <w:snapToGrid w:val="0"/>
      <w:kern w:val="0"/>
      <w:szCs w:val="21"/>
    </w:rPr>
  </w:style>
  <w:style w:type="character" w:customStyle="1" w:styleId="939">
    <w:name w:val="15"/>
    <w:autoRedefine/>
    <w:qFormat/>
    <w:uiPriority w:val="0"/>
    <w:rPr>
      <w:rFonts w:hint="default" w:ascii="Calibri" w:hAnsi="Calibri"/>
      <w:color w:val="0000FF"/>
      <w:u w:val="single"/>
    </w:rPr>
  </w:style>
  <w:style w:type="character" w:customStyle="1" w:styleId="940">
    <w:name w:val="16"/>
    <w:autoRedefine/>
    <w:qFormat/>
    <w:uiPriority w:val="0"/>
    <w:rPr>
      <w:rFonts w:hint="eastAsia" w:ascii="宋体" w:hAnsi="宋体" w:eastAsia="宋体"/>
      <w:color w:val="000000"/>
      <w:sz w:val="20"/>
      <w:szCs w:val="20"/>
    </w:rPr>
  </w:style>
  <w:style w:type="character" w:customStyle="1" w:styleId="941">
    <w:name w:val="edui-unclickable"/>
    <w:autoRedefine/>
    <w:qFormat/>
    <w:uiPriority w:val="0"/>
    <w:rPr>
      <w:color w:val="808080"/>
    </w:rPr>
  </w:style>
  <w:style w:type="character" w:customStyle="1" w:styleId="942">
    <w:name w:val="tpc_content1"/>
    <w:autoRedefine/>
    <w:qFormat/>
    <w:uiPriority w:val="0"/>
    <w:rPr>
      <w:sz w:val="20"/>
      <w:szCs w:val="20"/>
    </w:rPr>
  </w:style>
  <w:style w:type="character" w:customStyle="1" w:styleId="943">
    <w:name w:val="正文文本缩进 字符"/>
    <w:autoRedefine/>
    <w:qFormat/>
    <w:uiPriority w:val="0"/>
    <w:rPr>
      <w:rFonts w:ascii="Century Gothic" w:hAnsi="Century Gothic" w:eastAsia="Century Gothic"/>
      <w:kern w:val="2"/>
      <w:sz w:val="24"/>
      <w:lang w:val="en-US" w:eastAsia="zh-CN" w:bidi="ar-SA"/>
    </w:rPr>
  </w:style>
  <w:style w:type="character" w:customStyle="1" w:styleId="944">
    <w:name w:val="正文文本 2 字符"/>
    <w:autoRedefine/>
    <w:qFormat/>
    <w:uiPriority w:val="0"/>
    <w:rPr>
      <w:rFonts w:ascii="Arial" w:hAnsi="Arial" w:eastAsia="宋体"/>
      <w:kern w:val="2"/>
      <w:sz w:val="24"/>
      <w:szCs w:val="24"/>
      <w:lang w:val="en-US" w:eastAsia="zh-CN" w:bidi="ar-SA"/>
    </w:rPr>
  </w:style>
  <w:style w:type="character" w:customStyle="1" w:styleId="945">
    <w:name w:val="edui-clickable2"/>
    <w:autoRedefine/>
    <w:qFormat/>
    <w:uiPriority w:val="0"/>
    <w:rPr>
      <w:color w:val="0000FF"/>
      <w:u w:val="single"/>
    </w:rPr>
  </w:style>
  <w:style w:type="character" w:customStyle="1" w:styleId="946">
    <w:name w:val="style1"/>
    <w:autoRedefine/>
    <w:qFormat/>
    <w:uiPriority w:val="0"/>
    <w:rPr>
      <w:rFonts w:ascii="Arial" w:hAnsi="Arial" w:eastAsia="黑体" w:cs="Arial"/>
      <w:snapToGrid w:val="0"/>
      <w:kern w:val="0"/>
      <w:szCs w:val="21"/>
    </w:rPr>
  </w:style>
  <w:style w:type="character" w:customStyle="1" w:styleId="947">
    <w:name w:val="zbggtop11 style5"/>
    <w:autoRedefine/>
    <w:qFormat/>
    <w:uiPriority w:val="0"/>
    <w:rPr>
      <w:rFonts w:ascii="Arial" w:hAnsi="Arial" w:eastAsia="黑体" w:cs="Arial"/>
      <w:snapToGrid w:val="0"/>
      <w:kern w:val="0"/>
      <w:szCs w:val="21"/>
    </w:rPr>
  </w:style>
  <w:style w:type="character" w:customStyle="1" w:styleId="948">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49">
    <w:name w:val="bulletintext1"/>
    <w:autoRedefine/>
    <w:qFormat/>
    <w:uiPriority w:val="0"/>
    <w:rPr>
      <w:color w:val="000000"/>
      <w:sz w:val="18"/>
    </w:rPr>
  </w:style>
  <w:style w:type="paragraph" w:customStyle="1" w:styleId="950">
    <w:name w:val="_Style 947"/>
    <w:basedOn w:val="1"/>
    <w:next w:val="261"/>
    <w:autoRedefine/>
    <w:qFormat/>
    <w:uiPriority w:val="34"/>
    <w:pPr>
      <w:adjustRightInd/>
      <w:ind w:firstLine="420" w:firstLineChars="200"/>
    </w:pPr>
  </w:style>
  <w:style w:type="paragraph" w:customStyle="1" w:styleId="951">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52">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3">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4">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5">
    <w:name w:val="节"/>
    <w:basedOn w:val="3"/>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6">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57">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8">
    <w:name w:val="Table Paragraph"/>
    <w:basedOn w:val="1"/>
    <w:autoRedefine/>
    <w:qFormat/>
    <w:uiPriority w:val="0"/>
    <w:pPr>
      <w:adjustRightInd/>
      <w:jc w:val="left"/>
    </w:pPr>
    <w:rPr>
      <w:rFonts w:ascii="Calibri" w:hAnsi="Calibri"/>
      <w:kern w:val="0"/>
      <w:sz w:val="22"/>
      <w:szCs w:val="22"/>
      <w:lang w:eastAsia="en-US"/>
    </w:rPr>
  </w:style>
  <w:style w:type="paragraph" w:customStyle="1" w:styleId="95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0">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1">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2">
    <w:name w:val="ksfind_class_select1"/>
    <w:basedOn w:val="73"/>
    <w:autoRedefine/>
    <w:qFormat/>
    <w:uiPriority w:val="0"/>
    <w:rPr>
      <w:color w:val="000000"/>
      <w:shd w:val="clear" w:color="auto" w:fill="EFD200"/>
    </w:rPr>
  </w:style>
  <w:style w:type="character" w:customStyle="1" w:styleId="963">
    <w:name w:val="font71"/>
    <w:autoRedefine/>
    <w:qFormat/>
    <w:uiPriority w:val="0"/>
    <w:rPr>
      <w:rFonts w:hint="eastAsia" w:ascii="宋体" w:hAnsi="宋体" w:eastAsia="宋体" w:cs="宋体"/>
      <w:color w:val="000000"/>
      <w:sz w:val="22"/>
      <w:szCs w:val="22"/>
      <w:u w:val="none"/>
    </w:rPr>
  </w:style>
  <w:style w:type="character" w:customStyle="1" w:styleId="964">
    <w:name w:val="font91"/>
    <w:basedOn w:val="73"/>
    <w:autoRedefine/>
    <w:qFormat/>
    <w:uiPriority w:val="0"/>
    <w:rPr>
      <w:rFonts w:hint="eastAsia" w:ascii="仿宋" w:hAnsi="仿宋" w:eastAsia="仿宋" w:cs="仿宋"/>
      <w:color w:val="000000"/>
      <w:sz w:val="22"/>
      <w:szCs w:val="22"/>
      <w:u w:val="none"/>
    </w:rPr>
  </w:style>
  <w:style w:type="paragraph" w:customStyle="1" w:styleId="965">
    <w:name w:val="修订4"/>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966">
    <w:name w:val="不明显强调1"/>
    <w:autoRedefine/>
    <w:qFormat/>
    <w:uiPriority w:val="19"/>
    <w:rPr>
      <w:i/>
      <w:iCs/>
    </w:rPr>
  </w:style>
  <w:style w:type="character" w:customStyle="1" w:styleId="967">
    <w:name w:val="font101"/>
    <w:basedOn w:val="73"/>
    <w:qFormat/>
    <w:uiPriority w:val="0"/>
    <w:rPr>
      <w:rFonts w:ascii="Wingdings 2" w:hAnsi="Wingdings 2" w:eastAsia="Wingdings 2" w:cs="Wingdings 2"/>
      <w:color w:val="000000"/>
      <w:sz w:val="16"/>
      <w:szCs w:val="16"/>
      <w:u w:val="none"/>
    </w:rPr>
  </w:style>
  <w:style w:type="character" w:customStyle="1" w:styleId="968">
    <w:name w:val="font112"/>
    <w:basedOn w:val="73"/>
    <w:qFormat/>
    <w:uiPriority w:val="0"/>
    <w:rPr>
      <w:rFonts w:hint="eastAsia" w:ascii="微软雅黑" w:hAnsi="微软雅黑" w:eastAsia="微软雅黑" w:cs="微软雅黑"/>
      <w:color w:val="000000"/>
      <w:sz w:val="16"/>
      <w:szCs w:val="16"/>
      <w:u w:val="none"/>
    </w:rPr>
  </w:style>
</w:styles>
</file>

<file path=word/_rels/document.xml.rels><?xml version="1.0" encoding="UTF-8" standalone="yes"?>
<Relationships xmlns="http://schemas.openxmlformats.org/package/2006/relationships"><Relationship Id="rId99" Type="http://schemas.openxmlformats.org/officeDocument/2006/relationships/image" Target="media/image71.png"/><Relationship Id="rId98" Type="http://schemas.openxmlformats.org/officeDocument/2006/relationships/image" Target="media/image70.png"/><Relationship Id="rId97" Type="http://schemas.openxmlformats.org/officeDocument/2006/relationships/image" Target="media/image69.png"/><Relationship Id="rId96" Type="http://schemas.openxmlformats.org/officeDocument/2006/relationships/image" Target="media/image68.png"/><Relationship Id="rId95" Type="http://schemas.openxmlformats.org/officeDocument/2006/relationships/image" Target="media/image67.png"/><Relationship Id="rId94" Type="http://schemas.openxmlformats.org/officeDocument/2006/relationships/image" Target="media/image66.png"/><Relationship Id="rId93" Type="http://schemas.openxmlformats.org/officeDocument/2006/relationships/image" Target="media/image65.png"/><Relationship Id="rId92" Type="http://schemas.openxmlformats.org/officeDocument/2006/relationships/image" Target="media/image64.png"/><Relationship Id="rId91" Type="http://schemas.openxmlformats.org/officeDocument/2006/relationships/image" Target="media/image63.png"/><Relationship Id="rId90" Type="http://schemas.openxmlformats.org/officeDocument/2006/relationships/image" Target="media/image62.png"/><Relationship Id="rId9" Type="http://schemas.openxmlformats.org/officeDocument/2006/relationships/header" Target="header4.xml"/><Relationship Id="rId89" Type="http://schemas.openxmlformats.org/officeDocument/2006/relationships/image" Target="media/image61.png"/><Relationship Id="rId88" Type="http://schemas.openxmlformats.org/officeDocument/2006/relationships/image" Target="media/image60.png"/><Relationship Id="rId87" Type="http://schemas.openxmlformats.org/officeDocument/2006/relationships/image" Target="media/image59.png"/><Relationship Id="rId86" Type="http://schemas.openxmlformats.org/officeDocument/2006/relationships/image" Target="media/image58.png"/><Relationship Id="rId85" Type="http://schemas.openxmlformats.org/officeDocument/2006/relationships/image" Target="media/image57.png"/><Relationship Id="rId84" Type="http://schemas.openxmlformats.org/officeDocument/2006/relationships/image" Target="media/image56.png"/><Relationship Id="rId83" Type="http://schemas.openxmlformats.org/officeDocument/2006/relationships/image" Target="media/image55.png"/><Relationship Id="rId82" Type="http://schemas.openxmlformats.org/officeDocument/2006/relationships/image" Target="media/image54.png"/><Relationship Id="rId81" Type="http://schemas.openxmlformats.org/officeDocument/2006/relationships/image" Target="media/image53.png"/><Relationship Id="rId80" Type="http://schemas.openxmlformats.org/officeDocument/2006/relationships/image" Target="media/image52.png"/><Relationship Id="rId8" Type="http://schemas.openxmlformats.org/officeDocument/2006/relationships/header" Target="header3.xml"/><Relationship Id="rId79" Type="http://schemas.openxmlformats.org/officeDocument/2006/relationships/image" Target="media/image51.png"/><Relationship Id="rId78" Type="http://schemas.openxmlformats.org/officeDocument/2006/relationships/image" Target="media/image50.png"/><Relationship Id="rId77" Type="http://schemas.openxmlformats.org/officeDocument/2006/relationships/image" Target="media/image49.png"/><Relationship Id="rId76" Type="http://schemas.openxmlformats.org/officeDocument/2006/relationships/image" Target="media/image48.png"/><Relationship Id="rId75" Type="http://schemas.openxmlformats.org/officeDocument/2006/relationships/image" Target="media/image47.png"/><Relationship Id="rId74" Type="http://schemas.openxmlformats.org/officeDocument/2006/relationships/image" Target="media/image46.png"/><Relationship Id="rId73" Type="http://schemas.openxmlformats.org/officeDocument/2006/relationships/image" Target="media/image45.png"/><Relationship Id="rId72" Type="http://schemas.openxmlformats.org/officeDocument/2006/relationships/image" Target="media/image44.png"/><Relationship Id="rId71" Type="http://schemas.openxmlformats.org/officeDocument/2006/relationships/image" Target="media/image43.png"/><Relationship Id="rId70" Type="http://schemas.openxmlformats.org/officeDocument/2006/relationships/image" Target="media/image42.png"/><Relationship Id="rId7" Type="http://schemas.openxmlformats.org/officeDocument/2006/relationships/footer" Target="footer3.xml"/><Relationship Id="rId69" Type="http://schemas.openxmlformats.org/officeDocument/2006/relationships/image" Target="media/image41.png"/><Relationship Id="rId68" Type="http://schemas.openxmlformats.org/officeDocument/2006/relationships/image" Target="media/image40.png"/><Relationship Id="rId67" Type="http://schemas.openxmlformats.org/officeDocument/2006/relationships/image" Target="media/image39.png"/><Relationship Id="rId66" Type="http://schemas.openxmlformats.org/officeDocument/2006/relationships/image" Target="media/image38.png"/><Relationship Id="rId65" Type="http://schemas.openxmlformats.org/officeDocument/2006/relationships/image" Target="media/image37.png"/><Relationship Id="rId64" Type="http://schemas.openxmlformats.org/officeDocument/2006/relationships/image" Target="media/image36.png"/><Relationship Id="rId63" Type="http://schemas.openxmlformats.org/officeDocument/2006/relationships/image" Target="media/image35.png"/><Relationship Id="rId62" Type="http://schemas.openxmlformats.org/officeDocument/2006/relationships/image" Target="media/image34.png"/><Relationship Id="rId61" Type="http://schemas.openxmlformats.org/officeDocument/2006/relationships/image" Target="media/image33.png"/><Relationship Id="rId60" Type="http://schemas.openxmlformats.org/officeDocument/2006/relationships/image" Target="media/image32.png"/><Relationship Id="rId6" Type="http://schemas.openxmlformats.org/officeDocument/2006/relationships/footer" Target="footer2.xml"/><Relationship Id="rId59" Type="http://schemas.openxmlformats.org/officeDocument/2006/relationships/image" Target="media/image31.png"/><Relationship Id="rId58" Type="http://schemas.openxmlformats.org/officeDocument/2006/relationships/image" Target="media/image30.png"/><Relationship Id="rId57" Type="http://schemas.openxmlformats.org/officeDocument/2006/relationships/image" Target="media/image29.png"/><Relationship Id="rId56" Type="http://schemas.openxmlformats.org/officeDocument/2006/relationships/image" Target="media/image28.png"/><Relationship Id="rId55" Type="http://schemas.openxmlformats.org/officeDocument/2006/relationships/image" Target="media/image27.png"/><Relationship Id="rId54" Type="http://schemas.openxmlformats.org/officeDocument/2006/relationships/image" Target="media/image26.png"/><Relationship Id="rId53" Type="http://schemas.openxmlformats.org/officeDocument/2006/relationships/image" Target="media/image25.png"/><Relationship Id="rId52" Type="http://schemas.openxmlformats.org/officeDocument/2006/relationships/image" Target="media/image24.png"/><Relationship Id="rId51" Type="http://schemas.openxmlformats.org/officeDocument/2006/relationships/image" Target="media/image23.png"/><Relationship Id="rId50" Type="http://schemas.openxmlformats.org/officeDocument/2006/relationships/image" Target="media/image22.png"/><Relationship Id="rId5" Type="http://schemas.openxmlformats.org/officeDocument/2006/relationships/footer" Target="footer1.xml"/><Relationship Id="rId49" Type="http://schemas.openxmlformats.org/officeDocument/2006/relationships/image" Target="media/image21.png"/><Relationship Id="rId48" Type="http://schemas.openxmlformats.org/officeDocument/2006/relationships/image" Target="media/image20.png"/><Relationship Id="rId47" Type="http://schemas.openxmlformats.org/officeDocument/2006/relationships/image" Target="media/image19.png"/><Relationship Id="rId46" Type="http://schemas.openxmlformats.org/officeDocument/2006/relationships/image" Target="media/image18.png"/><Relationship Id="rId45" Type="http://schemas.openxmlformats.org/officeDocument/2006/relationships/image" Target="media/image17.png"/><Relationship Id="rId44" Type="http://schemas.openxmlformats.org/officeDocument/2006/relationships/image" Target="media/image16.png"/><Relationship Id="rId43" Type="http://schemas.openxmlformats.org/officeDocument/2006/relationships/image" Target="media/image15.png"/><Relationship Id="rId42" Type="http://schemas.openxmlformats.org/officeDocument/2006/relationships/image" Target="media/image14.png"/><Relationship Id="rId41" Type="http://schemas.openxmlformats.org/officeDocument/2006/relationships/image" Target="media/image13.png"/><Relationship Id="rId40" Type="http://schemas.openxmlformats.org/officeDocument/2006/relationships/image" Target="media/image12.png"/><Relationship Id="rId4" Type="http://schemas.openxmlformats.org/officeDocument/2006/relationships/header" Target="header2.xml"/><Relationship Id="rId39" Type="http://schemas.openxmlformats.org/officeDocument/2006/relationships/image" Target="media/image11.png"/><Relationship Id="rId38" Type="http://schemas.openxmlformats.org/officeDocument/2006/relationships/image" Target="media/image10.png"/><Relationship Id="rId37" Type="http://schemas.openxmlformats.org/officeDocument/2006/relationships/image" Target="media/image9.png"/><Relationship Id="rId36" Type="http://schemas.openxmlformats.org/officeDocument/2006/relationships/image" Target="media/image8.png"/><Relationship Id="rId35" Type="http://schemas.openxmlformats.org/officeDocument/2006/relationships/image" Target="media/image7.png"/><Relationship Id="rId34" Type="http://schemas.openxmlformats.org/officeDocument/2006/relationships/image" Target="media/image6.png"/><Relationship Id="rId33" Type="http://schemas.openxmlformats.org/officeDocument/2006/relationships/image" Target="media/image5.png"/><Relationship Id="rId32" Type="http://schemas.openxmlformats.org/officeDocument/2006/relationships/image" Target="media/image4.png"/><Relationship Id="rId31" Type="http://schemas.openxmlformats.org/officeDocument/2006/relationships/image" Target="media/image3.png"/><Relationship Id="rId30" Type="http://schemas.openxmlformats.org/officeDocument/2006/relationships/image" Target="media/image2.png"/><Relationship Id="rId3" Type="http://schemas.openxmlformats.org/officeDocument/2006/relationships/header" Target="header1.xml"/><Relationship Id="rId29" Type="http://schemas.openxmlformats.org/officeDocument/2006/relationships/image" Target="media/image1.png"/><Relationship Id="rId28" Type="http://schemas.openxmlformats.org/officeDocument/2006/relationships/theme" Target="theme/theme1.xml"/><Relationship Id="rId27" Type="http://schemas.openxmlformats.org/officeDocument/2006/relationships/footer" Target="footer13.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3" Type="http://schemas.openxmlformats.org/officeDocument/2006/relationships/fontTable" Target="fontTable.xml"/><Relationship Id="rId122" Type="http://schemas.openxmlformats.org/officeDocument/2006/relationships/customXml" Target="../customXml/item2.xml"/><Relationship Id="rId121" Type="http://schemas.openxmlformats.org/officeDocument/2006/relationships/numbering" Target="numbering.xml"/><Relationship Id="rId120" Type="http://schemas.openxmlformats.org/officeDocument/2006/relationships/customXml" Target="../customXml/item1.xml"/><Relationship Id="rId12" Type="http://schemas.openxmlformats.org/officeDocument/2006/relationships/header" Target="header5.xml"/><Relationship Id="rId119" Type="http://schemas.openxmlformats.org/officeDocument/2006/relationships/image" Target="media/image91.png"/><Relationship Id="rId118" Type="http://schemas.openxmlformats.org/officeDocument/2006/relationships/image" Target="media/image90.png"/><Relationship Id="rId117" Type="http://schemas.openxmlformats.org/officeDocument/2006/relationships/image" Target="media/image89.png"/><Relationship Id="rId116" Type="http://schemas.openxmlformats.org/officeDocument/2006/relationships/image" Target="media/image88.png"/><Relationship Id="rId115" Type="http://schemas.openxmlformats.org/officeDocument/2006/relationships/image" Target="media/image87.png"/><Relationship Id="rId114" Type="http://schemas.openxmlformats.org/officeDocument/2006/relationships/image" Target="media/image86.png"/><Relationship Id="rId113" Type="http://schemas.openxmlformats.org/officeDocument/2006/relationships/image" Target="media/image85.png"/><Relationship Id="rId112" Type="http://schemas.openxmlformats.org/officeDocument/2006/relationships/image" Target="media/image84.png"/><Relationship Id="rId111" Type="http://schemas.openxmlformats.org/officeDocument/2006/relationships/image" Target="media/image83.png"/><Relationship Id="rId110" Type="http://schemas.openxmlformats.org/officeDocument/2006/relationships/image" Target="media/image82.png"/><Relationship Id="rId11" Type="http://schemas.openxmlformats.org/officeDocument/2006/relationships/footer" Target="footer5.xml"/><Relationship Id="rId109" Type="http://schemas.openxmlformats.org/officeDocument/2006/relationships/image" Target="media/image81.png"/><Relationship Id="rId108" Type="http://schemas.openxmlformats.org/officeDocument/2006/relationships/image" Target="media/image80.png"/><Relationship Id="rId107" Type="http://schemas.openxmlformats.org/officeDocument/2006/relationships/image" Target="media/image79.png"/><Relationship Id="rId106" Type="http://schemas.openxmlformats.org/officeDocument/2006/relationships/image" Target="media/image78.png"/><Relationship Id="rId105" Type="http://schemas.openxmlformats.org/officeDocument/2006/relationships/image" Target="media/image77.png"/><Relationship Id="rId104" Type="http://schemas.openxmlformats.org/officeDocument/2006/relationships/image" Target="media/image76.png"/><Relationship Id="rId103" Type="http://schemas.openxmlformats.org/officeDocument/2006/relationships/image" Target="media/image75.png"/><Relationship Id="rId102" Type="http://schemas.openxmlformats.org/officeDocument/2006/relationships/image" Target="media/image74.png"/><Relationship Id="rId101" Type="http://schemas.openxmlformats.org/officeDocument/2006/relationships/image" Target="media/image73.png"/><Relationship Id="rId100" Type="http://schemas.openxmlformats.org/officeDocument/2006/relationships/image" Target="media/image72.png"/><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72B4D-9256-4782-95A6-08916EF33AD5}">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136</Pages>
  <Words>67891</Words>
  <Characters>79516</Characters>
  <Lines>279</Lines>
  <Paragraphs>78</Paragraphs>
  <TotalTime>15</TotalTime>
  <ScaleCrop>false</ScaleCrop>
  <LinksUpToDate>false</LinksUpToDate>
  <CharactersWithSpaces>86220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2021-07-30T00:22:00Z</dcterms:created>
  <dc:creator>玥</dc:creator>
  <cp:lastModifiedBy>省房代理</cp:lastModifiedBy>
  <cp:lastPrinted>2024-08-08T12:44:00Z</cp:lastPrinted>
  <dcterms:modified xsi:type="dcterms:W3CDTF">2024-09-18T06:35:15Z</dcterms:modified>
  <dc:title>杭州市市民卡扩大发卡工程</dc:title>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773AB9DE3E814F1281E294A4A814C6DC_13</vt:lpwstr>
  </property>
</Properties>
</file>