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2CE5F">
      <w:pPr>
        <w:spacing w:line="360" w:lineRule="auto"/>
        <w:jc w:val="center"/>
        <w:rPr>
          <w:rFonts w:hint="eastAsia" w:ascii="宋体" w:hAnsi="宋体"/>
          <w:b/>
          <w:sz w:val="44"/>
          <w:szCs w:val="44"/>
          <w:lang w:val="en-US" w:eastAsia="zh-CN"/>
        </w:rPr>
      </w:pPr>
      <w:r>
        <w:rPr>
          <w:rFonts w:hint="eastAsia" w:ascii="宋体" w:hAnsi="宋体"/>
          <w:b/>
          <w:sz w:val="44"/>
          <w:szCs w:val="44"/>
          <w:lang w:val="en-US" w:eastAsia="zh-CN"/>
        </w:rPr>
        <w:t>2025年杭州嘉澍新材科技有限公司</w:t>
      </w:r>
    </w:p>
    <w:p w14:paraId="4BEEE7B1">
      <w:pPr>
        <w:spacing w:line="360" w:lineRule="auto"/>
        <w:jc w:val="center"/>
        <w:rPr>
          <w:rFonts w:ascii="宋体" w:hAnsi="宋体"/>
          <w:b/>
          <w:sz w:val="44"/>
          <w:szCs w:val="44"/>
        </w:rPr>
      </w:pPr>
      <w:r>
        <w:rPr>
          <w:rFonts w:hint="eastAsia" w:ascii="宋体" w:hAnsi="宋体"/>
          <w:b/>
          <w:sz w:val="44"/>
          <w:szCs w:val="44"/>
        </w:rPr>
        <w:t>食品级氢氧化钠溶液采购项目</w:t>
      </w:r>
    </w:p>
    <w:p w14:paraId="0268D908">
      <w:pPr>
        <w:spacing w:line="360" w:lineRule="auto"/>
        <w:jc w:val="center"/>
        <w:rPr>
          <w:rFonts w:ascii="宋体" w:hAnsi="宋体"/>
          <w:b/>
          <w:sz w:val="44"/>
          <w:szCs w:val="44"/>
        </w:rPr>
      </w:pPr>
    </w:p>
    <w:p w14:paraId="7959F572">
      <w:pPr>
        <w:spacing w:line="360" w:lineRule="auto"/>
        <w:rPr>
          <w:rFonts w:ascii="宋体" w:hAnsi="宋体"/>
          <w:b/>
          <w:sz w:val="52"/>
          <w:szCs w:val="52"/>
        </w:rPr>
      </w:pPr>
    </w:p>
    <w:p w14:paraId="299D9D55">
      <w:pPr>
        <w:spacing w:line="360" w:lineRule="auto"/>
        <w:rPr>
          <w:rFonts w:ascii="宋体" w:hAnsi="宋体"/>
          <w:b/>
          <w:sz w:val="52"/>
          <w:szCs w:val="52"/>
        </w:rPr>
      </w:pPr>
    </w:p>
    <w:p w14:paraId="6062ED04">
      <w:pPr>
        <w:spacing w:line="360" w:lineRule="auto"/>
        <w:jc w:val="center"/>
        <w:rPr>
          <w:rFonts w:ascii="宋体" w:hAnsi="宋体"/>
          <w:b/>
          <w:sz w:val="84"/>
          <w:szCs w:val="84"/>
        </w:rPr>
      </w:pPr>
      <w:r>
        <w:rPr>
          <w:rFonts w:hint="eastAsia" w:ascii="宋体" w:hAnsi="宋体"/>
          <w:b/>
          <w:sz w:val="84"/>
          <w:szCs w:val="84"/>
        </w:rPr>
        <w:t>招 标 文 件</w:t>
      </w:r>
    </w:p>
    <w:p w14:paraId="0C2F5E98">
      <w:pPr>
        <w:spacing w:line="360" w:lineRule="auto"/>
        <w:jc w:val="center"/>
        <w:rPr>
          <w:rFonts w:ascii="宋体" w:hAnsi="宋体"/>
          <w:b/>
          <w:sz w:val="36"/>
          <w:szCs w:val="36"/>
          <w:highlight w:val="none"/>
        </w:rPr>
      </w:pPr>
      <w:r>
        <w:rPr>
          <w:rFonts w:hint="eastAsia" w:ascii="宋体" w:hAnsi="宋体"/>
          <w:b/>
          <w:sz w:val="36"/>
          <w:szCs w:val="36"/>
          <w:highlight w:val="none"/>
        </w:rPr>
        <w:t>（项目编号：L3301100000004779003001）</w:t>
      </w:r>
    </w:p>
    <w:p w14:paraId="59030A25">
      <w:pPr>
        <w:spacing w:line="360" w:lineRule="auto"/>
        <w:jc w:val="center"/>
        <w:rPr>
          <w:rFonts w:ascii="宋体" w:hAnsi="宋体"/>
          <w:b/>
          <w:sz w:val="52"/>
          <w:szCs w:val="52"/>
        </w:rPr>
      </w:pPr>
    </w:p>
    <w:p w14:paraId="419EAEC9">
      <w:pPr>
        <w:spacing w:line="360" w:lineRule="auto"/>
        <w:rPr>
          <w:rFonts w:ascii="宋体" w:hAnsi="宋体"/>
          <w:b/>
          <w:sz w:val="52"/>
          <w:szCs w:val="52"/>
        </w:rPr>
      </w:pPr>
    </w:p>
    <w:p w14:paraId="1BC2E4CF">
      <w:pPr>
        <w:spacing w:line="360" w:lineRule="auto"/>
        <w:rPr>
          <w:rFonts w:ascii="宋体" w:hAnsi="宋体"/>
          <w:b/>
          <w:sz w:val="52"/>
          <w:szCs w:val="52"/>
        </w:rPr>
      </w:pPr>
    </w:p>
    <w:p w14:paraId="048AB110">
      <w:pPr>
        <w:adjustRightInd w:val="0"/>
        <w:snapToGrid w:val="0"/>
        <w:spacing w:line="360" w:lineRule="auto"/>
        <w:jc w:val="center"/>
        <w:rPr>
          <w:rFonts w:ascii="宋体" w:hAnsi="宋体"/>
          <w:b/>
          <w:sz w:val="36"/>
          <w:szCs w:val="36"/>
        </w:rPr>
      </w:pPr>
      <w:r>
        <w:rPr>
          <w:rFonts w:hint="eastAsia" w:ascii="宋体" w:hAnsi="宋体"/>
          <w:b/>
          <w:sz w:val="36"/>
          <w:szCs w:val="36"/>
        </w:rPr>
        <w:t>招标人：杭州嘉澍新材科技有限公司</w:t>
      </w:r>
    </w:p>
    <w:p w14:paraId="32781108">
      <w:pPr>
        <w:adjustRightInd w:val="0"/>
        <w:snapToGrid w:val="0"/>
        <w:spacing w:line="360" w:lineRule="auto"/>
        <w:rPr>
          <w:rFonts w:ascii="宋体" w:hAnsi="宋体"/>
          <w:b/>
          <w:sz w:val="36"/>
          <w:szCs w:val="36"/>
        </w:rPr>
      </w:pPr>
    </w:p>
    <w:p w14:paraId="7A7BFDF0">
      <w:pPr>
        <w:adjustRightInd w:val="0"/>
        <w:snapToGrid w:val="0"/>
        <w:spacing w:line="360" w:lineRule="auto"/>
        <w:jc w:val="center"/>
        <w:rPr>
          <w:rFonts w:ascii="宋体" w:hAnsi="宋体"/>
          <w:b/>
          <w:sz w:val="36"/>
          <w:szCs w:val="36"/>
        </w:rPr>
      </w:pPr>
      <w:r>
        <w:rPr>
          <w:rFonts w:hint="eastAsia" w:ascii="宋体" w:hAnsi="宋体"/>
          <w:b/>
          <w:sz w:val="36"/>
          <w:szCs w:val="36"/>
        </w:rPr>
        <w:t>招标代理机构：天阳建设管理有限公司</w:t>
      </w:r>
    </w:p>
    <w:p w14:paraId="014F3561">
      <w:pPr>
        <w:adjustRightInd w:val="0"/>
        <w:snapToGrid w:val="0"/>
        <w:spacing w:line="360" w:lineRule="auto"/>
        <w:rPr>
          <w:rFonts w:ascii="宋体" w:hAnsi="宋体"/>
          <w:bCs/>
          <w:sz w:val="28"/>
          <w:szCs w:val="28"/>
        </w:rPr>
      </w:pPr>
    </w:p>
    <w:p w14:paraId="7678F8D2">
      <w:pPr>
        <w:spacing w:before="100" w:beforeAutospacing="1" w:after="100" w:afterAutospacing="1" w:line="360" w:lineRule="auto"/>
        <w:jc w:val="center"/>
        <w:rPr>
          <w:rFonts w:hAnsi="宋体"/>
          <w:b/>
          <w:bCs/>
          <w:sz w:val="52"/>
          <w:szCs w:val="52"/>
        </w:r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r>
        <w:rPr>
          <w:rFonts w:hint="eastAsia" w:ascii="宋体" w:hAnsi="宋体"/>
          <w:b/>
          <w:sz w:val="36"/>
          <w:szCs w:val="36"/>
        </w:rPr>
        <w:t>月</w:t>
      </w:r>
    </w:p>
    <w:p w14:paraId="29297FC4">
      <w:pPr>
        <w:spacing w:line="360" w:lineRule="auto"/>
        <w:jc w:val="center"/>
        <w:rPr>
          <w:rFonts w:hint="eastAsia" w:ascii="宋体" w:hAnsi="宋体"/>
          <w:b/>
          <w:bCs/>
          <w:sz w:val="52"/>
          <w:szCs w:val="52"/>
        </w:rPr>
        <w:sectPr>
          <w:footerReference r:id="rId3" w:type="default"/>
          <w:pgSz w:w="11906" w:h="16838"/>
          <w:pgMar w:top="1531" w:right="1361" w:bottom="1531" w:left="1304" w:header="851" w:footer="601" w:gutter="0"/>
          <w:pgNumType w:fmt="numberInDash"/>
          <w:cols w:space="720" w:num="1"/>
          <w:docGrid w:type="lines" w:linePitch="312" w:charSpace="0"/>
        </w:sectPr>
      </w:pPr>
    </w:p>
    <w:p w14:paraId="0A2E77E6">
      <w:pPr>
        <w:spacing w:line="360" w:lineRule="auto"/>
        <w:jc w:val="center"/>
        <w:rPr>
          <w:rFonts w:ascii="宋体" w:hAnsi="宋体"/>
          <w:b/>
          <w:bCs/>
          <w:sz w:val="52"/>
          <w:szCs w:val="52"/>
        </w:rPr>
      </w:pPr>
      <w:r>
        <w:rPr>
          <w:rFonts w:hint="eastAsia" w:ascii="宋体" w:hAnsi="宋体"/>
          <w:b/>
          <w:bCs/>
          <w:sz w:val="52"/>
          <w:szCs w:val="52"/>
        </w:rPr>
        <w:t>目     录</w:t>
      </w:r>
    </w:p>
    <w:p w14:paraId="4557F9BA">
      <w:pPr>
        <w:pStyle w:val="19"/>
        <w:tabs>
          <w:tab w:val="right" w:leader="dot" w:pos="9231"/>
        </w:tabs>
        <w:spacing w:line="360" w:lineRule="auto"/>
        <w:rPr>
          <w:rFonts w:ascii="Calibri" w:hAnsi="Calibri"/>
          <w:kern w:val="2"/>
          <w:sz w:val="21"/>
        </w:rPr>
      </w:pPr>
      <w:r>
        <w:rPr>
          <w:rFonts w:ascii="宋体" w:hAnsi="宋体"/>
        </w:rPr>
        <w:fldChar w:fldCharType="begin"/>
      </w:r>
      <w:r>
        <w:rPr>
          <w:rFonts w:ascii="宋体" w:hAnsi="宋体"/>
        </w:rPr>
        <w:instrText xml:space="preserve"> TOC \o "1-1" \h \z \u </w:instrText>
      </w:r>
      <w:r>
        <w:rPr>
          <w:rFonts w:ascii="宋体" w:hAnsi="宋体"/>
        </w:rPr>
        <w:fldChar w:fldCharType="separate"/>
      </w:r>
      <w:r>
        <w:fldChar w:fldCharType="begin"/>
      </w:r>
      <w:r>
        <w:instrText xml:space="preserve">HYPERLINK  \l "_Toc118113113" </w:instrText>
      </w:r>
      <w:r>
        <w:fldChar w:fldCharType="separate"/>
      </w:r>
      <w:r>
        <w:rPr>
          <w:rStyle w:val="36"/>
          <w:rFonts w:hint="eastAsia"/>
        </w:rPr>
        <w:t>投标人注意事项</w:t>
      </w:r>
      <w:r>
        <w:tab/>
      </w:r>
      <w:r>
        <w:fldChar w:fldCharType="begin"/>
      </w:r>
      <w:r>
        <w:instrText xml:space="preserve"> PAGEREF _Toc118113113 \h </w:instrText>
      </w:r>
      <w:r>
        <w:fldChar w:fldCharType="separate"/>
      </w:r>
      <w:r>
        <w:t>- 3 -</w:t>
      </w:r>
      <w:r>
        <w:fldChar w:fldCharType="end"/>
      </w:r>
      <w:r>
        <w:fldChar w:fldCharType="end"/>
      </w:r>
    </w:p>
    <w:p w14:paraId="699E1AFA">
      <w:pPr>
        <w:pStyle w:val="19"/>
        <w:tabs>
          <w:tab w:val="right" w:leader="dot" w:pos="9231"/>
        </w:tabs>
        <w:spacing w:line="360" w:lineRule="auto"/>
        <w:rPr>
          <w:rFonts w:ascii="Calibri" w:hAnsi="Calibri"/>
          <w:kern w:val="2"/>
          <w:sz w:val="21"/>
        </w:rPr>
      </w:pPr>
      <w:r>
        <w:fldChar w:fldCharType="begin"/>
      </w:r>
      <w:r>
        <w:instrText xml:space="preserve">HYPERLINK  \l "_Toc118113114" </w:instrText>
      </w:r>
      <w:r>
        <w:fldChar w:fldCharType="separate"/>
      </w:r>
      <w:r>
        <w:rPr>
          <w:rStyle w:val="36"/>
          <w:rFonts w:hint="eastAsia"/>
        </w:rPr>
        <w:t>第一部分</w:t>
      </w:r>
      <w:r>
        <w:rPr>
          <w:rStyle w:val="36"/>
        </w:rPr>
        <w:t xml:space="preserve"> </w:t>
      </w:r>
      <w:r>
        <w:rPr>
          <w:rStyle w:val="36"/>
          <w:rFonts w:hint="eastAsia"/>
        </w:rPr>
        <w:t>招标公告</w:t>
      </w:r>
      <w:r>
        <w:tab/>
      </w:r>
      <w:r>
        <w:fldChar w:fldCharType="begin"/>
      </w:r>
      <w:r>
        <w:instrText xml:space="preserve"> PAGEREF _Toc118113114 \h </w:instrText>
      </w:r>
      <w:r>
        <w:fldChar w:fldCharType="separate"/>
      </w:r>
      <w:r>
        <w:t>- 4 -</w:t>
      </w:r>
      <w:r>
        <w:fldChar w:fldCharType="end"/>
      </w:r>
      <w:r>
        <w:fldChar w:fldCharType="end"/>
      </w:r>
    </w:p>
    <w:p w14:paraId="7FE44913">
      <w:pPr>
        <w:pStyle w:val="19"/>
        <w:tabs>
          <w:tab w:val="right" w:leader="dot" w:pos="9231"/>
        </w:tabs>
        <w:spacing w:line="360" w:lineRule="auto"/>
        <w:rPr>
          <w:rFonts w:ascii="Calibri" w:hAnsi="Calibri"/>
          <w:kern w:val="2"/>
          <w:sz w:val="21"/>
        </w:rPr>
      </w:pPr>
      <w:r>
        <w:fldChar w:fldCharType="begin"/>
      </w:r>
      <w:r>
        <w:instrText xml:space="preserve">HYPERLINK  \l "_Toc118113115" </w:instrText>
      </w:r>
      <w:r>
        <w:fldChar w:fldCharType="separate"/>
      </w:r>
      <w:r>
        <w:rPr>
          <w:rStyle w:val="36"/>
          <w:rFonts w:hint="eastAsia"/>
        </w:rPr>
        <w:t>第二部分</w:t>
      </w:r>
      <w:r>
        <w:rPr>
          <w:rStyle w:val="36"/>
        </w:rPr>
        <w:t xml:space="preserve"> </w:t>
      </w:r>
      <w:r>
        <w:rPr>
          <w:rStyle w:val="36"/>
          <w:rFonts w:hint="eastAsia"/>
        </w:rPr>
        <w:t>投标人须知</w:t>
      </w:r>
      <w:r>
        <w:tab/>
      </w:r>
      <w:r>
        <w:fldChar w:fldCharType="begin"/>
      </w:r>
      <w:r>
        <w:instrText xml:space="preserve"> PAGEREF _Toc118113115 \h </w:instrText>
      </w:r>
      <w:r>
        <w:fldChar w:fldCharType="separate"/>
      </w:r>
      <w:r>
        <w:t>- 8 -</w:t>
      </w:r>
      <w:r>
        <w:fldChar w:fldCharType="end"/>
      </w:r>
      <w:r>
        <w:fldChar w:fldCharType="end"/>
      </w:r>
    </w:p>
    <w:p w14:paraId="752B6D26">
      <w:pPr>
        <w:pStyle w:val="19"/>
        <w:tabs>
          <w:tab w:val="right" w:leader="dot" w:pos="9231"/>
        </w:tabs>
        <w:spacing w:line="360" w:lineRule="auto"/>
        <w:rPr>
          <w:rFonts w:ascii="Calibri" w:hAnsi="Calibri"/>
          <w:kern w:val="2"/>
          <w:sz w:val="21"/>
        </w:rPr>
      </w:pPr>
      <w:r>
        <w:fldChar w:fldCharType="begin"/>
      </w:r>
      <w:r>
        <w:instrText xml:space="preserve">HYPERLINK  \l "_Toc118113116" </w:instrText>
      </w:r>
      <w:r>
        <w:fldChar w:fldCharType="separate"/>
      </w:r>
      <w:r>
        <w:rPr>
          <w:rStyle w:val="36"/>
          <w:rFonts w:hint="eastAsia"/>
        </w:rPr>
        <w:t>第三部分</w:t>
      </w:r>
      <w:r>
        <w:rPr>
          <w:rStyle w:val="36"/>
        </w:rPr>
        <w:t xml:space="preserve"> </w:t>
      </w:r>
      <w:r>
        <w:rPr>
          <w:rStyle w:val="36"/>
          <w:rFonts w:hint="eastAsia"/>
        </w:rPr>
        <w:t>采购需求</w:t>
      </w:r>
      <w:r>
        <w:tab/>
      </w:r>
      <w:r>
        <w:fldChar w:fldCharType="begin"/>
      </w:r>
      <w:r>
        <w:instrText xml:space="preserve"> PAGEREF _Toc118113116 \h </w:instrText>
      </w:r>
      <w:r>
        <w:fldChar w:fldCharType="separate"/>
      </w:r>
      <w:r>
        <w:t>- 24 -</w:t>
      </w:r>
      <w:r>
        <w:fldChar w:fldCharType="end"/>
      </w:r>
      <w:r>
        <w:fldChar w:fldCharType="end"/>
      </w:r>
    </w:p>
    <w:p w14:paraId="559D1B17">
      <w:pPr>
        <w:pStyle w:val="19"/>
        <w:tabs>
          <w:tab w:val="right" w:leader="dot" w:pos="9231"/>
        </w:tabs>
        <w:spacing w:line="360" w:lineRule="auto"/>
        <w:rPr>
          <w:rFonts w:ascii="Calibri" w:hAnsi="Calibri"/>
          <w:kern w:val="2"/>
          <w:sz w:val="21"/>
        </w:rPr>
      </w:pPr>
      <w:r>
        <w:fldChar w:fldCharType="begin"/>
      </w:r>
      <w:r>
        <w:instrText xml:space="preserve">HYPERLINK  \l "_Toc118113117" </w:instrText>
      </w:r>
      <w:r>
        <w:fldChar w:fldCharType="separate"/>
      </w:r>
      <w:r>
        <w:rPr>
          <w:rStyle w:val="36"/>
          <w:rFonts w:hint="eastAsia"/>
        </w:rPr>
        <w:t>第四部分</w:t>
      </w:r>
      <w:r>
        <w:rPr>
          <w:rStyle w:val="36"/>
        </w:rPr>
        <w:t xml:space="preserve"> </w:t>
      </w:r>
      <w:r>
        <w:rPr>
          <w:rStyle w:val="36"/>
          <w:rFonts w:hint="eastAsia"/>
        </w:rPr>
        <w:t>合同样本</w:t>
      </w:r>
      <w:r>
        <w:tab/>
      </w:r>
      <w:r>
        <w:fldChar w:fldCharType="begin"/>
      </w:r>
      <w:r>
        <w:instrText xml:space="preserve"> PAGEREF _Toc118113117 \h </w:instrText>
      </w:r>
      <w:r>
        <w:fldChar w:fldCharType="separate"/>
      </w:r>
      <w:r>
        <w:t>- 26 -</w:t>
      </w:r>
      <w:r>
        <w:fldChar w:fldCharType="end"/>
      </w:r>
      <w:r>
        <w:fldChar w:fldCharType="end"/>
      </w:r>
    </w:p>
    <w:p w14:paraId="712A1955">
      <w:pPr>
        <w:pStyle w:val="19"/>
        <w:tabs>
          <w:tab w:val="right" w:leader="dot" w:pos="9231"/>
        </w:tabs>
        <w:spacing w:line="360" w:lineRule="auto"/>
        <w:rPr>
          <w:rFonts w:ascii="Calibri" w:hAnsi="Calibri"/>
          <w:kern w:val="2"/>
          <w:sz w:val="21"/>
        </w:rPr>
      </w:pPr>
      <w:r>
        <w:fldChar w:fldCharType="begin"/>
      </w:r>
      <w:r>
        <w:instrText xml:space="preserve">HYPERLINK  \l "_Toc118113118" </w:instrText>
      </w:r>
      <w:r>
        <w:fldChar w:fldCharType="separate"/>
      </w:r>
      <w:r>
        <w:rPr>
          <w:rStyle w:val="36"/>
          <w:rFonts w:hint="eastAsia"/>
        </w:rPr>
        <w:t>第五部分</w:t>
      </w:r>
      <w:r>
        <w:rPr>
          <w:rStyle w:val="36"/>
        </w:rPr>
        <w:t xml:space="preserve"> </w:t>
      </w:r>
      <w:r>
        <w:rPr>
          <w:rStyle w:val="36"/>
          <w:rFonts w:hint="eastAsia"/>
        </w:rPr>
        <w:t>入库承诺书</w:t>
      </w:r>
      <w:r>
        <w:tab/>
      </w:r>
      <w:r>
        <w:fldChar w:fldCharType="begin"/>
      </w:r>
      <w:r>
        <w:instrText xml:space="preserve"> PAGEREF _Toc118113118 \h </w:instrText>
      </w:r>
      <w:r>
        <w:fldChar w:fldCharType="separate"/>
      </w:r>
      <w:r>
        <w:t>- 32 -</w:t>
      </w:r>
      <w:r>
        <w:fldChar w:fldCharType="end"/>
      </w:r>
      <w:r>
        <w:fldChar w:fldCharType="end"/>
      </w:r>
    </w:p>
    <w:p w14:paraId="2F7EC91A">
      <w:pPr>
        <w:pStyle w:val="19"/>
        <w:tabs>
          <w:tab w:val="right" w:leader="dot" w:pos="9231"/>
        </w:tabs>
        <w:spacing w:line="360" w:lineRule="auto"/>
        <w:rPr>
          <w:rFonts w:ascii="Calibri" w:hAnsi="Calibri"/>
          <w:kern w:val="2"/>
          <w:sz w:val="21"/>
        </w:rPr>
      </w:pPr>
      <w:r>
        <w:fldChar w:fldCharType="begin"/>
      </w:r>
      <w:r>
        <w:instrText xml:space="preserve">HYPERLINK  \l "_Toc118113119" </w:instrText>
      </w:r>
      <w:r>
        <w:fldChar w:fldCharType="separate"/>
      </w:r>
      <w:r>
        <w:rPr>
          <w:rStyle w:val="36"/>
          <w:rFonts w:hint="eastAsia"/>
        </w:rPr>
        <w:t>第</w:t>
      </w:r>
      <w:r>
        <w:rPr>
          <w:rStyle w:val="36"/>
          <w:rFonts w:hint="eastAsia"/>
          <w:lang w:val="en-US" w:eastAsia="zh-CN"/>
        </w:rPr>
        <w:t>五</w:t>
      </w:r>
      <w:r>
        <w:rPr>
          <w:rStyle w:val="36"/>
          <w:rFonts w:hint="eastAsia"/>
        </w:rPr>
        <w:t>部分</w:t>
      </w:r>
      <w:r>
        <w:rPr>
          <w:rStyle w:val="36"/>
        </w:rPr>
        <w:t xml:space="preserve"> </w:t>
      </w:r>
      <w:r>
        <w:rPr>
          <w:rStyle w:val="36"/>
          <w:rFonts w:hint="eastAsia"/>
        </w:rPr>
        <w:t>投标文件格式</w:t>
      </w:r>
      <w:r>
        <w:tab/>
      </w:r>
      <w:r>
        <w:fldChar w:fldCharType="begin"/>
      </w:r>
      <w:r>
        <w:instrText xml:space="preserve"> PAGEREF _Toc118113119 \h </w:instrText>
      </w:r>
      <w:r>
        <w:fldChar w:fldCharType="separate"/>
      </w:r>
      <w:r>
        <w:t>- 33 -</w:t>
      </w:r>
      <w:r>
        <w:fldChar w:fldCharType="end"/>
      </w:r>
      <w:r>
        <w:fldChar w:fldCharType="end"/>
      </w:r>
    </w:p>
    <w:p w14:paraId="5D81B2FA">
      <w:pPr>
        <w:spacing w:line="360" w:lineRule="auto"/>
        <w:rPr>
          <w:rFonts w:ascii="宋体" w:hAnsi="宋体"/>
        </w:rPr>
      </w:pPr>
      <w:r>
        <w:rPr>
          <w:rFonts w:ascii="宋体" w:hAnsi="宋体"/>
          <w:kern w:val="0"/>
          <w:sz w:val="22"/>
        </w:rPr>
        <w:fldChar w:fldCharType="end"/>
      </w:r>
    </w:p>
    <w:p w14:paraId="73C93E0B">
      <w:pPr>
        <w:pStyle w:val="2"/>
        <w:spacing w:line="360" w:lineRule="auto"/>
        <w:jc w:val="center"/>
      </w:pPr>
      <w:bookmarkStart w:id="0" w:name="_Toc118113113"/>
      <w:r>
        <w:rPr>
          <w:rFonts w:hint="eastAsia"/>
        </w:rPr>
        <w:t>投标人注意事项</w:t>
      </w:r>
      <w:bookmarkEnd w:id="0"/>
    </w:p>
    <w:p w14:paraId="3579C844">
      <w:pPr>
        <w:spacing w:line="360" w:lineRule="auto"/>
        <w:ind w:firstLine="480" w:firstLineChars="200"/>
        <w:rPr>
          <w:rFonts w:ascii="宋体" w:hAnsi="宋体"/>
          <w:sz w:val="24"/>
          <w:szCs w:val="24"/>
        </w:rPr>
      </w:pPr>
      <w:r>
        <w:rPr>
          <w:rFonts w:hint="eastAsia" w:ascii="宋体" w:hAnsi="宋体"/>
          <w:sz w:val="24"/>
          <w:szCs w:val="24"/>
        </w:rPr>
        <w:t>一、投标人如发现招标文件存在含糊不清、相互矛盾、多种含义条款或是歧视性、排他性等不公正条款或其它违法违规内容时，为保证招标文件的修改留出充足时间，请在</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日16</w:t>
      </w:r>
      <w:r>
        <w:rPr>
          <w:rFonts w:hint="eastAsia" w:ascii="宋体" w:hAnsi="宋体"/>
          <w:sz w:val="24"/>
          <w:szCs w:val="24"/>
        </w:rPr>
        <w:t>:00时前向采购人或采购代理机构提交书面询问或递交书面质疑书，潜在投标人未按规定要求提出的，则视同认可招标文件。</w:t>
      </w:r>
    </w:p>
    <w:p w14:paraId="52D0F35F">
      <w:pPr>
        <w:spacing w:line="360" w:lineRule="auto"/>
        <w:ind w:firstLine="480" w:firstLineChars="200"/>
        <w:rPr>
          <w:rFonts w:ascii="宋体" w:hAnsi="宋体"/>
          <w:sz w:val="24"/>
          <w:szCs w:val="24"/>
        </w:rPr>
      </w:pPr>
      <w:r>
        <w:rPr>
          <w:rFonts w:hint="eastAsia" w:ascii="宋体" w:hAnsi="宋体"/>
          <w:sz w:val="24"/>
          <w:szCs w:val="24"/>
        </w:rPr>
        <w:t>二、投标人在制作投标前务必仔细阅读“第二部分 投标人须知”中的前附表、评标程序、被拒绝投标、无效投标、废标等条款及有关表格样张。</w:t>
      </w:r>
    </w:p>
    <w:p w14:paraId="11C4C3C6">
      <w:pPr>
        <w:spacing w:line="360" w:lineRule="auto"/>
        <w:ind w:firstLine="480" w:firstLineChars="200"/>
        <w:rPr>
          <w:rFonts w:ascii="宋体" w:hAnsi="宋体"/>
          <w:sz w:val="24"/>
          <w:szCs w:val="24"/>
        </w:rPr>
      </w:pPr>
      <w:r>
        <w:rPr>
          <w:rFonts w:hint="eastAsia" w:ascii="宋体" w:hAnsi="宋体"/>
          <w:sz w:val="24"/>
          <w:szCs w:val="24"/>
        </w:rPr>
        <w:t>三、如遇投标截止时间推迟、采购需求变动等，采购代理机构将会在网上发布更正公告（通知），请投标人及时关注原招标信息发布媒介。投标截止时间前，请投标人务必自行关注。投标人因上述原因导致投标失败的，责任自负。</w:t>
      </w:r>
    </w:p>
    <w:p w14:paraId="24C7E4BC">
      <w:pPr>
        <w:pStyle w:val="38"/>
        <w:spacing w:line="360" w:lineRule="auto"/>
      </w:pPr>
    </w:p>
    <w:p w14:paraId="3EF8E5D9">
      <w:pPr>
        <w:spacing w:line="360" w:lineRule="auto"/>
        <w:jc w:val="center"/>
        <w:rPr>
          <w:rFonts w:ascii="宋体" w:hAnsi="宋体"/>
          <w:b/>
          <w:sz w:val="44"/>
          <w:szCs w:val="44"/>
        </w:rPr>
        <w:sectPr>
          <w:pgSz w:w="11906" w:h="16838"/>
          <w:pgMar w:top="1531" w:right="1361" w:bottom="1531" w:left="1304" w:header="851" w:footer="601" w:gutter="0"/>
          <w:pgNumType w:fmt="numberInDash"/>
          <w:cols w:space="720" w:num="1"/>
          <w:docGrid w:type="lines" w:linePitch="312" w:charSpace="0"/>
        </w:sectPr>
      </w:pPr>
    </w:p>
    <w:p w14:paraId="54D2B87B">
      <w:pPr>
        <w:pStyle w:val="2"/>
        <w:spacing w:line="360" w:lineRule="auto"/>
        <w:jc w:val="center"/>
      </w:pPr>
      <w:bookmarkStart w:id="1" w:name="_Toc118113114"/>
      <w:r>
        <w:rPr>
          <w:rFonts w:hint="eastAsia"/>
        </w:rPr>
        <w:t>第一部分 招标公告</w:t>
      </w:r>
      <w:bookmarkEnd w:id="1"/>
    </w:p>
    <w:p w14:paraId="56DCEE23">
      <w:pPr>
        <w:spacing w:line="360" w:lineRule="auto"/>
        <w:ind w:firstLine="480" w:firstLineChars="200"/>
        <w:rPr>
          <w:rFonts w:ascii="宋体" w:hAnsi="宋体" w:cs="宋体"/>
          <w:sz w:val="24"/>
          <w:szCs w:val="24"/>
        </w:rPr>
      </w:pPr>
      <w:r>
        <w:rPr>
          <w:rFonts w:hint="eastAsia" w:ascii="宋体" w:hAnsi="宋体" w:cs="宋体"/>
          <w:sz w:val="24"/>
          <w:szCs w:val="24"/>
        </w:rPr>
        <w:t xml:space="preserve"> 因杭州余杭环境（水务）控股集团下属净水厂生产需要，现就</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杭州嘉澍新材科技有限公司</w:t>
      </w:r>
      <w:r>
        <w:rPr>
          <w:rFonts w:hint="eastAsia" w:ascii="宋体" w:hAnsi="宋体" w:cs="宋体"/>
          <w:sz w:val="24"/>
          <w:szCs w:val="24"/>
        </w:rPr>
        <w:t>食品级氢氧化钠溶液采购项目进行公开招标。欢迎符合要求并有能力完成本项目的投标人前来投标。</w:t>
      </w:r>
    </w:p>
    <w:p w14:paraId="40E9F0D9">
      <w:pPr>
        <w:spacing w:line="360" w:lineRule="auto"/>
        <w:ind w:firstLine="480" w:firstLineChars="200"/>
        <w:rPr>
          <w:rFonts w:hint="eastAsia" w:ascii="宋体" w:hAnsi="宋体" w:cs="宋体"/>
          <w:sz w:val="24"/>
          <w:szCs w:val="24"/>
        </w:rPr>
      </w:pPr>
      <w:r>
        <w:rPr>
          <w:rFonts w:hint="eastAsia" w:ascii="宋体" w:hAnsi="宋体" w:cs="宋体"/>
          <w:sz w:val="24"/>
          <w:szCs w:val="24"/>
        </w:rPr>
        <w:t>一、项目名称及编号：</w:t>
      </w: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sz w:val="24"/>
          <w:szCs w:val="24"/>
          <w:lang w:val="en-US" w:eastAsia="zh-CN"/>
        </w:rPr>
        <w:t>杭州嘉澍新材科技有限公司</w:t>
      </w:r>
      <w:r>
        <w:rPr>
          <w:rFonts w:hint="eastAsia" w:ascii="宋体" w:hAnsi="宋体" w:cs="宋体"/>
          <w:sz w:val="24"/>
          <w:szCs w:val="24"/>
        </w:rPr>
        <w:t>食品级氢氧化钠溶液采购项目（项目编号：</w:t>
      </w:r>
      <w:r>
        <w:rPr>
          <w:rFonts w:hint="eastAsia" w:ascii="宋体" w:hAnsi="宋体" w:eastAsia="宋体" w:cs="宋体"/>
          <w:i w:val="0"/>
          <w:iCs w:val="0"/>
          <w:caps w:val="0"/>
          <w:spacing w:val="0"/>
          <w:sz w:val="24"/>
          <w:szCs w:val="24"/>
          <w:shd w:val="clear"/>
        </w:rPr>
        <w:t>L3301100000004779003001</w:t>
      </w:r>
      <w:r>
        <w:rPr>
          <w:rFonts w:hint="eastAsia" w:ascii="宋体" w:hAnsi="宋体" w:cs="宋体"/>
          <w:sz w:val="24"/>
          <w:szCs w:val="24"/>
        </w:rPr>
        <w:t>）</w:t>
      </w:r>
    </w:p>
    <w:p w14:paraId="42D557F9">
      <w:pPr>
        <w:spacing w:line="360" w:lineRule="auto"/>
        <w:ind w:firstLine="480" w:firstLineChars="200"/>
        <w:rPr>
          <w:rFonts w:ascii="宋体" w:hAnsi="宋体" w:cs="宋体"/>
          <w:sz w:val="24"/>
          <w:szCs w:val="24"/>
        </w:rPr>
      </w:pPr>
      <w:r>
        <w:rPr>
          <w:rFonts w:hint="eastAsia" w:ascii="宋体" w:hAnsi="宋体" w:cs="宋体"/>
          <w:sz w:val="24"/>
          <w:szCs w:val="24"/>
        </w:rPr>
        <w:t>二、采购方式：公开招标</w:t>
      </w:r>
    </w:p>
    <w:p w14:paraId="37B47AEA">
      <w:pPr>
        <w:spacing w:line="360" w:lineRule="auto"/>
        <w:ind w:firstLine="480" w:firstLineChars="200"/>
        <w:rPr>
          <w:rFonts w:ascii="宋体" w:hAnsi="宋体" w:cs="宋体"/>
          <w:sz w:val="24"/>
          <w:szCs w:val="24"/>
        </w:rPr>
      </w:pPr>
      <w:r>
        <w:rPr>
          <w:rFonts w:hint="eastAsia" w:ascii="宋体" w:hAnsi="宋体" w:cs="宋体"/>
          <w:sz w:val="24"/>
          <w:szCs w:val="24"/>
        </w:rPr>
        <w:t>三、采购内容：食品级氢氧化钠溶液，</w:t>
      </w:r>
      <w:r>
        <w:rPr>
          <w:rFonts w:hint="eastAsia" w:ascii="宋体" w:hAnsi="宋体"/>
          <w:color w:val="auto"/>
          <w:sz w:val="24"/>
          <w:szCs w:val="24"/>
          <w:highlight w:val="none"/>
          <w:lang w:val="en-US" w:eastAsia="zh-CN"/>
        </w:rPr>
        <w:t>项目预算价为180.56万元。</w:t>
      </w:r>
      <w:r>
        <w:rPr>
          <w:rFonts w:hint="eastAsia" w:ascii="宋体" w:hAnsi="宋体" w:cs="宋体"/>
          <w:sz w:val="24"/>
          <w:szCs w:val="24"/>
          <w:highlight w:val="none"/>
        </w:rPr>
        <w:t>具体</w:t>
      </w:r>
      <w:r>
        <w:rPr>
          <w:rFonts w:hint="eastAsia" w:ascii="宋体" w:hAnsi="宋体" w:cs="宋体"/>
          <w:sz w:val="24"/>
          <w:szCs w:val="24"/>
        </w:rPr>
        <w:t>要求详见本招标文件“第三部分 采购需求”。</w:t>
      </w:r>
    </w:p>
    <w:p w14:paraId="50EEDC50">
      <w:pPr>
        <w:spacing w:line="360" w:lineRule="auto"/>
        <w:ind w:firstLine="480" w:firstLineChars="200"/>
        <w:rPr>
          <w:rFonts w:ascii="宋体" w:hAnsi="宋体"/>
          <w:sz w:val="24"/>
          <w:szCs w:val="24"/>
        </w:rPr>
      </w:pPr>
      <w:r>
        <w:rPr>
          <w:rFonts w:hint="eastAsia" w:ascii="宋体" w:hAnsi="宋体"/>
          <w:sz w:val="24"/>
          <w:szCs w:val="24"/>
        </w:rPr>
        <w:t>四、合格投标人的资格要求：</w:t>
      </w:r>
    </w:p>
    <w:p w14:paraId="4226B64A">
      <w:pPr>
        <w:spacing w:line="360" w:lineRule="auto"/>
        <w:ind w:left="479" w:leftChars="228"/>
        <w:rPr>
          <w:rFonts w:ascii="宋体" w:hAnsi="宋体"/>
          <w:sz w:val="24"/>
          <w:szCs w:val="24"/>
        </w:rPr>
      </w:pPr>
      <w:r>
        <w:rPr>
          <w:rFonts w:hint="eastAsia" w:ascii="宋体" w:hAnsi="宋体"/>
          <w:sz w:val="24"/>
          <w:szCs w:val="24"/>
        </w:rPr>
        <w:t>1、符合《中华人民共和国招标投标法》投标人资质要求相关规定且具有独立法人资格的投标产品生产</w:t>
      </w:r>
      <w:r>
        <w:rPr>
          <w:rFonts w:hint="eastAsia" w:ascii="宋体" w:hAnsi="宋体"/>
          <w:sz w:val="24"/>
          <w:szCs w:val="24"/>
          <w:lang w:val="en-US" w:eastAsia="zh-CN"/>
        </w:rPr>
        <w:t>商</w:t>
      </w:r>
      <w:r>
        <w:rPr>
          <w:rFonts w:hint="eastAsia" w:ascii="宋体" w:hAnsi="宋体"/>
          <w:sz w:val="24"/>
          <w:szCs w:val="24"/>
        </w:rPr>
        <w:t>或</w:t>
      </w:r>
      <w:r>
        <w:rPr>
          <w:rFonts w:hint="eastAsia" w:ascii="宋体" w:hAnsi="宋体"/>
          <w:sz w:val="24"/>
          <w:szCs w:val="24"/>
          <w:highlight w:val="none"/>
          <w:lang w:val="en-US" w:eastAsia="zh-CN"/>
        </w:rPr>
        <w:t>经销商</w:t>
      </w:r>
      <w:r>
        <w:rPr>
          <w:rFonts w:hint="eastAsia" w:ascii="宋体" w:hAnsi="宋体"/>
          <w:sz w:val="24"/>
          <w:szCs w:val="24"/>
          <w:highlight w:val="none"/>
        </w:rPr>
        <w:t>（</w:t>
      </w:r>
      <w:r>
        <w:rPr>
          <w:rFonts w:hint="eastAsia" w:ascii="宋体" w:hAnsi="宋体"/>
          <w:b w:val="0"/>
          <w:bCs w:val="0"/>
          <w:sz w:val="24"/>
          <w:szCs w:val="24"/>
        </w:rPr>
        <w:t>投标人若为</w:t>
      </w:r>
      <w:r>
        <w:rPr>
          <w:rFonts w:hint="eastAsia" w:ascii="宋体" w:hAnsi="宋体"/>
          <w:b w:val="0"/>
          <w:bCs w:val="0"/>
          <w:sz w:val="24"/>
          <w:szCs w:val="24"/>
          <w:lang w:val="en-US" w:eastAsia="zh-CN"/>
        </w:rPr>
        <w:t>经销商</w:t>
      </w:r>
      <w:r>
        <w:rPr>
          <w:rFonts w:hint="eastAsia" w:ascii="宋体" w:hAnsi="宋体"/>
          <w:b w:val="0"/>
          <w:bCs w:val="0"/>
          <w:sz w:val="24"/>
          <w:szCs w:val="24"/>
        </w:rPr>
        <w:t>，则必须提供投标产品</w:t>
      </w:r>
      <w:r>
        <w:rPr>
          <w:rFonts w:hint="eastAsia" w:ascii="宋体" w:hAnsi="宋体"/>
          <w:b w:val="0"/>
          <w:bCs w:val="0"/>
          <w:sz w:val="24"/>
          <w:szCs w:val="24"/>
          <w:lang w:val="en-US" w:eastAsia="zh-CN"/>
        </w:rPr>
        <w:t>生产商</w:t>
      </w:r>
      <w:r>
        <w:rPr>
          <w:rFonts w:hint="eastAsia" w:ascii="宋体" w:hAnsi="宋体"/>
          <w:b w:val="0"/>
          <w:bCs w:val="0"/>
          <w:sz w:val="24"/>
          <w:szCs w:val="24"/>
        </w:rPr>
        <w:t>针对本项目出具的唯一授权书原件</w:t>
      </w:r>
      <w:r>
        <w:rPr>
          <w:rFonts w:hint="eastAsia" w:ascii="宋体" w:hAnsi="宋体"/>
          <w:sz w:val="24"/>
          <w:szCs w:val="24"/>
        </w:rPr>
        <w:t>）。</w:t>
      </w:r>
    </w:p>
    <w:p w14:paraId="67505C47">
      <w:pPr>
        <w:spacing w:line="360" w:lineRule="auto"/>
        <w:ind w:left="479" w:leftChars="228"/>
        <w:rPr>
          <w:rFonts w:ascii="宋体" w:hAnsi="宋体" w:cs="宋体"/>
          <w:sz w:val="24"/>
          <w:szCs w:val="24"/>
        </w:rPr>
      </w:pPr>
      <w:r>
        <w:rPr>
          <w:rFonts w:hint="eastAsia" w:ascii="宋体" w:hAnsi="宋体" w:cs="宋体"/>
          <w:sz w:val="24"/>
          <w:szCs w:val="24"/>
        </w:rPr>
        <w:t xml:space="preserve">  （1）、具有独立承担民事责任的能力；</w:t>
      </w:r>
    </w:p>
    <w:p w14:paraId="646C7EC5">
      <w:pPr>
        <w:spacing w:line="360" w:lineRule="auto"/>
        <w:ind w:left="479" w:leftChars="228"/>
        <w:rPr>
          <w:rFonts w:ascii="宋体" w:hAnsi="宋体" w:cs="宋体"/>
          <w:sz w:val="24"/>
          <w:szCs w:val="24"/>
        </w:rPr>
      </w:pPr>
      <w:r>
        <w:rPr>
          <w:rFonts w:hint="eastAsia" w:ascii="宋体" w:hAnsi="宋体" w:cs="宋体"/>
          <w:sz w:val="24"/>
          <w:szCs w:val="24"/>
        </w:rPr>
        <w:t xml:space="preserve">  （2）、具有良好的商业信誉和健全的财务会计制度；</w:t>
      </w:r>
    </w:p>
    <w:p w14:paraId="1986E946">
      <w:pPr>
        <w:spacing w:line="360" w:lineRule="auto"/>
        <w:ind w:left="479" w:leftChars="228"/>
        <w:rPr>
          <w:rFonts w:ascii="宋体" w:hAnsi="宋体" w:cs="宋体"/>
          <w:sz w:val="24"/>
          <w:szCs w:val="24"/>
        </w:rPr>
      </w:pPr>
      <w:r>
        <w:rPr>
          <w:rFonts w:hint="eastAsia" w:ascii="宋体" w:hAnsi="宋体" w:cs="宋体"/>
          <w:sz w:val="24"/>
          <w:szCs w:val="24"/>
        </w:rPr>
        <w:t xml:space="preserve">  （3）、具有履行合同所必需的设备和专业技术能力；</w:t>
      </w:r>
    </w:p>
    <w:p w14:paraId="2050EC13">
      <w:pPr>
        <w:wordWrap/>
        <w:adjustRightInd/>
        <w:snapToGrid/>
        <w:spacing w:line="360" w:lineRule="auto"/>
        <w:ind w:left="479" w:leftChars="228" w:right="0"/>
        <w:textAlignment w:val="auto"/>
        <w:outlineLvl w:val="9"/>
        <w:rPr>
          <w:rFonts w:hint="eastAsia" w:ascii="宋体" w:hAnsi="宋体" w:cs="宋体"/>
          <w:sz w:val="24"/>
          <w:szCs w:val="24"/>
        </w:rPr>
      </w:pPr>
      <w:r>
        <w:rPr>
          <w:rFonts w:hint="eastAsia" w:ascii="宋体" w:hAnsi="宋体" w:cs="宋体"/>
          <w:sz w:val="24"/>
          <w:szCs w:val="24"/>
        </w:rPr>
        <w:t xml:space="preserve">  （4）、有依法缴纳税收和社会保障资金的良好记录；</w:t>
      </w:r>
    </w:p>
    <w:p w14:paraId="5C292260">
      <w:pPr>
        <w:pStyle w:val="38"/>
        <w:wordWrap/>
        <w:adjustRightInd/>
        <w:snapToGrid/>
        <w:spacing w:line="360" w:lineRule="auto"/>
        <w:ind w:right="0"/>
        <w:textAlignment w:val="auto"/>
        <w:outlineLvl w:val="9"/>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 xml:space="preserve">    2</w:t>
      </w:r>
      <w:r>
        <w:rPr>
          <w:rFonts w:hint="eastAsia" w:ascii="宋体" w:hAnsi="宋体" w:eastAsia="宋体" w:cs="Times New Roman"/>
          <w:kern w:val="2"/>
          <w:sz w:val="24"/>
          <w:szCs w:val="24"/>
          <w:lang w:val="en-US" w:eastAsia="zh-CN" w:bidi="ar-SA"/>
        </w:rPr>
        <w:t>、投标人</w:t>
      </w:r>
      <w:r>
        <w:rPr>
          <w:rFonts w:hint="eastAsia" w:cs="Times New Roman"/>
          <w:kern w:val="2"/>
          <w:sz w:val="24"/>
          <w:szCs w:val="24"/>
          <w:lang w:val="en-US" w:eastAsia="zh-CN" w:bidi="ar-SA"/>
        </w:rPr>
        <w:t>须同时</w:t>
      </w:r>
      <w:r>
        <w:rPr>
          <w:rFonts w:hint="eastAsia" w:ascii="宋体" w:hAnsi="宋体" w:eastAsia="宋体" w:cs="Times New Roman"/>
          <w:kern w:val="2"/>
          <w:sz w:val="24"/>
          <w:szCs w:val="24"/>
          <w:lang w:val="en-US" w:eastAsia="zh-CN" w:bidi="ar-SA"/>
        </w:rPr>
        <w:t>提供《危险化学品经营许可证》和产品生产厂家的《安全生产许可证》（许可、经营范围须涵盖</w:t>
      </w:r>
      <w:r>
        <w:rPr>
          <w:rFonts w:hint="eastAsia" w:cs="Times New Roman"/>
          <w:kern w:val="2"/>
          <w:sz w:val="24"/>
          <w:szCs w:val="24"/>
          <w:lang w:val="en-US" w:eastAsia="zh-CN" w:bidi="ar-SA"/>
        </w:rPr>
        <w:t>氢氧化钠</w:t>
      </w:r>
      <w:r>
        <w:rPr>
          <w:rFonts w:hint="eastAsia" w:ascii="宋体" w:hAnsi="宋体" w:eastAsia="宋体" w:cs="Times New Roman"/>
          <w:kern w:val="2"/>
          <w:sz w:val="24"/>
          <w:szCs w:val="24"/>
          <w:lang w:val="en-US" w:eastAsia="zh-CN" w:bidi="ar-SA"/>
        </w:rPr>
        <w:t>产品</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，相关复印件加盖公章；</w:t>
      </w:r>
    </w:p>
    <w:p w14:paraId="1EAF6E2D">
      <w:pPr>
        <w:pStyle w:val="38"/>
        <w:wordWrap/>
        <w:adjustRightInd/>
        <w:snapToGrid/>
        <w:spacing w:line="360" w:lineRule="auto"/>
        <w:ind w:right="0"/>
        <w:textAlignment w:val="auto"/>
        <w:outlineLvl w:val="9"/>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 xml:space="preserve">   3</w:t>
      </w:r>
      <w:r>
        <w:rPr>
          <w:rFonts w:hint="eastAsia" w:ascii="宋体" w:hAnsi="宋体" w:eastAsia="宋体" w:cs="Times New Roman"/>
          <w:kern w:val="2"/>
          <w:sz w:val="24"/>
          <w:szCs w:val="24"/>
          <w:lang w:val="en-US" w:eastAsia="zh-CN" w:bidi="ar-SA"/>
        </w:rPr>
        <w:t>、投标人应具有专业危化品运输资质或具有专业危化品运输资质的公司给予配套（提供</w:t>
      </w:r>
      <w:r>
        <w:rPr>
          <w:rFonts w:hint="eastAsia" w:cs="Times New Roman"/>
          <w:kern w:val="2"/>
          <w:sz w:val="24"/>
          <w:szCs w:val="24"/>
          <w:lang w:val="en-US" w:eastAsia="zh-CN" w:bidi="ar-SA"/>
        </w:rPr>
        <w:t>危险品道路运输经营许可证，</w:t>
      </w:r>
      <w:r>
        <w:rPr>
          <w:rFonts w:hint="eastAsia"/>
          <w:bCs/>
          <w:lang w:val="en-US"/>
        </w:rPr>
        <w:t>若租赁车辆需同时提供租赁合同</w:t>
      </w:r>
      <w:r>
        <w:rPr>
          <w:rFonts w:hint="eastAsia" w:ascii="宋体" w:hAnsi="宋体" w:eastAsia="宋体" w:cs="Times New Roman"/>
          <w:kern w:val="2"/>
          <w:sz w:val="24"/>
          <w:szCs w:val="24"/>
          <w:lang w:val="en-US" w:eastAsia="zh-CN" w:bidi="ar-SA"/>
        </w:rPr>
        <w:t>）</w:t>
      </w:r>
    </w:p>
    <w:p w14:paraId="30DB049A">
      <w:pPr>
        <w:wordWrap/>
        <w:adjustRightInd/>
        <w:snapToGrid/>
        <w:spacing w:line="360" w:lineRule="auto"/>
        <w:ind w:left="0" w:leftChars="0" w:right="0"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提供</w:t>
      </w:r>
      <w:r>
        <w:rPr>
          <w:rFonts w:hint="eastAsia" w:ascii="宋体" w:hAnsi="宋体" w:eastAsia="宋体" w:cs="Times New Roman"/>
          <w:kern w:val="2"/>
          <w:sz w:val="24"/>
          <w:szCs w:val="24"/>
          <w:lang w:val="en-US" w:eastAsia="zh-CN" w:bidi="ar-SA"/>
        </w:rPr>
        <w:t>投标产品涉水卫生许可批件或食品添加剂</w:t>
      </w:r>
      <w:r>
        <w:rPr>
          <w:rFonts w:hint="eastAsia" w:ascii="宋体" w:hAnsi="宋体" w:cs="Times New Roman"/>
          <w:kern w:val="2"/>
          <w:sz w:val="24"/>
          <w:szCs w:val="24"/>
          <w:lang w:val="en-US" w:eastAsia="zh-CN" w:bidi="ar-SA"/>
        </w:rPr>
        <w:t>生产许可证</w:t>
      </w:r>
      <w:r>
        <w:rPr>
          <w:rFonts w:hint="eastAsia" w:ascii="宋体" w:hAnsi="宋体" w:eastAsia="宋体" w:cs="Times New Roman"/>
          <w:kern w:val="2"/>
          <w:sz w:val="24"/>
          <w:szCs w:val="24"/>
          <w:lang w:val="en-US" w:eastAsia="zh-CN" w:bidi="ar-SA"/>
        </w:rPr>
        <w:t>（有效期内）。</w:t>
      </w:r>
    </w:p>
    <w:p w14:paraId="4C642F1F">
      <w:pPr>
        <w:shd w:val="clear" w:color="auto" w:fill="FFFFFF"/>
        <w:wordWrap/>
        <w:adjustRightInd/>
        <w:snapToGrid/>
        <w:spacing w:line="360" w:lineRule="auto"/>
        <w:ind w:left="0" w:leftChars="0" w:right="0" w:firstLine="480" w:firstLineChars="200"/>
        <w:textAlignment w:val="auto"/>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、本项目不接受联合体投标。</w:t>
      </w:r>
    </w:p>
    <w:p w14:paraId="6A1F0015">
      <w:pPr>
        <w:wordWrap/>
        <w:adjustRightInd/>
        <w:snapToGrid/>
        <w:spacing w:line="360" w:lineRule="auto"/>
        <w:ind w:left="0" w:leftChars="0" w:right="0" w:firstLine="470" w:firstLineChars="196"/>
        <w:textAlignment w:val="auto"/>
        <w:outlineLvl w:val="9"/>
        <w:rPr>
          <w:rFonts w:ascii="宋体" w:hAnsi="宋体" w:cs="宋体"/>
          <w:sz w:val="24"/>
          <w:szCs w:val="24"/>
        </w:rPr>
      </w:pPr>
      <w:r>
        <w:rPr>
          <w:rFonts w:hint="eastAsia" w:ascii="宋体" w:hAnsi="宋体" w:cs="宋体"/>
          <w:sz w:val="24"/>
          <w:szCs w:val="24"/>
        </w:rPr>
        <w:t>五、本项目无需报名。但在开标前需提供以下资料：</w:t>
      </w:r>
      <w:r>
        <w:rPr>
          <w:rFonts w:hint="eastAsia" w:ascii="宋体" w:hAnsi="宋体" w:cs="宋体"/>
          <w:b/>
          <w:kern w:val="0"/>
          <w:sz w:val="24"/>
          <w:szCs w:val="24"/>
        </w:rPr>
        <w:t xml:space="preserve">（本次招标不设立报名环节，采用资格后审。） </w:t>
      </w:r>
    </w:p>
    <w:p w14:paraId="55D68A5B">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1、企业法人营业执照、生产许可证复印件加盖公章；</w:t>
      </w:r>
    </w:p>
    <w:p w14:paraId="29629B23">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2、投标人若为代理商，则必须提供投标产品</w:t>
      </w:r>
      <w:r>
        <w:rPr>
          <w:rFonts w:hint="eastAsia" w:ascii="宋体" w:hAnsi="宋体" w:cs="宋体"/>
          <w:sz w:val="24"/>
          <w:szCs w:val="24"/>
          <w:lang w:val="en-US" w:eastAsia="zh-CN"/>
        </w:rPr>
        <w:t>生产商</w:t>
      </w:r>
      <w:r>
        <w:rPr>
          <w:rFonts w:hint="eastAsia" w:ascii="宋体" w:hAnsi="宋体" w:cs="宋体"/>
          <w:sz w:val="24"/>
          <w:szCs w:val="24"/>
        </w:rPr>
        <w:t>针对本项目出具的唯一授权书原件加盖公章</w:t>
      </w:r>
      <w:r>
        <w:rPr>
          <w:rFonts w:hint="eastAsia" w:ascii="宋体" w:hAnsi="宋体" w:cs="宋体"/>
          <w:sz w:val="24"/>
          <w:szCs w:val="24"/>
          <w:lang w:eastAsia="zh-CN"/>
        </w:rPr>
        <w:t>；</w:t>
      </w:r>
    </w:p>
    <w:p w14:paraId="3DB787E1">
      <w:pPr>
        <w:wordWrap/>
        <w:adjustRightInd/>
        <w:snapToGrid/>
        <w:spacing w:line="360" w:lineRule="auto"/>
        <w:ind w:left="0" w:leftChars="0" w:right="0" w:firstLine="480" w:firstLineChars="200"/>
        <w:textAlignment w:val="auto"/>
        <w:outlineLvl w:val="9"/>
        <w:rPr>
          <w:rFonts w:ascii="宋体" w:hAnsi="宋体" w:cs="宋体"/>
          <w:sz w:val="24"/>
          <w:szCs w:val="24"/>
        </w:rPr>
      </w:pPr>
      <w:r>
        <w:rPr>
          <w:rFonts w:hint="eastAsia" w:ascii="宋体" w:hAnsi="宋体" w:cs="宋体"/>
          <w:sz w:val="24"/>
          <w:szCs w:val="24"/>
        </w:rPr>
        <w:t>3、法定代表人授权委托书原件；</w:t>
      </w:r>
    </w:p>
    <w:p w14:paraId="12531E3B">
      <w:pPr>
        <w:wordWrap/>
        <w:adjustRightInd/>
        <w:snapToGrid/>
        <w:spacing w:line="360" w:lineRule="auto"/>
        <w:ind w:left="0" w:leftChars="0" w:right="0" w:firstLine="480" w:firstLineChars="200"/>
        <w:textAlignment w:val="auto"/>
        <w:outlineLvl w:val="9"/>
        <w:rPr>
          <w:rFonts w:hint="eastAsia" w:ascii="宋体" w:hAnsi="宋体" w:cs="宋体"/>
          <w:sz w:val="24"/>
          <w:szCs w:val="24"/>
        </w:rPr>
      </w:pPr>
      <w:r>
        <w:rPr>
          <w:rFonts w:hint="eastAsia" w:ascii="宋体" w:hAnsi="宋体" w:cs="宋体"/>
          <w:sz w:val="24"/>
          <w:szCs w:val="24"/>
        </w:rPr>
        <w:t>4、授权代表有效身份证件原件及其复印件加盖公章；</w:t>
      </w:r>
    </w:p>
    <w:p w14:paraId="54B68453">
      <w:pPr>
        <w:wordWrap/>
        <w:adjustRightInd/>
        <w:snapToGrid/>
        <w:spacing w:line="360" w:lineRule="auto"/>
        <w:ind w:left="0" w:leftChars="0" w:right="0" w:firstLine="480" w:firstLineChars="200"/>
        <w:textAlignment w:val="auto"/>
        <w:outlineLvl w:val="9"/>
        <w:rPr>
          <w:rFonts w:hint="eastAsia" w:ascii="宋体" w:hAnsi="宋体" w:cs="宋体"/>
          <w:sz w:val="24"/>
          <w:szCs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投标人</w:t>
      </w:r>
      <w:r>
        <w:rPr>
          <w:rFonts w:hint="eastAsia" w:cs="Times New Roman"/>
          <w:kern w:val="2"/>
          <w:sz w:val="24"/>
          <w:szCs w:val="24"/>
          <w:lang w:val="en-US" w:eastAsia="zh-CN" w:bidi="ar-SA"/>
        </w:rPr>
        <w:t>须同时</w:t>
      </w:r>
      <w:r>
        <w:rPr>
          <w:rFonts w:hint="eastAsia" w:ascii="宋体" w:hAnsi="宋体" w:eastAsia="宋体" w:cs="Times New Roman"/>
          <w:kern w:val="2"/>
          <w:sz w:val="24"/>
          <w:szCs w:val="24"/>
          <w:lang w:val="en-US" w:eastAsia="zh-CN" w:bidi="ar-SA"/>
        </w:rPr>
        <w:t>提供《危险化学品经营许可证》和产品生产厂家的《安全生产许可证》（许可、经营范围须涵盖</w:t>
      </w:r>
      <w:r>
        <w:rPr>
          <w:rFonts w:hint="eastAsia" w:cs="Times New Roman"/>
          <w:kern w:val="2"/>
          <w:sz w:val="24"/>
          <w:szCs w:val="24"/>
          <w:lang w:val="en-US" w:eastAsia="zh-CN" w:bidi="ar-SA"/>
        </w:rPr>
        <w:t>氢氧化钠</w:t>
      </w:r>
      <w:r>
        <w:rPr>
          <w:rFonts w:hint="eastAsia" w:ascii="宋体" w:hAnsi="宋体" w:eastAsia="宋体" w:cs="Times New Roman"/>
          <w:kern w:val="2"/>
          <w:sz w:val="24"/>
          <w:szCs w:val="24"/>
          <w:lang w:val="en-US" w:eastAsia="zh-CN" w:bidi="ar-SA"/>
        </w:rPr>
        <w:t>产品</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，相关复印件加盖公章；</w:t>
      </w:r>
    </w:p>
    <w:p w14:paraId="7B6CD746">
      <w:pPr>
        <w:pStyle w:val="38"/>
        <w:spacing w:line="360" w:lineRule="auto"/>
        <w:ind w:firstLine="480" w:firstLineChars="200"/>
        <w:rPr>
          <w:rFonts w:hint="eastAsia"/>
        </w:rPr>
      </w:pPr>
      <w:r>
        <w:rPr>
          <w:rFonts w:hint="eastAsia"/>
          <w:bCs/>
          <w:lang w:val="en-US"/>
        </w:rPr>
        <w:t>6、</w:t>
      </w:r>
      <w:r>
        <w:rPr>
          <w:rFonts w:hint="eastAsia" w:ascii="宋体" w:hAnsi="宋体" w:eastAsia="宋体" w:cs="Times New Roman"/>
          <w:kern w:val="2"/>
          <w:sz w:val="24"/>
          <w:szCs w:val="24"/>
          <w:lang w:val="en-US" w:eastAsia="zh-CN" w:bidi="ar-SA"/>
        </w:rPr>
        <w:t>投标人应具有专业危化品运输资质或具有专业危化品运输资质的公司给予配套（提供</w:t>
      </w:r>
      <w:r>
        <w:rPr>
          <w:rFonts w:hint="eastAsia" w:cs="Times New Roman"/>
          <w:kern w:val="2"/>
          <w:sz w:val="24"/>
          <w:szCs w:val="24"/>
          <w:lang w:val="en-US" w:eastAsia="zh-CN" w:bidi="ar-SA"/>
        </w:rPr>
        <w:t>危险品道路运输营业许可证，</w:t>
      </w:r>
      <w:r>
        <w:rPr>
          <w:rFonts w:hint="eastAsia"/>
          <w:bCs/>
          <w:lang w:val="en-US"/>
        </w:rPr>
        <w:t>若租赁车辆需同时提供租赁合同</w:t>
      </w:r>
      <w:r>
        <w:rPr>
          <w:rFonts w:hint="eastAsia" w:ascii="宋体" w:hAnsi="宋体" w:eastAsia="宋体" w:cs="Times New Roman"/>
          <w:kern w:val="2"/>
          <w:sz w:val="24"/>
          <w:szCs w:val="24"/>
          <w:lang w:val="en-US" w:eastAsia="zh-CN" w:bidi="ar-SA"/>
        </w:rPr>
        <w:t>）</w:t>
      </w:r>
    </w:p>
    <w:p w14:paraId="0CC87D5C">
      <w:pPr>
        <w:pStyle w:val="38"/>
        <w:wordWrap/>
        <w:adjustRightInd/>
        <w:snapToGrid/>
        <w:spacing w:line="360" w:lineRule="auto"/>
        <w:ind w:left="0" w:leftChars="0" w:right="0" w:firstLine="480" w:firstLineChars="200"/>
        <w:textAlignment w:val="auto"/>
        <w:outlineLvl w:val="9"/>
        <w:rPr>
          <w:rFonts w:hint="eastAsia" w:eastAsia="宋体"/>
          <w:bCs/>
          <w:lang w:val="en-US" w:eastAsia="zh-CN"/>
        </w:rPr>
      </w:pPr>
      <w:r>
        <w:rPr>
          <w:rFonts w:hint="eastAsia"/>
          <w:bCs/>
          <w:lang w:val="en-US" w:eastAsia="zh-CN"/>
        </w:rPr>
        <w:t>7、</w:t>
      </w:r>
      <w:r>
        <w:rPr>
          <w:rFonts w:hint="eastAsia" w:ascii="宋体" w:hAnsi="宋体" w:eastAsia="宋体" w:cs="Times New Roman"/>
          <w:kern w:val="2"/>
          <w:sz w:val="24"/>
          <w:szCs w:val="24"/>
          <w:lang w:val="en-US" w:eastAsia="zh-CN" w:bidi="ar-SA"/>
        </w:rPr>
        <w:t>投标产品涉水卫生许可批件或食品添加剂</w:t>
      </w:r>
      <w:r>
        <w:rPr>
          <w:rFonts w:hint="eastAsia" w:ascii="宋体" w:hAnsi="宋体" w:cs="Times New Roman"/>
          <w:kern w:val="2"/>
          <w:sz w:val="24"/>
          <w:szCs w:val="24"/>
          <w:lang w:val="en-US" w:eastAsia="zh-CN" w:bidi="ar-SA"/>
        </w:rPr>
        <w:t>生产许可证</w:t>
      </w:r>
      <w:r>
        <w:rPr>
          <w:rFonts w:hint="eastAsia" w:ascii="宋体" w:hAnsi="宋体" w:eastAsia="宋体" w:cs="Times New Roman"/>
          <w:kern w:val="2"/>
          <w:sz w:val="24"/>
          <w:szCs w:val="24"/>
          <w:lang w:val="en-US" w:eastAsia="zh-CN" w:bidi="ar-SA"/>
        </w:rPr>
        <w:t>（有效期内）</w:t>
      </w:r>
      <w:r>
        <w:rPr>
          <w:rFonts w:hint="eastAsia" w:cs="Times New Roman"/>
          <w:kern w:val="2"/>
          <w:sz w:val="24"/>
          <w:szCs w:val="24"/>
          <w:lang w:val="en-US" w:eastAsia="zh-CN" w:bidi="ar-SA"/>
        </w:rPr>
        <w:t>。</w:t>
      </w:r>
    </w:p>
    <w:p w14:paraId="2F31C2E6">
      <w:pPr>
        <w:spacing w:line="360" w:lineRule="auto"/>
        <w:ind w:firstLine="480" w:firstLineChars="200"/>
        <w:rPr>
          <w:rFonts w:ascii="宋体" w:hAnsi="宋体" w:cs="宋体"/>
          <w:sz w:val="24"/>
          <w:szCs w:val="24"/>
        </w:rPr>
      </w:pPr>
      <w:r>
        <w:rPr>
          <w:rFonts w:hint="eastAsia" w:ascii="宋体" w:hAnsi="宋体" w:cs="宋体"/>
          <w:sz w:val="24"/>
          <w:szCs w:val="24"/>
        </w:rPr>
        <w:t>本项目投标人的资格仍需接受评标委员会审查。投标人应在投标文件中按招标文件的规定和要求附上所有的资格证明文件，要求提供的复印件必须加盖单位公章。</w:t>
      </w:r>
    </w:p>
    <w:p w14:paraId="063313AA">
      <w:pPr>
        <w:widowControl/>
        <w:autoSpaceDE w:val="0"/>
        <w:autoSpaceDN w:val="0"/>
        <w:adjustRightInd w:val="0"/>
        <w:spacing w:line="360" w:lineRule="auto"/>
        <w:jc w:val="left"/>
        <w:rPr>
          <w:rFonts w:ascii="宋体" w:hAnsi="宋体" w:cs="宋体"/>
          <w:sz w:val="24"/>
          <w:szCs w:val="24"/>
        </w:rPr>
      </w:pPr>
      <w:r>
        <w:rPr>
          <w:rFonts w:hint="eastAsia" w:ascii="宋体" w:hAnsi="宋体" w:cs="宋体"/>
          <w:b/>
          <w:color w:val="000000"/>
          <w:kern w:val="0"/>
          <w:sz w:val="24"/>
          <w:szCs w:val="24"/>
        </w:rPr>
        <w:t xml:space="preserve">    </w:t>
      </w:r>
      <w:r>
        <w:rPr>
          <w:rFonts w:hint="eastAsia" w:ascii="宋体" w:hAnsi="宋体" w:cs="宋体"/>
          <w:b/>
          <w:color w:val="000000"/>
          <w:kern w:val="0"/>
          <w:sz w:val="24"/>
          <w:szCs w:val="24"/>
          <w:lang w:eastAsia="zh-CN"/>
        </w:rPr>
        <w:t>六</w:t>
      </w:r>
      <w:r>
        <w:rPr>
          <w:rFonts w:hint="eastAsia" w:ascii="宋体" w:hAnsi="宋体" w:cs="宋体"/>
          <w:b/>
          <w:color w:val="000000"/>
          <w:kern w:val="0"/>
          <w:sz w:val="24"/>
          <w:szCs w:val="24"/>
        </w:rPr>
        <w:t xml:space="preserve">、招标文件的获取 </w:t>
      </w:r>
    </w:p>
    <w:p w14:paraId="21A52840">
      <w:pPr>
        <w:spacing w:line="360" w:lineRule="auto"/>
        <w:ind w:firstLine="480" w:firstLineChars="200"/>
        <w:rPr>
          <w:rFonts w:hint="eastAsia" w:ascii="宋体" w:hAnsi="宋体" w:cs="宋体"/>
          <w:sz w:val="24"/>
          <w:szCs w:val="24"/>
        </w:rPr>
      </w:pPr>
      <w:r>
        <w:rPr>
          <w:rFonts w:hint="eastAsia" w:ascii="宋体" w:hAnsi="宋体" w:cs="宋体"/>
          <w:color w:val="000000"/>
          <w:kern w:val="0"/>
          <w:sz w:val="24"/>
          <w:szCs w:val="24"/>
        </w:rPr>
        <w:t>1、本项目招标文件（含图纸）和补充（答疑、澄清）、修改文件以网上</w:t>
      </w:r>
      <w:r>
        <w:rPr>
          <w:rFonts w:hint="eastAsia"/>
          <w:color w:val="000000"/>
          <w:sz w:val="24"/>
        </w:rPr>
        <w:t>“临平小额交易”</w:t>
      </w:r>
      <w:r>
        <w:rPr>
          <w:rFonts w:hint="eastAsia" w:ascii="宋体" w:hAnsi="宋体" w:cs="宋体"/>
          <w:sz w:val="24"/>
          <w:szCs w:val="24"/>
        </w:rPr>
        <w:t>http://home.qfpt.linping.gov.cn:18084/home</w:t>
      </w:r>
      <w:r>
        <w:rPr>
          <w:rFonts w:hint="eastAsia"/>
          <w:color w:val="000000"/>
          <w:sz w:val="24"/>
        </w:rPr>
        <w:t>小额交易招标公告栏</w:t>
      </w:r>
      <w:r>
        <w:rPr>
          <w:rFonts w:hint="eastAsia"/>
          <w:color w:val="000000"/>
          <w:sz w:val="24"/>
          <w:lang w:eastAsia="zh-CN"/>
        </w:rPr>
        <w:t>、</w:t>
      </w:r>
      <w:r>
        <w:rPr>
          <w:rFonts w:hint="eastAsia"/>
          <w:color w:val="000000"/>
          <w:sz w:val="24"/>
        </w:rPr>
        <w:t>“</w:t>
      </w:r>
      <w:r>
        <w:rPr>
          <w:rFonts w:hint="eastAsia"/>
          <w:color w:val="000000"/>
          <w:sz w:val="24"/>
          <w:lang w:eastAsia="zh-CN"/>
        </w:rPr>
        <w:t>临采云</w:t>
      </w:r>
      <w:r>
        <w:rPr>
          <w:rFonts w:hint="eastAsia"/>
          <w:color w:val="000000"/>
          <w:sz w:val="24"/>
        </w:rPr>
        <w:t>”</w:t>
      </w:r>
      <w:r>
        <w:rPr>
          <w:rFonts w:hint="eastAsia" w:ascii="宋体" w:hAnsi="宋体" w:cs="宋体"/>
          <w:sz w:val="24"/>
          <w:szCs w:val="24"/>
          <w:lang w:eastAsia="zh-CN"/>
        </w:rPr>
        <w:t>https://lpnbsc.lecaiyun.com/</w:t>
      </w:r>
      <w:r>
        <w:rPr>
          <w:rFonts w:hint="eastAsia" w:ascii="宋体" w:hAnsi="宋体" w:cs="宋体"/>
          <w:sz w:val="24"/>
          <w:szCs w:val="24"/>
        </w:rPr>
        <w:t xml:space="preserve">；下载方式发放。 </w:t>
      </w:r>
    </w:p>
    <w:p w14:paraId="34C6D389">
      <w:pPr>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 xml:space="preserve"> 2、招标文件下载网址：潜在投标人登录</w:t>
      </w:r>
      <w:r>
        <w:rPr>
          <w:rFonts w:hint="eastAsia"/>
          <w:color w:val="000000"/>
          <w:sz w:val="24"/>
        </w:rPr>
        <w:t>“临平小额交易”</w:t>
      </w:r>
      <w:r>
        <w:rPr>
          <w:rFonts w:hint="eastAsia" w:ascii="宋体" w:hAnsi="宋体" w:cs="宋体"/>
          <w:sz w:val="24"/>
          <w:szCs w:val="24"/>
        </w:rPr>
        <w:t>http://home.qfpt.linping.gov.cn:18084/home</w:t>
      </w:r>
      <w:r>
        <w:rPr>
          <w:rFonts w:hint="eastAsia"/>
          <w:color w:val="000000"/>
          <w:sz w:val="24"/>
        </w:rPr>
        <w:t>小额交易招标公告栏</w:t>
      </w:r>
      <w:r>
        <w:rPr>
          <w:rFonts w:hint="eastAsia"/>
          <w:color w:val="000000"/>
          <w:sz w:val="24"/>
          <w:lang w:eastAsia="zh-CN"/>
        </w:rPr>
        <w:t>、</w:t>
      </w:r>
      <w:r>
        <w:rPr>
          <w:rFonts w:hint="eastAsia"/>
          <w:color w:val="000000"/>
          <w:sz w:val="24"/>
        </w:rPr>
        <w:t>“</w:t>
      </w:r>
      <w:r>
        <w:rPr>
          <w:rFonts w:hint="eastAsia"/>
          <w:color w:val="000000"/>
          <w:sz w:val="24"/>
          <w:lang w:eastAsia="zh-CN"/>
        </w:rPr>
        <w:t>临采云</w:t>
      </w:r>
      <w:r>
        <w:rPr>
          <w:rFonts w:hint="eastAsia"/>
          <w:color w:val="000000"/>
          <w:sz w:val="24"/>
        </w:rPr>
        <w:t>”</w:t>
      </w:r>
      <w:r>
        <w:rPr>
          <w:rFonts w:hint="eastAsia" w:ascii="宋体" w:hAnsi="宋体" w:cs="宋体"/>
          <w:sz w:val="24"/>
          <w:szCs w:val="24"/>
          <w:lang w:eastAsia="zh-CN"/>
        </w:rPr>
        <w:t>https://lpnbsc.lecaiyun.com/</w:t>
      </w:r>
      <w:r>
        <w:rPr>
          <w:rFonts w:hint="eastAsia"/>
          <w:color w:val="000000"/>
          <w:sz w:val="24"/>
        </w:rPr>
        <w:t>；</w:t>
      </w:r>
      <w:r>
        <w:rPr>
          <w:rFonts w:hint="eastAsia" w:ascii="宋体" w:hAnsi="宋体" w:cs="宋体"/>
          <w:color w:val="000000"/>
          <w:kern w:val="0"/>
          <w:sz w:val="24"/>
          <w:szCs w:val="24"/>
        </w:rPr>
        <w:t>自行下载招标文件。</w:t>
      </w:r>
    </w:p>
    <w:p w14:paraId="7A6A66B7">
      <w:pPr>
        <w:widowControl/>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 xml:space="preserve">3、招标文件网上下载时间：公告发布之日起至投标文件递交截止时间。 </w:t>
      </w:r>
    </w:p>
    <w:p w14:paraId="4B80C754">
      <w:pPr>
        <w:pStyle w:val="57"/>
        <w:spacing w:line="360" w:lineRule="auto"/>
        <w:rPr>
          <w:rFonts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、投标截止时间与地点（逾期送达或未密封将予以拒收）：</w:t>
      </w:r>
    </w:p>
    <w:p w14:paraId="0F3A284E">
      <w:pPr>
        <w:adjustRightInd w:val="0"/>
        <w:snapToGrid w:val="0"/>
        <w:spacing w:line="360" w:lineRule="auto"/>
        <w:ind w:firstLine="480" w:firstLineChars="200"/>
        <w:rPr>
          <w:rFonts w:ascii="宋体" w:hAnsi="宋体" w:cs="宋体"/>
          <w:sz w:val="24"/>
          <w:szCs w:val="24"/>
          <w:highlight w:val="none"/>
        </w:rPr>
      </w:pPr>
      <w:bookmarkStart w:id="2" w:name="bidEndDate"/>
      <w:bookmarkEnd w:id="2"/>
      <w:bookmarkStart w:id="3" w:name="openAdd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日9时</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0</w:t>
      </w:r>
      <w:r>
        <w:rPr>
          <w:rFonts w:hint="eastAsia" w:ascii="宋体" w:hAnsi="宋体" w:cs="宋体"/>
          <w:sz w:val="24"/>
          <w:szCs w:val="24"/>
          <w:highlight w:val="none"/>
        </w:rPr>
        <w:t>分</w:t>
      </w:r>
      <w:r>
        <w:rPr>
          <w:rFonts w:hint="eastAsia" w:ascii="宋体" w:hAnsi="宋体" w:cs="宋体"/>
          <w:sz w:val="24"/>
          <w:szCs w:val="24"/>
          <w:highlight w:val="none"/>
          <w:lang w:val="en-US" w:eastAsia="zh-CN"/>
        </w:rPr>
        <w:t>00秒</w:t>
      </w:r>
      <w:r>
        <w:rPr>
          <w:rFonts w:hint="eastAsia" w:ascii="宋体" w:hAnsi="宋体" w:cs="宋体"/>
          <w:sz w:val="24"/>
          <w:szCs w:val="24"/>
          <w:highlight w:val="none"/>
        </w:rPr>
        <w:t>，</w:t>
      </w:r>
      <w:bookmarkEnd w:id="3"/>
      <w:r>
        <w:rPr>
          <w:rFonts w:hint="eastAsia" w:ascii="宋体" w:hAnsi="宋体" w:eastAsia="宋体" w:cs="宋体"/>
          <w:color w:val="000000"/>
          <w:sz w:val="24"/>
          <w:highlight w:val="none"/>
          <w:lang w:val="en-US" w:eastAsia="zh-CN"/>
        </w:rPr>
        <w:t>杭州嘉澍建设工程有限公司六楼会议室（杭州市临平区临平街道五洲路211号）</w:t>
      </w:r>
      <w:r>
        <w:rPr>
          <w:rFonts w:hint="eastAsia" w:ascii="宋体" w:hAnsi="宋体" w:cs="宋体"/>
          <w:sz w:val="24"/>
          <w:szCs w:val="24"/>
          <w:highlight w:val="none"/>
        </w:rPr>
        <w:t>。</w:t>
      </w:r>
    </w:p>
    <w:p w14:paraId="062BD55B">
      <w:pPr>
        <w:adjustRightInd w:val="0"/>
        <w:snapToGrid w:val="0"/>
        <w:spacing w:line="360" w:lineRule="auto"/>
        <w:rPr>
          <w:rFonts w:ascii="宋体" w:hAnsi="宋体" w:cs="宋体"/>
          <w:b/>
          <w:bCs/>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w:t>
      </w: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、开标时间与地点：</w:t>
      </w:r>
    </w:p>
    <w:p w14:paraId="194074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日9时</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0</w:t>
      </w:r>
      <w:r>
        <w:rPr>
          <w:rFonts w:hint="eastAsia" w:ascii="宋体" w:hAnsi="宋体" w:cs="宋体"/>
          <w:sz w:val="24"/>
          <w:szCs w:val="24"/>
          <w:highlight w:val="none"/>
        </w:rPr>
        <w:t>分</w:t>
      </w:r>
      <w:r>
        <w:rPr>
          <w:rFonts w:hint="eastAsia" w:ascii="宋体" w:hAnsi="宋体" w:cs="宋体"/>
          <w:sz w:val="24"/>
          <w:szCs w:val="24"/>
          <w:highlight w:val="none"/>
          <w:lang w:val="en-US" w:eastAsia="zh-CN"/>
        </w:rPr>
        <w:t>00秒</w:t>
      </w:r>
      <w:r>
        <w:rPr>
          <w:rFonts w:hint="eastAsia" w:ascii="宋体" w:hAnsi="宋体" w:cs="宋体"/>
          <w:sz w:val="24"/>
          <w:szCs w:val="24"/>
          <w:highlight w:val="none"/>
        </w:rPr>
        <w:t>，</w:t>
      </w:r>
      <w:r>
        <w:rPr>
          <w:rFonts w:hint="eastAsia" w:ascii="宋体" w:hAnsi="宋体" w:eastAsia="宋体" w:cs="宋体"/>
          <w:color w:val="000000"/>
          <w:sz w:val="24"/>
          <w:highlight w:val="none"/>
          <w:lang w:val="en-US" w:eastAsia="zh-CN"/>
        </w:rPr>
        <w:t>杭州嘉澍建设工程有限公司六楼会议室（杭州市临平区临平街道五洲路211号）</w:t>
      </w:r>
      <w:r>
        <w:rPr>
          <w:rFonts w:hint="eastAsia" w:ascii="宋体" w:hAnsi="宋体" w:cs="宋体"/>
          <w:sz w:val="24"/>
          <w:szCs w:val="24"/>
          <w:highlight w:val="none"/>
        </w:rPr>
        <w:t>。</w:t>
      </w:r>
    </w:p>
    <w:p w14:paraId="5F482912">
      <w:pPr>
        <w:spacing w:line="360" w:lineRule="auto"/>
        <w:rPr>
          <w:rFonts w:ascii="宋体" w:hAnsi="宋体" w:cs="宋体"/>
          <w:sz w:val="24"/>
          <w:szCs w:val="24"/>
        </w:rPr>
      </w:pPr>
      <w:r>
        <w:rPr>
          <w:rFonts w:hint="eastAsia" w:ascii="宋体" w:hAnsi="宋体" w:cs="宋体"/>
          <w:sz w:val="24"/>
          <w:szCs w:val="24"/>
        </w:rPr>
        <w:t>　　十、招标代理公司：天阳建设管理有限公司，地址：临平区南苑街道玩月街88号国贸中心十楼；联系人：</w:t>
      </w:r>
      <w:r>
        <w:rPr>
          <w:rFonts w:hint="eastAsia" w:ascii="宋体" w:hAnsi="宋体" w:cs="宋体"/>
          <w:sz w:val="24"/>
          <w:szCs w:val="24"/>
          <w:lang w:val="en-US" w:eastAsia="zh-CN"/>
        </w:rPr>
        <w:t>刘小庆</w:t>
      </w:r>
      <w:r>
        <w:rPr>
          <w:rFonts w:hint="eastAsia" w:ascii="宋体" w:hAnsi="宋体" w:cs="宋体"/>
          <w:sz w:val="24"/>
          <w:szCs w:val="24"/>
        </w:rPr>
        <w:t>；联系电话：0571-86235827</w:t>
      </w:r>
    </w:p>
    <w:p w14:paraId="3514FDC4">
      <w:pPr>
        <w:spacing w:line="360" w:lineRule="auto"/>
        <w:rPr>
          <w:rFonts w:ascii="宋体" w:hAnsi="宋体" w:cs="宋体"/>
          <w:sz w:val="24"/>
          <w:szCs w:val="24"/>
        </w:rPr>
      </w:pPr>
      <w:r>
        <w:rPr>
          <w:rFonts w:hint="eastAsia" w:ascii="宋体" w:hAnsi="宋体" w:cs="宋体"/>
          <w:sz w:val="24"/>
          <w:szCs w:val="24"/>
        </w:rPr>
        <w:t xml:space="preserve">    十</w:t>
      </w:r>
      <w:r>
        <w:rPr>
          <w:rFonts w:hint="eastAsia" w:ascii="宋体" w:hAnsi="宋体" w:cs="宋体"/>
          <w:sz w:val="24"/>
          <w:szCs w:val="24"/>
          <w:lang w:eastAsia="zh-CN"/>
        </w:rPr>
        <w:t>一</w:t>
      </w:r>
      <w:r>
        <w:rPr>
          <w:rFonts w:hint="eastAsia" w:ascii="宋体" w:hAnsi="宋体" w:cs="宋体"/>
          <w:sz w:val="24"/>
          <w:szCs w:val="24"/>
        </w:rPr>
        <w:t>、本次招标最终解释权属于招标人杭州嘉澍新材科技有限公司，招标人地址：浙江省杭州市临平区经济技术开发区红梅路1号；联系人：</w:t>
      </w:r>
      <w:r>
        <w:rPr>
          <w:rFonts w:hint="eastAsia" w:ascii="宋体" w:hAnsi="宋体" w:cs="宋体"/>
          <w:sz w:val="24"/>
          <w:szCs w:val="24"/>
          <w:lang w:val="en-US" w:eastAsia="zh-CN"/>
        </w:rPr>
        <w:t>郁志杰</w:t>
      </w:r>
      <w:r>
        <w:rPr>
          <w:rFonts w:hint="eastAsia" w:ascii="宋体" w:hAnsi="宋体" w:cs="宋体"/>
          <w:sz w:val="24"/>
          <w:szCs w:val="24"/>
          <w:lang w:eastAsia="zh-CN"/>
        </w:rPr>
        <w:t>；</w:t>
      </w:r>
      <w:r>
        <w:rPr>
          <w:rFonts w:hint="eastAsia" w:ascii="宋体" w:hAnsi="宋体" w:cs="宋体"/>
          <w:sz w:val="24"/>
          <w:szCs w:val="24"/>
        </w:rPr>
        <w:t>电话：0571-86169170</w:t>
      </w:r>
      <w:r>
        <w:rPr>
          <w:rFonts w:hint="eastAsia" w:ascii="宋体" w:hAnsi="宋体" w:cs="宋体"/>
          <w:sz w:val="24"/>
          <w:szCs w:val="24"/>
          <w:lang w:eastAsia="zh-CN"/>
        </w:rPr>
        <w:t>。</w:t>
      </w:r>
    </w:p>
    <w:p w14:paraId="7F5F05C1">
      <w:pPr>
        <w:spacing w:line="360" w:lineRule="auto"/>
        <w:jc w:val="left"/>
        <w:rPr>
          <w:rFonts w:ascii="宋体" w:hAnsi="宋体" w:cs="宋体"/>
          <w:sz w:val="24"/>
          <w:szCs w:val="24"/>
        </w:rPr>
      </w:pPr>
    </w:p>
    <w:p w14:paraId="0E0EC9AB">
      <w:pPr>
        <w:widowControl/>
        <w:spacing w:line="360" w:lineRule="auto"/>
        <w:ind w:firstLine="480" w:firstLineChars="200"/>
        <w:jc w:val="right"/>
        <w:rPr>
          <w:rFonts w:ascii="宋体" w:hAnsi="宋体" w:cs="宋体"/>
          <w:sz w:val="24"/>
          <w:szCs w:val="24"/>
        </w:rPr>
      </w:pPr>
      <w:r>
        <w:rPr>
          <w:rFonts w:hint="eastAsia" w:ascii="宋体" w:hAnsi="宋体" w:cs="宋体"/>
          <w:sz w:val="24"/>
          <w:szCs w:val="24"/>
        </w:rPr>
        <w:t>杭州嘉澍新材科技有限公司</w:t>
      </w:r>
    </w:p>
    <w:p w14:paraId="2FF600A0">
      <w:pPr>
        <w:wordWrap w:val="0"/>
        <w:spacing w:line="360" w:lineRule="auto"/>
        <w:jc w:val="right"/>
        <w:rPr>
          <w:rFonts w:ascii="宋体" w:hAnsi="宋体"/>
          <w:b/>
          <w:bCs/>
          <w:kern w:val="44"/>
          <w:sz w:val="44"/>
          <w:szCs w:val="4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r>
        <w:rPr>
          <w:rFonts w:hint="eastAsia" w:ascii="宋体" w:hAnsi="宋体"/>
          <w:sz w:val="24"/>
          <w:szCs w:val="24"/>
        </w:rPr>
        <w:t xml:space="preserve"> </w:t>
      </w:r>
    </w:p>
    <w:p w14:paraId="03E106C1">
      <w:pPr>
        <w:widowControl/>
        <w:snapToGrid w:val="0"/>
        <w:spacing w:before="122" w:line="360" w:lineRule="auto"/>
        <w:jc w:val="left"/>
        <w:rPr>
          <w:rFonts w:ascii="宋体" w:hAnsi="宋体" w:cs="宋体"/>
          <w:color w:val="000000"/>
          <w:sz w:val="24"/>
          <w:szCs w:val="24"/>
          <w:shd w:val="clear" w:color="auto" w:fill="FFFFFF"/>
        </w:rPr>
      </w:pPr>
    </w:p>
    <w:p w14:paraId="39E6D020">
      <w:pPr>
        <w:widowControl/>
        <w:snapToGrid w:val="0"/>
        <w:spacing w:before="122" w:line="360" w:lineRule="auto"/>
        <w:jc w:val="left"/>
        <w:rPr>
          <w:rFonts w:ascii="宋体" w:hAnsi="宋体" w:cs="宋体"/>
          <w:color w:val="000000"/>
          <w:sz w:val="24"/>
          <w:szCs w:val="24"/>
          <w:shd w:val="clear" w:color="auto" w:fill="FFFFFF"/>
        </w:rPr>
        <w:sectPr>
          <w:pgSz w:w="11906" w:h="16838"/>
          <w:pgMar w:top="1531" w:right="1361" w:bottom="1531" w:left="1304" w:header="851" w:footer="601" w:gutter="0"/>
          <w:pgNumType w:fmt="numberInDash"/>
          <w:cols w:space="720" w:num="1"/>
          <w:docGrid w:type="lines" w:linePitch="312" w:charSpace="0"/>
        </w:sectPr>
      </w:pPr>
    </w:p>
    <w:p w14:paraId="73F4E4DF">
      <w:pPr>
        <w:pStyle w:val="2"/>
        <w:spacing w:line="360" w:lineRule="auto"/>
        <w:jc w:val="center"/>
      </w:pPr>
      <w:bookmarkStart w:id="4" w:name="_Toc118113115"/>
      <w:r>
        <w:rPr>
          <w:rFonts w:hint="eastAsia"/>
        </w:rPr>
        <w:t>第二部分 投标人须知</w:t>
      </w:r>
      <w:bookmarkEnd w:id="4"/>
    </w:p>
    <w:p w14:paraId="4A7359CB">
      <w:pPr>
        <w:adjustRightInd w:val="0"/>
        <w:snapToGrid w:val="0"/>
        <w:spacing w:line="360" w:lineRule="auto"/>
        <w:jc w:val="center"/>
      </w:pPr>
      <w:r>
        <w:rPr>
          <w:rFonts w:hint="eastAsia" w:ascii="宋体" w:hAnsi="宋体"/>
          <w:b/>
          <w:bCs/>
          <w:sz w:val="28"/>
          <w:szCs w:val="28"/>
        </w:rPr>
        <w:t>前附表</w:t>
      </w:r>
    </w:p>
    <w:tbl>
      <w:tblPr>
        <w:tblStyle w:val="2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51"/>
        <w:gridCol w:w="7062"/>
      </w:tblGrid>
      <w:tr w14:paraId="4556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D780D34">
            <w:pPr>
              <w:spacing w:line="360" w:lineRule="auto"/>
              <w:jc w:val="center"/>
              <w:rPr>
                <w:rFonts w:ascii="宋体" w:hAnsi="宋体" w:cs="宋体"/>
                <w:sz w:val="24"/>
                <w:szCs w:val="24"/>
              </w:rPr>
            </w:pPr>
            <w:r>
              <w:rPr>
                <w:rFonts w:hint="eastAsia" w:ascii="宋体" w:hAnsi="宋体" w:cs="宋体"/>
                <w:sz w:val="24"/>
                <w:szCs w:val="24"/>
              </w:rPr>
              <w:t>序号</w:t>
            </w:r>
          </w:p>
        </w:tc>
        <w:tc>
          <w:tcPr>
            <w:tcW w:w="1651" w:type="dxa"/>
            <w:vAlign w:val="center"/>
          </w:tcPr>
          <w:p w14:paraId="59886BB1">
            <w:pPr>
              <w:spacing w:line="360" w:lineRule="auto"/>
              <w:jc w:val="center"/>
              <w:rPr>
                <w:rFonts w:ascii="宋体" w:hAnsi="宋体" w:cs="宋体"/>
                <w:sz w:val="24"/>
                <w:szCs w:val="24"/>
              </w:rPr>
            </w:pPr>
            <w:r>
              <w:rPr>
                <w:rFonts w:hint="eastAsia" w:ascii="宋体" w:hAnsi="宋体" w:cs="宋体"/>
                <w:sz w:val="24"/>
                <w:szCs w:val="24"/>
              </w:rPr>
              <w:t>名   目</w:t>
            </w:r>
          </w:p>
        </w:tc>
        <w:tc>
          <w:tcPr>
            <w:tcW w:w="7062" w:type="dxa"/>
            <w:tcBorders>
              <w:right w:val="single" w:color="auto" w:sz="12" w:space="0"/>
            </w:tcBorders>
            <w:vAlign w:val="center"/>
          </w:tcPr>
          <w:p w14:paraId="6A300E7E">
            <w:pPr>
              <w:spacing w:line="360" w:lineRule="auto"/>
              <w:jc w:val="center"/>
              <w:rPr>
                <w:rFonts w:ascii="宋体" w:hAnsi="宋体" w:cs="宋体"/>
                <w:sz w:val="24"/>
                <w:szCs w:val="24"/>
              </w:rPr>
            </w:pPr>
            <w:r>
              <w:rPr>
                <w:rFonts w:hint="eastAsia" w:ascii="宋体" w:hAnsi="宋体" w:cs="宋体"/>
                <w:sz w:val="24"/>
                <w:szCs w:val="24"/>
              </w:rPr>
              <w:t>内                 容</w:t>
            </w:r>
          </w:p>
        </w:tc>
      </w:tr>
      <w:tr w14:paraId="0084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7ED2C63">
            <w:pPr>
              <w:spacing w:line="360" w:lineRule="auto"/>
              <w:jc w:val="center"/>
              <w:rPr>
                <w:rFonts w:ascii="宋体" w:hAnsi="宋体" w:cs="宋体"/>
                <w:sz w:val="24"/>
                <w:szCs w:val="24"/>
              </w:rPr>
            </w:pPr>
            <w:r>
              <w:rPr>
                <w:rFonts w:hint="eastAsia" w:ascii="宋体" w:hAnsi="宋体" w:cs="宋体"/>
                <w:sz w:val="24"/>
                <w:szCs w:val="24"/>
              </w:rPr>
              <w:t>1</w:t>
            </w:r>
          </w:p>
        </w:tc>
        <w:tc>
          <w:tcPr>
            <w:tcW w:w="1651" w:type="dxa"/>
            <w:vAlign w:val="center"/>
          </w:tcPr>
          <w:p w14:paraId="15F486CD">
            <w:pPr>
              <w:spacing w:line="360" w:lineRule="auto"/>
              <w:jc w:val="center"/>
              <w:rPr>
                <w:rFonts w:ascii="宋体" w:hAnsi="宋体" w:cs="宋体"/>
                <w:sz w:val="24"/>
                <w:szCs w:val="24"/>
              </w:rPr>
            </w:pPr>
            <w:r>
              <w:rPr>
                <w:rFonts w:hint="eastAsia" w:ascii="宋体" w:hAnsi="宋体" w:cs="宋体"/>
                <w:sz w:val="24"/>
                <w:szCs w:val="24"/>
              </w:rPr>
              <w:t>项目名称</w:t>
            </w:r>
          </w:p>
        </w:tc>
        <w:tc>
          <w:tcPr>
            <w:tcW w:w="7062" w:type="dxa"/>
            <w:tcBorders>
              <w:right w:val="single" w:color="auto" w:sz="12" w:space="0"/>
            </w:tcBorders>
            <w:vAlign w:val="center"/>
          </w:tcPr>
          <w:p w14:paraId="6F2021F3">
            <w:pPr>
              <w:spacing w:line="360" w:lineRule="auto"/>
              <w:jc w:val="left"/>
              <w:rPr>
                <w:rFonts w:ascii="宋体" w:hAnsi="宋体" w:cs="宋体"/>
                <w:sz w:val="24"/>
                <w:szCs w:val="24"/>
              </w:rPr>
            </w:pPr>
            <w:r>
              <w:rPr>
                <w:rFonts w:hint="eastAsia" w:ascii="宋体" w:hAnsi="宋体" w:cs="宋体"/>
                <w:sz w:val="24"/>
                <w:szCs w:val="24"/>
              </w:rPr>
              <w:t>2025年杭州嘉澍新材科技有限公司食品级氢氧化钠溶液采购项目</w:t>
            </w:r>
          </w:p>
        </w:tc>
      </w:tr>
      <w:tr w14:paraId="0167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2A1245F4">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651" w:type="dxa"/>
            <w:vAlign w:val="center"/>
          </w:tcPr>
          <w:p w14:paraId="709286FE">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7062" w:type="dxa"/>
            <w:tcBorders>
              <w:right w:val="single" w:color="auto" w:sz="12" w:space="0"/>
            </w:tcBorders>
            <w:vAlign w:val="center"/>
          </w:tcPr>
          <w:p w14:paraId="05F21A21">
            <w:pPr>
              <w:spacing w:line="360" w:lineRule="auto"/>
              <w:jc w:val="left"/>
              <w:rPr>
                <w:rFonts w:ascii="宋体" w:hAnsi="宋体" w:cs="宋体"/>
                <w:sz w:val="24"/>
                <w:szCs w:val="24"/>
                <w:highlight w:val="none"/>
              </w:rPr>
            </w:pPr>
            <w:r>
              <w:rPr>
                <w:rFonts w:ascii="宋体" w:hAnsi="宋体" w:cs="宋体"/>
                <w:sz w:val="24"/>
                <w:szCs w:val="24"/>
                <w:highlight w:val="none"/>
              </w:rPr>
              <w:t>L3301100000004779003001</w:t>
            </w:r>
          </w:p>
        </w:tc>
      </w:tr>
      <w:tr w14:paraId="340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1792AF54">
            <w:pPr>
              <w:spacing w:line="360" w:lineRule="auto"/>
              <w:jc w:val="center"/>
              <w:rPr>
                <w:rFonts w:ascii="宋体" w:hAnsi="宋体" w:cs="宋体"/>
                <w:sz w:val="24"/>
                <w:szCs w:val="24"/>
              </w:rPr>
            </w:pPr>
            <w:r>
              <w:rPr>
                <w:rFonts w:hint="eastAsia" w:ascii="宋体" w:hAnsi="宋体" w:cs="宋体"/>
                <w:sz w:val="24"/>
                <w:szCs w:val="24"/>
              </w:rPr>
              <w:t>3</w:t>
            </w:r>
          </w:p>
        </w:tc>
        <w:tc>
          <w:tcPr>
            <w:tcW w:w="1651" w:type="dxa"/>
            <w:vAlign w:val="center"/>
          </w:tcPr>
          <w:p w14:paraId="2BB83915">
            <w:pPr>
              <w:spacing w:line="360" w:lineRule="auto"/>
              <w:jc w:val="center"/>
              <w:rPr>
                <w:rFonts w:ascii="宋体" w:hAnsi="宋体" w:cs="宋体"/>
                <w:sz w:val="24"/>
                <w:szCs w:val="24"/>
              </w:rPr>
            </w:pPr>
            <w:r>
              <w:rPr>
                <w:rFonts w:hint="eastAsia" w:ascii="宋体" w:hAnsi="宋体" w:cs="宋体"/>
                <w:sz w:val="24"/>
                <w:szCs w:val="24"/>
              </w:rPr>
              <w:t>投标有效期</w:t>
            </w:r>
          </w:p>
        </w:tc>
        <w:tc>
          <w:tcPr>
            <w:tcW w:w="7062" w:type="dxa"/>
            <w:tcBorders>
              <w:right w:val="single" w:color="auto" w:sz="12" w:space="0"/>
            </w:tcBorders>
            <w:vAlign w:val="center"/>
          </w:tcPr>
          <w:p w14:paraId="452B0421">
            <w:pPr>
              <w:spacing w:line="360" w:lineRule="auto"/>
              <w:jc w:val="left"/>
              <w:rPr>
                <w:rFonts w:ascii="宋体" w:hAnsi="宋体" w:cs="宋体"/>
                <w:sz w:val="24"/>
                <w:szCs w:val="24"/>
              </w:rPr>
            </w:pPr>
            <w:r>
              <w:rPr>
                <w:rFonts w:hint="eastAsia" w:ascii="宋体" w:hAnsi="宋体" w:cs="宋体"/>
                <w:sz w:val="24"/>
                <w:szCs w:val="24"/>
              </w:rPr>
              <w:t>投标书递交后60天内有效</w:t>
            </w:r>
          </w:p>
        </w:tc>
      </w:tr>
      <w:tr w14:paraId="6390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731A8ABF">
            <w:pPr>
              <w:spacing w:line="360" w:lineRule="auto"/>
              <w:jc w:val="center"/>
              <w:rPr>
                <w:rFonts w:ascii="宋体" w:hAnsi="宋体" w:cs="宋体"/>
                <w:sz w:val="24"/>
                <w:szCs w:val="24"/>
              </w:rPr>
            </w:pPr>
            <w:r>
              <w:rPr>
                <w:rFonts w:hint="eastAsia" w:ascii="宋体" w:hAnsi="宋体" w:cs="宋体"/>
                <w:sz w:val="24"/>
                <w:szCs w:val="24"/>
              </w:rPr>
              <w:t>4</w:t>
            </w:r>
          </w:p>
        </w:tc>
        <w:tc>
          <w:tcPr>
            <w:tcW w:w="1651" w:type="dxa"/>
            <w:vAlign w:val="center"/>
          </w:tcPr>
          <w:p w14:paraId="1E31237C">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7062" w:type="dxa"/>
            <w:tcBorders>
              <w:right w:val="single" w:color="auto" w:sz="12" w:space="0"/>
            </w:tcBorders>
            <w:vAlign w:val="center"/>
          </w:tcPr>
          <w:p w14:paraId="042D3DFB">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报价文件：正本一份、副本四份</w:t>
            </w:r>
          </w:p>
          <w:p w14:paraId="7ECA6D7F">
            <w:pPr>
              <w:spacing w:line="360" w:lineRule="auto"/>
              <w:jc w:val="left"/>
              <w:rPr>
                <w:rFonts w:hint="eastAsia" w:ascii="宋体" w:hAnsi="宋体" w:eastAsia="宋体" w:cs="宋体"/>
                <w:sz w:val="24"/>
                <w:szCs w:val="24"/>
              </w:rPr>
            </w:pPr>
            <w:r>
              <w:rPr>
                <w:rFonts w:hint="eastAsia" w:ascii="宋体" w:hAnsi="宋体" w:eastAsia="宋体" w:cs="宋体"/>
                <w:sz w:val="24"/>
                <w:szCs w:val="24"/>
              </w:rPr>
              <w:t>商务技术文件：正本一份、副本四份</w:t>
            </w:r>
          </w:p>
          <w:p w14:paraId="045BDEEC">
            <w:pPr>
              <w:pStyle w:val="27"/>
              <w:ind w:left="0" w:leftChars="0" w:firstLine="0" w:firstLineChars="0"/>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en-US" w:eastAsia="zh-CN" w:bidi="ar-SA"/>
              </w:rPr>
              <w:t>电子版文件刻录光盘一张或U盘一个；</w:t>
            </w:r>
          </w:p>
          <w:p w14:paraId="5AD5E04A">
            <w:pPr>
              <w:spacing w:line="360" w:lineRule="auto"/>
              <w:jc w:val="left"/>
              <w:rPr>
                <w:rFonts w:ascii="宋体" w:hAnsi="宋体" w:cs="宋体"/>
                <w:sz w:val="24"/>
                <w:szCs w:val="24"/>
              </w:rPr>
            </w:pPr>
            <w:r>
              <w:rPr>
                <w:rFonts w:hint="eastAsia" w:ascii="宋体" w:hAnsi="宋体" w:eastAsia="宋体" w:cs="宋体"/>
                <w:b/>
                <w:sz w:val="24"/>
              </w:rPr>
              <w:t>▲</w:t>
            </w:r>
            <w:r>
              <w:rPr>
                <w:rFonts w:hint="eastAsia" w:ascii="宋体" w:hAnsi="宋体" w:eastAsia="宋体" w:cs="宋体"/>
                <w:b/>
                <w:snapToGrid w:val="0"/>
                <w:sz w:val="24"/>
              </w:rPr>
              <w:t>注：投标文件的装订必须采用胶订或线订形式，不得采用活页装订方式；</w:t>
            </w:r>
            <w:r>
              <w:rPr>
                <w:rFonts w:hint="eastAsia" w:ascii="宋体" w:hAnsi="宋体" w:eastAsia="宋体" w:cs="宋体"/>
                <w:b/>
                <w:bCs/>
                <w:sz w:val="24"/>
                <w:szCs w:val="24"/>
              </w:rPr>
              <w:t xml:space="preserve">投标文件份数不符合要求的，视其投标无效。 </w:t>
            </w:r>
          </w:p>
        </w:tc>
      </w:tr>
      <w:tr w14:paraId="37CF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1A2E33BB">
            <w:pPr>
              <w:spacing w:line="360" w:lineRule="auto"/>
              <w:jc w:val="center"/>
              <w:rPr>
                <w:rFonts w:ascii="宋体" w:hAnsi="宋体" w:cs="宋体"/>
                <w:sz w:val="24"/>
                <w:szCs w:val="24"/>
              </w:rPr>
            </w:pPr>
            <w:r>
              <w:rPr>
                <w:rFonts w:hint="eastAsia" w:ascii="宋体" w:hAnsi="宋体" w:cs="宋体"/>
                <w:sz w:val="24"/>
                <w:szCs w:val="24"/>
              </w:rPr>
              <w:t>5</w:t>
            </w:r>
          </w:p>
        </w:tc>
        <w:tc>
          <w:tcPr>
            <w:tcW w:w="1651" w:type="dxa"/>
            <w:vAlign w:val="center"/>
          </w:tcPr>
          <w:p w14:paraId="5A18645C">
            <w:pPr>
              <w:spacing w:line="360" w:lineRule="auto"/>
              <w:jc w:val="center"/>
              <w:rPr>
                <w:rFonts w:ascii="宋体" w:hAnsi="宋体" w:cs="宋体"/>
                <w:sz w:val="24"/>
                <w:szCs w:val="24"/>
              </w:rPr>
            </w:pPr>
            <w:r>
              <w:rPr>
                <w:rFonts w:hint="eastAsia" w:ascii="宋体" w:hAnsi="宋体" w:cs="宋体"/>
                <w:sz w:val="24"/>
                <w:szCs w:val="24"/>
              </w:rPr>
              <w:t>评标方法</w:t>
            </w:r>
          </w:p>
        </w:tc>
        <w:tc>
          <w:tcPr>
            <w:tcW w:w="7062" w:type="dxa"/>
            <w:tcBorders>
              <w:right w:val="single" w:color="auto" w:sz="12" w:space="0"/>
            </w:tcBorders>
            <w:vAlign w:val="center"/>
          </w:tcPr>
          <w:p w14:paraId="602AD6A7">
            <w:pPr>
              <w:spacing w:line="360" w:lineRule="auto"/>
              <w:jc w:val="left"/>
              <w:rPr>
                <w:rFonts w:ascii="宋体" w:hAnsi="宋体" w:cs="宋体"/>
                <w:sz w:val="24"/>
                <w:szCs w:val="24"/>
              </w:rPr>
            </w:pPr>
            <w:r>
              <w:rPr>
                <w:rFonts w:hint="eastAsia" w:ascii="宋体" w:hAnsi="宋体" w:cs="宋体"/>
                <w:sz w:val="24"/>
                <w:szCs w:val="24"/>
              </w:rPr>
              <w:t>综合评分法</w:t>
            </w:r>
          </w:p>
        </w:tc>
      </w:tr>
      <w:tr w14:paraId="03F7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431ECD36">
            <w:pPr>
              <w:spacing w:line="360" w:lineRule="auto"/>
              <w:jc w:val="center"/>
              <w:rPr>
                <w:rFonts w:ascii="宋体" w:hAnsi="宋体" w:cs="宋体"/>
                <w:sz w:val="24"/>
                <w:szCs w:val="24"/>
              </w:rPr>
            </w:pPr>
            <w:r>
              <w:rPr>
                <w:rFonts w:hint="eastAsia" w:ascii="宋体" w:hAnsi="宋体" w:cs="宋体"/>
                <w:sz w:val="24"/>
                <w:szCs w:val="24"/>
              </w:rPr>
              <w:t>6</w:t>
            </w:r>
          </w:p>
        </w:tc>
        <w:tc>
          <w:tcPr>
            <w:tcW w:w="1651" w:type="dxa"/>
            <w:vAlign w:val="center"/>
          </w:tcPr>
          <w:p w14:paraId="709E59E6">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投标截止时间与地点</w:t>
            </w:r>
          </w:p>
        </w:tc>
        <w:tc>
          <w:tcPr>
            <w:tcW w:w="7062" w:type="dxa"/>
            <w:tcBorders>
              <w:right w:val="single" w:color="auto" w:sz="12" w:space="0"/>
            </w:tcBorders>
            <w:vAlign w:val="center"/>
          </w:tcPr>
          <w:p w14:paraId="1198B651">
            <w:pPr>
              <w:spacing w:line="360" w:lineRule="auto"/>
              <w:jc w:val="left"/>
              <w:rPr>
                <w:rFonts w:ascii="宋体" w:hAnsi="宋体" w:cs="宋体"/>
                <w:sz w:val="24"/>
                <w:szCs w:val="24"/>
                <w:highlight w:val="none"/>
              </w:rPr>
            </w:pPr>
            <w:r>
              <w:rPr>
                <w:rFonts w:hint="eastAsia" w:ascii="宋体" w:hAnsi="宋体" w:eastAsia="宋体" w:cs="宋体"/>
                <w:sz w:val="24"/>
                <w:szCs w:val="24"/>
                <w:highlight w:val="none"/>
              </w:rPr>
              <w:t>详见招标公告</w:t>
            </w:r>
          </w:p>
        </w:tc>
      </w:tr>
      <w:tr w14:paraId="1FE0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1C348D68">
            <w:pPr>
              <w:spacing w:line="360" w:lineRule="auto"/>
              <w:jc w:val="center"/>
              <w:rPr>
                <w:rFonts w:ascii="宋体" w:hAnsi="宋体" w:cs="宋体"/>
                <w:sz w:val="24"/>
                <w:szCs w:val="24"/>
              </w:rPr>
            </w:pPr>
            <w:r>
              <w:rPr>
                <w:rFonts w:hint="eastAsia" w:ascii="宋体" w:hAnsi="宋体" w:cs="宋体"/>
                <w:sz w:val="24"/>
                <w:szCs w:val="24"/>
              </w:rPr>
              <w:t>7</w:t>
            </w:r>
          </w:p>
        </w:tc>
        <w:tc>
          <w:tcPr>
            <w:tcW w:w="1651" w:type="dxa"/>
            <w:vAlign w:val="center"/>
          </w:tcPr>
          <w:p w14:paraId="4CF8804D">
            <w:pPr>
              <w:spacing w:line="360" w:lineRule="auto"/>
              <w:jc w:val="center"/>
              <w:rPr>
                <w:rFonts w:ascii="宋体" w:hAnsi="宋体" w:cs="宋体"/>
                <w:sz w:val="24"/>
                <w:szCs w:val="24"/>
                <w:highlight w:val="none"/>
              </w:rPr>
            </w:pPr>
            <w:r>
              <w:rPr>
                <w:rFonts w:hint="eastAsia" w:ascii="宋体" w:hAnsi="宋体" w:cs="宋体"/>
                <w:sz w:val="24"/>
                <w:szCs w:val="24"/>
                <w:highlight w:val="none"/>
              </w:rPr>
              <w:t>开标时间与地点</w:t>
            </w:r>
          </w:p>
        </w:tc>
        <w:tc>
          <w:tcPr>
            <w:tcW w:w="7062" w:type="dxa"/>
            <w:tcBorders>
              <w:right w:val="single" w:color="auto" w:sz="12" w:space="0"/>
            </w:tcBorders>
            <w:vAlign w:val="center"/>
          </w:tcPr>
          <w:p w14:paraId="77E67D98">
            <w:pPr>
              <w:spacing w:line="360" w:lineRule="auto"/>
              <w:jc w:val="left"/>
              <w:rPr>
                <w:rFonts w:ascii="宋体" w:hAnsi="宋体" w:cs="宋体"/>
                <w:sz w:val="24"/>
                <w:szCs w:val="24"/>
                <w:highlight w:val="none"/>
              </w:rPr>
            </w:pPr>
            <w:r>
              <w:rPr>
                <w:rFonts w:hint="eastAsia" w:ascii="宋体" w:hAnsi="宋体" w:eastAsia="宋体" w:cs="宋体"/>
                <w:sz w:val="24"/>
                <w:szCs w:val="24"/>
                <w:highlight w:val="none"/>
              </w:rPr>
              <w:t>详见招标公告</w:t>
            </w:r>
          </w:p>
        </w:tc>
      </w:tr>
      <w:tr w14:paraId="28D2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37BCD17D">
            <w:pPr>
              <w:spacing w:line="360" w:lineRule="auto"/>
              <w:jc w:val="center"/>
              <w:rPr>
                <w:rFonts w:ascii="宋体" w:hAnsi="宋体" w:cs="宋体"/>
                <w:sz w:val="24"/>
                <w:szCs w:val="24"/>
              </w:rPr>
            </w:pPr>
            <w:r>
              <w:rPr>
                <w:rFonts w:hint="eastAsia" w:ascii="宋体" w:hAnsi="宋体" w:cs="宋体"/>
                <w:sz w:val="24"/>
                <w:szCs w:val="24"/>
              </w:rPr>
              <w:t>8</w:t>
            </w:r>
          </w:p>
        </w:tc>
        <w:tc>
          <w:tcPr>
            <w:tcW w:w="8713" w:type="dxa"/>
            <w:gridSpan w:val="2"/>
            <w:tcBorders>
              <w:right w:val="single" w:color="auto" w:sz="12" w:space="0"/>
            </w:tcBorders>
            <w:vAlign w:val="center"/>
          </w:tcPr>
          <w:p w14:paraId="3CB5C612">
            <w:pPr>
              <w:spacing w:line="360" w:lineRule="auto"/>
              <w:jc w:val="left"/>
              <w:rPr>
                <w:rFonts w:ascii="宋体" w:hAnsi="宋体" w:cs="宋体"/>
                <w:sz w:val="24"/>
                <w:szCs w:val="24"/>
                <w:highlight w:val="none"/>
              </w:rPr>
            </w:pPr>
            <w:r>
              <w:rPr>
                <w:rFonts w:hint="eastAsia" w:ascii="宋体" w:hAnsi="宋体" w:cs="宋体"/>
                <w:sz w:val="24"/>
                <w:szCs w:val="24"/>
                <w:highlight w:val="none"/>
              </w:rPr>
              <w:t>1）本项目预算公开，总预算价为</w:t>
            </w:r>
            <w:r>
              <w:rPr>
                <w:rFonts w:hint="eastAsia" w:ascii="宋体" w:hAnsi="宋体" w:cs="宋体"/>
                <w:sz w:val="24"/>
                <w:szCs w:val="24"/>
                <w:highlight w:val="none"/>
                <w:lang w:val="en-US" w:eastAsia="zh-CN"/>
              </w:rPr>
              <w:t>180.56</w:t>
            </w:r>
            <w:r>
              <w:rPr>
                <w:rFonts w:hint="eastAsia" w:ascii="宋体" w:hAnsi="宋体" w:cs="宋体"/>
                <w:sz w:val="24"/>
                <w:szCs w:val="24"/>
                <w:highlight w:val="none"/>
              </w:rPr>
              <w:t>万元；</w:t>
            </w:r>
          </w:p>
          <w:p w14:paraId="05B2EC82">
            <w:pPr>
              <w:spacing w:line="360" w:lineRule="auto"/>
              <w:jc w:val="left"/>
              <w:rPr>
                <w:rFonts w:ascii="宋体" w:hAnsi="宋体" w:cs="宋体"/>
                <w:sz w:val="24"/>
                <w:szCs w:val="24"/>
                <w:highlight w:val="none"/>
              </w:rPr>
            </w:pPr>
            <w:r>
              <w:rPr>
                <w:rFonts w:hint="eastAsia" w:ascii="宋体" w:hAnsi="宋体" w:cs="宋体"/>
                <w:sz w:val="24"/>
                <w:szCs w:val="24"/>
                <w:highlight w:val="none"/>
              </w:rPr>
              <w:t>2）本项目投标报价超过预算价的（即投标报价&gt;预算价），其投标视为无效；</w:t>
            </w:r>
          </w:p>
          <w:p w14:paraId="3F4BDE4F">
            <w:pPr>
              <w:spacing w:line="360" w:lineRule="auto"/>
              <w:jc w:val="left"/>
              <w:rPr>
                <w:rFonts w:ascii="宋体" w:hAnsi="宋体" w:cs="宋体"/>
                <w:sz w:val="24"/>
                <w:szCs w:val="24"/>
                <w:highlight w:val="none"/>
              </w:rPr>
            </w:pPr>
            <w:r>
              <w:rPr>
                <w:rFonts w:hint="eastAsia" w:ascii="宋体" w:hAnsi="宋体" w:cs="宋体"/>
                <w:sz w:val="24"/>
                <w:szCs w:val="24"/>
                <w:highlight w:val="none"/>
              </w:rPr>
              <w:t>3）报价是中标的一个重要因素，但不是中标的唯一依据。</w:t>
            </w:r>
          </w:p>
        </w:tc>
      </w:tr>
      <w:tr w14:paraId="0096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2EB5EC0C">
            <w:pPr>
              <w:spacing w:line="360" w:lineRule="auto"/>
              <w:jc w:val="center"/>
              <w:rPr>
                <w:rFonts w:ascii="宋体" w:hAnsi="宋体" w:cs="宋体"/>
                <w:sz w:val="24"/>
                <w:szCs w:val="24"/>
              </w:rPr>
            </w:pPr>
            <w:r>
              <w:rPr>
                <w:rFonts w:hint="eastAsia" w:ascii="宋体" w:hAnsi="宋体" w:cs="宋体"/>
                <w:sz w:val="24"/>
                <w:szCs w:val="24"/>
              </w:rPr>
              <w:t>9</w:t>
            </w:r>
          </w:p>
        </w:tc>
        <w:tc>
          <w:tcPr>
            <w:tcW w:w="8713" w:type="dxa"/>
            <w:gridSpan w:val="2"/>
            <w:tcBorders>
              <w:right w:val="single" w:color="auto" w:sz="12" w:space="0"/>
            </w:tcBorders>
            <w:vAlign w:val="center"/>
          </w:tcPr>
          <w:p w14:paraId="797BBA43">
            <w:pPr>
              <w:spacing w:line="360" w:lineRule="auto"/>
              <w:jc w:val="left"/>
              <w:rPr>
                <w:rFonts w:ascii="宋体" w:hAnsi="宋体" w:cs="宋体"/>
                <w:sz w:val="24"/>
                <w:szCs w:val="24"/>
              </w:rPr>
            </w:pPr>
            <w:r>
              <w:rPr>
                <w:rFonts w:hint="eastAsia" w:ascii="宋体" w:hAnsi="宋体" w:cs="宋体"/>
                <w:sz w:val="24"/>
                <w:szCs w:val="24"/>
              </w:rPr>
              <w:t>采购需求中带“●”条款为实质性内容，投标人须提供《采购需求实质性内容响应表》（格式见第</w:t>
            </w:r>
            <w:r>
              <w:rPr>
                <w:rFonts w:hint="eastAsia" w:ascii="宋体" w:hAnsi="宋体" w:cs="宋体"/>
                <w:sz w:val="24"/>
                <w:szCs w:val="24"/>
                <w:lang w:val="en-US" w:eastAsia="zh-CN"/>
              </w:rPr>
              <w:t>五</w:t>
            </w:r>
            <w:r>
              <w:rPr>
                <w:rFonts w:hint="eastAsia" w:ascii="宋体" w:hAnsi="宋体" w:cs="宋体"/>
                <w:sz w:val="24"/>
                <w:szCs w:val="24"/>
              </w:rPr>
              <w:t>部分 投标文件格式），如有任意一条未响应或不满足，将被视为投标无效。</w:t>
            </w:r>
          </w:p>
        </w:tc>
      </w:tr>
      <w:tr w14:paraId="116E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dxa"/>
            <w:tcBorders>
              <w:left w:val="single" w:color="auto" w:sz="12" w:space="0"/>
            </w:tcBorders>
            <w:vAlign w:val="center"/>
          </w:tcPr>
          <w:p w14:paraId="120280E4">
            <w:pPr>
              <w:spacing w:line="360" w:lineRule="auto"/>
              <w:jc w:val="center"/>
              <w:rPr>
                <w:rFonts w:ascii="宋体" w:hAnsi="宋体" w:cs="宋体"/>
                <w:sz w:val="24"/>
                <w:szCs w:val="24"/>
              </w:rPr>
            </w:pPr>
            <w:r>
              <w:rPr>
                <w:rFonts w:hint="eastAsia" w:ascii="宋体" w:hAnsi="宋体" w:cs="宋体"/>
                <w:sz w:val="24"/>
                <w:szCs w:val="24"/>
              </w:rPr>
              <w:t>10</w:t>
            </w:r>
          </w:p>
        </w:tc>
        <w:tc>
          <w:tcPr>
            <w:tcW w:w="8713" w:type="dxa"/>
            <w:gridSpan w:val="2"/>
            <w:tcBorders>
              <w:right w:val="single" w:color="auto" w:sz="12" w:space="0"/>
            </w:tcBorders>
            <w:vAlign w:val="center"/>
          </w:tcPr>
          <w:p w14:paraId="4E99C9CD">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本项目中标单位，列入《杭州嘉澍新材科技有限公司物资采购供应商名录库》（以下简称名录库）管理，</w:t>
            </w:r>
            <w:r>
              <w:rPr>
                <w:rFonts w:hint="eastAsia" w:ascii="宋体" w:hAnsi="宋体" w:cs="宋体"/>
                <w:b/>
                <w:bCs/>
                <w:sz w:val="24"/>
                <w:szCs w:val="24"/>
                <w:shd w:val="clear" w:color="auto" w:fill="FFFFFF"/>
              </w:rPr>
              <w:t>供货期为自合同签订日起</w:t>
            </w:r>
            <w:r>
              <w:rPr>
                <w:rFonts w:hint="eastAsia" w:ascii="宋体" w:hAnsi="宋体" w:cs="宋体"/>
                <w:b/>
                <w:bCs/>
                <w:sz w:val="24"/>
                <w:szCs w:val="24"/>
                <w:shd w:val="clear" w:color="auto" w:fill="FFFFFF"/>
                <w:lang w:val="en-US" w:eastAsia="zh-CN"/>
              </w:rPr>
              <w:t>12</w:t>
            </w:r>
            <w:r>
              <w:rPr>
                <w:rFonts w:hint="eastAsia" w:ascii="宋体" w:hAnsi="宋体" w:cs="宋体"/>
                <w:b/>
                <w:bCs/>
                <w:sz w:val="24"/>
                <w:szCs w:val="24"/>
                <w:shd w:val="clear" w:color="auto" w:fill="FFFFFF"/>
              </w:rPr>
              <w:t>个月</w:t>
            </w:r>
            <w:r>
              <w:rPr>
                <w:rFonts w:hint="eastAsia" w:ascii="宋体" w:hAnsi="宋体" w:cs="宋体"/>
                <w:sz w:val="24"/>
                <w:szCs w:val="24"/>
                <w:shd w:val="clear" w:color="auto" w:fill="FFFFFF"/>
              </w:rPr>
              <w:t>。投标人报价时需综合考虑采购期内原材料等相关价格涨跌因素。一旦中标，供货期内采购单价不予调整。</w:t>
            </w:r>
            <w:r>
              <w:rPr>
                <w:rFonts w:hint="eastAsia" w:ascii="宋体" w:hAnsi="宋体" w:cs="宋体"/>
                <w:sz w:val="24"/>
                <w:szCs w:val="24"/>
              </w:rPr>
              <w:br w:type="textWrapping"/>
            </w:r>
            <w:r>
              <w:rPr>
                <w:rFonts w:hint="eastAsia" w:ascii="宋体" w:hAnsi="宋体" w:cs="宋体"/>
                <w:sz w:val="24"/>
                <w:szCs w:val="24"/>
              </w:rPr>
              <w:t>2）杭州嘉澍新材科技有限公司负责招标阶段事宜</w:t>
            </w:r>
            <w:r>
              <w:rPr>
                <w:rFonts w:hint="eastAsia" w:ascii="宋体" w:hAnsi="宋体" w:cs="宋体"/>
                <w:sz w:val="24"/>
                <w:szCs w:val="24"/>
                <w:lang w:eastAsia="zh-CN"/>
              </w:rPr>
              <w:t>，</w:t>
            </w:r>
            <w:r>
              <w:rPr>
                <w:rFonts w:hint="eastAsia" w:ascii="宋体" w:hAnsi="宋体" w:cs="宋体"/>
                <w:sz w:val="24"/>
                <w:szCs w:val="24"/>
                <w:shd w:val="clear" w:color="auto" w:fill="FFFFFF"/>
              </w:rPr>
              <w:t>中标单位与使用单位签订实际供货合同，听从使用单位供货安排，并和使用单位</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杭州临平净水有限公司、杭州余杭制水有限公司</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办理出入库与货款结算事宜。</w:t>
            </w:r>
            <w:r>
              <w:rPr>
                <w:rFonts w:hint="eastAsia" w:ascii="宋体" w:hAnsi="宋体" w:cs="宋体"/>
                <w:sz w:val="24"/>
                <w:szCs w:val="24"/>
              </w:rPr>
              <w:t>中标单位应无条件接受物资使用单位的供应商管理和考核及调整要求。若达不到相关考核要求的，予以相关处罚，并视情节，给予1至3年内禁止参加余杭环境（水务）控股集团有限公司及下属子公司采购活动的处罚（以该项目合同到期之日起计算）。</w:t>
            </w:r>
          </w:p>
        </w:tc>
      </w:tr>
    </w:tbl>
    <w:p w14:paraId="42A4887A">
      <w:pPr>
        <w:adjustRightInd w:val="0"/>
        <w:snapToGrid w:val="0"/>
        <w:spacing w:line="360" w:lineRule="auto"/>
        <w:jc w:val="center"/>
        <w:rPr>
          <w:rFonts w:ascii="宋体" w:hAnsi="宋体"/>
          <w:b/>
          <w:bCs/>
          <w:sz w:val="24"/>
        </w:rPr>
      </w:pPr>
      <w:r>
        <w:rPr>
          <w:rFonts w:ascii="宋体" w:hAnsi="宋体"/>
          <w:b/>
          <w:bCs/>
          <w:sz w:val="24"/>
        </w:rPr>
        <w:br w:type="page"/>
      </w:r>
      <w:r>
        <w:rPr>
          <w:rFonts w:hint="eastAsia" w:ascii="宋体" w:hAnsi="宋体"/>
          <w:b/>
          <w:bCs/>
          <w:sz w:val="24"/>
        </w:rPr>
        <w:t>第一节   投标人须知之通用条款</w:t>
      </w:r>
    </w:p>
    <w:p w14:paraId="31B8F786">
      <w:pPr>
        <w:adjustRightInd w:val="0"/>
        <w:snapToGrid w:val="0"/>
        <w:spacing w:line="360" w:lineRule="auto"/>
        <w:jc w:val="center"/>
        <w:rPr>
          <w:rFonts w:ascii="宋体" w:hAnsi="宋体"/>
          <w:b/>
          <w:bCs/>
          <w:sz w:val="24"/>
        </w:rPr>
      </w:pPr>
    </w:p>
    <w:p w14:paraId="7D8A0F4B">
      <w:pPr>
        <w:adjustRightInd w:val="0"/>
        <w:snapToGrid w:val="0"/>
        <w:spacing w:line="360" w:lineRule="auto"/>
        <w:jc w:val="center"/>
        <w:rPr>
          <w:rFonts w:ascii="宋体" w:hAnsi="宋体"/>
          <w:b/>
          <w:bCs/>
          <w:sz w:val="24"/>
        </w:rPr>
      </w:pPr>
      <w:r>
        <w:rPr>
          <w:rFonts w:hint="eastAsia" w:ascii="宋体" w:hAnsi="宋体"/>
          <w:b/>
          <w:bCs/>
          <w:sz w:val="24"/>
        </w:rPr>
        <w:t>一、总则</w:t>
      </w:r>
    </w:p>
    <w:p w14:paraId="7B8E63ED">
      <w:pPr>
        <w:adjustRightInd w:val="0"/>
        <w:spacing w:line="500" w:lineRule="exact"/>
        <w:rPr>
          <w:rFonts w:hint="eastAsia" w:ascii="宋体" w:hAnsi="宋体" w:eastAsia="宋体" w:cs="宋体"/>
          <w:b/>
          <w:sz w:val="24"/>
        </w:rPr>
      </w:pPr>
      <w:r>
        <w:rPr>
          <w:rFonts w:hint="eastAsia" w:ascii="宋体" w:hAnsi="宋体" w:eastAsia="宋体" w:cs="宋体"/>
          <w:b/>
          <w:sz w:val="24"/>
        </w:rPr>
        <w:t>1、适用范围</w:t>
      </w:r>
    </w:p>
    <w:p w14:paraId="18CAFF33">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本招标文件适用于本项目的招标、投标、评标、定标、合同履约、付款等行为。</w:t>
      </w:r>
    </w:p>
    <w:p w14:paraId="1A0859EC">
      <w:pPr>
        <w:adjustRightInd w:val="0"/>
        <w:spacing w:line="500" w:lineRule="exact"/>
        <w:rPr>
          <w:rFonts w:hint="eastAsia" w:ascii="宋体" w:hAnsi="宋体" w:eastAsia="宋体" w:cs="宋体"/>
          <w:b/>
          <w:sz w:val="24"/>
        </w:rPr>
      </w:pPr>
      <w:r>
        <w:rPr>
          <w:rFonts w:hint="eastAsia" w:ascii="宋体" w:hAnsi="宋体" w:eastAsia="宋体" w:cs="宋体"/>
          <w:b/>
          <w:sz w:val="24"/>
        </w:rPr>
        <w:t>2、定义</w:t>
      </w:r>
    </w:p>
    <w:p w14:paraId="2ABCFAC8">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2.1、“招标人”系指组织本次招标的</w:t>
      </w:r>
      <w:r>
        <w:rPr>
          <w:rFonts w:hint="eastAsia" w:ascii="宋体" w:hAnsi="宋体" w:eastAsia="宋体" w:cs="宋体"/>
          <w:sz w:val="24"/>
          <w:lang w:eastAsia="zh-CN"/>
        </w:rPr>
        <w:t>杭州嘉澍新材科技有限公司</w:t>
      </w:r>
      <w:r>
        <w:rPr>
          <w:rFonts w:hint="eastAsia" w:ascii="宋体" w:hAnsi="宋体" w:eastAsia="宋体" w:cs="宋体"/>
          <w:sz w:val="24"/>
        </w:rPr>
        <w:t>；“招标代理单位”系指组织本次招标的代理机构（天阳建设管理有限公司）。</w:t>
      </w:r>
    </w:p>
    <w:p w14:paraId="0E32B48A">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2.2、“书面形式”包括信函、传真、电报等。</w:t>
      </w:r>
    </w:p>
    <w:p w14:paraId="0BCA8FE4">
      <w:pPr>
        <w:adjustRightInd w:val="0"/>
        <w:spacing w:line="500" w:lineRule="exact"/>
        <w:rPr>
          <w:rFonts w:hint="eastAsia" w:ascii="宋体" w:hAnsi="宋体" w:eastAsia="宋体" w:cs="宋体"/>
          <w:sz w:val="24"/>
        </w:rPr>
      </w:pPr>
      <w:r>
        <w:rPr>
          <w:rFonts w:hint="eastAsia" w:ascii="宋体" w:hAnsi="宋体" w:eastAsia="宋体" w:cs="宋体"/>
          <w:b/>
          <w:sz w:val="24"/>
        </w:rPr>
        <w:t>3、招标方式：</w:t>
      </w:r>
      <w:r>
        <w:rPr>
          <w:rFonts w:hint="eastAsia" w:ascii="宋体" w:hAnsi="宋体" w:eastAsia="宋体" w:cs="宋体"/>
          <w:sz w:val="24"/>
        </w:rPr>
        <w:t>公开招标。</w:t>
      </w:r>
    </w:p>
    <w:p w14:paraId="02A73000">
      <w:pPr>
        <w:adjustRightInd w:val="0"/>
        <w:spacing w:line="500" w:lineRule="exact"/>
        <w:rPr>
          <w:rFonts w:hint="eastAsia" w:ascii="宋体" w:hAnsi="宋体" w:eastAsia="宋体" w:cs="宋体"/>
          <w:b/>
          <w:sz w:val="24"/>
        </w:rPr>
      </w:pPr>
      <w:r>
        <w:rPr>
          <w:rFonts w:hint="eastAsia" w:ascii="宋体" w:hAnsi="宋体" w:eastAsia="宋体" w:cs="宋体"/>
          <w:b/>
          <w:sz w:val="24"/>
        </w:rPr>
        <w:t>4、投标委托：法定代表人或其委托代理人有效身份证原件及复制件加盖公章，委托代理人还需法定代表人授权委托书原件。</w:t>
      </w:r>
    </w:p>
    <w:p w14:paraId="788C65BE">
      <w:pPr>
        <w:adjustRightInd w:val="0"/>
        <w:spacing w:line="500" w:lineRule="exact"/>
        <w:rPr>
          <w:rFonts w:hint="eastAsia" w:ascii="宋体" w:hAnsi="宋体" w:eastAsia="宋体" w:cs="宋体"/>
          <w:sz w:val="24"/>
        </w:rPr>
      </w:pPr>
      <w:r>
        <w:rPr>
          <w:rFonts w:hint="eastAsia" w:ascii="宋体" w:hAnsi="宋体" w:eastAsia="宋体" w:cs="宋体"/>
          <w:b/>
          <w:sz w:val="24"/>
        </w:rPr>
        <w:t>5、投标费用：</w:t>
      </w:r>
      <w:r>
        <w:rPr>
          <w:rFonts w:hint="eastAsia" w:ascii="宋体" w:hAnsi="宋体" w:eastAsia="宋体" w:cs="宋体"/>
          <w:sz w:val="24"/>
        </w:rPr>
        <w:t>投标人需自行承担涉及投标的一切费用。</w:t>
      </w:r>
    </w:p>
    <w:p w14:paraId="0E0A6C1F">
      <w:pPr>
        <w:adjustRightInd w:val="0"/>
        <w:spacing w:line="500" w:lineRule="exact"/>
        <w:rPr>
          <w:rFonts w:hint="eastAsia" w:ascii="宋体" w:hAnsi="宋体" w:eastAsia="宋体" w:cs="宋体"/>
          <w:b/>
          <w:bCs/>
          <w:sz w:val="24"/>
        </w:rPr>
      </w:pPr>
      <w:r>
        <w:rPr>
          <w:rFonts w:hint="eastAsia" w:ascii="宋体" w:hAnsi="宋体" w:eastAsia="宋体" w:cs="宋体"/>
          <w:b/>
          <w:bCs/>
          <w:sz w:val="24"/>
        </w:rPr>
        <w:t>6、特别说明：</w:t>
      </w:r>
    </w:p>
    <w:p w14:paraId="55EB3958">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6.1投标人应仔细阅读招标文件的所有内容，按照招标文件的要求提交投标文件，并对所提供的全部资料的真实性承担法律责任。</w:t>
      </w:r>
    </w:p>
    <w:p w14:paraId="6628CFAF">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6.2 投标人的投标文件及中标后签署的合同协议书，对各方均具法律约束力。 </w:t>
      </w:r>
    </w:p>
    <w:p w14:paraId="3CE4144F">
      <w:pPr>
        <w:adjustRightInd w:val="0"/>
        <w:snapToGrid w:val="0"/>
        <w:spacing w:line="360" w:lineRule="auto"/>
        <w:jc w:val="center"/>
        <w:rPr>
          <w:rFonts w:ascii="宋体" w:hAnsi="宋体"/>
          <w:b/>
          <w:bCs/>
          <w:sz w:val="24"/>
        </w:rPr>
      </w:pPr>
    </w:p>
    <w:p w14:paraId="797D4EE7">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二、招标文件</w:t>
      </w:r>
    </w:p>
    <w:p w14:paraId="7FEFAAAA">
      <w:pPr>
        <w:adjustRightInd w:val="0"/>
        <w:spacing w:line="500" w:lineRule="exact"/>
        <w:rPr>
          <w:rFonts w:hint="eastAsia" w:ascii="宋体" w:hAnsi="宋体" w:eastAsia="宋体" w:cs="宋体"/>
          <w:b/>
          <w:sz w:val="24"/>
        </w:rPr>
      </w:pPr>
      <w:r>
        <w:rPr>
          <w:rFonts w:hint="eastAsia" w:ascii="宋体" w:hAnsi="宋体" w:eastAsia="宋体" w:cs="宋体"/>
          <w:b/>
          <w:sz w:val="24"/>
        </w:rPr>
        <w:t>7、招标文件的澄清与修改</w:t>
      </w:r>
    </w:p>
    <w:p w14:paraId="6EDC3CB9">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7.1、</w:t>
      </w:r>
      <w:r>
        <w:rPr>
          <w:rFonts w:hint="eastAsia" w:ascii="宋体" w:hAnsi="宋体" w:eastAsia="宋体" w:cs="宋体"/>
          <w:bCs/>
          <w:sz w:val="24"/>
        </w:rPr>
        <w:t>投标人应认真阅读本招标文件，发现其中有误或有不合理要求的，投标人必须以书面形式要求招标代理单位澄清</w:t>
      </w:r>
      <w:r>
        <w:rPr>
          <w:rFonts w:hint="eastAsia" w:ascii="宋体" w:hAnsi="宋体" w:eastAsia="宋体" w:cs="宋体"/>
          <w:sz w:val="24"/>
        </w:rPr>
        <w:t>。招标代理单位对已发出的招标文件进行必要澄清、答复、修改或补充的，应当发布补充文件。</w:t>
      </w:r>
      <w:r>
        <w:rPr>
          <w:rFonts w:hint="eastAsia" w:ascii="宋体" w:hAnsi="宋体" w:eastAsia="宋体" w:cs="宋体"/>
          <w:sz w:val="24"/>
          <w:highlight w:val="none"/>
        </w:rPr>
        <w:t>招标人对已发出的招标文件进行必要的澄清或修改的，应当在招标文件要求提交响应文件截止之日前至少1个工作日发布澄清或修改公告，同时开标时间顺延，澄清或修改公告自发布之日起到开标之日不得少于2个工作日。</w:t>
      </w:r>
    </w:p>
    <w:p w14:paraId="4E25A952">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7.2、招标文件澄清、答复、修改、补充的内容为招标文件的组成部分。当招标文件与招标文件的答复、澄清、修改、补充通知就同一内容的表述不一致时，以最后发出的文件为准。</w:t>
      </w:r>
    </w:p>
    <w:p w14:paraId="29A8312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7.3、招标文件的澄清、答复、修改或补充都应该通过招标代理机构以法定形式发布，招标人不得擅自澄清、答复、修改或补充招标文件。</w:t>
      </w:r>
    </w:p>
    <w:p w14:paraId="0E86F99A">
      <w:pPr>
        <w:adjustRightInd w:val="0"/>
        <w:spacing w:line="500" w:lineRule="exact"/>
        <w:ind w:firstLine="480" w:firstLineChars="200"/>
        <w:rPr>
          <w:rFonts w:hint="eastAsia" w:ascii="宋体" w:hAnsi="宋体" w:eastAsia="宋体" w:cs="宋体"/>
          <w:sz w:val="24"/>
        </w:rPr>
      </w:pPr>
    </w:p>
    <w:p w14:paraId="2EF52A00">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三、投标文件的编制</w:t>
      </w:r>
    </w:p>
    <w:p w14:paraId="59808568">
      <w:pPr>
        <w:spacing w:line="500" w:lineRule="exact"/>
        <w:rPr>
          <w:rFonts w:hint="eastAsia" w:ascii="宋体" w:hAnsi="宋体" w:eastAsia="宋体" w:cs="宋体"/>
          <w:b/>
          <w:sz w:val="24"/>
        </w:rPr>
      </w:pPr>
      <w:r>
        <w:rPr>
          <w:rFonts w:hint="eastAsia" w:ascii="宋体" w:hAnsi="宋体" w:eastAsia="宋体" w:cs="宋体"/>
          <w:b/>
          <w:sz w:val="24"/>
        </w:rPr>
        <w:t>8、投标文件的语言及计量</w:t>
      </w:r>
    </w:p>
    <w:p w14:paraId="16DF1368">
      <w:pPr>
        <w:spacing w:line="500" w:lineRule="exact"/>
        <w:ind w:firstLine="480" w:firstLineChars="200"/>
        <w:rPr>
          <w:rFonts w:hint="eastAsia" w:ascii="宋体" w:hAnsi="宋体" w:eastAsia="宋体" w:cs="宋体"/>
          <w:sz w:val="24"/>
        </w:rPr>
      </w:pPr>
      <w:r>
        <w:rPr>
          <w:rFonts w:hint="eastAsia" w:ascii="宋体" w:hAnsi="宋体" w:eastAsia="宋体" w:cs="宋体"/>
          <w:sz w:val="24"/>
        </w:rPr>
        <w:t>8.1、投标文件以及投标人与招标代理单位就有关投标事宜的所有来往函电，均应以中文汉语书写。除签名、盖章、专用名称等特殊情形外，以中文汉语以外的文字表述的投标文件视同未提供。</w:t>
      </w:r>
    </w:p>
    <w:p w14:paraId="5174D566">
      <w:pPr>
        <w:spacing w:line="500" w:lineRule="exact"/>
        <w:ind w:firstLine="480" w:firstLineChars="200"/>
        <w:rPr>
          <w:rFonts w:hint="eastAsia" w:ascii="宋体" w:hAnsi="宋体" w:eastAsia="宋体" w:cs="宋体"/>
          <w:sz w:val="24"/>
        </w:rPr>
      </w:pPr>
      <w:r>
        <w:rPr>
          <w:rFonts w:hint="eastAsia" w:ascii="宋体" w:hAnsi="宋体" w:eastAsia="宋体" w:cs="宋体"/>
          <w:sz w:val="24"/>
        </w:rPr>
        <w:t>8.2、投标文件中如附有外文资料，必须逐一对应翻译成中文并加盖投标人公章后附在相关外文资料后面，否则外文资料不予认可。翻译的中文资料与外文资料不符的，均不予认可。</w:t>
      </w:r>
    </w:p>
    <w:p w14:paraId="18F55E1D">
      <w:pPr>
        <w:spacing w:line="500" w:lineRule="exact"/>
        <w:ind w:firstLine="360" w:firstLineChars="150"/>
        <w:rPr>
          <w:rFonts w:hint="eastAsia" w:ascii="宋体" w:hAnsi="宋体" w:eastAsia="宋体" w:cs="宋体"/>
          <w:sz w:val="24"/>
        </w:rPr>
      </w:pPr>
      <w:r>
        <w:rPr>
          <w:rFonts w:hint="eastAsia" w:ascii="宋体" w:hAnsi="宋体" w:eastAsia="宋体" w:cs="宋体"/>
          <w:sz w:val="24"/>
        </w:rPr>
        <w:t>8.3、投标计量单位，招标文件已有明确规定的，使用招标文件规定的计量单位；招标文件没有规定的，应采用中华人民共和国法定计量单位（货币单位：人民币元），否则视同未响应。</w:t>
      </w:r>
    </w:p>
    <w:p w14:paraId="1676F636">
      <w:pPr>
        <w:pStyle w:val="13"/>
        <w:spacing w:line="500" w:lineRule="exact"/>
        <w:ind w:firstLine="361" w:firstLineChars="150"/>
        <w:rPr>
          <w:rFonts w:hint="eastAsia" w:ascii="宋体" w:hAnsi="宋体" w:eastAsia="宋体" w:cs="宋体"/>
          <w:sz w:val="24"/>
          <w:szCs w:val="24"/>
        </w:rPr>
      </w:pPr>
      <w:r>
        <w:rPr>
          <w:rFonts w:hint="eastAsia" w:ascii="宋体" w:hAnsi="宋体" w:eastAsia="宋体" w:cs="宋体"/>
          <w:sz w:val="24"/>
        </w:rPr>
        <w:t>8.</w:t>
      </w:r>
      <w:r>
        <w:rPr>
          <w:rFonts w:hint="eastAsia" w:ascii="宋体" w:hAnsi="宋体" w:eastAsia="宋体" w:cs="宋体"/>
          <w:sz w:val="24"/>
          <w:szCs w:val="24"/>
        </w:rPr>
        <w:t>4、投标文件中优惠条件事项不能包括招标项目本身所包括涉及的招标事项。投标人不能以“赠送、赠予”等任何名义提供货物和服务以规避招标文件的约束。</w:t>
      </w:r>
    </w:p>
    <w:p w14:paraId="2A8EC5F3">
      <w:pPr>
        <w:adjustRightInd w:val="0"/>
        <w:spacing w:line="500" w:lineRule="exact"/>
        <w:rPr>
          <w:rFonts w:hint="eastAsia" w:ascii="宋体" w:hAnsi="宋体" w:eastAsia="宋体" w:cs="宋体"/>
          <w:sz w:val="24"/>
          <w:szCs w:val="24"/>
        </w:rPr>
      </w:pPr>
      <w:r>
        <w:rPr>
          <w:rFonts w:hint="eastAsia" w:ascii="宋体" w:hAnsi="宋体" w:eastAsia="宋体" w:cs="宋体"/>
          <w:sz w:val="24"/>
          <w:szCs w:val="24"/>
        </w:rPr>
        <w:t>9、投标文件组成详见“第二节   投标人须知之专用条款”中相关条款。</w:t>
      </w:r>
    </w:p>
    <w:p w14:paraId="2B38E3BF">
      <w:pPr>
        <w:pStyle w:val="40"/>
        <w:spacing w:before="0" w:line="500" w:lineRule="exact"/>
        <w:ind w:firstLine="0" w:firstLineChars="0"/>
        <w:rPr>
          <w:rFonts w:hint="eastAsia" w:ascii="宋体" w:hAnsi="宋体" w:eastAsia="宋体" w:cs="宋体"/>
          <w:b/>
          <w:szCs w:val="24"/>
        </w:rPr>
      </w:pPr>
      <w:r>
        <w:rPr>
          <w:rFonts w:hint="eastAsia" w:ascii="宋体" w:hAnsi="宋体" w:eastAsia="宋体" w:cs="宋体"/>
          <w:b/>
          <w:szCs w:val="24"/>
        </w:rPr>
        <w:t>10、 投标有效期</w:t>
      </w:r>
    </w:p>
    <w:p w14:paraId="38306C2E">
      <w:pPr>
        <w:pStyle w:val="40"/>
        <w:spacing w:before="0" w:line="500" w:lineRule="exact"/>
        <w:ind w:firstLine="480"/>
        <w:rPr>
          <w:rFonts w:hint="eastAsia" w:ascii="宋体" w:hAnsi="宋体" w:eastAsia="宋体" w:cs="宋体"/>
        </w:rPr>
      </w:pPr>
      <w:r>
        <w:rPr>
          <w:rFonts w:hint="eastAsia" w:ascii="宋体" w:hAnsi="宋体" w:eastAsia="宋体" w:cs="宋体"/>
        </w:rPr>
        <w:t>10.1、投标有效期自投标截止之日起不少于 60日。</w:t>
      </w:r>
    </w:p>
    <w:p w14:paraId="4FEE6AF4">
      <w:pPr>
        <w:pStyle w:val="40"/>
        <w:spacing w:before="0" w:line="500" w:lineRule="exact"/>
        <w:ind w:firstLine="480"/>
        <w:rPr>
          <w:rFonts w:hint="eastAsia" w:ascii="宋体" w:hAnsi="宋体" w:eastAsia="宋体" w:cs="宋体"/>
        </w:rPr>
      </w:pPr>
      <w:r>
        <w:rPr>
          <w:rFonts w:hint="eastAsia" w:ascii="宋体" w:hAnsi="宋体" w:eastAsia="宋体" w:cs="宋体"/>
        </w:rPr>
        <w:t>10.2、在原定投标有效期之前，如果出现特殊情况，招标代理机构可以以书面形式通知投标人延长投标有效期。</w:t>
      </w:r>
    </w:p>
    <w:p w14:paraId="4059C173">
      <w:pPr>
        <w:spacing w:line="360" w:lineRule="auto"/>
        <w:rPr>
          <w:rFonts w:hint="eastAsia" w:ascii="宋体" w:hAnsi="宋体" w:eastAsia="宋体" w:cs="宋体"/>
          <w:sz w:val="24"/>
          <w:szCs w:val="24"/>
        </w:rPr>
      </w:pPr>
      <w:r>
        <w:rPr>
          <w:rFonts w:hint="eastAsia" w:ascii="宋体" w:hAnsi="宋体" w:eastAsia="宋体" w:cs="宋体"/>
          <w:sz w:val="24"/>
          <w:szCs w:val="24"/>
        </w:rPr>
        <w:t>11、 投标保证金</w:t>
      </w:r>
    </w:p>
    <w:p w14:paraId="66132C4F">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11.1、本项目不采用。</w:t>
      </w:r>
    </w:p>
    <w:p w14:paraId="726FD633">
      <w:pPr>
        <w:spacing w:line="500" w:lineRule="exact"/>
        <w:rPr>
          <w:rFonts w:hint="eastAsia" w:ascii="宋体" w:hAnsi="宋体" w:eastAsia="宋体" w:cs="宋体"/>
          <w:sz w:val="24"/>
          <w:szCs w:val="24"/>
        </w:rPr>
      </w:pPr>
      <w:r>
        <w:rPr>
          <w:rFonts w:hint="eastAsia" w:ascii="宋体" w:hAnsi="宋体" w:eastAsia="宋体" w:cs="宋体"/>
          <w:sz w:val="24"/>
          <w:szCs w:val="24"/>
        </w:rPr>
        <w:t>12、 投标文件的编制</w:t>
      </w:r>
    </w:p>
    <w:p w14:paraId="64552B1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12.1、投标文件标识不清、编写不完整、编排混乱导致投标文件被误拆、误读、漏读或者查找不到相关内容的，责任由投标人自行承担。</w:t>
      </w:r>
    </w:p>
    <w:p w14:paraId="6E4AC53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全套投标文件应无涂改和行间插字，除非这些删改是根据招标代理单位要求进行，或者是投标人造成的必须修改的错误。所修改处须加盖投标人公章或者法定代表人签字（或盖章）或授权代表签字（或盖章），否则，修改处不予认可。投标文件因字迹潦草或表达不清所引起的后果由投标人负责。</w:t>
      </w:r>
    </w:p>
    <w:p w14:paraId="32C640B4">
      <w:pPr>
        <w:pStyle w:val="40"/>
        <w:spacing w:before="0" w:line="500" w:lineRule="exact"/>
        <w:ind w:firstLine="480"/>
        <w:rPr>
          <w:rFonts w:hint="eastAsia" w:ascii="宋体" w:hAnsi="宋体" w:eastAsia="宋体" w:cs="宋体"/>
        </w:rPr>
      </w:pPr>
      <w:r>
        <w:rPr>
          <w:rFonts w:hint="eastAsia" w:ascii="宋体" w:hAnsi="宋体" w:eastAsia="宋体" w:cs="宋体"/>
        </w:rPr>
        <w:t>12.3、投标文件提倡采用A4幅面双面打印，并按顺序统一编目编码装订成册。</w:t>
      </w:r>
    </w:p>
    <w:p w14:paraId="5A9EA665">
      <w:pPr>
        <w:adjustRightInd w:val="0"/>
        <w:spacing w:line="500" w:lineRule="exact"/>
        <w:jc w:val="center"/>
        <w:rPr>
          <w:rFonts w:hint="eastAsia" w:ascii="宋体" w:hAnsi="宋体" w:eastAsia="宋体" w:cs="宋体"/>
          <w:b/>
          <w:bCs/>
          <w:sz w:val="24"/>
        </w:rPr>
      </w:pPr>
    </w:p>
    <w:p w14:paraId="033EBB35">
      <w:pPr>
        <w:adjustRightInd w:val="0"/>
        <w:spacing w:line="500" w:lineRule="exact"/>
        <w:jc w:val="center"/>
        <w:rPr>
          <w:rFonts w:hint="eastAsia" w:ascii="宋体" w:hAnsi="宋体" w:eastAsia="宋体" w:cs="宋体"/>
          <w:b/>
          <w:bCs/>
          <w:sz w:val="24"/>
        </w:rPr>
      </w:pPr>
      <w:r>
        <w:rPr>
          <w:rFonts w:hint="eastAsia" w:ascii="宋体" w:hAnsi="宋体" w:eastAsia="宋体" w:cs="宋体"/>
          <w:b/>
          <w:bCs/>
          <w:sz w:val="24"/>
        </w:rPr>
        <w:t>四、 投标文件的递交</w:t>
      </w:r>
    </w:p>
    <w:p w14:paraId="03F2301C">
      <w:pPr>
        <w:pStyle w:val="40"/>
        <w:spacing w:before="0" w:line="500" w:lineRule="exact"/>
        <w:ind w:firstLine="0" w:firstLineChars="0"/>
        <w:rPr>
          <w:rFonts w:hint="eastAsia" w:ascii="宋体" w:hAnsi="宋体" w:eastAsia="宋体" w:cs="宋体"/>
          <w:b/>
        </w:rPr>
      </w:pPr>
      <w:r>
        <w:rPr>
          <w:rFonts w:hint="eastAsia" w:ascii="宋体" w:hAnsi="宋体" w:eastAsia="宋体" w:cs="宋体"/>
          <w:b/>
        </w:rPr>
        <w:t>13、投标文件的签署和份数</w:t>
      </w:r>
    </w:p>
    <w:p w14:paraId="409D8E01">
      <w:pPr>
        <w:pStyle w:val="40"/>
        <w:spacing w:before="0" w:line="500" w:lineRule="exact"/>
        <w:ind w:firstLine="480"/>
        <w:rPr>
          <w:rFonts w:hint="eastAsia" w:ascii="宋体" w:hAnsi="宋体" w:eastAsia="宋体" w:cs="宋体"/>
        </w:rPr>
      </w:pPr>
      <w:r>
        <w:rPr>
          <w:rFonts w:hint="eastAsia" w:ascii="宋体" w:hAnsi="宋体" w:eastAsia="宋体" w:cs="宋体"/>
        </w:rPr>
        <w:t>13.1、投标人应按商务技</w:t>
      </w:r>
      <w:r>
        <w:rPr>
          <w:rFonts w:hint="eastAsia" w:ascii="宋体" w:hAnsi="宋体" w:eastAsia="宋体" w:cs="宋体"/>
          <w:highlight w:val="none"/>
        </w:rPr>
        <w:t>术文件、报价文件正本各一份，副本各四份分别编制并单独装订成册，商务技术文件合并装订。电子版文件刻录光盘一张或U盘一个（单独密封）</w:t>
      </w:r>
      <w:r>
        <w:rPr>
          <w:rFonts w:hint="eastAsia" w:ascii="宋体" w:hAnsi="宋体" w:eastAsia="宋体" w:cs="宋体"/>
          <w:highlight w:val="none"/>
          <w:lang w:eastAsia="zh-CN"/>
        </w:rPr>
        <w:t>。</w:t>
      </w:r>
      <w:r>
        <w:rPr>
          <w:rFonts w:hint="eastAsia" w:ascii="宋体" w:hAnsi="宋体" w:eastAsia="宋体" w:cs="宋体"/>
          <w:highlight w:val="none"/>
        </w:rPr>
        <w:t>投标文件封面上应注明“商务技术文件/报价文件、正本/副本、项目名称、项目编号”等字样，同时必须经法定代表人或授权代表签字（或盖章）并加盖单位公章。一旦正本和</w:t>
      </w:r>
      <w:r>
        <w:rPr>
          <w:rFonts w:hint="eastAsia" w:ascii="宋体" w:hAnsi="宋体" w:eastAsia="宋体" w:cs="宋体"/>
        </w:rPr>
        <w:t>副本有差异，以正本为准。</w:t>
      </w:r>
    </w:p>
    <w:p w14:paraId="7941CB5B">
      <w:pPr>
        <w:pStyle w:val="40"/>
        <w:spacing w:before="0" w:line="500" w:lineRule="exact"/>
        <w:ind w:firstLine="480"/>
        <w:rPr>
          <w:rFonts w:hint="eastAsia" w:ascii="宋体" w:hAnsi="宋体" w:eastAsia="宋体" w:cs="宋体"/>
        </w:rPr>
      </w:pPr>
      <w:r>
        <w:rPr>
          <w:rFonts w:hint="eastAsia" w:ascii="宋体" w:hAnsi="宋体" w:eastAsia="宋体" w:cs="宋体"/>
        </w:rPr>
        <w:t>13.2、投标文件的正本需打印或用不褪色的墨水填写，投标文件正本除 “第二部分 投标人须知”中规定的可提供复印件外均提供原件。副本为正本的复印件。</w:t>
      </w:r>
    </w:p>
    <w:p w14:paraId="7B12091E">
      <w:pPr>
        <w:pStyle w:val="40"/>
        <w:spacing w:before="0" w:line="500" w:lineRule="exact"/>
        <w:ind w:firstLine="0" w:firstLineChars="0"/>
        <w:rPr>
          <w:rFonts w:hint="eastAsia" w:ascii="宋体" w:hAnsi="宋体" w:eastAsia="宋体" w:cs="宋体"/>
          <w:b/>
        </w:rPr>
      </w:pPr>
      <w:r>
        <w:rPr>
          <w:rFonts w:hint="eastAsia" w:ascii="宋体" w:hAnsi="宋体" w:eastAsia="宋体" w:cs="宋体"/>
          <w:b/>
        </w:rPr>
        <w:t>14、投标文件的包装和递交</w:t>
      </w:r>
    </w:p>
    <w:p w14:paraId="3C82F35C">
      <w:pPr>
        <w:pStyle w:val="40"/>
        <w:spacing w:before="0" w:line="500" w:lineRule="exact"/>
        <w:ind w:firstLine="480"/>
        <w:rPr>
          <w:rFonts w:hint="eastAsia" w:ascii="宋体" w:hAnsi="宋体" w:eastAsia="宋体" w:cs="宋体"/>
        </w:rPr>
      </w:pPr>
      <w:r>
        <w:rPr>
          <w:rFonts w:hint="eastAsia" w:ascii="宋体" w:hAnsi="宋体" w:eastAsia="宋体" w:cs="宋体"/>
        </w:rPr>
        <w:t>14.1、投标文件须密封包装并加盖投标人公章，</w:t>
      </w:r>
      <w:r>
        <w:rPr>
          <w:rFonts w:hint="eastAsia" w:ascii="宋体" w:hAnsi="宋体" w:eastAsia="宋体" w:cs="宋体"/>
          <w:b/>
        </w:rPr>
        <w:t>报价文件必须单独密封包装，除报价文件之外其他投标文件中不得出现投标报价</w:t>
      </w:r>
      <w:r>
        <w:rPr>
          <w:rFonts w:hint="eastAsia" w:ascii="宋体" w:hAnsi="宋体" w:eastAsia="宋体" w:cs="宋体"/>
          <w:b/>
          <w:lang w:eastAsia="zh-CN"/>
        </w:rPr>
        <w:t>，电子版文件刻录光盘一张或U盘一个（单独密封）</w:t>
      </w:r>
      <w:r>
        <w:rPr>
          <w:rFonts w:hint="eastAsia" w:ascii="宋体" w:hAnsi="宋体" w:eastAsia="宋体" w:cs="宋体"/>
          <w:b/>
        </w:rPr>
        <w:t>。</w:t>
      </w:r>
    </w:p>
    <w:p w14:paraId="38035864">
      <w:pPr>
        <w:pStyle w:val="40"/>
        <w:spacing w:before="0" w:line="500" w:lineRule="exact"/>
        <w:ind w:firstLine="480"/>
        <w:rPr>
          <w:rFonts w:hint="eastAsia" w:ascii="宋体" w:hAnsi="宋体" w:eastAsia="宋体" w:cs="宋体"/>
        </w:rPr>
      </w:pPr>
      <w:r>
        <w:rPr>
          <w:rFonts w:hint="eastAsia" w:ascii="宋体" w:hAnsi="宋体" w:eastAsia="宋体" w:cs="宋体"/>
        </w:rPr>
        <w:t>14.2、投标文件外层包装封面上应注明“商务技术文件/报价文件、项目名称、项目编号、投标人名称及开标时/唱标时启封”字样，并加盖投标人公章。可参考“第四部分 投标文件格式”。</w:t>
      </w:r>
    </w:p>
    <w:p w14:paraId="2F0AEC0C">
      <w:pPr>
        <w:pStyle w:val="40"/>
        <w:spacing w:before="0" w:line="500" w:lineRule="exact"/>
        <w:ind w:firstLine="480"/>
        <w:rPr>
          <w:rFonts w:hint="eastAsia" w:ascii="宋体" w:hAnsi="宋体" w:eastAsia="宋体" w:cs="宋体"/>
        </w:rPr>
      </w:pPr>
      <w:r>
        <w:rPr>
          <w:rFonts w:hint="eastAsia" w:ascii="宋体" w:hAnsi="宋体" w:eastAsia="宋体" w:cs="宋体"/>
        </w:rPr>
        <w:t>14.3、未按规定密封或未按规定标记的投标文件，一经发现将被拒绝，由此造成投标文件被误投或提前拆封的风险由投标人承担。</w:t>
      </w:r>
    </w:p>
    <w:p w14:paraId="592621F4">
      <w:pPr>
        <w:pStyle w:val="40"/>
        <w:spacing w:before="0" w:line="500" w:lineRule="exact"/>
        <w:ind w:firstLine="480"/>
        <w:rPr>
          <w:rFonts w:hint="eastAsia" w:ascii="宋体" w:hAnsi="宋体" w:eastAsia="宋体" w:cs="宋体"/>
        </w:rPr>
      </w:pPr>
      <w:r>
        <w:rPr>
          <w:rFonts w:hint="eastAsia" w:ascii="宋体" w:hAnsi="宋体" w:eastAsia="宋体" w:cs="宋体"/>
        </w:rPr>
        <w:t>14.4、投标文件在投标截止时间前送至投标文件递交地点。未在规定时间送达的，将被拒绝投标。</w:t>
      </w:r>
    </w:p>
    <w:p w14:paraId="73B781C4">
      <w:pPr>
        <w:pStyle w:val="40"/>
        <w:spacing w:before="0" w:line="500" w:lineRule="exact"/>
        <w:ind w:firstLine="480"/>
        <w:rPr>
          <w:rFonts w:hint="eastAsia" w:ascii="宋体" w:hAnsi="宋体" w:eastAsia="宋体" w:cs="宋体"/>
        </w:rPr>
      </w:pPr>
      <w:r>
        <w:rPr>
          <w:rFonts w:hint="eastAsia" w:ascii="宋体" w:hAnsi="宋体" w:eastAsia="宋体" w:cs="宋体"/>
        </w:rPr>
        <w:t>14.6、投标文件一经拆封均不退回。</w:t>
      </w:r>
    </w:p>
    <w:p w14:paraId="0D258D97">
      <w:pPr>
        <w:adjustRightInd w:val="0"/>
        <w:spacing w:line="500" w:lineRule="exact"/>
        <w:rPr>
          <w:rFonts w:hint="eastAsia" w:ascii="宋体" w:hAnsi="宋体" w:eastAsia="宋体" w:cs="宋体"/>
          <w:sz w:val="24"/>
        </w:rPr>
      </w:pPr>
      <w:r>
        <w:rPr>
          <w:rFonts w:hint="eastAsia" w:ascii="宋体" w:hAnsi="宋体" w:eastAsia="宋体" w:cs="宋体"/>
          <w:b/>
          <w:sz w:val="24"/>
        </w:rPr>
        <w:t>15、递交投标文件的截止时间</w:t>
      </w:r>
    </w:p>
    <w:p w14:paraId="4E39AE0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15.1、所有投标文件必须按招标文件规定的投标截止时间之前送至招标文件规定的指定地点。</w:t>
      </w:r>
    </w:p>
    <w:p w14:paraId="1580CF7C">
      <w:pPr>
        <w:adjustRightIn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15.2、招标代理单位将拒绝在投标截止时间后递交的投标文件。</w:t>
      </w:r>
    </w:p>
    <w:p w14:paraId="24394D9D">
      <w:pPr>
        <w:adjustRightInd w:val="0"/>
        <w:spacing w:line="500" w:lineRule="exact"/>
        <w:rPr>
          <w:rFonts w:hint="eastAsia" w:ascii="宋体" w:hAnsi="宋体" w:eastAsia="宋体" w:cs="宋体"/>
          <w:b/>
          <w:sz w:val="24"/>
        </w:rPr>
      </w:pPr>
      <w:r>
        <w:rPr>
          <w:rFonts w:hint="eastAsia" w:ascii="宋体" w:hAnsi="宋体" w:eastAsia="宋体" w:cs="宋体"/>
          <w:b/>
          <w:sz w:val="24"/>
        </w:rPr>
        <w:t>16、投标文件的修改和撤回</w:t>
      </w:r>
    </w:p>
    <w:p w14:paraId="5CA34E5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38CA3CCA">
      <w:pPr>
        <w:adjustRightInd w:val="0"/>
        <w:snapToGrid w:val="0"/>
        <w:spacing w:line="360" w:lineRule="auto"/>
        <w:ind w:firstLine="480" w:firstLineChars="200"/>
        <w:rPr>
          <w:rFonts w:ascii="宋体" w:hAnsi="宋体"/>
          <w:sz w:val="24"/>
        </w:rPr>
      </w:pPr>
    </w:p>
    <w:p w14:paraId="52465AE3">
      <w:pPr>
        <w:adjustRightInd w:val="0"/>
        <w:snapToGrid w:val="0"/>
        <w:spacing w:line="360" w:lineRule="auto"/>
        <w:jc w:val="center"/>
        <w:rPr>
          <w:rFonts w:ascii="宋体" w:hAnsi="宋体"/>
          <w:b/>
          <w:bCs/>
          <w:sz w:val="24"/>
        </w:rPr>
      </w:pPr>
      <w:r>
        <w:rPr>
          <w:rFonts w:hint="eastAsia" w:ascii="宋体" w:hAnsi="宋体"/>
          <w:b/>
          <w:bCs/>
          <w:sz w:val="24"/>
        </w:rPr>
        <w:t>五、 开标</w:t>
      </w:r>
    </w:p>
    <w:p w14:paraId="49B17EDB">
      <w:pPr>
        <w:adjustRightInd w:val="0"/>
        <w:spacing w:line="500" w:lineRule="exact"/>
        <w:rPr>
          <w:rFonts w:hint="eastAsia" w:ascii="宋体" w:hAnsi="宋体" w:eastAsia="宋体" w:cs="宋体"/>
          <w:b/>
          <w:sz w:val="24"/>
        </w:rPr>
      </w:pPr>
      <w:r>
        <w:rPr>
          <w:rFonts w:hint="eastAsia" w:ascii="宋体" w:hAnsi="宋体" w:eastAsia="宋体" w:cs="宋体"/>
          <w:b/>
          <w:sz w:val="24"/>
        </w:rPr>
        <w:t>17、开标准备</w:t>
      </w:r>
    </w:p>
    <w:p w14:paraId="314D196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项目按照本须知前附表规定的时间和地点公开举行开标会议，并邀请所有投标人法定代表人或其委托代理人（简称投标人代表，下同）参加开标会议。参加开标的投标人法定代表人或其委托代理人必须随带本人身份证原件，委托代理人还须提供授权委托书原件。</w:t>
      </w:r>
    </w:p>
    <w:p w14:paraId="21E3CD1D">
      <w:pPr>
        <w:adjustRightInd w:val="0"/>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注：投标文件递交有效（投标文件递交有效性以纸质投标文件递交时间为准，下同），而投标人法定代表人或其委托代理人未能参加开标或未能携带上述资料的，视同其未参加开标，不得对开标提出异议，进行开标异常情况登记，不影响开标结果，也不作为否决其投标的评审因素。</w:t>
      </w:r>
    </w:p>
    <w:p w14:paraId="250101EB">
      <w:pPr>
        <w:adjustRightInd w:val="0"/>
        <w:spacing w:line="500" w:lineRule="exact"/>
        <w:rPr>
          <w:rFonts w:hint="eastAsia" w:ascii="宋体" w:hAnsi="宋体" w:eastAsia="宋体" w:cs="宋体"/>
          <w:b/>
          <w:sz w:val="24"/>
        </w:rPr>
      </w:pPr>
      <w:r>
        <w:rPr>
          <w:rFonts w:hint="eastAsia" w:ascii="宋体" w:hAnsi="宋体" w:eastAsia="宋体" w:cs="宋体"/>
          <w:b/>
          <w:sz w:val="24"/>
        </w:rPr>
        <w:t>18、开标程序：</w:t>
      </w:r>
    </w:p>
    <w:p w14:paraId="4E8E71DD">
      <w:pPr>
        <w:pStyle w:val="13"/>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18.1、开标时，由投标人代表或者其推选的代表或招标人检查各投标文件的密封情况，确认无误后，工作人员当众拆封商务技术文件并清点投标文件正本、副本数量；不符合要求的，视其投标无效；</w:t>
      </w:r>
    </w:p>
    <w:p w14:paraId="42963C9C">
      <w:pPr>
        <w:pStyle w:val="13"/>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18.2、商务技术评分结束后，开报价文件，由投标人代表或者其推选的代表或招标人或招标代理检查各报价文件的密封情况。确认无误后，工作人员当众拆封报价文件，并清点报价文件正、副本数量，若报价文件数量不符合要求的，视其投标无效。符合要求的报价文件，工作人员进行唱标，唱标内容为报价文件正本中“开标一览表”内容并作记录。</w:t>
      </w:r>
    </w:p>
    <w:p w14:paraId="4933A5FF">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18.3、开标会结束。</w:t>
      </w:r>
    </w:p>
    <w:p w14:paraId="3D7176DF">
      <w:pPr>
        <w:adjustRightInd w:val="0"/>
        <w:spacing w:line="500" w:lineRule="exact"/>
        <w:rPr>
          <w:rFonts w:hint="eastAsia" w:ascii="宋体" w:hAnsi="宋体" w:eastAsia="宋体" w:cs="宋体"/>
          <w:b/>
          <w:sz w:val="24"/>
        </w:rPr>
      </w:pPr>
      <w:r>
        <w:rPr>
          <w:rFonts w:hint="eastAsia" w:ascii="宋体" w:hAnsi="宋体" w:eastAsia="宋体" w:cs="宋体"/>
          <w:b/>
          <w:sz w:val="24"/>
        </w:rPr>
        <w:t>19、组建评标委员会</w:t>
      </w:r>
    </w:p>
    <w:p w14:paraId="5754E89F">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项目评标委员会根据相关规定组成评标委员会，成员人数应当为5人或以上单数。</w:t>
      </w:r>
    </w:p>
    <w:p w14:paraId="3F7E2FEE">
      <w:pPr>
        <w:adjustRightInd w:val="0"/>
        <w:spacing w:line="500" w:lineRule="exact"/>
        <w:rPr>
          <w:rFonts w:hint="eastAsia" w:ascii="宋体" w:hAnsi="宋体" w:eastAsia="宋体" w:cs="宋体"/>
          <w:b/>
          <w:sz w:val="24"/>
        </w:rPr>
      </w:pPr>
      <w:r>
        <w:rPr>
          <w:rFonts w:hint="eastAsia" w:ascii="宋体" w:hAnsi="宋体" w:eastAsia="宋体" w:cs="宋体"/>
          <w:b/>
          <w:sz w:val="24"/>
        </w:rPr>
        <w:t>20、评标的方式</w:t>
      </w:r>
    </w:p>
    <w:p w14:paraId="6B7D3590">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14:paraId="2267FCAA">
      <w:pPr>
        <w:adjustRightInd w:val="0"/>
        <w:spacing w:line="500" w:lineRule="exact"/>
        <w:rPr>
          <w:rFonts w:hint="eastAsia" w:ascii="宋体" w:hAnsi="宋体" w:eastAsia="宋体" w:cs="宋体"/>
          <w:b/>
          <w:sz w:val="24"/>
        </w:rPr>
      </w:pPr>
      <w:r>
        <w:rPr>
          <w:rFonts w:hint="eastAsia" w:ascii="宋体" w:hAnsi="宋体" w:eastAsia="宋体" w:cs="宋体"/>
          <w:b/>
          <w:sz w:val="24"/>
        </w:rPr>
        <w:t>21、评标程序</w:t>
      </w:r>
    </w:p>
    <w:p w14:paraId="5F965C47">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21.1、本项目评标一般将按以下程序进行：投标文件初审、澄清有关问题、投标文件商务技术部分的比较与评审、报价文件的比较与评审、推荐中标投标人和编写评标报告等。</w:t>
      </w:r>
    </w:p>
    <w:p w14:paraId="2DC9102F">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21.2、投标文件初审包括资格性检查和符合性检查。</w:t>
      </w:r>
    </w:p>
    <w:p w14:paraId="2D2141EF">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21.2.1、资格性检查：依据法律法规和招标文件的规定，对投标文件中的资格证明等进行审查，以确定投标投标人是否具备投标资格。资格性检查不合格的投标人则无须继续进行符合性检查，并且投标文件初审结论不合格。</w:t>
      </w:r>
    </w:p>
    <w:p w14:paraId="2FA8A4A0">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21.2.2、符合性检查：依据招标文件的规定，从投标文件的商务技术文件有效性、完整性和对招标文件的响应程度进行审查，以确定是否对招标文件的实质性要求作出响应。符合性检查不合格的投标人，投标文件初审结论不合格。</w:t>
      </w:r>
    </w:p>
    <w:p w14:paraId="0EEE05B1">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21.2.3、投标文件初审结论合格的投标人进入评标后续程序。</w:t>
      </w:r>
    </w:p>
    <w:p w14:paraId="6F758A82">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21.3、投标文件的澄清。</w:t>
      </w:r>
    </w:p>
    <w:p w14:paraId="692D98B5">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21.3.1在评标过程中，评标委员会可以书面形式要求投标人对所提交的投标文件中不明确的内容进行书面澄清、说明或者补正。投标人代表应保证联络方式畅通，并应在接到电话通知后30分钟内进行书面澄清、说明或者补正，如无法联络到投标人代表或投标人代表在接到电话通知后30分钟内未能进行书面澄清、说明或者补正，评标委员会将视作投标人放弃澄清、说明或者补正。</w:t>
      </w:r>
    </w:p>
    <w:p w14:paraId="7CCC6BC0">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21.3.2有关澄清、说明与补正，投标人应以书面形式进行，对投标报价和实质性的内容不得更改（报价修正除外）。投标人的书面澄清、说明和补正属于投标文件的组成部分。</w:t>
      </w:r>
    </w:p>
    <w:p w14:paraId="59FD750A">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21.3.3 评标委员会对投标人提交的澄清、说明或补正有疑问的，可以要求投标人进一步澄清、说明或补正，直至满足评标委员会的要求。</w:t>
      </w:r>
    </w:p>
    <w:p w14:paraId="30D6F077">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21.3.4评标委员会不接受投标人主动提出的澄清、说明或补正。</w:t>
      </w:r>
    </w:p>
    <w:p w14:paraId="2E1EF9AF">
      <w:pPr>
        <w:pStyle w:val="13"/>
        <w:spacing w:line="500" w:lineRule="exact"/>
        <w:ind w:firstLine="472" w:firstLineChars="196"/>
        <w:rPr>
          <w:rFonts w:hint="eastAsia" w:ascii="宋体" w:hAnsi="宋体" w:eastAsia="宋体" w:cs="宋体"/>
          <w:sz w:val="24"/>
        </w:rPr>
      </w:pPr>
      <w:r>
        <w:rPr>
          <w:rFonts w:hint="eastAsia" w:ascii="宋体" w:hAnsi="宋体" w:eastAsia="宋体" w:cs="宋体"/>
          <w:sz w:val="24"/>
        </w:rPr>
        <w:t>21.4、比较与评审。按招标文件中规定的评标方法和标准，对资格性检查和符合性检查合格的投标文件进行商务技术、价格比较和评审。</w:t>
      </w:r>
    </w:p>
    <w:p w14:paraId="1801BA9B">
      <w:pPr>
        <w:pStyle w:val="40"/>
        <w:spacing w:before="0"/>
        <w:ind w:firstLine="480"/>
        <w:rPr>
          <w:rFonts w:hint="eastAsia" w:ascii="宋体" w:hAnsi="宋体" w:eastAsia="宋体" w:cs="宋体"/>
        </w:rPr>
      </w:pPr>
      <w:r>
        <w:rPr>
          <w:rFonts w:hint="eastAsia" w:ascii="宋体" w:hAnsi="宋体" w:eastAsia="宋体" w:cs="宋体"/>
        </w:rPr>
        <w:t>21.5、推荐中标候选人。</w:t>
      </w:r>
      <w:r>
        <w:rPr>
          <w:rFonts w:hint="eastAsia" w:ascii="宋体" w:hAnsi="宋体" w:eastAsia="宋体" w:cs="宋体"/>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szCs w:val="24"/>
          <w:lang w:val="zh-CN"/>
        </w:rPr>
        <w:t>打分方法</w:t>
      </w:r>
      <w:r>
        <w:rPr>
          <w:rFonts w:hint="eastAsia" w:ascii="宋体" w:hAnsi="宋体" w:eastAsia="宋体" w:cs="宋体"/>
          <w:szCs w:val="24"/>
        </w:rPr>
        <w:t>对各投标人</w:t>
      </w:r>
      <w:r>
        <w:rPr>
          <w:rFonts w:hint="eastAsia" w:ascii="宋体" w:hAnsi="宋体" w:eastAsia="宋体" w:cs="宋体"/>
          <w:szCs w:val="24"/>
          <w:lang w:val="zh-CN"/>
        </w:rPr>
        <w:t>进行综合评审，按评审后总得分由高到低顺序排列。</w:t>
      </w:r>
    </w:p>
    <w:p w14:paraId="4F022DF3">
      <w:pPr>
        <w:adjustRightInd w:val="0"/>
        <w:spacing w:line="500" w:lineRule="exact"/>
        <w:rPr>
          <w:rFonts w:hint="eastAsia" w:ascii="宋体" w:hAnsi="宋体" w:eastAsia="宋体" w:cs="宋体"/>
          <w:b/>
          <w:sz w:val="24"/>
        </w:rPr>
      </w:pPr>
      <w:r>
        <w:rPr>
          <w:rFonts w:hint="eastAsia" w:ascii="宋体" w:hAnsi="宋体" w:eastAsia="宋体" w:cs="宋体"/>
          <w:b/>
          <w:sz w:val="24"/>
        </w:rPr>
        <w:t>22、错误修正</w:t>
      </w:r>
    </w:p>
    <w:p w14:paraId="22E68C8F">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响应文件如果出现计算或表达上的错误，修正后的报价响应人应当书面形式并加盖公章或者由法定代表人或其授权的代表签字确认，经响应人确认后产生约束力，响应人不确认的，其响应无效。修正错误的原则如下：</w:t>
      </w:r>
    </w:p>
    <w:p w14:paraId="445FFF11">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22.1投标文件中开标一览表(报价表)内容与投标文件中相应内容不一致的，以开标一览表(报价表)为准;</w:t>
      </w:r>
    </w:p>
    <w:p w14:paraId="762CE422">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22.2大写金额和小写金额不一致的，以大写金额为准;</w:t>
      </w:r>
    </w:p>
    <w:p w14:paraId="1E3833F6">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22.3单价金额小数点或者百分比有明显错位的，以开标一览表的总价为准，并修改单价;</w:t>
      </w:r>
    </w:p>
    <w:p w14:paraId="2F8D87D8">
      <w:pPr>
        <w:pStyle w:val="40"/>
        <w:spacing w:before="0"/>
        <w:ind w:firstLine="480"/>
        <w:rPr>
          <w:rFonts w:hint="eastAsia" w:ascii="宋体" w:hAnsi="宋体" w:eastAsia="宋体" w:cs="宋体"/>
          <w:kern w:val="0"/>
          <w:szCs w:val="24"/>
        </w:rPr>
      </w:pPr>
      <w:r>
        <w:rPr>
          <w:rFonts w:hint="eastAsia" w:ascii="宋体" w:hAnsi="宋体" w:eastAsia="宋体" w:cs="宋体"/>
          <w:kern w:val="0"/>
          <w:szCs w:val="24"/>
        </w:rPr>
        <w:t>22.4总价金额与按单价汇总金额不一致的，以单价金额计算结果为准。</w:t>
      </w:r>
    </w:p>
    <w:p w14:paraId="69E1F493">
      <w:pPr>
        <w:pStyle w:val="40"/>
        <w:spacing w:before="0"/>
        <w:ind w:firstLine="480"/>
        <w:rPr>
          <w:rFonts w:hint="eastAsia" w:ascii="宋体" w:hAnsi="宋体" w:eastAsia="宋体" w:cs="宋体"/>
          <w:szCs w:val="24"/>
        </w:rPr>
      </w:pPr>
      <w:r>
        <w:rPr>
          <w:rFonts w:hint="eastAsia" w:ascii="宋体" w:hAnsi="宋体" w:eastAsia="宋体" w:cs="宋体"/>
          <w:kern w:val="0"/>
          <w:szCs w:val="24"/>
        </w:rPr>
        <w:t>22.5同时出现两种以上不一致的，按照22规定的顺序修正。</w:t>
      </w:r>
    </w:p>
    <w:p w14:paraId="0479468C">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4450291">
      <w:pPr>
        <w:adjustRightInd w:val="0"/>
        <w:spacing w:line="500" w:lineRule="exact"/>
        <w:rPr>
          <w:rFonts w:hint="eastAsia" w:ascii="宋体" w:hAnsi="宋体" w:eastAsia="宋体" w:cs="宋体"/>
          <w:sz w:val="24"/>
          <w:szCs w:val="24"/>
        </w:rPr>
      </w:pPr>
      <w:r>
        <w:rPr>
          <w:rFonts w:hint="eastAsia" w:ascii="宋体" w:hAnsi="宋体" w:eastAsia="宋体" w:cs="宋体"/>
          <w:b/>
          <w:sz w:val="24"/>
        </w:rPr>
        <w:t>23、评标原则和评标办法</w:t>
      </w:r>
    </w:p>
    <w:p w14:paraId="7F9464C1">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23.1、评标原则：评标委员会必须公平、公正、客观，不带任何倾向性；不得向外界透露任何与评标有关的内容；任何单位和个人不得干扰、影响评标的正常进行；评标委员会及有关工作人员不得私下与投标人接触。</w:t>
      </w:r>
    </w:p>
    <w:p w14:paraId="2B192AE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23.2、评标办法：本项目评标办法是</w:t>
      </w:r>
      <w:r>
        <w:rPr>
          <w:rFonts w:hint="eastAsia" w:ascii="宋体" w:hAnsi="宋体" w:eastAsia="宋体" w:cs="宋体"/>
          <w:sz w:val="24"/>
          <w:u w:val="single"/>
        </w:rPr>
        <w:t>综合评分法</w:t>
      </w:r>
      <w:r>
        <w:rPr>
          <w:rFonts w:hint="eastAsia" w:ascii="宋体" w:hAnsi="宋体" w:eastAsia="宋体" w:cs="宋体"/>
          <w:sz w:val="24"/>
        </w:rPr>
        <w:t>。</w:t>
      </w:r>
    </w:p>
    <w:p w14:paraId="4C03E5C3">
      <w:pPr>
        <w:adjustRightInd w:val="0"/>
        <w:spacing w:line="500" w:lineRule="exact"/>
        <w:rPr>
          <w:rFonts w:hint="eastAsia" w:ascii="宋体" w:hAnsi="宋体" w:eastAsia="宋体" w:cs="宋体"/>
          <w:b/>
          <w:sz w:val="24"/>
        </w:rPr>
      </w:pPr>
      <w:r>
        <w:rPr>
          <w:rFonts w:hint="eastAsia" w:ascii="宋体" w:hAnsi="宋体" w:eastAsia="宋体" w:cs="宋体"/>
          <w:b/>
          <w:sz w:val="24"/>
        </w:rPr>
        <w:t>24、评标过程的监控</w:t>
      </w:r>
    </w:p>
    <w:p w14:paraId="31964712">
      <w:pPr>
        <w:pStyle w:val="13"/>
        <w:spacing w:line="500" w:lineRule="exact"/>
        <w:ind w:firstLine="472" w:firstLineChars="196"/>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本项目评标过程实行全程录音、录像监控，投标人在评标过程中所进行的试图影响评标结果的不公正活动，可能导致其投标无效。</w:t>
      </w:r>
    </w:p>
    <w:p w14:paraId="022CCFB2">
      <w:pPr>
        <w:adjustRightInd w:val="0"/>
        <w:snapToGrid w:val="0"/>
        <w:spacing w:line="360" w:lineRule="auto"/>
        <w:rPr>
          <w:rFonts w:ascii="宋体" w:hAnsi="宋体"/>
          <w:b/>
          <w:sz w:val="24"/>
        </w:rPr>
      </w:pPr>
      <w:r>
        <w:rPr>
          <w:rFonts w:ascii="宋体" w:hAnsi="宋体"/>
          <w:b/>
          <w:sz w:val="24"/>
        </w:rPr>
        <w:t>25</w:t>
      </w:r>
      <w:r>
        <w:rPr>
          <w:rFonts w:hint="eastAsia" w:ascii="宋体" w:hAnsi="宋体"/>
          <w:b/>
          <w:sz w:val="24"/>
        </w:rPr>
        <w:t>、无效投标的情形</w:t>
      </w:r>
    </w:p>
    <w:p w14:paraId="08FD0F8F">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25.1、被拒绝的投标或未按招标文件规定获取招标文件的或未按招标文件要求提供样品的；</w:t>
      </w:r>
    </w:p>
    <w:p w14:paraId="76F36878">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25.2、资格证明文件不全，或者不符合招标文件标明的合格投标人的资格要求（详见本项目招标公告相关要求）；</w:t>
      </w:r>
    </w:p>
    <w:p w14:paraId="7657BBF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25.3、投</w:t>
      </w:r>
      <w:r>
        <w:rPr>
          <w:rFonts w:hint="eastAsia" w:ascii="宋体" w:hAnsi="宋体" w:eastAsia="宋体" w:cs="宋体"/>
          <w:snapToGrid w:val="0"/>
          <w:kern w:val="0"/>
          <w:sz w:val="24"/>
        </w:rPr>
        <w:t>标文件未按招标文件的要求签署和盖章的</w:t>
      </w:r>
      <w:r>
        <w:rPr>
          <w:rFonts w:hint="eastAsia" w:ascii="宋体" w:hAnsi="宋体" w:eastAsia="宋体" w:cs="宋体"/>
          <w:sz w:val="24"/>
        </w:rPr>
        <w:t>；</w:t>
      </w:r>
    </w:p>
    <w:p w14:paraId="61683A1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25.4、</w:t>
      </w:r>
      <w:r>
        <w:rPr>
          <w:rFonts w:hint="eastAsia" w:ascii="宋体" w:hAnsi="宋体" w:eastAsia="宋体" w:cs="宋体"/>
          <w:snapToGrid w:val="0"/>
          <w:kern w:val="0"/>
          <w:sz w:val="24"/>
        </w:rPr>
        <w:t>投标文件未按规定的格式（招标文件 “投标文件格式”）编制或内容不全或关键字迹模糊、无法辨认的</w:t>
      </w:r>
      <w:r>
        <w:rPr>
          <w:rFonts w:hint="eastAsia" w:ascii="宋体" w:hAnsi="宋体" w:eastAsia="宋体" w:cs="宋体"/>
          <w:sz w:val="24"/>
        </w:rPr>
        <w:t>；</w:t>
      </w:r>
    </w:p>
    <w:p w14:paraId="7F4FDBC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25.5、授权代表与投标文件中授权委托书所载内容有异； </w:t>
      </w:r>
    </w:p>
    <w:p w14:paraId="677A6EB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25.6、提供虚假证明材料；</w:t>
      </w:r>
    </w:p>
    <w:p w14:paraId="67563618">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25.7、投标文件不响应招标文件实质性要求（</w:t>
      </w:r>
      <w:r>
        <w:rPr>
          <w:rFonts w:hint="eastAsia" w:ascii="宋体" w:hAnsi="宋体" w:eastAsia="宋体" w:cs="宋体"/>
          <w:bCs/>
          <w:snapToGrid w:val="0"/>
          <w:sz w:val="24"/>
        </w:rPr>
        <w:t>用“</w:t>
      </w:r>
      <w:r>
        <w:rPr>
          <w:rFonts w:hint="eastAsia" w:ascii="宋体" w:hAnsi="宋体" w:eastAsia="宋体" w:cs="宋体"/>
          <w:b/>
          <w:bCs/>
          <w:kern w:val="0"/>
          <w:sz w:val="24"/>
        </w:rPr>
        <w:t>●</w:t>
      </w:r>
      <w:r>
        <w:rPr>
          <w:rFonts w:hint="eastAsia" w:ascii="宋体" w:hAnsi="宋体" w:eastAsia="宋体" w:cs="宋体"/>
          <w:bCs/>
          <w:snapToGrid w:val="0"/>
          <w:sz w:val="24"/>
        </w:rPr>
        <w:t>”标注的条款</w:t>
      </w:r>
      <w:r>
        <w:rPr>
          <w:rFonts w:hint="eastAsia" w:ascii="宋体" w:hAnsi="宋体" w:eastAsia="宋体" w:cs="宋体"/>
          <w:sz w:val="24"/>
        </w:rPr>
        <w:t>）的；</w:t>
      </w:r>
    </w:p>
    <w:p w14:paraId="6235B86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25.8、投标文件中对于招标需求中的实质性内容的响应表述不清，评标委员会不能确认为有效；</w:t>
      </w:r>
    </w:p>
    <w:p w14:paraId="12685FB0">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25.9、投标文件组成中带“▲”资料提供不全的；</w:t>
      </w:r>
    </w:p>
    <w:p w14:paraId="3C01D4A6">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25.10、投标文件份数不符合要求；</w:t>
      </w:r>
    </w:p>
    <w:p w14:paraId="33CD22E2">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25.11、投标技术方案不明确或存在备选（替代）投标方案；</w:t>
      </w:r>
    </w:p>
    <w:p w14:paraId="62D9A764">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25.12、未按照招标文件标明的币种报价；</w:t>
      </w:r>
    </w:p>
    <w:p w14:paraId="1604DE3C">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25.13、报价超出最高限价，或者超出招标预算金额，招标人不能支付；</w:t>
      </w:r>
    </w:p>
    <w:p w14:paraId="6F49082E">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25.14、投标报价具有选择性；</w:t>
      </w:r>
    </w:p>
    <w:p w14:paraId="6A2EDF7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w:t>
      </w:r>
    </w:p>
    <w:p w14:paraId="23CFE4BA">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25.16、若响应人的报价需要修正，响应人未按响应文件要求进行确认的；</w:t>
      </w:r>
    </w:p>
    <w:p w14:paraId="473D8DAB">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25.17、不符合法律、法规等相关规定或投标文件有招标单位不能接受的附加条件；</w:t>
      </w:r>
    </w:p>
    <w:p w14:paraId="7904E302">
      <w:pPr>
        <w:adjustRightInd w:val="0"/>
        <w:spacing w:line="500" w:lineRule="exact"/>
        <w:ind w:firstLine="482" w:firstLineChars="200"/>
        <w:rPr>
          <w:rFonts w:hint="eastAsia" w:ascii="宋体" w:hAnsi="宋体" w:eastAsia="宋体" w:cs="宋体"/>
          <w:b/>
          <w:sz w:val="24"/>
        </w:rPr>
      </w:pPr>
      <w:r>
        <w:rPr>
          <w:rFonts w:hint="eastAsia" w:ascii="宋体" w:hAnsi="宋体" w:eastAsia="宋体" w:cs="宋体"/>
          <w:b/>
          <w:sz w:val="24"/>
        </w:rPr>
        <w:t>25.18、根据招标文件要求，评标委员会认为应当作无效投标处理的其他情况。</w:t>
      </w:r>
    </w:p>
    <w:p w14:paraId="2B2E6C95">
      <w:pPr>
        <w:pStyle w:val="10"/>
        <w:spacing w:line="360" w:lineRule="auto"/>
        <w:ind w:firstLine="0"/>
        <w:rPr>
          <w:rFonts w:ascii="宋体" w:hAnsi="宋体"/>
          <w:b/>
          <w:sz w:val="24"/>
        </w:rPr>
      </w:pPr>
      <w:r>
        <w:rPr>
          <w:rFonts w:ascii="宋体" w:hAnsi="宋体"/>
          <w:b/>
          <w:sz w:val="24"/>
        </w:rPr>
        <w:t>26</w:t>
      </w:r>
      <w:r>
        <w:rPr>
          <w:rFonts w:hint="eastAsia" w:ascii="宋体" w:hAnsi="宋体"/>
          <w:b/>
          <w:sz w:val="24"/>
        </w:rPr>
        <w:t>、废标</w:t>
      </w:r>
    </w:p>
    <w:p w14:paraId="44B916A3">
      <w:pPr>
        <w:pStyle w:val="40"/>
        <w:spacing w:before="0" w:line="500" w:lineRule="exact"/>
        <w:ind w:firstLine="600" w:firstLineChars="250"/>
        <w:rPr>
          <w:rFonts w:hint="eastAsia" w:ascii="宋体" w:hAnsi="宋体" w:eastAsia="宋体" w:cs="宋体"/>
          <w:kern w:val="0"/>
          <w:szCs w:val="24"/>
          <w:lang w:val="zh-CN"/>
        </w:rPr>
      </w:pPr>
      <w:r>
        <w:rPr>
          <w:rFonts w:hint="eastAsia" w:ascii="宋体" w:hAnsi="宋体" w:eastAsia="宋体" w:cs="宋体"/>
          <w:kern w:val="0"/>
          <w:szCs w:val="24"/>
          <w:lang w:val="zh-CN"/>
        </w:rPr>
        <w:t>在招标中，出现下列情形之一的，应予废标：</w:t>
      </w:r>
    </w:p>
    <w:p w14:paraId="4F6F3E4F">
      <w:pPr>
        <w:pStyle w:val="40"/>
        <w:spacing w:before="0" w:line="500" w:lineRule="exact"/>
        <w:ind w:firstLine="508" w:firstLineChars="212"/>
        <w:rPr>
          <w:rFonts w:hint="eastAsia" w:ascii="宋体" w:hAnsi="宋体" w:eastAsia="宋体" w:cs="宋体"/>
          <w:kern w:val="0"/>
          <w:szCs w:val="24"/>
          <w:lang w:val="zh-CN"/>
        </w:rPr>
      </w:pPr>
      <w:r>
        <w:rPr>
          <w:rFonts w:hint="eastAsia" w:ascii="宋体" w:hAnsi="宋体" w:eastAsia="宋体" w:cs="宋体"/>
          <w:kern w:val="0"/>
          <w:szCs w:val="24"/>
          <w:lang w:val="zh-CN"/>
        </w:rPr>
        <w:t>26.1、符合专业条件的投标人或者对招标文件作实质响应的投标人不足三家的；</w:t>
      </w:r>
    </w:p>
    <w:p w14:paraId="6C7CDC93">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26.2、出现影响招标公正的违法、违规行为的；</w:t>
      </w:r>
    </w:p>
    <w:p w14:paraId="349254D7">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26.3、投标人的报价均超过了招标预算，招标人不能支付的；</w:t>
      </w:r>
    </w:p>
    <w:p w14:paraId="7B9198CC">
      <w:pPr>
        <w:pStyle w:val="40"/>
        <w:spacing w:before="0" w:line="500" w:lineRule="exact"/>
        <w:ind w:firstLine="480"/>
        <w:rPr>
          <w:rFonts w:hint="eastAsia" w:ascii="宋体" w:hAnsi="宋体" w:eastAsia="宋体" w:cs="宋体"/>
          <w:kern w:val="0"/>
          <w:szCs w:val="24"/>
          <w:lang w:val="zh-CN"/>
        </w:rPr>
      </w:pPr>
      <w:r>
        <w:rPr>
          <w:rFonts w:hint="eastAsia" w:ascii="宋体" w:hAnsi="宋体" w:eastAsia="宋体" w:cs="宋体"/>
          <w:kern w:val="0"/>
          <w:szCs w:val="24"/>
          <w:lang w:val="zh-CN"/>
        </w:rPr>
        <w:t>26.4、因重大变故，招标任务取消的；</w:t>
      </w:r>
    </w:p>
    <w:p w14:paraId="41E21E95">
      <w:pPr>
        <w:autoSpaceDE w:val="0"/>
        <w:autoSpaceDN w:val="0"/>
        <w:adjustRightInd w:val="0"/>
        <w:spacing w:line="500" w:lineRule="exact"/>
        <w:ind w:firstLine="570"/>
        <w:rPr>
          <w:rFonts w:hint="eastAsia" w:ascii="宋体" w:hAnsi="宋体" w:eastAsia="宋体" w:cs="宋体"/>
          <w:kern w:val="0"/>
          <w:sz w:val="24"/>
          <w:lang w:val="zh-CN"/>
        </w:rPr>
      </w:pPr>
      <w:r>
        <w:rPr>
          <w:rFonts w:hint="eastAsia" w:ascii="宋体" w:hAnsi="宋体" w:eastAsia="宋体" w:cs="宋体"/>
          <w:kern w:val="0"/>
          <w:sz w:val="24"/>
          <w:lang w:val="zh-CN"/>
        </w:rPr>
        <w:t>第一条款按照有关法律法规，除作为废标外可经批准后继续按原招标方式进行或采取其它招标方式。废标后，招标代理单位将就废标理由通知所有投标人。</w:t>
      </w:r>
    </w:p>
    <w:p w14:paraId="2CEE36CB">
      <w:pPr>
        <w:pStyle w:val="10"/>
        <w:spacing w:line="360" w:lineRule="auto"/>
        <w:ind w:firstLine="0"/>
        <w:rPr>
          <w:rFonts w:ascii="宋体" w:hAnsi="宋体"/>
          <w:b/>
          <w:sz w:val="24"/>
        </w:rPr>
      </w:pPr>
      <w:r>
        <w:rPr>
          <w:rFonts w:ascii="宋体" w:hAnsi="宋体"/>
          <w:b/>
          <w:sz w:val="24"/>
        </w:rPr>
        <w:t>27</w:t>
      </w:r>
      <w:r>
        <w:rPr>
          <w:rFonts w:hint="eastAsia" w:ascii="宋体" w:hAnsi="宋体"/>
          <w:b/>
          <w:sz w:val="24"/>
        </w:rPr>
        <w:t>、评标内容的保密</w:t>
      </w:r>
    </w:p>
    <w:p w14:paraId="3832DC48">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rPr>
        <w:t>27.1、凡属于审查、澄清、评价和比较投标的所有资料，不应向投标人或与评标无关的其他人泄漏。</w:t>
      </w:r>
    </w:p>
    <w:p w14:paraId="7E582C5E">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rPr>
        <w:t>27.2、在投标文件的审查、澄清、评价和比较以及确定中标单位过程中，投标人对招标代理机构和评标委员会施加影响的违规行为，都将导致其不被推荐为中标候选人。</w:t>
      </w:r>
    </w:p>
    <w:p w14:paraId="7685992F">
      <w:pPr>
        <w:pStyle w:val="40"/>
        <w:spacing w:before="0" w:line="360" w:lineRule="auto"/>
        <w:ind w:firstLine="482"/>
        <w:jc w:val="center"/>
        <w:outlineLvl w:val="2"/>
        <w:rPr>
          <w:rFonts w:ascii="宋体" w:hAnsi="宋体" w:cs="宋体"/>
          <w:b/>
          <w:szCs w:val="24"/>
        </w:rPr>
      </w:pPr>
      <w:r>
        <w:rPr>
          <w:rFonts w:hint="eastAsia" w:ascii="宋体" w:hAnsi="宋体" w:cs="宋体"/>
          <w:b/>
          <w:szCs w:val="24"/>
        </w:rPr>
        <w:t>七、定标</w:t>
      </w:r>
    </w:p>
    <w:p w14:paraId="15161A8F">
      <w:pPr>
        <w:pStyle w:val="40"/>
        <w:spacing w:before="0" w:line="500" w:lineRule="exact"/>
        <w:ind w:firstLine="0" w:firstLineChars="0"/>
        <w:rPr>
          <w:rFonts w:hint="eastAsia" w:ascii="宋体" w:hAnsi="宋体" w:eastAsia="宋体" w:cs="宋体"/>
          <w:b/>
          <w:szCs w:val="24"/>
        </w:rPr>
      </w:pPr>
      <w:r>
        <w:rPr>
          <w:rFonts w:hint="eastAsia" w:ascii="宋体" w:hAnsi="宋体" w:eastAsia="宋体" w:cs="宋体"/>
          <w:b/>
          <w:szCs w:val="24"/>
        </w:rPr>
        <w:t>28、</w:t>
      </w:r>
      <w:r>
        <w:rPr>
          <w:rFonts w:hint="eastAsia" w:ascii="宋体" w:hAnsi="宋体" w:eastAsia="宋体" w:cs="宋体"/>
          <w:b/>
        </w:rPr>
        <w:t>中标候选人公示</w:t>
      </w:r>
    </w:p>
    <w:p w14:paraId="59F17785">
      <w:pPr>
        <w:pStyle w:val="40"/>
        <w:spacing w:before="0" w:line="500" w:lineRule="exact"/>
        <w:ind w:firstLine="480"/>
        <w:rPr>
          <w:rFonts w:hint="eastAsia" w:ascii="宋体" w:hAnsi="宋体" w:eastAsia="宋体" w:cs="宋体"/>
          <w:szCs w:val="24"/>
        </w:rPr>
      </w:pPr>
      <w:r>
        <w:rPr>
          <w:rFonts w:hint="eastAsia" w:ascii="宋体" w:hAnsi="宋体" w:eastAsia="宋体" w:cs="宋体"/>
          <w:color w:val="auto"/>
          <w:szCs w:val="24"/>
          <w:highlight w:val="none"/>
          <w:lang w:eastAsia="zh-CN"/>
        </w:rPr>
        <w:t>招标代理</w:t>
      </w:r>
      <w:r>
        <w:rPr>
          <w:rFonts w:hint="eastAsia" w:ascii="宋体" w:hAnsi="宋体" w:eastAsia="宋体" w:cs="宋体"/>
          <w:color w:val="auto"/>
          <w:szCs w:val="24"/>
          <w:highlight w:val="none"/>
        </w:rPr>
        <w:t>机构在评标结束后</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个工作日内将评标报告交</w:t>
      </w:r>
      <w:r>
        <w:rPr>
          <w:rFonts w:hint="eastAsia" w:ascii="宋体" w:hAnsi="宋体" w:eastAsia="宋体" w:cs="宋体"/>
          <w:color w:val="auto"/>
          <w:szCs w:val="24"/>
          <w:highlight w:val="none"/>
          <w:lang w:eastAsia="zh-CN"/>
        </w:rPr>
        <w:t>招标</w:t>
      </w:r>
      <w:r>
        <w:rPr>
          <w:rFonts w:hint="eastAsia" w:ascii="宋体" w:hAnsi="宋体" w:eastAsia="宋体" w:cs="宋体"/>
          <w:color w:val="auto"/>
          <w:szCs w:val="24"/>
          <w:highlight w:val="none"/>
        </w:rPr>
        <w:t>人确认。在发布招标公告的网站上对评标结果进行公示，公示时间为3</w:t>
      </w:r>
      <w:r>
        <w:rPr>
          <w:rFonts w:hint="eastAsia" w:ascii="宋体" w:hAnsi="宋体" w:eastAsia="宋体" w:cs="宋体"/>
          <w:color w:val="auto"/>
          <w:szCs w:val="24"/>
          <w:highlight w:val="none"/>
          <w:lang w:val="en-US" w:eastAsia="zh-CN"/>
        </w:rPr>
        <w:t>天</w:t>
      </w:r>
      <w:r>
        <w:rPr>
          <w:rFonts w:hint="eastAsia" w:ascii="宋体" w:hAnsi="宋体" w:eastAsia="宋体" w:cs="宋体"/>
          <w:color w:val="auto"/>
          <w:szCs w:val="24"/>
          <w:highlight w:val="none"/>
        </w:rPr>
        <w:t>。</w:t>
      </w:r>
    </w:p>
    <w:p w14:paraId="21A7BEB0">
      <w:pPr>
        <w:pStyle w:val="40"/>
        <w:spacing w:before="0" w:line="500" w:lineRule="exact"/>
        <w:ind w:firstLine="0" w:firstLineChars="0"/>
        <w:rPr>
          <w:rFonts w:hint="eastAsia" w:ascii="宋体" w:hAnsi="宋体" w:eastAsia="宋体" w:cs="宋体"/>
          <w:szCs w:val="24"/>
        </w:rPr>
      </w:pPr>
      <w:r>
        <w:rPr>
          <w:rFonts w:hint="eastAsia" w:ascii="宋体" w:hAnsi="宋体" w:eastAsia="宋体" w:cs="宋体"/>
          <w:szCs w:val="24"/>
        </w:rPr>
        <w:t>29、定标</w:t>
      </w:r>
    </w:p>
    <w:p w14:paraId="066D875F">
      <w:pPr>
        <w:pStyle w:val="40"/>
        <w:spacing w:before="0" w:line="500" w:lineRule="exact"/>
        <w:ind w:firstLine="480"/>
        <w:rPr>
          <w:rFonts w:hint="eastAsia" w:ascii="宋体" w:hAnsi="宋体" w:eastAsia="宋体" w:cs="宋体"/>
          <w:szCs w:val="24"/>
        </w:rPr>
      </w:pPr>
      <w:r>
        <w:rPr>
          <w:rFonts w:hint="eastAsia" w:ascii="宋体" w:hAnsi="宋体" w:eastAsia="宋体" w:cs="宋体"/>
          <w:szCs w:val="24"/>
          <w:highlight w:val="none"/>
        </w:rPr>
        <w:t>招标人应当确定排名第一的中标候选人为中标人</w:t>
      </w:r>
      <w:r>
        <w:rPr>
          <w:rFonts w:hint="eastAsia" w:ascii="宋体" w:hAnsi="宋体" w:eastAsia="宋体" w:cs="宋体"/>
          <w:szCs w:val="24"/>
        </w:rPr>
        <w:t>。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对于未中标单位，将不再另行通知，招标单位无义务解释未中标原因。</w:t>
      </w:r>
    </w:p>
    <w:p w14:paraId="3066D3FF">
      <w:pPr>
        <w:pStyle w:val="40"/>
        <w:spacing w:before="0" w:line="500" w:lineRule="exact"/>
        <w:ind w:firstLine="0" w:firstLineChars="0"/>
        <w:rPr>
          <w:rFonts w:hint="eastAsia" w:ascii="宋体" w:hAnsi="宋体" w:eastAsia="宋体" w:cs="宋体"/>
          <w:szCs w:val="24"/>
        </w:rPr>
      </w:pPr>
      <w:r>
        <w:rPr>
          <w:rFonts w:hint="eastAsia" w:ascii="宋体" w:hAnsi="宋体" w:eastAsia="宋体" w:cs="宋体"/>
          <w:szCs w:val="24"/>
        </w:rPr>
        <w:t>30、中标通知书</w:t>
      </w:r>
    </w:p>
    <w:p w14:paraId="659353C7">
      <w:pPr>
        <w:pStyle w:val="40"/>
        <w:spacing w:before="0" w:line="500" w:lineRule="exact"/>
        <w:ind w:firstLine="480"/>
        <w:rPr>
          <w:rFonts w:hint="eastAsia" w:ascii="宋体" w:hAnsi="宋体" w:eastAsia="宋体" w:cs="宋体"/>
        </w:rPr>
      </w:pPr>
      <w:r>
        <w:rPr>
          <w:rFonts w:hint="eastAsia" w:ascii="宋体" w:hAnsi="宋体" w:eastAsia="宋体" w:cs="宋体"/>
          <w:szCs w:val="24"/>
        </w:rPr>
        <w:t>中标候选人公示期满无异议的，在规定的投标有效期内，招标人以书面形式向中标人发出中标通知书</w:t>
      </w:r>
      <w:r>
        <w:rPr>
          <w:rFonts w:hint="eastAsia" w:ascii="宋体" w:hAnsi="宋体" w:eastAsia="宋体" w:cs="宋体"/>
        </w:rPr>
        <w:t>。</w:t>
      </w:r>
    </w:p>
    <w:p w14:paraId="45693AD0">
      <w:pPr>
        <w:pStyle w:val="40"/>
        <w:spacing w:before="0" w:line="360" w:lineRule="auto"/>
        <w:ind w:firstLine="480"/>
        <w:jc w:val="left"/>
        <w:rPr>
          <w:rFonts w:ascii="宋体" w:hAnsi="宋体" w:cs="宋体"/>
          <w:szCs w:val="24"/>
        </w:rPr>
      </w:pPr>
    </w:p>
    <w:p w14:paraId="3FF017ED">
      <w:pPr>
        <w:pStyle w:val="40"/>
        <w:spacing w:before="0" w:line="360" w:lineRule="auto"/>
        <w:ind w:firstLine="482"/>
        <w:jc w:val="center"/>
        <w:outlineLvl w:val="2"/>
        <w:rPr>
          <w:rFonts w:ascii="宋体" w:hAnsi="宋体" w:cs="宋体"/>
          <w:b/>
          <w:szCs w:val="24"/>
        </w:rPr>
      </w:pPr>
      <w:r>
        <w:rPr>
          <w:rFonts w:hint="eastAsia" w:ascii="宋体" w:hAnsi="宋体" w:cs="宋体"/>
          <w:b/>
          <w:szCs w:val="24"/>
        </w:rPr>
        <w:t>八、合同签订及其他</w:t>
      </w:r>
    </w:p>
    <w:p w14:paraId="30FD4853">
      <w:pPr>
        <w:pStyle w:val="40"/>
        <w:spacing w:before="0" w:line="360" w:lineRule="auto"/>
        <w:ind w:firstLine="0" w:firstLineChars="0"/>
        <w:rPr>
          <w:rFonts w:ascii="宋体" w:hAnsi="宋体" w:cs="宋体"/>
          <w:b/>
          <w:szCs w:val="24"/>
        </w:rPr>
      </w:pPr>
      <w:r>
        <w:rPr>
          <w:rFonts w:hint="eastAsia" w:ascii="宋体" w:hAnsi="宋体" w:cs="宋体"/>
          <w:b/>
          <w:szCs w:val="24"/>
        </w:rPr>
        <w:t>31、签订合同</w:t>
      </w:r>
    </w:p>
    <w:p w14:paraId="06776A52">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31.1、</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人与中标单位应当在</w:t>
      </w:r>
      <w:r>
        <w:rPr>
          <w:rFonts w:hint="eastAsia" w:ascii="宋体" w:hAnsi="宋体" w:eastAsia="宋体" w:cs="宋体"/>
          <w:color w:val="auto"/>
          <w:sz w:val="24"/>
          <w:highlight w:val="none"/>
          <w:lang w:eastAsia="zh-CN"/>
        </w:rPr>
        <w:t>中标通知书原件</w:t>
      </w:r>
      <w:r>
        <w:rPr>
          <w:rFonts w:hint="eastAsia" w:ascii="宋体" w:hAnsi="宋体" w:eastAsia="宋体" w:cs="宋体"/>
          <w:color w:val="auto"/>
          <w:sz w:val="24"/>
          <w:highlight w:val="none"/>
        </w:rPr>
        <w:t>发出之日起30日内签订采购合同</w:t>
      </w:r>
      <w:r>
        <w:rPr>
          <w:rFonts w:hint="eastAsia" w:ascii="宋体" w:hAnsi="宋体" w:cs="宋体"/>
          <w:color w:val="auto"/>
          <w:sz w:val="24"/>
          <w:highlight w:val="none"/>
          <w:lang w:eastAsia="zh-CN"/>
        </w:rPr>
        <w:t>。</w:t>
      </w:r>
    </w:p>
    <w:p w14:paraId="06B6473D">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31.2、招标文件、中标单位的投标文件、澄清文件及中标通知书原件等，均为签订合同的依据。</w:t>
      </w:r>
    </w:p>
    <w:p w14:paraId="5906CD95">
      <w:pPr>
        <w:adjustRightIn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31.3、中标单位不遵守招标文件或投标文件的要约、承诺，擅自修改报价或在接到中标通知书原件规定时间内借故拖延、拒签合同者，招标单位有权取消该单位的中标资格，与下一中标候选人签订合同或重新组织招标。</w:t>
      </w:r>
    </w:p>
    <w:p w14:paraId="4DFDBE74">
      <w:pPr>
        <w:pStyle w:val="40"/>
        <w:spacing w:before="0" w:line="360" w:lineRule="auto"/>
        <w:ind w:firstLine="0" w:firstLineChars="0"/>
        <w:rPr>
          <w:rFonts w:ascii="宋体" w:hAnsi="宋体" w:cs="宋体"/>
          <w:b/>
          <w:szCs w:val="24"/>
        </w:rPr>
      </w:pPr>
      <w:r>
        <w:rPr>
          <w:rFonts w:hint="eastAsia" w:ascii="宋体" w:hAnsi="宋体" w:cs="宋体"/>
          <w:b/>
          <w:szCs w:val="24"/>
        </w:rPr>
        <w:t>32、履约保证金（不需要）</w:t>
      </w:r>
    </w:p>
    <w:p w14:paraId="788986C0">
      <w:pPr>
        <w:pStyle w:val="40"/>
        <w:spacing w:before="0" w:line="500" w:lineRule="exact"/>
        <w:ind w:firstLine="480"/>
        <w:rPr>
          <w:rFonts w:hint="eastAsia" w:ascii="宋体" w:hAnsi="宋体" w:eastAsia="宋体" w:cs="宋体"/>
        </w:rPr>
      </w:pPr>
      <w:r>
        <w:rPr>
          <w:rFonts w:hint="eastAsia" w:ascii="宋体" w:hAnsi="宋体" w:eastAsia="宋体" w:cs="宋体"/>
        </w:rPr>
        <w:t>32.1、详见第三部分 招标需求相关要求。</w:t>
      </w:r>
    </w:p>
    <w:p w14:paraId="7711FCA6">
      <w:pPr>
        <w:pStyle w:val="40"/>
        <w:spacing w:before="0" w:line="360" w:lineRule="auto"/>
        <w:ind w:firstLine="0" w:firstLineChars="0"/>
        <w:rPr>
          <w:rFonts w:hint="eastAsia" w:ascii="宋体" w:hAnsi="宋体" w:eastAsia="宋体" w:cs="宋体"/>
          <w:b/>
          <w:szCs w:val="24"/>
          <w:lang w:val="en-US" w:eastAsia="zh-CN"/>
        </w:rPr>
      </w:pPr>
      <w:r>
        <w:rPr>
          <w:rFonts w:hint="eastAsia" w:ascii="宋体" w:hAnsi="宋体" w:cs="宋体"/>
          <w:b/>
          <w:szCs w:val="24"/>
          <w:lang w:val="en-US" w:eastAsia="zh-CN"/>
        </w:rPr>
        <w:t>33、</w:t>
      </w:r>
      <w:r>
        <w:rPr>
          <w:rFonts w:hint="eastAsia" w:ascii="宋体" w:hAnsi="宋体" w:cs="宋体"/>
          <w:b/>
          <w:szCs w:val="24"/>
        </w:rPr>
        <w:t>质量保证金</w:t>
      </w:r>
    </w:p>
    <w:p w14:paraId="695BA354">
      <w:pPr>
        <w:pStyle w:val="40"/>
        <w:spacing w:before="0" w:line="500" w:lineRule="exact"/>
        <w:ind w:firstLine="480"/>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3</w:t>
      </w:r>
      <w:r>
        <w:rPr>
          <w:rFonts w:hint="eastAsia" w:ascii="宋体" w:hAnsi="宋体" w:eastAsia="宋体" w:cs="宋体"/>
        </w:rPr>
        <w:t>.1、详见第三部分 招标需求相关要求。</w:t>
      </w:r>
    </w:p>
    <w:p w14:paraId="5CD35BED">
      <w:pPr>
        <w:pStyle w:val="40"/>
        <w:spacing w:before="0" w:line="360" w:lineRule="auto"/>
        <w:ind w:firstLine="0" w:firstLineChars="0"/>
        <w:rPr>
          <w:rFonts w:ascii="宋体" w:hAnsi="宋体" w:cs="宋体"/>
          <w:b/>
          <w:szCs w:val="24"/>
        </w:rPr>
      </w:pPr>
      <w:r>
        <w:rPr>
          <w:rFonts w:hint="eastAsia" w:ascii="宋体" w:hAnsi="宋体" w:cs="宋体"/>
          <w:b/>
          <w:szCs w:val="24"/>
        </w:rPr>
        <w:t>3</w:t>
      </w:r>
      <w:r>
        <w:rPr>
          <w:rFonts w:hint="eastAsia" w:ascii="宋体" w:hAnsi="宋体" w:cs="宋体"/>
          <w:b/>
          <w:szCs w:val="24"/>
          <w:lang w:val="en-US" w:eastAsia="zh-CN"/>
        </w:rPr>
        <w:t>4</w:t>
      </w:r>
      <w:r>
        <w:rPr>
          <w:rFonts w:hint="eastAsia" w:ascii="宋体" w:hAnsi="宋体" w:cs="宋体"/>
          <w:b/>
          <w:szCs w:val="24"/>
        </w:rPr>
        <w:t>、对不按招标文件、投标承诺及采购合同要求供货的供应商，将依据相关法律法规的规定，给予1至3年内禁止参加杭州余杭环境（水务）控股集团有限公司及下属子公司采购活动的处罚，并依照嘉澍新材供应商管理办法，列入不合格供应商库，对拒不改正的将无限期禁止其参加杭州余杭环境（水务）控股集团有限公司及下属子公司采购活动，同时将处罚结果上网进行公示。</w:t>
      </w:r>
    </w:p>
    <w:p w14:paraId="0566085F">
      <w:pPr>
        <w:pStyle w:val="40"/>
        <w:spacing w:before="0" w:line="360" w:lineRule="auto"/>
        <w:ind w:firstLine="0" w:firstLineChars="0"/>
        <w:rPr>
          <w:rFonts w:ascii="宋体" w:hAnsi="宋体" w:cs="宋体"/>
          <w:b/>
          <w:szCs w:val="24"/>
        </w:rPr>
      </w:pPr>
      <w:r>
        <w:rPr>
          <w:rFonts w:hint="eastAsia" w:ascii="宋体" w:hAnsi="宋体" w:cs="宋体"/>
          <w:b/>
          <w:szCs w:val="24"/>
          <w:lang w:val="en-US" w:eastAsia="zh-CN"/>
        </w:rPr>
        <w:t>35</w:t>
      </w:r>
      <w:r>
        <w:rPr>
          <w:rFonts w:hint="eastAsia" w:ascii="宋体" w:hAnsi="宋体" w:cs="宋体"/>
          <w:b/>
          <w:szCs w:val="24"/>
        </w:rPr>
        <w:t>、质疑与投诉</w:t>
      </w:r>
    </w:p>
    <w:p w14:paraId="1FFB62B2">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.1、投标人如认为采购文件、采购过程的产生过程存在违法行为，使自身的合法权益受到损害的，可以在知道或者应知权益受到损害之日起七个工作日内，以书面形式向采购人、</w:t>
      </w:r>
      <w:r>
        <w:rPr>
          <w:rFonts w:hint="eastAsia" w:ascii="宋体" w:hAnsi="宋体" w:eastAsia="宋体" w:cs="宋体"/>
          <w:color w:val="auto"/>
          <w:highlight w:val="none"/>
          <w:lang w:eastAsia="zh-CN"/>
        </w:rPr>
        <w:t>招标代理</w:t>
      </w:r>
      <w:r>
        <w:rPr>
          <w:rFonts w:hint="eastAsia" w:ascii="宋体" w:hAnsi="宋体" w:eastAsia="宋体" w:cs="宋体"/>
          <w:color w:val="auto"/>
          <w:highlight w:val="none"/>
        </w:rPr>
        <w:t>机构提出质疑，针对同一采购程序环节的质疑应一次性提出，质疑应提交必要的证明材料；</w:t>
      </w:r>
    </w:p>
    <w:p w14:paraId="4538D5CD">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.2、投标人如认为采购结果存在违法行为，使自身的合法权益受到损害的，可以在中标公示期内，以书面形式向采购人、</w:t>
      </w:r>
      <w:r>
        <w:rPr>
          <w:rFonts w:hint="eastAsia" w:ascii="宋体" w:hAnsi="宋体" w:eastAsia="宋体" w:cs="宋体"/>
          <w:color w:val="auto"/>
          <w:highlight w:val="none"/>
          <w:lang w:eastAsia="zh-CN"/>
        </w:rPr>
        <w:t>招标代理</w:t>
      </w:r>
      <w:r>
        <w:rPr>
          <w:rFonts w:hint="eastAsia" w:ascii="宋体" w:hAnsi="宋体" w:eastAsia="宋体" w:cs="宋体"/>
          <w:color w:val="auto"/>
          <w:highlight w:val="none"/>
        </w:rPr>
        <w:t>机构提出质疑、投诉，针对同一采购程序环节的质疑、投诉应一次性提出，质疑、投诉应提交必要的证明材料；</w:t>
      </w:r>
    </w:p>
    <w:p w14:paraId="50AE320C">
      <w:pPr>
        <w:pStyle w:val="40"/>
        <w:widowControl w:val="0"/>
        <w:wordWrap/>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5</w:t>
      </w:r>
      <w:r>
        <w:rPr>
          <w:rFonts w:hint="eastAsia" w:ascii="宋体" w:hAnsi="宋体" w:eastAsia="宋体" w:cs="宋体"/>
          <w:color w:val="auto"/>
          <w:highlight w:val="none"/>
        </w:rPr>
        <w:t>.3、质疑、投诉范本：</w:t>
      </w:r>
    </w:p>
    <w:p w14:paraId="6009E6D1">
      <w:pPr>
        <w:pStyle w:val="40"/>
        <w:widowControl w:val="0"/>
        <w:wordWrap/>
        <w:spacing w:before="0"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http://download.ccgp.gov.cn/2018/zhiyihanfanben.zip</w:t>
      </w:r>
    </w:p>
    <w:p w14:paraId="15569BA0">
      <w:pPr>
        <w:pStyle w:val="40"/>
        <w:spacing w:before="0" w:line="360" w:lineRule="auto"/>
        <w:ind w:firstLine="482"/>
        <w:jc w:val="center"/>
        <w:rPr>
          <w:rFonts w:ascii="宋体" w:hAnsi="宋体" w:cs="宋体"/>
          <w:b/>
          <w:bCs/>
          <w:szCs w:val="24"/>
        </w:rPr>
      </w:pPr>
    </w:p>
    <w:p w14:paraId="2813119F">
      <w:pPr>
        <w:pStyle w:val="40"/>
        <w:spacing w:before="0" w:line="360" w:lineRule="auto"/>
        <w:ind w:firstLine="482"/>
        <w:jc w:val="center"/>
        <w:outlineLvl w:val="1"/>
        <w:rPr>
          <w:rFonts w:ascii="宋体" w:hAnsi="宋体" w:cs="宋体"/>
          <w:b/>
          <w:bCs/>
          <w:szCs w:val="24"/>
        </w:rPr>
      </w:pPr>
      <w:r>
        <w:rPr>
          <w:rFonts w:hint="eastAsia" w:ascii="宋体" w:hAnsi="宋体" w:cs="宋体"/>
          <w:b/>
          <w:bCs/>
          <w:szCs w:val="24"/>
        </w:rPr>
        <w:t>第二节   投标人须知之专用条款</w:t>
      </w:r>
    </w:p>
    <w:p w14:paraId="237AC780">
      <w:pPr>
        <w:pStyle w:val="40"/>
        <w:spacing w:before="0" w:line="360" w:lineRule="auto"/>
        <w:ind w:firstLine="0" w:firstLineChars="0"/>
        <w:rPr>
          <w:rFonts w:ascii="宋体" w:hAnsi="宋体" w:cs="宋体"/>
          <w:b/>
          <w:szCs w:val="24"/>
        </w:rPr>
      </w:pPr>
      <w:r>
        <w:rPr>
          <w:rFonts w:hint="eastAsia" w:ascii="宋体" w:hAnsi="宋体" w:cs="宋体"/>
          <w:b/>
          <w:szCs w:val="24"/>
        </w:rPr>
        <w:t>3</w:t>
      </w:r>
      <w:r>
        <w:rPr>
          <w:rFonts w:hint="eastAsia" w:ascii="宋体" w:hAnsi="宋体" w:cs="宋体"/>
          <w:b/>
          <w:szCs w:val="24"/>
          <w:lang w:val="en-US" w:eastAsia="zh-CN"/>
        </w:rPr>
        <w:t>6</w:t>
      </w:r>
      <w:r>
        <w:rPr>
          <w:rFonts w:hint="eastAsia" w:ascii="宋体" w:hAnsi="宋体" w:cs="宋体"/>
          <w:b/>
          <w:szCs w:val="24"/>
        </w:rPr>
        <w:t>、投标文件组成（加“</w:t>
      </w:r>
      <w:r>
        <w:rPr>
          <w:rFonts w:hint="eastAsia" w:ascii="宋体" w:hAnsi="宋体" w:cs="宋体"/>
          <w:b/>
          <w:kern w:val="0"/>
          <w:szCs w:val="24"/>
        </w:rPr>
        <w:t>▲</w:t>
      </w:r>
      <w:r>
        <w:rPr>
          <w:rFonts w:hint="eastAsia" w:ascii="宋体" w:hAnsi="宋体" w:cs="宋体"/>
          <w:b/>
          <w:szCs w:val="24"/>
        </w:rPr>
        <w:t>”的资料为必须提供，否则将视为无效标处理）</w:t>
      </w:r>
    </w:p>
    <w:p w14:paraId="1B6470E0">
      <w:pPr>
        <w:adjustRightInd w:val="0"/>
        <w:spacing w:line="360" w:lineRule="auto"/>
        <w:ind w:firstLine="482" w:firstLineChars="200"/>
        <w:rPr>
          <w:rFonts w:ascii="宋体" w:hAnsi="宋体" w:cs="宋体"/>
          <w:sz w:val="24"/>
          <w:szCs w:val="24"/>
        </w:rPr>
      </w:pPr>
      <w:r>
        <w:rPr>
          <w:rFonts w:hint="eastAsia" w:ascii="宋体" w:hAnsi="宋体" w:cs="宋体"/>
          <w:b/>
          <w:sz w:val="24"/>
          <w:szCs w:val="24"/>
        </w:rPr>
        <w:t>部分格式可参考“第</w:t>
      </w:r>
      <w:r>
        <w:rPr>
          <w:rFonts w:hint="eastAsia" w:ascii="宋体" w:hAnsi="宋体" w:cs="宋体"/>
          <w:b/>
          <w:sz w:val="24"/>
          <w:szCs w:val="24"/>
          <w:lang w:val="en-US" w:eastAsia="zh-CN"/>
        </w:rPr>
        <w:t>五</w:t>
      </w:r>
      <w:r>
        <w:rPr>
          <w:rFonts w:hint="eastAsia" w:ascii="宋体" w:hAnsi="宋体" w:cs="宋体"/>
          <w:b/>
          <w:sz w:val="24"/>
          <w:szCs w:val="24"/>
        </w:rPr>
        <w:t>部分 投标文件格式”，未提供参考格式的由投标人根据相关要求自行编制。</w:t>
      </w:r>
      <w:r>
        <w:rPr>
          <w:rFonts w:hint="eastAsia" w:ascii="宋体" w:hAnsi="宋体" w:cs="宋体"/>
          <w:sz w:val="24"/>
          <w:szCs w:val="24"/>
        </w:rPr>
        <w:t>投标文件一般应当包括以下主要内容：</w:t>
      </w:r>
      <w:r>
        <w:rPr>
          <w:rFonts w:hint="eastAsia" w:ascii="宋体" w:hAnsi="宋体" w:cs="宋体"/>
          <w:b/>
          <w:sz w:val="24"/>
          <w:szCs w:val="24"/>
        </w:rPr>
        <w:t>报价文件和技术文件、商务文件</w:t>
      </w:r>
      <w:r>
        <w:rPr>
          <w:rFonts w:hint="eastAsia" w:ascii="宋体" w:hAnsi="宋体" w:cs="宋体"/>
          <w:sz w:val="24"/>
          <w:szCs w:val="24"/>
        </w:rPr>
        <w:t>。</w:t>
      </w:r>
    </w:p>
    <w:p w14:paraId="2A0E0AF7">
      <w:pPr>
        <w:adjustRightInd w:val="0"/>
        <w:spacing w:line="360" w:lineRule="auto"/>
        <w:ind w:firstLine="482" w:firstLineChars="200"/>
        <w:rPr>
          <w:rFonts w:ascii="宋体" w:hAnsi="宋体" w:cs="宋体"/>
          <w:b/>
          <w:sz w:val="24"/>
          <w:szCs w:val="24"/>
        </w:rPr>
      </w:pPr>
      <w:r>
        <w:rPr>
          <w:rFonts w:hint="eastAsia" w:ascii="宋体" w:hAnsi="宋体" w:cs="宋体"/>
          <w:b/>
          <w:sz w:val="24"/>
          <w:szCs w:val="24"/>
        </w:rPr>
        <w:t>注意：投标文件封面、开标一览表、投标响应函、授权委托书须加盖单位公章，开标一览表、投标响应函须经法定代表人（或授权代表）签字，否则视为无效投标。</w:t>
      </w:r>
    </w:p>
    <w:p w14:paraId="777B6936">
      <w:pPr>
        <w:pStyle w:val="40"/>
        <w:spacing w:before="0" w:line="360" w:lineRule="auto"/>
        <w:ind w:firstLine="482"/>
        <w:outlineLvl w:val="2"/>
        <w:rPr>
          <w:rFonts w:ascii="宋体" w:hAnsi="宋体" w:cs="宋体"/>
          <w:kern w:val="0"/>
          <w:szCs w:val="24"/>
        </w:rPr>
      </w:pPr>
      <w:r>
        <w:rPr>
          <w:rFonts w:hint="eastAsia" w:ascii="宋体" w:hAnsi="宋体" w:cs="宋体"/>
          <w:b/>
          <w:kern w:val="0"/>
          <w:szCs w:val="24"/>
        </w:rPr>
        <w:t>3</w:t>
      </w:r>
      <w:r>
        <w:rPr>
          <w:rFonts w:hint="eastAsia" w:ascii="宋体" w:hAnsi="宋体" w:cs="宋体"/>
          <w:b/>
          <w:kern w:val="0"/>
          <w:szCs w:val="24"/>
          <w:lang w:val="en-US" w:eastAsia="zh-CN"/>
        </w:rPr>
        <w:t>6</w:t>
      </w:r>
      <w:r>
        <w:rPr>
          <w:rFonts w:hint="eastAsia" w:ascii="宋体" w:hAnsi="宋体" w:cs="宋体"/>
          <w:b/>
          <w:kern w:val="0"/>
          <w:szCs w:val="24"/>
        </w:rPr>
        <w:t>.1、</w:t>
      </w:r>
      <w:r>
        <w:rPr>
          <w:rFonts w:hint="eastAsia" w:ascii="宋体" w:hAnsi="宋体" w:cs="宋体"/>
          <w:kern w:val="0"/>
          <w:szCs w:val="24"/>
        </w:rPr>
        <w:t>投标人的</w:t>
      </w:r>
      <w:r>
        <w:rPr>
          <w:rFonts w:hint="eastAsia" w:ascii="宋体" w:hAnsi="宋体" w:cs="宋体"/>
          <w:b/>
          <w:kern w:val="0"/>
          <w:szCs w:val="24"/>
        </w:rPr>
        <w:t>报价文件</w:t>
      </w:r>
      <w:r>
        <w:rPr>
          <w:rFonts w:hint="eastAsia" w:ascii="宋体" w:hAnsi="宋体" w:cs="宋体"/>
          <w:kern w:val="0"/>
          <w:szCs w:val="24"/>
        </w:rPr>
        <w:t>应单独密封，内容应当包含以下内容：</w:t>
      </w:r>
    </w:p>
    <w:p w14:paraId="0E1CA1A3">
      <w:pPr>
        <w:pStyle w:val="13"/>
        <w:spacing w:line="360" w:lineRule="auto"/>
        <w:ind w:firstLine="480" w:firstLineChars="200"/>
        <w:rPr>
          <w:rFonts w:hAnsi="宋体" w:eastAsia="宋体" w:cs="宋体"/>
          <w:b w:val="0"/>
          <w:sz w:val="24"/>
          <w:szCs w:val="24"/>
        </w:rPr>
      </w:pPr>
      <w:r>
        <w:rPr>
          <w:rFonts w:hint="eastAsia" w:hAnsi="宋体" w:eastAsia="宋体" w:cs="宋体"/>
          <w:b w:val="0"/>
          <w:sz w:val="24"/>
          <w:szCs w:val="24"/>
        </w:rPr>
        <w:t>▲3</w:t>
      </w:r>
      <w:r>
        <w:rPr>
          <w:rFonts w:hint="eastAsia" w:hAnsi="宋体" w:eastAsia="宋体" w:cs="宋体"/>
          <w:b w:val="0"/>
          <w:sz w:val="24"/>
          <w:szCs w:val="24"/>
          <w:lang w:val="en-US" w:eastAsia="zh-CN"/>
        </w:rPr>
        <w:t>6</w:t>
      </w:r>
      <w:r>
        <w:rPr>
          <w:rFonts w:hint="eastAsia" w:hAnsi="宋体" w:eastAsia="宋体" w:cs="宋体"/>
          <w:b w:val="0"/>
          <w:sz w:val="24"/>
          <w:szCs w:val="24"/>
        </w:rPr>
        <w:t>.1.1、开标一览表；</w:t>
      </w:r>
    </w:p>
    <w:p w14:paraId="2BD74338">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.1.2、分项报价表；</w:t>
      </w:r>
    </w:p>
    <w:p w14:paraId="424C26B3">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、投标人需要说明的其他文件和资料。</w:t>
      </w:r>
    </w:p>
    <w:p w14:paraId="65630D4C">
      <w:pPr>
        <w:adjustRightInd w:val="0"/>
        <w:spacing w:line="360" w:lineRule="auto"/>
        <w:ind w:firstLine="482" w:firstLineChars="200"/>
        <w:rPr>
          <w:rFonts w:ascii="宋体" w:hAnsi="宋体" w:cs="宋体"/>
          <w:b/>
          <w:sz w:val="24"/>
          <w:szCs w:val="24"/>
        </w:rPr>
      </w:pPr>
      <w:r>
        <w:rPr>
          <w:rFonts w:hint="eastAsia" w:ascii="宋体" w:hAnsi="宋体" w:cs="宋体"/>
          <w:b/>
          <w:sz w:val="24"/>
          <w:szCs w:val="24"/>
        </w:rPr>
        <w:t>投标报价注意事项：</w:t>
      </w:r>
    </w:p>
    <w:p w14:paraId="20BCA53E">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olor w:val="auto"/>
          <w:sz w:val="24"/>
        </w:rPr>
        <w:t>投标报价应包括</w:t>
      </w:r>
      <w:r>
        <w:rPr>
          <w:rFonts w:hint="eastAsia" w:ascii="宋体" w:hAnsi="宋体"/>
          <w:color w:val="auto"/>
          <w:sz w:val="24"/>
          <w:szCs w:val="24"/>
        </w:rPr>
        <w:t>药剂本身价格</w:t>
      </w:r>
      <w:r>
        <w:rPr>
          <w:rFonts w:hint="eastAsia" w:ascii="宋体" w:hAnsi="宋体"/>
          <w:color w:val="auto"/>
          <w:sz w:val="24"/>
        </w:rPr>
        <w:t>、</w:t>
      </w:r>
      <w:r>
        <w:rPr>
          <w:rFonts w:hint="eastAsia" w:ascii="宋体" w:hAnsi="宋体"/>
          <w:color w:val="auto"/>
          <w:sz w:val="24"/>
          <w:lang w:val="en-US" w:eastAsia="zh-CN"/>
        </w:rPr>
        <w:t>技术</w:t>
      </w:r>
      <w:r>
        <w:rPr>
          <w:rFonts w:hint="eastAsia" w:ascii="宋体" w:hAnsi="宋体"/>
          <w:color w:val="auto"/>
          <w:sz w:val="24"/>
        </w:rPr>
        <w:t>指导费、运送至采购人指定地点的费用、装卸费、质保期内的其他费用以及利润、税金、政策性文件规定等须由投标人支付的所有费用</w:t>
      </w:r>
      <w:r>
        <w:rPr>
          <w:rFonts w:hint="eastAsia" w:ascii="宋体" w:hAnsi="宋体" w:cs="宋体"/>
          <w:sz w:val="24"/>
        </w:rPr>
        <w:t>。</w:t>
      </w:r>
    </w:p>
    <w:p w14:paraId="038A682E">
      <w:pPr>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2）投标报价应是唯一的，招标方将拒绝有选择的报价。</w:t>
      </w:r>
    </w:p>
    <w:p w14:paraId="1150F1D5">
      <w:pPr>
        <w:pStyle w:val="40"/>
        <w:spacing w:before="0" w:line="360" w:lineRule="auto"/>
        <w:ind w:firstLine="480"/>
        <w:outlineLvl w:val="2"/>
        <w:rPr>
          <w:rFonts w:ascii="宋体" w:hAnsi="宋体" w:cs="宋体"/>
          <w:b/>
          <w:kern w:val="0"/>
          <w:szCs w:val="24"/>
        </w:rPr>
      </w:pPr>
      <w:r>
        <w:rPr>
          <w:rFonts w:hint="eastAsia" w:ascii="宋体" w:hAnsi="宋体" w:cs="宋体"/>
          <w:szCs w:val="24"/>
        </w:rPr>
        <w:t>3）</w:t>
      </w:r>
      <w:r>
        <w:rPr>
          <w:rFonts w:hint="eastAsia" w:ascii="宋体" w:hAnsi="宋体" w:cs="宋体"/>
          <w:szCs w:val="24"/>
          <w:shd w:val="clear" w:color="auto" w:fill="FFFFFF"/>
        </w:rPr>
        <w:t>投标人报价时需综合考虑采购期内原材料等相关价格涨跌因素。一旦中标，供货期内采购单价不予调整。</w:t>
      </w:r>
      <w:r>
        <w:rPr>
          <w:rFonts w:hint="eastAsia" w:ascii="宋体" w:hAnsi="宋体" w:cs="宋体"/>
          <w:szCs w:val="24"/>
        </w:rPr>
        <w:br w:type="textWrapping"/>
      </w:r>
      <w:r>
        <w:rPr>
          <w:rFonts w:hint="eastAsia" w:ascii="宋体" w:hAnsi="宋体" w:cs="宋体"/>
          <w:szCs w:val="24"/>
        </w:rPr>
        <w:t xml:space="preserve">   </w:t>
      </w:r>
      <w:r>
        <w:rPr>
          <w:rFonts w:hint="eastAsia" w:ascii="宋体" w:hAnsi="宋体" w:cs="宋体"/>
          <w:bCs/>
          <w:kern w:val="0"/>
          <w:szCs w:val="24"/>
        </w:rPr>
        <w:t>3</w:t>
      </w:r>
      <w:r>
        <w:rPr>
          <w:rFonts w:hint="eastAsia" w:ascii="宋体" w:hAnsi="宋体" w:cs="宋体"/>
          <w:bCs/>
          <w:kern w:val="0"/>
          <w:szCs w:val="24"/>
          <w:lang w:val="en-US" w:eastAsia="zh-CN"/>
        </w:rPr>
        <w:t>6</w:t>
      </w:r>
      <w:r>
        <w:rPr>
          <w:rFonts w:hint="eastAsia" w:ascii="宋体" w:hAnsi="宋体" w:cs="宋体"/>
          <w:bCs/>
          <w:kern w:val="0"/>
          <w:szCs w:val="24"/>
        </w:rPr>
        <w:t>.2、投标人的</w:t>
      </w:r>
      <w:r>
        <w:rPr>
          <w:rFonts w:hint="eastAsia" w:ascii="宋体" w:hAnsi="宋体" w:cs="宋体"/>
          <w:b/>
          <w:kern w:val="0"/>
          <w:szCs w:val="24"/>
        </w:rPr>
        <w:t>技术文件</w:t>
      </w:r>
      <w:r>
        <w:rPr>
          <w:rFonts w:hint="eastAsia" w:ascii="宋体" w:hAnsi="宋体" w:cs="宋体"/>
          <w:bCs/>
          <w:kern w:val="0"/>
          <w:szCs w:val="24"/>
        </w:rPr>
        <w:t>内容应当包含：</w:t>
      </w:r>
    </w:p>
    <w:p w14:paraId="751AF0A5">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.2.1、目录；</w:t>
      </w:r>
    </w:p>
    <w:p w14:paraId="389A9EED">
      <w:pPr>
        <w:adjustRightIn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.2.2、评分对应表；</w:t>
      </w:r>
    </w:p>
    <w:p w14:paraId="0D245F3E">
      <w:pPr>
        <w:adjustRightInd w:val="0"/>
        <w:spacing w:line="360" w:lineRule="auto"/>
        <w:ind w:firstLine="482" w:firstLineChars="200"/>
        <w:rPr>
          <w:rFonts w:ascii="宋体" w:hAnsi="宋体" w:cs="宋体"/>
          <w:sz w:val="24"/>
          <w:szCs w:val="24"/>
        </w:rPr>
      </w:pPr>
      <w:r>
        <w:rPr>
          <w:rFonts w:hint="eastAsia" w:ascii="宋体" w:hAnsi="宋体" w:cs="宋体"/>
          <w:b/>
          <w:kern w:val="0"/>
          <w:sz w:val="24"/>
          <w:szCs w:val="24"/>
        </w:rPr>
        <w:t>▲</w:t>
      </w: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.2.3、</w:t>
      </w:r>
      <w:r>
        <w:rPr>
          <w:rFonts w:hint="eastAsia" w:ascii="宋体" w:hAnsi="宋体" w:cs="宋体"/>
          <w:b/>
          <w:sz w:val="24"/>
          <w:szCs w:val="24"/>
        </w:rPr>
        <w:t>采购需求实质性内容响应表；</w:t>
      </w:r>
    </w:p>
    <w:p w14:paraId="273B064A">
      <w:pPr>
        <w:adjustRightInd w:val="0"/>
        <w:spacing w:line="360" w:lineRule="auto"/>
        <w:ind w:firstLine="482" w:firstLineChars="200"/>
        <w:rPr>
          <w:rFonts w:ascii="宋体" w:hAnsi="宋体" w:cs="宋体"/>
          <w:b/>
          <w:sz w:val="24"/>
          <w:szCs w:val="24"/>
        </w:rPr>
      </w:pPr>
      <w:r>
        <w:rPr>
          <w:rFonts w:hint="eastAsia" w:ascii="宋体" w:hAnsi="宋体" w:cs="宋体"/>
          <w:b/>
          <w:kern w:val="0"/>
          <w:sz w:val="24"/>
          <w:szCs w:val="24"/>
        </w:rPr>
        <w:t>▲</w:t>
      </w:r>
      <w:r>
        <w:rPr>
          <w:rFonts w:hint="eastAsia" w:ascii="宋体" w:hAnsi="宋体" w:cs="宋体"/>
          <w:b/>
          <w:sz w:val="24"/>
          <w:szCs w:val="24"/>
        </w:rPr>
        <w:t>3</w:t>
      </w:r>
      <w:r>
        <w:rPr>
          <w:rFonts w:hint="eastAsia" w:ascii="宋体" w:hAnsi="宋体" w:cs="宋体"/>
          <w:b/>
          <w:sz w:val="24"/>
          <w:szCs w:val="24"/>
          <w:lang w:val="en-US" w:eastAsia="zh-CN"/>
        </w:rPr>
        <w:t>6</w:t>
      </w:r>
      <w:r>
        <w:rPr>
          <w:rFonts w:hint="eastAsia" w:ascii="宋体" w:hAnsi="宋体" w:cs="宋体"/>
          <w:b/>
          <w:sz w:val="24"/>
          <w:szCs w:val="24"/>
        </w:rPr>
        <w:t>.2.4、技术偏离表：投标人必须针对招标文件第三部分采购需求中“二、技术条款”的技术参数列出偏离情况。</w:t>
      </w:r>
    </w:p>
    <w:p w14:paraId="29507559">
      <w:pPr>
        <w:adjustRightInd w:val="0"/>
        <w:snapToGrid w:val="0"/>
        <w:spacing w:line="360" w:lineRule="auto"/>
        <w:ind w:firstLine="482" w:firstLineChars="200"/>
        <w:rPr>
          <w:b/>
          <w:bCs/>
        </w:rPr>
      </w:pP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.2.6、产品参数及说明；</w:t>
      </w:r>
    </w:p>
    <w:p w14:paraId="3A073BD9">
      <w:pPr>
        <w:spacing w:line="360" w:lineRule="auto"/>
        <w:ind w:firstLine="482" w:firstLineChars="200"/>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.2.7、对应技术分细则提供相关证明资料，并根据要求盖章；</w:t>
      </w:r>
    </w:p>
    <w:p w14:paraId="520ED00D">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.2.8、投标人认为需要提供的与本项目有关的其他文件和说明。</w:t>
      </w:r>
    </w:p>
    <w:p w14:paraId="6B3D029F">
      <w:pPr>
        <w:pStyle w:val="40"/>
        <w:spacing w:before="0" w:line="360" w:lineRule="auto"/>
        <w:ind w:firstLine="482"/>
        <w:outlineLvl w:val="2"/>
        <w:rPr>
          <w:rFonts w:ascii="宋体" w:hAnsi="宋体" w:cs="宋体"/>
          <w:kern w:val="0"/>
          <w:szCs w:val="24"/>
        </w:rPr>
      </w:pPr>
      <w:r>
        <w:rPr>
          <w:rFonts w:hint="eastAsia" w:ascii="宋体" w:hAnsi="宋体" w:cs="宋体"/>
          <w:b/>
          <w:kern w:val="0"/>
          <w:szCs w:val="24"/>
        </w:rPr>
        <w:t>3</w:t>
      </w:r>
      <w:r>
        <w:rPr>
          <w:rFonts w:hint="eastAsia" w:ascii="宋体" w:hAnsi="宋体" w:cs="宋体"/>
          <w:b/>
          <w:kern w:val="0"/>
          <w:szCs w:val="24"/>
          <w:lang w:val="en-US" w:eastAsia="zh-CN"/>
        </w:rPr>
        <w:t>6</w:t>
      </w:r>
      <w:r>
        <w:rPr>
          <w:rFonts w:hint="eastAsia" w:ascii="宋体" w:hAnsi="宋体" w:cs="宋体"/>
          <w:b/>
          <w:kern w:val="0"/>
          <w:szCs w:val="24"/>
        </w:rPr>
        <w:t>.3、</w:t>
      </w:r>
      <w:r>
        <w:rPr>
          <w:rFonts w:hint="eastAsia" w:ascii="宋体" w:hAnsi="宋体" w:cs="宋体"/>
          <w:kern w:val="0"/>
          <w:szCs w:val="24"/>
        </w:rPr>
        <w:t>投标人的</w:t>
      </w:r>
      <w:r>
        <w:rPr>
          <w:rFonts w:hint="eastAsia" w:ascii="宋体" w:hAnsi="宋体" w:cs="宋体"/>
          <w:b/>
          <w:kern w:val="0"/>
          <w:szCs w:val="24"/>
        </w:rPr>
        <w:t>商务文件</w:t>
      </w:r>
      <w:r>
        <w:rPr>
          <w:rFonts w:hint="eastAsia" w:ascii="宋体" w:hAnsi="宋体" w:cs="宋体"/>
          <w:kern w:val="0"/>
          <w:szCs w:val="24"/>
        </w:rPr>
        <w:t>内容应当包含：</w:t>
      </w:r>
    </w:p>
    <w:p w14:paraId="529DE850">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.3.1、目录；</w:t>
      </w:r>
    </w:p>
    <w:p w14:paraId="685907C5">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.3.2、投标响应函；</w:t>
      </w:r>
    </w:p>
    <w:p w14:paraId="65CE7D91">
      <w:pPr>
        <w:spacing w:line="360" w:lineRule="auto"/>
        <w:ind w:firstLine="482" w:firstLineChars="200"/>
        <w:rPr>
          <w:rFonts w:ascii="宋体" w:hAnsi="宋体" w:cs="宋体"/>
          <w:b/>
          <w:kern w:val="0"/>
          <w:sz w:val="24"/>
          <w:szCs w:val="24"/>
        </w:rPr>
      </w:pPr>
      <w:r>
        <w:rPr>
          <w:rFonts w:hint="eastAsia" w:ascii="宋体" w:hAnsi="宋体" w:cs="宋体"/>
          <w:b/>
          <w:sz w:val="24"/>
          <w:szCs w:val="24"/>
        </w:rPr>
        <w:t>▲3</w:t>
      </w:r>
      <w:r>
        <w:rPr>
          <w:rFonts w:hint="eastAsia" w:ascii="宋体" w:hAnsi="宋体" w:cs="宋体"/>
          <w:b/>
          <w:sz w:val="24"/>
          <w:szCs w:val="24"/>
          <w:lang w:val="en-US" w:eastAsia="zh-CN"/>
        </w:rPr>
        <w:t>6</w:t>
      </w:r>
      <w:r>
        <w:rPr>
          <w:rFonts w:hint="eastAsia" w:ascii="宋体" w:hAnsi="宋体" w:cs="宋体"/>
          <w:b/>
          <w:sz w:val="24"/>
          <w:szCs w:val="24"/>
        </w:rPr>
        <w:t>.3.3、营业执照复印件、授权委托书原件、法定代表人的身份证复印件、授权代表的身份证复印件；</w:t>
      </w:r>
    </w:p>
    <w:p w14:paraId="5E1CC5E3">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.3.4、无失信行为承诺书（详见第</w:t>
      </w:r>
      <w:r>
        <w:rPr>
          <w:rFonts w:hint="eastAsia" w:hAnsi="宋体" w:eastAsia="宋体" w:cs="宋体"/>
          <w:sz w:val="24"/>
          <w:szCs w:val="24"/>
          <w:lang w:val="en-US" w:eastAsia="zh-CN"/>
        </w:rPr>
        <w:t>五</w:t>
      </w:r>
      <w:r>
        <w:rPr>
          <w:rFonts w:hint="eastAsia" w:hAnsi="宋体" w:eastAsia="宋体" w:cs="宋体"/>
          <w:sz w:val="24"/>
          <w:szCs w:val="24"/>
        </w:rPr>
        <w:t>部分）；</w:t>
      </w:r>
    </w:p>
    <w:p w14:paraId="4689A3A6">
      <w:pPr>
        <w:pStyle w:val="13"/>
        <w:spacing w:line="360" w:lineRule="auto"/>
        <w:ind w:firstLine="482" w:firstLineChars="200"/>
        <w:rPr>
          <w:rFonts w:hAnsi="宋体" w:eastAsia="宋体" w:cs="宋体"/>
          <w:sz w:val="24"/>
          <w:szCs w:val="24"/>
        </w:rPr>
      </w:pPr>
      <w:r>
        <w:rPr>
          <w:rFonts w:hint="eastAsia" w:hAnsi="宋体" w:eastAsia="宋体" w:cs="宋体"/>
          <w:sz w:val="24"/>
          <w:szCs w:val="24"/>
        </w:rPr>
        <w:t>▲3</w:t>
      </w:r>
      <w:r>
        <w:rPr>
          <w:rFonts w:hint="eastAsia" w:hAnsi="宋体" w:eastAsia="宋体" w:cs="宋体"/>
          <w:sz w:val="24"/>
          <w:szCs w:val="24"/>
          <w:lang w:val="en-US" w:eastAsia="zh-CN"/>
        </w:rPr>
        <w:t>6</w:t>
      </w:r>
      <w:r>
        <w:rPr>
          <w:rFonts w:hint="eastAsia" w:hAnsi="宋体" w:eastAsia="宋体" w:cs="宋体"/>
          <w:sz w:val="24"/>
          <w:szCs w:val="24"/>
        </w:rPr>
        <w:t>.3.5、投标人招标公告第四条款投标资格相关证明文件；</w:t>
      </w:r>
    </w:p>
    <w:p w14:paraId="6E07E88B">
      <w:pPr>
        <w:spacing w:line="360" w:lineRule="auto"/>
        <w:ind w:firstLine="480" w:firstLineChars="200"/>
        <w:rPr>
          <w:rFonts w:ascii="宋体" w:hAnsi="宋体" w:cs="宋体"/>
          <w:b/>
          <w:bCs/>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.3.6、</w:t>
      </w:r>
      <w:r>
        <w:rPr>
          <w:rFonts w:hint="eastAsia" w:ascii="宋体" w:hAnsi="宋体" w:cs="宋体"/>
          <w:b/>
          <w:bCs/>
          <w:sz w:val="24"/>
          <w:szCs w:val="24"/>
        </w:rPr>
        <w:t>对应商务分评分细则提供相关证明资料，并根据要求盖章；</w:t>
      </w:r>
    </w:p>
    <w:p w14:paraId="5ADB3143">
      <w:pPr>
        <w:pStyle w:val="40"/>
        <w:spacing w:before="0" w:line="360" w:lineRule="auto"/>
        <w:ind w:firstLine="480"/>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6</w:t>
      </w:r>
      <w:r>
        <w:rPr>
          <w:rFonts w:hint="eastAsia" w:ascii="宋体" w:hAnsi="宋体" w:cs="宋体"/>
          <w:szCs w:val="24"/>
        </w:rPr>
        <w:t>.3.</w:t>
      </w:r>
      <w:r>
        <w:rPr>
          <w:rFonts w:hint="eastAsia" w:ascii="宋体" w:hAnsi="宋体" w:cs="宋体"/>
          <w:szCs w:val="24"/>
          <w:lang w:val="en-US" w:eastAsia="zh-CN"/>
        </w:rPr>
        <w:t>7</w:t>
      </w:r>
      <w:r>
        <w:rPr>
          <w:rFonts w:hint="eastAsia" w:ascii="宋体" w:hAnsi="宋体" w:cs="宋体"/>
          <w:szCs w:val="24"/>
        </w:rPr>
        <w:t>、投标人能够提供其他实质性优惠承诺；</w:t>
      </w:r>
    </w:p>
    <w:p w14:paraId="16E976E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w:t>
      </w:r>
      <w:r>
        <w:rPr>
          <w:rFonts w:hint="eastAsia" w:ascii="宋体" w:hAnsi="宋体" w:cs="宋体"/>
          <w:sz w:val="24"/>
          <w:szCs w:val="24"/>
          <w:lang w:val="en-US" w:eastAsia="zh-CN"/>
        </w:rPr>
        <w:t>8</w:t>
      </w:r>
      <w:r>
        <w:rPr>
          <w:rFonts w:hint="eastAsia" w:ascii="宋体" w:hAnsi="宋体" w:cs="宋体"/>
          <w:sz w:val="24"/>
          <w:szCs w:val="24"/>
        </w:rPr>
        <w:t>、关于对招标文件中有关条款的拒绝声明（如果有的话）；</w:t>
      </w:r>
    </w:p>
    <w:p w14:paraId="5FBB1DB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、投标人认为需要提供的与本项目有关的其他文件和说明。</w:t>
      </w:r>
    </w:p>
    <w:p w14:paraId="699F94B8">
      <w:pPr>
        <w:adjustRightInd w:val="0"/>
        <w:spacing w:line="360" w:lineRule="auto"/>
        <w:rPr>
          <w:rFonts w:ascii="宋体" w:hAnsi="宋体" w:cs="宋体"/>
          <w:b/>
          <w:sz w:val="24"/>
          <w:szCs w:val="24"/>
        </w:rPr>
      </w:pPr>
      <w:r>
        <w:rPr>
          <w:rFonts w:hint="eastAsia" w:ascii="宋体" w:hAnsi="宋体" w:cs="宋体"/>
          <w:b/>
          <w:sz w:val="24"/>
          <w:szCs w:val="24"/>
          <w:lang w:val="en-US" w:eastAsia="zh-CN"/>
        </w:rPr>
        <w:t>37</w:t>
      </w:r>
      <w:r>
        <w:rPr>
          <w:rFonts w:hint="eastAsia" w:ascii="宋体" w:hAnsi="宋体" w:cs="宋体"/>
          <w:b/>
          <w:sz w:val="24"/>
          <w:szCs w:val="24"/>
        </w:rPr>
        <w:t>、评标办法及评分标准：</w:t>
      </w:r>
    </w:p>
    <w:p w14:paraId="45967325">
      <w:pPr>
        <w:pStyle w:val="40"/>
        <w:spacing w:before="0" w:line="360" w:lineRule="auto"/>
        <w:ind w:firstLine="480"/>
        <w:rPr>
          <w:rFonts w:ascii="宋体" w:hAnsi="宋体" w:cs="宋体"/>
          <w:szCs w:val="24"/>
        </w:rPr>
      </w:pPr>
      <w:r>
        <w:rPr>
          <w:rFonts w:hint="eastAsia" w:ascii="宋体" w:hAnsi="宋体" w:cs="宋体"/>
          <w:szCs w:val="24"/>
          <w:lang w:val="en-US" w:eastAsia="zh-CN"/>
        </w:rPr>
        <w:t>37</w:t>
      </w:r>
      <w:r>
        <w:rPr>
          <w:rFonts w:hint="eastAsia" w:ascii="宋体" w:hAnsi="宋体" w:cs="宋体"/>
          <w:szCs w:val="24"/>
        </w:rPr>
        <w:t>.1、总则</w:t>
      </w:r>
    </w:p>
    <w:p w14:paraId="388055C9">
      <w:pPr>
        <w:pStyle w:val="40"/>
        <w:spacing w:before="0" w:line="360" w:lineRule="auto"/>
        <w:ind w:firstLine="482"/>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由高到低顺序排列，得分相同的，按投标报价由低到高顺序排列；得分且投标报价相同的，按技术指标优劣顺序排列。评分过程中采用四舍五入法，并保留小数2位。</w:t>
      </w:r>
    </w:p>
    <w:p w14:paraId="4A695025">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投标人评标综合得分=价格分+(技术、商务分）</w:t>
      </w:r>
    </w:p>
    <w:p w14:paraId="060E6F36">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37</w:t>
      </w:r>
      <w:r>
        <w:rPr>
          <w:rFonts w:hint="eastAsia" w:ascii="宋体" w:hAnsi="宋体" w:cs="宋体"/>
          <w:sz w:val="24"/>
          <w:szCs w:val="24"/>
        </w:rPr>
        <w:t>.2、评标内容及标准</w:t>
      </w:r>
    </w:p>
    <w:p w14:paraId="5EF10461">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37</w:t>
      </w:r>
      <w:r>
        <w:rPr>
          <w:rFonts w:hint="eastAsia" w:ascii="宋体" w:hAnsi="宋体" w:cs="宋体"/>
          <w:b/>
          <w:sz w:val="24"/>
          <w:szCs w:val="24"/>
        </w:rPr>
        <w:t>.2.1、价格分（</w:t>
      </w:r>
      <w:r>
        <w:rPr>
          <w:rFonts w:hint="default" w:ascii="宋体" w:hAnsi="宋体" w:cs="宋体"/>
          <w:b/>
          <w:sz w:val="24"/>
          <w:szCs w:val="24"/>
        </w:rPr>
        <w:t>4</w:t>
      </w:r>
      <w:r>
        <w:rPr>
          <w:rFonts w:hint="eastAsia" w:ascii="宋体" w:hAnsi="宋体" w:cs="宋体"/>
          <w:b/>
          <w:sz w:val="24"/>
          <w:szCs w:val="24"/>
        </w:rPr>
        <w:t>0分）</w:t>
      </w:r>
    </w:p>
    <w:p w14:paraId="66E920FD">
      <w:pPr>
        <w:spacing w:line="360" w:lineRule="auto"/>
        <w:ind w:firstLine="480" w:firstLineChars="200"/>
        <w:rPr>
          <w:rFonts w:ascii="宋体" w:hAnsi="宋体" w:cs="宋体"/>
          <w:sz w:val="24"/>
          <w:szCs w:val="24"/>
        </w:rPr>
      </w:pPr>
      <w:r>
        <w:rPr>
          <w:rFonts w:hint="eastAsia" w:ascii="宋体" w:hAnsi="宋体" w:cs="宋体"/>
          <w:sz w:val="24"/>
          <w:szCs w:val="24"/>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p w14:paraId="706814A3">
      <w:pPr>
        <w:spacing w:line="360" w:lineRule="auto"/>
        <w:ind w:firstLine="480" w:firstLineChars="200"/>
        <w:rPr>
          <w:rFonts w:ascii="宋体" w:hAnsi="宋体" w:cs="宋体"/>
          <w:sz w:val="24"/>
          <w:szCs w:val="24"/>
        </w:rPr>
      </w:pPr>
      <w:r>
        <w:rPr>
          <w:rFonts w:hint="eastAsia" w:ascii="宋体" w:hAnsi="宋体" w:cs="宋体"/>
          <w:sz w:val="24"/>
          <w:szCs w:val="24"/>
        </w:rPr>
        <w:t>投标价格分计算方法：满足招标文件要求且投标价格最低的投标报价为评标基准价，其他投标人的价格分统一按照下列公式计算：投标报价得分=(评标基准价／投标报价）×价格权值×100（精确到小数点后2位）。</w:t>
      </w:r>
    </w:p>
    <w:p w14:paraId="46EDDA78">
      <w:pPr>
        <w:pStyle w:val="40"/>
        <w:spacing w:before="0" w:line="360" w:lineRule="auto"/>
        <w:ind w:firstLine="482"/>
        <w:rPr>
          <w:rFonts w:hint="eastAsia" w:ascii="宋体" w:hAnsi="宋体" w:cs="宋体"/>
          <w:b/>
        </w:rPr>
      </w:pPr>
      <w:bookmarkStart w:id="5" w:name="_Toc303256693"/>
      <w:r>
        <w:rPr>
          <w:rFonts w:hint="eastAsia" w:ascii="宋体" w:hAnsi="宋体" w:cs="宋体"/>
          <w:b/>
          <w:lang w:val="en-US" w:eastAsia="zh-CN"/>
        </w:rPr>
        <w:t>37</w:t>
      </w:r>
      <w:r>
        <w:rPr>
          <w:rFonts w:hint="eastAsia" w:ascii="宋体" w:hAnsi="宋体" w:cs="宋体"/>
          <w:b/>
        </w:rPr>
        <w:t>.2.2、技术、商务分（</w:t>
      </w:r>
      <w:r>
        <w:rPr>
          <w:rFonts w:hint="default" w:ascii="宋体" w:hAnsi="宋体" w:cs="宋体"/>
          <w:b/>
        </w:rPr>
        <w:t>6</w:t>
      </w:r>
      <w:r>
        <w:rPr>
          <w:rFonts w:hint="eastAsia" w:ascii="宋体" w:hAnsi="宋体" w:cs="宋体"/>
          <w:b/>
          <w:lang w:val="en-US" w:eastAsia="zh-CN"/>
        </w:rPr>
        <w:t>0</w:t>
      </w:r>
      <w:r>
        <w:rPr>
          <w:rFonts w:hint="eastAsia" w:ascii="宋体" w:hAnsi="宋体" w:cs="宋体"/>
          <w:b/>
        </w:rPr>
        <w:t>分）</w:t>
      </w:r>
    </w:p>
    <w:p w14:paraId="5CD1D1C2">
      <w:pPr>
        <w:pStyle w:val="40"/>
        <w:spacing w:before="0" w:line="360" w:lineRule="auto"/>
        <w:ind w:firstLine="482"/>
        <w:rPr>
          <w:rFonts w:hint="eastAsia" w:ascii="宋体" w:hAnsi="宋体" w:cs="宋体"/>
          <w:b/>
        </w:rPr>
      </w:pPr>
      <w:bookmarkStart w:id="6" w:name="_Toc474740662"/>
      <w:r>
        <w:rPr>
          <w:rFonts w:hint="eastAsia" w:ascii="宋体" w:hAnsi="宋体" w:cs="宋体"/>
          <w:b/>
        </w:rPr>
        <w:t>1）技术、商务分的计算：</w:t>
      </w:r>
    </w:p>
    <w:p w14:paraId="42186EBA">
      <w:pPr>
        <w:pStyle w:val="40"/>
        <w:spacing w:before="0" w:line="360" w:lineRule="auto"/>
        <w:ind w:firstLine="480"/>
        <w:rPr>
          <w:rFonts w:hint="eastAsia" w:ascii="宋体" w:hAnsi="宋体" w:cs="宋体"/>
        </w:rPr>
      </w:pPr>
      <w:r>
        <w:rPr>
          <w:rFonts w:hint="eastAsia" w:ascii="宋体" w:hAnsi="宋体" w:cs="宋体"/>
        </w:rPr>
        <w:t>技术、商务分按照评标委员会成员的独立评分结果汇总数的算术平均分计算，计算公式为：</w:t>
      </w:r>
    </w:p>
    <w:p w14:paraId="54C7B258">
      <w:pPr>
        <w:pStyle w:val="40"/>
        <w:spacing w:before="0" w:line="360" w:lineRule="auto"/>
        <w:ind w:firstLine="480"/>
        <w:rPr>
          <w:rFonts w:hint="eastAsia" w:ascii="宋体" w:hAnsi="宋体" w:cs="宋体"/>
        </w:rPr>
      </w:pPr>
      <w:r>
        <w:rPr>
          <w:rFonts w:hint="eastAsia" w:ascii="宋体" w:hAnsi="宋体" w:cs="宋体"/>
        </w:rPr>
        <w:t>技术、商务分=评标委员会成员的独立评分结果汇总数/评标委员会组成人员数</w:t>
      </w:r>
    </w:p>
    <w:p w14:paraId="51E6E1BB">
      <w:pPr>
        <w:pStyle w:val="40"/>
        <w:spacing w:before="0" w:line="360" w:lineRule="auto"/>
        <w:ind w:firstLine="482"/>
        <w:rPr>
          <w:rFonts w:hint="eastAsia" w:ascii="宋体" w:hAnsi="宋体" w:cs="宋体"/>
          <w:b/>
        </w:rPr>
      </w:pPr>
      <w:r>
        <w:rPr>
          <w:rFonts w:hint="eastAsia" w:ascii="宋体" w:hAnsi="宋体" w:cs="宋体"/>
          <w:b/>
        </w:rPr>
        <w:t>2）评分细则如下：</w:t>
      </w:r>
    </w:p>
    <w:p w14:paraId="014AA29E">
      <w:pPr>
        <w:snapToGrid w:val="0"/>
        <w:spacing w:line="360" w:lineRule="auto"/>
        <w:ind w:firstLine="482" w:firstLineChars="200"/>
        <w:rPr>
          <w:rFonts w:hint="eastAsia" w:ascii="宋体" w:hAnsi="宋体" w:cs="宋体"/>
          <w:b/>
          <w:sz w:val="24"/>
          <w:szCs w:val="20"/>
        </w:rPr>
      </w:pPr>
      <w:r>
        <w:rPr>
          <w:rFonts w:hint="eastAsia" w:ascii="宋体" w:hAnsi="宋体" w:cs="宋体"/>
          <w:b/>
          <w:sz w:val="24"/>
          <w:szCs w:val="20"/>
        </w:rPr>
        <w:t>1、技术部分（</w:t>
      </w:r>
      <w:r>
        <w:rPr>
          <w:rFonts w:hint="eastAsia" w:ascii="宋体" w:hAnsi="宋体" w:cs="宋体"/>
          <w:b/>
          <w:sz w:val="24"/>
          <w:szCs w:val="20"/>
          <w:lang w:val="en-US" w:eastAsia="zh-CN"/>
        </w:rPr>
        <w:t>18</w:t>
      </w:r>
      <w:r>
        <w:rPr>
          <w:rFonts w:hint="eastAsia" w:ascii="宋体" w:hAnsi="宋体" w:cs="宋体"/>
          <w:b/>
          <w:sz w:val="24"/>
          <w:szCs w:val="20"/>
        </w:rPr>
        <w:t>分，打分值和得分值小数点后保留</w:t>
      </w:r>
      <w:r>
        <w:rPr>
          <w:rFonts w:hint="eastAsia" w:ascii="宋体" w:hAnsi="宋体" w:cs="宋体"/>
          <w:b/>
          <w:sz w:val="24"/>
          <w:szCs w:val="20"/>
          <w:lang w:val="en-US" w:eastAsia="zh-CN"/>
        </w:rPr>
        <w:t>二</w:t>
      </w:r>
      <w:r>
        <w:rPr>
          <w:rFonts w:hint="eastAsia" w:ascii="宋体" w:hAnsi="宋体" w:cs="宋体"/>
          <w:b/>
          <w:sz w:val="24"/>
          <w:szCs w:val="20"/>
        </w:rPr>
        <w:t>位）</w:t>
      </w:r>
    </w:p>
    <w:tbl>
      <w:tblPr>
        <w:tblStyle w:val="28"/>
        <w:tblW w:w="95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4"/>
        <w:gridCol w:w="7232"/>
        <w:gridCol w:w="1474"/>
      </w:tblGrid>
      <w:tr w14:paraId="32C2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10BBD3DC">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7232" w:type="dxa"/>
            <w:vAlign w:val="center"/>
          </w:tcPr>
          <w:p w14:paraId="781FFF38">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评分内容</w:t>
            </w:r>
          </w:p>
        </w:tc>
        <w:tc>
          <w:tcPr>
            <w:tcW w:w="1474" w:type="dxa"/>
            <w:vAlign w:val="center"/>
          </w:tcPr>
          <w:p w14:paraId="439D6420">
            <w:pPr>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分值范围</w:t>
            </w:r>
          </w:p>
        </w:tc>
      </w:tr>
      <w:tr w14:paraId="5285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7F93A39D">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1</w:t>
            </w:r>
          </w:p>
        </w:tc>
        <w:tc>
          <w:tcPr>
            <w:tcW w:w="7232" w:type="dxa"/>
            <w:vAlign w:val="center"/>
          </w:tcPr>
          <w:p w14:paraId="59A150D0">
            <w:pPr>
              <w:widowControl w:val="0"/>
              <w:wordWrap/>
              <w:adjustRightInd/>
              <w:snapToGrid/>
              <w:spacing w:line="360" w:lineRule="auto"/>
              <w:ind w:left="0" w:leftChars="0" w:right="0" w:firstLine="0" w:firstLineChars="0"/>
              <w:jc w:val="left"/>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根据投标产品生产商的产品生产工艺流程、生产设备等的先进性、完整性等描述，</w:t>
            </w:r>
            <w:r>
              <w:rPr>
                <w:rFonts w:hint="eastAsia" w:ascii="宋体" w:hAnsi="宋体"/>
                <w:sz w:val="24"/>
                <w:szCs w:val="24"/>
              </w:rPr>
              <w:t>评标委员</w:t>
            </w:r>
            <w:r>
              <w:rPr>
                <w:rFonts w:hint="eastAsia" w:ascii="宋体" w:hAnsi="宋体"/>
                <w:sz w:val="24"/>
                <w:szCs w:val="24"/>
                <w:lang w:val="en-US" w:eastAsia="zh-CN"/>
              </w:rPr>
              <w:t>对投标产品生产商的产品生产能力进行综合评价。生产能力强、工艺先进、内容详实的得4-6分，一般的得2-4分，较差的得0-2分。须附生产工艺流程图、主要设备清单及照片、相关文字说明等资料。</w:t>
            </w:r>
          </w:p>
        </w:tc>
        <w:tc>
          <w:tcPr>
            <w:tcW w:w="1474" w:type="dxa"/>
            <w:vAlign w:val="center"/>
          </w:tcPr>
          <w:p w14:paraId="7888298B">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6</w:t>
            </w:r>
            <w:r>
              <w:rPr>
                <w:rFonts w:hint="eastAsia" w:ascii="宋体" w:hAnsi="宋体"/>
                <w:sz w:val="24"/>
                <w:szCs w:val="24"/>
              </w:rPr>
              <w:t>分</w:t>
            </w:r>
          </w:p>
        </w:tc>
      </w:tr>
      <w:tr w14:paraId="457D0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1F53D4D9">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2</w:t>
            </w:r>
          </w:p>
        </w:tc>
        <w:tc>
          <w:tcPr>
            <w:tcW w:w="7232" w:type="dxa"/>
            <w:vAlign w:val="center"/>
          </w:tcPr>
          <w:p w14:paraId="6B56296D">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sz w:val="24"/>
                <w:szCs w:val="24"/>
                <w:lang w:val="en-US" w:eastAsia="zh-CN"/>
              </w:rPr>
              <w:t>根据投标产品生产商的产品</w:t>
            </w:r>
            <w:r>
              <w:rPr>
                <w:rFonts w:hint="eastAsia" w:ascii="宋体" w:hAnsi="宋体"/>
                <w:sz w:val="24"/>
                <w:szCs w:val="24"/>
              </w:rPr>
              <w:t>质量控制的保证措施，</w:t>
            </w:r>
            <w:r>
              <w:rPr>
                <w:rFonts w:hint="eastAsia" w:ascii="宋体" w:hAnsi="宋体"/>
                <w:sz w:val="24"/>
                <w:szCs w:val="24"/>
                <w:lang w:val="en-US" w:eastAsia="zh-CN"/>
              </w:rPr>
              <w:t>包括质量内控制度、产品质量检测能力（检测仪器、检验化验人员配置等），</w:t>
            </w:r>
            <w:r>
              <w:rPr>
                <w:rFonts w:hint="eastAsia" w:ascii="宋体" w:hAnsi="宋体"/>
                <w:sz w:val="24"/>
                <w:szCs w:val="24"/>
              </w:rPr>
              <w:t>评标委员会横向比较，酌情给分</w:t>
            </w:r>
            <w:r>
              <w:rPr>
                <w:rFonts w:hint="eastAsia" w:ascii="宋体" w:hAnsi="宋体"/>
                <w:sz w:val="24"/>
                <w:szCs w:val="24"/>
                <w:lang w:eastAsia="zh-CN"/>
              </w:rPr>
              <w:t>。</w:t>
            </w:r>
          </w:p>
        </w:tc>
        <w:tc>
          <w:tcPr>
            <w:tcW w:w="1474" w:type="dxa"/>
            <w:vAlign w:val="center"/>
          </w:tcPr>
          <w:p w14:paraId="0D3F0F41">
            <w:pPr>
              <w:widowControl w:val="0"/>
              <w:wordWrap/>
              <w:adjustRightInd/>
              <w:snapToGrid/>
              <w:spacing w:line="360" w:lineRule="auto"/>
              <w:ind w:left="0" w:leftChars="0" w:right="0" w:firstLine="0" w:firstLineChars="0"/>
              <w:jc w:val="center"/>
              <w:textAlignment w:val="auto"/>
              <w:outlineLvl w:val="9"/>
              <w:rPr>
                <w:rFonts w:hint="eastAsia" w:ascii="宋体" w:hAnsi="宋体"/>
                <w:sz w:val="24"/>
                <w:szCs w:val="24"/>
              </w:rPr>
            </w:pPr>
            <w:r>
              <w:rPr>
                <w:rFonts w:hint="eastAsia" w:ascii="宋体" w:hAnsi="宋体"/>
                <w:sz w:val="24"/>
                <w:szCs w:val="24"/>
              </w:rPr>
              <w:t>0-</w:t>
            </w:r>
            <w:r>
              <w:rPr>
                <w:rFonts w:hint="eastAsia" w:ascii="宋体" w:hAnsi="宋体"/>
                <w:sz w:val="24"/>
                <w:szCs w:val="24"/>
                <w:lang w:val="en-US" w:eastAsia="zh-CN"/>
              </w:rPr>
              <w:t>4</w:t>
            </w:r>
            <w:r>
              <w:rPr>
                <w:rFonts w:hint="eastAsia" w:ascii="宋体" w:hAnsi="宋体"/>
                <w:sz w:val="24"/>
                <w:szCs w:val="24"/>
              </w:rPr>
              <w:t>分</w:t>
            </w:r>
          </w:p>
        </w:tc>
      </w:tr>
      <w:tr w14:paraId="5199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011DCB45">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3</w:t>
            </w:r>
          </w:p>
        </w:tc>
        <w:tc>
          <w:tcPr>
            <w:tcW w:w="7232" w:type="dxa"/>
            <w:vAlign w:val="center"/>
          </w:tcPr>
          <w:p w14:paraId="28531A96">
            <w:pPr>
              <w:widowControl w:val="0"/>
              <w:wordWrap/>
              <w:adjustRightInd/>
              <w:snapToGrid/>
              <w:spacing w:line="360" w:lineRule="auto"/>
              <w:ind w:left="0" w:leftChars="0" w:right="0" w:firstLine="0" w:firstLineChars="0"/>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根据投标人</w:t>
            </w:r>
            <w:r>
              <w:rPr>
                <w:rFonts w:hint="eastAsia" w:ascii="宋体" w:hAnsi="宋体"/>
                <w:sz w:val="24"/>
                <w:szCs w:val="24"/>
              </w:rPr>
              <w:t>按计划供货的保证措施，评标委员会横向比较，酌情给分</w:t>
            </w:r>
            <w:r>
              <w:rPr>
                <w:rFonts w:hint="eastAsia" w:ascii="宋体" w:hAnsi="宋体"/>
                <w:sz w:val="24"/>
                <w:szCs w:val="24"/>
                <w:lang w:eastAsia="zh-CN"/>
              </w:rPr>
              <w:t>。</w:t>
            </w:r>
          </w:p>
        </w:tc>
        <w:tc>
          <w:tcPr>
            <w:tcW w:w="1474" w:type="dxa"/>
            <w:vAlign w:val="center"/>
          </w:tcPr>
          <w:p w14:paraId="5E219C60">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default" w:ascii="宋体" w:hAnsi="宋体"/>
                <w:sz w:val="24"/>
                <w:szCs w:val="24"/>
              </w:rPr>
              <w:t>4</w:t>
            </w:r>
            <w:r>
              <w:rPr>
                <w:rFonts w:hint="eastAsia" w:ascii="宋体" w:hAnsi="宋体"/>
                <w:sz w:val="24"/>
                <w:szCs w:val="24"/>
              </w:rPr>
              <w:t>分</w:t>
            </w:r>
          </w:p>
        </w:tc>
      </w:tr>
      <w:tr w14:paraId="0E665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854" w:type="dxa"/>
            <w:vAlign w:val="center"/>
          </w:tcPr>
          <w:p w14:paraId="371E4DEB">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4</w:t>
            </w:r>
          </w:p>
        </w:tc>
        <w:tc>
          <w:tcPr>
            <w:tcW w:w="7232" w:type="dxa"/>
            <w:vAlign w:val="center"/>
          </w:tcPr>
          <w:p w14:paraId="14AE2F93">
            <w:pPr>
              <w:widowControl w:val="0"/>
              <w:wordWrap/>
              <w:adjustRightInd/>
              <w:snapToGrid/>
              <w:spacing w:line="360" w:lineRule="auto"/>
              <w:ind w:left="0" w:leftChars="0" w:right="0" w:firstLine="0" w:firstLineChars="0"/>
              <w:textAlignment w:val="auto"/>
              <w:outlineLvl w:val="9"/>
              <w:rPr>
                <w:rFonts w:hint="eastAsia" w:ascii="宋体" w:hAnsi="宋体"/>
                <w:color w:val="auto"/>
                <w:sz w:val="24"/>
                <w:szCs w:val="24"/>
                <w:highlight w:val="none"/>
              </w:rPr>
            </w:pPr>
            <w:r>
              <w:rPr>
                <w:rFonts w:hint="eastAsia" w:ascii="宋体" w:hAnsi="宋体"/>
                <w:sz w:val="24"/>
                <w:szCs w:val="24"/>
                <w:lang w:val="en-US" w:eastAsia="zh-CN"/>
              </w:rPr>
              <w:t>根据投标人</w:t>
            </w:r>
            <w:r>
              <w:rPr>
                <w:rFonts w:hint="eastAsia" w:ascii="宋体" w:hAnsi="宋体"/>
                <w:sz w:val="24"/>
                <w:szCs w:val="24"/>
              </w:rPr>
              <w:t>售后服务承诺，评标委员会横向比较，酌情给分</w:t>
            </w:r>
            <w:r>
              <w:rPr>
                <w:rFonts w:hint="eastAsia" w:ascii="宋体" w:hAnsi="宋体"/>
                <w:sz w:val="24"/>
                <w:szCs w:val="24"/>
                <w:lang w:eastAsia="zh-CN"/>
              </w:rPr>
              <w:t>。</w:t>
            </w:r>
          </w:p>
        </w:tc>
        <w:tc>
          <w:tcPr>
            <w:tcW w:w="1474" w:type="dxa"/>
            <w:vAlign w:val="center"/>
          </w:tcPr>
          <w:p w14:paraId="635F94D8">
            <w:pPr>
              <w:widowControl w:val="0"/>
              <w:wordWrap/>
              <w:adjustRightInd/>
              <w:snapToGrid/>
              <w:spacing w:line="360" w:lineRule="auto"/>
              <w:ind w:left="0" w:leftChars="0" w:right="0" w:firstLine="0" w:firstLineChars="0"/>
              <w:jc w:val="center"/>
              <w:textAlignment w:val="auto"/>
              <w:outlineLvl w:val="9"/>
              <w:rPr>
                <w:rFonts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4</w:t>
            </w:r>
            <w:r>
              <w:rPr>
                <w:rFonts w:hint="eastAsia" w:ascii="宋体" w:hAnsi="宋体"/>
                <w:sz w:val="24"/>
                <w:szCs w:val="24"/>
              </w:rPr>
              <w:t>分</w:t>
            </w:r>
          </w:p>
        </w:tc>
      </w:tr>
    </w:tbl>
    <w:p w14:paraId="30102A6D">
      <w:pPr>
        <w:pStyle w:val="40"/>
        <w:numPr>
          <w:ilvl w:val="0"/>
          <w:numId w:val="0"/>
        </w:numPr>
        <w:spacing w:before="0" w:line="360" w:lineRule="auto"/>
        <w:ind w:firstLine="482" w:firstLineChars="200"/>
        <w:textAlignment w:val="auto"/>
        <w:rPr>
          <w:rFonts w:ascii="宋体" w:hAnsi="宋体"/>
          <w:b/>
          <w:color w:val="auto"/>
          <w:highlight w:val="none"/>
        </w:rPr>
      </w:pPr>
      <w:r>
        <w:rPr>
          <w:rFonts w:hint="eastAsia" w:ascii="宋体" w:hAnsi="宋体"/>
          <w:b/>
          <w:color w:val="auto"/>
          <w:highlight w:val="none"/>
          <w:lang w:val="en-US" w:eastAsia="zh-CN"/>
        </w:rPr>
        <w:t>2、</w:t>
      </w:r>
      <w:r>
        <w:rPr>
          <w:rFonts w:hint="eastAsia" w:ascii="宋体" w:hAnsi="宋体"/>
          <w:b/>
          <w:color w:val="auto"/>
          <w:highlight w:val="none"/>
        </w:rPr>
        <w:t>商务</w:t>
      </w:r>
      <w:r>
        <w:rPr>
          <w:rFonts w:hint="eastAsia" w:ascii="宋体" w:hAnsi="宋体"/>
          <w:b/>
          <w:color w:val="auto"/>
          <w:highlight w:val="none"/>
          <w:lang w:val="en-US" w:eastAsia="zh-CN"/>
        </w:rPr>
        <w:t>部分</w:t>
      </w:r>
      <w:r>
        <w:rPr>
          <w:rFonts w:hint="eastAsia" w:ascii="宋体" w:hAnsi="宋体"/>
          <w:b/>
          <w:color w:val="auto"/>
          <w:highlight w:val="none"/>
        </w:rPr>
        <w:t>（</w:t>
      </w:r>
      <w:r>
        <w:rPr>
          <w:rFonts w:hint="default" w:ascii="宋体" w:hAnsi="宋体"/>
          <w:b/>
          <w:color w:val="auto"/>
          <w:highlight w:val="none"/>
        </w:rPr>
        <w:t>4</w:t>
      </w:r>
      <w:r>
        <w:rPr>
          <w:rFonts w:hint="eastAsia" w:ascii="宋体" w:hAnsi="宋体"/>
          <w:b/>
          <w:color w:val="auto"/>
          <w:highlight w:val="none"/>
          <w:lang w:val="en-US" w:eastAsia="zh-CN"/>
        </w:rPr>
        <w:t>2</w:t>
      </w:r>
      <w:r>
        <w:rPr>
          <w:rFonts w:hint="eastAsia" w:ascii="宋体" w:hAnsi="宋体"/>
          <w:b/>
          <w:color w:val="auto"/>
          <w:highlight w:val="none"/>
        </w:rPr>
        <w:t>分）：</w:t>
      </w:r>
    </w:p>
    <w:tbl>
      <w:tblPr>
        <w:tblStyle w:val="28"/>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25"/>
        <w:gridCol w:w="1470"/>
      </w:tblGrid>
      <w:tr w14:paraId="2AA6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4152F78C">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7225" w:type="dxa"/>
            <w:vAlign w:val="center"/>
          </w:tcPr>
          <w:p w14:paraId="05C29A9C">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评分因素</w:t>
            </w:r>
          </w:p>
        </w:tc>
        <w:tc>
          <w:tcPr>
            <w:tcW w:w="1470" w:type="dxa"/>
            <w:vAlign w:val="center"/>
          </w:tcPr>
          <w:p w14:paraId="7F11CE5A">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分值范围</w:t>
            </w:r>
          </w:p>
        </w:tc>
      </w:tr>
      <w:tr w14:paraId="64A1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739D8844">
            <w:pPr>
              <w:spacing w:line="360" w:lineRule="auto"/>
              <w:jc w:val="center"/>
              <w:rPr>
                <w:rFonts w:hint="eastAsia" w:ascii="宋体" w:hAnsi="宋体"/>
                <w:color w:val="auto"/>
                <w:sz w:val="24"/>
                <w:szCs w:val="24"/>
                <w:highlight w:val="none"/>
              </w:rPr>
            </w:pPr>
            <w:r>
              <w:rPr>
                <w:rFonts w:hint="eastAsia" w:ascii="宋体" w:hAnsi="宋体" w:cs="宋体"/>
                <w:b/>
                <w:bCs/>
                <w:sz w:val="24"/>
                <w:szCs w:val="24"/>
                <w:lang w:val="en-US" w:eastAsia="zh-CN"/>
              </w:rPr>
              <w:t>1</w:t>
            </w:r>
          </w:p>
        </w:tc>
        <w:tc>
          <w:tcPr>
            <w:tcW w:w="7225" w:type="dxa"/>
            <w:vAlign w:val="center"/>
          </w:tcPr>
          <w:p w14:paraId="4A8E62D0">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rPr>
            </w:pPr>
            <w:r>
              <w:rPr>
                <w:rFonts w:hint="eastAsia" w:ascii="宋体" w:hAnsi="宋体" w:eastAsia="宋体" w:cs="宋体"/>
                <w:b/>
                <w:bCs/>
                <w:sz w:val="24"/>
                <w:szCs w:val="24"/>
                <w:lang w:val="en-US" w:eastAsia="zh-CN"/>
              </w:rPr>
              <w:t>提供</w:t>
            </w:r>
            <w:r>
              <w:rPr>
                <w:rFonts w:hint="default" w:ascii="宋体" w:hAnsi="宋体" w:cs="宋体"/>
                <w:b/>
                <w:bCs/>
                <w:sz w:val="24"/>
                <w:szCs w:val="24"/>
                <w:lang w:eastAsia="zh-CN"/>
              </w:rPr>
              <w:t>投标人或</w:t>
            </w:r>
            <w:r>
              <w:rPr>
                <w:rFonts w:hint="eastAsia" w:ascii="宋体" w:hAnsi="宋体" w:eastAsia="宋体" w:cs="宋体"/>
                <w:b/>
                <w:bCs/>
                <w:sz w:val="24"/>
                <w:szCs w:val="24"/>
                <w:lang w:val="en-US" w:eastAsia="zh-CN"/>
              </w:rPr>
              <w:t>投标产品生产商</w:t>
            </w:r>
            <w:r>
              <w:rPr>
                <w:rFonts w:hint="eastAsia" w:ascii="宋体" w:hAnsi="宋体"/>
                <w:sz w:val="24"/>
                <w:szCs w:val="24"/>
              </w:rPr>
              <w:t>有效期内</w:t>
            </w:r>
            <w:r>
              <w:rPr>
                <w:rFonts w:hint="eastAsia" w:ascii="宋体" w:hAnsi="宋体"/>
                <w:sz w:val="24"/>
                <w:szCs w:val="24"/>
                <w:lang w:val="en-US" w:eastAsia="zh-CN"/>
              </w:rPr>
              <w:t>ISO</w:t>
            </w:r>
            <w:r>
              <w:rPr>
                <w:rFonts w:hint="eastAsia" w:ascii="宋体" w:hAnsi="宋体"/>
                <w:sz w:val="24"/>
                <w:szCs w:val="24"/>
              </w:rPr>
              <w:t>质量管理体系认证证书的得1分；有效期内</w:t>
            </w:r>
            <w:r>
              <w:rPr>
                <w:rFonts w:hint="eastAsia" w:ascii="宋体" w:hAnsi="宋体"/>
                <w:sz w:val="24"/>
                <w:szCs w:val="24"/>
                <w:lang w:val="en-US" w:eastAsia="zh-CN"/>
              </w:rPr>
              <w:t>ISO</w:t>
            </w:r>
            <w:r>
              <w:rPr>
                <w:rFonts w:hint="eastAsia" w:ascii="宋体" w:hAnsi="宋体"/>
                <w:sz w:val="24"/>
                <w:szCs w:val="24"/>
              </w:rPr>
              <w:t>环境管理体系认证证书的得1分；有效期内</w:t>
            </w:r>
            <w:r>
              <w:rPr>
                <w:rFonts w:hint="eastAsia" w:ascii="宋体" w:hAnsi="宋体"/>
                <w:sz w:val="24"/>
                <w:szCs w:val="24"/>
                <w:lang w:val="en-US" w:eastAsia="zh-CN"/>
              </w:rPr>
              <w:t>ISO</w:t>
            </w:r>
            <w:r>
              <w:rPr>
                <w:rFonts w:hint="eastAsia" w:ascii="宋体" w:hAnsi="宋体"/>
                <w:sz w:val="24"/>
                <w:szCs w:val="24"/>
              </w:rPr>
              <w:t>职业健康安全管理体系认证证书的得1分。</w:t>
            </w:r>
          </w:p>
          <w:p w14:paraId="707D5357">
            <w:pPr>
              <w:widowControl w:val="0"/>
              <w:wordWrap/>
              <w:adjustRightInd/>
              <w:snapToGrid/>
              <w:spacing w:line="360" w:lineRule="auto"/>
              <w:ind w:left="0" w:leftChars="0" w:right="0" w:firstLine="0" w:firstLineChars="0"/>
              <w:jc w:val="left"/>
              <w:textAlignment w:val="auto"/>
              <w:outlineLvl w:val="9"/>
              <w:rPr>
                <w:rFonts w:hint="eastAsia" w:ascii="宋体" w:hAnsi="宋体"/>
                <w:b/>
                <w:bCs/>
                <w:sz w:val="24"/>
                <w:szCs w:val="24"/>
              </w:rPr>
            </w:pP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加盖公章及全国认证认可信息公共服务平台（http://cx.cnca.cn/CertECloud/index/index/page）</w:t>
            </w:r>
          </w:p>
          <w:p w14:paraId="5B945090">
            <w:pPr>
              <w:widowControl w:val="0"/>
              <w:wordWrap/>
              <w:adjustRightInd/>
              <w:snapToGrid/>
              <w:spacing w:line="360" w:lineRule="auto"/>
              <w:ind w:left="0" w:leftChars="0" w:right="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b/>
                <w:bCs/>
                <w:sz w:val="24"/>
                <w:szCs w:val="24"/>
              </w:rPr>
              <w:t>的证书网页截图复印件并加盖单位公章。</w:t>
            </w:r>
          </w:p>
        </w:tc>
        <w:tc>
          <w:tcPr>
            <w:tcW w:w="1470" w:type="dxa"/>
            <w:vAlign w:val="center"/>
          </w:tcPr>
          <w:p w14:paraId="002D69F7">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r>
      <w:tr w14:paraId="2263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642BD6BC">
            <w:pPr>
              <w:spacing w:line="360" w:lineRule="auto"/>
              <w:jc w:val="center"/>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2</w:t>
            </w:r>
          </w:p>
        </w:tc>
        <w:tc>
          <w:tcPr>
            <w:tcW w:w="7225" w:type="dxa"/>
            <w:vAlign w:val="center"/>
          </w:tcPr>
          <w:p w14:paraId="59EF65B4">
            <w:pPr>
              <w:widowControl w:val="0"/>
              <w:wordWrap/>
              <w:adjustRightInd/>
              <w:snapToGrid/>
              <w:spacing w:line="360" w:lineRule="auto"/>
              <w:ind w:left="0" w:leftChars="0" w:right="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eastAsia="宋体" w:cs="宋体"/>
                <w:b/>
                <w:bCs/>
                <w:sz w:val="24"/>
                <w:szCs w:val="24"/>
                <w:lang w:val="en-US" w:eastAsia="zh-CN"/>
              </w:rPr>
              <w:t>提供</w:t>
            </w:r>
            <w:r>
              <w:rPr>
                <w:rFonts w:hint="default" w:ascii="宋体" w:hAnsi="宋体" w:cs="宋体"/>
                <w:b/>
                <w:bCs/>
                <w:sz w:val="24"/>
                <w:szCs w:val="24"/>
                <w:lang w:eastAsia="zh-CN"/>
              </w:rPr>
              <w:t>投标人或</w:t>
            </w:r>
            <w:r>
              <w:rPr>
                <w:rFonts w:hint="eastAsia" w:ascii="宋体" w:hAnsi="宋体" w:eastAsia="宋体" w:cs="宋体"/>
                <w:b/>
                <w:bCs/>
                <w:sz w:val="24"/>
                <w:szCs w:val="24"/>
                <w:lang w:val="en-US" w:eastAsia="zh-CN"/>
              </w:rPr>
              <w:t>投标产品生产商</w:t>
            </w:r>
            <w:r>
              <w:rPr>
                <w:rFonts w:hint="eastAsia" w:ascii="宋体" w:hAnsi="宋体"/>
                <w:sz w:val="24"/>
                <w:szCs w:val="24"/>
                <w:lang w:val="en-US" w:eastAsia="zh-CN"/>
              </w:rPr>
              <w:t>有效期内的</w:t>
            </w:r>
            <w:r>
              <w:rPr>
                <w:rFonts w:hint="eastAsia" w:ascii="宋体" w:hAnsi="宋体"/>
                <w:sz w:val="24"/>
                <w:szCs w:val="24"/>
              </w:rPr>
              <w:t>高新技术企业证书得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val="en-US" w:eastAsia="zh-CN"/>
              </w:rPr>
              <w:t>，需同时提供</w:t>
            </w:r>
            <w:r>
              <w:rPr>
                <w:rFonts w:hint="eastAsia" w:ascii="宋体" w:hAnsi="宋体"/>
                <w:sz w:val="24"/>
                <w:szCs w:val="24"/>
              </w:rPr>
              <w:t>高新技术企业证书</w:t>
            </w:r>
            <w:r>
              <w:rPr>
                <w:rFonts w:hint="eastAsia" w:ascii="宋体" w:hAnsi="宋体"/>
                <w:sz w:val="24"/>
                <w:szCs w:val="24"/>
                <w:lang w:val="en-US" w:eastAsia="zh-CN"/>
              </w:rPr>
              <w:t>和“高新技术企业认定工作网”（</w:t>
            </w:r>
            <w:r>
              <w:rPr>
                <w:rFonts w:hint="eastAsia" w:ascii="宋体" w:hAnsi="宋体"/>
                <w:sz w:val="24"/>
                <w:szCs w:val="24"/>
              </w:rPr>
              <w:t>www.innocom.gov.cn</w:t>
            </w:r>
            <w:r>
              <w:rPr>
                <w:rFonts w:hint="eastAsia" w:ascii="宋体" w:hAnsi="宋体"/>
                <w:sz w:val="24"/>
                <w:szCs w:val="24"/>
                <w:lang w:val="en-US" w:eastAsia="zh-CN"/>
              </w:rPr>
              <w:t>）的查询结果截图，缺一不可。</w:t>
            </w:r>
            <w:r>
              <w:rPr>
                <w:rFonts w:hint="eastAsia" w:ascii="宋体" w:hAnsi="宋体"/>
                <w:sz w:val="24"/>
                <w:szCs w:val="24"/>
              </w:rPr>
              <w:t>（</w:t>
            </w: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w:t>
            </w:r>
            <w:r>
              <w:rPr>
                <w:rFonts w:hint="eastAsia" w:ascii="宋体" w:hAnsi="宋体"/>
                <w:sz w:val="24"/>
                <w:szCs w:val="24"/>
                <w:lang w:eastAsia="zh-CN"/>
              </w:rPr>
              <w:t>）</w:t>
            </w:r>
          </w:p>
        </w:tc>
        <w:tc>
          <w:tcPr>
            <w:tcW w:w="1470" w:type="dxa"/>
            <w:vAlign w:val="center"/>
          </w:tcPr>
          <w:p w14:paraId="1A9C5CAF">
            <w:pPr>
              <w:widowControl w:val="0"/>
              <w:wordWrap/>
              <w:adjustRightInd/>
              <w:snapToGrid/>
              <w:spacing w:line="360" w:lineRule="auto"/>
              <w:ind w:left="0" w:leftChars="0" w:right="0" w:firstLine="0" w:firstLineChars="0"/>
              <w:jc w:val="center"/>
              <w:textAlignment w:val="auto"/>
              <w:outlineLvl w:val="9"/>
              <w:rPr>
                <w:rFonts w:hint="eastAsia" w:ascii="宋体" w:hAnsi="宋体"/>
                <w:color w:val="auto"/>
                <w:sz w:val="24"/>
                <w:szCs w:val="24"/>
                <w:highlight w:val="none"/>
              </w:rPr>
            </w:pPr>
            <w:r>
              <w:rPr>
                <w:rFonts w:hint="eastAsia" w:ascii="宋体" w:hAnsi="宋体"/>
                <w:sz w:val="24"/>
                <w:szCs w:val="24"/>
              </w:rPr>
              <w:t>0-</w:t>
            </w:r>
            <w:r>
              <w:rPr>
                <w:rFonts w:hint="eastAsia" w:ascii="宋体" w:hAnsi="宋体"/>
                <w:sz w:val="24"/>
                <w:szCs w:val="24"/>
                <w:lang w:val="en-US" w:eastAsia="zh-CN"/>
              </w:rPr>
              <w:t>2</w:t>
            </w:r>
            <w:r>
              <w:rPr>
                <w:rFonts w:hint="eastAsia" w:ascii="宋体" w:hAnsi="宋体"/>
                <w:sz w:val="24"/>
                <w:szCs w:val="24"/>
              </w:rPr>
              <w:t>分</w:t>
            </w:r>
          </w:p>
        </w:tc>
      </w:tr>
      <w:tr w14:paraId="4685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28F519C7">
            <w:pPr>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225" w:type="dxa"/>
            <w:vAlign w:val="center"/>
          </w:tcPr>
          <w:p w14:paraId="5936AACF">
            <w:pPr>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投标产品生产商</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sz w:val="24"/>
                <w:szCs w:val="24"/>
                <w:highlight w:val="none"/>
                <w:lang w:eastAsia="zh-CN"/>
              </w:rPr>
              <w:t>有效期内安全生产标准化</w:t>
            </w:r>
            <w:r>
              <w:rPr>
                <w:rFonts w:hint="eastAsia" w:ascii="宋体" w:hAnsi="宋体" w:eastAsia="宋体" w:cs="宋体"/>
                <w:b w:val="0"/>
                <w:bCs w:val="0"/>
                <w:sz w:val="24"/>
                <w:szCs w:val="24"/>
                <w:highlight w:val="none"/>
                <w:lang w:val="en-US" w:eastAsia="zh-CN"/>
              </w:rPr>
              <w:t>一级企业</w:t>
            </w:r>
            <w:r>
              <w:rPr>
                <w:rFonts w:hint="eastAsia" w:ascii="宋体" w:hAnsi="宋体" w:eastAsia="宋体" w:cs="宋体"/>
                <w:b w:val="0"/>
                <w:bCs w:val="0"/>
                <w:sz w:val="24"/>
                <w:szCs w:val="24"/>
                <w:highlight w:val="none"/>
                <w:lang w:eastAsia="zh-CN"/>
              </w:rPr>
              <w:t>证书得</w:t>
            </w:r>
            <w:r>
              <w:rPr>
                <w:rFonts w:hint="eastAsia" w:ascii="宋体" w:hAnsi="宋体" w:eastAsia="宋体" w:cs="宋体"/>
                <w:b w:val="0"/>
                <w:bCs w:val="0"/>
                <w:sz w:val="24"/>
                <w:szCs w:val="24"/>
                <w:highlight w:val="none"/>
                <w:lang w:val="en-US" w:eastAsia="zh-CN"/>
              </w:rPr>
              <w:t>分3分。</w:t>
            </w:r>
            <w:r>
              <w:rPr>
                <w:rFonts w:hint="eastAsia" w:ascii="宋体" w:hAnsi="宋体" w:eastAsia="宋体" w:cs="宋体"/>
                <w:b w:val="0"/>
                <w:bCs w:val="0"/>
                <w:sz w:val="24"/>
                <w:szCs w:val="24"/>
                <w:highlight w:val="none"/>
                <w:lang w:eastAsia="zh-CN"/>
              </w:rPr>
              <w:t>安全生产标准化</w:t>
            </w:r>
            <w:r>
              <w:rPr>
                <w:rFonts w:hint="eastAsia" w:ascii="宋体" w:hAnsi="宋体" w:eastAsia="宋体" w:cs="宋体"/>
                <w:b w:val="0"/>
                <w:bCs w:val="0"/>
                <w:sz w:val="24"/>
                <w:szCs w:val="24"/>
                <w:highlight w:val="none"/>
                <w:lang w:val="en-US" w:eastAsia="zh-CN"/>
              </w:rPr>
              <w:t>二级</w:t>
            </w:r>
            <w:r>
              <w:rPr>
                <w:rFonts w:hint="eastAsia" w:ascii="宋体" w:hAnsi="宋体" w:eastAsia="宋体" w:cs="宋体"/>
                <w:b w:val="0"/>
                <w:bCs w:val="0"/>
                <w:sz w:val="24"/>
                <w:szCs w:val="24"/>
                <w:highlight w:val="none"/>
                <w:lang w:eastAsia="zh-CN"/>
              </w:rPr>
              <w:t>企业证书得</w:t>
            </w:r>
            <w:r>
              <w:rPr>
                <w:rFonts w:hint="eastAsia" w:ascii="宋体" w:hAnsi="宋体" w:eastAsia="宋体" w:cs="宋体"/>
                <w:b w:val="0"/>
                <w:bCs w:val="0"/>
                <w:sz w:val="24"/>
                <w:szCs w:val="24"/>
                <w:highlight w:val="none"/>
                <w:lang w:val="en-US" w:eastAsia="zh-CN"/>
              </w:rPr>
              <w:t>2分。</w:t>
            </w:r>
            <w:r>
              <w:rPr>
                <w:rFonts w:hint="eastAsia" w:ascii="宋体" w:hAnsi="宋体" w:eastAsia="宋体" w:cs="宋体"/>
                <w:b w:val="0"/>
                <w:bCs w:val="0"/>
                <w:sz w:val="24"/>
                <w:szCs w:val="24"/>
                <w:highlight w:val="none"/>
                <w:lang w:eastAsia="zh-CN"/>
              </w:rPr>
              <w:t>安全生产标准化</w:t>
            </w:r>
            <w:r>
              <w:rPr>
                <w:rFonts w:hint="eastAsia" w:ascii="宋体" w:hAnsi="宋体" w:eastAsia="宋体" w:cs="宋体"/>
                <w:b w:val="0"/>
                <w:bCs w:val="0"/>
                <w:sz w:val="24"/>
                <w:szCs w:val="24"/>
                <w:highlight w:val="none"/>
                <w:lang w:val="en-US" w:eastAsia="zh-CN"/>
              </w:rPr>
              <w:t>三级</w:t>
            </w:r>
            <w:r>
              <w:rPr>
                <w:rFonts w:hint="eastAsia" w:ascii="宋体" w:hAnsi="宋体" w:eastAsia="宋体" w:cs="宋体"/>
                <w:b w:val="0"/>
                <w:bCs w:val="0"/>
                <w:sz w:val="24"/>
                <w:szCs w:val="24"/>
                <w:highlight w:val="none"/>
                <w:lang w:eastAsia="zh-CN"/>
              </w:rPr>
              <w:t>企业证书得</w:t>
            </w:r>
            <w:r>
              <w:rPr>
                <w:rFonts w:hint="eastAsia" w:ascii="宋体" w:hAnsi="宋体" w:eastAsia="宋体" w:cs="宋体"/>
                <w:b w:val="0"/>
                <w:bCs w:val="0"/>
                <w:sz w:val="24"/>
                <w:szCs w:val="24"/>
                <w:highlight w:val="none"/>
                <w:lang w:val="en-US" w:eastAsia="zh-CN"/>
              </w:rPr>
              <w:t>1分。</w:t>
            </w:r>
            <w:r>
              <w:rPr>
                <w:rFonts w:hint="eastAsia" w:ascii="宋体" w:hAnsi="宋体" w:eastAsia="宋体" w:cs="宋体"/>
                <w:sz w:val="24"/>
                <w:szCs w:val="24"/>
              </w:rPr>
              <w:t>（</w:t>
            </w:r>
            <w:r>
              <w:rPr>
                <w:rFonts w:hint="eastAsia" w:ascii="宋体" w:hAnsi="宋体"/>
                <w:b/>
                <w:bCs/>
                <w:sz w:val="24"/>
                <w:szCs w:val="24"/>
                <w:lang w:val="en-US" w:eastAsia="zh-CN"/>
              </w:rPr>
              <w:t>提供有效证书的</w:t>
            </w:r>
            <w:r>
              <w:rPr>
                <w:rFonts w:hint="eastAsia" w:ascii="宋体" w:hAnsi="宋体"/>
                <w:b/>
                <w:bCs/>
                <w:sz w:val="24"/>
                <w:szCs w:val="24"/>
              </w:rPr>
              <w:t>复印件</w:t>
            </w:r>
            <w:r>
              <w:rPr>
                <w:rFonts w:hint="eastAsia" w:ascii="宋体" w:hAnsi="宋体"/>
                <w:b/>
                <w:bCs/>
                <w:sz w:val="24"/>
                <w:szCs w:val="24"/>
                <w:lang w:val="en-US" w:eastAsia="zh-CN"/>
              </w:rPr>
              <w:t>或扫描件</w:t>
            </w:r>
            <w:r>
              <w:rPr>
                <w:rFonts w:hint="eastAsia" w:ascii="宋体" w:hAnsi="宋体"/>
                <w:b/>
                <w:bCs/>
                <w:sz w:val="24"/>
                <w:szCs w:val="24"/>
              </w:rPr>
              <w:t>加盖公章</w:t>
            </w:r>
            <w:r>
              <w:rPr>
                <w:rFonts w:hint="eastAsia" w:ascii="宋体" w:hAnsi="宋体" w:eastAsia="宋体" w:cs="宋体"/>
                <w:sz w:val="24"/>
                <w:szCs w:val="24"/>
              </w:rPr>
              <w:t>）</w:t>
            </w:r>
          </w:p>
        </w:tc>
        <w:tc>
          <w:tcPr>
            <w:tcW w:w="1470" w:type="dxa"/>
            <w:vAlign w:val="center"/>
          </w:tcPr>
          <w:p w14:paraId="7A17F3EB">
            <w:pPr>
              <w:spacing w:line="360" w:lineRule="auto"/>
              <w:jc w:val="center"/>
              <w:textAlignment w:val="auto"/>
              <w:rPr>
                <w:rFonts w:hint="eastAsia" w:ascii="宋体" w:hAnsi="宋体"/>
                <w:sz w:val="24"/>
                <w:szCs w:val="24"/>
              </w:rPr>
            </w:pPr>
            <w:r>
              <w:rPr>
                <w:rFonts w:hint="eastAsia" w:ascii="宋体" w:hAnsi="宋体" w:eastAsia="宋体" w:cs="宋体"/>
                <w:color w:val="auto"/>
                <w:sz w:val="24"/>
                <w:szCs w:val="24"/>
                <w:highlight w:val="none"/>
                <w:lang w:val="en-US" w:eastAsia="zh-CN"/>
              </w:rPr>
              <w:t>0-3分</w:t>
            </w:r>
          </w:p>
        </w:tc>
      </w:tr>
      <w:tr w14:paraId="6693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04CA5277">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7225" w:type="dxa"/>
            <w:vAlign w:val="center"/>
          </w:tcPr>
          <w:p w14:paraId="46A3612B">
            <w:pPr>
              <w:widowControl w:val="0"/>
              <w:wordWrap/>
              <w:adjustRightInd/>
              <w:snapToGrid/>
              <w:spacing w:line="360" w:lineRule="auto"/>
              <w:ind w:left="0" w:leftChars="0" w:firstLine="0" w:firstLineChars="0"/>
              <w:jc w:val="left"/>
              <w:textAlignment w:val="auto"/>
              <w:outlineLvl w:val="9"/>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提供</w:t>
            </w:r>
            <w:r>
              <w:rPr>
                <w:rFonts w:hint="eastAsia" w:ascii="宋体" w:hAnsi="宋体"/>
                <w:b w:val="0"/>
                <w:bCs/>
                <w:color w:val="auto"/>
                <w:sz w:val="24"/>
                <w:szCs w:val="24"/>
                <w:highlight w:val="none"/>
              </w:rPr>
              <w:t>投标产品</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月1日以后，经资质认定的第三方</w:t>
            </w:r>
            <w:r>
              <w:rPr>
                <w:rFonts w:hint="eastAsia" w:ascii="宋体" w:hAnsi="宋体"/>
                <w:color w:val="auto"/>
                <w:sz w:val="24"/>
                <w:szCs w:val="24"/>
                <w:highlight w:val="none"/>
                <w:lang w:val="en-US" w:eastAsia="zh-CN"/>
              </w:rPr>
              <w:t>检测机构出具的</w:t>
            </w:r>
            <w:r>
              <w:rPr>
                <w:rFonts w:hint="eastAsia" w:ascii="宋体" w:hAnsi="宋体"/>
                <w:color w:val="auto"/>
                <w:sz w:val="24"/>
                <w:szCs w:val="24"/>
                <w:highlight w:val="none"/>
              </w:rPr>
              <w:t>产品质量</w:t>
            </w:r>
            <w:r>
              <w:rPr>
                <w:rFonts w:hint="eastAsia" w:ascii="宋体" w:hAnsi="宋体"/>
                <w:color w:val="auto"/>
                <w:sz w:val="24"/>
                <w:szCs w:val="24"/>
                <w:highlight w:val="none"/>
                <w:lang w:val="en-US" w:eastAsia="zh-CN"/>
              </w:rPr>
              <w:t>检验合格</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报告上需体现CMA/CNAS资质认定标志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每提供一个的1分，最多得4分</w:t>
            </w:r>
            <w:r>
              <w:rPr>
                <w:rFonts w:hint="eastAsia" w:ascii="宋体" w:hAnsi="宋体" w:eastAsia="宋体" w:cs="宋体"/>
                <w:b/>
                <w:sz w:val="24"/>
                <w:szCs w:val="24"/>
                <w:highlight w:val="none"/>
              </w:rPr>
              <w:t>（</w:t>
            </w:r>
            <w:r>
              <w:rPr>
                <w:rFonts w:hint="eastAsia" w:ascii="宋体" w:hAnsi="宋体" w:eastAsia="宋体" w:cs="宋体"/>
                <w:b/>
                <w:bCs w:val="0"/>
                <w:sz w:val="24"/>
                <w:szCs w:val="24"/>
                <w:highlight w:val="none"/>
              </w:rPr>
              <w:t>产品须</w:t>
            </w:r>
            <w:r>
              <w:rPr>
                <w:rFonts w:hint="eastAsia" w:ascii="宋体" w:hAnsi="宋体" w:eastAsia="宋体" w:cs="宋体"/>
                <w:b/>
                <w:bCs w:val="0"/>
                <w:sz w:val="24"/>
                <w:szCs w:val="24"/>
                <w:highlight w:val="none"/>
                <w:lang w:val="en-US" w:eastAsia="zh-CN"/>
              </w:rPr>
              <w:t>符合</w:t>
            </w:r>
            <w:r>
              <w:rPr>
                <w:rFonts w:hint="eastAsia" w:ascii="宋体" w:hAnsi="宋体" w:eastAsia="宋体" w:cs="宋体"/>
                <w:b/>
                <w:bCs w:val="0"/>
                <w:sz w:val="24"/>
                <w:szCs w:val="24"/>
                <w:highlight w:val="none"/>
              </w:rPr>
              <w:t>GB 1886.2</w:t>
            </w:r>
            <w:r>
              <w:rPr>
                <w:rFonts w:hint="eastAsia" w:ascii="宋体" w:hAnsi="宋体" w:eastAsia="宋体" w:cs="宋体"/>
                <w:b/>
                <w:bCs w:val="0"/>
                <w:sz w:val="24"/>
                <w:szCs w:val="24"/>
                <w:highlight w:val="none"/>
                <w:lang w:val="en-US" w:eastAsia="zh-CN"/>
              </w:rPr>
              <w:t>0</w:t>
            </w:r>
            <w:r>
              <w:rPr>
                <w:rFonts w:hint="eastAsia" w:ascii="宋体" w:hAnsi="宋体" w:eastAsia="宋体" w:cs="宋体"/>
                <w:b/>
                <w:bCs w:val="0"/>
                <w:sz w:val="24"/>
                <w:szCs w:val="24"/>
                <w:highlight w:val="none"/>
              </w:rPr>
              <w:t xml:space="preserve">-2016  食品添加剂 </w:t>
            </w:r>
            <w:r>
              <w:rPr>
                <w:rFonts w:hint="eastAsia" w:ascii="宋体" w:hAnsi="宋体" w:eastAsia="宋体" w:cs="宋体"/>
                <w:b/>
                <w:bCs w:val="0"/>
                <w:sz w:val="24"/>
                <w:szCs w:val="24"/>
                <w:highlight w:val="none"/>
                <w:lang w:val="en-US" w:eastAsia="zh-CN"/>
              </w:rPr>
              <w:t>氢氧化钠中液体氢氧化钠的</w:t>
            </w:r>
            <w:r>
              <w:rPr>
                <w:rFonts w:hint="eastAsia" w:ascii="宋体" w:hAnsi="宋体" w:eastAsia="宋体" w:cs="宋体"/>
                <w:b/>
                <w:bCs w:val="0"/>
                <w:sz w:val="24"/>
                <w:szCs w:val="24"/>
                <w:highlight w:val="none"/>
              </w:rPr>
              <w:t>技术指标要求</w:t>
            </w:r>
            <w:r>
              <w:rPr>
                <w:rFonts w:hint="eastAsia" w:ascii="宋体" w:hAnsi="宋体" w:eastAsia="宋体" w:cs="宋体"/>
                <w:b/>
                <w:bCs w:val="0"/>
                <w:sz w:val="24"/>
                <w:szCs w:val="24"/>
                <w:highlight w:val="none"/>
                <w:lang w:eastAsia="zh-CN"/>
              </w:rPr>
              <w:t>，</w:t>
            </w:r>
            <w:r>
              <w:rPr>
                <w:rFonts w:hint="eastAsia" w:ascii="宋体" w:hAnsi="宋体"/>
                <w:b/>
                <w:bCs w:val="0"/>
                <w:kern w:val="0"/>
                <w:sz w:val="24"/>
                <w:highlight w:val="none"/>
                <w:lang w:eastAsia="zh-CN"/>
              </w:rPr>
              <w:t>提供复印件，并加盖公章）</w:t>
            </w:r>
          </w:p>
        </w:tc>
        <w:tc>
          <w:tcPr>
            <w:tcW w:w="1470" w:type="dxa"/>
            <w:vAlign w:val="center"/>
          </w:tcPr>
          <w:p w14:paraId="291285A2">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0-4分</w:t>
            </w:r>
          </w:p>
        </w:tc>
      </w:tr>
      <w:tr w14:paraId="176E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Align w:val="center"/>
          </w:tcPr>
          <w:p w14:paraId="3E8C1DE0">
            <w:pPr>
              <w:shd w:val="clear" w:color="auto" w:fill="auto"/>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shd w:val="clear" w:color="auto" w:fill="auto"/>
                <w:lang w:val="en-US" w:eastAsia="zh-CN"/>
              </w:rPr>
              <w:t>5</w:t>
            </w:r>
          </w:p>
        </w:tc>
        <w:tc>
          <w:tcPr>
            <w:tcW w:w="7225" w:type="dxa"/>
            <w:vAlign w:val="center"/>
          </w:tcPr>
          <w:p w14:paraId="137D57CF">
            <w:pPr>
              <w:shd w:val="clear" w:color="auto" w:fill="auto"/>
              <w:spacing w:line="360" w:lineRule="auto"/>
              <w:textAlignment w:val="auto"/>
              <w:rPr>
                <w:rFonts w:hint="eastAsia" w:ascii="宋体" w:hAnsi="宋体"/>
                <w:b w:val="0"/>
                <w:bCs/>
                <w:color w:val="auto"/>
                <w:sz w:val="24"/>
                <w:szCs w:val="24"/>
                <w:highlight w:val="none"/>
                <w:shd w:val="clear" w:color="auto" w:fill="auto"/>
                <w:lang w:val="en-US" w:eastAsia="zh-CN"/>
              </w:rPr>
            </w:pPr>
            <w:r>
              <w:rPr>
                <w:rFonts w:hint="default" w:ascii="宋体" w:hAnsi="宋体" w:cs="宋体"/>
                <w:b/>
                <w:bCs/>
                <w:sz w:val="24"/>
                <w:szCs w:val="24"/>
                <w:highlight w:val="none"/>
                <w:lang w:eastAsia="zh-CN"/>
              </w:rPr>
              <w:t>投标人或</w:t>
            </w:r>
            <w:r>
              <w:rPr>
                <w:rFonts w:hint="eastAsia" w:ascii="宋体" w:hAnsi="宋体" w:eastAsia="宋体" w:cs="宋体"/>
                <w:b/>
                <w:bCs/>
                <w:sz w:val="24"/>
                <w:szCs w:val="24"/>
                <w:highlight w:val="none"/>
                <w:lang w:val="en-US" w:eastAsia="zh-CN"/>
              </w:rPr>
              <w:t>投标产品生产商</w:t>
            </w:r>
            <w:r>
              <w:rPr>
                <w:rFonts w:hint="eastAsia" w:ascii="宋体" w:hAnsi="宋体"/>
                <w:b/>
                <w:bCs w:val="0"/>
                <w:color w:val="auto"/>
                <w:sz w:val="24"/>
                <w:szCs w:val="24"/>
                <w:highlight w:val="none"/>
                <w:shd w:val="clear" w:color="auto" w:fill="auto"/>
                <w:lang w:val="en-US" w:eastAsia="zh-CN"/>
              </w:rPr>
              <w:t>具有</w:t>
            </w:r>
            <w:r>
              <w:rPr>
                <w:rFonts w:hint="eastAsia" w:ascii="宋体" w:hAnsi="宋体"/>
                <w:b w:val="0"/>
                <w:bCs/>
                <w:color w:val="auto"/>
                <w:sz w:val="24"/>
                <w:szCs w:val="24"/>
                <w:highlight w:val="none"/>
                <w:shd w:val="clear" w:color="auto" w:fill="auto"/>
              </w:rPr>
              <w:t>省级（含直辖市）</w:t>
            </w:r>
            <w:r>
              <w:rPr>
                <w:rFonts w:hint="eastAsia" w:ascii="宋体" w:hAnsi="宋体"/>
                <w:b w:val="0"/>
                <w:bCs/>
                <w:color w:val="auto"/>
                <w:sz w:val="24"/>
                <w:szCs w:val="24"/>
                <w:highlight w:val="none"/>
                <w:shd w:val="clear" w:color="auto" w:fill="auto"/>
                <w:lang w:val="en-US" w:eastAsia="zh-CN"/>
              </w:rPr>
              <w:t>市场监督管理局颁发的守合同重信用证书的得2分；市级市场监督管理局办法的守合同重信用证书的得1分。</w:t>
            </w:r>
          </w:p>
          <w:p w14:paraId="260E4693">
            <w:pPr>
              <w:shd w:val="clear" w:color="auto" w:fill="auto"/>
              <w:spacing w:line="360" w:lineRule="auto"/>
              <w:textAlignment w:val="auto"/>
              <w:rPr>
                <w:rFonts w:hint="eastAsia" w:ascii="宋体" w:hAnsi="宋体"/>
                <w:b w:val="0"/>
                <w:bCs/>
                <w:color w:val="auto"/>
                <w:sz w:val="24"/>
                <w:szCs w:val="24"/>
                <w:highlight w:val="none"/>
                <w:lang w:val="en-US" w:eastAsia="zh-CN"/>
              </w:rPr>
            </w:pPr>
            <w:r>
              <w:rPr>
                <w:rFonts w:hint="eastAsia" w:ascii="宋体" w:hAnsi="宋体"/>
                <w:b/>
                <w:bCs w:val="0"/>
                <w:color w:val="auto"/>
                <w:sz w:val="24"/>
                <w:szCs w:val="24"/>
                <w:highlight w:val="none"/>
                <w:shd w:val="clear" w:color="auto" w:fill="auto"/>
                <w:lang w:eastAsia="zh-CN"/>
              </w:rPr>
              <w:t>（</w:t>
            </w:r>
            <w:r>
              <w:rPr>
                <w:rFonts w:hint="eastAsia" w:ascii="宋体" w:hAnsi="宋体"/>
                <w:b/>
                <w:color w:val="auto"/>
                <w:kern w:val="0"/>
                <w:sz w:val="24"/>
                <w:highlight w:val="none"/>
                <w:shd w:val="clear" w:color="auto" w:fill="auto"/>
                <w:lang w:val="en-US" w:eastAsia="zh-CN"/>
              </w:rPr>
              <w:t>提供</w:t>
            </w:r>
            <w:r>
              <w:rPr>
                <w:rFonts w:hint="eastAsia" w:ascii="宋体" w:hAnsi="宋体"/>
                <w:b/>
                <w:bCs w:val="0"/>
                <w:color w:val="auto"/>
                <w:kern w:val="0"/>
                <w:sz w:val="24"/>
                <w:highlight w:val="none"/>
                <w:shd w:val="clear" w:color="auto" w:fill="auto"/>
                <w:lang w:val="en-US" w:eastAsia="zh-CN"/>
              </w:rPr>
              <w:t>相应证书并复印件加盖公章。）</w:t>
            </w:r>
          </w:p>
        </w:tc>
        <w:tc>
          <w:tcPr>
            <w:tcW w:w="1470" w:type="dxa"/>
            <w:vAlign w:val="center"/>
          </w:tcPr>
          <w:p w14:paraId="039B4B6F">
            <w:pPr>
              <w:shd w:val="clear" w:color="auto" w:fill="auto"/>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shd w:val="clear" w:color="auto" w:fill="auto"/>
              </w:rPr>
              <w:t>0-</w:t>
            </w:r>
            <w:r>
              <w:rPr>
                <w:rFonts w:hint="eastAsia" w:ascii="宋体" w:hAnsi="宋体"/>
                <w:color w:val="auto"/>
                <w:sz w:val="24"/>
                <w:szCs w:val="24"/>
                <w:highlight w:val="none"/>
                <w:shd w:val="clear" w:color="auto" w:fill="auto"/>
                <w:lang w:val="en-US" w:eastAsia="zh-CN"/>
              </w:rPr>
              <w:t>2</w:t>
            </w:r>
            <w:r>
              <w:rPr>
                <w:rFonts w:hint="eastAsia" w:ascii="宋体" w:hAnsi="宋体"/>
                <w:color w:val="auto"/>
                <w:sz w:val="24"/>
                <w:szCs w:val="24"/>
                <w:highlight w:val="none"/>
                <w:shd w:val="clear" w:color="auto" w:fill="auto"/>
              </w:rPr>
              <w:t>分</w:t>
            </w:r>
          </w:p>
        </w:tc>
      </w:tr>
      <w:tr w14:paraId="07D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Align w:val="center"/>
          </w:tcPr>
          <w:p w14:paraId="27487392">
            <w:pPr>
              <w:widowControl w:val="0"/>
              <w:wordWrap/>
              <w:adjustRightInd/>
              <w:snapToGrid/>
              <w:spacing w:line="360" w:lineRule="auto"/>
              <w:ind w:left="0" w:leftChars="0" w:firstLine="0" w:firstLineChars="0"/>
              <w:jc w:val="center"/>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7225" w:type="dxa"/>
            <w:vAlign w:val="center"/>
          </w:tcPr>
          <w:p w14:paraId="3186E23B">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rPr>
            </w:pPr>
            <w:r>
              <w:rPr>
                <w:rFonts w:hint="eastAsia" w:ascii="宋体" w:hAnsi="宋体"/>
                <w:color w:val="auto"/>
                <w:sz w:val="24"/>
                <w:szCs w:val="24"/>
                <w:highlight w:val="none"/>
              </w:rPr>
              <w:t>类</w:t>
            </w:r>
            <w:r>
              <w:rPr>
                <w:rFonts w:hint="eastAsia" w:ascii="宋体" w:hAnsi="宋体"/>
                <w:sz w:val="24"/>
                <w:szCs w:val="24"/>
                <w:highlight w:val="none"/>
              </w:rPr>
              <w:t>似项目实施业绩：</w:t>
            </w:r>
          </w:p>
          <w:p w14:paraId="76F5C1A1">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投标单位提供自2021年1月1日以来（以合同签订时间为准</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食品级氢氧化钠</w:t>
            </w:r>
            <w:r>
              <w:rPr>
                <w:rFonts w:hint="default" w:ascii="宋体" w:hAnsi="宋体"/>
                <w:sz w:val="24"/>
                <w:szCs w:val="24"/>
                <w:highlight w:val="none"/>
                <w:lang w:val="en-US" w:eastAsia="zh-CN"/>
              </w:rPr>
              <w:t>供货业绩</w:t>
            </w:r>
            <w:r>
              <w:rPr>
                <w:rFonts w:hint="eastAsia" w:ascii="宋体" w:hAnsi="宋体"/>
                <w:sz w:val="24"/>
                <w:szCs w:val="24"/>
                <w:highlight w:val="none"/>
                <w:lang w:val="en-US" w:eastAsia="zh-CN"/>
              </w:rPr>
              <w:t>(单个合同金额或向单个客户一个年度累计供货金额,以下统称为单项合同业绩)</w:t>
            </w:r>
            <w:r>
              <w:rPr>
                <w:rFonts w:hint="default" w:ascii="宋体" w:hAnsi="宋体"/>
                <w:sz w:val="24"/>
                <w:szCs w:val="24"/>
                <w:highlight w:val="none"/>
                <w:lang w:val="en-US" w:eastAsia="zh-CN"/>
              </w:rPr>
              <w:t xml:space="preserve">，按下列情况评分： </w:t>
            </w:r>
          </w:p>
          <w:p w14:paraId="56272732">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①单项合同业绩≥150万的前</w:t>
            </w:r>
            <w:r>
              <w:rPr>
                <w:rFonts w:hint="default" w:ascii="宋体" w:hAnsi="宋体"/>
                <w:sz w:val="24"/>
                <w:szCs w:val="24"/>
                <w:highlight w:val="none"/>
                <w:lang w:val="en-US" w:eastAsia="zh-CN"/>
              </w:rPr>
              <w:t>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3</w:t>
            </w:r>
            <w:r>
              <w:rPr>
                <w:rFonts w:hint="default" w:ascii="宋体" w:hAnsi="宋体"/>
                <w:sz w:val="24"/>
                <w:szCs w:val="24"/>
                <w:highlight w:val="none"/>
                <w:lang w:val="en-US" w:eastAsia="zh-CN"/>
              </w:rPr>
              <w:t>分</w:t>
            </w:r>
            <w:r>
              <w:rPr>
                <w:rFonts w:hint="eastAsia" w:ascii="宋体" w:hAnsi="宋体"/>
                <w:sz w:val="24"/>
                <w:szCs w:val="24"/>
                <w:highlight w:val="none"/>
                <w:lang w:val="en-US" w:eastAsia="zh-CN"/>
              </w:rPr>
              <w:t>，本子项最高得</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r>
              <w:rPr>
                <w:rFonts w:hint="default" w:ascii="宋体" w:hAnsi="宋体"/>
                <w:sz w:val="24"/>
                <w:szCs w:val="24"/>
                <w:highlight w:val="none"/>
                <w:lang w:val="en-US" w:eastAsia="zh-CN"/>
              </w:rPr>
              <w:t xml:space="preserve">； </w:t>
            </w:r>
          </w:p>
          <w:p w14:paraId="5B3EAB03">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default" w:ascii="宋体" w:hAnsi="宋体"/>
                <w:sz w:val="24"/>
                <w:szCs w:val="24"/>
                <w:highlight w:val="none"/>
                <w:lang w:val="en-US" w:eastAsia="zh-CN"/>
              </w:rPr>
              <w:t>②</w:t>
            </w:r>
            <w:r>
              <w:rPr>
                <w:rFonts w:hint="eastAsia" w:ascii="宋体" w:hAnsi="宋体"/>
                <w:sz w:val="24"/>
                <w:szCs w:val="24"/>
                <w:highlight w:val="none"/>
                <w:lang w:val="en-US" w:eastAsia="zh-CN"/>
              </w:rPr>
              <w:t>50万</w:t>
            </w:r>
            <w:r>
              <w:rPr>
                <w:rFonts w:hint="default" w:ascii="宋体" w:hAnsi="宋体"/>
                <w:sz w:val="24"/>
                <w:szCs w:val="24"/>
                <w:highlight w:val="none"/>
                <w:lang w:val="en-US" w:eastAsia="zh-CN"/>
              </w:rPr>
              <w:t>≤单项合同</w:t>
            </w:r>
            <w:r>
              <w:rPr>
                <w:rFonts w:hint="eastAsia" w:ascii="宋体" w:hAnsi="宋体"/>
                <w:sz w:val="24"/>
                <w:szCs w:val="24"/>
                <w:highlight w:val="none"/>
                <w:lang w:val="en-US" w:eastAsia="zh-CN"/>
              </w:rPr>
              <w:t>业绩</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150万</w:t>
            </w:r>
            <w:r>
              <w:rPr>
                <w:rFonts w:hint="default" w:ascii="宋体" w:hAnsi="宋体"/>
                <w:sz w:val="24"/>
                <w:szCs w:val="24"/>
                <w:highlight w:val="none"/>
                <w:lang w:val="en-US" w:eastAsia="zh-CN"/>
              </w:rPr>
              <w:t>的前述业绩的，每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2</w:t>
            </w:r>
            <w:r>
              <w:rPr>
                <w:rFonts w:hint="default" w:ascii="宋体" w:hAnsi="宋体"/>
                <w:sz w:val="24"/>
                <w:szCs w:val="24"/>
                <w:highlight w:val="none"/>
                <w:lang w:val="en-US" w:eastAsia="zh-CN"/>
              </w:rPr>
              <w:t>分</w:t>
            </w:r>
            <w:r>
              <w:rPr>
                <w:rFonts w:hint="eastAsia" w:ascii="宋体" w:hAnsi="宋体"/>
                <w:sz w:val="24"/>
                <w:szCs w:val="24"/>
                <w:highlight w:val="none"/>
                <w:lang w:val="en-US" w:eastAsia="zh-CN"/>
              </w:rPr>
              <w:t>，本子项最高得</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r>
              <w:rPr>
                <w:rFonts w:hint="default" w:ascii="宋体" w:hAnsi="宋体"/>
                <w:sz w:val="24"/>
                <w:szCs w:val="24"/>
                <w:highlight w:val="none"/>
                <w:lang w:val="en-US" w:eastAsia="zh-CN"/>
              </w:rPr>
              <w:t xml:space="preserve">； </w:t>
            </w:r>
          </w:p>
          <w:p w14:paraId="06EF58B2">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default" w:ascii="宋体" w:hAnsi="宋体"/>
                <w:sz w:val="24"/>
                <w:szCs w:val="24"/>
                <w:highlight w:val="none"/>
                <w:lang w:val="en-US" w:eastAsia="zh-CN"/>
              </w:rPr>
              <w:t>③单项合同</w:t>
            </w:r>
            <w:r>
              <w:rPr>
                <w:rFonts w:hint="eastAsia" w:ascii="宋体" w:hAnsi="宋体"/>
                <w:sz w:val="24"/>
                <w:szCs w:val="24"/>
                <w:highlight w:val="none"/>
                <w:lang w:val="en-US" w:eastAsia="zh-CN"/>
              </w:rPr>
              <w:t>业绩</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50万</w:t>
            </w:r>
            <w:r>
              <w:rPr>
                <w:rFonts w:hint="default" w:ascii="宋体" w:hAnsi="宋体"/>
                <w:sz w:val="24"/>
                <w:szCs w:val="24"/>
                <w:highlight w:val="none"/>
                <w:lang w:val="en-US" w:eastAsia="zh-CN"/>
              </w:rPr>
              <w:t>的前述业绩的，每</w:t>
            </w:r>
            <w:r>
              <w:rPr>
                <w:rFonts w:hint="eastAsia" w:ascii="宋体" w:hAnsi="宋体"/>
                <w:sz w:val="24"/>
                <w:szCs w:val="24"/>
                <w:highlight w:val="none"/>
                <w:lang w:val="en-US" w:eastAsia="zh-CN"/>
              </w:rPr>
              <w:t>个</w:t>
            </w:r>
            <w:r>
              <w:rPr>
                <w:rFonts w:hint="default" w:ascii="宋体" w:hAnsi="宋体"/>
                <w:sz w:val="24"/>
                <w:szCs w:val="24"/>
                <w:highlight w:val="none"/>
                <w:lang w:val="en-US" w:eastAsia="zh-CN"/>
              </w:rPr>
              <w:t>得</w:t>
            </w:r>
            <w:r>
              <w:rPr>
                <w:rFonts w:hint="eastAsia" w:ascii="宋体" w:hAnsi="宋体"/>
                <w:sz w:val="24"/>
                <w:szCs w:val="24"/>
                <w:highlight w:val="none"/>
                <w:lang w:val="en-US" w:eastAsia="zh-CN"/>
              </w:rPr>
              <w:t>1</w:t>
            </w:r>
            <w:r>
              <w:rPr>
                <w:rFonts w:hint="default" w:ascii="宋体" w:hAnsi="宋体"/>
                <w:sz w:val="24"/>
                <w:szCs w:val="24"/>
                <w:highlight w:val="none"/>
                <w:lang w:val="en-US" w:eastAsia="zh-CN"/>
              </w:rPr>
              <w:t>分，本子项</w:t>
            </w:r>
            <w:r>
              <w:rPr>
                <w:rFonts w:hint="eastAsia" w:ascii="宋体" w:hAnsi="宋体"/>
                <w:sz w:val="24"/>
                <w:szCs w:val="24"/>
                <w:highlight w:val="none"/>
                <w:lang w:val="en-US" w:eastAsia="zh-CN"/>
              </w:rPr>
              <w:t>最高得</w:t>
            </w:r>
            <w:r>
              <w:rPr>
                <w:rFonts w:hint="default" w:ascii="宋体" w:hAnsi="宋体"/>
                <w:sz w:val="24"/>
                <w:szCs w:val="24"/>
                <w:highlight w:val="none"/>
                <w:lang w:eastAsia="zh-CN"/>
              </w:rPr>
              <w:t>10</w:t>
            </w:r>
            <w:r>
              <w:rPr>
                <w:rFonts w:hint="default" w:ascii="宋体" w:hAnsi="宋体"/>
                <w:sz w:val="24"/>
                <w:szCs w:val="24"/>
                <w:highlight w:val="none"/>
                <w:lang w:val="en-US" w:eastAsia="zh-CN"/>
              </w:rPr>
              <w:t xml:space="preserve">分； </w:t>
            </w:r>
          </w:p>
          <w:p w14:paraId="6F461631">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注：a、本项目满分</w:t>
            </w:r>
            <w:r>
              <w:rPr>
                <w:rFonts w:hint="default" w:ascii="宋体" w:hAnsi="宋体"/>
                <w:sz w:val="24"/>
                <w:szCs w:val="24"/>
                <w:highlight w:val="none"/>
                <w:lang w:eastAsia="zh-CN"/>
              </w:rPr>
              <w:t>20</w:t>
            </w:r>
            <w:r>
              <w:rPr>
                <w:rFonts w:hint="eastAsia" w:ascii="宋体" w:hAnsi="宋体"/>
                <w:sz w:val="24"/>
                <w:szCs w:val="24"/>
                <w:highlight w:val="none"/>
                <w:lang w:val="en-US" w:eastAsia="zh-CN"/>
              </w:rPr>
              <w:t>分；</w:t>
            </w:r>
          </w:p>
          <w:p w14:paraId="15DE9E12">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b、投标人应在投标文件中提供</w:t>
            </w:r>
            <w:r>
              <w:rPr>
                <w:rFonts w:hint="eastAsia" w:ascii="宋体" w:hAnsi="宋体"/>
                <w:sz w:val="24"/>
                <w:szCs w:val="24"/>
                <w:highlight w:val="none"/>
                <w:lang w:val="en-US"/>
              </w:rPr>
              <w:t>合</w:t>
            </w:r>
            <w:r>
              <w:rPr>
                <w:rFonts w:hint="eastAsia" w:ascii="宋体" w:hAnsi="宋体"/>
                <w:sz w:val="24"/>
                <w:szCs w:val="24"/>
                <w:highlight w:val="none"/>
                <w:lang w:val="en-US" w:eastAsia="zh-CN"/>
              </w:rPr>
              <w:t>同复印件、发票复印件</w:t>
            </w:r>
            <w:r>
              <w:rPr>
                <w:rFonts w:hint="eastAsia" w:ascii="宋体" w:hAnsi="宋体"/>
                <w:sz w:val="24"/>
                <w:szCs w:val="24"/>
                <w:highlight w:val="none"/>
                <w:lang w:val="en-US"/>
              </w:rPr>
              <w:t>作为证明文件</w:t>
            </w:r>
            <w:r>
              <w:rPr>
                <w:rFonts w:hint="eastAsia" w:ascii="宋体" w:hAnsi="宋体"/>
                <w:sz w:val="24"/>
                <w:szCs w:val="24"/>
                <w:highlight w:val="none"/>
                <w:lang w:val="en-US" w:eastAsia="zh-CN"/>
              </w:rPr>
              <w:t>，</w:t>
            </w:r>
            <w:r>
              <w:rPr>
                <w:rFonts w:hint="eastAsia" w:ascii="宋体" w:hAnsi="宋体"/>
                <w:sz w:val="24"/>
                <w:szCs w:val="24"/>
                <w:highlight w:val="none"/>
                <w:lang w:val="en-US"/>
              </w:rPr>
              <w:t>缺项</w:t>
            </w:r>
            <w:r>
              <w:rPr>
                <w:rFonts w:hint="eastAsia" w:ascii="宋体" w:hAnsi="宋体"/>
                <w:sz w:val="24"/>
                <w:szCs w:val="24"/>
                <w:highlight w:val="none"/>
                <w:lang w:val="en-US" w:eastAsia="zh-CN"/>
              </w:rPr>
              <w:t>视为</w:t>
            </w:r>
            <w:r>
              <w:rPr>
                <w:rFonts w:hint="eastAsia" w:ascii="宋体" w:hAnsi="宋体"/>
                <w:sz w:val="24"/>
                <w:szCs w:val="24"/>
                <w:highlight w:val="none"/>
                <w:lang w:val="en-US"/>
              </w:rPr>
              <w:t>无效业绩</w:t>
            </w:r>
            <w:r>
              <w:rPr>
                <w:rFonts w:hint="eastAsia" w:ascii="宋体" w:hAnsi="宋体"/>
                <w:sz w:val="24"/>
                <w:szCs w:val="24"/>
                <w:highlight w:val="none"/>
                <w:lang w:val="en-US" w:eastAsia="zh-CN"/>
              </w:rPr>
              <w:t>；</w:t>
            </w:r>
          </w:p>
          <w:p w14:paraId="42158475">
            <w:pPr>
              <w:widowControl w:val="0"/>
              <w:wordWrap/>
              <w:adjustRightInd/>
              <w:snapToGrid/>
              <w:spacing w:line="360" w:lineRule="auto"/>
              <w:ind w:left="0" w:leftChars="0" w:right="0" w:firstLine="0" w:firstLineChars="0"/>
              <w:jc w:val="left"/>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c、</w:t>
            </w:r>
            <w:r>
              <w:rPr>
                <w:rFonts w:hint="eastAsia" w:ascii="宋体" w:hAnsi="宋体"/>
                <w:sz w:val="24"/>
                <w:szCs w:val="24"/>
                <w:highlight w:val="none"/>
                <w:lang w:val="en-US"/>
              </w:rPr>
              <w:t>无具体</w:t>
            </w:r>
            <w:r>
              <w:rPr>
                <w:rFonts w:hint="eastAsia" w:ascii="宋体" w:hAnsi="宋体"/>
                <w:sz w:val="24"/>
                <w:szCs w:val="24"/>
                <w:highlight w:val="none"/>
                <w:lang w:val="en-US" w:eastAsia="zh-CN"/>
              </w:rPr>
              <w:t>金额</w:t>
            </w:r>
            <w:r>
              <w:rPr>
                <w:rFonts w:hint="eastAsia" w:ascii="宋体" w:hAnsi="宋体"/>
                <w:sz w:val="24"/>
                <w:szCs w:val="24"/>
                <w:highlight w:val="none"/>
                <w:lang w:val="en-US"/>
              </w:rPr>
              <w:t>或以实际供货量结算的框架合同以</w:t>
            </w:r>
            <w:r>
              <w:rPr>
                <w:rFonts w:hint="eastAsia" w:ascii="宋体" w:hAnsi="宋体"/>
                <w:sz w:val="24"/>
                <w:szCs w:val="24"/>
                <w:highlight w:val="none"/>
                <w:lang w:val="en-US" w:eastAsia="zh-CN"/>
              </w:rPr>
              <w:t>一个年度的</w:t>
            </w:r>
            <w:r>
              <w:rPr>
                <w:rFonts w:hint="eastAsia" w:ascii="宋体" w:hAnsi="宋体"/>
                <w:sz w:val="24"/>
                <w:szCs w:val="24"/>
                <w:highlight w:val="none"/>
                <w:lang w:val="en-US"/>
              </w:rPr>
              <w:t>内的发票累计</w:t>
            </w:r>
            <w:r>
              <w:rPr>
                <w:rFonts w:hint="eastAsia" w:ascii="宋体" w:hAnsi="宋体"/>
                <w:sz w:val="24"/>
                <w:szCs w:val="24"/>
                <w:highlight w:val="none"/>
                <w:lang w:val="en-US" w:eastAsia="zh-CN"/>
              </w:rPr>
              <w:t>金额</w:t>
            </w:r>
            <w:r>
              <w:rPr>
                <w:rFonts w:hint="eastAsia" w:ascii="宋体" w:hAnsi="宋体"/>
                <w:sz w:val="24"/>
                <w:szCs w:val="24"/>
                <w:highlight w:val="none"/>
                <w:lang w:val="en-US"/>
              </w:rPr>
              <w:t>为准，缺项</w:t>
            </w:r>
            <w:r>
              <w:rPr>
                <w:rFonts w:hint="eastAsia" w:ascii="宋体" w:hAnsi="宋体"/>
                <w:sz w:val="24"/>
                <w:szCs w:val="24"/>
                <w:highlight w:val="none"/>
                <w:lang w:val="en-US" w:eastAsia="zh-CN"/>
              </w:rPr>
              <w:t>视为</w:t>
            </w:r>
            <w:r>
              <w:rPr>
                <w:rFonts w:hint="eastAsia" w:ascii="宋体" w:hAnsi="宋体"/>
                <w:sz w:val="24"/>
                <w:szCs w:val="24"/>
                <w:highlight w:val="none"/>
                <w:lang w:val="en-US"/>
              </w:rPr>
              <w:t>无效业绩</w:t>
            </w:r>
            <w:r>
              <w:rPr>
                <w:rFonts w:hint="eastAsia" w:ascii="宋体" w:hAnsi="宋体"/>
                <w:sz w:val="24"/>
                <w:szCs w:val="24"/>
                <w:highlight w:val="none"/>
                <w:lang w:val="en-US" w:eastAsia="zh-CN"/>
              </w:rPr>
              <w:t>；</w:t>
            </w:r>
          </w:p>
          <w:p w14:paraId="5E5DC3C7">
            <w:pPr>
              <w:widowControl w:val="0"/>
              <w:wordWrap/>
              <w:adjustRightInd/>
              <w:snapToGrid/>
              <w:spacing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sz w:val="24"/>
                <w:szCs w:val="24"/>
                <w:highlight w:val="none"/>
                <w:lang w:val="en-US" w:eastAsia="zh-CN"/>
              </w:rPr>
              <w:t>d</w:t>
            </w:r>
            <w:r>
              <w:rPr>
                <w:rFonts w:hint="default" w:ascii="宋体" w:hAnsi="宋体"/>
                <w:sz w:val="24"/>
                <w:szCs w:val="24"/>
                <w:highlight w:val="none"/>
                <w:lang w:val="en-US"/>
              </w:rPr>
              <w:t>、</w:t>
            </w:r>
            <w:r>
              <w:rPr>
                <w:rFonts w:hint="eastAsia" w:ascii="宋体" w:hAnsi="宋体"/>
                <w:sz w:val="24"/>
                <w:szCs w:val="24"/>
                <w:highlight w:val="none"/>
                <w:lang w:val="en-US" w:eastAsia="zh-CN"/>
              </w:rPr>
              <w:t>未按上述要求提供证明材料的</w:t>
            </w:r>
            <w:r>
              <w:rPr>
                <w:rFonts w:hint="default" w:ascii="宋体" w:hAnsi="宋体"/>
                <w:sz w:val="24"/>
                <w:szCs w:val="24"/>
                <w:highlight w:val="none"/>
                <w:lang w:val="en-US" w:eastAsia="zh-CN"/>
              </w:rPr>
              <w:t>业绩，或所附材料无法证明填报项目符合本项评分要求的业绩，在评标时将不予考虑。</w:t>
            </w:r>
          </w:p>
        </w:tc>
        <w:tc>
          <w:tcPr>
            <w:tcW w:w="1470" w:type="dxa"/>
            <w:vAlign w:val="center"/>
          </w:tcPr>
          <w:p w14:paraId="04881AAF">
            <w:pPr>
              <w:widowControl w:val="0"/>
              <w:wordWrap/>
              <w:adjustRightInd/>
              <w:snapToGrid/>
              <w:spacing w:line="360" w:lineRule="auto"/>
              <w:ind w:left="0" w:lef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default" w:ascii="宋体" w:hAnsi="宋体" w:cs="宋体"/>
                <w:sz w:val="24"/>
                <w:szCs w:val="24"/>
                <w:highlight w:val="none"/>
                <w:lang w:eastAsia="zh-CN"/>
              </w:rPr>
              <w:t>20</w:t>
            </w:r>
            <w:r>
              <w:rPr>
                <w:rFonts w:hint="eastAsia" w:ascii="宋体" w:hAnsi="宋体" w:eastAsia="宋体" w:cs="宋体"/>
                <w:sz w:val="24"/>
                <w:szCs w:val="24"/>
                <w:highlight w:val="none"/>
              </w:rPr>
              <w:t>分</w:t>
            </w:r>
          </w:p>
        </w:tc>
      </w:tr>
      <w:tr w14:paraId="64CB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63" w:type="dxa"/>
            <w:vAlign w:val="center"/>
          </w:tcPr>
          <w:p w14:paraId="0DC960D7">
            <w:pPr>
              <w:widowControl w:val="0"/>
              <w:wordWrap/>
              <w:adjustRightInd/>
              <w:snapToGrid/>
              <w:spacing w:line="360" w:lineRule="auto"/>
              <w:ind w:left="0" w:leftChars="0" w:firstLine="0" w:firstLineChars="0"/>
              <w:jc w:val="center"/>
              <w:textAlignment w:val="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7225" w:type="dxa"/>
            <w:vAlign w:val="center"/>
          </w:tcPr>
          <w:p w14:paraId="4B0FBA8D">
            <w:pPr>
              <w:widowControl w:val="0"/>
              <w:wordWrap/>
              <w:adjustRightInd/>
              <w:snapToGrid/>
              <w:spacing w:line="360" w:lineRule="auto"/>
              <w:ind w:left="0" w:leftChars="0" w:firstLine="0" w:firstLineChars="0"/>
              <w:textAlignment w:val="auto"/>
              <w:outlineLvl w:val="9"/>
              <w:rPr>
                <w:rFonts w:hint="eastAsia" w:ascii="宋体" w:hAnsi="宋体"/>
                <w:color w:val="auto"/>
                <w:sz w:val="24"/>
                <w:szCs w:val="24"/>
                <w:highlight w:val="none"/>
              </w:rPr>
            </w:pPr>
            <w:r>
              <w:rPr>
                <w:rFonts w:hint="eastAsia" w:ascii="宋体" w:hAnsi="宋体" w:eastAsia="宋体" w:cs="宋体"/>
                <w:b w:val="0"/>
                <w:bCs/>
                <w:sz w:val="24"/>
                <w:szCs w:val="24"/>
                <w:highlight w:val="none"/>
              </w:rPr>
              <w:t>投标</w:t>
            </w:r>
            <w:r>
              <w:rPr>
                <w:rFonts w:hint="eastAsia" w:ascii="宋体" w:hAnsi="宋体" w:eastAsia="宋体" w:cs="宋体"/>
                <w:b w:val="0"/>
                <w:bCs/>
                <w:sz w:val="24"/>
                <w:szCs w:val="24"/>
                <w:highlight w:val="none"/>
                <w:lang w:val="en-US" w:eastAsia="zh-CN"/>
              </w:rPr>
              <w:t>单位</w:t>
            </w:r>
            <w:r>
              <w:rPr>
                <w:rFonts w:hint="eastAsia" w:ascii="宋体" w:hAnsi="宋体" w:eastAsia="宋体" w:cs="宋体"/>
                <w:b w:val="0"/>
                <w:bCs/>
                <w:sz w:val="24"/>
                <w:szCs w:val="24"/>
                <w:highlight w:val="none"/>
              </w:rPr>
              <w:t>运送能力：投标</w:t>
            </w:r>
            <w:r>
              <w:rPr>
                <w:rFonts w:hint="eastAsia" w:ascii="宋体" w:hAnsi="宋体" w:eastAsia="宋体" w:cs="宋体"/>
                <w:b w:val="0"/>
                <w:bCs/>
                <w:sz w:val="24"/>
                <w:szCs w:val="24"/>
                <w:highlight w:val="none"/>
                <w:lang w:val="en-US" w:eastAsia="zh-CN"/>
              </w:rPr>
              <w:t>人</w:t>
            </w:r>
            <w:r>
              <w:rPr>
                <w:rFonts w:hint="eastAsia" w:ascii="宋体" w:hAnsi="宋体" w:eastAsia="宋体" w:cs="宋体"/>
                <w:b w:val="0"/>
                <w:bCs/>
                <w:sz w:val="24"/>
                <w:szCs w:val="24"/>
                <w:highlight w:val="none"/>
              </w:rPr>
              <w:t>具有自己罐装车运输供货，每辆车得</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分，投标</w:t>
            </w:r>
            <w:r>
              <w:rPr>
                <w:rFonts w:hint="eastAsia" w:ascii="宋体" w:hAnsi="宋体" w:eastAsia="宋体" w:cs="宋体"/>
                <w:b w:val="0"/>
                <w:bCs/>
                <w:sz w:val="24"/>
                <w:szCs w:val="24"/>
                <w:highlight w:val="none"/>
                <w:lang w:val="en-US" w:eastAsia="zh-CN"/>
              </w:rPr>
              <w:t>人</w:t>
            </w:r>
            <w:r>
              <w:rPr>
                <w:rFonts w:hint="eastAsia" w:ascii="宋体" w:hAnsi="宋体" w:eastAsia="宋体" w:cs="宋体"/>
                <w:b w:val="0"/>
                <w:bCs/>
                <w:sz w:val="24"/>
                <w:szCs w:val="24"/>
                <w:highlight w:val="none"/>
              </w:rPr>
              <w:t>租赁罐装车运输供货，每辆车得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本项最多得</w:t>
            </w: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分。</w:t>
            </w:r>
            <w:r>
              <w:rPr>
                <w:rFonts w:hint="eastAsia" w:ascii="宋体" w:hAnsi="宋体" w:eastAsia="宋体" w:cs="宋体"/>
                <w:b/>
                <w:bCs w:val="0"/>
                <w:sz w:val="24"/>
                <w:szCs w:val="24"/>
                <w:highlight w:val="none"/>
              </w:rPr>
              <w:t>需</w:t>
            </w:r>
            <w:r>
              <w:rPr>
                <w:rFonts w:hint="eastAsia" w:ascii="宋体" w:hAnsi="宋体" w:eastAsia="宋体" w:cs="宋体"/>
                <w:b/>
                <w:bCs w:val="0"/>
                <w:sz w:val="24"/>
                <w:szCs w:val="24"/>
                <w:highlight w:val="none"/>
                <w:lang w:val="en-US" w:eastAsia="zh-CN"/>
              </w:rPr>
              <w:t>提供</w:t>
            </w:r>
            <w:r>
              <w:rPr>
                <w:rFonts w:hint="eastAsia" w:ascii="宋体" w:hAnsi="宋体" w:eastAsia="宋体" w:cs="宋体"/>
                <w:b/>
                <w:bCs w:val="0"/>
                <w:sz w:val="24"/>
                <w:szCs w:val="24"/>
                <w:highlight w:val="none"/>
              </w:rPr>
              <w:t>运输车辆相关材料【危险品行驶证、危险品驾驶证</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危险品押运证</w:t>
            </w:r>
            <w:r>
              <w:rPr>
                <w:rFonts w:hint="eastAsia" w:ascii="宋体" w:hAnsi="宋体" w:eastAsia="宋体" w:cs="宋体"/>
                <w:b/>
                <w:bCs w:val="0"/>
                <w:sz w:val="24"/>
                <w:szCs w:val="24"/>
                <w:highlight w:val="none"/>
                <w:lang w:val="en-US" w:eastAsia="zh-CN"/>
              </w:rPr>
              <w:t>及车辆全景照片（含车辆正面、侧面、后边三张照片，并能清晰显示车牌），缺一不可】，</w:t>
            </w:r>
            <w:r>
              <w:rPr>
                <w:rFonts w:hint="eastAsia" w:ascii="宋体" w:hAnsi="宋体" w:eastAsia="宋体" w:cs="宋体"/>
                <w:b/>
                <w:bCs w:val="0"/>
                <w:sz w:val="24"/>
                <w:szCs w:val="24"/>
                <w:highlight w:val="none"/>
              </w:rPr>
              <w:t>若</w:t>
            </w:r>
            <w:r>
              <w:rPr>
                <w:rFonts w:hint="eastAsia" w:ascii="宋体" w:hAnsi="宋体" w:eastAsia="宋体" w:cs="宋体"/>
                <w:b/>
                <w:bCs w:val="0"/>
                <w:sz w:val="24"/>
                <w:szCs w:val="24"/>
                <w:highlight w:val="none"/>
                <w:lang w:val="en-US" w:eastAsia="zh-CN"/>
              </w:rPr>
              <w:t>为</w:t>
            </w:r>
            <w:r>
              <w:rPr>
                <w:rFonts w:hint="eastAsia" w:ascii="宋体" w:hAnsi="宋体" w:eastAsia="宋体" w:cs="宋体"/>
                <w:b/>
                <w:bCs w:val="0"/>
                <w:sz w:val="24"/>
                <w:szCs w:val="24"/>
                <w:highlight w:val="none"/>
              </w:rPr>
              <w:t>租赁车辆需</w:t>
            </w:r>
            <w:r>
              <w:rPr>
                <w:rFonts w:hint="eastAsia" w:ascii="宋体" w:hAnsi="宋体" w:eastAsia="宋体" w:cs="宋体"/>
                <w:b/>
                <w:bCs w:val="0"/>
                <w:sz w:val="24"/>
                <w:szCs w:val="24"/>
                <w:highlight w:val="none"/>
                <w:lang w:val="en-US" w:eastAsia="zh-CN"/>
              </w:rPr>
              <w:t>还需</w:t>
            </w:r>
            <w:r>
              <w:rPr>
                <w:rFonts w:hint="eastAsia" w:ascii="宋体" w:hAnsi="宋体" w:eastAsia="宋体" w:cs="宋体"/>
                <w:b/>
                <w:bCs w:val="0"/>
                <w:sz w:val="24"/>
                <w:szCs w:val="24"/>
                <w:highlight w:val="none"/>
              </w:rPr>
              <w:t>同时提供租赁合同复印件</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相关材料复印件均需加盖公章</w:t>
            </w:r>
            <w:r>
              <w:rPr>
                <w:rFonts w:hint="eastAsia" w:ascii="宋体" w:hAnsi="宋体"/>
                <w:b/>
                <w:bCs w:val="0"/>
                <w:kern w:val="0"/>
                <w:sz w:val="24"/>
                <w:highlight w:val="none"/>
                <w:lang w:eastAsia="zh-CN"/>
              </w:rPr>
              <w:t>，</w:t>
            </w:r>
            <w:r>
              <w:rPr>
                <w:rFonts w:hint="eastAsia" w:ascii="宋体" w:hAnsi="宋体"/>
                <w:b/>
                <w:bCs w:val="0"/>
                <w:kern w:val="0"/>
                <w:sz w:val="24"/>
                <w:highlight w:val="none"/>
                <w:lang w:val="en-US" w:eastAsia="zh-CN"/>
              </w:rPr>
              <w:t>否则不得分。</w:t>
            </w:r>
          </w:p>
        </w:tc>
        <w:tc>
          <w:tcPr>
            <w:tcW w:w="1470" w:type="dxa"/>
            <w:vAlign w:val="center"/>
          </w:tcPr>
          <w:p w14:paraId="6F06D39F">
            <w:pPr>
              <w:widowControl w:val="0"/>
              <w:wordWrap/>
              <w:adjustRightInd/>
              <w:snapToGrid/>
              <w:spacing w:line="360" w:lineRule="auto"/>
              <w:ind w:left="0" w:leftChars="0" w:firstLine="0" w:firstLineChars="0"/>
              <w:jc w:val="center"/>
              <w:textAlignment w:val="auto"/>
              <w:outlineLvl w:val="9"/>
              <w:rPr>
                <w:rFonts w:hint="eastAsia" w:ascii="宋体" w:hAnsi="宋体"/>
                <w:color w:val="auto"/>
                <w:sz w:val="24"/>
                <w:szCs w:val="24"/>
                <w:highlight w:val="none"/>
              </w:rPr>
            </w:pPr>
            <w:r>
              <w:rPr>
                <w:rFonts w:hint="eastAsia" w:ascii="宋体" w:hAnsi="宋体" w:eastAsia="宋体" w:cs="宋体"/>
                <w:b w:val="0"/>
                <w:bCs/>
                <w:sz w:val="24"/>
                <w:szCs w:val="24"/>
                <w:highlight w:val="none"/>
                <w:shd w:val="clear" w:color="auto" w:fill="FFFFFF"/>
                <w:lang w:val="en-US" w:eastAsia="zh-CN"/>
              </w:rPr>
              <w:t>0-</w:t>
            </w:r>
            <w:r>
              <w:rPr>
                <w:rFonts w:hint="eastAsia" w:ascii="宋体" w:hAnsi="宋体" w:cs="宋体"/>
                <w:b w:val="0"/>
                <w:bCs/>
                <w:sz w:val="24"/>
                <w:szCs w:val="24"/>
                <w:highlight w:val="none"/>
                <w:shd w:val="clear" w:color="auto" w:fill="FFFFFF"/>
                <w:lang w:val="en-US" w:eastAsia="zh-CN"/>
              </w:rPr>
              <w:t>4</w:t>
            </w:r>
            <w:r>
              <w:rPr>
                <w:rFonts w:hint="eastAsia" w:ascii="宋体" w:hAnsi="宋体" w:eastAsia="宋体" w:cs="宋体"/>
                <w:b w:val="0"/>
                <w:bCs/>
                <w:sz w:val="24"/>
                <w:szCs w:val="24"/>
                <w:highlight w:val="none"/>
                <w:shd w:val="clear" w:color="auto" w:fill="FFFFFF"/>
                <w:lang w:val="en-US" w:eastAsia="zh-CN"/>
              </w:rPr>
              <w:t>分</w:t>
            </w:r>
          </w:p>
        </w:tc>
      </w:tr>
      <w:tr w14:paraId="36A7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63" w:type="dxa"/>
            <w:vAlign w:val="center"/>
          </w:tcPr>
          <w:p w14:paraId="24881557">
            <w:pPr>
              <w:jc w:val="center"/>
              <w:rPr>
                <w:rFonts w:hint="eastAsia" w:ascii="宋体" w:hAnsi="宋体"/>
                <w:color w:val="auto"/>
                <w:sz w:val="24"/>
                <w:szCs w:val="24"/>
                <w:highlight w:val="none"/>
                <w:lang w:val="en-US" w:eastAsia="zh-CN"/>
              </w:rPr>
            </w:pPr>
            <w:r>
              <w:rPr>
                <w:rFonts w:hint="eastAsia" w:ascii="宋体" w:hAnsi="宋体" w:cs="宋体"/>
                <w:sz w:val="24"/>
                <w:szCs w:val="24"/>
                <w:highlight w:val="none"/>
                <w:lang w:val="en-US" w:eastAsia="zh-CN"/>
              </w:rPr>
              <w:t>8</w:t>
            </w:r>
          </w:p>
        </w:tc>
        <w:tc>
          <w:tcPr>
            <w:tcW w:w="7225" w:type="dxa"/>
            <w:vAlign w:val="center"/>
          </w:tcPr>
          <w:p w14:paraId="30C08081">
            <w:pPr>
              <w:spacing w:line="5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投标人具有危险化学品仓储能力得</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分，需提供的有效期内的带仓储经营资质的危险化学品经营许可证复印件加盖公章。</w:t>
            </w:r>
          </w:p>
        </w:tc>
        <w:tc>
          <w:tcPr>
            <w:tcW w:w="1470" w:type="dxa"/>
            <w:vAlign w:val="center"/>
          </w:tcPr>
          <w:p w14:paraId="5E74281A">
            <w:pPr>
              <w:jc w:val="center"/>
              <w:rPr>
                <w:rFonts w:hint="eastAsia" w:ascii="宋体" w:hAnsi="宋体" w:eastAsia="宋体" w:cs="宋体"/>
                <w:b w:val="0"/>
                <w:bCs/>
                <w:sz w:val="24"/>
                <w:szCs w:val="24"/>
                <w:highlight w:val="none"/>
                <w:shd w:val="clear" w:color="auto" w:fill="FFFFFF"/>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r w14:paraId="26A4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3" w:type="dxa"/>
            <w:vAlign w:val="center"/>
          </w:tcPr>
          <w:p w14:paraId="31FD2999">
            <w:pPr>
              <w:jc w:val="center"/>
              <w:rPr>
                <w:rFonts w:hint="eastAsia" w:ascii="宋体" w:hAnsi="宋体"/>
                <w:color w:val="auto"/>
                <w:sz w:val="24"/>
                <w:szCs w:val="24"/>
                <w:highlight w:val="none"/>
                <w:lang w:val="en-US" w:eastAsia="zh-CN"/>
              </w:rPr>
            </w:pPr>
            <w:r>
              <w:rPr>
                <w:rFonts w:hint="eastAsia" w:ascii="宋体" w:hAnsi="宋体" w:cs="宋体"/>
                <w:sz w:val="24"/>
                <w:szCs w:val="24"/>
                <w:highlight w:val="none"/>
                <w:lang w:val="en-US" w:eastAsia="zh-CN"/>
              </w:rPr>
              <w:t>9</w:t>
            </w:r>
          </w:p>
        </w:tc>
        <w:tc>
          <w:tcPr>
            <w:tcW w:w="7225" w:type="dxa"/>
            <w:vAlign w:val="center"/>
          </w:tcPr>
          <w:p w14:paraId="049BC56F">
            <w:pPr>
              <w:spacing w:line="360" w:lineRule="auto"/>
              <w:jc w:val="left"/>
              <w:rPr>
                <w:rFonts w:hint="eastAsia" w:ascii="宋体" w:hAnsi="宋体" w:eastAsia="宋体" w:cs="Times New Roman"/>
                <w:color w:val="auto"/>
                <w:kern w:val="0"/>
                <w:sz w:val="24"/>
                <w:szCs w:val="24"/>
                <w:highlight w:val="none"/>
              </w:rPr>
            </w:pPr>
            <w:bookmarkStart w:id="33" w:name="_GoBack"/>
            <w:r>
              <w:rPr>
                <w:rFonts w:hint="eastAsia" w:ascii="宋体" w:hAnsi="宋体" w:eastAsia="宋体" w:cs="Times New Roman"/>
                <w:color w:val="auto"/>
                <w:kern w:val="0"/>
                <w:sz w:val="24"/>
                <w:szCs w:val="24"/>
                <w:highlight w:val="none"/>
              </w:rPr>
              <w:t xml:space="preserve">投标人针对采购人有紧急需要时的供货措施或承诺，承诺应急供货在 </w:t>
            </w:r>
            <w:r>
              <w:rPr>
                <w:rFonts w:hint="eastAsia" w:ascii="宋体" w:hAnsi="宋体" w:cs="Times New Roman"/>
                <w:color w:val="auto"/>
                <w:kern w:val="0"/>
                <w:sz w:val="24"/>
                <w:szCs w:val="24"/>
                <w:highlight w:val="none"/>
                <w:lang w:val="en-US" w:eastAsia="zh-CN"/>
              </w:rPr>
              <w:t>12</w:t>
            </w:r>
            <w:r>
              <w:rPr>
                <w:rFonts w:hint="eastAsia" w:ascii="宋体" w:hAnsi="宋体" w:eastAsia="宋体" w:cs="Times New Roman"/>
                <w:color w:val="auto"/>
                <w:kern w:val="0"/>
                <w:sz w:val="24"/>
                <w:szCs w:val="24"/>
                <w:highlight w:val="none"/>
              </w:rPr>
              <w:t>小时内送达的得1分，</w:t>
            </w:r>
            <w:r>
              <w:rPr>
                <w:rFonts w:hint="eastAsia" w:ascii="宋体" w:hAnsi="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小时内送达的得2分，4小时内送达的得3分。</w:t>
            </w:r>
          </w:p>
          <w:p w14:paraId="73A95CDD">
            <w:pPr>
              <w:spacing w:line="500" w:lineRule="exact"/>
              <w:rPr>
                <w:rFonts w:hint="eastAsia" w:ascii="宋体" w:hAnsi="宋体" w:eastAsia="宋体" w:cs="宋体"/>
                <w:b w:val="0"/>
                <w:bCs/>
                <w:sz w:val="24"/>
                <w:szCs w:val="24"/>
                <w:highlight w:val="none"/>
              </w:rPr>
            </w:pPr>
            <w:r>
              <w:rPr>
                <w:rFonts w:hint="eastAsia" w:ascii="宋体" w:hAnsi="宋体" w:eastAsia="宋体" w:cs="Times New Roman"/>
                <w:b/>
                <w:bCs/>
                <w:color w:val="auto"/>
                <w:kern w:val="0"/>
                <w:sz w:val="24"/>
                <w:szCs w:val="24"/>
                <w:highlight w:val="none"/>
              </w:rPr>
              <w:t>提供承诺函</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rPr>
              <w:t>格式自拟</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rPr>
              <w:t>并加盖公章</w:t>
            </w:r>
            <w:r>
              <w:rPr>
                <w:rFonts w:hint="eastAsia" w:ascii="宋体" w:hAnsi="宋体"/>
                <w:b/>
                <w:bCs/>
                <w:kern w:val="0"/>
                <w:sz w:val="24"/>
                <w:highlight w:val="none"/>
                <w:lang w:eastAsia="zh-CN"/>
              </w:rPr>
              <w:t>，</w:t>
            </w:r>
            <w:r>
              <w:rPr>
                <w:rFonts w:hint="eastAsia" w:ascii="宋体" w:hAnsi="宋体"/>
                <w:b/>
                <w:bCs/>
                <w:kern w:val="0"/>
                <w:sz w:val="24"/>
                <w:highlight w:val="none"/>
                <w:lang w:val="en-US" w:eastAsia="zh-CN"/>
              </w:rPr>
              <w:t>否则不得分</w:t>
            </w:r>
            <w:r>
              <w:rPr>
                <w:rFonts w:hint="eastAsia" w:ascii="宋体" w:hAnsi="宋体"/>
                <w:b/>
                <w:bCs/>
                <w:kern w:val="0"/>
                <w:sz w:val="24"/>
                <w:highlight w:val="none"/>
                <w:lang w:eastAsia="zh-CN"/>
              </w:rPr>
              <w:t>）</w:t>
            </w:r>
            <w:bookmarkEnd w:id="33"/>
          </w:p>
        </w:tc>
        <w:tc>
          <w:tcPr>
            <w:tcW w:w="1470" w:type="dxa"/>
            <w:vAlign w:val="center"/>
          </w:tcPr>
          <w:p w14:paraId="271914C3">
            <w:pPr>
              <w:jc w:val="center"/>
              <w:rPr>
                <w:rFonts w:hint="eastAsia" w:ascii="宋体" w:hAnsi="宋体" w:eastAsia="宋体" w:cs="宋体"/>
                <w:b w:val="0"/>
                <w:bCs/>
                <w:sz w:val="24"/>
                <w:szCs w:val="24"/>
                <w:highlight w:val="none"/>
                <w:shd w:val="clear" w:color="auto" w:fill="FFFFFF"/>
                <w:lang w:val="en-US" w:eastAsia="zh-CN"/>
              </w:rPr>
            </w:pPr>
            <w:r>
              <w:rPr>
                <w:rFonts w:hint="eastAsia" w:ascii="宋体" w:hAnsi="宋体" w:eastAsia="宋体" w:cs="Times New Roman"/>
                <w:color w:val="auto"/>
                <w:kern w:val="0"/>
                <w:sz w:val="24"/>
                <w:szCs w:val="24"/>
                <w:highlight w:val="none"/>
                <w:lang w:val="en-US" w:eastAsia="zh-CN"/>
              </w:rPr>
              <w:t>0-</w:t>
            </w:r>
            <w:r>
              <w:rPr>
                <w:rFonts w:hint="eastAsia" w:ascii="宋体" w:hAnsi="宋体" w:eastAsia="宋体" w:cs="Times New Roman"/>
                <w:color w:val="auto"/>
                <w:kern w:val="0"/>
                <w:sz w:val="24"/>
                <w:szCs w:val="24"/>
                <w:highlight w:val="none"/>
              </w:rPr>
              <w:t>3</w:t>
            </w:r>
            <w:r>
              <w:rPr>
                <w:rFonts w:hint="eastAsia" w:ascii="宋体" w:hAnsi="宋体" w:cs="Times New Roman"/>
                <w:color w:val="auto"/>
                <w:kern w:val="0"/>
                <w:sz w:val="24"/>
                <w:szCs w:val="24"/>
                <w:highlight w:val="none"/>
                <w:lang w:val="en-US" w:eastAsia="zh-CN"/>
              </w:rPr>
              <w:t>分</w:t>
            </w:r>
          </w:p>
        </w:tc>
      </w:tr>
    </w:tbl>
    <w:p w14:paraId="46DABDFD">
      <w:pPr>
        <w:widowControl w:val="0"/>
        <w:wordWrap/>
        <w:spacing w:line="360" w:lineRule="auto"/>
        <w:ind w:right="-160" w:rightChars="-76"/>
        <w:textAlignment w:val="auto"/>
        <w:rPr>
          <w:rFonts w:hint="eastAsia" w:ascii="宋体" w:hAnsi="宋体" w:eastAsia="宋体" w:cs="宋体"/>
          <w:b/>
          <w:color w:val="000000"/>
          <w:kern w:val="0"/>
          <w:sz w:val="24"/>
          <w:szCs w:val="24"/>
          <w:highlight w:val="none"/>
          <w:lang w:eastAsia="zh-CN"/>
        </w:rPr>
      </w:pPr>
      <w:r>
        <w:rPr>
          <w:rFonts w:hint="eastAsia" w:ascii="宋体" w:hAnsi="宋体" w:cs="宋体"/>
          <w:b/>
          <w:sz w:val="24"/>
          <w:highlight w:val="none"/>
        </w:rPr>
        <w:t>注</w:t>
      </w:r>
      <w:r>
        <w:rPr>
          <w:rFonts w:hint="eastAsia" w:ascii="宋体" w:hAnsi="宋体" w:cs="宋体"/>
          <w:b/>
          <w:sz w:val="24"/>
          <w:szCs w:val="24"/>
          <w:highlight w:val="none"/>
        </w:rPr>
        <w:t>：</w:t>
      </w:r>
      <w:r>
        <w:rPr>
          <w:rFonts w:hint="eastAsia" w:ascii="宋体" w:hAnsi="宋体" w:cs="宋体"/>
          <w:b/>
          <w:color w:val="000000"/>
          <w:sz w:val="24"/>
          <w:szCs w:val="24"/>
          <w:highlight w:val="none"/>
          <w:lang w:val="en-US" w:eastAsia="zh-CN"/>
        </w:rPr>
        <w:t>投标人</w:t>
      </w:r>
      <w:r>
        <w:rPr>
          <w:rFonts w:hint="eastAsia" w:ascii="宋体" w:hAnsi="宋体" w:cs="宋体"/>
          <w:b/>
          <w:color w:val="000000"/>
          <w:sz w:val="24"/>
          <w:szCs w:val="24"/>
          <w:highlight w:val="none"/>
        </w:rPr>
        <w:t>应提供以上相关材料的复印件，并加盖公章。</w:t>
      </w:r>
      <w:r>
        <w:rPr>
          <w:rFonts w:hint="eastAsia" w:ascii="宋体" w:hAnsi="宋体" w:cs="宋体"/>
          <w:b/>
          <w:color w:val="000000"/>
          <w:kern w:val="0"/>
          <w:sz w:val="24"/>
          <w:szCs w:val="24"/>
          <w:highlight w:val="none"/>
        </w:rPr>
        <w:t>如发现提供虚假材料的，将取消中标资格</w:t>
      </w:r>
      <w:r>
        <w:rPr>
          <w:rFonts w:hint="eastAsia" w:ascii="宋体" w:hAnsi="宋体" w:cs="宋体"/>
          <w:b/>
          <w:color w:val="000000"/>
          <w:kern w:val="0"/>
          <w:sz w:val="24"/>
          <w:szCs w:val="24"/>
          <w:highlight w:val="none"/>
          <w:lang w:eastAsia="zh-CN"/>
        </w:rPr>
        <w:t>，</w:t>
      </w:r>
      <w:r>
        <w:rPr>
          <w:rFonts w:hint="eastAsia" w:ascii="宋体" w:hAnsi="宋体" w:cs="宋体"/>
          <w:b/>
          <w:color w:val="000000"/>
          <w:kern w:val="0"/>
          <w:sz w:val="24"/>
          <w:szCs w:val="24"/>
          <w:highlight w:val="none"/>
        </w:rPr>
        <w:t>同时承担给招标人带来的损失。</w:t>
      </w:r>
    </w:p>
    <w:p w14:paraId="24006C15">
      <w:pPr>
        <w:pStyle w:val="40"/>
        <w:spacing w:before="0" w:line="360" w:lineRule="auto"/>
        <w:ind w:firstLine="0" w:firstLineChars="0"/>
        <w:textAlignment w:val="auto"/>
        <w:rPr>
          <w:rFonts w:hint="eastAsia" w:ascii="宋体" w:hAnsi="宋体" w:cs="宋体"/>
          <w:b/>
          <w:color w:val="auto"/>
          <w:kern w:val="0"/>
          <w:szCs w:val="24"/>
          <w:highlight w:val="none"/>
        </w:rPr>
      </w:pPr>
      <w:r>
        <w:rPr>
          <w:rFonts w:hint="eastAsia" w:ascii="宋体" w:hAnsi="宋体" w:cs="宋体"/>
          <w:b/>
          <w:color w:val="auto"/>
          <w:kern w:val="0"/>
          <w:szCs w:val="24"/>
          <w:highlight w:val="none"/>
          <w:lang w:val="en-US" w:eastAsia="zh-CN"/>
        </w:rPr>
        <w:t>38</w:t>
      </w:r>
      <w:r>
        <w:rPr>
          <w:rFonts w:hint="eastAsia" w:ascii="宋体" w:hAnsi="宋体" w:cs="宋体"/>
          <w:b/>
          <w:color w:val="auto"/>
          <w:kern w:val="0"/>
          <w:szCs w:val="24"/>
          <w:highlight w:val="none"/>
        </w:rPr>
        <w:t>、解释权</w:t>
      </w:r>
    </w:p>
    <w:p w14:paraId="764FF81D">
      <w:pPr>
        <w:spacing w:line="360" w:lineRule="auto"/>
        <w:ind w:firstLine="480" w:firstLineChars="200"/>
        <w:textAlignment w:val="auto"/>
        <w:rPr>
          <w:rFonts w:ascii="宋体" w:hAnsi="宋体"/>
          <w:color w:val="auto"/>
          <w:sz w:val="24"/>
          <w:szCs w:val="24"/>
          <w:highlight w:val="none"/>
        </w:rPr>
        <w:sectPr>
          <w:headerReference r:id="rId4" w:type="default"/>
          <w:footerReference r:id="rId6" w:type="default"/>
          <w:headerReference r:id="rId5" w:type="even"/>
          <w:footerReference r:id="rId7" w:type="even"/>
          <w:pgSz w:w="11906" w:h="16838"/>
          <w:pgMar w:top="1531" w:right="1361" w:bottom="1531" w:left="1304" w:header="851" w:footer="601" w:gutter="0"/>
          <w:pgNumType w:fmt="numberInDash"/>
          <w:cols w:space="720" w:num="1"/>
          <w:docGrid w:type="lines" w:linePitch="312" w:charSpace="0"/>
        </w:sectPr>
      </w:pPr>
      <w:r>
        <w:rPr>
          <w:rFonts w:hint="eastAsia" w:ascii="宋体" w:hAnsi="宋体"/>
          <w:color w:val="auto"/>
          <w:sz w:val="24"/>
          <w:szCs w:val="24"/>
          <w:highlight w:val="none"/>
        </w:rPr>
        <w:t>专用条款与通用条款有矛盾之处，以专用条款为准。凡涉及本次招标文件的解释权属于采购人与</w:t>
      </w:r>
      <w:r>
        <w:rPr>
          <w:rFonts w:hint="eastAsia" w:ascii="宋体" w:hAnsi="宋体"/>
          <w:color w:val="auto"/>
          <w:sz w:val="24"/>
          <w:szCs w:val="24"/>
          <w:highlight w:val="none"/>
          <w:lang w:val="en-US" w:eastAsia="zh-CN"/>
        </w:rPr>
        <w:t>天阳建设管理有限公司</w:t>
      </w:r>
      <w:r>
        <w:rPr>
          <w:rFonts w:hint="eastAsia" w:ascii="宋体" w:hAnsi="宋体"/>
          <w:color w:val="auto"/>
          <w:sz w:val="24"/>
          <w:szCs w:val="24"/>
          <w:highlight w:val="none"/>
        </w:rPr>
        <w:t xml:space="preserve">。  </w:t>
      </w:r>
      <w:bookmarkStart w:id="7" w:name="_Toc303256681"/>
      <w:bookmarkStart w:id="8" w:name="_Toc381361195"/>
    </w:p>
    <w:bookmarkEnd w:id="7"/>
    <w:bookmarkEnd w:id="8"/>
    <w:p w14:paraId="7FF5A545">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第三部分 采购需求</w:t>
      </w:r>
      <w:bookmarkEnd w:id="6"/>
    </w:p>
    <w:p w14:paraId="722BC60C">
      <w:pPr>
        <w:spacing w:line="360" w:lineRule="auto"/>
        <w:textAlignment w:val="auto"/>
        <w:rPr>
          <w:rFonts w:hint="eastAsia" w:ascii="宋体" w:hAnsi="宋体" w:cs="宋体"/>
          <w:b/>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
          <w:color w:val="auto"/>
          <w:sz w:val="24"/>
          <w:szCs w:val="24"/>
          <w:highlight w:val="none"/>
        </w:rPr>
        <w:t>一、项目概况：</w:t>
      </w:r>
    </w:p>
    <w:p w14:paraId="25C150C5">
      <w:pPr>
        <w:adjustRightInd w:val="0"/>
        <w:snapToGrid w:val="0"/>
        <w:spacing w:line="360" w:lineRule="auto"/>
        <w:ind w:firstLine="475" w:firstLineChars="197"/>
        <w:rPr>
          <w:rFonts w:hint="eastAsia" w:ascii="宋体" w:hAnsi="宋体"/>
          <w:b/>
          <w:bCs/>
          <w:color w:val="auto"/>
          <w:sz w:val="44"/>
          <w:szCs w:val="44"/>
          <w:highlight w:val="none"/>
        </w:rPr>
      </w:pPr>
      <w:r>
        <w:rPr>
          <w:rFonts w:hint="eastAsia" w:ascii="宋体" w:hAnsi="宋体" w:cs="仿宋_GB2312"/>
          <w:b/>
          <w:color w:val="auto"/>
          <w:kern w:val="0"/>
          <w:sz w:val="24"/>
          <w:highlight w:val="none"/>
        </w:rPr>
        <w:t>采购需求中</w:t>
      </w:r>
      <w:r>
        <w:rPr>
          <w:rFonts w:hint="eastAsia" w:ascii="宋体" w:hAnsi="宋体" w:cs="仿宋_GB2312"/>
          <w:b/>
          <w:color w:val="auto"/>
          <w:kern w:val="0"/>
          <w:sz w:val="24"/>
          <w:highlight w:val="none"/>
          <w:lang w:val="zh-CN"/>
        </w:rPr>
        <w:t>带“●”条款为实质性内容，投标人须在投标文件中提供《采购需求实质性内容响应表》（格式见第</w:t>
      </w:r>
      <w:r>
        <w:rPr>
          <w:rFonts w:hint="eastAsia" w:ascii="宋体" w:hAnsi="宋体" w:cs="仿宋_GB2312"/>
          <w:b/>
          <w:color w:val="auto"/>
          <w:kern w:val="0"/>
          <w:sz w:val="24"/>
          <w:highlight w:val="none"/>
          <w:lang w:val="en-US" w:eastAsia="zh-CN"/>
        </w:rPr>
        <w:t>五</w:t>
      </w:r>
      <w:r>
        <w:rPr>
          <w:rFonts w:hint="eastAsia" w:ascii="宋体" w:hAnsi="宋体" w:cs="仿宋_GB2312"/>
          <w:b/>
          <w:color w:val="auto"/>
          <w:kern w:val="0"/>
          <w:sz w:val="24"/>
          <w:highlight w:val="none"/>
          <w:lang w:val="zh-CN"/>
        </w:rPr>
        <w:t>部分 投标文件），如有任意一条未响应或不满足，将被视为无效。</w:t>
      </w:r>
    </w:p>
    <w:p w14:paraId="4E81EC08">
      <w:pPr>
        <w:widowControl w:val="0"/>
        <w:wordWrap/>
        <w:adjustRightInd w:val="0"/>
        <w:snapToGrid w:val="0"/>
        <w:spacing w:line="360" w:lineRule="auto"/>
        <w:ind w:left="0" w:leftChars="0" w:right="0" w:firstLine="480" w:firstLineChars="200"/>
        <w:jc w:val="both"/>
        <w:textAlignment w:val="auto"/>
        <w:outlineLvl w:val="9"/>
        <w:rPr>
          <w:rFonts w:hint="eastAsia" w:ascii="宋体" w:hAnsi="宋体"/>
          <w:color w:val="auto"/>
          <w:sz w:val="24"/>
          <w:lang w:eastAsia="zh-CN"/>
        </w:rPr>
      </w:pPr>
      <w:r>
        <w:rPr>
          <w:rFonts w:hint="eastAsia" w:ascii="宋体" w:hAnsi="宋体"/>
          <w:color w:val="auto"/>
          <w:sz w:val="24"/>
          <w:highlight w:val="none"/>
        </w:rPr>
        <w:t>投标报价应包括</w:t>
      </w:r>
      <w:r>
        <w:rPr>
          <w:rFonts w:hint="eastAsia" w:ascii="宋体" w:hAnsi="宋体"/>
          <w:color w:val="auto"/>
          <w:sz w:val="24"/>
          <w:szCs w:val="24"/>
          <w:highlight w:val="none"/>
        </w:rPr>
        <w:t>药剂本身价格</w:t>
      </w:r>
      <w:r>
        <w:rPr>
          <w:rFonts w:hint="eastAsia" w:ascii="宋体" w:hAnsi="宋体"/>
          <w:color w:val="auto"/>
          <w:sz w:val="24"/>
          <w:highlight w:val="none"/>
        </w:rPr>
        <w:t>、</w:t>
      </w:r>
      <w:r>
        <w:rPr>
          <w:rFonts w:hint="eastAsia" w:ascii="宋体" w:hAnsi="宋体"/>
          <w:color w:val="auto"/>
          <w:sz w:val="24"/>
          <w:highlight w:val="none"/>
          <w:lang w:val="en-US" w:eastAsia="zh-CN"/>
        </w:rPr>
        <w:t>技术</w:t>
      </w:r>
      <w:r>
        <w:rPr>
          <w:rFonts w:hint="eastAsia" w:ascii="宋体" w:hAnsi="宋体"/>
          <w:color w:val="auto"/>
          <w:sz w:val="24"/>
          <w:highlight w:val="none"/>
        </w:rPr>
        <w:t>指导费、运送至采购人指定地点的费用、装卸费、质保期内的其他费用以及利润、税金、政策性文件规定等须由投标</w:t>
      </w:r>
      <w:r>
        <w:rPr>
          <w:rFonts w:hint="eastAsia" w:ascii="宋体" w:hAnsi="宋体"/>
          <w:color w:val="auto"/>
          <w:sz w:val="24"/>
        </w:rPr>
        <w:t>人支付的所有费用</w:t>
      </w:r>
      <w:r>
        <w:rPr>
          <w:rFonts w:hint="eastAsia" w:ascii="宋体" w:hAnsi="宋体"/>
          <w:color w:val="auto"/>
          <w:sz w:val="24"/>
          <w:lang w:eastAsia="zh-CN"/>
        </w:rPr>
        <w:t>。</w:t>
      </w:r>
    </w:p>
    <w:p w14:paraId="0E29DCFF">
      <w:pPr>
        <w:adjustRightInd w:val="0"/>
        <w:snapToGrid w:val="0"/>
        <w:spacing w:line="360" w:lineRule="auto"/>
        <w:rPr>
          <w:rFonts w:hint="eastAsia" w:ascii="宋体" w:hAnsi="宋体"/>
          <w:b/>
          <w:color w:val="auto"/>
          <w:sz w:val="24"/>
          <w:szCs w:val="24"/>
          <w:highlight w:val="none"/>
        </w:rPr>
      </w:pPr>
      <w:r>
        <w:rPr>
          <w:rFonts w:hint="eastAsia" w:ascii="宋体" w:hAnsi="宋体" w:cs="宋体"/>
          <w:b/>
          <w:bCs/>
          <w:color w:val="auto"/>
          <w:sz w:val="24"/>
          <w:highlight w:val="none"/>
        </w:rPr>
        <w:t>二、</w:t>
      </w:r>
      <w:r>
        <w:rPr>
          <w:rFonts w:hint="eastAsia" w:ascii="宋体" w:hAnsi="宋体"/>
          <w:b/>
          <w:color w:val="auto"/>
          <w:sz w:val="24"/>
          <w:szCs w:val="24"/>
          <w:highlight w:val="none"/>
        </w:rPr>
        <w:t>技术条款</w:t>
      </w:r>
    </w:p>
    <w:p w14:paraId="34BE3FE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、性质与用途</w:t>
      </w:r>
    </w:p>
    <w:p w14:paraId="330B68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用于污水厂、自来水厂膜处理车间。</w:t>
      </w:r>
    </w:p>
    <w:p w14:paraId="753B62E5">
      <w:pPr>
        <w:spacing w:line="360" w:lineRule="auto"/>
        <w:ind w:firstLine="482" w:firstLineChars="200"/>
        <w:rPr>
          <w:rFonts w:hint="eastAsia" w:ascii="宋体" w:hAnsi="宋体"/>
          <w:color w:val="auto"/>
          <w:sz w:val="24"/>
          <w:highlight w:val="none"/>
        </w:rPr>
      </w:pPr>
      <w:r>
        <w:rPr>
          <w:rFonts w:hint="eastAsia" w:ascii="宋体" w:hAnsi="宋体" w:cs="仿宋_GB2312"/>
          <w:b/>
          <w:color w:val="auto"/>
          <w:sz w:val="24"/>
          <w:highlight w:val="none"/>
          <w:lang w:val="en-US" w:eastAsia="zh-CN"/>
        </w:rPr>
        <w:t>2、</w:t>
      </w:r>
      <w:r>
        <w:rPr>
          <w:rFonts w:hint="eastAsia" w:ascii="宋体" w:hAnsi="宋体"/>
          <w:color w:val="auto"/>
          <w:sz w:val="24"/>
          <w:highlight w:val="none"/>
        </w:rPr>
        <w:t>外观要求：</w:t>
      </w:r>
    </w:p>
    <w:p w14:paraId="4A735327">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液体（清亮的或略有混浊，无色或带粉颜色）</w:t>
      </w:r>
    </w:p>
    <w:p w14:paraId="40F97F8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zh-CN" w:eastAsia="zh-CN"/>
        </w:rPr>
        <w:t>●</w:t>
      </w:r>
      <w:r>
        <w:rPr>
          <w:rFonts w:hint="eastAsia" w:ascii="宋体" w:hAnsi="宋体"/>
          <w:color w:val="auto"/>
          <w:sz w:val="24"/>
          <w:highlight w:val="none"/>
          <w:lang w:val="en-US" w:eastAsia="zh-CN"/>
        </w:rPr>
        <w:t>3、技术参数</w:t>
      </w: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7"/>
        <w:gridCol w:w="4860"/>
      </w:tblGrid>
      <w:tr w14:paraId="6452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Merge w:val="restart"/>
            <w:vAlign w:val="top"/>
          </w:tcPr>
          <w:p w14:paraId="6C9531B1">
            <w:pPr>
              <w:spacing w:line="360" w:lineRule="auto"/>
              <w:ind w:firstLine="480" w:firstLineChars="200"/>
              <w:rPr>
                <w:sz w:val="24"/>
                <w:szCs w:val="24"/>
              </w:rPr>
            </w:pPr>
            <w:r>
              <w:rPr>
                <w:rFonts w:hint="eastAsia" w:ascii="宋体" w:hAnsi="宋体"/>
                <w:color w:val="auto"/>
                <w:sz w:val="24"/>
                <w:szCs w:val="24"/>
                <w:highlight w:val="none"/>
                <w:lang w:eastAsia="zh-CN"/>
              </w:rPr>
              <w:t>项目</w:t>
            </w:r>
          </w:p>
        </w:tc>
        <w:tc>
          <w:tcPr>
            <w:tcW w:w="4860" w:type="dxa"/>
            <w:vAlign w:val="top"/>
          </w:tcPr>
          <w:p w14:paraId="16E1D238">
            <w:pPr>
              <w:spacing w:line="360" w:lineRule="auto"/>
              <w:ind w:firstLine="480" w:firstLineChars="200"/>
              <w:jc w:val="both"/>
              <w:rPr>
                <w:sz w:val="24"/>
                <w:szCs w:val="24"/>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要求</w:t>
            </w:r>
          </w:p>
        </w:tc>
      </w:tr>
      <w:tr w14:paraId="119F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97" w:type="dxa"/>
            <w:vMerge w:val="continue"/>
            <w:vAlign w:val="top"/>
          </w:tcPr>
          <w:p w14:paraId="0427CFEC">
            <w:pPr>
              <w:spacing w:line="360" w:lineRule="auto"/>
              <w:ind w:firstLine="480" w:firstLineChars="200"/>
              <w:rPr>
                <w:sz w:val="24"/>
                <w:szCs w:val="24"/>
              </w:rPr>
            </w:pPr>
          </w:p>
        </w:tc>
        <w:tc>
          <w:tcPr>
            <w:tcW w:w="4860" w:type="dxa"/>
            <w:vAlign w:val="top"/>
          </w:tcPr>
          <w:p w14:paraId="5B97F107">
            <w:pPr>
              <w:spacing w:line="360" w:lineRule="auto"/>
              <w:jc w:val="center"/>
              <w:rPr>
                <w:sz w:val="24"/>
                <w:szCs w:val="24"/>
              </w:rPr>
            </w:pPr>
            <w:r>
              <w:rPr>
                <w:rFonts w:hint="eastAsia" w:ascii="宋体" w:hAnsi="宋体"/>
                <w:color w:val="auto"/>
                <w:sz w:val="24"/>
                <w:szCs w:val="24"/>
                <w:highlight w:val="none"/>
                <w:lang w:eastAsia="zh-CN"/>
              </w:rPr>
              <w:t>液体氢氧化钠</w:t>
            </w:r>
          </w:p>
        </w:tc>
      </w:tr>
      <w:tr w14:paraId="7BE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280A725F">
            <w:pPr>
              <w:spacing w:line="360" w:lineRule="auto"/>
              <w:rPr>
                <w:sz w:val="24"/>
                <w:szCs w:val="24"/>
              </w:rPr>
            </w:pPr>
            <w:r>
              <w:rPr>
                <w:rFonts w:hint="eastAsia" w:ascii="宋体" w:hAnsi="宋体"/>
                <w:color w:val="auto"/>
                <w:sz w:val="24"/>
                <w:szCs w:val="24"/>
                <w:highlight w:val="none"/>
                <w:lang w:eastAsia="zh-CN"/>
              </w:rPr>
              <w:t>总碱量(以NaOH计), w /%</w:t>
            </w:r>
          </w:p>
        </w:tc>
        <w:tc>
          <w:tcPr>
            <w:tcW w:w="4860" w:type="dxa"/>
            <w:vAlign w:val="top"/>
          </w:tcPr>
          <w:p w14:paraId="4198A9A5">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98.0</w:t>
            </w:r>
            <w:r>
              <w:rPr>
                <w:rFonts w:hint="eastAsia" w:ascii="宋体" w:hAnsi="宋体"/>
                <w:color w:val="auto"/>
                <w:sz w:val="44"/>
                <w:szCs w:val="44"/>
                <w:highlight w:val="none"/>
                <w:vertAlign w:val="superscript"/>
                <w:lang w:eastAsia="zh-CN"/>
              </w:rPr>
              <w:t xml:space="preserve"> a</w:t>
            </w:r>
            <w:r>
              <w:rPr>
                <w:rFonts w:hint="eastAsia" w:ascii="宋体" w:hAnsi="宋体"/>
                <w:color w:val="auto"/>
                <w:sz w:val="24"/>
                <w:szCs w:val="24"/>
                <w:highlight w:val="none"/>
                <w:lang w:eastAsia="zh-CN"/>
              </w:rPr>
              <w:t>~103.5</w:t>
            </w:r>
            <w:r>
              <w:rPr>
                <w:rFonts w:hint="eastAsia" w:ascii="宋体" w:hAnsi="宋体"/>
                <w:color w:val="auto"/>
                <w:sz w:val="44"/>
                <w:szCs w:val="44"/>
                <w:highlight w:val="none"/>
                <w:vertAlign w:val="superscript"/>
                <w:lang w:eastAsia="zh-CN"/>
              </w:rPr>
              <w:t xml:space="preserve"> a</w:t>
            </w:r>
          </w:p>
        </w:tc>
      </w:tr>
      <w:tr w14:paraId="03FB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0E54ACF4">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碳酸钠( Na 2CO3), w /% ≤</w:t>
            </w:r>
          </w:p>
        </w:tc>
        <w:tc>
          <w:tcPr>
            <w:tcW w:w="4860" w:type="dxa"/>
            <w:vAlign w:val="top"/>
          </w:tcPr>
          <w:p w14:paraId="45664F44">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2. 0</w:t>
            </w:r>
          </w:p>
        </w:tc>
      </w:tr>
      <w:tr w14:paraId="44B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212F441C">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砷( As) /(mg/kg) ≤</w:t>
            </w:r>
          </w:p>
        </w:tc>
        <w:tc>
          <w:tcPr>
            <w:tcW w:w="4860" w:type="dxa"/>
            <w:vAlign w:val="top"/>
          </w:tcPr>
          <w:p w14:paraId="35DEE2E3">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 xml:space="preserve"> 3. 0</w:t>
            </w:r>
          </w:p>
        </w:tc>
      </w:tr>
      <w:tr w14:paraId="7B6C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7F394351">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重金属(以Pb计) /(mg/kg) ≤</w:t>
            </w:r>
          </w:p>
        </w:tc>
        <w:tc>
          <w:tcPr>
            <w:tcW w:w="4860" w:type="dxa"/>
            <w:vAlign w:val="top"/>
          </w:tcPr>
          <w:p w14:paraId="1FE4E0FC">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5</w:t>
            </w:r>
          </w:p>
        </w:tc>
      </w:tr>
      <w:tr w14:paraId="3047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7D92170F">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不溶物及有机杂质</w:t>
            </w:r>
          </w:p>
        </w:tc>
        <w:tc>
          <w:tcPr>
            <w:tcW w:w="4860" w:type="dxa"/>
            <w:vAlign w:val="top"/>
          </w:tcPr>
          <w:p w14:paraId="5C703308">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通过试验</w:t>
            </w:r>
          </w:p>
        </w:tc>
      </w:tr>
      <w:tr w14:paraId="663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vAlign w:val="top"/>
          </w:tcPr>
          <w:p w14:paraId="6B972FE7">
            <w:pPr>
              <w:spacing w:line="36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汞(Hg) /(mg/kg) ≤</w:t>
            </w:r>
          </w:p>
        </w:tc>
        <w:tc>
          <w:tcPr>
            <w:tcW w:w="4860" w:type="dxa"/>
            <w:vAlign w:val="top"/>
          </w:tcPr>
          <w:p w14:paraId="04AA80D1">
            <w:pPr>
              <w:spacing w:line="360" w:lineRule="auto"/>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0. 1</w:t>
            </w:r>
          </w:p>
        </w:tc>
      </w:tr>
      <w:tr w14:paraId="732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2"/>
            <w:vAlign w:val="top"/>
          </w:tcPr>
          <w:p w14:paraId="6281AD06">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a 按氢氧化钠的标示值折算。</w:t>
            </w:r>
            <w:r>
              <w:rPr>
                <w:rFonts w:hint="eastAsia" w:ascii="宋体" w:hAnsi="宋体"/>
                <w:color w:val="auto"/>
                <w:sz w:val="24"/>
                <w:szCs w:val="24"/>
                <w:highlight w:val="none"/>
                <w:lang w:val="en-US" w:eastAsia="zh-CN"/>
              </w:rPr>
              <w:t>a取32%</w:t>
            </w:r>
          </w:p>
        </w:tc>
      </w:tr>
    </w:tbl>
    <w:p w14:paraId="4F5038D4">
      <w:pPr>
        <w:spacing w:line="360" w:lineRule="auto"/>
        <w:ind w:firstLine="482" w:firstLineChars="200"/>
        <w:rPr>
          <w:rFonts w:hint="eastAsia"/>
        </w:rPr>
      </w:pPr>
      <w:r>
        <w:rPr>
          <w:rFonts w:hint="eastAsia" w:ascii="宋体" w:hAnsi="宋体" w:cs="仿宋_GB2312"/>
          <w:b/>
          <w:color w:val="auto"/>
          <w:sz w:val="24"/>
          <w:highlight w:val="none"/>
          <w:lang w:val="zh-CN"/>
        </w:rPr>
        <w:t>●</w:t>
      </w:r>
      <w:r>
        <w:rPr>
          <w:rFonts w:hint="eastAsia" w:ascii="宋体" w:hAnsi="宋体" w:cs="仿宋_GB2312"/>
          <w:b/>
          <w:color w:val="auto"/>
          <w:sz w:val="24"/>
          <w:highlight w:val="none"/>
          <w:lang w:val="en-US" w:eastAsia="zh-CN"/>
        </w:rPr>
        <w:t>4、</w:t>
      </w:r>
      <w:r>
        <w:rPr>
          <w:rFonts w:hint="eastAsia" w:ascii="宋体" w:hAnsi="宋体"/>
          <w:color w:val="auto"/>
          <w:sz w:val="24"/>
          <w:highlight w:val="none"/>
          <w:lang w:val="en-US" w:eastAsia="zh-CN"/>
        </w:rPr>
        <w:t>中</w:t>
      </w:r>
      <w:r>
        <w:rPr>
          <w:rFonts w:hint="eastAsia" w:ascii="宋体" w:hAnsi="宋体"/>
          <w:b w:val="0"/>
          <w:bCs/>
          <w:color w:val="auto"/>
          <w:sz w:val="24"/>
          <w:szCs w:val="24"/>
          <w:highlight w:val="none"/>
          <w:lang w:val="en-US" w:eastAsia="zh-CN"/>
        </w:rPr>
        <w:t>标人</w:t>
      </w:r>
      <w:r>
        <w:rPr>
          <w:rFonts w:hint="eastAsia" w:ascii="宋体" w:hAnsi="宋体"/>
          <w:b w:val="0"/>
          <w:bCs/>
          <w:color w:val="auto"/>
          <w:sz w:val="24"/>
          <w:highlight w:val="none"/>
        </w:rPr>
        <w:t>提供的货物必须为</w:t>
      </w:r>
      <w:r>
        <w:rPr>
          <w:rFonts w:hint="eastAsia" w:ascii="宋体" w:hAnsi="宋体"/>
          <w:b w:val="0"/>
          <w:bCs/>
          <w:color w:val="auto"/>
          <w:sz w:val="24"/>
          <w:highlight w:val="none"/>
          <w:lang w:val="en-US" w:eastAsia="zh-CN"/>
        </w:rPr>
        <w:t>本次采购响应的品牌（生产厂商）</w:t>
      </w:r>
      <w:r>
        <w:rPr>
          <w:rFonts w:hint="eastAsia" w:ascii="宋体" w:hAnsi="宋体"/>
          <w:b w:val="0"/>
          <w:bCs/>
          <w:color w:val="auto"/>
          <w:sz w:val="24"/>
          <w:highlight w:val="none"/>
        </w:rPr>
        <w:t>，严禁使用代工或贴牌产品，一旦发现有前述情况，招标人拒付后续所有余款，且由中标人承担由此对招标人产生的一切经济损失。</w:t>
      </w:r>
    </w:p>
    <w:p w14:paraId="74274A8B">
      <w:pPr>
        <w:snapToGrid w:val="0"/>
        <w:spacing w:line="360" w:lineRule="auto"/>
        <w:ind w:firstLine="470" w:firstLineChars="196"/>
        <w:rPr>
          <w:rFonts w:hint="eastAsia" w:ascii="宋体" w:hAnsi="宋体" w:cs="仿宋_GB2312"/>
          <w:b w:val="0"/>
          <w:bCs/>
          <w:color w:val="auto"/>
          <w:sz w:val="24"/>
          <w:highlight w:val="none"/>
          <w:lang w:val="zh-CN"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szCs w:val="24"/>
          <w:highlight w:val="none"/>
          <w:lang w:val="en-US" w:eastAsia="zh-CN"/>
        </w:rPr>
        <w:t>中标人用槽车</w:t>
      </w:r>
      <w:r>
        <w:rPr>
          <w:rFonts w:hint="eastAsia" w:ascii="宋体" w:hAnsi="宋体"/>
          <w:color w:val="auto"/>
          <w:sz w:val="24"/>
          <w:szCs w:val="24"/>
          <w:highlight w:val="none"/>
        </w:rPr>
        <w:t>将</w:t>
      </w:r>
      <w:r>
        <w:rPr>
          <w:rFonts w:hint="eastAsia" w:ascii="宋体" w:hAnsi="宋体"/>
          <w:color w:val="auto"/>
          <w:sz w:val="24"/>
          <w:highlight w:val="none"/>
          <w:lang w:val="en-US" w:eastAsia="zh-CN"/>
        </w:rPr>
        <w:t>食品级氢氧化钠溶液</w:t>
      </w:r>
      <w:r>
        <w:rPr>
          <w:rFonts w:hint="eastAsia" w:ascii="宋体" w:hAnsi="宋体"/>
          <w:color w:val="auto"/>
          <w:sz w:val="24"/>
          <w:szCs w:val="24"/>
          <w:highlight w:val="none"/>
        </w:rPr>
        <w:t>运送至招标人指定场所</w:t>
      </w:r>
      <w:r>
        <w:rPr>
          <w:rFonts w:hint="eastAsia" w:ascii="宋体" w:hAnsi="宋体" w:cs="仿宋_GB2312"/>
          <w:b w:val="0"/>
          <w:bCs/>
          <w:color w:val="auto"/>
          <w:sz w:val="24"/>
          <w:highlight w:val="none"/>
          <w:lang w:val="zh-CN"/>
        </w:rPr>
        <w:t>并自行组织人员卸至指定</w:t>
      </w:r>
      <w:r>
        <w:rPr>
          <w:rFonts w:hint="eastAsia" w:ascii="宋体" w:hAnsi="宋体" w:cs="仿宋_GB2312"/>
          <w:b w:val="0"/>
          <w:bCs/>
          <w:color w:val="auto"/>
          <w:sz w:val="24"/>
          <w:highlight w:val="none"/>
          <w:lang w:val="en-US" w:eastAsia="zh-CN"/>
        </w:rPr>
        <w:t>场所</w:t>
      </w:r>
      <w:r>
        <w:rPr>
          <w:rFonts w:hint="eastAsia" w:ascii="宋体" w:hAnsi="宋体" w:cs="仿宋_GB2312"/>
          <w:b w:val="0"/>
          <w:bCs/>
          <w:color w:val="auto"/>
          <w:sz w:val="24"/>
          <w:highlight w:val="none"/>
          <w:lang w:val="zh-CN"/>
        </w:rPr>
        <w:t>，不得泄漏影响现场环境卫生，并负责运输、装卸货、以及验收前的安全工作。</w:t>
      </w:r>
      <w:r>
        <w:rPr>
          <w:rFonts w:hint="eastAsia" w:ascii="宋体" w:hAnsi="宋体" w:cs="仿宋_GB2312"/>
          <w:b w:val="0"/>
          <w:bCs/>
          <w:color w:val="auto"/>
          <w:sz w:val="24"/>
          <w:highlight w:val="none"/>
          <w:lang w:val="zh-CN" w:eastAsia="zh-CN"/>
        </w:rPr>
        <w:t>制水公司所供氢氧化钠溶液单独采用塑料桶包装，</w:t>
      </w:r>
      <w:r>
        <w:rPr>
          <w:rFonts w:hint="eastAsia" w:ascii="宋体" w:hAnsi="宋体" w:cs="仿宋_GB2312"/>
          <w:b w:val="0"/>
          <w:bCs/>
          <w:color w:val="auto"/>
          <w:sz w:val="24"/>
          <w:highlight w:val="none"/>
          <w:lang w:val="en-US" w:eastAsia="zh-CN"/>
        </w:rPr>
        <w:t>且所用塑料桶材质应为</w:t>
      </w:r>
      <w:r>
        <w:rPr>
          <w:rFonts w:hint="eastAsia"/>
          <w:sz w:val="24"/>
          <w:szCs w:val="24"/>
          <w:lang w:val="en-US" w:eastAsia="zh-CN"/>
        </w:rPr>
        <w:t>食品级材料。</w:t>
      </w:r>
    </w:p>
    <w:p w14:paraId="42ACFA22">
      <w:pPr>
        <w:snapToGrid w:val="0"/>
        <w:spacing w:line="360" w:lineRule="auto"/>
        <w:ind w:firstLine="470" w:firstLineChars="196"/>
        <w:rPr>
          <w:rFonts w:hint="eastAsia" w:ascii="宋体" w:hAnsi="宋体"/>
          <w:color w:val="auto"/>
          <w:sz w:val="24"/>
          <w:szCs w:val="24"/>
          <w:highlight w:val="none"/>
        </w:rPr>
      </w:pPr>
    </w:p>
    <w:p w14:paraId="7DE20266">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6</w:t>
      </w:r>
      <w:r>
        <w:rPr>
          <w:rFonts w:hint="eastAsia" w:ascii="宋体" w:hAnsi="宋体"/>
          <w:color w:val="auto"/>
          <w:sz w:val="24"/>
          <w:szCs w:val="24"/>
          <w:highlight w:val="none"/>
        </w:rPr>
        <w:t>、</w:t>
      </w:r>
      <w:r>
        <w:rPr>
          <w:rFonts w:hint="eastAsia" w:ascii="宋体" w:hAnsi="宋体" w:cs="仿宋_GB2312"/>
          <w:b w:val="0"/>
          <w:bCs/>
          <w:color w:val="auto"/>
          <w:sz w:val="24"/>
          <w:highlight w:val="none"/>
          <w:lang w:val="en-US" w:eastAsia="zh-CN"/>
        </w:rPr>
        <w:t>中标人</w:t>
      </w:r>
      <w:r>
        <w:rPr>
          <w:rFonts w:hint="eastAsia" w:ascii="宋体" w:hAnsi="宋体" w:cs="仿宋_GB2312"/>
          <w:b w:val="0"/>
          <w:bCs/>
          <w:color w:val="auto"/>
          <w:sz w:val="24"/>
          <w:highlight w:val="none"/>
          <w:lang w:val="zh-CN"/>
        </w:rPr>
        <w:t>每个运输批次的</w:t>
      </w:r>
      <w:r>
        <w:rPr>
          <w:rFonts w:hint="eastAsia" w:ascii="宋体" w:hAnsi="宋体"/>
          <w:color w:val="auto"/>
          <w:sz w:val="24"/>
          <w:highlight w:val="none"/>
          <w:lang w:val="en-US" w:eastAsia="zh-CN"/>
        </w:rPr>
        <w:t>食品级氢氧化钠溶液</w:t>
      </w:r>
      <w:r>
        <w:rPr>
          <w:rFonts w:hint="eastAsia" w:ascii="宋体" w:hAnsi="宋体" w:cs="仿宋_GB2312"/>
          <w:b w:val="0"/>
          <w:bCs/>
          <w:color w:val="auto"/>
          <w:sz w:val="24"/>
          <w:highlight w:val="none"/>
          <w:lang w:val="zh-CN"/>
        </w:rPr>
        <w:t>都应附有质量检验</w:t>
      </w:r>
      <w:r>
        <w:rPr>
          <w:rFonts w:hint="eastAsia" w:ascii="宋体" w:hAnsi="宋体" w:cs="仿宋_GB2312"/>
          <w:b w:val="0"/>
          <w:bCs/>
          <w:color w:val="auto"/>
          <w:sz w:val="24"/>
          <w:highlight w:val="none"/>
          <w:lang w:val="en-US" w:eastAsia="zh-CN"/>
        </w:rPr>
        <w:t>报告及</w:t>
      </w:r>
      <w:r>
        <w:rPr>
          <w:rFonts w:hint="eastAsia" w:ascii="宋体" w:hAnsi="宋体" w:cs="仿宋_GB2312"/>
          <w:b w:val="0"/>
          <w:bCs/>
          <w:color w:val="auto"/>
          <w:sz w:val="24"/>
          <w:highlight w:val="none"/>
          <w:lang w:val="zh-CN"/>
        </w:rPr>
        <w:t>质量合格</w:t>
      </w:r>
      <w:r>
        <w:rPr>
          <w:rFonts w:hint="eastAsia" w:ascii="宋体" w:hAnsi="宋体" w:cs="仿宋_GB2312"/>
          <w:b w:val="0"/>
          <w:bCs/>
          <w:color w:val="auto"/>
          <w:sz w:val="24"/>
          <w:highlight w:val="none"/>
          <w:lang w:val="en-US" w:eastAsia="zh-CN"/>
        </w:rPr>
        <w:t>证。</w:t>
      </w:r>
    </w:p>
    <w:p w14:paraId="37EA0A59">
      <w:pPr>
        <w:spacing w:before="120" w:beforeLines="5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其他未注明内容参照</w:t>
      </w:r>
      <w:r>
        <w:rPr>
          <w:rFonts w:hint="eastAsia" w:ascii="宋体" w:hAnsi="宋体"/>
          <w:color w:val="auto"/>
          <w:sz w:val="24"/>
          <w:highlight w:val="none"/>
        </w:rPr>
        <w:t>GB 1886.2</w:t>
      </w:r>
      <w:r>
        <w:rPr>
          <w:rFonts w:hint="eastAsia" w:ascii="宋体" w:hAnsi="宋体"/>
          <w:color w:val="auto"/>
          <w:sz w:val="24"/>
          <w:highlight w:val="none"/>
          <w:lang w:val="en-US" w:eastAsia="zh-CN"/>
        </w:rPr>
        <w:t>0</w:t>
      </w:r>
      <w:r>
        <w:rPr>
          <w:rFonts w:hint="eastAsia" w:ascii="宋体" w:hAnsi="宋体"/>
          <w:color w:val="auto"/>
          <w:sz w:val="24"/>
          <w:highlight w:val="none"/>
        </w:rPr>
        <w:t xml:space="preserve">-2016  食品添加剂 </w:t>
      </w:r>
      <w:r>
        <w:rPr>
          <w:rFonts w:hint="eastAsia" w:ascii="宋体" w:hAnsi="宋体"/>
          <w:color w:val="auto"/>
          <w:sz w:val="24"/>
          <w:highlight w:val="none"/>
          <w:lang w:val="en-US" w:eastAsia="zh-CN"/>
        </w:rPr>
        <w:t>氢氧化钠中液体氢氧化钠的</w:t>
      </w:r>
      <w:r>
        <w:rPr>
          <w:rFonts w:hint="eastAsia" w:ascii="宋体" w:hAnsi="宋体"/>
          <w:color w:val="auto"/>
          <w:sz w:val="24"/>
          <w:highlight w:val="none"/>
        </w:rPr>
        <w:t>技术指标</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p>
    <w:p w14:paraId="58165131">
      <w:pPr>
        <w:adjustRightInd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三、采购清单</w:t>
      </w:r>
    </w:p>
    <w:tbl>
      <w:tblPr>
        <w:tblStyle w:val="28"/>
        <w:tblW w:w="93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221"/>
        <w:gridCol w:w="2074"/>
        <w:gridCol w:w="2074"/>
      </w:tblGrid>
      <w:tr w14:paraId="6B59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023" w:type="dxa"/>
            <w:vAlign w:val="center"/>
          </w:tcPr>
          <w:p w14:paraId="63A578A6">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产品名称</w:t>
            </w:r>
          </w:p>
        </w:tc>
        <w:tc>
          <w:tcPr>
            <w:tcW w:w="2221" w:type="dxa"/>
            <w:vAlign w:val="center"/>
          </w:tcPr>
          <w:p w14:paraId="011B2E2F">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单位</w:t>
            </w:r>
          </w:p>
        </w:tc>
        <w:tc>
          <w:tcPr>
            <w:tcW w:w="2074" w:type="dxa"/>
            <w:vAlign w:val="center"/>
          </w:tcPr>
          <w:p w14:paraId="16E881FB">
            <w:pPr>
              <w:pStyle w:val="71"/>
              <w:spacing w:line="360" w:lineRule="auto"/>
              <w:jc w:val="center"/>
              <w:textAlignment w:val="auto"/>
              <w:rPr>
                <w:rFonts w:hint="eastAsia" w:ascii="宋体" w:hAnsi="宋体"/>
                <w:color w:val="auto"/>
                <w:highlight w:val="none"/>
              </w:rPr>
            </w:pPr>
            <w:r>
              <w:rPr>
                <w:rFonts w:hint="eastAsia" w:ascii="宋体" w:hAnsi="宋体"/>
                <w:color w:val="auto"/>
                <w:highlight w:val="none"/>
              </w:rPr>
              <w:t>数量 （暂定）</w:t>
            </w:r>
          </w:p>
        </w:tc>
        <w:tc>
          <w:tcPr>
            <w:tcW w:w="2074" w:type="dxa"/>
            <w:vAlign w:val="center"/>
          </w:tcPr>
          <w:p w14:paraId="7304D03E">
            <w:pPr>
              <w:pStyle w:val="71"/>
              <w:spacing w:line="360" w:lineRule="auto"/>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备注</w:t>
            </w:r>
          </w:p>
        </w:tc>
      </w:tr>
      <w:tr w14:paraId="402D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23" w:type="dxa"/>
            <w:vAlign w:val="center"/>
          </w:tcPr>
          <w:p w14:paraId="7BF7FD75">
            <w:pPr>
              <w:pStyle w:val="71"/>
              <w:spacing w:line="360" w:lineRule="auto"/>
              <w:jc w:val="center"/>
              <w:textAlignment w:val="auto"/>
              <w:rPr>
                <w:rFonts w:hint="eastAsia" w:ascii="宋体" w:hAnsi="宋体" w:eastAsia="宋体"/>
                <w:color w:val="auto"/>
                <w:highlight w:val="none"/>
                <w:lang w:eastAsia="zh-CN"/>
              </w:rPr>
            </w:pPr>
            <w:r>
              <w:rPr>
                <w:rFonts w:hint="eastAsia" w:ascii="宋体" w:hAnsi="宋体"/>
                <w:color w:val="auto"/>
                <w:sz w:val="24"/>
                <w:highlight w:val="none"/>
                <w:lang w:val="en-US" w:eastAsia="zh-CN"/>
              </w:rPr>
              <w:t>食品级氢氧化钠溶液</w:t>
            </w:r>
          </w:p>
        </w:tc>
        <w:tc>
          <w:tcPr>
            <w:tcW w:w="2221" w:type="dxa"/>
            <w:vAlign w:val="center"/>
          </w:tcPr>
          <w:p w14:paraId="68721B60">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吨</w:t>
            </w:r>
          </w:p>
        </w:tc>
        <w:tc>
          <w:tcPr>
            <w:tcW w:w="2074" w:type="dxa"/>
            <w:vAlign w:val="center"/>
          </w:tcPr>
          <w:p w14:paraId="6E9286C1">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1200</w:t>
            </w:r>
          </w:p>
        </w:tc>
        <w:tc>
          <w:tcPr>
            <w:tcW w:w="2074" w:type="dxa"/>
            <w:vAlign w:val="center"/>
          </w:tcPr>
          <w:p w14:paraId="3DB4C111">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杭州临平净水有限公司</w:t>
            </w:r>
          </w:p>
        </w:tc>
      </w:tr>
      <w:tr w14:paraId="3E08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23" w:type="dxa"/>
            <w:vAlign w:val="center"/>
          </w:tcPr>
          <w:p w14:paraId="006D83F2">
            <w:pPr>
              <w:pStyle w:val="71"/>
              <w:spacing w:line="360" w:lineRule="auto"/>
              <w:jc w:val="center"/>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食品级氢氧化钠溶液</w:t>
            </w:r>
          </w:p>
        </w:tc>
        <w:tc>
          <w:tcPr>
            <w:tcW w:w="2221" w:type="dxa"/>
            <w:vAlign w:val="center"/>
          </w:tcPr>
          <w:p w14:paraId="59D16553">
            <w:pPr>
              <w:pStyle w:val="71"/>
              <w:spacing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吨</w:t>
            </w:r>
          </w:p>
        </w:tc>
        <w:tc>
          <w:tcPr>
            <w:tcW w:w="2074" w:type="dxa"/>
            <w:vAlign w:val="center"/>
          </w:tcPr>
          <w:p w14:paraId="13B2BF8E">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20</w:t>
            </w:r>
          </w:p>
        </w:tc>
        <w:tc>
          <w:tcPr>
            <w:tcW w:w="2074" w:type="dxa"/>
            <w:vAlign w:val="center"/>
          </w:tcPr>
          <w:p w14:paraId="367D2C0E">
            <w:pPr>
              <w:pStyle w:val="71"/>
              <w:spacing w:line="360" w:lineRule="auto"/>
              <w:jc w:val="center"/>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杭州余杭制水有限公司</w:t>
            </w:r>
          </w:p>
        </w:tc>
      </w:tr>
    </w:tbl>
    <w:p w14:paraId="72406146">
      <w:pPr>
        <w:widowControl w:val="0"/>
        <w:wordWrap/>
        <w:spacing w:line="360" w:lineRule="auto"/>
        <w:ind w:right="0" w:firstLine="480" w:firstLineChars="200"/>
        <w:jc w:val="both"/>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注：1、采购清单</w:t>
      </w:r>
      <w:r>
        <w:rPr>
          <w:rFonts w:hint="eastAsia" w:ascii="宋体" w:hAnsi="宋体" w:cs="宋体"/>
          <w:b w:val="0"/>
          <w:bCs w:val="0"/>
          <w:color w:val="auto"/>
          <w:sz w:val="24"/>
          <w:szCs w:val="24"/>
          <w:highlight w:val="none"/>
          <w:lang w:val="en-US" w:eastAsia="zh-CN"/>
        </w:rPr>
        <w:t>数量为一个年度计划用量</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具体按实际发生量为准，按实结算，供货有效期为自合同签订生效后12个月。</w:t>
      </w:r>
    </w:p>
    <w:p w14:paraId="2424BF82">
      <w:pPr>
        <w:widowControl w:val="0"/>
        <w:wordWrap/>
        <w:spacing w:line="360" w:lineRule="auto"/>
        <w:ind w:left="0" w:leftChars="0" w:right="0" w:firstLine="480" w:firstLineChars="200"/>
        <w:jc w:val="both"/>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2、杭州嘉澍新材负责本次招标，中标单位与物资使用单位签订实际供货合同。</w:t>
      </w:r>
      <w:r>
        <w:rPr>
          <w:rFonts w:hint="eastAsia" w:ascii="宋体" w:hAnsi="宋体" w:eastAsia="宋体" w:cs="宋体"/>
          <w:color w:val="auto"/>
          <w:sz w:val="24"/>
          <w:szCs w:val="24"/>
          <w:highlight w:val="none"/>
          <w:shd w:val="clear" w:color="auto" w:fill="FFFFFF"/>
          <w:lang w:val="en-US" w:eastAsia="zh-CN"/>
        </w:rPr>
        <w:t>听从使用单位供货安排，并和使用单位办理出入库与货款结算事宜。</w:t>
      </w:r>
    </w:p>
    <w:p w14:paraId="48647974">
      <w:pPr>
        <w:widowControl/>
        <w:kinsoku w:val="0"/>
        <w:wordWrap/>
        <w:autoSpaceDE w:val="0"/>
        <w:autoSpaceDN w:val="0"/>
        <w:adjustRightInd w:val="0"/>
        <w:snapToGrid w:val="0"/>
        <w:spacing w:before="0" w:beforeAutospacing="0" w:after="0" w:afterAutospacing="0" w:line="360" w:lineRule="auto"/>
        <w:ind w:left="0" w:leftChars="0" w:right="0" w:firstLine="480" w:firstLineChars="200"/>
        <w:jc w:val="left"/>
        <w:textAlignment w:val="baseline"/>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lang w:val="en-US" w:eastAsia="zh-CN"/>
        </w:rPr>
        <w:t>3、投标人报价时需综合考虑采</w:t>
      </w:r>
      <w:r>
        <w:rPr>
          <w:rFonts w:hint="eastAsia" w:ascii="宋体" w:hAnsi="宋体" w:cs="宋体"/>
          <w:b w:val="0"/>
          <w:bCs w:val="0"/>
          <w:color w:val="auto"/>
          <w:sz w:val="24"/>
          <w:szCs w:val="24"/>
          <w:highlight w:val="none"/>
          <w:lang w:val="en-US" w:eastAsia="zh-CN"/>
        </w:rPr>
        <w:t>购期内原材料等相关价格涨跌因素。一旦中标，供货期采购单价不得高于本次中标单价。</w:t>
      </w:r>
    </w:p>
    <w:p w14:paraId="6CEB87A6">
      <w:pPr>
        <w:widowControl w:val="0"/>
        <w:wordWrap/>
        <w:spacing w:line="360" w:lineRule="auto"/>
        <w:ind w:left="0" w:leftChars="0" w:right="0" w:firstLine="480" w:firstLineChars="200"/>
        <w:jc w:val="both"/>
        <w:textAlignment w:val="auto"/>
        <w:outlineLvl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中标单位应无条件接受杭州嘉澍新材科技有限公司与物资使用单位的供应商管理和考核及调整要求。若达不到相关考核要求的，将予以相关处罚，并视情节，给予1至3年内禁止参加余杭环境（水务）控股集团有限公司及下属子公司采购活动的处罚（以该项目合同到期之日起计算）。</w:t>
      </w:r>
    </w:p>
    <w:p w14:paraId="11F2825F">
      <w:pPr>
        <w:adjustRightInd w:val="0"/>
        <w:snapToGrid w:val="0"/>
        <w:spacing w:line="360" w:lineRule="auto"/>
        <w:rPr>
          <w:rFonts w:hint="eastAsia" w:ascii="宋体" w:hAnsi="宋体" w:cs="宋体"/>
          <w:b/>
          <w:bCs/>
          <w:sz w:val="24"/>
          <w:szCs w:val="24"/>
        </w:rPr>
      </w:pPr>
      <w:r>
        <w:rPr>
          <w:rFonts w:hint="eastAsia" w:ascii="宋体" w:hAnsi="宋体" w:cs="宋体"/>
          <w:b/>
          <w:kern w:val="0"/>
          <w:sz w:val="24"/>
          <w:lang w:val="zh-CN"/>
        </w:rPr>
        <w:t>●</w:t>
      </w:r>
      <w:r>
        <w:rPr>
          <w:rFonts w:hint="eastAsia" w:ascii="宋体" w:hAnsi="宋体" w:cs="宋体"/>
          <w:b/>
          <w:sz w:val="24"/>
          <w:szCs w:val="24"/>
          <w:lang w:val="en-US" w:eastAsia="zh-CN"/>
        </w:rPr>
        <w:t>四</w:t>
      </w:r>
      <w:r>
        <w:rPr>
          <w:rFonts w:hint="eastAsia" w:ascii="宋体" w:hAnsi="宋体" w:cs="宋体"/>
          <w:b/>
          <w:sz w:val="24"/>
          <w:szCs w:val="24"/>
        </w:rPr>
        <w:t>、供货时间、地点</w:t>
      </w:r>
      <w:r>
        <w:rPr>
          <w:rFonts w:hint="eastAsia" w:ascii="宋体" w:hAnsi="宋体" w:cs="宋体"/>
          <w:b/>
          <w:bCs/>
          <w:sz w:val="24"/>
          <w:szCs w:val="24"/>
        </w:rPr>
        <w:t>：</w:t>
      </w:r>
    </w:p>
    <w:p w14:paraId="28F30B7B">
      <w:pPr>
        <w:widowControl/>
        <w:wordWrap/>
        <w:adjustRightInd w:val="0"/>
        <w:snapToGrid w:val="0"/>
        <w:spacing w:line="360" w:lineRule="auto"/>
        <w:ind w:left="0" w:leftChars="0" w:right="0" w:firstLine="480" w:firstLineChars="200"/>
        <w:jc w:val="left"/>
        <w:textAlignment w:val="auto"/>
        <w:outlineLvl w:val="9"/>
        <w:rPr>
          <w:rFonts w:ascii="宋体" w:hAnsi="宋体"/>
          <w:b w:val="0"/>
          <w:bCs/>
          <w:color w:val="auto"/>
          <w:kern w:val="0"/>
          <w:sz w:val="24"/>
          <w:szCs w:val="24"/>
          <w:highlight w:val="none"/>
        </w:rPr>
      </w:pPr>
      <w:r>
        <w:rPr>
          <w:rFonts w:hint="eastAsia" w:ascii="宋体" w:hAnsi="宋体" w:cs="宋体"/>
          <w:b w:val="0"/>
          <w:bCs/>
          <w:color w:val="auto"/>
          <w:sz w:val="24"/>
          <w:szCs w:val="24"/>
          <w:highlight w:val="none"/>
        </w:rPr>
        <w:t>1、供货时间：</w:t>
      </w:r>
      <w:r>
        <w:rPr>
          <w:rFonts w:hint="eastAsia" w:ascii="宋体" w:hAnsi="宋体" w:cs="宋体"/>
          <w:b w:val="0"/>
          <w:bCs/>
          <w:color w:val="auto"/>
          <w:sz w:val="24"/>
          <w:szCs w:val="24"/>
          <w:highlight w:val="none"/>
          <w:lang w:val="en-US" w:eastAsia="zh-CN"/>
        </w:rPr>
        <w:t>合同</w:t>
      </w:r>
      <w:r>
        <w:rPr>
          <w:rFonts w:hint="eastAsia" w:ascii="宋体" w:hAnsi="宋体" w:cs="宋体"/>
          <w:b w:val="0"/>
          <w:bCs/>
          <w:color w:val="auto"/>
          <w:sz w:val="24"/>
          <w:szCs w:val="24"/>
          <w:highlight w:val="none"/>
        </w:rPr>
        <w:t>签订生效后</w:t>
      </w:r>
      <w:r>
        <w:rPr>
          <w:rFonts w:hint="eastAsia" w:ascii="宋体" w:hAnsi="宋体" w:cs="宋体"/>
          <w:b w:val="0"/>
          <w:bCs/>
          <w:color w:val="auto"/>
          <w:sz w:val="24"/>
          <w:szCs w:val="24"/>
          <w:highlight w:val="none"/>
          <w:lang w:val="en-US" w:eastAsia="zh-CN"/>
        </w:rPr>
        <w:t>12</w:t>
      </w:r>
      <w:r>
        <w:rPr>
          <w:rFonts w:hint="eastAsia" w:ascii="宋体" w:hAnsi="宋体" w:cs="宋体"/>
          <w:b w:val="0"/>
          <w:bCs/>
          <w:color w:val="auto"/>
          <w:sz w:val="24"/>
          <w:szCs w:val="24"/>
          <w:highlight w:val="none"/>
        </w:rPr>
        <w:t>个月，</w:t>
      </w:r>
      <w:r>
        <w:rPr>
          <w:rFonts w:hint="eastAsia" w:ascii="宋体" w:hAnsi="宋体" w:cs="宋体"/>
          <w:b w:val="0"/>
          <w:bCs/>
          <w:color w:val="auto"/>
          <w:sz w:val="24"/>
          <w:szCs w:val="24"/>
          <w:highlight w:val="none"/>
          <w:lang w:val="en-US" w:eastAsia="zh-CN"/>
        </w:rPr>
        <w:t>根据使用单位要求分批次供货，</w:t>
      </w:r>
      <w:r>
        <w:rPr>
          <w:rFonts w:hint="eastAsia" w:ascii="宋体" w:hAnsi="宋体"/>
          <w:b w:val="0"/>
          <w:bCs/>
          <w:color w:val="auto"/>
          <w:sz w:val="24"/>
          <w:szCs w:val="24"/>
          <w:highlight w:val="none"/>
        </w:rPr>
        <w:t>接到</w:t>
      </w:r>
      <w:r>
        <w:rPr>
          <w:rFonts w:hint="eastAsia" w:ascii="宋体" w:hAnsi="宋体"/>
          <w:b w:val="0"/>
          <w:bCs/>
          <w:color w:val="auto"/>
          <w:sz w:val="24"/>
          <w:szCs w:val="24"/>
          <w:highlight w:val="none"/>
          <w:lang w:val="en-US" w:eastAsia="zh-CN"/>
        </w:rPr>
        <w:t>使用单位</w:t>
      </w:r>
      <w:r>
        <w:rPr>
          <w:rFonts w:hint="eastAsia" w:ascii="宋体" w:hAnsi="宋体"/>
          <w:b w:val="0"/>
          <w:bCs/>
          <w:color w:val="auto"/>
          <w:sz w:val="24"/>
          <w:szCs w:val="24"/>
          <w:highlight w:val="none"/>
        </w:rPr>
        <w:t>供货</w:t>
      </w:r>
      <w:r>
        <w:rPr>
          <w:rFonts w:hint="eastAsia" w:ascii="宋体" w:hAnsi="宋体"/>
          <w:b w:val="0"/>
          <w:bCs/>
          <w:color w:val="auto"/>
          <w:sz w:val="24"/>
          <w:szCs w:val="24"/>
          <w:highlight w:val="none"/>
          <w:lang w:val="en-US" w:eastAsia="zh-CN"/>
        </w:rPr>
        <w:t>通知</w:t>
      </w:r>
      <w:r>
        <w:rPr>
          <w:rFonts w:hint="eastAsia" w:ascii="宋体" w:hAnsi="宋体"/>
          <w:b w:val="0"/>
          <w:bCs/>
          <w:color w:val="auto"/>
          <w:sz w:val="24"/>
          <w:szCs w:val="24"/>
          <w:highlight w:val="none"/>
        </w:rPr>
        <w:t>的3天内完成</w:t>
      </w:r>
      <w:r>
        <w:rPr>
          <w:rFonts w:hint="eastAsia" w:ascii="宋体" w:hAnsi="宋体"/>
          <w:b w:val="0"/>
          <w:bCs/>
          <w:color w:val="auto"/>
          <w:sz w:val="24"/>
          <w:szCs w:val="24"/>
          <w:highlight w:val="none"/>
          <w:lang w:val="en-US" w:eastAsia="zh-CN"/>
        </w:rPr>
        <w:t>当前批次的</w:t>
      </w:r>
      <w:r>
        <w:rPr>
          <w:rFonts w:hint="eastAsia" w:ascii="宋体" w:hAnsi="宋体"/>
          <w:b w:val="0"/>
          <w:bCs/>
          <w:color w:val="auto"/>
          <w:sz w:val="24"/>
          <w:szCs w:val="24"/>
          <w:highlight w:val="none"/>
        </w:rPr>
        <w:t>供货。应急采购货物需在24小时内完成供货</w:t>
      </w:r>
      <w:r>
        <w:rPr>
          <w:rFonts w:hint="eastAsia" w:ascii="宋体" w:hAnsi="宋体" w:cs="宋体"/>
          <w:b w:val="0"/>
          <w:bCs/>
          <w:color w:val="auto"/>
          <w:sz w:val="24"/>
          <w:szCs w:val="24"/>
          <w:highlight w:val="none"/>
          <w:shd w:val="clear" w:color="auto" w:fill="auto"/>
          <w:lang w:eastAsia="zh-CN"/>
        </w:rPr>
        <w:t>（</w:t>
      </w:r>
      <w:r>
        <w:rPr>
          <w:rFonts w:hint="eastAsia" w:ascii="宋体" w:hAnsi="宋体" w:cs="宋体"/>
          <w:b w:val="0"/>
          <w:bCs/>
          <w:color w:val="auto"/>
          <w:sz w:val="24"/>
          <w:szCs w:val="24"/>
          <w:highlight w:val="none"/>
          <w:shd w:val="clear" w:color="auto" w:fill="auto"/>
          <w:lang w:val="en-US" w:eastAsia="zh-CN"/>
        </w:rPr>
        <w:t>以</w:t>
      </w:r>
      <w:r>
        <w:rPr>
          <w:rFonts w:hint="eastAsia" w:ascii="宋体" w:hAnsi="宋体" w:eastAsia="宋体" w:cs="宋体"/>
          <w:sz w:val="24"/>
          <w:szCs w:val="24"/>
          <w:highlight w:val="none"/>
          <w:shd w:val="clear" w:color="auto" w:fill="auto"/>
          <w:lang w:val="en-US" w:eastAsia="zh-CN"/>
        </w:rPr>
        <w:t>投标承诺为准）</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中</w:t>
      </w:r>
      <w:r>
        <w:rPr>
          <w:rFonts w:hint="eastAsia" w:ascii="宋体" w:hAnsi="宋体"/>
          <w:b w:val="0"/>
          <w:bCs/>
          <w:color w:val="auto"/>
          <w:kern w:val="0"/>
          <w:sz w:val="24"/>
          <w:szCs w:val="24"/>
          <w:highlight w:val="none"/>
        </w:rPr>
        <w:t>标人需服从</w:t>
      </w:r>
      <w:r>
        <w:rPr>
          <w:rFonts w:hint="eastAsia" w:ascii="宋体" w:hAnsi="宋体"/>
          <w:b w:val="0"/>
          <w:bCs/>
          <w:color w:val="auto"/>
          <w:kern w:val="0"/>
          <w:sz w:val="24"/>
          <w:szCs w:val="24"/>
          <w:highlight w:val="none"/>
          <w:lang w:eastAsia="zh-CN"/>
        </w:rPr>
        <w:t>招标人</w:t>
      </w:r>
      <w:r>
        <w:rPr>
          <w:rFonts w:hint="eastAsia" w:ascii="宋体" w:hAnsi="宋体"/>
          <w:b w:val="0"/>
          <w:bCs/>
          <w:color w:val="auto"/>
          <w:kern w:val="0"/>
          <w:sz w:val="24"/>
          <w:szCs w:val="24"/>
          <w:highlight w:val="none"/>
        </w:rPr>
        <w:t>的合理调配供货，不得以采购订单量多少为由拒绝供货或不按规定时间供货。</w:t>
      </w:r>
    </w:p>
    <w:p w14:paraId="53C3D392">
      <w:pPr>
        <w:wordWrap/>
        <w:adjustRightInd w:val="0"/>
        <w:snapToGrid w:val="0"/>
        <w:spacing w:line="360" w:lineRule="auto"/>
        <w:ind w:left="0" w:leftChars="0" w:right="0" w:firstLine="480" w:firstLineChars="200"/>
        <w:textAlignment w:val="auto"/>
        <w:outlineLvl w:val="9"/>
        <w:rPr>
          <w:rFonts w:hint="eastAsia" w:ascii="宋体" w:hAnsi="宋体" w:cs="宋体"/>
          <w:bCs/>
          <w:sz w:val="24"/>
          <w:szCs w:val="24"/>
        </w:rPr>
      </w:pPr>
      <w:r>
        <w:rPr>
          <w:rFonts w:hint="eastAsia" w:ascii="宋体" w:hAnsi="宋体" w:cs="宋体"/>
          <w:bCs/>
          <w:sz w:val="24"/>
          <w:szCs w:val="24"/>
        </w:rPr>
        <w:t>2、地点：</w:t>
      </w:r>
      <w:r>
        <w:rPr>
          <w:rFonts w:hint="eastAsia" w:ascii="宋体" w:hAnsi="宋体" w:cs="宋体"/>
          <w:bCs/>
          <w:sz w:val="24"/>
          <w:szCs w:val="24"/>
          <w:lang w:val="en-US" w:eastAsia="zh-CN"/>
        </w:rPr>
        <w:t>临平区</w:t>
      </w:r>
      <w:r>
        <w:rPr>
          <w:rFonts w:hint="default" w:ascii="宋体" w:hAnsi="宋体" w:cs="宋体"/>
          <w:bCs/>
          <w:sz w:val="24"/>
          <w:szCs w:val="24"/>
          <w:lang w:eastAsia="zh-CN"/>
        </w:rPr>
        <w:t>、余杭区</w:t>
      </w:r>
      <w:r>
        <w:rPr>
          <w:rFonts w:hint="eastAsia" w:ascii="宋体" w:hAnsi="宋体" w:cs="宋体"/>
          <w:bCs/>
          <w:sz w:val="24"/>
          <w:szCs w:val="24"/>
        </w:rPr>
        <w:t>内甲方指定的地点。</w:t>
      </w:r>
    </w:p>
    <w:p w14:paraId="6DBD4838">
      <w:pPr>
        <w:spacing w:line="360" w:lineRule="auto"/>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、货款支付：</w:t>
      </w:r>
    </w:p>
    <w:p w14:paraId="5C380306">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 w:val="0"/>
          <w:bCs/>
          <w:kern w:val="0"/>
          <w:sz w:val="24"/>
          <w:szCs w:val="24"/>
          <w:shd w:val="clear" w:color="auto" w:fill="auto"/>
          <w:lang w:val="en-US" w:eastAsia="zh-CN"/>
        </w:rPr>
      </w:pPr>
      <w:r>
        <w:rPr>
          <w:rFonts w:hint="eastAsia" w:ascii="宋体" w:hAnsi="宋体" w:eastAsia="宋体" w:cs="宋体"/>
          <w:b w:val="0"/>
          <w:bCs/>
          <w:kern w:val="0"/>
          <w:sz w:val="24"/>
          <w:szCs w:val="24"/>
          <w:shd w:val="clear" w:color="auto" w:fill="auto"/>
          <w:lang w:val="en-US" w:eastAsia="zh-CN"/>
        </w:rPr>
        <w:t>1、货到现场后经</w:t>
      </w:r>
      <w:r>
        <w:rPr>
          <w:rFonts w:hint="eastAsia" w:ascii="宋体" w:hAnsi="宋体" w:cs="宋体"/>
          <w:bCs/>
          <w:color w:val="auto"/>
          <w:sz w:val="24"/>
          <w:szCs w:val="24"/>
          <w:highlight w:val="none"/>
          <w:shd w:val="clear" w:color="auto" w:fill="auto"/>
          <w:lang w:val="en-US" w:eastAsia="zh-CN"/>
        </w:rPr>
        <w:t>采购</w:t>
      </w:r>
      <w:r>
        <w:rPr>
          <w:rFonts w:hint="eastAsia" w:ascii="宋体" w:hAnsi="宋体" w:eastAsia="宋体" w:cs="宋体"/>
          <w:b w:val="0"/>
          <w:bCs/>
          <w:kern w:val="0"/>
          <w:sz w:val="24"/>
          <w:szCs w:val="24"/>
          <w:shd w:val="clear" w:color="auto" w:fill="auto"/>
          <w:lang w:val="en-US" w:eastAsia="zh-CN"/>
        </w:rPr>
        <w:t>管理人员验收合格并出具入库手续（开具材料入库单），中标人</w:t>
      </w:r>
      <w:r>
        <w:rPr>
          <w:rFonts w:hint="eastAsia" w:ascii="宋体" w:hAnsi="宋体" w:eastAsia="宋体" w:cs="宋体"/>
          <w:b w:val="0"/>
          <w:bCs/>
          <w:kern w:val="0"/>
          <w:sz w:val="24"/>
          <w:szCs w:val="24"/>
          <w:shd w:val="clear" w:color="auto" w:fill="auto"/>
          <w:lang w:val="zh-CN"/>
        </w:rPr>
        <w:t>凭入库单和发票结算</w:t>
      </w:r>
      <w:r>
        <w:rPr>
          <w:rFonts w:hint="eastAsia" w:ascii="宋体" w:hAnsi="宋体" w:eastAsia="宋体" w:cs="宋体"/>
          <w:b w:val="0"/>
          <w:bCs/>
          <w:kern w:val="0"/>
          <w:sz w:val="24"/>
          <w:szCs w:val="24"/>
          <w:shd w:val="clear" w:color="auto" w:fill="auto"/>
          <w:lang w:val="en-US" w:eastAsia="zh-CN"/>
        </w:rPr>
        <w:t>货款。</w:t>
      </w:r>
    </w:p>
    <w:p w14:paraId="04B6FA4E">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Cs/>
          <w:sz w:val="24"/>
          <w:szCs w:val="24"/>
          <w:shd w:val="clear" w:color="auto" w:fill="auto"/>
        </w:rPr>
      </w:pPr>
      <w:r>
        <w:rPr>
          <w:rFonts w:hint="eastAsia" w:ascii="宋体" w:hAnsi="宋体" w:eastAsia="宋体" w:cs="宋体"/>
          <w:b w:val="0"/>
          <w:bCs/>
          <w:kern w:val="0"/>
          <w:sz w:val="24"/>
          <w:szCs w:val="24"/>
          <w:shd w:val="clear" w:color="auto" w:fill="auto"/>
          <w:lang w:val="en-US" w:eastAsia="zh-CN"/>
        </w:rPr>
        <w:t>2、每次</w:t>
      </w:r>
      <w:r>
        <w:rPr>
          <w:rFonts w:hint="eastAsia" w:ascii="宋体" w:hAnsi="宋体" w:eastAsia="宋体" w:cs="宋体"/>
          <w:b w:val="0"/>
          <w:bCs/>
          <w:kern w:val="0"/>
          <w:sz w:val="24"/>
          <w:szCs w:val="24"/>
          <w:shd w:val="clear" w:color="auto" w:fill="auto"/>
          <w:lang w:val="zh-CN"/>
        </w:rPr>
        <w:t>支付</w:t>
      </w:r>
      <w:r>
        <w:rPr>
          <w:rFonts w:hint="eastAsia" w:ascii="宋体" w:hAnsi="宋体" w:eastAsia="宋体" w:cs="宋体"/>
          <w:b w:val="0"/>
          <w:bCs/>
          <w:kern w:val="0"/>
          <w:sz w:val="24"/>
          <w:szCs w:val="24"/>
          <w:shd w:val="clear" w:color="auto" w:fill="auto"/>
          <w:lang w:val="en-US" w:eastAsia="zh-CN"/>
        </w:rPr>
        <w:t>至当</w:t>
      </w:r>
      <w:r>
        <w:rPr>
          <w:rFonts w:hint="eastAsia" w:ascii="宋体" w:hAnsi="宋体" w:cs="宋体"/>
          <w:b w:val="0"/>
          <w:bCs/>
          <w:kern w:val="0"/>
          <w:sz w:val="24"/>
          <w:szCs w:val="24"/>
          <w:shd w:val="clear" w:color="auto" w:fill="auto"/>
          <w:lang w:val="en-US" w:eastAsia="zh-CN"/>
        </w:rPr>
        <w:t>季度（指连续三个月，下同）</w:t>
      </w:r>
      <w:r>
        <w:rPr>
          <w:rFonts w:hint="eastAsia" w:ascii="宋体" w:hAnsi="宋体" w:eastAsia="宋体" w:cs="宋体"/>
          <w:b w:val="0"/>
          <w:bCs/>
          <w:kern w:val="0"/>
          <w:sz w:val="24"/>
          <w:szCs w:val="24"/>
          <w:shd w:val="clear" w:color="auto" w:fill="auto"/>
          <w:lang w:val="zh-CN"/>
        </w:rPr>
        <w:t>货款的95%，扣留</w:t>
      </w:r>
      <w:r>
        <w:rPr>
          <w:rFonts w:hint="eastAsia" w:ascii="宋体" w:hAnsi="宋体" w:eastAsia="宋体" w:cs="宋体"/>
          <w:b w:val="0"/>
          <w:bCs/>
          <w:kern w:val="0"/>
          <w:sz w:val="24"/>
          <w:szCs w:val="24"/>
          <w:shd w:val="clear" w:color="auto" w:fill="auto"/>
          <w:lang w:val="en-US" w:eastAsia="zh-CN"/>
        </w:rPr>
        <w:t>当</w:t>
      </w:r>
      <w:r>
        <w:rPr>
          <w:rFonts w:hint="eastAsia" w:ascii="宋体" w:hAnsi="宋体" w:cs="宋体"/>
          <w:b w:val="0"/>
          <w:bCs/>
          <w:kern w:val="0"/>
          <w:sz w:val="24"/>
          <w:szCs w:val="24"/>
          <w:shd w:val="clear" w:color="auto" w:fill="auto"/>
          <w:lang w:val="en-US" w:eastAsia="zh-CN"/>
        </w:rPr>
        <w:t>季度</w:t>
      </w:r>
      <w:r>
        <w:rPr>
          <w:rFonts w:hint="eastAsia" w:ascii="宋体" w:hAnsi="宋体" w:eastAsia="宋体" w:cs="宋体"/>
          <w:b w:val="0"/>
          <w:bCs/>
          <w:kern w:val="0"/>
          <w:sz w:val="24"/>
          <w:szCs w:val="24"/>
          <w:shd w:val="clear" w:color="auto" w:fill="auto"/>
          <w:lang w:val="en-US" w:eastAsia="zh-CN"/>
        </w:rPr>
        <w:t>货款</w:t>
      </w:r>
      <w:r>
        <w:rPr>
          <w:rFonts w:hint="eastAsia" w:ascii="宋体" w:hAnsi="宋体" w:eastAsia="宋体" w:cs="宋体"/>
          <w:b w:val="0"/>
          <w:bCs/>
          <w:kern w:val="0"/>
          <w:sz w:val="24"/>
          <w:szCs w:val="24"/>
          <w:shd w:val="clear" w:color="auto" w:fill="auto"/>
          <w:lang w:val="zh-CN"/>
        </w:rPr>
        <w:t>5%</w:t>
      </w:r>
      <w:r>
        <w:rPr>
          <w:rFonts w:hint="eastAsia" w:ascii="宋体" w:hAnsi="宋体" w:eastAsia="宋体" w:cs="宋体"/>
          <w:b w:val="0"/>
          <w:bCs/>
          <w:kern w:val="0"/>
          <w:sz w:val="24"/>
          <w:szCs w:val="24"/>
          <w:shd w:val="clear" w:color="auto" w:fill="auto"/>
          <w:lang w:val="en-US" w:eastAsia="zh-CN"/>
        </w:rPr>
        <w:t>作为</w:t>
      </w:r>
      <w:r>
        <w:rPr>
          <w:rFonts w:hint="eastAsia" w:ascii="宋体" w:hAnsi="宋体" w:eastAsia="宋体" w:cs="宋体"/>
          <w:b w:val="0"/>
          <w:bCs/>
          <w:kern w:val="0"/>
          <w:sz w:val="24"/>
          <w:szCs w:val="24"/>
          <w:shd w:val="clear" w:color="auto" w:fill="auto"/>
          <w:lang w:val="zh-CN"/>
        </w:rPr>
        <w:t>质量保证金 （在每次</w:t>
      </w:r>
      <w:r>
        <w:rPr>
          <w:rFonts w:hint="eastAsia" w:ascii="宋体" w:hAnsi="宋体" w:eastAsia="宋体" w:cs="宋体"/>
          <w:b w:val="0"/>
          <w:bCs/>
          <w:kern w:val="0"/>
          <w:sz w:val="24"/>
          <w:szCs w:val="24"/>
          <w:shd w:val="clear" w:color="auto" w:fill="auto"/>
          <w:lang w:val="en-US" w:eastAsia="zh-CN"/>
        </w:rPr>
        <w:t>结算时</w:t>
      </w:r>
      <w:r>
        <w:rPr>
          <w:rFonts w:hint="eastAsia" w:ascii="宋体" w:hAnsi="宋体" w:eastAsia="宋体" w:cs="宋体"/>
          <w:b w:val="0"/>
          <w:bCs/>
          <w:kern w:val="0"/>
          <w:sz w:val="24"/>
          <w:szCs w:val="24"/>
          <w:shd w:val="clear" w:color="auto" w:fill="auto"/>
          <w:lang w:val="zh-CN"/>
        </w:rPr>
        <w:t xml:space="preserve">提留，不计息）, </w:t>
      </w:r>
      <w:r>
        <w:rPr>
          <w:rFonts w:hint="eastAsia" w:ascii="宋体" w:hAnsi="宋体" w:eastAsia="宋体" w:cs="宋体"/>
          <w:b w:val="0"/>
          <w:bCs/>
          <w:kern w:val="0"/>
          <w:sz w:val="24"/>
          <w:szCs w:val="24"/>
          <w:shd w:val="clear" w:color="auto" w:fill="auto"/>
          <w:lang w:val="en-US" w:eastAsia="zh-CN"/>
        </w:rPr>
        <w:t>合同履行期间若无质量问题，</w:t>
      </w:r>
      <w:r>
        <w:rPr>
          <w:rFonts w:hint="eastAsia" w:ascii="宋体" w:hAnsi="宋体" w:eastAsia="宋体" w:cs="宋体"/>
          <w:bCs/>
          <w:sz w:val="24"/>
          <w:szCs w:val="24"/>
          <w:shd w:val="clear" w:color="auto" w:fill="auto"/>
        </w:rPr>
        <w:t>则</w:t>
      </w:r>
      <w:r>
        <w:rPr>
          <w:rFonts w:hint="eastAsia" w:ascii="宋体" w:hAnsi="宋体" w:eastAsia="宋体" w:cs="宋体"/>
          <w:bCs/>
          <w:sz w:val="24"/>
          <w:szCs w:val="24"/>
          <w:shd w:val="clear" w:color="auto" w:fill="auto"/>
          <w:lang w:val="en-US" w:eastAsia="zh-CN"/>
        </w:rPr>
        <w:t>供货有效期结束后6个月支</w:t>
      </w:r>
      <w:r>
        <w:rPr>
          <w:rFonts w:hint="eastAsia" w:ascii="宋体" w:hAnsi="宋体" w:eastAsia="宋体" w:cs="宋体"/>
          <w:bCs/>
          <w:sz w:val="24"/>
          <w:szCs w:val="24"/>
          <w:shd w:val="clear" w:color="auto" w:fill="auto"/>
        </w:rPr>
        <w:t>付</w:t>
      </w:r>
      <w:r>
        <w:rPr>
          <w:rFonts w:hint="eastAsia" w:ascii="宋体" w:hAnsi="宋体" w:eastAsia="宋体" w:cs="宋体"/>
          <w:bCs/>
          <w:sz w:val="24"/>
          <w:szCs w:val="24"/>
          <w:shd w:val="clear" w:color="auto" w:fill="auto"/>
          <w:lang w:val="en-US" w:eastAsia="zh-CN"/>
        </w:rPr>
        <w:t>统一支付</w:t>
      </w:r>
      <w:r>
        <w:rPr>
          <w:rFonts w:hint="eastAsia" w:ascii="宋体" w:hAnsi="宋体" w:eastAsia="宋体" w:cs="宋体"/>
          <w:bCs/>
          <w:sz w:val="24"/>
          <w:szCs w:val="24"/>
          <w:shd w:val="clear" w:color="auto" w:fill="auto"/>
        </w:rPr>
        <w:t>质量保证金。</w:t>
      </w:r>
    </w:p>
    <w:p w14:paraId="5913807C">
      <w:pPr>
        <w:adjustRightInd w:val="0"/>
        <w:snapToGrid w:val="0"/>
        <w:spacing w:line="360" w:lineRule="auto"/>
        <w:rPr>
          <w:rFonts w:hint="eastAsia" w:ascii="宋体" w:hAnsi="宋体" w:cs="宋体"/>
          <w:b/>
          <w:bCs/>
          <w:sz w:val="24"/>
          <w:szCs w:val="24"/>
        </w:rPr>
      </w:pPr>
      <w:r>
        <w:rPr>
          <w:rFonts w:hint="eastAsia" w:ascii="宋体" w:hAnsi="宋体" w:cs="宋体"/>
          <w:b/>
          <w:kern w:val="0"/>
          <w:sz w:val="24"/>
          <w:lang w:val="zh-CN"/>
        </w:rPr>
        <w:t>●</w:t>
      </w:r>
      <w:r>
        <w:rPr>
          <w:rFonts w:hint="eastAsia" w:ascii="宋体" w:hAnsi="宋体" w:cs="宋体"/>
          <w:b/>
          <w:kern w:val="0"/>
          <w:sz w:val="24"/>
          <w:lang w:val="en-US" w:eastAsia="zh-CN"/>
        </w:rPr>
        <w:t>六</w:t>
      </w:r>
      <w:r>
        <w:rPr>
          <w:rFonts w:hint="eastAsia" w:ascii="宋体" w:hAnsi="宋体" w:cs="宋体"/>
          <w:b/>
          <w:bCs/>
          <w:sz w:val="24"/>
          <w:szCs w:val="24"/>
        </w:rPr>
        <w:t>、质量保证及售后服务</w:t>
      </w:r>
    </w:p>
    <w:p w14:paraId="54C7A2A3">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1、</w:t>
      </w:r>
      <w:r>
        <w:rPr>
          <w:rFonts w:hint="eastAsia" w:ascii="宋体" w:hAnsi="宋体" w:eastAsia="宋体" w:cs="宋体"/>
          <w:sz w:val="24"/>
          <w:szCs w:val="24"/>
          <w:shd w:val="clear" w:color="auto" w:fill="auto"/>
        </w:rPr>
        <w:t>中标单位</w:t>
      </w:r>
      <w:r>
        <w:rPr>
          <w:rFonts w:hint="eastAsia" w:ascii="宋体" w:hAnsi="宋体" w:eastAsia="宋体" w:cs="宋体"/>
          <w:bCs/>
          <w:sz w:val="24"/>
          <w:szCs w:val="24"/>
          <w:shd w:val="clear" w:color="auto" w:fill="auto"/>
        </w:rPr>
        <w:t>应严格按照招标文件的要求确保合同货物</w:t>
      </w:r>
      <w:r>
        <w:rPr>
          <w:rFonts w:hint="eastAsia" w:ascii="宋体" w:hAnsi="宋体" w:eastAsia="宋体" w:cs="宋体"/>
          <w:bCs/>
          <w:sz w:val="24"/>
          <w:szCs w:val="24"/>
          <w:shd w:val="clear" w:color="auto" w:fill="auto"/>
          <w:lang w:val="en-US" w:eastAsia="zh-CN"/>
        </w:rPr>
        <w:t>的</w:t>
      </w:r>
      <w:r>
        <w:rPr>
          <w:rFonts w:hint="eastAsia" w:ascii="宋体" w:hAnsi="宋体" w:eastAsia="宋体" w:cs="宋体"/>
          <w:bCs/>
          <w:sz w:val="24"/>
          <w:szCs w:val="24"/>
          <w:shd w:val="clear" w:color="auto" w:fill="auto"/>
        </w:rPr>
        <w:t>质量、规格及技术特征。</w:t>
      </w:r>
    </w:p>
    <w:p w14:paraId="67C672BB">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2、</w:t>
      </w:r>
      <w:r>
        <w:rPr>
          <w:rFonts w:hint="eastAsia" w:ascii="宋体" w:hAnsi="宋体" w:eastAsia="宋体" w:cs="宋体"/>
          <w:bCs/>
          <w:sz w:val="24"/>
          <w:szCs w:val="24"/>
          <w:shd w:val="clear" w:color="auto" w:fill="auto"/>
          <w:lang w:val="en-US" w:eastAsia="zh-CN"/>
        </w:rPr>
        <w:t>当水质出现异常时，乙方在接到甲方电话或书面通知后24h内派技术人员到现场进行跟踪服务，并免费提供技术</w:t>
      </w:r>
      <w:r>
        <w:rPr>
          <w:rFonts w:hint="eastAsia" w:ascii="宋体" w:hAnsi="宋体" w:cs="宋体"/>
          <w:bCs/>
          <w:sz w:val="24"/>
          <w:szCs w:val="24"/>
          <w:shd w:val="clear" w:color="auto" w:fill="auto"/>
          <w:lang w:val="en-US" w:eastAsia="zh-CN"/>
        </w:rPr>
        <w:t>支持。</w:t>
      </w:r>
    </w:p>
    <w:p w14:paraId="2ED9E3B6">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rPr>
        <w:t>3、如因</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使用不当和保管不善造成的问题，中标单位应配合解决，但费用由</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承担。</w:t>
      </w:r>
    </w:p>
    <w:p w14:paraId="14DFD8C0">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lang w:val="en-US" w:eastAsia="zh-CN"/>
        </w:rPr>
      </w:pPr>
      <w:r>
        <w:rPr>
          <w:rFonts w:hint="eastAsia" w:ascii="宋体" w:hAnsi="宋体" w:eastAsia="宋体" w:cs="宋体"/>
          <w:bCs/>
          <w:sz w:val="24"/>
          <w:szCs w:val="24"/>
          <w:shd w:val="clear" w:color="auto" w:fill="auto"/>
        </w:rPr>
        <w:t>4、所购药剂</w:t>
      </w:r>
      <w:r>
        <w:rPr>
          <w:rFonts w:hint="eastAsia" w:ascii="宋体" w:hAnsi="宋体" w:cs="宋体"/>
          <w:bCs/>
          <w:sz w:val="24"/>
          <w:szCs w:val="24"/>
          <w:shd w:val="clear" w:color="auto" w:fill="auto"/>
          <w:lang w:val="en-US" w:eastAsia="zh-CN"/>
        </w:rPr>
        <w:t>保质期为1</w:t>
      </w:r>
      <w:r>
        <w:rPr>
          <w:rFonts w:hint="eastAsia" w:ascii="宋体" w:hAnsi="宋体" w:eastAsia="宋体" w:cs="宋体"/>
          <w:bCs/>
          <w:sz w:val="24"/>
          <w:szCs w:val="24"/>
          <w:shd w:val="clear" w:color="auto" w:fill="auto"/>
          <w:lang w:val="en-US" w:eastAsia="zh-CN"/>
        </w:rPr>
        <w:t>年，自货物签收后计算。</w:t>
      </w:r>
    </w:p>
    <w:p w14:paraId="25F14D6A">
      <w:pPr>
        <w:shd w:val="clear" w:color="auto" w:fill="auto"/>
        <w:adjustRightInd w:val="0"/>
        <w:snapToGrid w:val="0"/>
        <w:spacing w:beforeLines="0" w:afterLines="0" w:line="360" w:lineRule="auto"/>
        <w:ind w:firstLine="480" w:firstLineChars="200"/>
        <w:rPr>
          <w:rFonts w:hint="eastAsia" w:ascii="宋体" w:hAnsi="宋体" w:eastAsia="宋体" w:cs="宋体"/>
          <w:bCs/>
          <w:sz w:val="24"/>
          <w:szCs w:val="24"/>
          <w:shd w:val="clear" w:color="auto" w:fill="auto"/>
        </w:rPr>
      </w:pPr>
      <w:r>
        <w:rPr>
          <w:rFonts w:hint="eastAsia" w:ascii="宋体" w:hAnsi="宋体" w:eastAsia="宋体" w:cs="宋体"/>
          <w:bCs/>
          <w:sz w:val="24"/>
          <w:szCs w:val="24"/>
          <w:shd w:val="clear" w:color="auto" w:fill="auto"/>
          <w:lang w:val="en-US" w:eastAsia="zh-CN"/>
        </w:rPr>
        <w:t>5</w:t>
      </w:r>
      <w:r>
        <w:rPr>
          <w:rFonts w:hint="eastAsia" w:ascii="宋体" w:hAnsi="宋体" w:eastAsia="宋体" w:cs="宋体"/>
          <w:bCs/>
          <w:sz w:val="24"/>
          <w:szCs w:val="24"/>
          <w:shd w:val="clear" w:color="auto" w:fill="auto"/>
        </w:rPr>
        <w:t>、</w:t>
      </w:r>
      <w:r>
        <w:rPr>
          <w:rFonts w:hint="eastAsia" w:ascii="宋体" w:hAnsi="宋体" w:eastAsia="宋体" w:cs="宋体"/>
          <w:sz w:val="24"/>
          <w:szCs w:val="24"/>
          <w:shd w:val="clear" w:color="auto" w:fill="auto"/>
        </w:rPr>
        <w:t>中标</w:t>
      </w:r>
      <w:r>
        <w:rPr>
          <w:rFonts w:hint="eastAsia" w:ascii="宋体" w:hAnsi="宋体" w:eastAsia="宋体" w:cs="宋体"/>
          <w:sz w:val="24"/>
          <w:szCs w:val="24"/>
          <w:shd w:val="clear" w:color="auto" w:fill="auto"/>
          <w:lang w:val="en-US" w:eastAsia="zh-CN"/>
        </w:rPr>
        <w:t>人应</w:t>
      </w:r>
      <w:r>
        <w:rPr>
          <w:rFonts w:hint="eastAsia" w:ascii="宋体" w:hAnsi="宋体" w:eastAsia="宋体" w:cs="宋体"/>
          <w:bCs/>
          <w:sz w:val="24"/>
          <w:szCs w:val="24"/>
          <w:shd w:val="clear" w:color="auto" w:fill="auto"/>
        </w:rPr>
        <w:t>为</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bCs/>
          <w:sz w:val="24"/>
          <w:szCs w:val="24"/>
          <w:shd w:val="clear" w:color="auto" w:fill="auto"/>
        </w:rPr>
        <w:t>提供技术培训，主要内容为药剂的基本特性、</w:t>
      </w:r>
      <w:r>
        <w:rPr>
          <w:rFonts w:hint="eastAsia" w:ascii="宋体" w:hAnsi="宋体" w:eastAsia="宋体" w:cs="宋体"/>
          <w:bCs/>
          <w:sz w:val="24"/>
          <w:szCs w:val="24"/>
          <w:shd w:val="clear" w:color="auto" w:fill="auto"/>
          <w:lang w:eastAsia="zh-CN"/>
        </w:rPr>
        <w:t>使用</w:t>
      </w:r>
      <w:r>
        <w:rPr>
          <w:rFonts w:hint="eastAsia" w:ascii="宋体" w:hAnsi="宋体" w:eastAsia="宋体" w:cs="宋体"/>
          <w:bCs/>
          <w:sz w:val="24"/>
          <w:szCs w:val="24"/>
          <w:shd w:val="clear" w:color="auto" w:fill="auto"/>
          <w:lang w:val="en-US" w:eastAsia="zh-CN"/>
        </w:rPr>
        <w:t>方</w:t>
      </w:r>
      <w:r>
        <w:rPr>
          <w:rFonts w:hint="eastAsia" w:ascii="宋体" w:hAnsi="宋体" w:eastAsia="宋体" w:cs="宋体"/>
          <w:bCs/>
          <w:sz w:val="24"/>
          <w:szCs w:val="24"/>
          <w:shd w:val="clear" w:color="auto" w:fill="auto"/>
        </w:rPr>
        <w:t>法、常见问题和紧急情况的处理等，培训地点双方协调安排。</w:t>
      </w:r>
    </w:p>
    <w:p w14:paraId="6FC741AC">
      <w:pPr>
        <w:pStyle w:val="40"/>
        <w:snapToGrid/>
        <w:spacing w:before="0" w:beforeLines="0" w:line="360" w:lineRule="auto"/>
        <w:ind w:firstLine="0" w:firstLineChars="0"/>
        <w:jc w:val="left"/>
        <w:outlineLvl w:val="2"/>
        <w:rPr>
          <w:rFonts w:hint="eastAsia" w:ascii="宋体" w:hAnsi="宋体" w:cs="宋体"/>
          <w:b/>
          <w:sz w:val="24"/>
          <w:szCs w:val="24"/>
        </w:rPr>
      </w:pPr>
      <w:r>
        <w:rPr>
          <w:rFonts w:hint="eastAsia" w:ascii="宋体" w:hAnsi="宋体" w:cs="宋体"/>
          <w:b/>
          <w:sz w:val="24"/>
          <w:szCs w:val="24"/>
          <w:lang w:val="zh-CN"/>
        </w:rPr>
        <w:t>●</w:t>
      </w:r>
      <w:r>
        <w:rPr>
          <w:rFonts w:hint="eastAsia" w:ascii="宋体" w:hAnsi="宋体" w:cs="宋体"/>
          <w:b/>
          <w:sz w:val="24"/>
          <w:szCs w:val="24"/>
          <w:lang w:val="en-US" w:eastAsia="zh-CN"/>
        </w:rPr>
        <w:t>七</w:t>
      </w:r>
      <w:r>
        <w:rPr>
          <w:rFonts w:hint="eastAsia" w:ascii="宋体" w:hAnsi="宋体" w:cs="宋体"/>
          <w:b/>
          <w:sz w:val="24"/>
          <w:szCs w:val="24"/>
        </w:rPr>
        <w:t>、验收要求</w:t>
      </w:r>
    </w:p>
    <w:p w14:paraId="534EC370">
      <w:pPr>
        <w:shd w:val="clear" w:color="auto" w:fill="auto"/>
        <w:adjustRightInd w:val="0"/>
        <w:snapToGrid/>
        <w:spacing w:beforeLines="0" w:afterLines="0"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1、</w:t>
      </w:r>
      <w:r>
        <w:rPr>
          <w:rFonts w:hint="eastAsia" w:ascii="宋体" w:hAnsi="宋体" w:eastAsia="宋体" w:cs="Times New Roman"/>
          <w:sz w:val="24"/>
          <w:szCs w:val="24"/>
          <w:highlight w:val="none"/>
          <w:shd w:val="clear" w:color="auto" w:fill="auto"/>
          <w:lang w:val="en-US" w:eastAsia="zh-CN"/>
        </w:rPr>
        <w:t>中标人应随同每个运输批次的药剂附一份发货清单、产品合格证书及出厂检验报告、出厂过磅单等必要文件。</w:t>
      </w:r>
      <w:r>
        <w:rPr>
          <w:rFonts w:hint="eastAsia" w:ascii="宋体" w:hAnsi="宋体"/>
          <w:color w:val="auto"/>
          <w:kern w:val="0"/>
          <w:sz w:val="24"/>
          <w:szCs w:val="24"/>
          <w:highlight w:val="none"/>
          <w:shd w:val="clear" w:color="auto" w:fill="auto"/>
        </w:rPr>
        <w:t>该证明材料仅作为交货时双方进行交货现场检验的参考</w:t>
      </w:r>
      <w:r>
        <w:rPr>
          <w:rFonts w:hint="eastAsia" w:ascii="宋体" w:hAnsi="宋体"/>
          <w:sz w:val="24"/>
          <w:szCs w:val="24"/>
          <w:highlight w:val="none"/>
          <w:shd w:val="clear" w:color="auto" w:fill="auto"/>
          <w:lang w:val="en-US" w:eastAsia="zh-CN"/>
        </w:rPr>
        <w:t>，药剂进场仍要严格执行采购方《药剂入库及使用管理制度》，对药剂进行称重、抽检等，药剂实际供货数量和产品质量以采购方过磅数据和质量抽检结果为准。</w:t>
      </w:r>
      <w:r>
        <w:rPr>
          <w:rFonts w:hint="eastAsia" w:ascii="宋体" w:hAnsi="宋体"/>
          <w:color w:val="auto"/>
          <w:kern w:val="0"/>
          <w:sz w:val="24"/>
          <w:szCs w:val="24"/>
          <w:highlight w:val="none"/>
          <w:shd w:val="clear" w:color="auto" w:fill="auto"/>
        </w:rPr>
        <w:t>若中标人供货时不能出具该批次所供货物的检验证明材料，</w:t>
      </w:r>
      <w:r>
        <w:rPr>
          <w:rFonts w:hint="eastAsia" w:ascii="宋体" w:hAnsi="宋体"/>
          <w:color w:val="auto"/>
          <w:kern w:val="0"/>
          <w:sz w:val="24"/>
          <w:szCs w:val="24"/>
          <w:highlight w:val="none"/>
          <w:shd w:val="clear" w:color="auto" w:fill="auto"/>
          <w:lang w:val="en-US" w:eastAsia="zh-CN"/>
        </w:rPr>
        <w:t>采购方</w:t>
      </w:r>
      <w:r>
        <w:rPr>
          <w:rFonts w:hint="eastAsia" w:ascii="宋体" w:hAnsi="宋体"/>
          <w:color w:val="auto"/>
          <w:kern w:val="0"/>
          <w:sz w:val="24"/>
          <w:szCs w:val="24"/>
          <w:highlight w:val="none"/>
          <w:shd w:val="clear" w:color="auto" w:fill="auto"/>
        </w:rPr>
        <w:t>有权拒绝该批次所供货物的签收，并有权要求中标人无条件退货并更换该批次所供货物，由此给</w:t>
      </w:r>
      <w:r>
        <w:rPr>
          <w:rFonts w:hint="eastAsia" w:ascii="宋体" w:hAnsi="宋体"/>
          <w:color w:val="auto"/>
          <w:kern w:val="0"/>
          <w:sz w:val="24"/>
          <w:szCs w:val="24"/>
          <w:highlight w:val="none"/>
          <w:shd w:val="clear" w:color="auto" w:fill="auto"/>
          <w:lang w:val="en-US" w:eastAsia="zh-CN"/>
        </w:rPr>
        <w:t>采购方</w:t>
      </w:r>
      <w:r>
        <w:rPr>
          <w:rFonts w:hint="eastAsia" w:ascii="宋体" w:hAnsi="宋体"/>
          <w:color w:val="auto"/>
          <w:kern w:val="0"/>
          <w:sz w:val="24"/>
          <w:szCs w:val="24"/>
          <w:highlight w:val="none"/>
          <w:shd w:val="clear" w:color="auto" w:fill="auto"/>
        </w:rPr>
        <w:t>所造成的一切经济损失由中标人承担</w:t>
      </w:r>
      <w:r>
        <w:rPr>
          <w:rFonts w:hint="eastAsia" w:ascii="宋体" w:hAnsi="宋体"/>
          <w:color w:val="auto"/>
          <w:kern w:val="0"/>
          <w:sz w:val="24"/>
          <w:szCs w:val="24"/>
          <w:highlight w:val="none"/>
          <w:shd w:val="clear" w:color="auto" w:fill="auto"/>
          <w:lang w:eastAsia="zh-CN"/>
        </w:rPr>
        <w:t>。</w:t>
      </w:r>
    </w:p>
    <w:p w14:paraId="648DFEA4">
      <w:pPr>
        <w:shd w:val="clear" w:color="auto" w:fill="auto"/>
        <w:spacing w:beforeLines="0" w:afterLines="0" w:line="360" w:lineRule="auto"/>
        <w:ind w:firstLine="480" w:firstLineChars="200"/>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采购人</w:t>
      </w:r>
      <w:r>
        <w:rPr>
          <w:rFonts w:hint="eastAsia" w:ascii="宋体" w:hAnsi="宋体" w:eastAsia="宋体" w:cs="宋体"/>
          <w:sz w:val="24"/>
          <w:szCs w:val="24"/>
          <w:highlight w:val="none"/>
          <w:shd w:val="clear" w:color="auto" w:fill="auto"/>
          <w:lang w:val="en-US" w:eastAsia="zh-CN"/>
        </w:rPr>
        <w:t>将定期或不定期的对每批产品采取内部检测或委托第三方检测，中标人对检验结果有异议的，以双方认可或共同选择的省级及以上</w:t>
      </w:r>
      <w:r>
        <w:rPr>
          <w:rFonts w:hint="eastAsia" w:ascii="宋体" w:hAnsi="宋体" w:cs="宋体"/>
          <w:sz w:val="24"/>
          <w:szCs w:val="24"/>
          <w:highlight w:val="none"/>
          <w:shd w:val="clear" w:color="auto" w:fill="auto"/>
          <w:lang w:val="en-US" w:eastAsia="zh-CN"/>
        </w:rPr>
        <w:t>第三方检测单位</w:t>
      </w:r>
      <w:r>
        <w:rPr>
          <w:rFonts w:hint="eastAsia" w:ascii="宋体" w:hAnsi="宋体" w:eastAsia="宋体" w:cs="宋体"/>
          <w:sz w:val="24"/>
          <w:szCs w:val="24"/>
          <w:highlight w:val="none"/>
          <w:shd w:val="clear" w:color="auto" w:fill="auto"/>
          <w:lang w:val="en-US" w:eastAsia="zh-CN"/>
        </w:rPr>
        <w:t>检测结果为准。如检测结果不能满足技术规格的要求，</w:t>
      </w:r>
      <w:r>
        <w:rPr>
          <w:rFonts w:hint="eastAsia" w:ascii="宋体" w:hAnsi="宋体" w:cs="宋体"/>
          <w:color w:val="auto"/>
          <w:sz w:val="24"/>
          <w:szCs w:val="24"/>
          <w:highlight w:val="none"/>
          <w:shd w:val="clear" w:color="auto" w:fill="auto"/>
          <w:lang w:val="en-US" w:eastAsia="zh-CN"/>
        </w:rPr>
        <w:t>采购人</w:t>
      </w:r>
      <w:r>
        <w:rPr>
          <w:rFonts w:hint="eastAsia" w:ascii="宋体" w:hAnsi="宋体" w:eastAsia="宋体" w:cs="宋体"/>
          <w:sz w:val="24"/>
          <w:szCs w:val="24"/>
          <w:highlight w:val="none"/>
          <w:shd w:val="clear" w:color="auto" w:fill="auto"/>
          <w:lang w:val="en-US" w:eastAsia="zh-CN"/>
        </w:rPr>
        <w:t>可以拒绝接受该物资，并按合同样本第7条进行处罚。中标人应更换被拒绝的物资，并承担该部分检验费用以及因此造成延迟交货给</w:t>
      </w:r>
      <w:r>
        <w:rPr>
          <w:rFonts w:hint="eastAsia" w:ascii="宋体" w:hAnsi="宋体" w:cs="宋体"/>
          <w:color w:val="auto"/>
          <w:sz w:val="24"/>
          <w:szCs w:val="24"/>
          <w:highlight w:val="none"/>
          <w:shd w:val="clear" w:color="auto" w:fill="auto"/>
          <w:lang w:val="en-US" w:eastAsia="zh-CN"/>
        </w:rPr>
        <w:t>招标人</w:t>
      </w:r>
      <w:r>
        <w:rPr>
          <w:rFonts w:hint="eastAsia" w:ascii="宋体" w:hAnsi="宋体" w:eastAsia="宋体" w:cs="宋体"/>
          <w:sz w:val="24"/>
          <w:szCs w:val="24"/>
          <w:highlight w:val="none"/>
          <w:shd w:val="clear" w:color="auto" w:fill="auto"/>
          <w:lang w:val="en-US" w:eastAsia="zh-CN"/>
        </w:rPr>
        <w:t>造成的损失及承担的违约责任。</w:t>
      </w:r>
    </w:p>
    <w:p w14:paraId="3071B837">
      <w:pPr>
        <w:widowControl/>
        <w:spacing w:line="360" w:lineRule="auto"/>
        <w:ind w:firstLine="720" w:firstLineChars="300"/>
        <w:jc w:val="left"/>
        <w:rPr>
          <w:rFonts w:ascii="宋体" w:hAnsi="宋体" w:cs="宋体"/>
          <w:bCs/>
          <w:sz w:val="24"/>
        </w:rPr>
      </w:pPr>
    </w:p>
    <w:p w14:paraId="2A9B0477">
      <w:pPr>
        <w:spacing w:line="360" w:lineRule="auto"/>
        <w:rPr>
          <w:rFonts w:ascii="宋体" w:hAnsi="宋体" w:cs="宋体"/>
          <w:snapToGrid w:val="0"/>
          <w:kern w:val="0"/>
          <w:sz w:val="24"/>
        </w:rPr>
      </w:pPr>
    </w:p>
    <w:p w14:paraId="5CF2FE84">
      <w:pPr>
        <w:pStyle w:val="27"/>
        <w:spacing w:line="360" w:lineRule="auto"/>
        <w:ind w:firstLine="422"/>
        <w:rPr>
          <w:rFonts w:ascii="宋体" w:hAnsi="宋体" w:cs="宋体"/>
          <w:b/>
          <w:bCs/>
          <w:szCs w:val="24"/>
        </w:rPr>
      </w:pPr>
    </w:p>
    <w:p w14:paraId="23341A3D">
      <w:pPr>
        <w:pStyle w:val="27"/>
        <w:spacing w:line="360" w:lineRule="auto"/>
        <w:ind w:left="0" w:leftChars="0" w:firstLine="0" w:firstLineChars="0"/>
        <w:rPr>
          <w:rFonts w:ascii="宋体" w:hAnsi="宋体" w:cs="宋体"/>
          <w:b/>
          <w:bCs/>
          <w:szCs w:val="24"/>
        </w:rPr>
      </w:pPr>
    </w:p>
    <w:p w14:paraId="2AD2A5B5">
      <w:pPr>
        <w:pStyle w:val="2"/>
        <w:spacing w:line="360" w:lineRule="auto"/>
        <w:jc w:val="center"/>
        <w:rPr>
          <w:sz w:val="24"/>
          <w:szCs w:val="24"/>
        </w:rPr>
      </w:pPr>
      <w:bookmarkStart w:id="9" w:name="_Toc118113117"/>
      <w:r>
        <w:rPr>
          <w:rFonts w:hint="eastAsia"/>
        </w:rPr>
        <w:t>第四部分 合同样本</w:t>
      </w:r>
      <w:bookmarkEnd w:id="5"/>
      <w:bookmarkEnd w:id="9"/>
      <w:bookmarkStart w:id="10" w:name="_Toc328381300"/>
      <w:bookmarkStart w:id="11" w:name="_Toc349721554"/>
      <w:bookmarkStart w:id="12" w:name="_Toc339872468"/>
      <w:bookmarkStart w:id="13" w:name="_Toc350327365"/>
      <w:bookmarkStart w:id="14" w:name="_Toc326765771"/>
    </w:p>
    <w:p w14:paraId="06C4DC23">
      <w:pPr>
        <w:spacing w:line="360" w:lineRule="auto"/>
        <w:rPr>
          <w:rFonts w:ascii="宋体" w:hAnsi="宋体"/>
          <w:sz w:val="24"/>
          <w:szCs w:val="24"/>
        </w:rPr>
      </w:pPr>
    </w:p>
    <w:p w14:paraId="6DDE3079">
      <w:pPr>
        <w:pStyle w:val="13"/>
        <w:wordWrap w:val="0"/>
        <w:snapToGrid w:val="0"/>
        <w:spacing w:beforeLines="50" w:afterLines="50" w:line="360" w:lineRule="auto"/>
        <w:jc w:val="right"/>
        <w:rPr>
          <w:rFonts w:hAnsi="宋体" w:cs="宋体"/>
          <w:b w:val="0"/>
          <w:sz w:val="28"/>
          <w:szCs w:val="28"/>
        </w:rPr>
      </w:pPr>
      <w:r>
        <w:rPr>
          <w:rFonts w:hint="eastAsia" w:hAnsi="宋体" w:cs="宋体"/>
          <w:sz w:val="24"/>
          <w:szCs w:val="24"/>
        </w:rPr>
        <w:t xml:space="preserve">               合同编号： </w:t>
      </w:r>
    </w:p>
    <w:p w14:paraId="4F8E324F">
      <w:pPr>
        <w:pStyle w:val="13"/>
        <w:snapToGrid w:val="0"/>
        <w:spacing w:line="360" w:lineRule="auto"/>
        <w:rPr>
          <w:rFonts w:hAnsi="宋体" w:eastAsia="宋体" w:cs="宋体"/>
          <w:sz w:val="24"/>
          <w:szCs w:val="24"/>
        </w:rPr>
      </w:pPr>
      <w:r>
        <w:rPr>
          <w:rFonts w:hint="eastAsia" w:hAnsi="宋体" w:cs="宋体"/>
          <w:sz w:val="24"/>
          <w:szCs w:val="24"/>
        </w:rPr>
        <w:t>甲方：（买方）</w:t>
      </w:r>
    </w:p>
    <w:p w14:paraId="333AD194">
      <w:pPr>
        <w:pStyle w:val="13"/>
        <w:snapToGrid w:val="0"/>
        <w:spacing w:line="360" w:lineRule="auto"/>
        <w:rPr>
          <w:rFonts w:hAnsi="宋体"/>
          <w:sz w:val="24"/>
          <w:szCs w:val="24"/>
        </w:rPr>
      </w:pPr>
      <w:r>
        <w:rPr>
          <w:rFonts w:hint="eastAsia" w:hAnsi="宋体" w:cs="宋体"/>
          <w:sz w:val="24"/>
          <w:szCs w:val="24"/>
        </w:rPr>
        <w:t>乙方：（卖方）</w:t>
      </w:r>
    </w:p>
    <w:p w14:paraId="7CA56B42">
      <w:pPr>
        <w:snapToGrid/>
        <w:spacing w:line="360" w:lineRule="auto"/>
        <w:ind w:firstLine="480" w:firstLineChars="200"/>
        <w:rPr>
          <w:rFonts w:hint="eastAsia" w:ascii="宋体" w:hAnsi="宋体"/>
          <w:sz w:val="24"/>
          <w:szCs w:val="24"/>
        </w:rPr>
      </w:pPr>
      <w:r>
        <w:rPr>
          <w:rFonts w:hint="eastAsia" w:ascii="宋体" w:hAnsi="宋体"/>
          <w:sz w:val="24"/>
          <w:szCs w:val="24"/>
        </w:rPr>
        <w:t>甲方就</w:t>
      </w:r>
      <w:r>
        <w:rPr>
          <w:rFonts w:hint="eastAsia" w:ascii="宋体" w:hAnsi="宋体"/>
          <w:sz w:val="24"/>
          <w:szCs w:val="24"/>
          <w:lang w:val="en-US" w:eastAsia="zh-CN"/>
        </w:rPr>
        <w:t>2025年杭州嘉澍新材科技有限公司</w:t>
      </w:r>
      <w:r>
        <w:rPr>
          <w:rFonts w:hint="eastAsia" w:ascii="宋体" w:hAnsi="宋体"/>
          <w:sz w:val="24"/>
          <w:szCs w:val="24"/>
        </w:rPr>
        <w:t>食品级氢氧化钠溶液采购项目（       ）</w:t>
      </w:r>
      <w:r>
        <w:rPr>
          <w:rFonts w:hint="eastAsia" w:ascii="宋体" w:hAnsi="宋体"/>
          <w:sz w:val="24"/>
          <w:szCs w:val="24"/>
          <w:lang w:val="en-US" w:eastAsia="zh-CN"/>
        </w:rPr>
        <w:t>委托招标</w:t>
      </w:r>
      <w:r>
        <w:rPr>
          <w:rFonts w:hint="eastAsia" w:ascii="宋体" w:hAnsi="宋体"/>
          <w:sz w:val="24"/>
          <w:szCs w:val="24"/>
        </w:rPr>
        <w:t>，</w:t>
      </w:r>
      <w:r>
        <w:rPr>
          <w:rFonts w:hint="eastAsia" w:ascii="宋体" w:hAnsi="宋体"/>
          <w:sz w:val="24"/>
          <w:szCs w:val="24"/>
          <w:lang w:val="en-US" w:eastAsia="zh-CN"/>
        </w:rPr>
        <w:t>确定乙方为中标方，现根据招投标结果，并经</w:t>
      </w:r>
      <w:r>
        <w:rPr>
          <w:rFonts w:hint="eastAsia" w:ascii="宋体" w:hAnsi="宋体"/>
          <w:sz w:val="24"/>
          <w:szCs w:val="24"/>
        </w:rPr>
        <w:t>双方协商一致，同意订立以下条款。</w:t>
      </w:r>
    </w:p>
    <w:p w14:paraId="5F55692D">
      <w:pPr>
        <w:spacing w:line="360" w:lineRule="auto"/>
        <w:ind w:firstLine="480" w:firstLineChars="200"/>
        <w:rPr>
          <w:rFonts w:ascii="宋体" w:hAnsi="宋体" w:cs="宋体"/>
          <w:sz w:val="24"/>
          <w:szCs w:val="24"/>
        </w:rPr>
      </w:pPr>
      <w:r>
        <w:rPr>
          <w:rFonts w:hint="eastAsia" w:ascii="宋体" w:hAnsi="宋体" w:cs="宋体"/>
          <w:sz w:val="24"/>
          <w:szCs w:val="24"/>
        </w:rPr>
        <w:t>1、物资采购概况</w:t>
      </w:r>
    </w:p>
    <w:p w14:paraId="1E2F6708">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采购内容：食品级氢氧化钠溶液</w:t>
      </w:r>
    </w:p>
    <w:p w14:paraId="30F36742">
      <w:pPr>
        <w:spacing w:line="360" w:lineRule="auto"/>
        <w:ind w:firstLine="48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1.2合同有效期：xx年xx月xx日-xx年xx月xx日；</w:t>
      </w:r>
    </w:p>
    <w:p w14:paraId="6497FD07">
      <w:pPr>
        <w:spacing w:line="360" w:lineRule="auto"/>
        <w:ind w:firstLine="480" w:firstLineChars="200"/>
        <w:rPr>
          <w:rFonts w:ascii="宋体" w:hAnsi="宋体"/>
          <w:sz w:val="24"/>
          <w:szCs w:val="24"/>
        </w:rPr>
      </w:pPr>
      <w:r>
        <w:rPr>
          <w:rFonts w:hint="eastAsia" w:ascii="宋体" w:hAnsi="宋体"/>
          <w:sz w:val="24"/>
          <w:szCs w:val="24"/>
        </w:rPr>
        <w:t>2、物资采购清单及技术要求</w:t>
      </w:r>
    </w:p>
    <w:p w14:paraId="634320CE">
      <w:pPr>
        <w:spacing w:line="360" w:lineRule="auto"/>
        <w:ind w:firstLine="480" w:firstLineChars="200"/>
        <w:rPr>
          <w:rFonts w:ascii="宋体" w:hAnsi="宋体" w:cs="宋体"/>
          <w:sz w:val="24"/>
          <w:szCs w:val="24"/>
        </w:rPr>
      </w:pPr>
      <w:r>
        <w:rPr>
          <w:rFonts w:hint="eastAsia" w:ascii="宋体" w:hAnsi="宋体" w:cs="宋体"/>
          <w:sz w:val="24"/>
          <w:szCs w:val="24"/>
        </w:rPr>
        <w:t>2.1、采购清单：</w:t>
      </w:r>
    </w:p>
    <w:tbl>
      <w:tblPr>
        <w:tblStyle w:val="28"/>
        <w:tblW w:w="93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383"/>
        <w:gridCol w:w="1093"/>
        <w:gridCol w:w="891"/>
        <w:gridCol w:w="1381"/>
        <w:gridCol w:w="1381"/>
        <w:gridCol w:w="1381"/>
      </w:tblGrid>
      <w:tr w14:paraId="2F51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82" w:type="dxa"/>
            <w:vAlign w:val="center"/>
          </w:tcPr>
          <w:p w14:paraId="2A1C76AF">
            <w:pPr>
              <w:pStyle w:val="59"/>
              <w:spacing w:line="360" w:lineRule="auto"/>
              <w:jc w:val="center"/>
              <w:rPr>
                <w:rFonts w:ascii="宋体" w:hAnsi="宋体"/>
              </w:rPr>
            </w:pPr>
            <w:r>
              <w:rPr>
                <w:rFonts w:hint="eastAsia" w:ascii="宋体" w:hAnsi="宋体"/>
              </w:rPr>
              <w:t>产品名称</w:t>
            </w:r>
          </w:p>
        </w:tc>
        <w:tc>
          <w:tcPr>
            <w:tcW w:w="1383" w:type="dxa"/>
            <w:vAlign w:val="center"/>
          </w:tcPr>
          <w:p w14:paraId="2CF7BF80">
            <w:pPr>
              <w:pStyle w:val="59"/>
              <w:spacing w:line="360" w:lineRule="auto"/>
              <w:jc w:val="center"/>
              <w:rPr>
                <w:rFonts w:ascii="宋体" w:hAnsi="宋体"/>
              </w:rPr>
            </w:pPr>
            <w:r>
              <w:rPr>
                <w:rFonts w:hint="eastAsia" w:ascii="宋体" w:hAnsi="宋体"/>
              </w:rPr>
              <w:t>规格型号</w:t>
            </w:r>
          </w:p>
        </w:tc>
        <w:tc>
          <w:tcPr>
            <w:tcW w:w="1093" w:type="dxa"/>
            <w:vAlign w:val="center"/>
          </w:tcPr>
          <w:p w14:paraId="7F0F5934">
            <w:pPr>
              <w:pStyle w:val="59"/>
              <w:spacing w:line="360" w:lineRule="auto"/>
              <w:jc w:val="center"/>
              <w:rPr>
                <w:rFonts w:ascii="宋体" w:hAnsi="宋体"/>
              </w:rPr>
            </w:pPr>
            <w:r>
              <w:rPr>
                <w:rFonts w:hint="eastAsia" w:ascii="宋体" w:hAnsi="宋体"/>
              </w:rPr>
              <w:t>生产厂家</w:t>
            </w:r>
          </w:p>
        </w:tc>
        <w:tc>
          <w:tcPr>
            <w:tcW w:w="891" w:type="dxa"/>
            <w:vAlign w:val="center"/>
          </w:tcPr>
          <w:p w14:paraId="0DD44230">
            <w:pPr>
              <w:pStyle w:val="59"/>
              <w:spacing w:line="360" w:lineRule="auto"/>
              <w:jc w:val="center"/>
              <w:rPr>
                <w:rFonts w:ascii="宋体" w:hAnsi="宋体"/>
              </w:rPr>
            </w:pPr>
            <w:r>
              <w:rPr>
                <w:rFonts w:hint="eastAsia" w:ascii="宋体" w:hAnsi="宋体"/>
              </w:rPr>
              <w:t>单位</w:t>
            </w:r>
          </w:p>
        </w:tc>
        <w:tc>
          <w:tcPr>
            <w:tcW w:w="1381" w:type="dxa"/>
            <w:vAlign w:val="center"/>
          </w:tcPr>
          <w:p w14:paraId="2F930871">
            <w:pPr>
              <w:pStyle w:val="59"/>
              <w:spacing w:line="360" w:lineRule="auto"/>
              <w:jc w:val="center"/>
              <w:rPr>
                <w:rFonts w:ascii="宋体" w:hAnsi="宋体"/>
              </w:rPr>
            </w:pPr>
            <w:r>
              <w:rPr>
                <w:rFonts w:hint="eastAsia" w:ascii="宋体" w:hAnsi="宋体"/>
              </w:rPr>
              <w:t>数量  （暂定）</w:t>
            </w:r>
          </w:p>
        </w:tc>
        <w:tc>
          <w:tcPr>
            <w:tcW w:w="1381" w:type="dxa"/>
            <w:vAlign w:val="center"/>
          </w:tcPr>
          <w:p w14:paraId="599ED2CE">
            <w:pPr>
              <w:spacing w:line="360" w:lineRule="auto"/>
              <w:jc w:val="center"/>
              <w:rPr>
                <w:rFonts w:ascii="宋体" w:hAnsi="宋体"/>
              </w:rPr>
            </w:pPr>
            <w:r>
              <w:rPr>
                <w:rFonts w:hint="eastAsia" w:ascii="宋体" w:hAnsi="宋体"/>
                <w:sz w:val="24"/>
                <w:szCs w:val="24"/>
              </w:rPr>
              <w:t>单价（元/吨）</w:t>
            </w:r>
          </w:p>
        </w:tc>
        <w:tc>
          <w:tcPr>
            <w:tcW w:w="1381" w:type="dxa"/>
            <w:vAlign w:val="center"/>
          </w:tcPr>
          <w:p w14:paraId="17AEB511">
            <w:pPr>
              <w:spacing w:line="360" w:lineRule="auto"/>
              <w:ind w:left="132"/>
              <w:jc w:val="center"/>
              <w:rPr>
                <w:rFonts w:ascii="宋体" w:hAnsi="宋体"/>
              </w:rPr>
            </w:pPr>
            <w:r>
              <w:rPr>
                <w:rFonts w:hint="eastAsia" w:ascii="宋体" w:hAnsi="宋体"/>
                <w:sz w:val="24"/>
                <w:szCs w:val="24"/>
              </w:rPr>
              <w:t>合计</w:t>
            </w:r>
          </w:p>
        </w:tc>
      </w:tr>
      <w:tr w14:paraId="5D5B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82" w:type="dxa"/>
            <w:vAlign w:val="center"/>
          </w:tcPr>
          <w:p w14:paraId="2064D512">
            <w:pPr>
              <w:pStyle w:val="59"/>
              <w:spacing w:line="360" w:lineRule="auto"/>
              <w:jc w:val="center"/>
              <w:rPr>
                <w:rFonts w:ascii="宋体" w:hAnsi="宋体"/>
              </w:rPr>
            </w:pPr>
            <w:r>
              <w:rPr>
                <w:rFonts w:hint="eastAsia" w:ascii="宋体" w:hAnsi="宋体"/>
                <w:szCs w:val="24"/>
              </w:rPr>
              <w:t>食品级氢氧化钠溶液</w:t>
            </w:r>
          </w:p>
        </w:tc>
        <w:tc>
          <w:tcPr>
            <w:tcW w:w="1383" w:type="dxa"/>
            <w:vAlign w:val="center"/>
          </w:tcPr>
          <w:p w14:paraId="0FE52525">
            <w:pPr>
              <w:pStyle w:val="59"/>
              <w:spacing w:line="360" w:lineRule="auto"/>
              <w:jc w:val="center"/>
              <w:rPr>
                <w:rFonts w:hint="eastAsia" w:ascii="宋体" w:hAnsi="宋体" w:eastAsia="宋体"/>
                <w:lang w:val="en-US" w:eastAsia="zh-CN"/>
              </w:rPr>
            </w:pPr>
          </w:p>
        </w:tc>
        <w:tc>
          <w:tcPr>
            <w:tcW w:w="1093" w:type="dxa"/>
            <w:vAlign w:val="center"/>
          </w:tcPr>
          <w:p w14:paraId="432F9066">
            <w:pPr>
              <w:pStyle w:val="59"/>
              <w:spacing w:line="360" w:lineRule="auto"/>
              <w:jc w:val="center"/>
              <w:rPr>
                <w:rFonts w:ascii="宋体" w:hAnsi="宋体"/>
              </w:rPr>
            </w:pPr>
          </w:p>
        </w:tc>
        <w:tc>
          <w:tcPr>
            <w:tcW w:w="891" w:type="dxa"/>
            <w:vAlign w:val="center"/>
          </w:tcPr>
          <w:p w14:paraId="73EC10DF">
            <w:pPr>
              <w:pStyle w:val="59"/>
              <w:spacing w:line="360" w:lineRule="auto"/>
              <w:jc w:val="center"/>
              <w:rPr>
                <w:rFonts w:ascii="宋体" w:hAnsi="宋体"/>
              </w:rPr>
            </w:pPr>
            <w:r>
              <w:rPr>
                <w:rFonts w:hint="eastAsia" w:ascii="宋体" w:hAnsi="宋体"/>
              </w:rPr>
              <w:t>吨</w:t>
            </w:r>
          </w:p>
        </w:tc>
        <w:tc>
          <w:tcPr>
            <w:tcW w:w="1381" w:type="dxa"/>
            <w:vAlign w:val="center"/>
          </w:tcPr>
          <w:p w14:paraId="40510B78">
            <w:pPr>
              <w:pStyle w:val="59"/>
              <w:spacing w:line="360" w:lineRule="auto"/>
              <w:jc w:val="center"/>
              <w:rPr>
                <w:rFonts w:hint="default" w:ascii="宋体" w:hAnsi="宋体" w:eastAsia="宋体"/>
                <w:lang w:val="en-US" w:eastAsia="zh-CN"/>
              </w:rPr>
            </w:pPr>
            <w:r>
              <w:rPr>
                <w:rFonts w:hint="eastAsia" w:ascii="宋体" w:hAnsi="宋体"/>
                <w:lang w:val="en-US" w:eastAsia="zh-CN"/>
              </w:rPr>
              <w:t>1220</w:t>
            </w:r>
          </w:p>
        </w:tc>
        <w:tc>
          <w:tcPr>
            <w:tcW w:w="1381" w:type="dxa"/>
            <w:vAlign w:val="center"/>
          </w:tcPr>
          <w:p w14:paraId="3E2885A8">
            <w:pPr>
              <w:spacing w:line="360" w:lineRule="auto"/>
              <w:jc w:val="center"/>
              <w:rPr>
                <w:rFonts w:ascii="宋体" w:hAnsi="宋体"/>
              </w:rPr>
            </w:pPr>
          </w:p>
        </w:tc>
        <w:tc>
          <w:tcPr>
            <w:tcW w:w="1381" w:type="dxa"/>
            <w:vAlign w:val="center"/>
          </w:tcPr>
          <w:p w14:paraId="37B59C60">
            <w:pPr>
              <w:spacing w:line="360" w:lineRule="auto"/>
              <w:jc w:val="center"/>
              <w:rPr>
                <w:rFonts w:ascii="宋体" w:hAnsi="宋体"/>
              </w:rPr>
            </w:pPr>
          </w:p>
        </w:tc>
      </w:tr>
      <w:tr w14:paraId="5977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392" w:type="dxa"/>
            <w:gridSpan w:val="7"/>
            <w:vAlign w:val="center"/>
          </w:tcPr>
          <w:p w14:paraId="59C22257">
            <w:pPr>
              <w:pStyle w:val="59"/>
              <w:tabs>
                <w:tab w:val="left" w:pos="2081"/>
              </w:tabs>
              <w:spacing w:line="360" w:lineRule="auto"/>
              <w:jc w:val="left"/>
              <w:rPr>
                <w:rFonts w:ascii="宋体" w:hAnsi="宋体"/>
              </w:rPr>
            </w:pPr>
            <w:r>
              <w:rPr>
                <w:rFonts w:hint="eastAsia" w:ascii="宋体" w:hAnsi="宋体"/>
                <w:szCs w:val="24"/>
              </w:rPr>
              <w:t>总计：人民币大写</w:t>
            </w:r>
            <w:r>
              <w:rPr>
                <w:rFonts w:hint="eastAsia" w:ascii="宋体" w:hAnsi="宋体"/>
                <w:szCs w:val="24"/>
                <w:u w:val="single"/>
              </w:rPr>
              <w:t xml:space="preserve">        </w:t>
            </w:r>
            <w:r>
              <w:rPr>
                <w:rFonts w:hint="eastAsia" w:ascii="宋体" w:hAnsi="宋体"/>
                <w:szCs w:val="24"/>
              </w:rPr>
              <w:t>元；</w:t>
            </w:r>
            <w:r>
              <w:rPr>
                <w:rFonts w:hint="eastAsia" w:ascii="宋体" w:hAnsi="宋体"/>
                <w:b/>
                <w:kern w:val="0"/>
                <w:szCs w:val="24"/>
              </w:rPr>
              <w:t>小写：</w:t>
            </w:r>
            <w:r>
              <w:rPr>
                <w:rFonts w:ascii="宋体" w:hAnsi="宋体"/>
                <w:b/>
                <w:szCs w:val="24"/>
              </w:rPr>
              <w:t>￥</w:t>
            </w:r>
            <w:r>
              <w:rPr>
                <w:rFonts w:hint="eastAsia" w:ascii="宋体" w:hAnsi="宋体"/>
                <w:b/>
                <w:szCs w:val="24"/>
                <w:u w:val="single"/>
              </w:rPr>
              <w:t xml:space="preserve">              </w:t>
            </w:r>
          </w:p>
        </w:tc>
      </w:tr>
    </w:tbl>
    <w:p w14:paraId="20320286">
      <w:pPr>
        <w:spacing w:line="360" w:lineRule="auto"/>
        <w:ind w:firstLine="480" w:firstLineChars="200"/>
        <w:rPr>
          <w:rFonts w:ascii="宋体" w:hAnsi="宋体" w:cs="宋体"/>
          <w:sz w:val="24"/>
          <w:szCs w:val="24"/>
        </w:rPr>
      </w:pPr>
      <w:r>
        <w:rPr>
          <w:rFonts w:hint="eastAsia" w:ascii="宋体" w:hAnsi="宋体" w:cs="宋体"/>
          <w:sz w:val="24"/>
          <w:szCs w:val="24"/>
        </w:rPr>
        <w:t>注：1、采购清单数量为一个年度计划用量，具体按实际发生量为准，按实结算，供货有效期为</w:t>
      </w:r>
      <w:r>
        <w:rPr>
          <w:rFonts w:hint="eastAsia" w:ascii="宋体" w:hAnsi="宋体" w:cs="宋体"/>
          <w:sz w:val="24"/>
          <w:szCs w:val="24"/>
          <w:lang w:val="en-US" w:eastAsia="zh-CN"/>
        </w:rPr>
        <w:t>12</w:t>
      </w:r>
      <w:r>
        <w:rPr>
          <w:rFonts w:hint="eastAsia" w:ascii="宋体" w:hAnsi="宋体" w:cs="宋体"/>
          <w:sz w:val="24"/>
          <w:szCs w:val="24"/>
        </w:rPr>
        <w:t>个月</w:t>
      </w:r>
      <w:r>
        <w:rPr>
          <w:rFonts w:hint="eastAsia" w:ascii="宋体" w:hAnsi="宋体" w:cs="宋体"/>
          <w:sz w:val="24"/>
          <w:szCs w:val="24"/>
          <w:lang w:eastAsia="zh-CN"/>
        </w:rPr>
        <w:t>，</w:t>
      </w:r>
      <w:r>
        <w:rPr>
          <w:rFonts w:hint="eastAsia" w:ascii="宋体" w:hAnsi="宋体" w:cs="宋体"/>
          <w:sz w:val="24"/>
          <w:szCs w:val="24"/>
          <w:lang w:val="en-US" w:eastAsia="zh-CN"/>
        </w:rPr>
        <w:t>自合同签订之日起算</w:t>
      </w:r>
      <w:r>
        <w:rPr>
          <w:rFonts w:hint="eastAsia" w:ascii="宋体" w:hAnsi="宋体" w:cs="宋体"/>
          <w:sz w:val="24"/>
          <w:szCs w:val="24"/>
        </w:rPr>
        <w:t>。</w:t>
      </w:r>
    </w:p>
    <w:p w14:paraId="048E16A9">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乙方应无条件接受杭州嘉澍新材科技有限公司与物资使用单位的供应商管理和考核及调整要求。若达不到相关考核要求的，将予以相关处罚，并视情节，给予1至3年内禁止参加余杭环境（水务）控股集团有限公司及下属子公司采购活动的处罚（以该项目合同到期之日起计算）。</w:t>
      </w:r>
    </w:p>
    <w:p w14:paraId="60A5382F">
      <w:pPr>
        <w:spacing w:line="360" w:lineRule="auto"/>
        <w:ind w:firstLine="480" w:firstLineChars="200"/>
        <w:rPr>
          <w:rFonts w:ascii="宋体" w:hAnsi="宋体"/>
          <w:sz w:val="24"/>
          <w:szCs w:val="24"/>
        </w:rPr>
      </w:pPr>
      <w:r>
        <w:rPr>
          <w:rFonts w:hint="eastAsia" w:ascii="宋体" w:hAnsi="宋体"/>
          <w:sz w:val="24"/>
          <w:szCs w:val="24"/>
        </w:rPr>
        <w:t>2.2技术要求</w:t>
      </w:r>
    </w:p>
    <w:p w14:paraId="4A9CE31A">
      <w:pPr>
        <w:spacing w:line="360" w:lineRule="auto"/>
        <w:ind w:firstLine="480" w:firstLineChars="200"/>
        <w:rPr>
          <w:rFonts w:ascii="宋体" w:hAnsi="宋体" w:cs="宋体"/>
          <w:sz w:val="24"/>
          <w:szCs w:val="24"/>
        </w:rPr>
      </w:pPr>
      <w:r>
        <w:rPr>
          <w:rFonts w:hint="eastAsia" w:ascii="宋体" w:hAnsi="宋体" w:cs="宋体"/>
          <w:sz w:val="24"/>
          <w:szCs w:val="24"/>
        </w:rPr>
        <w:t>2.2.1</w:t>
      </w:r>
      <w:r>
        <w:rPr>
          <w:rFonts w:hint="eastAsia" w:ascii="宋体" w:hAnsi="宋体"/>
          <w:sz w:val="24"/>
          <w:szCs w:val="24"/>
        </w:rPr>
        <w:t>产品质量符合</w:t>
      </w:r>
      <w:r>
        <w:rPr>
          <w:rFonts w:hint="eastAsia" w:ascii="宋体" w:hAnsi="宋体"/>
          <w:sz w:val="24"/>
        </w:rPr>
        <w:t>相关</w:t>
      </w:r>
      <w:r>
        <w:rPr>
          <w:rFonts w:hint="eastAsia" w:ascii="宋体" w:hAnsi="宋体"/>
          <w:sz w:val="24"/>
          <w:szCs w:val="24"/>
        </w:rPr>
        <w:t>国家标准</w:t>
      </w:r>
      <w:r>
        <w:rPr>
          <w:rFonts w:hint="eastAsia" w:ascii="宋体" w:hAnsi="宋体" w:cs="宋体"/>
          <w:sz w:val="24"/>
          <w:szCs w:val="24"/>
        </w:rPr>
        <w:t>。</w:t>
      </w:r>
    </w:p>
    <w:p w14:paraId="283ACF07">
      <w:pPr>
        <w:spacing w:line="360" w:lineRule="auto"/>
        <w:ind w:firstLine="480" w:firstLineChars="200"/>
        <w:rPr>
          <w:rFonts w:ascii="宋体" w:hAnsi="宋体"/>
          <w:sz w:val="24"/>
          <w:szCs w:val="24"/>
        </w:rPr>
      </w:pPr>
      <w:r>
        <w:rPr>
          <w:rFonts w:hint="eastAsia" w:ascii="宋体" w:hAnsi="宋体" w:cs="宋体"/>
          <w:sz w:val="24"/>
          <w:szCs w:val="24"/>
        </w:rPr>
        <w:t>2.2.2其他技术要求见招标文件采购需求，主要参数见附件2。</w:t>
      </w:r>
    </w:p>
    <w:p w14:paraId="0D1F77FC">
      <w:pPr>
        <w:spacing w:line="360" w:lineRule="auto"/>
        <w:ind w:firstLine="480" w:firstLineChars="200"/>
        <w:rPr>
          <w:rFonts w:ascii="宋体" w:hAnsi="宋体"/>
          <w:sz w:val="24"/>
          <w:szCs w:val="24"/>
        </w:rPr>
      </w:pPr>
      <w:r>
        <w:rPr>
          <w:rFonts w:hint="eastAsia" w:ascii="宋体" w:hAnsi="宋体"/>
          <w:sz w:val="24"/>
          <w:szCs w:val="24"/>
        </w:rPr>
        <w:t>3、合同价款</w:t>
      </w:r>
    </w:p>
    <w:p w14:paraId="3F60AC8F">
      <w:pPr>
        <w:spacing w:line="360" w:lineRule="auto"/>
        <w:ind w:firstLine="480" w:firstLineChars="200"/>
        <w:rPr>
          <w:rFonts w:ascii="宋体" w:hAnsi="宋体"/>
          <w:sz w:val="24"/>
          <w:szCs w:val="24"/>
        </w:rPr>
      </w:pPr>
      <w:r>
        <w:rPr>
          <w:rFonts w:hint="eastAsia" w:ascii="宋体" w:hAnsi="宋体"/>
          <w:sz w:val="24"/>
          <w:szCs w:val="24"/>
        </w:rPr>
        <w:t>3.1合同</w:t>
      </w:r>
      <w:r>
        <w:rPr>
          <w:rFonts w:hint="eastAsia" w:ascii="宋体" w:hAnsi="宋体"/>
          <w:sz w:val="24"/>
          <w:szCs w:val="24"/>
          <w:lang w:val="en-US" w:eastAsia="zh-CN"/>
        </w:rPr>
        <w:t>暂定</w:t>
      </w:r>
      <w:r>
        <w:rPr>
          <w:rFonts w:hint="eastAsia" w:ascii="宋体" w:hAnsi="宋体"/>
          <w:sz w:val="24"/>
          <w:szCs w:val="24"/>
        </w:rPr>
        <w:t>总价：</w:t>
      </w:r>
      <w:r>
        <w:rPr>
          <w:rFonts w:hint="eastAsia" w:ascii="宋体" w:hAnsi="宋体"/>
          <w:b/>
          <w:sz w:val="24"/>
          <w:szCs w:val="24"/>
          <w:u w:val="single"/>
        </w:rPr>
        <w:t xml:space="preserve">             </w:t>
      </w:r>
      <w:r>
        <w:rPr>
          <w:rFonts w:hint="eastAsia" w:ascii="宋体" w:hAnsi="宋体"/>
          <w:sz w:val="24"/>
          <w:szCs w:val="24"/>
        </w:rPr>
        <w:t>人民币元 。</w:t>
      </w:r>
    </w:p>
    <w:p w14:paraId="238AC5B6">
      <w:pPr>
        <w:spacing w:line="360" w:lineRule="auto"/>
        <w:ind w:firstLine="480" w:firstLineChars="200"/>
        <w:rPr>
          <w:rFonts w:ascii="宋体" w:hAnsi="宋体"/>
          <w:sz w:val="24"/>
          <w:szCs w:val="24"/>
        </w:rPr>
      </w:pPr>
      <w:r>
        <w:rPr>
          <w:rFonts w:hint="eastAsia" w:ascii="宋体" w:hAnsi="宋体"/>
          <w:sz w:val="24"/>
          <w:szCs w:val="24"/>
        </w:rPr>
        <w:t>3.2合同</w:t>
      </w:r>
      <w:r>
        <w:rPr>
          <w:rFonts w:hint="eastAsia" w:ascii="宋体" w:hAnsi="宋体"/>
          <w:sz w:val="24"/>
          <w:szCs w:val="24"/>
          <w:lang w:val="en-US" w:eastAsia="zh-CN"/>
        </w:rPr>
        <w:t>单价</w:t>
      </w:r>
      <w:r>
        <w:rPr>
          <w:rFonts w:hint="eastAsia" w:ascii="宋体" w:hAnsi="宋体"/>
          <w:sz w:val="24"/>
          <w:szCs w:val="24"/>
        </w:rPr>
        <w:t>除药剂本身价格外，还应包括</w:t>
      </w:r>
      <w:r>
        <w:rPr>
          <w:rFonts w:hint="eastAsia" w:ascii="宋体" w:hAnsi="宋体"/>
          <w:color w:val="auto"/>
          <w:sz w:val="24"/>
          <w:lang w:val="en-US" w:eastAsia="zh-CN"/>
        </w:rPr>
        <w:t>技术</w:t>
      </w:r>
      <w:r>
        <w:rPr>
          <w:rFonts w:hint="eastAsia" w:ascii="宋体" w:hAnsi="宋体"/>
          <w:color w:val="auto"/>
          <w:sz w:val="24"/>
        </w:rPr>
        <w:t>指导费、运送至采购人指定地点的费用、装卸费、质保期内的其他费用以及利润、税金、政策性文件规定等须由投标人支付的所有费用</w:t>
      </w:r>
      <w:r>
        <w:rPr>
          <w:rFonts w:hint="eastAsia" w:ascii="宋体" w:hAnsi="宋体"/>
          <w:color w:val="auto"/>
          <w:sz w:val="24"/>
          <w:lang w:eastAsia="zh-CN"/>
        </w:rPr>
        <w:t>。</w:t>
      </w:r>
    </w:p>
    <w:p w14:paraId="6F14BF86">
      <w:pPr>
        <w:spacing w:line="360" w:lineRule="auto"/>
        <w:ind w:firstLine="480" w:firstLineChars="200"/>
        <w:rPr>
          <w:rFonts w:ascii="宋体" w:hAnsi="宋体"/>
          <w:sz w:val="24"/>
          <w:szCs w:val="24"/>
        </w:rPr>
      </w:pPr>
      <w:r>
        <w:rPr>
          <w:rFonts w:hint="eastAsia" w:ascii="宋体" w:hAnsi="宋体"/>
          <w:sz w:val="24"/>
          <w:szCs w:val="24"/>
        </w:rPr>
        <w:t>4、供货时间、地点</w:t>
      </w:r>
    </w:p>
    <w:p w14:paraId="6DA410F8">
      <w:pPr>
        <w:widowControl/>
        <w:adjustRightInd w:val="0"/>
        <w:snapToGrid w:val="0"/>
        <w:spacing w:line="360" w:lineRule="auto"/>
        <w:ind w:firstLine="480" w:firstLineChars="200"/>
        <w:jc w:val="left"/>
        <w:rPr>
          <w:rFonts w:ascii="宋体" w:hAnsi="宋体"/>
          <w:bCs/>
          <w:kern w:val="0"/>
          <w:sz w:val="24"/>
          <w:szCs w:val="24"/>
        </w:rPr>
      </w:pPr>
      <w:r>
        <w:rPr>
          <w:rFonts w:hint="eastAsia" w:ascii="宋体" w:hAnsi="宋体"/>
          <w:sz w:val="24"/>
          <w:szCs w:val="24"/>
        </w:rPr>
        <w:t>4.1按甲方需求分批次供货，乙方接到供货通知的</w:t>
      </w:r>
      <w:r>
        <w:rPr>
          <w:rFonts w:hint="eastAsia" w:ascii="宋体" w:hAnsi="宋体"/>
          <w:sz w:val="24"/>
          <w:szCs w:val="24"/>
          <w:u w:val="single"/>
          <w:lang w:val="en-US" w:eastAsia="zh-CN"/>
        </w:rPr>
        <w:t xml:space="preserve">    </w:t>
      </w:r>
      <w:r>
        <w:rPr>
          <w:rFonts w:hint="eastAsia" w:ascii="宋体" w:hAnsi="宋体"/>
          <w:sz w:val="24"/>
          <w:szCs w:val="24"/>
        </w:rPr>
        <w:t>天内完成当前批次的供货。应急采购货物需在</w:t>
      </w:r>
      <w:r>
        <w:rPr>
          <w:rFonts w:hint="eastAsia" w:ascii="宋体" w:hAnsi="宋体"/>
          <w:sz w:val="24"/>
          <w:szCs w:val="24"/>
          <w:u w:val="single"/>
          <w:lang w:val="en-US" w:eastAsia="zh-CN"/>
        </w:rPr>
        <w:t xml:space="preserve">    </w:t>
      </w:r>
      <w:r>
        <w:rPr>
          <w:rFonts w:hint="eastAsia" w:ascii="宋体" w:hAnsi="宋体"/>
          <w:sz w:val="24"/>
          <w:szCs w:val="24"/>
        </w:rPr>
        <w:t>小时内完成供货。</w:t>
      </w:r>
      <w:r>
        <w:rPr>
          <w:rFonts w:hint="eastAsia" w:ascii="宋体" w:hAnsi="宋体"/>
          <w:bCs/>
          <w:sz w:val="24"/>
          <w:szCs w:val="24"/>
          <w:lang w:val="en-US" w:eastAsia="zh-CN"/>
        </w:rPr>
        <w:t>乙</w:t>
      </w:r>
      <w:r>
        <w:rPr>
          <w:rFonts w:hint="eastAsia" w:ascii="宋体" w:hAnsi="宋体"/>
          <w:bCs/>
          <w:sz w:val="24"/>
          <w:szCs w:val="24"/>
        </w:rPr>
        <w:t>方</w:t>
      </w:r>
      <w:r>
        <w:rPr>
          <w:rFonts w:hint="eastAsia" w:ascii="宋体" w:hAnsi="宋体"/>
          <w:bCs/>
          <w:kern w:val="0"/>
          <w:sz w:val="24"/>
          <w:szCs w:val="24"/>
        </w:rPr>
        <w:t>需服从甲方的合理调配供货，不得以采购订单量多少为由拒绝供货或不按规定时间供货。</w:t>
      </w:r>
    </w:p>
    <w:p w14:paraId="6994C175">
      <w:pPr>
        <w:spacing w:line="360" w:lineRule="auto"/>
        <w:ind w:firstLine="480" w:firstLineChars="200"/>
        <w:rPr>
          <w:rFonts w:ascii="宋体" w:hAnsi="宋体"/>
          <w:sz w:val="24"/>
          <w:szCs w:val="24"/>
        </w:rPr>
      </w:pPr>
      <w:r>
        <w:rPr>
          <w:rFonts w:hint="eastAsia" w:ascii="宋体" w:hAnsi="宋体"/>
          <w:sz w:val="24"/>
          <w:szCs w:val="24"/>
        </w:rPr>
        <w:t>4.2地点：</w:t>
      </w:r>
      <w:r>
        <w:rPr>
          <w:rFonts w:hint="eastAsia" w:ascii="宋体" w:hAnsi="宋体" w:cs="宋体"/>
          <w:bCs/>
          <w:sz w:val="24"/>
          <w:szCs w:val="24"/>
        </w:rPr>
        <w:t>临平区</w:t>
      </w:r>
      <w:r>
        <w:rPr>
          <w:rFonts w:hint="eastAsia" w:ascii="宋体" w:hAnsi="宋体" w:cs="宋体"/>
          <w:bCs/>
          <w:sz w:val="24"/>
          <w:szCs w:val="24"/>
          <w:lang w:eastAsia="zh-CN"/>
        </w:rPr>
        <w:t>、</w:t>
      </w:r>
      <w:r>
        <w:rPr>
          <w:rFonts w:hint="eastAsia" w:ascii="宋体" w:hAnsi="宋体" w:cs="宋体"/>
          <w:bCs/>
          <w:sz w:val="24"/>
          <w:szCs w:val="24"/>
          <w:lang w:val="en-US" w:eastAsia="zh-CN"/>
        </w:rPr>
        <w:t>余杭区</w:t>
      </w:r>
      <w:r>
        <w:rPr>
          <w:rFonts w:hint="eastAsia" w:ascii="宋体" w:hAnsi="宋体"/>
          <w:sz w:val="24"/>
          <w:szCs w:val="24"/>
        </w:rPr>
        <w:t>甲方指定地点。</w:t>
      </w:r>
    </w:p>
    <w:p w14:paraId="5A114869">
      <w:pPr>
        <w:spacing w:line="360" w:lineRule="auto"/>
        <w:ind w:firstLine="480" w:firstLineChars="200"/>
        <w:rPr>
          <w:rFonts w:ascii="宋体" w:hAnsi="宋体"/>
          <w:sz w:val="24"/>
          <w:szCs w:val="24"/>
        </w:rPr>
      </w:pPr>
      <w:r>
        <w:rPr>
          <w:rFonts w:hint="eastAsia" w:ascii="宋体" w:hAnsi="宋体"/>
          <w:sz w:val="24"/>
          <w:szCs w:val="24"/>
        </w:rPr>
        <w:t>5、合同价款的支付</w:t>
      </w:r>
    </w:p>
    <w:p w14:paraId="747AC788">
      <w:pPr>
        <w:widowControl/>
        <w:shd w:val="clear" w:color="auto" w:fill="auto"/>
        <w:adjustRightInd w:val="0"/>
        <w:snapToGrid w:val="0"/>
        <w:spacing w:beforeLines="0" w:afterLines="0" w:line="360" w:lineRule="auto"/>
        <w:ind w:firstLine="480" w:firstLineChars="200"/>
        <w:jc w:val="left"/>
        <w:rPr>
          <w:rFonts w:hint="eastAsia" w:ascii="宋体" w:hAnsi="宋体" w:eastAsia="宋体" w:cs="宋体"/>
          <w:b w:val="0"/>
          <w:bCs/>
          <w:kern w:val="0"/>
          <w:sz w:val="24"/>
          <w:szCs w:val="24"/>
          <w:shd w:val="clear" w:color="auto" w:fill="auto"/>
          <w:lang w:val="en-US" w:eastAsia="zh-CN"/>
        </w:rPr>
      </w:pPr>
      <w:r>
        <w:rPr>
          <w:rFonts w:hint="eastAsia" w:ascii="宋体" w:hAnsi="宋体" w:eastAsia="宋体" w:cs="宋体"/>
          <w:b w:val="0"/>
          <w:bCs/>
          <w:kern w:val="0"/>
          <w:sz w:val="24"/>
          <w:szCs w:val="24"/>
          <w:shd w:val="clear" w:color="auto" w:fill="auto"/>
          <w:lang w:val="en-US" w:eastAsia="zh-CN"/>
        </w:rPr>
        <w:t>1、货到现场后经</w:t>
      </w:r>
      <w:r>
        <w:rPr>
          <w:rFonts w:hint="eastAsia" w:ascii="宋体" w:hAnsi="宋体" w:cs="宋体"/>
          <w:bCs/>
          <w:color w:val="auto"/>
          <w:sz w:val="24"/>
          <w:szCs w:val="24"/>
          <w:highlight w:val="none"/>
          <w:shd w:val="clear" w:color="auto" w:fill="auto"/>
          <w:lang w:val="en-US" w:eastAsia="zh-CN"/>
        </w:rPr>
        <w:t>甲方</w:t>
      </w:r>
      <w:r>
        <w:rPr>
          <w:rFonts w:hint="eastAsia" w:ascii="宋体" w:hAnsi="宋体" w:eastAsia="宋体" w:cs="宋体"/>
          <w:b w:val="0"/>
          <w:bCs/>
          <w:kern w:val="0"/>
          <w:sz w:val="24"/>
          <w:szCs w:val="24"/>
          <w:shd w:val="clear" w:color="auto" w:fill="auto"/>
          <w:lang w:val="en-US" w:eastAsia="zh-CN"/>
        </w:rPr>
        <w:t>管理人员验收合格并出具入库手续（开具材料入库单），</w:t>
      </w:r>
      <w:r>
        <w:rPr>
          <w:rFonts w:hint="eastAsia" w:ascii="宋体" w:hAnsi="宋体" w:cs="宋体"/>
          <w:b w:val="0"/>
          <w:bCs/>
          <w:kern w:val="0"/>
          <w:sz w:val="24"/>
          <w:szCs w:val="24"/>
          <w:shd w:val="clear" w:color="auto" w:fill="auto"/>
          <w:lang w:val="en-US" w:eastAsia="zh-CN"/>
        </w:rPr>
        <w:t>乙方</w:t>
      </w:r>
      <w:r>
        <w:rPr>
          <w:rFonts w:hint="eastAsia" w:ascii="宋体" w:hAnsi="宋体" w:eastAsia="宋体" w:cs="宋体"/>
          <w:b w:val="0"/>
          <w:bCs/>
          <w:kern w:val="0"/>
          <w:sz w:val="24"/>
          <w:szCs w:val="24"/>
          <w:shd w:val="clear" w:color="auto" w:fill="auto"/>
          <w:lang w:val="zh-CN"/>
        </w:rPr>
        <w:t>凭入库单和发票结算</w:t>
      </w:r>
      <w:r>
        <w:rPr>
          <w:rFonts w:hint="eastAsia" w:ascii="宋体" w:hAnsi="宋体" w:eastAsia="宋体" w:cs="宋体"/>
          <w:b w:val="0"/>
          <w:bCs/>
          <w:kern w:val="0"/>
          <w:sz w:val="24"/>
          <w:szCs w:val="24"/>
          <w:shd w:val="clear" w:color="auto" w:fill="auto"/>
          <w:lang w:val="en-US" w:eastAsia="zh-CN"/>
        </w:rPr>
        <w:t>货款。</w:t>
      </w:r>
    </w:p>
    <w:p w14:paraId="42643978">
      <w:pPr>
        <w:spacing w:line="360" w:lineRule="auto"/>
        <w:ind w:firstLine="480" w:firstLineChars="200"/>
        <w:rPr>
          <w:rFonts w:hint="eastAsia" w:ascii="宋体" w:hAnsi="宋体"/>
          <w:sz w:val="24"/>
          <w:szCs w:val="24"/>
        </w:rPr>
      </w:pPr>
      <w:r>
        <w:rPr>
          <w:rFonts w:hint="eastAsia" w:ascii="宋体" w:hAnsi="宋体" w:eastAsia="宋体" w:cs="宋体"/>
          <w:b w:val="0"/>
          <w:bCs/>
          <w:kern w:val="0"/>
          <w:sz w:val="24"/>
          <w:szCs w:val="24"/>
          <w:shd w:val="clear" w:color="auto" w:fill="auto"/>
          <w:lang w:val="en-US" w:eastAsia="zh-CN"/>
        </w:rPr>
        <w:t>2、每次</w:t>
      </w:r>
      <w:r>
        <w:rPr>
          <w:rFonts w:hint="eastAsia" w:ascii="宋体" w:hAnsi="宋体" w:eastAsia="宋体" w:cs="宋体"/>
          <w:b w:val="0"/>
          <w:bCs/>
          <w:kern w:val="0"/>
          <w:sz w:val="24"/>
          <w:szCs w:val="24"/>
          <w:shd w:val="clear" w:color="auto" w:fill="auto"/>
          <w:lang w:val="zh-CN"/>
        </w:rPr>
        <w:t>支付</w:t>
      </w:r>
      <w:r>
        <w:rPr>
          <w:rFonts w:hint="eastAsia" w:ascii="宋体" w:hAnsi="宋体" w:eastAsia="宋体" w:cs="宋体"/>
          <w:b w:val="0"/>
          <w:bCs/>
          <w:kern w:val="0"/>
          <w:sz w:val="24"/>
          <w:szCs w:val="24"/>
          <w:shd w:val="clear" w:color="auto" w:fill="auto"/>
          <w:lang w:val="en-US" w:eastAsia="zh-CN"/>
        </w:rPr>
        <w:t>至当</w:t>
      </w:r>
      <w:r>
        <w:rPr>
          <w:rFonts w:hint="eastAsia" w:ascii="宋体" w:hAnsi="宋体" w:cs="宋体"/>
          <w:b w:val="0"/>
          <w:bCs/>
          <w:kern w:val="0"/>
          <w:sz w:val="24"/>
          <w:szCs w:val="24"/>
          <w:shd w:val="clear" w:color="auto" w:fill="auto"/>
          <w:lang w:val="en-US" w:eastAsia="zh-CN"/>
        </w:rPr>
        <w:t>季度（指连续三个月，下同）供货</w:t>
      </w:r>
      <w:r>
        <w:rPr>
          <w:rFonts w:hint="eastAsia" w:ascii="宋体" w:hAnsi="宋体" w:eastAsia="宋体" w:cs="宋体"/>
          <w:b w:val="0"/>
          <w:bCs/>
          <w:kern w:val="0"/>
          <w:sz w:val="24"/>
          <w:szCs w:val="24"/>
          <w:shd w:val="clear" w:color="auto" w:fill="auto"/>
          <w:lang w:val="zh-CN"/>
        </w:rPr>
        <w:t>货款的95%，扣留</w:t>
      </w:r>
      <w:r>
        <w:rPr>
          <w:rFonts w:hint="eastAsia" w:ascii="宋体" w:hAnsi="宋体" w:eastAsia="宋体" w:cs="宋体"/>
          <w:b w:val="0"/>
          <w:bCs/>
          <w:kern w:val="0"/>
          <w:sz w:val="24"/>
          <w:szCs w:val="24"/>
          <w:shd w:val="clear" w:color="auto" w:fill="auto"/>
          <w:lang w:val="en-US" w:eastAsia="zh-CN"/>
        </w:rPr>
        <w:t>当</w:t>
      </w:r>
      <w:r>
        <w:rPr>
          <w:rFonts w:hint="eastAsia" w:ascii="宋体" w:hAnsi="宋体" w:cs="宋体"/>
          <w:b w:val="0"/>
          <w:bCs/>
          <w:kern w:val="0"/>
          <w:sz w:val="24"/>
          <w:szCs w:val="24"/>
          <w:shd w:val="clear" w:color="auto" w:fill="auto"/>
          <w:lang w:val="en-US" w:eastAsia="zh-CN"/>
        </w:rPr>
        <w:t>季度供货</w:t>
      </w:r>
      <w:r>
        <w:rPr>
          <w:rFonts w:hint="eastAsia" w:ascii="宋体" w:hAnsi="宋体" w:eastAsia="宋体" w:cs="宋体"/>
          <w:b w:val="0"/>
          <w:bCs/>
          <w:kern w:val="0"/>
          <w:sz w:val="24"/>
          <w:szCs w:val="24"/>
          <w:shd w:val="clear" w:color="auto" w:fill="auto"/>
          <w:lang w:val="en-US" w:eastAsia="zh-CN"/>
        </w:rPr>
        <w:t>货款</w:t>
      </w:r>
      <w:r>
        <w:rPr>
          <w:rFonts w:hint="eastAsia" w:ascii="宋体" w:hAnsi="宋体" w:eastAsia="宋体" w:cs="宋体"/>
          <w:b w:val="0"/>
          <w:bCs/>
          <w:kern w:val="0"/>
          <w:sz w:val="24"/>
          <w:szCs w:val="24"/>
          <w:shd w:val="clear" w:color="auto" w:fill="auto"/>
          <w:lang w:val="zh-CN"/>
        </w:rPr>
        <w:t>5%</w:t>
      </w:r>
      <w:r>
        <w:rPr>
          <w:rFonts w:hint="eastAsia" w:ascii="宋体" w:hAnsi="宋体" w:eastAsia="宋体" w:cs="宋体"/>
          <w:b w:val="0"/>
          <w:bCs/>
          <w:kern w:val="0"/>
          <w:sz w:val="24"/>
          <w:szCs w:val="24"/>
          <w:shd w:val="clear" w:color="auto" w:fill="auto"/>
          <w:lang w:val="en-US" w:eastAsia="zh-CN"/>
        </w:rPr>
        <w:t>作为</w:t>
      </w:r>
      <w:r>
        <w:rPr>
          <w:rFonts w:hint="eastAsia" w:ascii="宋体" w:hAnsi="宋体" w:eastAsia="宋体" w:cs="宋体"/>
          <w:b w:val="0"/>
          <w:bCs/>
          <w:kern w:val="0"/>
          <w:sz w:val="24"/>
          <w:szCs w:val="24"/>
          <w:shd w:val="clear" w:color="auto" w:fill="auto"/>
          <w:lang w:val="zh-CN"/>
        </w:rPr>
        <w:t>质量保证金 （在每次</w:t>
      </w:r>
      <w:r>
        <w:rPr>
          <w:rFonts w:hint="eastAsia" w:ascii="宋体" w:hAnsi="宋体" w:eastAsia="宋体" w:cs="宋体"/>
          <w:b w:val="0"/>
          <w:bCs/>
          <w:kern w:val="0"/>
          <w:sz w:val="24"/>
          <w:szCs w:val="24"/>
          <w:shd w:val="clear" w:color="auto" w:fill="auto"/>
          <w:lang w:val="en-US" w:eastAsia="zh-CN"/>
        </w:rPr>
        <w:t>结算时</w:t>
      </w:r>
      <w:r>
        <w:rPr>
          <w:rFonts w:hint="eastAsia" w:ascii="宋体" w:hAnsi="宋体" w:eastAsia="宋体" w:cs="宋体"/>
          <w:b w:val="0"/>
          <w:bCs/>
          <w:kern w:val="0"/>
          <w:sz w:val="24"/>
          <w:szCs w:val="24"/>
          <w:shd w:val="clear" w:color="auto" w:fill="auto"/>
          <w:lang w:val="zh-CN"/>
        </w:rPr>
        <w:t xml:space="preserve">提留，不计息）, </w:t>
      </w:r>
      <w:r>
        <w:rPr>
          <w:rFonts w:hint="eastAsia" w:ascii="宋体" w:hAnsi="宋体" w:eastAsia="宋体" w:cs="宋体"/>
          <w:b w:val="0"/>
          <w:bCs/>
          <w:kern w:val="0"/>
          <w:sz w:val="24"/>
          <w:szCs w:val="24"/>
          <w:shd w:val="clear" w:color="auto" w:fill="auto"/>
          <w:lang w:val="en-US" w:eastAsia="zh-CN"/>
        </w:rPr>
        <w:t>合同履行期间若无质量问题，</w:t>
      </w:r>
      <w:r>
        <w:rPr>
          <w:rFonts w:hint="eastAsia" w:ascii="宋体" w:hAnsi="宋体" w:eastAsia="宋体" w:cs="宋体"/>
          <w:bCs/>
          <w:sz w:val="24"/>
          <w:szCs w:val="24"/>
          <w:shd w:val="clear" w:color="auto" w:fill="auto"/>
        </w:rPr>
        <w:t>则</w:t>
      </w:r>
      <w:r>
        <w:rPr>
          <w:rFonts w:hint="eastAsia" w:ascii="宋体" w:hAnsi="宋体" w:eastAsia="宋体" w:cs="宋体"/>
          <w:bCs/>
          <w:sz w:val="24"/>
          <w:szCs w:val="24"/>
          <w:shd w:val="clear" w:color="auto" w:fill="auto"/>
          <w:lang w:val="en-US" w:eastAsia="zh-CN"/>
        </w:rPr>
        <w:t>供货有效期结束后</w:t>
      </w:r>
      <w:r>
        <w:rPr>
          <w:rFonts w:hint="eastAsia" w:ascii="宋体" w:hAnsi="宋体" w:cs="宋体"/>
          <w:bCs/>
          <w:sz w:val="24"/>
          <w:szCs w:val="24"/>
          <w:shd w:val="clear" w:color="auto" w:fill="auto"/>
          <w:lang w:val="en-US" w:eastAsia="zh-CN"/>
        </w:rPr>
        <w:t>6</w:t>
      </w:r>
      <w:r>
        <w:rPr>
          <w:rFonts w:hint="eastAsia" w:ascii="宋体" w:hAnsi="宋体" w:eastAsia="宋体" w:cs="宋体"/>
          <w:bCs/>
          <w:sz w:val="24"/>
          <w:szCs w:val="24"/>
          <w:shd w:val="clear" w:color="auto" w:fill="auto"/>
          <w:lang w:val="en-US" w:eastAsia="zh-CN"/>
        </w:rPr>
        <w:t>个月支</w:t>
      </w:r>
      <w:r>
        <w:rPr>
          <w:rFonts w:hint="eastAsia" w:ascii="宋体" w:hAnsi="宋体" w:eastAsia="宋体" w:cs="宋体"/>
          <w:bCs/>
          <w:sz w:val="24"/>
          <w:szCs w:val="24"/>
          <w:shd w:val="clear" w:color="auto" w:fill="auto"/>
        </w:rPr>
        <w:t>付</w:t>
      </w:r>
      <w:r>
        <w:rPr>
          <w:rFonts w:hint="eastAsia" w:ascii="宋体" w:hAnsi="宋体" w:eastAsia="宋体" w:cs="宋体"/>
          <w:bCs/>
          <w:sz w:val="24"/>
          <w:szCs w:val="24"/>
          <w:shd w:val="clear" w:color="auto" w:fill="auto"/>
          <w:lang w:val="en-US" w:eastAsia="zh-CN"/>
        </w:rPr>
        <w:t>统一支付</w:t>
      </w:r>
      <w:r>
        <w:rPr>
          <w:rFonts w:hint="eastAsia" w:ascii="宋体" w:hAnsi="宋体" w:eastAsia="宋体" w:cs="宋体"/>
          <w:bCs/>
          <w:sz w:val="24"/>
          <w:szCs w:val="24"/>
          <w:shd w:val="clear" w:color="auto" w:fill="auto"/>
        </w:rPr>
        <w:t>质量保证金</w:t>
      </w:r>
      <w:r>
        <w:rPr>
          <w:rFonts w:hint="eastAsia" w:ascii="宋体" w:hAnsi="宋体" w:cs="宋体"/>
          <w:bCs/>
          <w:sz w:val="24"/>
          <w:szCs w:val="24"/>
          <w:shd w:val="clear" w:color="auto" w:fill="auto"/>
          <w:lang w:eastAsia="zh-CN"/>
        </w:rPr>
        <w:t>。</w:t>
      </w:r>
    </w:p>
    <w:p w14:paraId="5462A6DB">
      <w:pPr>
        <w:spacing w:line="360" w:lineRule="auto"/>
        <w:ind w:firstLine="480" w:firstLineChars="200"/>
        <w:rPr>
          <w:rFonts w:ascii="宋体" w:hAnsi="宋体"/>
          <w:sz w:val="24"/>
          <w:szCs w:val="24"/>
        </w:rPr>
      </w:pPr>
      <w:r>
        <w:rPr>
          <w:rFonts w:hint="eastAsia" w:ascii="宋体" w:hAnsi="宋体"/>
          <w:sz w:val="24"/>
          <w:szCs w:val="24"/>
        </w:rPr>
        <w:t>6、质量保证及售后服务</w:t>
      </w:r>
    </w:p>
    <w:p w14:paraId="65D88391">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6.1、</w:t>
      </w:r>
      <w:r>
        <w:rPr>
          <w:rFonts w:hint="eastAsia" w:ascii="宋体" w:hAnsi="宋体"/>
          <w:sz w:val="24"/>
          <w:szCs w:val="24"/>
        </w:rPr>
        <w:t>乙方</w:t>
      </w:r>
      <w:r>
        <w:rPr>
          <w:rFonts w:hint="eastAsia" w:ascii="宋体" w:hAnsi="宋体"/>
          <w:bCs/>
          <w:sz w:val="24"/>
          <w:szCs w:val="24"/>
        </w:rPr>
        <w:t>应严格按照招标文件的要求确保合同货物的质量、规格及技术特征。</w:t>
      </w:r>
    </w:p>
    <w:p w14:paraId="6D3CD92C">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6.2、</w:t>
      </w:r>
      <w:r>
        <w:rPr>
          <w:rFonts w:hint="eastAsia" w:ascii="宋体" w:hAnsi="宋体" w:eastAsia="宋体" w:cs="宋体"/>
          <w:bCs/>
          <w:sz w:val="24"/>
          <w:szCs w:val="24"/>
          <w:shd w:val="clear" w:color="auto" w:fill="auto"/>
          <w:lang w:val="en-US" w:eastAsia="zh-CN"/>
        </w:rPr>
        <w:t>当水质出现异常时，乙方在接到甲方电话或书面通知后24h内派技术人员到现场进行跟踪服务，并免费提供技术</w:t>
      </w:r>
      <w:r>
        <w:rPr>
          <w:rFonts w:hint="eastAsia" w:ascii="宋体" w:hAnsi="宋体" w:cs="宋体"/>
          <w:bCs/>
          <w:sz w:val="24"/>
          <w:szCs w:val="24"/>
          <w:shd w:val="clear" w:color="auto" w:fill="auto"/>
          <w:lang w:val="en-US" w:eastAsia="zh-CN"/>
        </w:rPr>
        <w:t>支持。</w:t>
      </w:r>
    </w:p>
    <w:p w14:paraId="5CD0D1F4">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6.3、如因甲方使用不当和保管不善造成的问题，</w:t>
      </w:r>
      <w:r>
        <w:rPr>
          <w:rFonts w:hint="eastAsia" w:ascii="宋体" w:hAnsi="宋体"/>
          <w:sz w:val="24"/>
          <w:szCs w:val="24"/>
        </w:rPr>
        <w:t>乙方</w:t>
      </w:r>
      <w:r>
        <w:rPr>
          <w:rFonts w:hint="eastAsia" w:ascii="宋体" w:hAnsi="宋体"/>
          <w:bCs/>
          <w:sz w:val="24"/>
          <w:szCs w:val="24"/>
        </w:rPr>
        <w:t>应配合解决，但费用由甲方承担。</w:t>
      </w:r>
    </w:p>
    <w:p w14:paraId="67EFF1FF">
      <w:pPr>
        <w:adjustRightInd w:val="0"/>
        <w:snapToGrid w:val="0"/>
        <w:spacing w:line="360" w:lineRule="auto"/>
        <w:ind w:firstLine="480" w:firstLineChars="200"/>
        <w:rPr>
          <w:rFonts w:hint="eastAsia" w:ascii="宋体" w:hAnsi="宋体"/>
          <w:bCs/>
          <w:sz w:val="24"/>
          <w:szCs w:val="24"/>
          <w:lang w:val="en-US" w:eastAsia="zh-CN"/>
        </w:rPr>
      </w:pPr>
      <w:r>
        <w:rPr>
          <w:rFonts w:hint="eastAsia" w:ascii="宋体" w:hAnsi="宋体"/>
          <w:bCs/>
          <w:sz w:val="24"/>
          <w:szCs w:val="24"/>
        </w:rPr>
        <w:t>6.4、所购药剂</w:t>
      </w:r>
      <w:r>
        <w:rPr>
          <w:rFonts w:hint="eastAsia" w:ascii="宋体" w:hAnsi="宋体"/>
          <w:bCs/>
          <w:sz w:val="24"/>
          <w:szCs w:val="24"/>
          <w:lang w:val="en-US" w:eastAsia="zh-CN"/>
        </w:rPr>
        <w:t>质保期为3个月，自每批次货物验收合格之日起计算。</w:t>
      </w:r>
    </w:p>
    <w:p w14:paraId="043E68F2">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6.5、</w:t>
      </w:r>
      <w:r>
        <w:rPr>
          <w:rFonts w:hint="eastAsia" w:ascii="宋体" w:hAnsi="宋体"/>
          <w:sz w:val="24"/>
          <w:szCs w:val="24"/>
        </w:rPr>
        <w:t>乙方应</w:t>
      </w:r>
      <w:r>
        <w:rPr>
          <w:rFonts w:hint="eastAsia" w:ascii="宋体" w:hAnsi="宋体"/>
          <w:bCs/>
          <w:sz w:val="24"/>
          <w:szCs w:val="24"/>
        </w:rPr>
        <w:t>为甲方提供技术培训，主要内容为药剂的基本特性、使用方法、常见问题和紧急情况的处理等，培训地点双方协调安排。</w:t>
      </w:r>
    </w:p>
    <w:p w14:paraId="37B677EF">
      <w:pPr>
        <w:numPr>
          <w:ilvl w:val="0"/>
          <w:numId w:val="1"/>
        </w:numPr>
        <w:spacing w:line="360" w:lineRule="auto"/>
        <w:ind w:firstLine="480" w:firstLineChars="200"/>
        <w:rPr>
          <w:rFonts w:ascii="宋体" w:hAnsi="宋体"/>
          <w:sz w:val="24"/>
          <w:szCs w:val="24"/>
        </w:rPr>
      </w:pPr>
      <w:r>
        <w:rPr>
          <w:rFonts w:hint="eastAsia" w:ascii="宋体" w:hAnsi="宋体"/>
          <w:sz w:val="24"/>
          <w:szCs w:val="24"/>
        </w:rPr>
        <w:t>索赔</w:t>
      </w:r>
    </w:p>
    <w:p w14:paraId="4AAEE00C">
      <w:pPr>
        <w:spacing w:beforeLines="0" w:afterLines="0" w:line="360" w:lineRule="auto"/>
        <w:ind w:firstLine="480" w:firstLineChars="200"/>
        <w:rPr>
          <w:rFonts w:ascii="宋体" w:hAnsi="宋体"/>
          <w:sz w:val="24"/>
          <w:szCs w:val="24"/>
        </w:rPr>
      </w:pPr>
      <w:r>
        <w:rPr>
          <w:rFonts w:hint="eastAsia" w:ascii="宋体" w:hAnsi="宋体"/>
          <w:sz w:val="24"/>
          <w:szCs w:val="24"/>
          <w:lang w:val="en-US" w:eastAsia="zh-CN"/>
        </w:rPr>
        <w:t>药剂保质期</w:t>
      </w:r>
      <w:r>
        <w:rPr>
          <w:rFonts w:hint="eastAsia" w:ascii="宋体" w:hAnsi="宋体"/>
          <w:sz w:val="24"/>
          <w:szCs w:val="24"/>
        </w:rPr>
        <w:t>内如发生由于药剂制造、工艺等造成的质量问题，乙方在接到使用方通知 2 日内给予答复，如果乙方对甲方提出的索赔负有责任，乙方应负责更换或退货，并承担由此发生的一切损失和费用。如逾期不予答复和处理，则视为上述索赔已被接受。乙方应承担由此发生的一切损失和费用</w:t>
      </w:r>
      <w:r>
        <w:rPr>
          <w:rFonts w:hint="eastAsia" w:ascii="宋体" w:hAnsi="宋体"/>
          <w:sz w:val="24"/>
          <w:szCs w:val="24"/>
          <w:lang w:eastAsia="zh-CN"/>
        </w:rPr>
        <w:t>。</w:t>
      </w:r>
    </w:p>
    <w:p w14:paraId="122C74C6">
      <w:pPr>
        <w:widowControl w:val="0"/>
        <w:wordWrap/>
        <w:spacing w:beforeLines="0" w:afterLines="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sz w:val="24"/>
          <w:szCs w:val="24"/>
        </w:rPr>
        <w:t>甲方及使用方将定期或不定期的对每批产品采取内部检测或委托第三方检测</w:t>
      </w:r>
      <w:r>
        <w:rPr>
          <w:rFonts w:hint="eastAsia" w:ascii="宋体" w:hAnsi="宋体" w:eastAsia="宋体" w:cs="宋体"/>
          <w:color w:val="auto"/>
          <w:sz w:val="24"/>
          <w:szCs w:val="24"/>
          <w:highlight w:val="none"/>
        </w:rPr>
        <w:t>，经</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如发现该</w:t>
      </w:r>
      <w:r>
        <w:rPr>
          <w:rFonts w:hint="eastAsia" w:ascii="宋体" w:hAnsi="宋体" w:eastAsia="宋体" w:cs="宋体"/>
          <w:color w:val="auto"/>
          <w:sz w:val="24"/>
          <w:szCs w:val="24"/>
          <w:highlight w:val="none"/>
          <w:lang w:val="en-US" w:eastAsia="zh-CN"/>
        </w:rPr>
        <w:t>批送检样品</w:t>
      </w:r>
      <w:r>
        <w:rPr>
          <w:rFonts w:hint="eastAsia" w:ascii="宋体" w:hAnsi="宋体" w:eastAsia="宋体" w:cs="宋体"/>
          <w:color w:val="auto"/>
          <w:sz w:val="24"/>
          <w:szCs w:val="24"/>
          <w:highlight w:val="none"/>
        </w:rPr>
        <w:t>不符合招标文件要求及国家标准或原料不符合乙方承诺的内容，第一次抽查测试不合格，</w:t>
      </w:r>
      <w:r>
        <w:rPr>
          <w:rFonts w:hint="eastAsia" w:ascii="宋体" w:hAnsi="宋体" w:eastAsia="宋体" w:cs="宋体"/>
          <w:color w:val="auto"/>
          <w:sz w:val="24"/>
          <w:szCs w:val="24"/>
          <w:highlight w:val="none"/>
          <w:lang w:val="en-US" w:eastAsia="zh-CN"/>
        </w:rPr>
        <w:t>甲方有权拒绝该批次产品，</w:t>
      </w:r>
      <w:r>
        <w:rPr>
          <w:rFonts w:hint="eastAsia" w:ascii="宋体" w:hAnsi="宋体" w:eastAsia="宋体" w:cs="宋体"/>
          <w:color w:val="auto"/>
          <w:sz w:val="24"/>
          <w:szCs w:val="24"/>
          <w:highlight w:val="none"/>
        </w:rPr>
        <w:t>乙方按该批次</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货款总值的20%及相应损失向甲方赔偿，</w:t>
      </w:r>
      <w:r>
        <w:rPr>
          <w:rFonts w:hint="eastAsia" w:ascii="宋体" w:hAnsi="宋体" w:cs="宋体"/>
          <w:color w:val="auto"/>
          <w:sz w:val="24"/>
          <w:szCs w:val="24"/>
          <w:highlight w:val="none"/>
          <w:lang w:val="en-US" w:eastAsia="zh-CN"/>
        </w:rPr>
        <w:t>并更换合格产品。供货期内</w:t>
      </w:r>
      <w:r>
        <w:rPr>
          <w:rFonts w:hint="eastAsia" w:ascii="宋体" w:hAnsi="宋体" w:eastAsia="宋体" w:cs="宋体"/>
          <w:color w:val="auto"/>
          <w:sz w:val="24"/>
          <w:szCs w:val="24"/>
          <w:highlight w:val="none"/>
          <w:lang w:val="en-US" w:eastAsia="zh-CN"/>
        </w:rPr>
        <w:t>累计</w:t>
      </w:r>
      <w:r>
        <w:rPr>
          <w:rFonts w:hint="eastAsia" w:ascii="宋体" w:hAnsi="宋体" w:eastAsia="宋体" w:cs="宋体"/>
          <w:color w:val="auto"/>
          <w:sz w:val="24"/>
          <w:szCs w:val="24"/>
          <w:highlight w:val="none"/>
        </w:rPr>
        <w:t>两次送检不符合招标文件要求及国家标准或不符合</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方承诺的内容，乙方按</w:t>
      </w:r>
      <w:r>
        <w:rPr>
          <w:rFonts w:hint="eastAsia" w:ascii="宋体" w:hAnsi="宋体" w:eastAsia="宋体" w:cs="宋体"/>
          <w:color w:val="auto"/>
          <w:sz w:val="24"/>
          <w:szCs w:val="24"/>
          <w:highlight w:val="none"/>
          <w:lang w:val="en-US" w:eastAsia="zh-CN"/>
        </w:rPr>
        <w:t>已发生</w:t>
      </w:r>
      <w:r>
        <w:rPr>
          <w:rFonts w:hint="eastAsia" w:ascii="宋体" w:hAnsi="宋体" w:eastAsia="宋体" w:cs="宋体"/>
          <w:color w:val="auto"/>
          <w:sz w:val="24"/>
          <w:szCs w:val="24"/>
          <w:highlight w:val="none"/>
        </w:rPr>
        <w:t>合同总价的20%向甲方赔偿，不合格批次</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由其自行拉回并终止合同，由乙方承担由此产生的一切损失。</w:t>
      </w:r>
      <w:r>
        <w:rPr>
          <w:rFonts w:hint="eastAsia" w:ascii="宋体" w:hAnsi="宋体" w:eastAsia="宋体" w:cs="宋体"/>
          <w:sz w:val="24"/>
          <w:szCs w:val="24"/>
          <w:highlight w:val="none"/>
          <w:lang w:val="en-US" w:eastAsia="zh-CN"/>
        </w:rPr>
        <w:t>乙方对检验结果有异议的</w:t>
      </w:r>
      <w:r>
        <w:rPr>
          <w:rFonts w:hint="eastAsia" w:ascii="宋体" w:hAnsi="宋体" w:eastAsia="宋体" w:cs="宋体"/>
          <w:sz w:val="24"/>
          <w:szCs w:val="24"/>
          <w:highlight w:val="none"/>
          <w:shd w:val="clear" w:color="auto" w:fill="auto"/>
          <w:lang w:val="en-US" w:eastAsia="zh-CN"/>
        </w:rPr>
        <w:t>，以双方认可或共同选择的省级及以上</w:t>
      </w:r>
      <w:r>
        <w:rPr>
          <w:rFonts w:hint="eastAsia" w:ascii="宋体" w:hAnsi="宋体" w:cs="宋体"/>
          <w:sz w:val="24"/>
          <w:szCs w:val="24"/>
          <w:highlight w:val="none"/>
          <w:shd w:val="clear" w:color="auto" w:fill="auto"/>
          <w:lang w:val="en-US" w:eastAsia="zh-CN"/>
        </w:rPr>
        <w:t>第三方检测单位</w:t>
      </w:r>
      <w:r>
        <w:rPr>
          <w:rFonts w:hint="eastAsia" w:ascii="宋体" w:hAnsi="宋体" w:eastAsia="宋体" w:cs="宋体"/>
          <w:sz w:val="24"/>
          <w:szCs w:val="24"/>
          <w:highlight w:val="none"/>
          <w:shd w:val="clear" w:color="auto" w:fill="auto"/>
          <w:lang w:val="en-US" w:eastAsia="zh-CN"/>
        </w:rPr>
        <w:t>检测结果为准</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鉴定费用由责任方承担。</w:t>
      </w:r>
    </w:p>
    <w:p w14:paraId="4EA98ACD">
      <w:pPr>
        <w:spacing w:line="360" w:lineRule="auto"/>
        <w:ind w:firstLine="480" w:firstLineChars="200"/>
        <w:rPr>
          <w:rFonts w:ascii="宋体" w:hAnsi="宋体"/>
          <w:sz w:val="24"/>
          <w:szCs w:val="24"/>
        </w:rPr>
      </w:pPr>
      <w:r>
        <w:rPr>
          <w:rFonts w:hint="eastAsia" w:ascii="宋体" w:hAnsi="宋体"/>
          <w:sz w:val="24"/>
          <w:szCs w:val="24"/>
        </w:rPr>
        <w:t>8、违约责任</w:t>
      </w:r>
    </w:p>
    <w:p w14:paraId="616A0062">
      <w:pPr>
        <w:spacing w:line="360" w:lineRule="auto"/>
        <w:ind w:firstLine="480" w:firstLineChars="200"/>
        <w:rPr>
          <w:rFonts w:ascii="宋体" w:hAnsi="宋体"/>
          <w:sz w:val="24"/>
          <w:szCs w:val="24"/>
        </w:rPr>
      </w:pPr>
      <w:r>
        <w:rPr>
          <w:rFonts w:hint="eastAsia" w:ascii="宋体" w:hAnsi="宋体"/>
          <w:sz w:val="24"/>
          <w:szCs w:val="24"/>
        </w:rPr>
        <w:t>8.1乙方不能按合同规定的时间交货和提供服务时，除不可抗力外（指战争、严重火灾、水灾、台风和地震以及其他经双方同意属不可抗力的事故），乙方应向甲方付延期违约金，每天按1000元计收，但最高限度为入围协议总价的20%。由于乙方原因，发生2次以上供货延期并造成恶劣后果的，甲方有权终止入围协议，按照余杭水务相关规定处罚，并要求乙方向甲方支付入围协议总价20%的违约金。</w:t>
      </w:r>
    </w:p>
    <w:p w14:paraId="76CBB879">
      <w:pPr>
        <w:spacing w:line="360" w:lineRule="auto"/>
        <w:ind w:firstLine="480" w:firstLineChars="200"/>
        <w:rPr>
          <w:rFonts w:ascii="宋体" w:hAnsi="宋体"/>
          <w:sz w:val="24"/>
          <w:szCs w:val="24"/>
        </w:rPr>
      </w:pPr>
      <w:r>
        <w:rPr>
          <w:rFonts w:hint="eastAsia" w:ascii="宋体" w:hAnsi="宋体"/>
          <w:sz w:val="24"/>
          <w:szCs w:val="24"/>
        </w:rPr>
        <w:t>8.2药剂错发到货地点时，由乙方负责解决并承担有关费用。</w:t>
      </w:r>
    </w:p>
    <w:p w14:paraId="5FE15BD0">
      <w:pPr>
        <w:spacing w:line="360" w:lineRule="auto"/>
        <w:ind w:firstLine="480" w:firstLineChars="200"/>
        <w:rPr>
          <w:rFonts w:ascii="宋体" w:hAnsi="宋体"/>
          <w:sz w:val="24"/>
          <w:szCs w:val="24"/>
        </w:rPr>
      </w:pPr>
      <w:r>
        <w:rPr>
          <w:rFonts w:hint="eastAsia" w:ascii="宋体" w:hAnsi="宋体"/>
          <w:sz w:val="24"/>
          <w:szCs w:val="24"/>
        </w:rPr>
        <w:t>8.3由于甲方填错到货地点或临时改变运输方案造成的损失，由甲方负责。</w:t>
      </w:r>
    </w:p>
    <w:p w14:paraId="3EC37DC2">
      <w:pPr>
        <w:spacing w:line="360" w:lineRule="auto"/>
        <w:ind w:firstLine="480" w:firstLineChars="200"/>
        <w:rPr>
          <w:rFonts w:ascii="宋体" w:hAnsi="宋体"/>
          <w:sz w:val="24"/>
          <w:szCs w:val="24"/>
        </w:rPr>
      </w:pPr>
      <w:r>
        <w:rPr>
          <w:rFonts w:hint="eastAsia" w:ascii="宋体" w:hAnsi="宋体"/>
          <w:sz w:val="24"/>
          <w:szCs w:val="24"/>
        </w:rPr>
        <w:t>9、合同解除和变更</w:t>
      </w:r>
    </w:p>
    <w:p w14:paraId="572CD8DC">
      <w:pPr>
        <w:spacing w:line="360" w:lineRule="auto"/>
        <w:ind w:firstLine="480" w:firstLineChars="200"/>
        <w:rPr>
          <w:rFonts w:ascii="宋体" w:hAnsi="宋体"/>
          <w:sz w:val="24"/>
          <w:szCs w:val="24"/>
        </w:rPr>
      </w:pPr>
      <w:r>
        <w:rPr>
          <w:rFonts w:hint="eastAsia" w:ascii="宋体" w:hAnsi="宋体"/>
          <w:sz w:val="24"/>
          <w:szCs w:val="24"/>
        </w:rPr>
        <w:t>9.1合同生效后，除不可抗力外，不得解除和无效变更。若因确需解除或变更合同时，要求变更的一方应及时通知对方，对方在接到通知15日内给予答复，逾期未答复则视为已同意。</w:t>
      </w:r>
    </w:p>
    <w:p w14:paraId="6BC12773">
      <w:pPr>
        <w:spacing w:line="360" w:lineRule="auto"/>
        <w:ind w:firstLine="480" w:firstLineChars="200"/>
        <w:rPr>
          <w:rFonts w:ascii="宋体" w:hAnsi="宋体"/>
          <w:sz w:val="24"/>
          <w:szCs w:val="24"/>
        </w:rPr>
      </w:pPr>
      <w:r>
        <w:rPr>
          <w:rFonts w:hint="eastAsia" w:ascii="宋体" w:hAnsi="宋体"/>
          <w:sz w:val="24"/>
          <w:szCs w:val="24"/>
        </w:rPr>
        <w:t>9.2乙方未能在合同规定的期限或甲方同意延长的期限内提供部分或全部货物；</w:t>
      </w:r>
    </w:p>
    <w:p w14:paraId="314D3612">
      <w:pPr>
        <w:spacing w:line="360" w:lineRule="auto"/>
        <w:ind w:firstLine="480" w:firstLineChars="200"/>
        <w:rPr>
          <w:rFonts w:ascii="宋体" w:hAnsi="宋体"/>
          <w:sz w:val="24"/>
          <w:szCs w:val="24"/>
        </w:rPr>
      </w:pPr>
      <w:r>
        <w:rPr>
          <w:rFonts w:hint="eastAsia" w:ascii="宋体" w:hAnsi="宋体"/>
          <w:sz w:val="24"/>
          <w:szCs w:val="24"/>
        </w:rPr>
        <w:t>9.3乙方未能按招标文件采购清单及技术条款内规定的要求提供产品；</w:t>
      </w:r>
    </w:p>
    <w:p w14:paraId="00E3FE26">
      <w:pPr>
        <w:spacing w:line="360" w:lineRule="auto"/>
        <w:ind w:firstLine="480" w:firstLineChars="200"/>
        <w:rPr>
          <w:rFonts w:ascii="宋体" w:hAnsi="宋体"/>
          <w:sz w:val="24"/>
          <w:szCs w:val="24"/>
        </w:rPr>
      </w:pPr>
      <w:r>
        <w:rPr>
          <w:rFonts w:hint="eastAsia" w:ascii="宋体" w:hAnsi="宋体"/>
          <w:sz w:val="24"/>
          <w:szCs w:val="24"/>
        </w:rPr>
        <w:t>9.4变更或解除合同，所造成的损失经责任分析后，由责任方承担。</w:t>
      </w:r>
    </w:p>
    <w:p w14:paraId="48B5C915">
      <w:pPr>
        <w:spacing w:line="360" w:lineRule="auto"/>
        <w:ind w:firstLine="480" w:firstLineChars="200"/>
        <w:rPr>
          <w:rFonts w:ascii="宋体" w:hAnsi="宋体"/>
          <w:sz w:val="24"/>
          <w:szCs w:val="24"/>
        </w:rPr>
      </w:pPr>
      <w:r>
        <w:rPr>
          <w:rFonts w:hint="eastAsia" w:ascii="宋体" w:hAnsi="宋体"/>
          <w:sz w:val="24"/>
          <w:szCs w:val="24"/>
        </w:rPr>
        <w:t>10.合同生效及其它</w:t>
      </w:r>
    </w:p>
    <w:p w14:paraId="6F947744">
      <w:pPr>
        <w:spacing w:line="360" w:lineRule="auto"/>
        <w:ind w:firstLine="480" w:firstLineChars="200"/>
        <w:rPr>
          <w:rFonts w:ascii="宋体" w:hAnsi="宋体" w:cs="宋体"/>
          <w:sz w:val="24"/>
          <w:szCs w:val="24"/>
        </w:rPr>
      </w:pPr>
      <w:r>
        <w:rPr>
          <w:rFonts w:hint="eastAsia" w:ascii="宋体" w:hAnsi="宋体" w:cs="宋体"/>
          <w:sz w:val="24"/>
          <w:szCs w:val="24"/>
        </w:rPr>
        <w:t>10.1合同经甲乙代表签字并加盖单位公章后，即行生效。</w:t>
      </w:r>
    </w:p>
    <w:p w14:paraId="52C67E16">
      <w:pPr>
        <w:spacing w:line="360" w:lineRule="auto"/>
        <w:ind w:firstLine="480" w:firstLineChars="200"/>
        <w:rPr>
          <w:rFonts w:ascii="宋体" w:hAnsi="宋体" w:cs="宋体"/>
          <w:sz w:val="24"/>
          <w:szCs w:val="24"/>
        </w:rPr>
      </w:pPr>
      <w:r>
        <w:rPr>
          <w:rFonts w:hint="eastAsia" w:ascii="宋体" w:hAnsi="宋体" w:cs="宋体"/>
          <w:sz w:val="24"/>
          <w:szCs w:val="24"/>
        </w:rPr>
        <w:t>10.2合同生效后，甲乙双方都应严格履行合同，如出现问题</w:t>
      </w:r>
      <w:r>
        <w:rPr>
          <w:rFonts w:hint="eastAsia" w:ascii="宋体" w:hAnsi="宋体" w:cs="宋体"/>
          <w:sz w:val="24"/>
          <w:szCs w:val="24"/>
          <w:lang w:eastAsia="zh-CN"/>
        </w:rPr>
        <w:t>，</w:t>
      </w:r>
      <w:r>
        <w:rPr>
          <w:rFonts w:hint="eastAsia" w:ascii="宋体" w:hAnsi="宋体" w:cs="宋体"/>
          <w:sz w:val="24"/>
          <w:szCs w:val="24"/>
          <w:lang w:val="en-US" w:eastAsia="zh-CN"/>
        </w:rPr>
        <w:t>如本合同无约定时，</w:t>
      </w:r>
      <w:r>
        <w:rPr>
          <w:rFonts w:hint="eastAsia" w:ascii="宋体" w:hAnsi="宋体" w:cs="宋体"/>
          <w:sz w:val="24"/>
          <w:szCs w:val="24"/>
        </w:rPr>
        <w:t>应按照《中华人民共和国民法典》等有关规定处理。</w:t>
      </w:r>
    </w:p>
    <w:p w14:paraId="63657BE2">
      <w:pPr>
        <w:spacing w:line="360" w:lineRule="auto"/>
        <w:ind w:firstLine="480" w:firstLineChars="200"/>
        <w:rPr>
          <w:rFonts w:ascii="宋体" w:hAnsi="宋体" w:cs="宋体"/>
          <w:sz w:val="24"/>
          <w:szCs w:val="24"/>
        </w:rPr>
      </w:pPr>
      <w:r>
        <w:rPr>
          <w:rFonts w:hint="eastAsia" w:ascii="宋体" w:hAnsi="宋体" w:cs="宋体"/>
          <w:sz w:val="24"/>
          <w:szCs w:val="24"/>
        </w:rPr>
        <w:t>10.3合同在执行过程中出现的未尽事宜，双方在不违背合同及招标文件的原则下，协商解决。协商结果以“纪要”方式作为合同的附件，与合同具有同等效力。</w:t>
      </w:r>
    </w:p>
    <w:p w14:paraId="25040C4C">
      <w:pPr>
        <w:spacing w:line="360" w:lineRule="auto"/>
        <w:ind w:firstLine="470" w:firstLineChars="196"/>
        <w:rPr>
          <w:rFonts w:ascii="宋体" w:hAnsi="宋体" w:cs="宋体"/>
          <w:sz w:val="24"/>
          <w:szCs w:val="24"/>
        </w:rPr>
      </w:pPr>
      <w:r>
        <w:rPr>
          <w:rFonts w:hint="eastAsia" w:ascii="宋体" w:hAnsi="宋体" w:cs="宋体"/>
          <w:sz w:val="24"/>
          <w:szCs w:val="24"/>
        </w:rPr>
        <w:t>10.4本项目在合同期限内，乙方应能严格履行合同、质量可靠、供货和售后服务及时。如乙方在服务期内违反合同约定，经考核不合格，甲方有权提前终止合同；</w:t>
      </w:r>
    </w:p>
    <w:p w14:paraId="0A96A4DC">
      <w:pPr>
        <w:spacing w:line="360" w:lineRule="auto"/>
        <w:ind w:firstLine="480" w:firstLineChars="200"/>
        <w:rPr>
          <w:rFonts w:ascii="宋体" w:hAnsi="宋体" w:cs="宋体"/>
          <w:sz w:val="24"/>
          <w:szCs w:val="24"/>
        </w:rPr>
      </w:pPr>
      <w:r>
        <w:rPr>
          <w:rFonts w:hint="eastAsia" w:ascii="宋体" w:hAnsi="宋体" w:cs="宋体"/>
          <w:sz w:val="24"/>
          <w:szCs w:val="24"/>
        </w:rPr>
        <w:t>10.5凡有关本合同或执行本合同中发生的争端，</w:t>
      </w:r>
      <w:r>
        <w:rPr>
          <w:rFonts w:hint="eastAsia" w:ascii="宋体" w:hAnsi="宋体"/>
          <w:sz w:val="24"/>
          <w:szCs w:val="24"/>
        </w:rPr>
        <w:t>甲乙</w:t>
      </w:r>
      <w:r>
        <w:rPr>
          <w:rFonts w:hint="eastAsia" w:ascii="宋体" w:hAnsi="宋体" w:cs="宋体"/>
          <w:sz w:val="24"/>
          <w:szCs w:val="24"/>
        </w:rPr>
        <w:t>应通过友好协商妥善解决。如通过协商仍不能解决时，</w:t>
      </w:r>
      <w:r>
        <w:rPr>
          <w:rFonts w:hint="eastAsia" w:ascii="宋体" w:hAnsi="宋体" w:cs="宋体"/>
          <w:sz w:val="24"/>
          <w:szCs w:val="24"/>
          <w:lang w:val="en-US" w:eastAsia="zh-CN"/>
        </w:rPr>
        <w:t>应</w:t>
      </w:r>
      <w:r>
        <w:rPr>
          <w:rFonts w:hint="eastAsia" w:ascii="宋体" w:hAnsi="宋体" w:cs="宋体"/>
          <w:sz w:val="24"/>
          <w:szCs w:val="24"/>
        </w:rPr>
        <w:t>向临平区人民法院提起诉讼。</w:t>
      </w:r>
    </w:p>
    <w:p w14:paraId="58406C66">
      <w:pPr>
        <w:spacing w:line="360" w:lineRule="auto"/>
        <w:ind w:firstLine="480" w:firstLineChars="200"/>
        <w:rPr>
          <w:rFonts w:ascii="宋体" w:hAnsi="宋体" w:cs="宋体"/>
          <w:sz w:val="24"/>
          <w:szCs w:val="24"/>
        </w:rPr>
      </w:pPr>
      <w:r>
        <w:rPr>
          <w:rFonts w:hint="eastAsia" w:ascii="宋体" w:hAnsi="宋体" w:cs="宋体"/>
          <w:sz w:val="24"/>
          <w:szCs w:val="24"/>
        </w:rPr>
        <w:t>10.6</w:t>
      </w:r>
      <w:r>
        <w:rPr>
          <w:rFonts w:hint="eastAsia" w:ascii="宋体" w:hAnsi="宋体" w:cs="宋体"/>
          <w:sz w:val="24"/>
          <w:szCs w:val="24"/>
          <w:lang w:val="en-US" w:eastAsia="zh-CN"/>
        </w:rPr>
        <w:t>胜诉方产生的</w:t>
      </w:r>
      <w:r>
        <w:rPr>
          <w:rFonts w:hint="eastAsia" w:ascii="宋体" w:hAnsi="宋体" w:cs="宋体"/>
          <w:sz w:val="24"/>
          <w:szCs w:val="24"/>
        </w:rPr>
        <w:t>诉讼费用</w:t>
      </w:r>
      <w:r>
        <w:rPr>
          <w:rFonts w:hint="eastAsia" w:ascii="宋体" w:hAnsi="宋体" w:cs="宋体"/>
          <w:sz w:val="24"/>
          <w:szCs w:val="24"/>
          <w:lang w:eastAsia="zh-CN"/>
        </w:rPr>
        <w:t>、</w:t>
      </w:r>
      <w:r>
        <w:rPr>
          <w:rFonts w:hint="eastAsia" w:ascii="宋体" w:hAnsi="宋体" w:cs="宋体"/>
          <w:sz w:val="24"/>
          <w:szCs w:val="24"/>
          <w:lang w:val="en-US" w:eastAsia="zh-CN"/>
        </w:rPr>
        <w:t>律师费用等合理费用</w:t>
      </w:r>
      <w:r>
        <w:rPr>
          <w:rFonts w:hint="eastAsia" w:ascii="宋体" w:hAnsi="宋体" w:cs="宋体"/>
          <w:sz w:val="24"/>
          <w:szCs w:val="24"/>
        </w:rPr>
        <w:t>除法院另有规定外均由败诉方承担。</w:t>
      </w:r>
    </w:p>
    <w:p w14:paraId="0C997344">
      <w:pPr>
        <w:spacing w:line="360" w:lineRule="auto"/>
        <w:ind w:firstLine="480" w:firstLineChars="200"/>
        <w:rPr>
          <w:rFonts w:ascii="宋体" w:hAnsi="宋体" w:cs="宋体"/>
          <w:sz w:val="24"/>
          <w:szCs w:val="24"/>
        </w:rPr>
      </w:pPr>
      <w:r>
        <w:rPr>
          <w:rFonts w:hint="eastAsia" w:ascii="宋体" w:hAnsi="宋体" w:cs="宋体"/>
          <w:sz w:val="24"/>
          <w:szCs w:val="24"/>
        </w:rPr>
        <w:t>10.7在起诉期间，除正在进行起诉的部分外，本合同其他部分应继续执行。</w:t>
      </w:r>
    </w:p>
    <w:p w14:paraId="4D70943E">
      <w:pPr>
        <w:spacing w:line="360" w:lineRule="auto"/>
        <w:ind w:firstLine="480" w:firstLineChars="200"/>
        <w:rPr>
          <w:rFonts w:ascii="宋体" w:hAnsi="宋体" w:cs="宋体"/>
          <w:sz w:val="24"/>
          <w:szCs w:val="24"/>
        </w:rPr>
      </w:pPr>
      <w:r>
        <w:rPr>
          <w:rFonts w:hint="eastAsia" w:ascii="宋体" w:hAnsi="宋体" w:cs="宋体"/>
          <w:sz w:val="24"/>
          <w:szCs w:val="24"/>
        </w:rPr>
        <w:t>10.8本合同一式陆份，甲乙各执叁份。</w:t>
      </w:r>
    </w:p>
    <w:p w14:paraId="3AA353C9">
      <w:pPr>
        <w:spacing w:line="360" w:lineRule="auto"/>
        <w:ind w:firstLine="482" w:firstLineChars="200"/>
        <w:rPr>
          <w:rFonts w:ascii="宋体" w:hAnsi="宋体" w:cs="宋体"/>
          <w:b/>
          <w:sz w:val="24"/>
          <w:szCs w:val="24"/>
        </w:rPr>
      </w:pPr>
      <w:r>
        <w:rPr>
          <w:rFonts w:hint="eastAsia" w:ascii="宋体" w:hAnsi="宋体" w:cs="宋体"/>
          <w:b/>
          <w:sz w:val="24"/>
          <w:szCs w:val="24"/>
        </w:rPr>
        <w:t>11. 下列文件均为合同不可分割部分</w:t>
      </w:r>
    </w:p>
    <w:p w14:paraId="6F95EC0A">
      <w:pPr>
        <w:spacing w:line="360" w:lineRule="auto"/>
        <w:ind w:firstLine="480" w:firstLineChars="200"/>
        <w:rPr>
          <w:rFonts w:ascii="宋体" w:hAnsi="宋体" w:cs="宋体"/>
          <w:sz w:val="24"/>
          <w:szCs w:val="24"/>
        </w:rPr>
      </w:pPr>
      <w:r>
        <w:rPr>
          <w:rFonts w:hint="eastAsia" w:ascii="宋体" w:hAnsi="宋体" w:cs="宋体"/>
          <w:sz w:val="24"/>
          <w:szCs w:val="24"/>
        </w:rPr>
        <w:t>11.1招标文件；</w:t>
      </w:r>
    </w:p>
    <w:p w14:paraId="2DE87C0E">
      <w:pPr>
        <w:spacing w:line="360" w:lineRule="auto"/>
        <w:ind w:firstLine="480" w:firstLineChars="200"/>
        <w:rPr>
          <w:rFonts w:ascii="宋体" w:hAnsi="宋体" w:cs="宋体"/>
          <w:sz w:val="24"/>
          <w:szCs w:val="24"/>
        </w:rPr>
      </w:pPr>
      <w:r>
        <w:rPr>
          <w:rFonts w:hint="eastAsia" w:ascii="宋体" w:hAnsi="宋体" w:cs="宋体"/>
          <w:sz w:val="24"/>
          <w:szCs w:val="24"/>
        </w:rPr>
        <w:t>11.2投标文件；</w:t>
      </w:r>
    </w:p>
    <w:p w14:paraId="342F7550">
      <w:pPr>
        <w:spacing w:line="360" w:lineRule="auto"/>
        <w:ind w:firstLine="480" w:firstLineChars="200"/>
        <w:rPr>
          <w:rFonts w:ascii="宋体" w:hAnsi="宋体" w:cs="宋体"/>
          <w:sz w:val="24"/>
          <w:szCs w:val="24"/>
        </w:rPr>
      </w:pPr>
      <w:r>
        <w:rPr>
          <w:rFonts w:hint="eastAsia" w:ascii="宋体" w:hAnsi="宋体" w:cs="宋体"/>
          <w:sz w:val="24"/>
          <w:szCs w:val="24"/>
        </w:rPr>
        <w:t>11.3清单与报价表；</w:t>
      </w:r>
    </w:p>
    <w:p w14:paraId="320F24A1">
      <w:pPr>
        <w:spacing w:line="360" w:lineRule="auto"/>
        <w:ind w:firstLine="360" w:firstLineChars="150"/>
        <w:jc w:val="left"/>
        <w:rPr>
          <w:rFonts w:ascii="宋体" w:hAnsi="宋体"/>
          <w:sz w:val="24"/>
          <w:szCs w:val="24"/>
        </w:rPr>
      </w:pPr>
      <w:r>
        <w:rPr>
          <w:rFonts w:hint="eastAsia" w:ascii="宋体" w:hAnsi="宋体" w:cs="宋体"/>
          <w:sz w:val="24"/>
          <w:szCs w:val="24"/>
        </w:rPr>
        <w:t>11.4中标通知书</w:t>
      </w:r>
      <w:r>
        <w:rPr>
          <w:rFonts w:hint="eastAsia" w:ascii="宋体" w:hAnsi="宋体"/>
          <w:sz w:val="24"/>
          <w:szCs w:val="24"/>
        </w:rPr>
        <w:t xml:space="preserve"> </w:t>
      </w:r>
    </w:p>
    <w:p w14:paraId="0B6E53C6">
      <w:pPr>
        <w:spacing w:line="360" w:lineRule="auto"/>
        <w:ind w:firstLine="360" w:firstLineChars="150"/>
        <w:jc w:val="left"/>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本合同及相应组成部分不得违反招标文件实质性要求，否则以招标文件为准。</w:t>
      </w:r>
    </w:p>
    <w:p w14:paraId="0C5A9949">
      <w:pPr>
        <w:spacing w:line="360" w:lineRule="auto"/>
        <w:ind w:firstLine="360" w:firstLineChars="150"/>
        <w:jc w:val="left"/>
        <w:rPr>
          <w:rFonts w:ascii="宋体" w:hAnsi="宋体"/>
          <w:sz w:val="24"/>
          <w:szCs w:val="24"/>
        </w:rPr>
      </w:pPr>
      <w:r>
        <w:rPr>
          <w:rFonts w:hint="eastAsia" w:ascii="宋体" w:hAnsi="宋体"/>
          <w:sz w:val="24"/>
          <w:szCs w:val="24"/>
        </w:rPr>
        <w:t xml:space="preserve">甲方（盖章）：                          乙方（盖章）： </w:t>
      </w:r>
    </w:p>
    <w:p w14:paraId="7C3F1E1E">
      <w:pPr>
        <w:spacing w:line="360" w:lineRule="auto"/>
        <w:ind w:firstLine="480" w:firstLineChars="200"/>
        <w:jc w:val="left"/>
        <w:rPr>
          <w:rFonts w:ascii="宋体" w:hAnsi="宋体"/>
          <w:sz w:val="24"/>
          <w:szCs w:val="24"/>
        </w:rPr>
      </w:pPr>
      <w:r>
        <w:rPr>
          <w:rFonts w:hint="eastAsia" w:ascii="宋体" w:hAnsi="宋体"/>
          <w:sz w:val="24"/>
          <w:szCs w:val="24"/>
        </w:rPr>
        <w:t xml:space="preserve">法定代表人：                            法定代表人：                </w:t>
      </w:r>
    </w:p>
    <w:p w14:paraId="704CDBDE">
      <w:pPr>
        <w:spacing w:line="360" w:lineRule="auto"/>
        <w:ind w:firstLine="480" w:firstLineChars="200"/>
        <w:jc w:val="left"/>
        <w:rPr>
          <w:rFonts w:ascii="宋体" w:hAnsi="宋体"/>
          <w:sz w:val="24"/>
          <w:szCs w:val="24"/>
        </w:rPr>
      </w:pPr>
      <w:r>
        <w:rPr>
          <w:rFonts w:hint="eastAsia" w:ascii="宋体" w:hAnsi="宋体"/>
          <w:sz w:val="24"/>
          <w:szCs w:val="24"/>
        </w:rPr>
        <w:t xml:space="preserve">或授权代表（签字）：                    或授权代表（签字）：         </w:t>
      </w:r>
    </w:p>
    <w:p w14:paraId="3D5E6C53">
      <w:pPr>
        <w:spacing w:line="360" w:lineRule="auto"/>
        <w:ind w:firstLine="480" w:firstLineChars="200"/>
        <w:jc w:val="left"/>
        <w:rPr>
          <w:rFonts w:ascii="宋体" w:hAnsi="宋体"/>
          <w:sz w:val="24"/>
          <w:szCs w:val="24"/>
        </w:rPr>
      </w:pPr>
      <w:r>
        <w:rPr>
          <w:rFonts w:hint="eastAsia" w:ascii="宋体" w:hAnsi="宋体"/>
          <w:sz w:val="24"/>
          <w:szCs w:val="24"/>
        </w:rPr>
        <w:t xml:space="preserve">地址：                                 地址：   </w:t>
      </w:r>
    </w:p>
    <w:p w14:paraId="5C586D30">
      <w:pPr>
        <w:spacing w:line="360" w:lineRule="auto"/>
        <w:ind w:firstLine="480" w:firstLineChars="200"/>
        <w:jc w:val="left"/>
        <w:rPr>
          <w:rFonts w:ascii="宋体" w:hAnsi="宋体"/>
          <w:sz w:val="24"/>
          <w:szCs w:val="24"/>
        </w:rPr>
      </w:pPr>
      <w:r>
        <w:rPr>
          <w:rFonts w:hint="eastAsia" w:ascii="宋体" w:hAnsi="宋体"/>
          <w:sz w:val="24"/>
          <w:szCs w:val="24"/>
        </w:rPr>
        <w:t xml:space="preserve">邮编：                                 邮编：                     </w:t>
      </w:r>
    </w:p>
    <w:p w14:paraId="3D49D741">
      <w:pPr>
        <w:spacing w:line="360" w:lineRule="auto"/>
        <w:ind w:firstLine="480" w:firstLineChars="200"/>
        <w:jc w:val="left"/>
        <w:rPr>
          <w:rFonts w:ascii="宋体" w:hAnsi="宋体"/>
          <w:sz w:val="24"/>
          <w:szCs w:val="24"/>
        </w:rPr>
      </w:pPr>
      <w:r>
        <w:rPr>
          <w:rFonts w:hint="eastAsia" w:ascii="宋体" w:hAnsi="宋体"/>
          <w:sz w:val="24"/>
          <w:szCs w:val="24"/>
        </w:rPr>
        <w:t xml:space="preserve">电话：                                 电话：             </w:t>
      </w:r>
    </w:p>
    <w:p w14:paraId="5013E04E">
      <w:pPr>
        <w:spacing w:line="360" w:lineRule="auto"/>
        <w:ind w:firstLine="480" w:firstLineChars="200"/>
        <w:jc w:val="left"/>
        <w:rPr>
          <w:rFonts w:ascii="宋体" w:hAnsi="宋体"/>
          <w:sz w:val="24"/>
          <w:szCs w:val="24"/>
        </w:rPr>
      </w:pPr>
      <w:r>
        <w:rPr>
          <w:rFonts w:hint="eastAsia" w:ascii="宋体" w:hAnsi="宋体"/>
          <w:sz w:val="24"/>
          <w:szCs w:val="24"/>
        </w:rPr>
        <w:t xml:space="preserve">传真：                                 传真：         </w:t>
      </w:r>
    </w:p>
    <w:p w14:paraId="5357B5CD">
      <w:pPr>
        <w:spacing w:line="360" w:lineRule="auto"/>
        <w:ind w:firstLine="480" w:firstLineChars="200"/>
        <w:jc w:val="left"/>
        <w:rPr>
          <w:rFonts w:ascii="宋体" w:hAnsi="宋体"/>
          <w:sz w:val="24"/>
          <w:szCs w:val="24"/>
        </w:rPr>
      </w:pPr>
      <w:r>
        <w:rPr>
          <w:rFonts w:hint="eastAsia" w:ascii="宋体" w:hAnsi="宋体"/>
          <w:sz w:val="24"/>
          <w:szCs w:val="24"/>
        </w:rPr>
        <w:t xml:space="preserve">开户银行：                             开户银行：    </w:t>
      </w:r>
    </w:p>
    <w:p w14:paraId="2B9E36C0">
      <w:pPr>
        <w:spacing w:line="360" w:lineRule="auto"/>
        <w:ind w:firstLine="480" w:firstLineChars="200"/>
        <w:jc w:val="left"/>
        <w:rPr>
          <w:rFonts w:ascii="宋体" w:hAnsi="宋体"/>
          <w:sz w:val="24"/>
          <w:szCs w:val="24"/>
        </w:rPr>
      </w:pPr>
      <w:r>
        <w:rPr>
          <w:rFonts w:hint="eastAsia" w:ascii="宋体" w:hAnsi="宋体"/>
          <w:sz w:val="24"/>
          <w:szCs w:val="24"/>
        </w:rPr>
        <w:t xml:space="preserve">帐号：                                 帐号：     </w:t>
      </w:r>
    </w:p>
    <w:p w14:paraId="7D0DF84D">
      <w:pPr>
        <w:spacing w:line="360" w:lineRule="auto"/>
        <w:ind w:firstLine="480" w:firstLineChars="200"/>
        <w:jc w:val="center"/>
        <w:rPr>
          <w:rFonts w:ascii="宋体" w:hAnsi="宋体"/>
          <w:sz w:val="24"/>
          <w:szCs w:val="24"/>
        </w:rPr>
      </w:pPr>
      <w:r>
        <w:rPr>
          <w:rFonts w:hint="eastAsia"/>
          <w:sz w:val="24"/>
          <w:szCs w:val="24"/>
        </w:rPr>
        <w:t xml:space="preserve">签约时间：   年  月  日               签约地点： </w:t>
      </w:r>
      <w:r>
        <w:rPr>
          <w:rFonts w:hint="eastAsia" w:ascii="宋体" w:hAnsi="宋体"/>
          <w:sz w:val="24"/>
          <w:szCs w:val="24"/>
        </w:rPr>
        <w:t xml:space="preserve"> </w:t>
      </w:r>
    </w:p>
    <w:p w14:paraId="29A521CF">
      <w:pPr>
        <w:spacing w:line="360" w:lineRule="auto"/>
        <w:ind w:firstLine="482" w:firstLineChars="200"/>
        <w:jc w:val="center"/>
        <w:rPr>
          <w:rFonts w:ascii="宋体" w:hAnsi="宋体"/>
          <w:b/>
          <w:bCs/>
          <w:sz w:val="24"/>
        </w:rPr>
      </w:pPr>
      <w:r>
        <w:rPr>
          <w:rFonts w:hint="eastAsia" w:ascii="宋体" w:hAnsi="宋体" w:cs="宋体"/>
          <w:b/>
          <w:bCs/>
          <w:sz w:val="24"/>
          <w:szCs w:val="24"/>
        </w:rPr>
        <w:t>此仅为合同书样本，中标单位需根据实际情况和采购人签订相应的合同！</w:t>
      </w:r>
    </w:p>
    <w:p w14:paraId="005FFD13">
      <w:pPr>
        <w:pStyle w:val="2"/>
        <w:spacing w:line="360" w:lineRule="auto"/>
        <w:jc w:val="center"/>
        <w:rPr>
          <w:rFonts w:cs="仿宋_GB2312"/>
          <w:kern w:val="0"/>
          <w:sz w:val="24"/>
          <w:lang w:val="zh-CN"/>
        </w:rPr>
      </w:pPr>
      <w:r>
        <w:rPr>
          <w:rFonts w:hint="eastAsia" w:ascii="宋体" w:hAnsi="宋体" w:cs="宋体"/>
        </w:rPr>
        <w:br w:type="page"/>
      </w:r>
      <w:bookmarkEnd w:id="10"/>
      <w:bookmarkEnd w:id="11"/>
      <w:bookmarkEnd w:id="12"/>
      <w:bookmarkEnd w:id="13"/>
      <w:bookmarkEnd w:id="14"/>
      <w:bookmarkStart w:id="15" w:name="_Toc118113119"/>
      <w:r>
        <w:rPr>
          <w:rFonts w:hint="eastAsia"/>
        </w:rPr>
        <w:t>第</w:t>
      </w:r>
      <w:r>
        <w:rPr>
          <w:rFonts w:hint="eastAsia"/>
          <w:lang w:val="en-US" w:eastAsia="zh-CN"/>
        </w:rPr>
        <w:t>五</w:t>
      </w:r>
      <w:r>
        <w:rPr>
          <w:rFonts w:hint="eastAsia"/>
        </w:rPr>
        <w:t xml:space="preserve">部分 </w:t>
      </w:r>
      <w:r>
        <w:rPr>
          <w:rFonts w:hint="eastAsia" w:cs="宋体"/>
        </w:rPr>
        <w:t>投标文件</w:t>
      </w:r>
      <w:r>
        <w:rPr>
          <w:rFonts w:hint="eastAsia"/>
        </w:rPr>
        <w:t>格式</w:t>
      </w:r>
      <w:bookmarkEnd w:id="15"/>
    </w:p>
    <w:p w14:paraId="26A72AE9">
      <w:pPr>
        <w:spacing w:line="360" w:lineRule="auto"/>
        <w:rPr>
          <w:rFonts w:ascii="宋体" w:hAnsi="宋体"/>
          <w:szCs w:val="21"/>
        </w:rPr>
      </w:pPr>
    </w:p>
    <w:p w14:paraId="030EEBA2">
      <w:pPr>
        <w:spacing w:line="360" w:lineRule="auto"/>
        <w:jc w:val="center"/>
        <w:rPr>
          <w:rFonts w:ascii="宋体" w:hAnsi="宋体" w:cs="宋体"/>
          <w:b/>
          <w:kern w:val="0"/>
          <w:sz w:val="32"/>
          <w:szCs w:val="32"/>
        </w:rPr>
      </w:pPr>
      <w:bookmarkStart w:id="16" w:name="_Toc349721557"/>
      <w:bookmarkStart w:id="17" w:name="_Toc339872473"/>
      <w:bookmarkStart w:id="18" w:name="_Toc328381297"/>
      <w:bookmarkStart w:id="19" w:name="_Toc350327368"/>
      <w:bookmarkStart w:id="20" w:name="_Toc303256686"/>
      <w:r>
        <w:rPr>
          <w:rFonts w:hint="eastAsia" w:ascii="宋体" w:hAnsi="宋体" w:cs="宋体"/>
          <w:b/>
          <w:kern w:val="0"/>
          <w:sz w:val="32"/>
          <w:szCs w:val="32"/>
        </w:rPr>
        <w:t>一、开 标 一 览 表</w:t>
      </w:r>
      <w:bookmarkEnd w:id="16"/>
      <w:bookmarkEnd w:id="17"/>
      <w:bookmarkEnd w:id="18"/>
      <w:bookmarkEnd w:id="19"/>
      <w:bookmarkEnd w:id="20"/>
    </w:p>
    <w:p w14:paraId="45D16734">
      <w:pPr>
        <w:autoSpaceDE w:val="0"/>
        <w:autoSpaceDN w:val="0"/>
        <w:adjustRightInd w:val="0"/>
        <w:spacing w:line="360" w:lineRule="auto"/>
        <w:rPr>
          <w:rFonts w:ascii="宋体" w:hAnsi="宋体"/>
          <w:b/>
          <w:kern w:val="0"/>
          <w:sz w:val="24"/>
        </w:rPr>
      </w:pPr>
      <w:r>
        <w:rPr>
          <w:rFonts w:hint="eastAsia" w:ascii="宋体" w:hAnsi="宋体"/>
          <w:b/>
          <w:kern w:val="0"/>
          <w:sz w:val="24"/>
        </w:rPr>
        <w:t>项目编号：</w:t>
      </w:r>
    </w:p>
    <w:tbl>
      <w:tblPr>
        <w:tblStyle w:val="28"/>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349187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14:paraId="12AE1541">
            <w:pPr>
              <w:autoSpaceDE w:val="0"/>
              <w:autoSpaceDN w:val="0"/>
              <w:adjustRightInd w:val="0"/>
              <w:spacing w:line="360" w:lineRule="auto"/>
              <w:jc w:val="center"/>
              <w:rPr>
                <w:rFonts w:ascii="宋体" w:hAnsi="宋体"/>
                <w:b/>
                <w:kern w:val="0"/>
                <w:sz w:val="24"/>
              </w:rPr>
            </w:pPr>
            <w:r>
              <w:rPr>
                <w:rFonts w:hint="eastAsia" w:ascii="宋体" w:hAnsi="宋体"/>
                <w:b/>
                <w:kern w:val="0"/>
                <w:sz w:val="24"/>
              </w:rPr>
              <w:t>本项目投标总报价</w:t>
            </w:r>
          </w:p>
        </w:tc>
        <w:tc>
          <w:tcPr>
            <w:tcW w:w="6720" w:type="dxa"/>
            <w:tcBorders>
              <w:top w:val="single" w:color="auto" w:sz="4" w:space="0"/>
            </w:tcBorders>
            <w:vAlign w:val="center"/>
          </w:tcPr>
          <w:p w14:paraId="17F7FF0B">
            <w:pPr>
              <w:autoSpaceDE w:val="0"/>
              <w:autoSpaceDN w:val="0"/>
              <w:adjustRightInd w:val="0"/>
              <w:spacing w:line="360" w:lineRule="auto"/>
              <w:rPr>
                <w:rFonts w:ascii="宋体" w:hAnsi="宋体"/>
                <w:b/>
                <w:kern w:val="0"/>
                <w:sz w:val="24"/>
              </w:rPr>
            </w:pPr>
          </w:p>
          <w:p w14:paraId="06C8190E">
            <w:pPr>
              <w:autoSpaceDE w:val="0"/>
              <w:autoSpaceDN w:val="0"/>
              <w:adjustRightInd w:val="0"/>
              <w:spacing w:line="360" w:lineRule="auto"/>
              <w:jc w:val="left"/>
              <w:rPr>
                <w:rFonts w:ascii="宋体" w:hAnsi="宋体"/>
                <w:b/>
                <w:kern w:val="0"/>
                <w:sz w:val="24"/>
              </w:rPr>
            </w:pPr>
            <w:r>
              <w:rPr>
                <w:rFonts w:hint="eastAsia" w:ascii="宋体" w:hAnsi="宋体"/>
                <w:b/>
                <w:kern w:val="0"/>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p w14:paraId="7DE36B83">
            <w:pPr>
              <w:autoSpaceDE w:val="0"/>
              <w:autoSpaceDN w:val="0"/>
              <w:adjustRightInd w:val="0"/>
              <w:spacing w:line="360" w:lineRule="auto"/>
              <w:jc w:val="left"/>
              <w:rPr>
                <w:rFonts w:ascii="宋体" w:hAnsi="宋体"/>
                <w:b/>
                <w:kern w:val="0"/>
                <w:sz w:val="24"/>
              </w:rPr>
            </w:pPr>
          </w:p>
          <w:p w14:paraId="46E48AF7">
            <w:pPr>
              <w:autoSpaceDE w:val="0"/>
              <w:autoSpaceDN w:val="0"/>
              <w:adjustRightInd w:val="0"/>
              <w:spacing w:line="360" w:lineRule="auto"/>
              <w:jc w:val="left"/>
              <w:rPr>
                <w:rFonts w:ascii="宋体" w:hAnsi="宋体"/>
                <w:b/>
                <w:kern w:val="0"/>
                <w:sz w:val="24"/>
              </w:rPr>
            </w:pPr>
            <w:r>
              <w:rPr>
                <w:rFonts w:hint="eastAsia" w:ascii="宋体" w:hAnsi="宋体"/>
                <w:b/>
                <w:kern w:val="0"/>
                <w:sz w:val="24"/>
              </w:rPr>
              <w:t>小写：</w:t>
            </w:r>
            <w:r>
              <w:rPr>
                <w:rFonts w:ascii="宋体" w:hAnsi="宋体"/>
                <w:b/>
                <w:sz w:val="24"/>
              </w:rPr>
              <w:t>￥</w:t>
            </w:r>
          </w:p>
          <w:p w14:paraId="39AF663E">
            <w:pPr>
              <w:autoSpaceDE w:val="0"/>
              <w:autoSpaceDN w:val="0"/>
              <w:adjustRightInd w:val="0"/>
              <w:spacing w:line="360" w:lineRule="auto"/>
              <w:jc w:val="left"/>
              <w:rPr>
                <w:rFonts w:ascii="宋体" w:hAnsi="宋体"/>
                <w:b/>
                <w:kern w:val="0"/>
                <w:sz w:val="24"/>
              </w:rPr>
            </w:pPr>
          </w:p>
        </w:tc>
      </w:tr>
    </w:tbl>
    <w:p w14:paraId="5CFA9932">
      <w:pPr>
        <w:autoSpaceDE w:val="0"/>
        <w:autoSpaceDN w:val="0"/>
        <w:adjustRightInd w:val="0"/>
        <w:spacing w:line="360" w:lineRule="auto"/>
        <w:rPr>
          <w:rFonts w:ascii="宋体" w:hAnsi="宋体"/>
          <w:kern w:val="0"/>
          <w:sz w:val="24"/>
        </w:rPr>
      </w:pPr>
      <w:r>
        <w:rPr>
          <w:rFonts w:hint="eastAsia" w:ascii="宋体" w:hAnsi="宋体"/>
          <w:kern w:val="0"/>
          <w:sz w:val="24"/>
        </w:rPr>
        <w:t>备注：</w:t>
      </w:r>
    </w:p>
    <w:p w14:paraId="63871B4E">
      <w:pPr>
        <w:autoSpaceDE w:val="0"/>
        <w:autoSpaceDN w:val="0"/>
        <w:adjustRightInd w:val="0"/>
        <w:spacing w:line="360" w:lineRule="auto"/>
        <w:rPr>
          <w:rFonts w:ascii="宋体" w:hAnsi="宋体"/>
          <w:kern w:val="0"/>
          <w:sz w:val="24"/>
        </w:rPr>
      </w:pPr>
      <w:r>
        <w:rPr>
          <w:rFonts w:hint="eastAsia" w:ascii="宋体" w:hAnsi="宋体"/>
          <w:kern w:val="0"/>
          <w:sz w:val="24"/>
        </w:rPr>
        <w:t>大写总价与小写总价不一致，以大写总价为准。</w:t>
      </w:r>
    </w:p>
    <w:p w14:paraId="6AECBC83">
      <w:pPr>
        <w:autoSpaceDE w:val="0"/>
        <w:autoSpaceDN w:val="0"/>
        <w:adjustRightInd w:val="0"/>
        <w:spacing w:line="360" w:lineRule="auto"/>
        <w:rPr>
          <w:rFonts w:ascii="宋体" w:hAnsi="宋体"/>
          <w:b/>
          <w:kern w:val="0"/>
          <w:sz w:val="24"/>
        </w:rPr>
      </w:pPr>
    </w:p>
    <w:p w14:paraId="4625C7F7">
      <w:pPr>
        <w:autoSpaceDE w:val="0"/>
        <w:autoSpaceDN w:val="0"/>
        <w:adjustRightInd w:val="0"/>
        <w:spacing w:line="360" w:lineRule="auto"/>
        <w:rPr>
          <w:rFonts w:ascii="宋体" w:hAnsi="宋体"/>
          <w:b/>
          <w:kern w:val="0"/>
          <w:sz w:val="24"/>
        </w:rPr>
      </w:pPr>
    </w:p>
    <w:p w14:paraId="166E2F41">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投标人（公章）：     </w:t>
      </w:r>
    </w:p>
    <w:p w14:paraId="693405ED">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38338257">
      <w:pPr>
        <w:wordWrap w:val="0"/>
        <w:autoSpaceDE w:val="0"/>
        <w:autoSpaceDN w:val="0"/>
        <w:adjustRightInd w:val="0"/>
        <w:spacing w:line="360" w:lineRule="auto"/>
        <w:jc w:val="right"/>
        <w:rPr>
          <w:rFonts w:ascii="宋体" w:hAnsi="宋体" w:cs="仿宋_GB2312"/>
          <w:kern w:val="0"/>
          <w:sz w:val="24"/>
          <w:lang w:val="zh-CN"/>
        </w:rPr>
        <w:sectPr>
          <w:pgSz w:w="11906" w:h="16838"/>
          <w:pgMar w:top="1531" w:right="1361" w:bottom="1531" w:left="1304" w:header="851" w:footer="601" w:gutter="0"/>
          <w:pgNumType w:fmt="numberInDash"/>
          <w:cols w:space="720" w:num="1"/>
          <w:docGrid w:type="lines" w:linePitch="313" w:charSpace="0"/>
        </w:sectPr>
      </w:pP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 xml:space="preserve">日      </w:t>
      </w:r>
    </w:p>
    <w:p w14:paraId="0BB4A8BC">
      <w:pPr>
        <w:pStyle w:val="55"/>
        <w:tabs>
          <w:tab w:val="clear" w:pos="720"/>
        </w:tabs>
        <w:snapToGrid w:val="0"/>
        <w:spacing w:before="120" w:after="120" w:line="36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 xml:space="preserve"> </w:t>
      </w:r>
      <w:bookmarkStart w:id="21" w:name="_Toc118113120"/>
      <w:r>
        <w:rPr>
          <w:rFonts w:hint="eastAsia" w:ascii="宋体" w:hAnsi="宋体" w:eastAsia="宋体" w:cs="宋体"/>
          <w:kern w:val="2"/>
          <w:sz w:val="32"/>
          <w:szCs w:val="32"/>
        </w:rPr>
        <w:t>二、分项报价表</w:t>
      </w:r>
      <w:bookmarkEnd w:id="21"/>
    </w:p>
    <w:p w14:paraId="32B67629">
      <w:pPr>
        <w:autoSpaceDE w:val="0"/>
        <w:autoSpaceDN w:val="0"/>
        <w:adjustRightInd w:val="0"/>
        <w:spacing w:line="360" w:lineRule="auto"/>
        <w:rPr>
          <w:rFonts w:ascii="宋体" w:hAnsi="宋体"/>
          <w:b/>
          <w:kern w:val="0"/>
          <w:sz w:val="24"/>
        </w:rPr>
      </w:pPr>
      <w:r>
        <w:rPr>
          <w:rFonts w:hint="eastAsia" w:ascii="宋体" w:hAnsi="宋体"/>
          <w:b/>
          <w:kern w:val="0"/>
          <w:sz w:val="24"/>
        </w:rPr>
        <w:t>项目编号：</w:t>
      </w:r>
    </w:p>
    <w:tbl>
      <w:tblPr>
        <w:tblStyle w:val="28"/>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71"/>
        <w:gridCol w:w="1775"/>
        <w:gridCol w:w="1241"/>
        <w:gridCol w:w="1227"/>
        <w:gridCol w:w="1187"/>
        <w:gridCol w:w="1524"/>
      </w:tblGrid>
      <w:tr w14:paraId="3981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Align w:val="center"/>
          </w:tcPr>
          <w:p w14:paraId="4BDDCD07">
            <w:pPr>
              <w:spacing w:line="360" w:lineRule="auto"/>
              <w:jc w:val="center"/>
              <w:rPr>
                <w:rFonts w:ascii="宋体" w:hAnsi="宋体"/>
                <w:sz w:val="24"/>
                <w:szCs w:val="24"/>
              </w:rPr>
            </w:pPr>
            <w:r>
              <w:rPr>
                <w:rFonts w:hint="eastAsia" w:ascii="宋体" w:hAnsi="宋体"/>
                <w:sz w:val="24"/>
                <w:szCs w:val="24"/>
              </w:rPr>
              <w:t>名称</w:t>
            </w:r>
          </w:p>
        </w:tc>
        <w:tc>
          <w:tcPr>
            <w:tcW w:w="1271" w:type="dxa"/>
            <w:vAlign w:val="center"/>
          </w:tcPr>
          <w:p w14:paraId="1DA75A15">
            <w:pPr>
              <w:spacing w:line="360" w:lineRule="auto"/>
              <w:jc w:val="center"/>
              <w:rPr>
                <w:rFonts w:ascii="宋体" w:hAnsi="宋体"/>
                <w:sz w:val="24"/>
                <w:szCs w:val="24"/>
              </w:rPr>
            </w:pPr>
            <w:r>
              <w:rPr>
                <w:rFonts w:hint="eastAsia" w:ascii="宋体" w:hAnsi="宋体"/>
                <w:sz w:val="24"/>
                <w:szCs w:val="24"/>
              </w:rPr>
              <w:t>规格</w:t>
            </w:r>
          </w:p>
        </w:tc>
        <w:tc>
          <w:tcPr>
            <w:tcW w:w="1775" w:type="dxa"/>
            <w:vAlign w:val="center"/>
          </w:tcPr>
          <w:p w14:paraId="67346D43">
            <w:pPr>
              <w:spacing w:line="360" w:lineRule="auto"/>
              <w:jc w:val="center"/>
              <w:rPr>
                <w:rFonts w:ascii="宋体" w:hAnsi="宋体"/>
                <w:sz w:val="24"/>
                <w:szCs w:val="24"/>
              </w:rPr>
            </w:pPr>
            <w:r>
              <w:rPr>
                <w:rFonts w:hint="eastAsia" w:ascii="宋体" w:hAnsi="宋体"/>
                <w:sz w:val="24"/>
                <w:szCs w:val="24"/>
              </w:rPr>
              <w:t>生产厂家</w:t>
            </w:r>
          </w:p>
        </w:tc>
        <w:tc>
          <w:tcPr>
            <w:tcW w:w="1241" w:type="dxa"/>
            <w:vAlign w:val="center"/>
          </w:tcPr>
          <w:p w14:paraId="5B88E35C">
            <w:pPr>
              <w:spacing w:line="360" w:lineRule="auto"/>
              <w:jc w:val="center"/>
              <w:rPr>
                <w:rFonts w:ascii="宋体" w:hAnsi="宋体"/>
                <w:sz w:val="24"/>
                <w:szCs w:val="24"/>
              </w:rPr>
            </w:pPr>
            <w:r>
              <w:rPr>
                <w:rFonts w:hint="eastAsia" w:ascii="宋体" w:hAnsi="宋体"/>
                <w:sz w:val="24"/>
                <w:szCs w:val="24"/>
              </w:rPr>
              <w:t>单位</w:t>
            </w:r>
          </w:p>
        </w:tc>
        <w:tc>
          <w:tcPr>
            <w:tcW w:w="1227" w:type="dxa"/>
            <w:vAlign w:val="center"/>
          </w:tcPr>
          <w:p w14:paraId="78122C8A">
            <w:pPr>
              <w:spacing w:line="360" w:lineRule="auto"/>
              <w:jc w:val="center"/>
              <w:rPr>
                <w:rFonts w:ascii="宋体" w:hAnsi="宋体"/>
                <w:sz w:val="24"/>
                <w:szCs w:val="24"/>
              </w:rPr>
            </w:pPr>
            <w:r>
              <w:rPr>
                <w:rFonts w:hint="eastAsia" w:ascii="宋体" w:hAnsi="宋体"/>
                <w:sz w:val="24"/>
                <w:szCs w:val="24"/>
              </w:rPr>
              <w:t>数量</w:t>
            </w:r>
          </w:p>
        </w:tc>
        <w:tc>
          <w:tcPr>
            <w:tcW w:w="1187" w:type="dxa"/>
            <w:vAlign w:val="center"/>
          </w:tcPr>
          <w:p w14:paraId="004DF0E2">
            <w:pPr>
              <w:spacing w:line="360" w:lineRule="auto"/>
              <w:jc w:val="center"/>
              <w:rPr>
                <w:rFonts w:ascii="宋体" w:hAnsi="宋体"/>
                <w:sz w:val="24"/>
                <w:szCs w:val="24"/>
              </w:rPr>
            </w:pPr>
            <w:r>
              <w:rPr>
                <w:rFonts w:hint="eastAsia" w:ascii="宋体" w:hAnsi="宋体"/>
                <w:sz w:val="24"/>
                <w:szCs w:val="24"/>
              </w:rPr>
              <w:t>单价（元/吨）</w:t>
            </w:r>
          </w:p>
        </w:tc>
        <w:tc>
          <w:tcPr>
            <w:tcW w:w="1524" w:type="dxa"/>
            <w:vAlign w:val="center"/>
          </w:tcPr>
          <w:p w14:paraId="33B7589F">
            <w:pPr>
              <w:spacing w:line="360" w:lineRule="auto"/>
              <w:jc w:val="center"/>
              <w:rPr>
                <w:rFonts w:ascii="宋体" w:hAnsi="宋体"/>
                <w:sz w:val="24"/>
                <w:szCs w:val="24"/>
              </w:rPr>
            </w:pPr>
            <w:r>
              <w:rPr>
                <w:rFonts w:hint="eastAsia" w:ascii="宋体" w:hAnsi="宋体"/>
                <w:sz w:val="24"/>
                <w:szCs w:val="24"/>
              </w:rPr>
              <w:t>合价（元）</w:t>
            </w:r>
          </w:p>
        </w:tc>
      </w:tr>
      <w:tr w14:paraId="5608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Align w:val="center"/>
          </w:tcPr>
          <w:p w14:paraId="2DAC77AC">
            <w:pPr>
              <w:pStyle w:val="59"/>
              <w:spacing w:line="360" w:lineRule="auto"/>
              <w:jc w:val="center"/>
              <w:rPr>
                <w:rFonts w:ascii="宋体" w:hAnsi="宋体"/>
                <w:szCs w:val="24"/>
              </w:rPr>
            </w:pPr>
            <w:r>
              <w:rPr>
                <w:rFonts w:hint="eastAsia" w:ascii="宋体" w:hAnsi="宋体" w:cs="宋体"/>
                <w:szCs w:val="24"/>
              </w:rPr>
              <w:t>食品级氢氧化钠溶液</w:t>
            </w:r>
          </w:p>
        </w:tc>
        <w:tc>
          <w:tcPr>
            <w:tcW w:w="1271" w:type="dxa"/>
            <w:vAlign w:val="center"/>
          </w:tcPr>
          <w:p w14:paraId="05E33866">
            <w:pPr>
              <w:pStyle w:val="59"/>
              <w:spacing w:line="360" w:lineRule="auto"/>
              <w:jc w:val="center"/>
              <w:rPr>
                <w:rFonts w:hint="eastAsia" w:ascii="宋体" w:hAnsi="宋体" w:eastAsia="宋体"/>
                <w:szCs w:val="24"/>
                <w:lang w:val="en-US" w:eastAsia="zh-CN"/>
              </w:rPr>
            </w:pPr>
            <w:r>
              <w:rPr>
                <w:rFonts w:hint="eastAsia" w:ascii="宋体" w:hAnsi="宋体"/>
                <w:szCs w:val="24"/>
                <w:lang w:val="en-US" w:eastAsia="zh-CN"/>
              </w:rPr>
              <w:t>32%</w:t>
            </w:r>
          </w:p>
        </w:tc>
        <w:tc>
          <w:tcPr>
            <w:tcW w:w="1775" w:type="dxa"/>
            <w:vAlign w:val="center"/>
          </w:tcPr>
          <w:p w14:paraId="573C1E5C">
            <w:pPr>
              <w:spacing w:line="360" w:lineRule="auto"/>
              <w:jc w:val="center"/>
              <w:rPr>
                <w:rFonts w:ascii="宋体" w:hAnsi="宋体"/>
                <w:sz w:val="24"/>
                <w:szCs w:val="24"/>
              </w:rPr>
            </w:pPr>
          </w:p>
        </w:tc>
        <w:tc>
          <w:tcPr>
            <w:tcW w:w="1241" w:type="dxa"/>
            <w:vAlign w:val="center"/>
          </w:tcPr>
          <w:p w14:paraId="4FCB3888">
            <w:pPr>
              <w:spacing w:line="360" w:lineRule="auto"/>
              <w:jc w:val="center"/>
              <w:rPr>
                <w:rFonts w:ascii="宋体" w:hAnsi="宋体"/>
                <w:sz w:val="24"/>
                <w:szCs w:val="24"/>
              </w:rPr>
            </w:pPr>
            <w:r>
              <w:rPr>
                <w:rFonts w:hint="eastAsia" w:ascii="宋体" w:hAnsi="宋体"/>
                <w:sz w:val="24"/>
                <w:szCs w:val="24"/>
              </w:rPr>
              <w:t>吨</w:t>
            </w:r>
          </w:p>
        </w:tc>
        <w:tc>
          <w:tcPr>
            <w:tcW w:w="1227" w:type="dxa"/>
            <w:vAlign w:val="center"/>
          </w:tcPr>
          <w:p w14:paraId="7A1FA7B3">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1220</w:t>
            </w:r>
          </w:p>
        </w:tc>
        <w:tc>
          <w:tcPr>
            <w:tcW w:w="1187" w:type="dxa"/>
            <w:vAlign w:val="center"/>
          </w:tcPr>
          <w:p w14:paraId="5EA42057">
            <w:pPr>
              <w:spacing w:line="360" w:lineRule="auto"/>
              <w:jc w:val="center"/>
              <w:rPr>
                <w:rFonts w:ascii="宋体" w:hAnsi="宋体"/>
                <w:sz w:val="24"/>
                <w:szCs w:val="24"/>
              </w:rPr>
            </w:pPr>
          </w:p>
        </w:tc>
        <w:tc>
          <w:tcPr>
            <w:tcW w:w="1524" w:type="dxa"/>
            <w:vAlign w:val="center"/>
          </w:tcPr>
          <w:p w14:paraId="6A24D66A">
            <w:pPr>
              <w:spacing w:line="360" w:lineRule="auto"/>
              <w:jc w:val="center"/>
              <w:rPr>
                <w:rFonts w:ascii="宋体" w:hAnsi="宋体"/>
                <w:sz w:val="24"/>
                <w:szCs w:val="24"/>
              </w:rPr>
            </w:pPr>
          </w:p>
        </w:tc>
      </w:tr>
      <w:tr w14:paraId="5290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Merge w:val="restart"/>
            <w:vAlign w:val="center"/>
          </w:tcPr>
          <w:p w14:paraId="50079AAC">
            <w:pPr>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合计：</w:t>
            </w:r>
          </w:p>
        </w:tc>
        <w:tc>
          <w:tcPr>
            <w:tcW w:w="8225" w:type="dxa"/>
            <w:gridSpan w:val="6"/>
            <w:vAlign w:val="center"/>
          </w:tcPr>
          <w:p w14:paraId="445F5756">
            <w:pPr>
              <w:spacing w:line="360" w:lineRule="auto"/>
              <w:rPr>
                <w:rFonts w:ascii="宋体" w:hAnsi="宋体" w:cs="宋体"/>
                <w:sz w:val="24"/>
                <w:szCs w:val="24"/>
              </w:rPr>
            </w:pPr>
            <w:r>
              <w:rPr>
                <w:rFonts w:hint="eastAsia" w:ascii="宋体" w:hAnsi="宋体" w:cs="宋体"/>
                <w:sz w:val="24"/>
                <w:szCs w:val="24"/>
              </w:rPr>
              <w:t>大写：人民币              元整</w:t>
            </w:r>
          </w:p>
        </w:tc>
      </w:tr>
      <w:tr w14:paraId="7B09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9" w:type="dxa"/>
            <w:vMerge w:val="continue"/>
            <w:vAlign w:val="top"/>
          </w:tcPr>
          <w:p w14:paraId="7E5FEB68">
            <w:pPr>
              <w:autoSpaceDE w:val="0"/>
              <w:autoSpaceDN w:val="0"/>
              <w:adjustRightInd w:val="0"/>
              <w:spacing w:line="360" w:lineRule="auto"/>
              <w:rPr>
                <w:rFonts w:ascii="宋体" w:hAnsi="宋体" w:cs="宋体"/>
                <w:b/>
                <w:kern w:val="0"/>
                <w:sz w:val="24"/>
                <w:szCs w:val="24"/>
              </w:rPr>
            </w:pPr>
          </w:p>
        </w:tc>
        <w:tc>
          <w:tcPr>
            <w:tcW w:w="8225" w:type="dxa"/>
            <w:gridSpan w:val="6"/>
            <w:vAlign w:val="center"/>
          </w:tcPr>
          <w:p w14:paraId="35433E84">
            <w:pPr>
              <w:spacing w:line="360" w:lineRule="auto"/>
              <w:rPr>
                <w:rFonts w:ascii="宋体" w:hAnsi="宋体" w:cs="宋体"/>
                <w:sz w:val="24"/>
                <w:szCs w:val="24"/>
              </w:rPr>
            </w:pPr>
            <w:r>
              <w:rPr>
                <w:rFonts w:hint="eastAsia" w:ascii="宋体" w:hAnsi="宋体" w:cs="宋体"/>
                <w:sz w:val="24"/>
                <w:szCs w:val="24"/>
              </w:rPr>
              <w:t>小写：￥</w:t>
            </w:r>
          </w:p>
        </w:tc>
      </w:tr>
    </w:tbl>
    <w:p w14:paraId="7A46754B">
      <w:pPr>
        <w:autoSpaceDE w:val="0"/>
        <w:autoSpaceDN w:val="0"/>
        <w:adjustRightInd w:val="0"/>
        <w:spacing w:line="360" w:lineRule="auto"/>
        <w:rPr>
          <w:rFonts w:ascii="宋体" w:hAnsi="宋体"/>
          <w:kern w:val="0"/>
          <w:sz w:val="24"/>
        </w:rPr>
      </w:pPr>
    </w:p>
    <w:p w14:paraId="3F29859C">
      <w:pPr>
        <w:autoSpaceDE w:val="0"/>
        <w:autoSpaceDN w:val="0"/>
        <w:adjustRightInd w:val="0"/>
        <w:spacing w:line="360" w:lineRule="auto"/>
        <w:rPr>
          <w:rFonts w:ascii="宋体" w:hAnsi="宋体"/>
          <w:kern w:val="0"/>
          <w:sz w:val="24"/>
        </w:rPr>
      </w:pPr>
      <w:r>
        <w:rPr>
          <w:rFonts w:hint="eastAsia" w:ascii="宋体" w:hAnsi="宋体"/>
          <w:kern w:val="0"/>
          <w:sz w:val="24"/>
        </w:rPr>
        <w:t>备注：</w:t>
      </w:r>
    </w:p>
    <w:p w14:paraId="5B4FC3EF">
      <w:pPr>
        <w:autoSpaceDE w:val="0"/>
        <w:autoSpaceDN w:val="0"/>
        <w:adjustRightInd w:val="0"/>
        <w:spacing w:line="360" w:lineRule="auto"/>
        <w:rPr>
          <w:rFonts w:ascii="宋体" w:hAnsi="宋体"/>
          <w:kern w:val="0"/>
          <w:sz w:val="24"/>
        </w:rPr>
      </w:pPr>
      <w:r>
        <w:rPr>
          <w:rFonts w:hint="eastAsia" w:ascii="宋体" w:hAnsi="宋体"/>
          <w:kern w:val="0"/>
          <w:sz w:val="24"/>
        </w:rPr>
        <w:t>1、分项报价表中合计总价应与开标一览表中的相应报价相一致，不一致时，以开标一览表报价为准。</w:t>
      </w:r>
    </w:p>
    <w:p w14:paraId="7021B41A">
      <w:pPr>
        <w:autoSpaceDE w:val="0"/>
        <w:autoSpaceDN w:val="0"/>
        <w:adjustRightInd w:val="0"/>
        <w:spacing w:line="360" w:lineRule="auto"/>
        <w:rPr>
          <w:rFonts w:ascii="宋体" w:hAnsi="宋体"/>
          <w:kern w:val="0"/>
          <w:sz w:val="24"/>
        </w:rPr>
      </w:pPr>
      <w:r>
        <w:rPr>
          <w:rFonts w:hint="eastAsia" w:ascii="宋体" w:hAnsi="宋体"/>
          <w:kern w:val="0"/>
          <w:sz w:val="24"/>
        </w:rPr>
        <w:t>2、漏报的视同已包含在投标总价内。有重大缺项的将作无效标处理。</w:t>
      </w:r>
    </w:p>
    <w:p w14:paraId="5BABDC7C">
      <w:pPr>
        <w:autoSpaceDE w:val="0"/>
        <w:autoSpaceDN w:val="0"/>
        <w:adjustRightInd w:val="0"/>
        <w:spacing w:line="360" w:lineRule="auto"/>
        <w:rPr>
          <w:rFonts w:ascii="宋体" w:hAnsi="宋体"/>
          <w:kern w:val="0"/>
          <w:sz w:val="24"/>
        </w:rPr>
      </w:pPr>
      <w:r>
        <w:rPr>
          <w:rFonts w:hint="eastAsia" w:ascii="宋体" w:hAnsi="宋体"/>
          <w:kern w:val="0"/>
          <w:sz w:val="24"/>
        </w:rPr>
        <w:t>3、以上采购清单为暂定数量，具体数量以实际工程使用数量为准。</w:t>
      </w:r>
    </w:p>
    <w:p w14:paraId="732ADFAA">
      <w:pPr>
        <w:autoSpaceDE w:val="0"/>
        <w:autoSpaceDN w:val="0"/>
        <w:adjustRightInd w:val="0"/>
        <w:spacing w:line="360" w:lineRule="auto"/>
        <w:jc w:val="center"/>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 xml:space="preserve">投标人（公章）： </w:t>
      </w:r>
      <w:r>
        <w:rPr>
          <w:rFonts w:hint="eastAsia" w:ascii="宋体" w:hAnsi="宋体" w:cs="仿宋_GB2312"/>
          <w:kern w:val="0"/>
          <w:sz w:val="24"/>
        </w:rPr>
        <w:t xml:space="preserve">   </w:t>
      </w:r>
      <w:r>
        <w:rPr>
          <w:rFonts w:hint="eastAsia" w:ascii="宋体" w:hAnsi="宋体" w:cs="仿宋_GB2312"/>
          <w:kern w:val="0"/>
          <w:sz w:val="24"/>
          <w:lang w:val="zh-CN"/>
        </w:rPr>
        <w:t xml:space="preserve">    </w:t>
      </w:r>
    </w:p>
    <w:p w14:paraId="3B0EB607">
      <w:pPr>
        <w:wordWrap w:val="0"/>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67B87383">
      <w:pPr>
        <w:wordWrap w:val="0"/>
        <w:spacing w:line="360" w:lineRule="auto"/>
        <w:jc w:val="right"/>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 xml:space="preserve">日 </w:t>
      </w:r>
      <w:r>
        <w:rPr>
          <w:rFonts w:hint="eastAsia" w:ascii="宋体" w:hAnsi="宋体" w:cs="仿宋_GB2312"/>
          <w:kern w:val="0"/>
          <w:sz w:val="24"/>
        </w:rPr>
        <w:t xml:space="preserve">       </w:t>
      </w:r>
    </w:p>
    <w:p w14:paraId="444749A1">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仿宋_GB2312"/>
          <w:kern w:val="0"/>
          <w:sz w:val="24"/>
          <w:lang w:val="zh-CN"/>
        </w:rPr>
        <w:br w:type="page"/>
      </w:r>
    </w:p>
    <w:p w14:paraId="7BE60A1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p>
    <w:p w14:paraId="0411D5D0">
      <w:pPr>
        <w:spacing w:line="360" w:lineRule="auto"/>
        <w:jc w:val="center"/>
        <w:rPr>
          <w:rFonts w:ascii="宋体" w:hAnsi="宋体"/>
          <w:b/>
          <w:kern w:val="0"/>
          <w:sz w:val="32"/>
          <w:szCs w:val="32"/>
        </w:rPr>
      </w:pPr>
      <w:r>
        <w:rPr>
          <w:rFonts w:hint="eastAsia" w:ascii="宋体" w:hAnsi="宋体" w:cs="宋体"/>
          <w:kern w:val="0"/>
          <w:sz w:val="24"/>
          <w:lang w:val="zh-CN"/>
        </w:rPr>
        <w:t xml:space="preserve"> </w:t>
      </w:r>
      <w:r>
        <w:rPr>
          <w:rFonts w:hint="eastAsia" w:ascii="宋体" w:hAnsi="宋体" w:cs="宋体"/>
          <w:b/>
          <w:kern w:val="0"/>
          <w:sz w:val="32"/>
          <w:szCs w:val="32"/>
        </w:rPr>
        <w:t>三、评分对应表</w:t>
      </w:r>
    </w:p>
    <w:p w14:paraId="794C4517">
      <w:pPr>
        <w:spacing w:line="360" w:lineRule="auto"/>
        <w:ind w:firstLine="361" w:firstLineChars="150"/>
        <w:jc w:val="left"/>
        <w:rPr>
          <w:rFonts w:ascii="宋体" w:hAnsi="宋体"/>
          <w:b/>
          <w:kern w:val="0"/>
          <w:sz w:val="24"/>
        </w:rPr>
      </w:pPr>
      <w:r>
        <w:rPr>
          <w:rFonts w:hint="eastAsia" w:ascii="宋体" w:hAnsi="宋体"/>
          <w:b/>
          <w:kern w:val="0"/>
          <w:sz w:val="24"/>
        </w:rPr>
        <w:t xml:space="preserve">                                   </w:t>
      </w:r>
    </w:p>
    <w:p w14:paraId="31C334DD">
      <w:pPr>
        <w:autoSpaceDE w:val="0"/>
        <w:autoSpaceDN w:val="0"/>
        <w:adjustRightInd w:val="0"/>
        <w:spacing w:line="360" w:lineRule="auto"/>
        <w:ind w:firstLine="479" w:firstLineChars="199"/>
        <w:rPr>
          <w:rFonts w:ascii="宋体" w:hAnsi="宋体"/>
          <w:b/>
          <w:kern w:val="0"/>
          <w:sz w:val="24"/>
        </w:rPr>
      </w:pPr>
      <w:r>
        <w:rPr>
          <w:rFonts w:hint="eastAsia" w:ascii="宋体" w:hAnsi="宋体"/>
          <w:b/>
          <w:kern w:val="0"/>
          <w:sz w:val="24"/>
        </w:rPr>
        <w:t>项目编号：</w:t>
      </w:r>
    </w:p>
    <w:tbl>
      <w:tblPr>
        <w:tblStyle w:val="28"/>
        <w:tblW w:w="85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8"/>
        <w:gridCol w:w="1366"/>
        <w:gridCol w:w="3237"/>
        <w:gridCol w:w="2798"/>
      </w:tblGrid>
      <w:tr w14:paraId="7B16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60F0DFED">
            <w:pPr>
              <w:pStyle w:val="20"/>
              <w:spacing w:line="360" w:lineRule="auto"/>
              <w:ind w:left="0"/>
              <w:jc w:val="center"/>
              <w:rPr>
                <w:b/>
                <w:bCs/>
                <w:sz w:val="24"/>
                <w:szCs w:val="24"/>
              </w:rPr>
            </w:pPr>
            <w:r>
              <w:rPr>
                <w:rFonts w:hint="eastAsia"/>
                <w:b/>
                <w:bCs/>
                <w:sz w:val="24"/>
                <w:szCs w:val="24"/>
              </w:rPr>
              <w:t>序号</w:t>
            </w:r>
          </w:p>
        </w:tc>
        <w:tc>
          <w:tcPr>
            <w:tcW w:w="1366" w:type="dxa"/>
            <w:tcBorders>
              <w:top w:val="single" w:color="auto" w:sz="4" w:space="0"/>
              <w:left w:val="single" w:color="auto" w:sz="4" w:space="0"/>
              <w:bottom w:val="single" w:color="auto" w:sz="4" w:space="0"/>
              <w:right w:val="single" w:color="auto" w:sz="4" w:space="0"/>
            </w:tcBorders>
            <w:vAlign w:val="center"/>
          </w:tcPr>
          <w:p w14:paraId="77F373E4">
            <w:pPr>
              <w:pStyle w:val="20"/>
              <w:spacing w:line="360" w:lineRule="auto"/>
              <w:ind w:left="0"/>
              <w:jc w:val="center"/>
              <w:rPr>
                <w:b/>
                <w:bCs/>
                <w:sz w:val="24"/>
                <w:szCs w:val="24"/>
              </w:rPr>
            </w:pPr>
            <w:r>
              <w:rPr>
                <w:rFonts w:hint="eastAsia"/>
                <w:b/>
                <w:bCs/>
                <w:sz w:val="24"/>
                <w:szCs w:val="24"/>
              </w:rPr>
              <w:t>评审内容</w:t>
            </w:r>
          </w:p>
        </w:tc>
        <w:tc>
          <w:tcPr>
            <w:tcW w:w="3237" w:type="dxa"/>
            <w:tcBorders>
              <w:top w:val="single" w:color="auto" w:sz="4" w:space="0"/>
              <w:left w:val="single" w:color="auto" w:sz="4" w:space="0"/>
              <w:bottom w:val="single" w:color="auto" w:sz="4" w:space="0"/>
              <w:right w:val="single" w:color="auto" w:sz="4" w:space="0"/>
            </w:tcBorders>
            <w:vAlign w:val="center"/>
          </w:tcPr>
          <w:p w14:paraId="05738E7F">
            <w:pPr>
              <w:pStyle w:val="20"/>
              <w:spacing w:line="360" w:lineRule="auto"/>
              <w:ind w:left="0"/>
              <w:jc w:val="center"/>
              <w:rPr>
                <w:b/>
                <w:bCs/>
                <w:sz w:val="24"/>
                <w:szCs w:val="24"/>
              </w:rPr>
            </w:pPr>
            <w:r>
              <w:rPr>
                <w:rFonts w:hint="eastAsia"/>
                <w:b/>
                <w:bCs/>
                <w:sz w:val="24"/>
                <w:szCs w:val="24"/>
              </w:rPr>
              <w:t>评分标准</w:t>
            </w:r>
          </w:p>
        </w:tc>
        <w:tc>
          <w:tcPr>
            <w:tcW w:w="2798" w:type="dxa"/>
            <w:tcBorders>
              <w:top w:val="single" w:color="auto" w:sz="4" w:space="0"/>
              <w:left w:val="single" w:color="auto" w:sz="4" w:space="0"/>
              <w:bottom w:val="single" w:color="auto" w:sz="4" w:space="0"/>
              <w:right w:val="single" w:color="auto" w:sz="4" w:space="0"/>
            </w:tcBorders>
            <w:vAlign w:val="center"/>
          </w:tcPr>
          <w:p w14:paraId="307E0BA0">
            <w:pPr>
              <w:pStyle w:val="20"/>
              <w:spacing w:line="360" w:lineRule="auto"/>
              <w:ind w:left="0"/>
              <w:jc w:val="center"/>
              <w:rPr>
                <w:b/>
                <w:bCs/>
                <w:sz w:val="24"/>
                <w:szCs w:val="24"/>
              </w:rPr>
            </w:pPr>
            <w:r>
              <w:rPr>
                <w:rFonts w:hint="eastAsia"/>
                <w:b/>
                <w:bCs/>
                <w:sz w:val="24"/>
                <w:szCs w:val="24"/>
              </w:rPr>
              <w:t>页码</w:t>
            </w:r>
          </w:p>
        </w:tc>
      </w:tr>
      <w:tr w14:paraId="0E8E2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3F5C1028">
            <w:pPr>
              <w:pStyle w:val="20"/>
              <w:spacing w:line="360" w:lineRule="auto"/>
              <w:ind w:left="0"/>
              <w:jc w:val="center"/>
              <w:rPr>
                <w:b/>
                <w:bCs/>
                <w:sz w:val="24"/>
                <w:szCs w:val="24"/>
              </w:rPr>
            </w:pPr>
            <w:r>
              <w:rPr>
                <w:rFonts w:hint="eastAsia"/>
                <w:b/>
                <w:bCs/>
                <w:sz w:val="24"/>
                <w:szCs w:val="24"/>
              </w:rPr>
              <w:t>一</w:t>
            </w:r>
          </w:p>
        </w:tc>
        <w:tc>
          <w:tcPr>
            <w:tcW w:w="1366" w:type="dxa"/>
            <w:tcBorders>
              <w:top w:val="single" w:color="auto" w:sz="4" w:space="0"/>
              <w:left w:val="single" w:color="auto" w:sz="4" w:space="0"/>
              <w:bottom w:val="single" w:color="auto" w:sz="4" w:space="0"/>
              <w:right w:val="single" w:color="auto" w:sz="4" w:space="0"/>
            </w:tcBorders>
            <w:vAlign w:val="center"/>
          </w:tcPr>
          <w:p w14:paraId="5E8E8946">
            <w:pPr>
              <w:pStyle w:val="20"/>
              <w:spacing w:line="360" w:lineRule="auto"/>
              <w:ind w:left="0"/>
              <w:jc w:val="center"/>
              <w:rPr>
                <w:b/>
                <w:bCs/>
                <w:sz w:val="24"/>
                <w:szCs w:val="24"/>
              </w:rPr>
            </w:pPr>
            <w:r>
              <w:rPr>
                <w:rFonts w:hint="eastAsia"/>
                <w:b/>
                <w:bCs/>
                <w:sz w:val="24"/>
                <w:szCs w:val="24"/>
              </w:rPr>
              <w:t>技术分</w:t>
            </w:r>
          </w:p>
        </w:tc>
        <w:tc>
          <w:tcPr>
            <w:tcW w:w="3237" w:type="dxa"/>
            <w:tcBorders>
              <w:top w:val="single" w:color="auto" w:sz="4" w:space="0"/>
              <w:left w:val="single" w:color="auto" w:sz="4" w:space="0"/>
              <w:bottom w:val="single" w:color="auto" w:sz="4" w:space="0"/>
              <w:right w:val="single" w:color="auto" w:sz="4" w:space="0"/>
            </w:tcBorders>
            <w:vAlign w:val="center"/>
          </w:tcPr>
          <w:p w14:paraId="44669822">
            <w:pPr>
              <w:pStyle w:val="20"/>
              <w:spacing w:line="360" w:lineRule="auto"/>
              <w:ind w:firstLine="482"/>
              <w:jc w:val="center"/>
              <w:rPr>
                <w:b/>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2A0D9272">
            <w:pPr>
              <w:pStyle w:val="20"/>
              <w:spacing w:line="360" w:lineRule="auto"/>
              <w:jc w:val="center"/>
              <w:rPr>
                <w:b/>
                <w:bCs/>
                <w:sz w:val="24"/>
                <w:szCs w:val="24"/>
              </w:rPr>
            </w:pPr>
          </w:p>
        </w:tc>
      </w:tr>
      <w:tr w14:paraId="3E6B0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3F375807">
            <w:pPr>
              <w:widowControl/>
              <w:spacing w:line="360" w:lineRule="auto"/>
              <w:jc w:val="center"/>
              <w:rPr>
                <w:rFonts w:ascii="宋体" w:hAnsi="宋体"/>
                <w:sz w:val="24"/>
                <w:szCs w:val="24"/>
              </w:rPr>
            </w:pPr>
            <w:r>
              <w:rPr>
                <w:rFonts w:hint="eastAsia" w:ascii="宋体" w:hAnsi="宋体"/>
                <w:sz w:val="24"/>
                <w:szCs w:val="24"/>
              </w:rPr>
              <w:t>1</w:t>
            </w:r>
          </w:p>
        </w:tc>
        <w:tc>
          <w:tcPr>
            <w:tcW w:w="1366" w:type="dxa"/>
            <w:tcBorders>
              <w:top w:val="single" w:color="auto" w:sz="4" w:space="0"/>
              <w:left w:val="single" w:color="auto" w:sz="4" w:space="0"/>
              <w:bottom w:val="single" w:color="auto" w:sz="4" w:space="0"/>
              <w:right w:val="single" w:color="auto" w:sz="4" w:space="0"/>
            </w:tcBorders>
            <w:vAlign w:val="center"/>
          </w:tcPr>
          <w:p w14:paraId="64780580">
            <w:pPr>
              <w:spacing w:line="360" w:lineRule="auto"/>
              <w:jc w:val="center"/>
              <w:rPr>
                <w:rFonts w:ascii="宋体" w:hAnsi="宋体"/>
                <w:sz w:val="24"/>
                <w:szCs w:val="24"/>
              </w:rPr>
            </w:pPr>
          </w:p>
        </w:tc>
        <w:tc>
          <w:tcPr>
            <w:tcW w:w="3237" w:type="dxa"/>
            <w:tcBorders>
              <w:top w:val="single" w:color="auto" w:sz="4" w:space="0"/>
              <w:left w:val="single" w:color="auto" w:sz="4" w:space="0"/>
              <w:right w:val="single" w:color="auto" w:sz="4" w:space="0"/>
            </w:tcBorders>
            <w:vAlign w:val="center"/>
          </w:tcPr>
          <w:p w14:paraId="45F93323">
            <w:pPr>
              <w:spacing w:line="360" w:lineRule="auto"/>
              <w:jc w:val="center"/>
              <w:rPr>
                <w:rFonts w:ascii="宋体" w:hAnsi="宋体"/>
                <w:sz w:val="24"/>
                <w:szCs w:val="24"/>
              </w:rPr>
            </w:pPr>
          </w:p>
        </w:tc>
        <w:tc>
          <w:tcPr>
            <w:tcW w:w="2798" w:type="dxa"/>
            <w:tcBorders>
              <w:top w:val="single" w:color="auto" w:sz="4" w:space="0"/>
              <w:left w:val="single" w:color="auto" w:sz="4" w:space="0"/>
              <w:right w:val="single" w:color="auto" w:sz="4" w:space="0"/>
            </w:tcBorders>
            <w:vAlign w:val="center"/>
          </w:tcPr>
          <w:p w14:paraId="724C8028">
            <w:pPr>
              <w:spacing w:line="360" w:lineRule="auto"/>
              <w:jc w:val="center"/>
              <w:rPr>
                <w:rFonts w:ascii="宋体" w:hAnsi="宋体"/>
                <w:bCs/>
                <w:sz w:val="24"/>
                <w:szCs w:val="24"/>
              </w:rPr>
            </w:pPr>
            <w:r>
              <w:rPr>
                <w:rFonts w:hint="eastAsia" w:ascii="宋体" w:hAnsi="宋体"/>
                <w:bCs/>
                <w:sz w:val="24"/>
                <w:szCs w:val="24"/>
              </w:rPr>
              <w:t>详见技术文件第几页</w:t>
            </w:r>
          </w:p>
        </w:tc>
      </w:tr>
      <w:tr w14:paraId="29E6D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B66AF76">
            <w:pPr>
              <w:widowControl/>
              <w:spacing w:line="360" w:lineRule="auto"/>
              <w:jc w:val="center"/>
              <w:rPr>
                <w:rFonts w:ascii="宋体" w:hAnsi="宋体"/>
                <w:sz w:val="24"/>
                <w:szCs w:val="24"/>
              </w:rPr>
            </w:pPr>
            <w:r>
              <w:rPr>
                <w:rFonts w:hint="eastAsia" w:ascii="宋体" w:hAnsi="宋体"/>
                <w:sz w:val="24"/>
                <w:szCs w:val="24"/>
              </w:rPr>
              <w:t>2</w:t>
            </w:r>
          </w:p>
        </w:tc>
        <w:tc>
          <w:tcPr>
            <w:tcW w:w="1366" w:type="dxa"/>
            <w:tcBorders>
              <w:top w:val="single" w:color="auto" w:sz="4" w:space="0"/>
              <w:left w:val="single" w:color="auto" w:sz="4" w:space="0"/>
              <w:bottom w:val="single" w:color="auto" w:sz="4" w:space="0"/>
              <w:right w:val="single" w:color="auto" w:sz="4" w:space="0"/>
            </w:tcBorders>
            <w:vAlign w:val="center"/>
          </w:tcPr>
          <w:p w14:paraId="549DFE90">
            <w:pPr>
              <w:spacing w:line="360" w:lineRule="auto"/>
              <w:jc w:val="center"/>
              <w:rPr>
                <w:rFonts w:ascii="宋体" w:hAnsi="宋体"/>
                <w:sz w:val="24"/>
                <w:szCs w:val="24"/>
              </w:rPr>
            </w:pPr>
          </w:p>
        </w:tc>
        <w:tc>
          <w:tcPr>
            <w:tcW w:w="3237" w:type="dxa"/>
            <w:tcBorders>
              <w:top w:val="single" w:color="auto" w:sz="4" w:space="0"/>
              <w:left w:val="single" w:color="auto" w:sz="4" w:space="0"/>
              <w:right w:val="single" w:color="auto" w:sz="4" w:space="0"/>
            </w:tcBorders>
            <w:vAlign w:val="center"/>
          </w:tcPr>
          <w:p w14:paraId="4821C01A">
            <w:pPr>
              <w:widowControl/>
              <w:spacing w:line="360" w:lineRule="auto"/>
              <w:jc w:val="center"/>
              <w:rPr>
                <w:rFonts w:ascii="宋体" w:hAnsi="宋体" w:cs="宋体"/>
                <w:kern w:val="0"/>
                <w:sz w:val="24"/>
                <w:szCs w:val="24"/>
              </w:rPr>
            </w:pPr>
          </w:p>
        </w:tc>
        <w:tc>
          <w:tcPr>
            <w:tcW w:w="2798" w:type="dxa"/>
            <w:tcBorders>
              <w:top w:val="single" w:color="auto" w:sz="4" w:space="0"/>
              <w:left w:val="single" w:color="auto" w:sz="4" w:space="0"/>
              <w:right w:val="single" w:color="auto" w:sz="4" w:space="0"/>
            </w:tcBorders>
            <w:vAlign w:val="center"/>
          </w:tcPr>
          <w:p w14:paraId="6B78B702">
            <w:pPr>
              <w:spacing w:line="360" w:lineRule="auto"/>
              <w:jc w:val="center"/>
              <w:rPr>
                <w:rFonts w:ascii="宋体" w:hAnsi="宋体"/>
                <w:bCs/>
                <w:sz w:val="24"/>
                <w:szCs w:val="24"/>
              </w:rPr>
            </w:pPr>
            <w:r>
              <w:rPr>
                <w:rFonts w:hint="eastAsia" w:ascii="宋体" w:hAnsi="宋体"/>
                <w:bCs/>
                <w:sz w:val="24"/>
                <w:szCs w:val="24"/>
              </w:rPr>
              <w:t>……</w:t>
            </w:r>
          </w:p>
        </w:tc>
      </w:tr>
      <w:tr w14:paraId="21F8E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168" w:type="dxa"/>
            <w:tcBorders>
              <w:left w:val="single" w:color="auto" w:sz="4" w:space="0"/>
              <w:bottom w:val="single" w:color="auto" w:sz="4" w:space="0"/>
              <w:right w:val="single" w:color="auto" w:sz="4" w:space="0"/>
            </w:tcBorders>
            <w:vAlign w:val="center"/>
          </w:tcPr>
          <w:p w14:paraId="052B8835">
            <w:pPr>
              <w:widowControl/>
              <w:spacing w:line="360" w:lineRule="auto"/>
              <w:jc w:val="center"/>
              <w:rPr>
                <w:rFonts w:ascii="宋体" w:hAnsi="宋体"/>
                <w:sz w:val="24"/>
                <w:szCs w:val="24"/>
              </w:rPr>
            </w:pPr>
            <w:r>
              <w:rPr>
                <w:rFonts w:hint="eastAsia" w:ascii="宋体" w:hAnsi="宋体"/>
                <w:sz w:val="24"/>
                <w:szCs w:val="24"/>
              </w:rPr>
              <w:t>……</w:t>
            </w:r>
          </w:p>
        </w:tc>
        <w:tc>
          <w:tcPr>
            <w:tcW w:w="1366" w:type="dxa"/>
            <w:tcBorders>
              <w:left w:val="single" w:color="auto" w:sz="4" w:space="0"/>
              <w:bottom w:val="single" w:color="auto" w:sz="4" w:space="0"/>
              <w:right w:val="single" w:color="auto" w:sz="4" w:space="0"/>
            </w:tcBorders>
            <w:vAlign w:val="center"/>
          </w:tcPr>
          <w:p w14:paraId="0C52BF58">
            <w:pPr>
              <w:widowControl/>
              <w:spacing w:line="360" w:lineRule="auto"/>
              <w:jc w:val="center"/>
              <w:rPr>
                <w:rFonts w:ascii="宋体" w:hAnsi="宋体" w:cs="宋体"/>
                <w:kern w:val="0"/>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7538F4B8">
            <w:pPr>
              <w:spacing w:line="360" w:lineRule="auto"/>
              <w:ind w:left="55" w:leftChars="26"/>
              <w:jc w:val="center"/>
              <w:rPr>
                <w:rFonts w:ascii="宋体" w:hAnsi="宋体" w:cs="宋体"/>
                <w:kern w:val="0"/>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78B1DFEB">
            <w:pPr>
              <w:spacing w:line="360" w:lineRule="auto"/>
              <w:jc w:val="center"/>
              <w:rPr>
                <w:rFonts w:ascii="宋体" w:hAnsi="宋体"/>
                <w:bCs/>
                <w:sz w:val="24"/>
                <w:szCs w:val="24"/>
              </w:rPr>
            </w:pPr>
          </w:p>
        </w:tc>
      </w:tr>
      <w:tr w14:paraId="53D12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3128D79D">
            <w:pPr>
              <w:widowControl/>
              <w:spacing w:line="360" w:lineRule="auto"/>
              <w:jc w:val="center"/>
              <w:rPr>
                <w:rFonts w:ascii="宋体" w:hAnsi="宋体"/>
                <w:b/>
                <w:sz w:val="24"/>
                <w:szCs w:val="24"/>
              </w:rPr>
            </w:pPr>
            <w:r>
              <w:rPr>
                <w:rFonts w:hint="eastAsia" w:ascii="宋体" w:hAnsi="宋体"/>
                <w:b/>
                <w:sz w:val="24"/>
                <w:szCs w:val="24"/>
              </w:rPr>
              <w:t>二</w:t>
            </w:r>
          </w:p>
        </w:tc>
        <w:tc>
          <w:tcPr>
            <w:tcW w:w="1366" w:type="dxa"/>
            <w:tcBorders>
              <w:top w:val="single" w:color="auto" w:sz="4" w:space="0"/>
              <w:left w:val="single" w:color="auto" w:sz="4" w:space="0"/>
              <w:bottom w:val="single" w:color="auto" w:sz="4" w:space="0"/>
              <w:right w:val="single" w:color="auto" w:sz="4" w:space="0"/>
            </w:tcBorders>
            <w:vAlign w:val="center"/>
          </w:tcPr>
          <w:p w14:paraId="6734A545">
            <w:pPr>
              <w:widowControl/>
              <w:spacing w:line="360" w:lineRule="auto"/>
              <w:jc w:val="center"/>
              <w:rPr>
                <w:rFonts w:ascii="宋体" w:hAnsi="宋体"/>
                <w:b/>
                <w:sz w:val="24"/>
                <w:szCs w:val="24"/>
              </w:rPr>
            </w:pPr>
            <w:r>
              <w:rPr>
                <w:rFonts w:hint="eastAsia" w:ascii="宋体" w:hAnsi="宋体"/>
                <w:b/>
                <w:sz w:val="24"/>
                <w:szCs w:val="24"/>
              </w:rPr>
              <w:t>商务分</w:t>
            </w:r>
          </w:p>
        </w:tc>
        <w:tc>
          <w:tcPr>
            <w:tcW w:w="3237" w:type="dxa"/>
            <w:tcBorders>
              <w:top w:val="single" w:color="auto" w:sz="4" w:space="0"/>
              <w:left w:val="single" w:color="auto" w:sz="4" w:space="0"/>
              <w:bottom w:val="single" w:color="auto" w:sz="4" w:space="0"/>
              <w:right w:val="single" w:color="auto" w:sz="4" w:space="0"/>
            </w:tcBorders>
            <w:vAlign w:val="center"/>
          </w:tcPr>
          <w:p w14:paraId="1BCDD049">
            <w:pPr>
              <w:pStyle w:val="20"/>
              <w:spacing w:line="360" w:lineRule="auto"/>
              <w:jc w:val="center"/>
              <w:rPr>
                <w:b/>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18AFB026">
            <w:pPr>
              <w:pStyle w:val="20"/>
              <w:spacing w:line="360" w:lineRule="auto"/>
              <w:jc w:val="center"/>
              <w:rPr>
                <w:b/>
                <w:sz w:val="24"/>
                <w:szCs w:val="24"/>
              </w:rPr>
            </w:pPr>
          </w:p>
        </w:tc>
      </w:tr>
      <w:tr w14:paraId="3982E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3B12BF5">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4877ABD4">
            <w:pPr>
              <w:spacing w:line="360" w:lineRule="auto"/>
              <w:jc w:val="center"/>
              <w:rPr>
                <w:rFonts w:ascii="宋体" w:hAnsi="宋体"/>
                <w:kern w:val="0"/>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040E5F51">
            <w:pPr>
              <w:spacing w:line="360" w:lineRule="auto"/>
              <w:jc w:val="center"/>
              <w:rPr>
                <w:rFonts w:ascii="宋体" w:hAnsi="宋体"/>
                <w:kern w:val="0"/>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3604BD55">
            <w:pPr>
              <w:spacing w:line="360" w:lineRule="auto"/>
              <w:rPr>
                <w:rFonts w:ascii="宋体" w:hAnsi="宋体"/>
                <w:bCs/>
                <w:sz w:val="24"/>
                <w:szCs w:val="24"/>
              </w:rPr>
            </w:pPr>
            <w:r>
              <w:rPr>
                <w:rFonts w:hint="eastAsia" w:ascii="宋体" w:hAnsi="宋体"/>
                <w:bCs/>
                <w:sz w:val="24"/>
                <w:szCs w:val="24"/>
              </w:rPr>
              <w:t>详见商务文件第几页</w:t>
            </w:r>
          </w:p>
        </w:tc>
      </w:tr>
      <w:tr w14:paraId="59F3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46BD4AF1">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29107FB0">
            <w:pPr>
              <w:spacing w:line="360" w:lineRule="auto"/>
              <w:jc w:val="center"/>
              <w:rPr>
                <w:rFonts w:ascii="宋体" w:hAnsi="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308783E3">
            <w:pPr>
              <w:spacing w:line="360" w:lineRule="auto"/>
              <w:jc w:val="center"/>
              <w:rPr>
                <w:rFonts w:ascii="宋体" w:hAnsi="宋体"/>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321EC829">
            <w:pPr>
              <w:pStyle w:val="20"/>
              <w:spacing w:line="360" w:lineRule="auto"/>
              <w:jc w:val="center"/>
              <w:rPr>
                <w:sz w:val="24"/>
                <w:szCs w:val="24"/>
              </w:rPr>
            </w:pPr>
            <w:r>
              <w:rPr>
                <w:rFonts w:hint="eastAsia"/>
                <w:sz w:val="24"/>
                <w:szCs w:val="24"/>
              </w:rPr>
              <w:t>……</w:t>
            </w:r>
          </w:p>
        </w:tc>
      </w:tr>
      <w:tr w14:paraId="1DA79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71B93F06">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147785DA">
            <w:pPr>
              <w:spacing w:line="360" w:lineRule="auto"/>
              <w:jc w:val="center"/>
              <w:rPr>
                <w:rFonts w:ascii="宋体" w:hAnsi="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201BD98C">
            <w:pPr>
              <w:spacing w:line="360" w:lineRule="auto"/>
              <w:jc w:val="center"/>
              <w:rPr>
                <w:rFonts w:ascii="宋体" w:hAnsi="宋体"/>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5975D91B">
            <w:pPr>
              <w:pStyle w:val="20"/>
              <w:spacing w:line="360" w:lineRule="auto"/>
              <w:jc w:val="center"/>
              <w:rPr>
                <w:sz w:val="24"/>
                <w:szCs w:val="24"/>
              </w:rPr>
            </w:pPr>
          </w:p>
        </w:tc>
      </w:tr>
      <w:tr w14:paraId="73A97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jc w:val="center"/>
        </w:trPr>
        <w:tc>
          <w:tcPr>
            <w:tcW w:w="1168" w:type="dxa"/>
            <w:tcBorders>
              <w:left w:val="single" w:color="auto" w:sz="4" w:space="0"/>
              <w:bottom w:val="single" w:color="auto" w:sz="4" w:space="0"/>
              <w:right w:val="single" w:color="auto" w:sz="4" w:space="0"/>
            </w:tcBorders>
            <w:vAlign w:val="center"/>
          </w:tcPr>
          <w:p w14:paraId="104F870F">
            <w:pPr>
              <w:widowControl/>
              <w:spacing w:line="360" w:lineRule="auto"/>
              <w:jc w:val="center"/>
              <w:rPr>
                <w:rFonts w:ascii="宋体" w:hAnsi="宋体"/>
                <w:sz w:val="24"/>
                <w:szCs w:val="24"/>
              </w:rPr>
            </w:pPr>
          </w:p>
        </w:tc>
        <w:tc>
          <w:tcPr>
            <w:tcW w:w="1366" w:type="dxa"/>
            <w:tcBorders>
              <w:left w:val="single" w:color="auto" w:sz="4" w:space="0"/>
              <w:bottom w:val="single" w:color="auto" w:sz="4" w:space="0"/>
              <w:right w:val="single" w:color="auto" w:sz="4" w:space="0"/>
            </w:tcBorders>
            <w:vAlign w:val="center"/>
          </w:tcPr>
          <w:p w14:paraId="4FF2D41A">
            <w:pPr>
              <w:widowControl/>
              <w:spacing w:line="360" w:lineRule="auto"/>
              <w:jc w:val="center"/>
              <w:rPr>
                <w:rFonts w:ascii="宋体" w:hAnsi="宋体"/>
                <w:b/>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39FFD4C0">
            <w:pPr>
              <w:pStyle w:val="20"/>
              <w:spacing w:line="360" w:lineRule="auto"/>
              <w:jc w:val="center"/>
              <w:rPr>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36A96D55">
            <w:pPr>
              <w:widowControl/>
              <w:spacing w:line="360" w:lineRule="auto"/>
              <w:jc w:val="center"/>
              <w:rPr>
                <w:rFonts w:ascii="宋体" w:hAnsi="宋体"/>
                <w:b/>
                <w:sz w:val="24"/>
                <w:szCs w:val="24"/>
              </w:rPr>
            </w:pPr>
          </w:p>
        </w:tc>
      </w:tr>
      <w:tr w14:paraId="213E7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left w:val="single" w:color="auto" w:sz="4" w:space="0"/>
              <w:bottom w:val="single" w:color="auto" w:sz="4" w:space="0"/>
              <w:right w:val="single" w:color="auto" w:sz="4" w:space="0"/>
            </w:tcBorders>
            <w:vAlign w:val="center"/>
          </w:tcPr>
          <w:p w14:paraId="12133A17">
            <w:pPr>
              <w:widowControl/>
              <w:spacing w:line="360" w:lineRule="auto"/>
              <w:jc w:val="center"/>
              <w:rPr>
                <w:rFonts w:ascii="宋体" w:hAnsi="宋体"/>
                <w:sz w:val="24"/>
                <w:szCs w:val="24"/>
              </w:rPr>
            </w:pPr>
          </w:p>
        </w:tc>
        <w:tc>
          <w:tcPr>
            <w:tcW w:w="1366" w:type="dxa"/>
            <w:tcBorders>
              <w:left w:val="single" w:color="auto" w:sz="4" w:space="0"/>
              <w:bottom w:val="single" w:color="auto" w:sz="4" w:space="0"/>
              <w:right w:val="single" w:color="auto" w:sz="4" w:space="0"/>
            </w:tcBorders>
            <w:vAlign w:val="center"/>
          </w:tcPr>
          <w:p w14:paraId="3971EB06">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65237C2">
            <w:pPr>
              <w:spacing w:line="360" w:lineRule="auto"/>
              <w:jc w:val="center"/>
              <w:rPr>
                <w:rFonts w:ascii="宋体" w:hAnsi="宋体"/>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373135E3">
            <w:pPr>
              <w:spacing w:line="360" w:lineRule="auto"/>
              <w:jc w:val="center"/>
              <w:rPr>
                <w:rFonts w:ascii="宋体" w:hAnsi="宋体"/>
                <w:bCs/>
                <w:sz w:val="24"/>
                <w:szCs w:val="24"/>
              </w:rPr>
            </w:pPr>
          </w:p>
        </w:tc>
      </w:tr>
      <w:tr w14:paraId="45C64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259C6474">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69D0D3BC">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0E5F9652">
            <w:pPr>
              <w:spacing w:line="360" w:lineRule="auto"/>
              <w:jc w:val="center"/>
              <w:rPr>
                <w:rFonts w:ascii="宋体" w:hAnsi="宋体"/>
                <w:bCs/>
                <w:sz w:val="24"/>
                <w:szCs w:val="24"/>
              </w:rPr>
            </w:pPr>
          </w:p>
        </w:tc>
        <w:tc>
          <w:tcPr>
            <w:tcW w:w="2798" w:type="dxa"/>
            <w:tcBorders>
              <w:top w:val="single" w:color="auto" w:sz="4" w:space="0"/>
              <w:left w:val="single" w:color="auto" w:sz="4" w:space="0"/>
              <w:bottom w:val="single" w:color="auto" w:sz="4" w:space="0"/>
              <w:right w:val="single" w:color="auto" w:sz="4" w:space="0"/>
            </w:tcBorders>
            <w:vAlign w:val="center"/>
          </w:tcPr>
          <w:p w14:paraId="10F9A7AA">
            <w:pPr>
              <w:spacing w:line="360" w:lineRule="auto"/>
              <w:jc w:val="center"/>
              <w:rPr>
                <w:rFonts w:ascii="宋体" w:hAnsi="宋体"/>
                <w:bCs/>
                <w:sz w:val="24"/>
                <w:szCs w:val="24"/>
              </w:rPr>
            </w:pPr>
          </w:p>
        </w:tc>
      </w:tr>
      <w:tr w14:paraId="7C680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5DC7F10D">
            <w:pPr>
              <w:widowControl/>
              <w:spacing w:line="360" w:lineRule="auto"/>
              <w:jc w:val="center"/>
              <w:rPr>
                <w:rFonts w:ascii="宋体" w:hAnsi="宋体"/>
                <w:sz w:val="24"/>
                <w:szCs w:val="24"/>
              </w:rPr>
            </w:pPr>
          </w:p>
        </w:tc>
        <w:tc>
          <w:tcPr>
            <w:tcW w:w="1366" w:type="dxa"/>
            <w:tcBorders>
              <w:top w:val="single" w:color="auto" w:sz="4" w:space="0"/>
              <w:left w:val="single" w:color="auto" w:sz="4" w:space="0"/>
              <w:bottom w:val="single" w:color="auto" w:sz="4" w:space="0"/>
              <w:right w:val="single" w:color="auto" w:sz="4" w:space="0"/>
            </w:tcBorders>
            <w:vAlign w:val="center"/>
          </w:tcPr>
          <w:p w14:paraId="5CA471B4">
            <w:pPr>
              <w:spacing w:line="360" w:lineRule="auto"/>
              <w:jc w:val="center"/>
              <w:rPr>
                <w:rFonts w:ascii="宋体" w:hAnsi="宋体"/>
                <w:bCs/>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8374A3D">
            <w:pPr>
              <w:spacing w:line="360" w:lineRule="auto"/>
              <w:jc w:val="center"/>
              <w:rPr>
                <w:rFonts w:ascii="宋体" w:hAnsi="宋体"/>
                <w:bCs/>
                <w:sz w:val="24"/>
                <w:szCs w:val="24"/>
              </w:rPr>
            </w:pPr>
          </w:p>
        </w:tc>
        <w:tc>
          <w:tcPr>
            <w:tcW w:w="2798" w:type="dxa"/>
            <w:tcBorders>
              <w:top w:val="single" w:color="auto" w:sz="4" w:space="0"/>
              <w:left w:val="single" w:color="auto" w:sz="4" w:space="0"/>
              <w:right w:val="single" w:color="auto" w:sz="4" w:space="0"/>
            </w:tcBorders>
            <w:vAlign w:val="center"/>
          </w:tcPr>
          <w:p w14:paraId="226BF40A">
            <w:pPr>
              <w:spacing w:line="360" w:lineRule="auto"/>
              <w:jc w:val="center"/>
              <w:rPr>
                <w:rFonts w:ascii="宋体" w:hAnsi="宋体"/>
                <w:bCs/>
                <w:sz w:val="24"/>
                <w:szCs w:val="24"/>
              </w:rPr>
            </w:pPr>
          </w:p>
        </w:tc>
      </w:tr>
    </w:tbl>
    <w:p w14:paraId="74B4967E">
      <w:pPr>
        <w:snapToGrid w:val="0"/>
        <w:spacing w:before="50" w:after="50" w:line="360" w:lineRule="auto"/>
        <w:ind w:firstLine="600" w:firstLineChars="250"/>
        <w:rPr>
          <w:rFonts w:ascii="宋体" w:hAnsi="宋体"/>
          <w:sz w:val="24"/>
        </w:rPr>
      </w:pPr>
      <w:r>
        <w:rPr>
          <w:rFonts w:hint="eastAsia" w:ascii="宋体" w:hAnsi="宋体"/>
          <w:sz w:val="24"/>
        </w:rPr>
        <w:t>注：评分对应表主要用于作为专家评分的一个参考及查阅依据。</w:t>
      </w:r>
    </w:p>
    <w:p w14:paraId="4DD9320F">
      <w:pPr>
        <w:snapToGrid w:val="0"/>
        <w:spacing w:before="50" w:after="50" w:line="360" w:lineRule="auto"/>
        <w:rPr>
          <w:rFonts w:ascii="宋体" w:hAnsi="宋体"/>
          <w:sz w:val="24"/>
          <w:szCs w:val="24"/>
        </w:rPr>
      </w:pPr>
    </w:p>
    <w:p w14:paraId="2885DE6D">
      <w:pPr>
        <w:spacing w:line="360" w:lineRule="auto"/>
        <w:jc w:val="center"/>
        <w:rPr>
          <w:rFonts w:ascii="宋体" w:hAnsi="宋体" w:cs="宋体"/>
          <w:b/>
          <w:kern w:val="0"/>
          <w:sz w:val="32"/>
          <w:szCs w:val="32"/>
        </w:rPr>
      </w:pPr>
      <w:bookmarkStart w:id="22" w:name="_Toc297472062"/>
      <w:bookmarkStart w:id="23" w:name="_Toc297472829"/>
      <w:r>
        <w:rPr>
          <w:rFonts w:ascii="宋体" w:hAnsi="宋体"/>
          <w:b/>
          <w:kern w:val="0"/>
          <w:sz w:val="32"/>
          <w:szCs w:val="32"/>
        </w:rPr>
        <w:br w:type="page"/>
      </w:r>
      <w:bookmarkEnd w:id="22"/>
      <w:bookmarkEnd w:id="23"/>
      <w:bookmarkStart w:id="24" w:name="_Toc297472830"/>
      <w:bookmarkStart w:id="25" w:name="_Toc297472063"/>
      <w:r>
        <w:rPr>
          <w:rFonts w:hint="eastAsia" w:ascii="宋体" w:hAnsi="宋体" w:cs="宋体"/>
          <w:b/>
          <w:kern w:val="0"/>
          <w:sz w:val="32"/>
          <w:szCs w:val="32"/>
        </w:rPr>
        <w:t>四、采购需求实质性内容响应表</w:t>
      </w:r>
    </w:p>
    <w:p w14:paraId="01E08FAD">
      <w:pPr>
        <w:autoSpaceDE w:val="0"/>
        <w:autoSpaceDN w:val="0"/>
        <w:adjustRightInd w:val="0"/>
        <w:spacing w:line="360" w:lineRule="auto"/>
        <w:jc w:val="center"/>
        <w:rPr>
          <w:rFonts w:ascii="宋体" w:hAnsi="宋体"/>
          <w:b/>
          <w:kern w:val="0"/>
          <w:sz w:val="32"/>
          <w:szCs w:val="32"/>
        </w:rPr>
      </w:pPr>
    </w:p>
    <w:p w14:paraId="071378DA">
      <w:pPr>
        <w:autoSpaceDE w:val="0"/>
        <w:autoSpaceDN w:val="0"/>
        <w:adjustRightInd w:val="0"/>
        <w:spacing w:line="360" w:lineRule="auto"/>
        <w:ind w:firstLine="361" w:firstLineChars="150"/>
        <w:rPr>
          <w:rFonts w:ascii="宋体" w:hAnsi="宋体"/>
          <w:b/>
          <w:kern w:val="0"/>
          <w:sz w:val="24"/>
        </w:rPr>
      </w:pPr>
      <w:r>
        <w:rPr>
          <w:rFonts w:hint="eastAsia" w:ascii="宋体" w:hAnsi="宋体"/>
          <w:b/>
          <w:kern w:val="0"/>
          <w:sz w:val="24"/>
        </w:rPr>
        <w:t>项目编号：</w:t>
      </w:r>
    </w:p>
    <w:tbl>
      <w:tblPr>
        <w:tblStyle w:val="2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14:paraId="0EBA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61939429">
            <w:pPr>
              <w:spacing w:line="360" w:lineRule="auto"/>
              <w:jc w:val="center"/>
              <w:rPr>
                <w:rFonts w:ascii="宋体" w:hAnsi="宋体"/>
                <w:b/>
                <w:sz w:val="24"/>
              </w:rPr>
            </w:pPr>
            <w:r>
              <w:rPr>
                <w:rFonts w:hint="eastAsia" w:ascii="宋体" w:hAnsi="宋体"/>
                <w:b/>
                <w:sz w:val="24"/>
              </w:rPr>
              <w:t>序号</w:t>
            </w:r>
          </w:p>
        </w:tc>
        <w:tc>
          <w:tcPr>
            <w:tcW w:w="1855" w:type="dxa"/>
            <w:tcBorders>
              <w:bottom w:val="single" w:color="auto" w:sz="4" w:space="0"/>
            </w:tcBorders>
            <w:vAlign w:val="center"/>
          </w:tcPr>
          <w:p w14:paraId="49DFE9C1">
            <w:pPr>
              <w:spacing w:line="360" w:lineRule="auto"/>
              <w:jc w:val="center"/>
              <w:rPr>
                <w:rFonts w:ascii="宋体" w:hAnsi="宋体"/>
                <w:b/>
                <w:sz w:val="24"/>
              </w:rPr>
            </w:pPr>
            <w:r>
              <w:rPr>
                <w:rFonts w:hint="eastAsia" w:ascii="宋体" w:hAnsi="宋体"/>
                <w:b/>
                <w:sz w:val="24"/>
              </w:rPr>
              <w:t>实质性条款</w:t>
            </w:r>
          </w:p>
        </w:tc>
        <w:tc>
          <w:tcPr>
            <w:tcW w:w="1957" w:type="dxa"/>
            <w:tcBorders>
              <w:bottom w:val="single" w:color="auto" w:sz="4" w:space="0"/>
            </w:tcBorders>
            <w:vAlign w:val="center"/>
          </w:tcPr>
          <w:p w14:paraId="002F007C">
            <w:pPr>
              <w:spacing w:line="360" w:lineRule="auto"/>
              <w:jc w:val="center"/>
              <w:rPr>
                <w:rFonts w:ascii="宋体" w:hAnsi="宋体"/>
                <w:b/>
                <w:sz w:val="24"/>
              </w:rPr>
            </w:pPr>
            <w:r>
              <w:rPr>
                <w:rFonts w:hint="eastAsia" w:ascii="宋体" w:hAnsi="宋体"/>
                <w:b/>
                <w:sz w:val="24"/>
              </w:rPr>
              <w:t>招标文件要求</w:t>
            </w:r>
          </w:p>
        </w:tc>
        <w:tc>
          <w:tcPr>
            <w:tcW w:w="2414" w:type="dxa"/>
            <w:tcBorders>
              <w:bottom w:val="single" w:color="auto" w:sz="4" w:space="0"/>
            </w:tcBorders>
            <w:vAlign w:val="center"/>
          </w:tcPr>
          <w:p w14:paraId="77D113A6">
            <w:pPr>
              <w:spacing w:line="360" w:lineRule="auto"/>
              <w:rPr>
                <w:rFonts w:ascii="宋体" w:hAnsi="宋体"/>
                <w:b/>
                <w:sz w:val="24"/>
              </w:rPr>
            </w:pPr>
            <w:r>
              <w:rPr>
                <w:rFonts w:hint="eastAsia" w:ascii="宋体" w:hAnsi="宋体"/>
                <w:b/>
                <w:sz w:val="24"/>
              </w:rPr>
              <w:t>投标承诺或说明</w:t>
            </w:r>
          </w:p>
        </w:tc>
        <w:tc>
          <w:tcPr>
            <w:tcW w:w="1730" w:type="dxa"/>
            <w:tcBorders>
              <w:bottom w:val="single" w:color="auto" w:sz="4" w:space="0"/>
            </w:tcBorders>
            <w:vAlign w:val="center"/>
          </w:tcPr>
          <w:p w14:paraId="667B87D1">
            <w:pPr>
              <w:spacing w:line="360" w:lineRule="auto"/>
              <w:jc w:val="center"/>
              <w:rPr>
                <w:rFonts w:ascii="宋体" w:hAnsi="宋体"/>
                <w:b/>
                <w:sz w:val="24"/>
              </w:rPr>
            </w:pPr>
            <w:r>
              <w:rPr>
                <w:rFonts w:hint="eastAsia" w:ascii="宋体" w:hAnsi="宋体"/>
                <w:b/>
                <w:sz w:val="24"/>
              </w:rPr>
              <w:t>满足情况</w:t>
            </w:r>
          </w:p>
        </w:tc>
      </w:tr>
      <w:tr w14:paraId="66B3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43859D52">
            <w:pPr>
              <w:spacing w:line="360" w:lineRule="auto"/>
              <w:jc w:val="center"/>
              <w:rPr>
                <w:rFonts w:ascii="宋体" w:hAnsi="宋体"/>
                <w:sz w:val="24"/>
              </w:rPr>
            </w:pPr>
            <w:r>
              <w:rPr>
                <w:rFonts w:hint="eastAsia" w:ascii="宋体" w:hAnsi="宋体"/>
                <w:sz w:val="24"/>
              </w:rPr>
              <w:t>1</w:t>
            </w:r>
          </w:p>
        </w:tc>
        <w:tc>
          <w:tcPr>
            <w:tcW w:w="1855" w:type="dxa"/>
            <w:vAlign w:val="top"/>
          </w:tcPr>
          <w:p w14:paraId="7E48554E">
            <w:pPr>
              <w:spacing w:line="360" w:lineRule="auto"/>
              <w:rPr>
                <w:rFonts w:ascii="宋体" w:hAnsi="宋体"/>
                <w:sz w:val="24"/>
              </w:rPr>
            </w:pPr>
          </w:p>
        </w:tc>
        <w:tc>
          <w:tcPr>
            <w:tcW w:w="1957" w:type="dxa"/>
            <w:vAlign w:val="top"/>
          </w:tcPr>
          <w:p w14:paraId="6A3C9BE4">
            <w:pPr>
              <w:spacing w:line="360" w:lineRule="auto"/>
              <w:rPr>
                <w:rFonts w:ascii="宋体" w:hAnsi="宋体"/>
                <w:sz w:val="24"/>
              </w:rPr>
            </w:pPr>
          </w:p>
        </w:tc>
        <w:tc>
          <w:tcPr>
            <w:tcW w:w="2414" w:type="dxa"/>
            <w:vAlign w:val="top"/>
          </w:tcPr>
          <w:p w14:paraId="5E641246">
            <w:pPr>
              <w:spacing w:line="360" w:lineRule="auto"/>
              <w:rPr>
                <w:rFonts w:ascii="宋体" w:hAnsi="宋体"/>
                <w:sz w:val="24"/>
              </w:rPr>
            </w:pPr>
          </w:p>
        </w:tc>
        <w:tc>
          <w:tcPr>
            <w:tcW w:w="1730" w:type="dxa"/>
            <w:vAlign w:val="top"/>
          </w:tcPr>
          <w:p w14:paraId="285B513A">
            <w:pPr>
              <w:spacing w:line="360" w:lineRule="auto"/>
              <w:rPr>
                <w:rFonts w:ascii="宋体" w:hAnsi="宋体"/>
                <w:sz w:val="24"/>
              </w:rPr>
            </w:pPr>
          </w:p>
        </w:tc>
      </w:tr>
      <w:tr w14:paraId="2F8B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72F0F432">
            <w:pPr>
              <w:spacing w:line="360" w:lineRule="auto"/>
              <w:jc w:val="center"/>
              <w:rPr>
                <w:rFonts w:ascii="宋体" w:hAnsi="宋体"/>
                <w:sz w:val="24"/>
              </w:rPr>
            </w:pPr>
            <w:r>
              <w:rPr>
                <w:rFonts w:hint="eastAsia" w:ascii="宋体" w:hAnsi="宋体"/>
                <w:sz w:val="24"/>
              </w:rPr>
              <w:t>2</w:t>
            </w:r>
          </w:p>
        </w:tc>
        <w:tc>
          <w:tcPr>
            <w:tcW w:w="1855" w:type="dxa"/>
            <w:vAlign w:val="top"/>
          </w:tcPr>
          <w:p w14:paraId="5292D124">
            <w:pPr>
              <w:spacing w:line="360" w:lineRule="auto"/>
              <w:rPr>
                <w:rFonts w:ascii="宋体" w:hAnsi="宋体"/>
                <w:sz w:val="24"/>
              </w:rPr>
            </w:pPr>
          </w:p>
        </w:tc>
        <w:tc>
          <w:tcPr>
            <w:tcW w:w="1957" w:type="dxa"/>
            <w:vAlign w:val="top"/>
          </w:tcPr>
          <w:p w14:paraId="5E40AC99">
            <w:pPr>
              <w:spacing w:line="360" w:lineRule="auto"/>
              <w:rPr>
                <w:rFonts w:ascii="宋体" w:hAnsi="宋体"/>
                <w:sz w:val="24"/>
              </w:rPr>
            </w:pPr>
          </w:p>
        </w:tc>
        <w:tc>
          <w:tcPr>
            <w:tcW w:w="2414" w:type="dxa"/>
            <w:vAlign w:val="top"/>
          </w:tcPr>
          <w:p w14:paraId="212307CE">
            <w:pPr>
              <w:spacing w:line="360" w:lineRule="auto"/>
              <w:rPr>
                <w:rFonts w:ascii="宋体" w:hAnsi="宋体"/>
                <w:sz w:val="24"/>
              </w:rPr>
            </w:pPr>
          </w:p>
        </w:tc>
        <w:tc>
          <w:tcPr>
            <w:tcW w:w="1730" w:type="dxa"/>
            <w:vAlign w:val="top"/>
          </w:tcPr>
          <w:p w14:paraId="7AFD229A">
            <w:pPr>
              <w:spacing w:line="360" w:lineRule="auto"/>
              <w:rPr>
                <w:rFonts w:ascii="宋体" w:hAnsi="宋体"/>
                <w:sz w:val="24"/>
              </w:rPr>
            </w:pPr>
          </w:p>
        </w:tc>
      </w:tr>
      <w:tr w14:paraId="4344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35A948F0">
            <w:pPr>
              <w:spacing w:line="360" w:lineRule="auto"/>
              <w:jc w:val="center"/>
              <w:rPr>
                <w:rFonts w:ascii="宋体" w:hAnsi="宋体"/>
                <w:sz w:val="24"/>
              </w:rPr>
            </w:pPr>
            <w:r>
              <w:rPr>
                <w:rFonts w:hint="eastAsia" w:ascii="宋体" w:hAnsi="宋体"/>
                <w:sz w:val="24"/>
              </w:rPr>
              <w:t>3</w:t>
            </w:r>
          </w:p>
        </w:tc>
        <w:tc>
          <w:tcPr>
            <w:tcW w:w="1855" w:type="dxa"/>
            <w:vAlign w:val="top"/>
          </w:tcPr>
          <w:p w14:paraId="690D0058">
            <w:pPr>
              <w:spacing w:line="360" w:lineRule="auto"/>
              <w:rPr>
                <w:rFonts w:ascii="宋体" w:hAnsi="宋体"/>
                <w:sz w:val="24"/>
              </w:rPr>
            </w:pPr>
          </w:p>
        </w:tc>
        <w:tc>
          <w:tcPr>
            <w:tcW w:w="1957" w:type="dxa"/>
            <w:vAlign w:val="top"/>
          </w:tcPr>
          <w:p w14:paraId="71F3161D">
            <w:pPr>
              <w:spacing w:line="360" w:lineRule="auto"/>
              <w:rPr>
                <w:rFonts w:ascii="宋体" w:hAnsi="宋体"/>
                <w:sz w:val="24"/>
              </w:rPr>
            </w:pPr>
          </w:p>
        </w:tc>
        <w:tc>
          <w:tcPr>
            <w:tcW w:w="2414" w:type="dxa"/>
            <w:vAlign w:val="top"/>
          </w:tcPr>
          <w:p w14:paraId="2E96EB85">
            <w:pPr>
              <w:spacing w:line="360" w:lineRule="auto"/>
              <w:rPr>
                <w:rFonts w:ascii="宋体" w:hAnsi="宋体"/>
                <w:sz w:val="24"/>
              </w:rPr>
            </w:pPr>
          </w:p>
        </w:tc>
        <w:tc>
          <w:tcPr>
            <w:tcW w:w="1730" w:type="dxa"/>
            <w:vAlign w:val="top"/>
          </w:tcPr>
          <w:p w14:paraId="6BE39779">
            <w:pPr>
              <w:spacing w:line="360" w:lineRule="auto"/>
              <w:rPr>
                <w:rFonts w:ascii="宋体" w:hAnsi="宋体"/>
                <w:sz w:val="24"/>
              </w:rPr>
            </w:pPr>
          </w:p>
        </w:tc>
      </w:tr>
      <w:tr w14:paraId="4A3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69A0FC88">
            <w:pPr>
              <w:spacing w:line="360" w:lineRule="auto"/>
              <w:jc w:val="center"/>
              <w:rPr>
                <w:rFonts w:ascii="宋体" w:hAnsi="宋体"/>
                <w:sz w:val="24"/>
              </w:rPr>
            </w:pPr>
            <w:r>
              <w:rPr>
                <w:rFonts w:hint="eastAsia" w:ascii="宋体" w:hAnsi="宋体"/>
                <w:sz w:val="24"/>
              </w:rPr>
              <w:t>4</w:t>
            </w:r>
          </w:p>
        </w:tc>
        <w:tc>
          <w:tcPr>
            <w:tcW w:w="1855" w:type="dxa"/>
            <w:vAlign w:val="top"/>
          </w:tcPr>
          <w:p w14:paraId="0F3F00BC">
            <w:pPr>
              <w:spacing w:line="360" w:lineRule="auto"/>
              <w:rPr>
                <w:rFonts w:ascii="宋体" w:hAnsi="宋体"/>
                <w:sz w:val="24"/>
              </w:rPr>
            </w:pPr>
          </w:p>
        </w:tc>
        <w:tc>
          <w:tcPr>
            <w:tcW w:w="1957" w:type="dxa"/>
            <w:vAlign w:val="top"/>
          </w:tcPr>
          <w:p w14:paraId="28356E9D">
            <w:pPr>
              <w:spacing w:line="360" w:lineRule="auto"/>
              <w:rPr>
                <w:rFonts w:ascii="宋体" w:hAnsi="宋体"/>
                <w:sz w:val="24"/>
              </w:rPr>
            </w:pPr>
          </w:p>
        </w:tc>
        <w:tc>
          <w:tcPr>
            <w:tcW w:w="2414" w:type="dxa"/>
            <w:vAlign w:val="top"/>
          </w:tcPr>
          <w:p w14:paraId="187CF00F">
            <w:pPr>
              <w:spacing w:line="360" w:lineRule="auto"/>
              <w:rPr>
                <w:rFonts w:ascii="宋体" w:hAnsi="宋体"/>
                <w:sz w:val="24"/>
              </w:rPr>
            </w:pPr>
          </w:p>
        </w:tc>
        <w:tc>
          <w:tcPr>
            <w:tcW w:w="1730" w:type="dxa"/>
            <w:vAlign w:val="top"/>
          </w:tcPr>
          <w:p w14:paraId="0D5A7A61">
            <w:pPr>
              <w:spacing w:line="360" w:lineRule="auto"/>
              <w:rPr>
                <w:rFonts w:ascii="宋体" w:hAnsi="宋体"/>
                <w:sz w:val="24"/>
              </w:rPr>
            </w:pPr>
          </w:p>
        </w:tc>
      </w:tr>
      <w:tr w14:paraId="7943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1DD48C8D">
            <w:pPr>
              <w:spacing w:line="360" w:lineRule="auto"/>
              <w:jc w:val="center"/>
              <w:rPr>
                <w:rFonts w:ascii="宋体" w:hAnsi="宋体"/>
                <w:sz w:val="24"/>
              </w:rPr>
            </w:pPr>
            <w:r>
              <w:rPr>
                <w:rFonts w:hint="eastAsia" w:ascii="宋体" w:hAnsi="宋体"/>
                <w:sz w:val="24"/>
              </w:rPr>
              <w:t>5</w:t>
            </w:r>
          </w:p>
        </w:tc>
        <w:tc>
          <w:tcPr>
            <w:tcW w:w="1855" w:type="dxa"/>
            <w:vAlign w:val="top"/>
          </w:tcPr>
          <w:p w14:paraId="4EE5A0C5">
            <w:pPr>
              <w:spacing w:line="360" w:lineRule="auto"/>
              <w:rPr>
                <w:rFonts w:ascii="宋体" w:hAnsi="宋体"/>
                <w:sz w:val="24"/>
              </w:rPr>
            </w:pPr>
          </w:p>
        </w:tc>
        <w:tc>
          <w:tcPr>
            <w:tcW w:w="1957" w:type="dxa"/>
            <w:vAlign w:val="top"/>
          </w:tcPr>
          <w:p w14:paraId="1FA6CE96">
            <w:pPr>
              <w:spacing w:line="360" w:lineRule="auto"/>
              <w:rPr>
                <w:rFonts w:ascii="宋体" w:hAnsi="宋体"/>
                <w:sz w:val="24"/>
              </w:rPr>
            </w:pPr>
          </w:p>
        </w:tc>
        <w:tc>
          <w:tcPr>
            <w:tcW w:w="2414" w:type="dxa"/>
            <w:vAlign w:val="top"/>
          </w:tcPr>
          <w:p w14:paraId="5ADD9368">
            <w:pPr>
              <w:spacing w:line="360" w:lineRule="auto"/>
              <w:rPr>
                <w:rFonts w:ascii="宋体" w:hAnsi="宋体"/>
                <w:sz w:val="24"/>
              </w:rPr>
            </w:pPr>
          </w:p>
        </w:tc>
        <w:tc>
          <w:tcPr>
            <w:tcW w:w="1730" w:type="dxa"/>
            <w:vAlign w:val="top"/>
          </w:tcPr>
          <w:p w14:paraId="5CA8B013">
            <w:pPr>
              <w:spacing w:line="360" w:lineRule="auto"/>
              <w:rPr>
                <w:rFonts w:ascii="宋体" w:hAnsi="宋体"/>
                <w:sz w:val="24"/>
              </w:rPr>
            </w:pPr>
          </w:p>
        </w:tc>
      </w:tr>
      <w:tr w14:paraId="438E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3EBAD10D">
            <w:pPr>
              <w:spacing w:line="360" w:lineRule="auto"/>
              <w:jc w:val="center"/>
              <w:rPr>
                <w:rFonts w:ascii="宋体" w:hAnsi="宋体"/>
                <w:sz w:val="24"/>
              </w:rPr>
            </w:pPr>
            <w:r>
              <w:rPr>
                <w:rFonts w:hint="eastAsia" w:ascii="宋体" w:hAnsi="宋体"/>
                <w:sz w:val="24"/>
              </w:rPr>
              <w:t>6</w:t>
            </w:r>
          </w:p>
        </w:tc>
        <w:tc>
          <w:tcPr>
            <w:tcW w:w="1855" w:type="dxa"/>
            <w:vAlign w:val="top"/>
          </w:tcPr>
          <w:p w14:paraId="69A69340">
            <w:pPr>
              <w:spacing w:line="360" w:lineRule="auto"/>
              <w:rPr>
                <w:rFonts w:ascii="宋体" w:hAnsi="宋体"/>
                <w:sz w:val="24"/>
              </w:rPr>
            </w:pPr>
          </w:p>
        </w:tc>
        <w:tc>
          <w:tcPr>
            <w:tcW w:w="1957" w:type="dxa"/>
            <w:vAlign w:val="top"/>
          </w:tcPr>
          <w:p w14:paraId="656FF69B">
            <w:pPr>
              <w:spacing w:line="360" w:lineRule="auto"/>
              <w:rPr>
                <w:rFonts w:ascii="宋体" w:hAnsi="宋体"/>
                <w:sz w:val="24"/>
              </w:rPr>
            </w:pPr>
          </w:p>
        </w:tc>
        <w:tc>
          <w:tcPr>
            <w:tcW w:w="2414" w:type="dxa"/>
            <w:vAlign w:val="top"/>
          </w:tcPr>
          <w:p w14:paraId="17D14207">
            <w:pPr>
              <w:spacing w:line="360" w:lineRule="auto"/>
              <w:rPr>
                <w:rFonts w:ascii="宋体" w:hAnsi="宋体"/>
                <w:sz w:val="24"/>
              </w:rPr>
            </w:pPr>
          </w:p>
        </w:tc>
        <w:tc>
          <w:tcPr>
            <w:tcW w:w="1730" w:type="dxa"/>
            <w:vAlign w:val="top"/>
          </w:tcPr>
          <w:p w14:paraId="53FA44CB">
            <w:pPr>
              <w:spacing w:line="360" w:lineRule="auto"/>
              <w:rPr>
                <w:rFonts w:ascii="宋体" w:hAnsi="宋体"/>
                <w:sz w:val="24"/>
              </w:rPr>
            </w:pPr>
          </w:p>
        </w:tc>
      </w:tr>
      <w:tr w14:paraId="656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1E414ADF">
            <w:pPr>
              <w:spacing w:line="360" w:lineRule="auto"/>
              <w:jc w:val="center"/>
              <w:rPr>
                <w:rFonts w:ascii="宋体" w:hAnsi="宋体"/>
                <w:sz w:val="24"/>
              </w:rPr>
            </w:pPr>
            <w:r>
              <w:rPr>
                <w:rFonts w:hint="eastAsia" w:ascii="宋体" w:hAnsi="宋体"/>
                <w:sz w:val="24"/>
              </w:rPr>
              <w:t>7</w:t>
            </w:r>
          </w:p>
        </w:tc>
        <w:tc>
          <w:tcPr>
            <w:tcW w:w="1855" w:type="dxa"/>
            <w:vAlign w:val="top"/>
          </w:tcPr>
          <w:p w14:paraId="217959FB">
            <w:pPr>
              <w:spacing w:line="360" w:lineRule="auto"/>
              <w:rPr>
                <w:rFonts w:ascii="宋体" w:hAnsi="宋体"/>
                <w:sz w:val="24"/>
              </w:rPr>
            </w:pPr>
          </w:p>
        </w:tc>
        <w:tc>
          <w:tcPr>
            <w:tcW w:w="1957" w:type="dxa"/>
            <w:vAlign w:val="top"/>
          </w:tcPr>
          <w:p w14:paraId="3589F1A4">
            <w:pPr>
              <w:spacing w:line="360" w:lineRule="auto"/>
              <w:rPr>
                <w:rFonts w:ascii="宋体" w:hAnsi="宋体"/>
                <w:sz w:val="24"/>
              </w:rPr>
            </w:pPr>
          </w:p>
        </w:tc>
        <w:tc>
          <w:tcPr>
            <w:tcW w:w="2414" w:type="dxa"/>
            <w:vAlign w:val="top"/>
          </w:tcPr>
          <w:p w14:paraId="47C61D65">
            <w:pPr>
              <w:spacing w:line="360" w:lineRule="auto"/>
              <w:rPr>
                <w:rFonts w:ascii="宋体" w:hAnsi="宋体"/>
                <w:sz w:val="24"/>
              </w:rPr>
            </w:pPr>
          </w:p>
        </w:tc>
        <w:tc>
          <w:tcPr>
            <w:tcW w:w="1730" w:type="dxa"/>
            <w:vAlign w:val="top"/>
          </w:tcPr>
          <w:p w14:paraId="2C72D10F">
            <w:pPr>
              <w:spacing w:line="360" w:lineRule="auto"/>
              <w:rPr>
                <w:rFonts w:ascii="宋体" w:hAnsi="宋体"/>
                <w:sz w:val="24"/>
              </w:rPr>
            </w:pPr>
          </w:p>
        </w:tc>
      </w:tr>
      <w:tr w14:paraId="5BA9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35F88B99">
            <w:pPr>
              <w:spacing w:line="360" w:lineRule="auto"/>
              <w:jc w:val="center"/>
              <w:rPr>
                <w:rFonts w:ascii="宋体" w:hAnsi="宋体"/>
                <w:sz w:val="24"/>
              </w:rPr>
            </w:pPr>
            <w:r>
              <w:rPr>
                <w:rFonts w:hint="eastAsia" w:ascii="宋体" w:hAnsi="宋体"/>
                <w:sz w:val="24"/>
              </w:rPr>
              <w:t>8</w:t>
            </w:r>
          </w:p>
        </w:tc>
        <w:tc>
          <w:tcPr>
            <w:tcW w:w="1855" w:type="dxa"/>
            <w:vAlign w:val="top"/>
          </w:tcPr>
          <w:p w14:paraId="37B6853C">
            <w:pPr>
              <w:spacing w:line="360" w:lineRule="auto"/>
              <w:rPr>
                <w:rFonts w:ascii="宋体" w:hAnsi="宋体"/>
                <w:sz w:val="24"/>
              </w:rPr>
            </w:pPr>
          </w:p>
        </w:tc>
        <w:tc>
          <w:tcPr>
            <w:tcW w:w="1957" w:type="dxa"/>
            <w:vAlign w:val="top"/>
          </w:tcPr>
          <w:p w14:paraId="13535891">
            <w:pPr>
              <w:spacing w:line="360" w:lineRule="auto"/>
              <w:rPr>
                <w:rFonts w:ascii="宋体" w:hAnsi="宋体"/>
                <w:sz w:val="24"/>
              </w:rPr>
            </w:pPr>
          </w:p>
        </w:tc>
        <w:tc>
          <w:tcPr>
            <w:tcW w:w="2414" w:type="dxa"/>
            <w:vAlign w:val="top"/>
          </w:tcPr>
          <w:p w14:paraId="04133BD3">
            <w:pPr>
              <w:spacing w:line="360" w:lineRule="auto"/>
              <w:rPr>
                <w:rFonts w:ascii="宋体" w:hAnsi="宋体"/>
                <w:sz w:val="24"/>
              </w:rPr>
            </w:pPr>
          </w:p>
        </w:tc>
        <w:tc>
          <w:tcPr>
            <w:tcW w:w="1730" w:type="dxa"/>
            <w:vAlign w:val="top"/>
          </w:tcPr>
          <w:p w14:paraId="41B8BD81">
            <w:pPr>
              <w:spacing w:line="360" w:lineRule="auto"/>
              <w:rPr>
                <w:rFonts w:ascii="宋体" w:hAnsi="宋体"/>
                <w:sz w:val="24"/>
              </w:rPr>
            </w:pPr>
          </w:p>
        </w:tc>
      </w:tr>
      <w:tr w14:paraId="274C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top"/>
          </w:tcPr>
          <w:p w14:paraId="6EE4B4A3">
            <w:pPr>
              <w:spacing w:line="360" w:lineRule="auto"/>
              <w:rPr>
                <w:rFonts w:ascii="宋体" w:hAnsi="宋体"/>
                <w:sz w:val="24"/>
              </w:rPr>
            </w:pPr>
          </w:p>
        </w:tc>
        <w:tc>
          <w:tcPr>
            <w:tcW w:w="1855" w:type="dxa"/>
            <w:vAlign w:val="top"/>
          </w:tcPr>
          <w:p w14:paraId="7F8DC0C6">
            <w:pPr>
              <w:spacing w:line="360" w:lineRule="auto"/>
              <w:rPr>
                <w:rFonts w:ascii="宋体" w:hAnsi="宋体"/>
                <w:sz w:val="24"/>
              </w:rPr>
            </w:pPr>
          </w:p>
        </w:tc>
        <w:tc>
          <w:tcPr>
            <w:tcW w:w="1957" w:type="dxa"/>
            <w:vAlign w:val="top"/>
          </w:tcPr>
          <w:p w14:paraId="0967149B">
            <w:pPr>
              <w:spacing w:line="360" w:lineRule="auto"/>
              <w:rPr>
                <w:rFonts w:ascii="宋体" w:hAnsi="宋体"/>
                <w:sz w:val="24"/>
              </w:rPr>
            </w:pPr>
          </w:p>
        </w:tc>
        <w:tc>
          <w:tcPr>
            <w:tcW w:w="2414" w:type="dxa"/>
            <w:vAlign w:val="top"/>
          </w:tcPr>
          <w:p w14:paraId="643D3C25">
            <w:pPr>
              <w:spacing w:line="360" w:lineRule="auto"/>
              <w:rPr>
                <w:rFonts w:ascii="宋体" w:hAnsi="宋体"/>
                <w:sz w:val="24"/>
              </w:rPr>
            </w:pPr>
          </w:p>
        </w:tc>
        <w:tc>
          <w:tcPr>
            <w:tcW w:w="1730" w:type="dxa"/>
            <w:vAlign w:val="top"/>
          </w:tcPr>
          <w:p w14:paraId="2B3071B7">
            <w:pPr>
              <w:spacing w:line="360" w:lineRule="auto"/>
              <w:rPr>
                <w:rFonts w:ascii="宋体" w:hAnsi="宋体"/>
                <w:sz w:val="24"/>
              </w:rPr>
            </w:pPr>
          </w:p>
        </w:tc>
      </w:tr>
    </w:tbl>
    <w:p w14:paraId="5726D91D">
      <w:pPr>
        <w:adjustRightInd w:val="0"/>
        <w:snapToGrid w:val="0"/>
        <w:spacing w:line="360" w:lineRule="auto"/>
        <w:rPr>
          <w:rFonts w:ascii="宋体" w:hAnsi="宋体"/>
          <w:kern w:val="0"/>
          <w:sz w:val="24"/>
        </w:rPr>
      </w:pPr>
      <w:r>
        <w:rPr>
          <w:rFonts w:hint="eastAsia" w:ascii="宋体" w:hAnsi="宋体"/>
          <w:kern w:val="0"/>
          <w:sz w:val="24"/>
        </w:rPr>
        <w:t>填表说明：</w:t>
      </w:r>
    </w:p>
    <w:p w14:paraId="6297D741">
      <w:pPr>
        <w:adjustRightInd w:val="0"/>
        <w:snapToGrid w:val="0"/>
        <w:spacing w:line="360" w:lineRule="auto"/>
        <w:ind w:firstLine="480" w:firstLineChars="200"/>
        <w:rPr>
          <w:rFonts w:ascii="宋体" w:hAnsi="宋体" w:cs="仿宋_GB2312"/>
          <w:kern w:val="0"/>
          <w:sz w:val="24"/>
          <w:lang w:val="zh-CN"/>
        </w:rPr>
      </w:pPr>
      <w:r>
        <w:rPr>
          <w:rFonts w:hint="eastAsia" w:ascii="宋体" w:hAnsi="宋体"/>
          <w:kern w:val="0"/>
          <w:sz w:val="24"/>
        </w:rPr>
        <w:t>1、</w:t>
      </w:r>
      <w:r>
        <w:rPr>
          <w:rFonts w:hint="eastAsia" w:ascii="宋体" w:hAnsi="宋体" w:cs="仿宋_GB2312"/>
          <w:kern w:val="0"/>
          <w:sz w:val="24"/>
          <w:lang w:val="zh-CN"/>
        </w:rPr>
        <w:t>“实质性内容”详见“第三部分 采购需求”中带“●”条款，本表中所列条款仅供参考；</w:t>
      </w:r>
    </w:p>
    <w:p w14:paraId="09ECB64C">
      <w:pPr>
        <w:adjustRightInd w:val="0"/>
        <w:snapToGrid w:val="0"/>
        <w:spacing w:line="360" w:lineRule="auto"/>
        <w:ind w:firstLine="480" w:firstLineChars="200"/>
        <w:rPr>
          <w:rFonts w:ascii="宋体" w:hAnsi="宋体"/>
          <w:kern w:val="0"/>
          <w:sz w:val="24"/>
        </w:rPr>
      </w:pPr>
      <w:r>
        <w:rPr>
          <w:rFonts w:hint="eastAsia" w:ascii="宋体" w:hAnsi="宋体" w:cs="仿宋_GB2312"/>
          <w:kern w:val="0"/>
          <w:sz w:val="24"/>
          <w:lang w:val="zh-CN"/>
        </w:rPr>
        <w:t>2、</w:t>
      </w:r>
      <w:r>
        <w:rPr>
          <w:rFonts w:hint="eastAsia" w:ascii="宋体" w:hAnsi="宋体"/>
          <w:kern w:val="0"/>
          <w:sz w:val="24"/>
        </w:rPr>
        <w:t>投标人应根据投标承诺或说明，对照招标文件要求在“满足情况”栏注明“满足”或“不满足”；</w:t>
      </w:r>
    </w:p>
    <w:p w14:paraId="5867B3EC">
      <w:pPr>
        <w:adjustRightInd w:val="0"/>
        <w:snapToGrid w:val="0"/>
        <w:spacing w:line="360" w:lineRule="auto"/>
        <w:ind w:firstLine="480" w:firstLineChars="200"/>
        <w:rPr>
          <w:rFonts w:ascii="宋体" w:hAnsi="宋体" w:cs="仿宋_GB2312"/>
          <w:kern w:val="0"/>
          <w:sz w:val="24"/>
          <w:lang w:val="zh-CN"/>
        </w:rPr>
      </w:pPr>
      <w:r>
        <w:rPr>
          <w:rFonts w:hint="eastAsia" w:ascii="宋体" w:hAnsi="宋体"/>
          <w:kern w:val="0"/>
          <w:sz w:val="24"/>
        </w:rPr>
        <w:t>3、</w:t>
      </w:r>
      <w:r>
        <w:rPr>
          <w:rFonts w:hint="eastAsia" w:ascii="宋体" w:hAnsi="宋体" w:cs="仿宋_GB2312"/>
          <w:kern w:val="0"/>
          <w:sz w:val="24"/>
          <w:lang w:val="zh-CN"/>
        </w:rPr>
        <w:t>本项目“第三部分 采购需求”中所有带“●”条款，投标人必须作出实质性响应，如有任意一条未响应或不满足，将被视为无效。</w:t>
      </w:r>
    </w:p>
    <w:p w14:paraId="1C430D09">
      <w:pPr>
        <w:autoSpaceDE w:val="0"/>
        <w:autoSpaceDN w:val="0"/>
        <w:adjustRightInd w:val="0"/>
        <w:spacing w:line="360" w:lineRule="auto"/>
        <w:rPr>
          <w:rFonts w:ascii="宋体" w:hAnsi="宋体" w:cs="仿宋_GB2312"/>
          <w:kern w:val="0"/>
          <w:sz w:val="24"/>
          <w:lang w:val="zh-CN"/>
        </w:rPr>
      </w:pPr>
    </w:p>
    <w:p w14:paraId="6499CD05">
      <w:pPr>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投标人（公章）：     </w:t>
      </w:r>
    </w:p>
    <w:p w14:paraId="567D0EB1">
      <w:pPr>
        <w:autoSpaceDE w:val="0"/>
        <w:autoSpaceDN w:val="0"/>
        <w:adjustRightIn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法定代表人或授权代表（签字）：     </w:t>
      </w:r>
    </w:p>
    <w:p w14:paraId="4A878142">
      <w:pPr>
        <w:autoSpaceDE w:val="0"/>
        <w:autoSpaceDN w:val="0"/>
        <w:adjustRightInd w:val="0"/>
        <w:spacing w:line="360" w:lineRule="auto"/>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ascii="宋体" w:hAnsi="宋体" w:cs="仿宋_GB2312"/>
          <w:kern w:val="0"/>
          <w:sz w:val="24"/>
          <w:lang w:val="zh-CN"/>
        </w:rPr>
        <w:t>20</w:t>
      </w:r>
      <w:r>
        <w:rPr>
          <w:rFonts w:hint="eastAsia" w:ascii="宋体" w:hAnsi="宋体" w:cs="仿宋_GB2312"/>
          <w:kern w:val="0"/>
          <w:sz w:val="24"/>
          <w:lang w:val="zh-CN"/>
        </w:rPr>
        <w:t xml:space="preserve">  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14:paraId="56AAB4FE">
      <w:pPr>
        <w:autoSpaceDE w:val="0"/>
        <w:autoSpaceDN w:val="0"/>
        <w:adjustRightInd w:val="0"/>
        <w:spacing w:line="360" w:lineRule="auto"/>
        <w:jc w:val="center"/>
        <w:rPr>
          <w:rFonts w:ascii="宋体" w:hAnsi="宋体"/>
          <w:b/>
          <w:kern w:val="0"/>
          <w:sz w:val="32"/>
          <w:szCs w:val="32"/>
        </w:rPr>
      </w:pPr>
    </w:p>
    <w:p w14:paraId="7A41326A">
      <w:pPr>
        <w:autoSpaceDE w:val="0"/>
        <w:autoSpaceDN w:val="0"/>
        <w:adjustRightInd w:val="0"/>
        <w:spacing w:line="360" w:lineRule="auto"/>
        <w:rPr>
          <w:rFonts w:ascii="宋体" w:hAnsi="宋体"/>
          <w:b/>
          <w:kern w:val="0"/>
          <w:sz w:val="32"/>
          <w:szCs w:val="32"/>
        </w:rPr>
      </w:pPr>
    </w:p>
    <w:p w14:paraId="300EBE89">
      <w:pPr>
        <w:autoSpaceDE w:val="0"/>
        <w:autoSpaceDN w:val="0"/>
        <w:adjustRightInd w:val="0"/>
        <w:spacing w:line="360" w:lineRule="auto"/>
        <w:jc w:val="center"/>
        <w:rPr>
          <w:rFonts w:ascii="宋体" w:hAnsi="宋体"/>
          <w:b/>
          <w:kern w:val="0"/>
          <w:sz w:val="32"/>
          <w:szCs w:val="32"/>
        </w:rPr>
      </w:pPr>
    </w:p>
    <w:p w14:paraId="3428B6B1">
      <w:pPr>
        <w:autoSpaceDE w:val="0"/>
        <w:autoSpaceDN w:val="0"/>
        <w:adjustRightInd w:val="0"/>
        <w:spacing w:line="360" w:lineRule="auto"/>
        <w:jc w:val="center"/>
        <w:rPr>
          <w:rFonts w:ascii="宋体" w:hAnsi="宋体" w:cs="宋体"/>
          <w:b/>
          <w:kern w:val="0"/>
          <w:sz w:val="32"/>
          <w:szCs w:val="32"/>
        </w:rPr>
      </w:pPr>
      <w:r>
        <w:rPr>
          <w:rFonts w:hint="eastAsia" w:ascii="宋体" w:hAnsi="宋体"/>
          <w:b/>
          <w:kern w:val="0"/>
          <w:sz w:val="32"/>
          <w:szCs w:val="32"/>
        </w:rPr>
        <w:t>五、</w:t>
      </w:r>
      <w:r>
        <w:rPr>
          <w:rFonts w:hint="eastAsia" w:ascii="宋体" w:hAnsi="宋体" w:cs="宋体"/>
          <w:b/>
          <w:kern w:val="0"/>
          <w:sz w:val="32"/>
          <w:szCs w:val="32"/>
        </w:rPr>
        <w:t>技术偏离表</w:t>
      </w:r>
    </w:p>
    <w:p w14:paraId="3050A385">
      <w:pPr>
        <w:autoSpaceDE w:val="0"/>
        <w:autoSpaceDN w:val="0"/>
        <w:adjustRightInd w:val="0"/>
        <w:spacing w:line="360" w:lineRule="auto"/>
        <w:jc w:val="center"/>
        <w:rPr>
          <w:rFonts w:ascii="宋体" w:hAnsi="宋体" w:cs="宋体"/>
          <w:b/>
          <w:kern w:val="0"/>
          <w:sz w:val="32"/>
          <w:szCs w:val="32"/>
        </w:rPr>
      </w:pPr>
    </w:p>
    <w:p w14:paraId="35C5EBDD">
      <w:pPr>
        <w:autoSpaceDE w:val="0"/>
        <w:autoSpaceDN w:val="0"/>
        <w:adjustRightInd w:val="0"/>
        <w:spacing w:line="360" w:lineRule="auto"/>
        <w:ind w:firstLine="361" w:firstLineChars="150"/>
        <w:rPr>
          <w:rFonts w:ascii="宋体" w:hAnsi="宋体" w:cs="宋体"/>
          <w:b/>
          <w:kern w:val="0"/>
          <w:sz w:val="24"/>
        </w:rPr>
      </w:pPr>
      <w:r>
        <w:rPr>
          <w:rFonts w:hint="eastAsia" w:ascii="宋体" w:hAnsi="宋体" w:cs="宋体"/>
          <w:b/>
          <w:kern w:val="0"/>
          <w:sz w:val="24"/>
        </w:rPr>
        <w:t xml:space="preserve">项目编号： </w:t>
      </w:r>
    </w:p>
    <w:tbl>
      <w:tblPr>
        <w:tblStyle w:val="28"/>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46"/>
        <w:gridCol w:w="2053"/>
        <w:gridCol w:w="1700"/>
        <w:gridCol w:w="2648"/>
      </w:tblGrid>
      <w:tr w14:paraId="059D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21" w:type="dxa"/>
            <w:tcBorders>
              <w:bottom w:val="single" w:color="auto" w:sz="4" w:space="0"/>
            </w:tcBorders>
            <w:vAlign w:val="center"/>
          </w:tcPr>
          <w:p w14:paraId="61B150CD">
            <w:pPr>
              <w:spacing w:line="360" w:lineRule="auto"/>
              <w:jc w:val="center"/>
              <w:rPr>
                <w:rFonts w:ascii="宋体" w:hAnsi="宋体" w:cs="宋体"/>
                <w:b/>
                <w:sz w:val="24"/>
                <w:szCs w:val="24"/>
              </w:rPr>
            </w:pPr>
            <w:r>
              <w:rPr>
                <w:rFonts w:hint="eastAsia" w:ascii="宋体" w:hAnsi="宋体" w:cs="宋体"/>
                <w:b/>
                <w:sz w:val="24"/>
                <w:szCs w:val="24"/>
              </w:rPr>
              <w:t>序号</w:t>
            </w:r>
          </w:p>
        </w:tc>
        <w:tc>
          <w:tcPr>
            <w:tcW w:w="1946" w:type="dxa"/>
            <w:tcBorders>
              <w:bottom w:val="single" w:color="auto" w:sz="4" w:space="0"/>
            </w:tcBorders>
            <w:vAlign w:val="center"/>
          </w:tcPr>
          <w:p w14:paraId="546D1172">
            <w:pPr>
              <w:spacing w:line="360" w:lineRule="auto"/>
              <w:jc w:val="center"/>
              <w:rPr>
                <w:rFonts w:ascii="宋体" w:hAnsi="宋体" w:cs="宋体"/>
                <w:b/>
                <w:sz w:val="24"/>
                <w:szCs w:val="24"/>
              </w:rPr>
            </w:pPr>
            <w:r>
              <w:rPr>
                <w:rFonts w:hint="eastAsia" w:ascii="宋体" w:hAnsi="宋体" w:cs="宋体"/>
                <w:b/>
                <w:sz w:val="24"/>
                <w:szCs w:val="24"/>
              </w:rPr>
              <w:t>内  容</w:t>
            </w:r>
          </w:p>
        </w:tc>
        <w:tc>
          <w:tcPr>
            <w:tcW w:w="2053" w:type="dxa"/>
            <w:tcBorders>
              <w:bottom w:val="single" w:color="auto" w:sz="4" w:space="0"/>
            </w:tcBorders>
            <w:vAlign w:val="center"/>
          </w:tcPr>
          <w:p w14:paraId="0F8E3B2D">
            <w:pPr>
              <w:spacing w:line="360" w:lineRule="auto"/>
              <w:jc w:val="center"/>
              <w:rPr>
                <w:rFonts w:ascii="宋体" w:hAnsi="宋体" w:cs="宋体"/>
                <w:b/>
                <w:sz w:val="24"/>
                <w:szCs w:val="24"/>
              </w:rPr>
            </w:pPr>
            <w:r>
              <w:rPr>
                <w:rFonts w:hint="eastAsia" w:ascii="宋体" w:hAnsi="宋体" w:cs="宋体"/>
                <w:b/>
                <w:sz w:val="24"/>
                <w:szCs w:val="24"/>
              </w:rPr>
              <w:t>招标文件</w:t>
            </w:r>
          </w:p>
          <w:p w14:paraId="0B88ECF2">
            <w:pPr>
              <w:spacing w:line="360" w:lineRule="auto"/>
              <w:jc w:val="center"/>
              <w:rPr>
                <w:rFonts w:ascii="宋体" w:hAnsi="宋体" w:cs="宋体"/>
                <w:b/>
                <w:sz w:val="24"/>
                <w:szCs w:val="24"/>
              </w:rPr>
            </w:pPr>
            <w:r>
              <w:rPr>
                <w:rFonts w:hint="eastAsia" w:ascii="宋体" w:hAnsi="宋体" w:cs="宋体"/>
                <w:b/>
                <w:sz w:val="24"/>
                <w:szCs w:val="24"/>
              </w:rPr>
              <w:t>规范要求</w:t>
            </w:r>
          </w:p>
        </w:tc>
        <w:tc>
          <w:tcPr>
            <w:tcW w:w="1700" w:type="dxa"/>
            <w:tcBorders>
              <w:bottom w:val="single" w:color="auto" w:sz="4" w:space="0"/>
            </w:tcBorders>
            <w:vAlign w:val="center"/>
          </w:tcPr>
          <w:p w14:paraId="6F17DF02">
            <w:pPr>
              <w:spacing w:line="360" w:lineRule="auto"/>
              <w:jc w:val="center"/>
              <w:rPr>
                <w:rFonts w:ascii="宋体" w:hAnsi="宋体" w:cs="宋体"/>
                <w:b/>
                <w:sz w:val="24"/>
                <w:szCs w:val="24"/>
              </w:rPr>
            </w:pPr>
            <w:r>
              <w:rPr>
                <w:rFonts w:hint="eastAsia" w:ascii="宋体" w:hAnsi="宋体" w:cs="宋体"/>
                <w:b/>
                <w:sz w:val="24"/>
                <w:szCs w:val="24"/>
              </w:rPr>
              <w:t>投标文件</w:t>
            </w:r>
          </w:p>
          <w:p w14:paraId="30A97F12">
            <w:pPr>
              <w:spacing w:line="360" w:lineRule="auto"/>
              <w:jc w:val="center"/>
              <w:rPr>
                <w:rFonts w:ascii="宋体" w:hAnsi="宋体" w:cs="宋体"/>
                <w:b/>
                <w:sz w:val="24"/>
                <w:szCs w:val="24"/>
              </w:rPr>
            </w:pPr>
            <w:r>
              <w:rPr>
                <w:rFonts w:hint="eastAsia" w:ascii="宋体" w:hAnsi="宋体" w:cs="宋体"/>
                <w:b/>
                <w:sz w:val="24"/>
                <w:szCs w:val="24"/>
              </w:rPr>
              <w:t>对应规范</w:t>
            </w:r>
          </w:p>
        </w:tc>
        <w:tc>
          <w:tcPr>
            <w:tcW w:w="2648" w:type="dxa"/>
            <w:tcBorders>
              <w:bottom w:val="single" w:color="auto" w:sz="4" w:space="0"/>
            </w:tcBorders>
            <w:vAlign w:val="center"/>
          </w:tcPr>
          <w:p w14:paraId="06F864FE">
            <w:pPr>
              <w:spacing w:line="360" w:lineRule="auto"/>
              <w:jc w:val="center"/>
              <w:rPr>
                <w:rFonts w:ascii="宋体" w:hAnsi="宋体" w:cs="宋体"/>
                <w:b/>
                <w:sz w:val="24"/>
                <w:szCs w:val="24"/>
              </w:rPr>
            </w:pPr>
            <w:r>
              <w:rPr>
                <w:rFonts w:hint="eastAsia" w:ascii="宋体" w:hAnsi="宋体" w:cs="宋体"/>
                <w:b/>
                <w:sz w:val="24"/>
                <w:szCs w:val="24"/>
              </w:rPr>
              <w:t>偏离情况</w:t>
            </w:r>
          </w:p>
        </w:tc>
      </w:tr>
      <w:tr w14:paraId="47A4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1E04E879">
            <w:pPr>
              <w:spacing w:line="360" w:lineRule="auto"/>
              <w:jc w:val="center"/>
              <w:rPr>
                <w:rFonts w:ascii="宋体" w:hAnsi="宋体" w:cs="宋体"/>
                <w:sz w:val="24"/>
                <w:szCs w:val="24"/>
              </w:rPr>
            </w:pPr>
          </w:p>
        </w:tc>
        <w:tc>
          <w:tcPr>
            <w:tcW w:w="1946" w:type="dxa"/>
            <w:vAlign w:val="top"/>
          </w:tcPr>
          <w:p w14:paraId="5181EA7C">
            <w:pPr>
              <w:spacing w:line="360" w:lineRule="auto"/>
              <w:rPr>
                <w:rFonts w:ascii="宋体" w:hAnsi="宋体" w:cs="宋体"/>
                <w:sz w:val="24"/>
                <w:szCs w:val="24"/>
              </w:rPr>
            </w:pPr>
          </w:p>
        </w:tc>
        <w:tc>
          <w:tcPr>
            <w:tcW w:w="2053" w:type="dxa"/>
            <w:vAlign w:val="top"/>
          </w:tcPr>
          <w:p w14:paraId="0240B766">
            <w:pPr>
              <w:spacing w:line="360" w:lineRule="auto"/>
              <w:rPr>
                <w:rFonts w:ascii="宋体" w:hAnsi="宋体" w:cs="宋体"/>
                <w:sz w:val="24"/>
                <w:szCs w:val="24"/>
              </w:rPr>
            </w:pPr>
          </w:p>
        </w:tc>
        <w:tc>
          <w:tcPr>
            <w:tcW w:w="1700" w:type="dxa"/>
            <w:vAlign w:val="top"/>
          </w:tcPr>
          <w:p w14:paraId="53DA0355">
            <w:pPr>
              <w:spacing w:line="360" w:lineRule="auto"/>
              <w:rPr>
                <w:rFonts w:ascii="宋体" w:hAnsi="宋体" w:cs="宋体"/>
                <w:sz w:val="24"/>
                <w:szCs w:val="24"/>
              </w:rPr>
            </w:pPr>
          </w:p>
        </w:tc>
        <w:tc>
          <w:tcPr>
            <w:tcW w:w="2648" w:type="dxa"/>
            <w:vAlign w:val="top"/>
          </w:tcPr>
          <w:p w14:paraId="2643118A">
            <w:pPr>
              <w:spacing w:line="360" w:lineRule="auto"/>
              <w:rPr>
                <w:rFonts w:ascii="宋体" w:hAnsi="宋体" w:cs="宋体"/>
                <w:sz w:val="24"/>
                <w:szCs w:val="24"/>
              </w:rPr>
            </w:pPr>
          </w:p>
        </w:tc>
      </w:tr>
      <w:tr w14:paraId="6275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56A671FB">
            <w:pPr>
              <w:spacing w:line="360" w:lineRule="auto"/>
              <w:rPr>
                <w:rFonts w:ascii="宋体" w:hAnsi="宋体" w:cs="宋体"/>
                <w:sz w:val="24"/>
                <w:szCs w:val="24"/>
              </w:rPr>
            </w:pPr>
          </w:p>
        </w:tc>
        <w:tc>
          <w:tcPr>
            <w:tcW w:w="1946" w:type="dxa"/>
            <w:vAlign w:val="top"/>
          </w:tcPr>
          <w:p w14:paraId="63994660">
            <w:pPr>
              <w:spacing w:line="360" w:lineRule="auto"/>
              <w:rPr>
                <w:rFonts w:ascii="宋体" w:hAnsi="宋体" w:cs="宋体"/>
                <w:sz w:val="24"/>
                <w:szCs w:val="24"/>
              </w:rPr>
            </w:pPr>
          </w:p>
        </w:tc>
        <w:tc>
          <w:tcPr>
            <w:tcW w:w="2053" w:type="dxa"/>
            <w:vAlign w:val="top"/>
          </w:tcPr>
          <w:p w14:paraId="51238AC9">
            <w:pPr>
              <w:spacing w:line="360" w:lineRule="auto"/>
              <w:rPr>
                <w:rFonts w:ascii="宋体" w:hAnsi="宋体" w:cs="宋体"/>
                <w:sz w:val="24"/>
                <w:szCs w:val="24"/>
              </w:rPr>
            </w:pPr>
          </w:p>
        </w:tc>
        <w:tc>
          <w:tcPr>
            <w:tcW w:w="1700" w:type="dxa"/>
            <w:vAlign w:val="top"/>
          </w:tcPr>
          <w:p w14:paraId="449106D8">
            <w:pPr>
              <w:spacing w:line="360" w:lineRule="auto"/>
              <w:rPr>
                <w:rFonts w:ascii="宋体" w:hAnsi="宋体" w:cs="宋体"/>
                <w:sz w:val="24"/>
                <w:szCs w:val="24"/>
              </w:rPr>
            </w:pPr>
          </w:p>
        </w:tc>
        <w:tc>
          <w:tcPr>
            <w:tcW w:w="2648" w:type="dxa"/>
            <w:vAlign w:val="top"/>
          </w:tcPr>
          <w:p w14:paraId="76CC4243">
            <w:pPr>
              <w:spacing w:line="360" w:lineRule="auto"/>
              <w:rPr>
                <w:rFonts w:ascii="宋体" w:hAnsi="宋体" w:cs="宋体"/>
                <w:sz w:val="24"/>
                <w:szCs w:val="24"/>
              </w:rPr>
            </w:pPr>
          </w:p>
        </w:tc>
      </w:tr>
      <w:tr w14:paraId="5854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921" w:type="dxa"/>
            <w:vAlign w:val="top"/>
          </w:tcPr>
          <w:p w14:paraId="510ECF41">
            <w:pPr>
              <w:spacing w:line="360" w:lineRule="auto"/>
              <w:rPr>
                <w:rFonts w:ascii="宋体" w:hAnsi="宋体" w:cs="宋体"/>
                <w:sz w:val="24"/>
                <w:szCs w:val="24"/>
              </w:rPr>
            </w:pPr>
          </w:p>
        </w:tc>
        <w:tc>
          <w:tcPr>
            <w:tcW w:w="1946" w:type="dxa"/>
            <w:vAlign w:val="top"/>
          </w:tcPr>
          <w:p w14:paraId="23779AB8">
            <w:pPr>
              <w:spacing w:line="360" w:lineRule="auto"/>
              <w:rPr>
                <w:rFonts w:ascii="宋体" w:hAnsi="宋体" w:cs="宋体"/>
                <w:sz w:val="24"/>
                <w:szCs w:val="24"/>
              </w:rPr>
            </w:pPr>
          </w:p>
        </w:tc>
        <w:tc>
          <w:tcPr>
            <w:tcW w:w="2053" w:type="dxa"/>
            <w:vAlign w:val="top"/>
          </w:tcPr>
          <w:p w14:paraId="5DD9ECA2">
            <w:pPr>
              <w:spacing w:line="360" w:lineRule="auto"/>
              <w:rPr>
                <w:rFonts w:ascii="宋体" w:hAnsi="宋体" w:cs="宋体"/>
                <w:sz w:val="24"/>
                <w:szCs w:val="24"/>
              </w:rPr>
            </w:pPr>
          </w:p>
        </w:tc>
        <w:tc>
          <w:tcPr>
            <w:tcW w:w="1700" w:type="dxa"/>
            <w:vAlign w:val="top"/>
          </w:tcPr>
          <w:p w14:paraId="1E81534E">
            <w:pPr>
              <w:spacing w:line="360" w:lineRule="auto"/>
              <w:rPr>
                <w:rFonts w:ascii="宋体" w:hAnsi="宋体" w:cs="宋体"/>
                <w:sz w:val="24"/>
                <w:szCs w:val="24"/>
              </w:rPr>
            </w:pPr>
          </w:p>
        </w:tc>
        <w:tc>
          <w:tcPr>
            <w:tcW w:w="2648" w:type="dxa"/>
            <w:vAlign w:val="top"/>
          </w:tcPr>
          <w:p w14:paraId="439FC9EA">
            <w:pPr>
              <w:spacing w:line="360" w:lineRule="auto"/>
              <w:rPr>
                <w:rFonts w:ascii="宋体" w:hAnsi="宋体" w:cs="宋体"/>
                <w:sz w:val="24"/>
                <w:szCs w:val="24"/>
              </w:rPr>
            </w:pPr>
          </w:p>
        </w:tc>
      </w:tr>
      <w:tr w14:paraId="1EF2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921" w:type="dxa"/>
            <w:vAlign w:val="top"/>
          </w:tcPr>
          <w:p w14:paraId="411547EF">
            <w:pPr>
              <w:spacing w:line="360" w:lineRule="auto"/>
              <w:rPr>
                <w:rFonts w:ascii="宋体" w:hAnsi="宋体" w:cs="宋体"/>
                <w:sz w:val="24"/>
                <w:szCs w:val="24"/>
              </w:rPr>
            </w:pPr>
          </w:p>
        </w:tc>
        <w:tc>
          <w:tcPr>
            <w:tcW w:w="1946" w:type="dxa"/>
            <w:vAlign w:val="top"/>
          </w:tcPr>
          <w:p w14:paraId="16316328">
            <w:pPr>
              <w:spacing w:line="360" w:lineRule="auto"/>
              <w:rPr>
                <w:rFonts w:ascii="宋体" w:hAnsi="宋体" w:cs="宋体"/>
                <w:sz w:val="24"/>
                <w:szCs w:val="24"/>
              </w:rPr>
            </w:pPr>
          </w:p>
        </w:tc>
        <w:tc>
          <w:tcPr>
            <w:tcW w:w="2053" w:type="dxa"/>
            <w:vAlign w:val="top"/>
          </w:tcPr>
          <w:p w14:paraId="08CF69F1">
            <w:pPr>
              <w:spacing w:line="360" w:lineRule="auto"/>
              <w:rPr>
                <w:rFonts w:ascii="宋体" w:hAnsi="宋体" w:cs="宋体"/>
                <w:sz w:val="24"/>
                <w:szCs w:val="24"/>
              </w:rPr>
            </w:pPr>
          </w:p>
        </w:tc>
        <w:tc>
          <w:tcPr>
            <w:tcW w:w="1700" w:type="dxa"/>
            <w:vAlign w:val="top"/>
          </w:tcPr>
          <w:p w14:paraId="45C6EF7F">
            <w:pPr>
              <w:spacing w:line="360" w:lineRule="auto"/>
              <w:rPr>
                <w:rFonts w:ascii="宋体" w:hAnsi="宋体" w:cs="宋体"/>
                <w:sz w:val="24"/>
                <w:szCs w:val="24"/>
              </w:rPr>
            </w:pPr>
          </w:p>
        </w:tc>
        <w:tc>
          <w:tcPr>
            <w:tcW w:w="2648" w:type="dxa"/>
            <w:vAlign w:val="top"/>
          </w:tcPr>
          <w:p w14:paraId="569A03C3">
            <w:pPr>
              <w:spacing w:line="360" w:lineRule="auto"/>
              <w:rPr>
                <w:rFonts w:ascii="宋体" w:hAnsi="宋体" w:cs="宋体"/>
                <w:sz w:val="24"/>
                <w:szCs w:val="24"/>
              </w:rPr>
            </w:pPr>
          </w:p>
        </w:tc>
      </w:tr>
    </w:tbl>
    <w:p w14:paraId="09184A97">
      <w:pPr>
        <w:autoSpaceDE w:val="0"/>
        <w:autoSpaceDN w:val="0"/>
        <w:adjustRightInd w:val="0"/>
        <w:spacing w:line="360" w:lineRule="auto"/>
        <w:rPr>
          <w:rFonts w:ascii="宋体" w:hAnsi="宋体" w:cs="宋体"/>
          <w:kern w:val="0"/>
          <w:sz w:val="24"/>
        </w:rPr>
      </w:pPr>
      <w:r>
        <w:rPr>
          <w:rFonts w:hint="eastAsia" w:ascii="宋体" w:hAnsi="宋体" w:cs="宋体"/>
          <w:kern w:val="0"/>
          <w:sz w:val="24"/>
        </w:rPr>
        <w:t>备注：</w:t>
      </w:r>
      <w:r>
        <w:rPr>
          <w:rFonts w:hint="eastAsia" w:ascii="宋体" w:hAnsi="宋体" w:cs="宋体"/>
          <w:bCs/>
          <w:sz w:val="24"/>
          <w:szCs w:val="24"/>
        </w:rPr>
        <w:t>投标人必须针对招标文件第三部分采购需求中“二、技术条款”的技术参数</w:t>
      </w:r>
      <w:r>
        <w:rPr>
          <w:rFonts w:hint="eastAsia" w:ascii="宋体" w:hAnsi="宋体" w:cs="宋体"/>
          <w:bCs/>
          <w:kern w:val="0"/>
          <w:sz w:val="24"/>
        </w:rPr>
        <w:t>对照招标文件要求在“偏离情况”栏注明“正偏离”、“负偏离”或“无偏离”</w:t>
      </w:r>
      <w:r>
        <w:rPr>
          <w:rFonts w:hint="eastAsia" w:ascii="宋体" w:hAnsi="宋体" w:cs="宋体"/>
          <w:kern w:val="0"/>
          <w:sz w:val="24"/>
        </w:rPr>
        <w:t>。</w:t>
      </w:r>
    </w:p>
    <w:p w14:paraId="24546BE3">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w:t>
      </w:r>
    </w:p>
    <w:p w14:paraId="684C8ED4">
      <w:pPr>
        <w:autoSpaceDE w:val="0"/>
        <w:autoSpaceDN w:val="0"/>
        <w:adjustRightInd w:val="0"/>
        <w:spacing w:line="360" w:lineRule="auto"/>
        <w:jc w:val="right"/>
        <w:rPr>
          <w:rFonts w:ascii="宋体" w:hAnsi="宋体" w:cs="宋体"/>
          <w:kern w:val="0"/>
          <w:sz w:val="24"/>
          <w:lang w:val="zh-CN"/>
        </w:rPr>
      </w:pPr>
    </w:p>
    <w:p w14:paraId="43308AF7">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投标人（公章）：     </w:t>
      </w:r>
    </w:p>
    <w:p w14:paraId="3E4375F6">
      <w:pPr>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法定代表人或授权代表（签字或盖章）：     </w:t>
      </w:r>
    </w:p>
    <w:p w14:paraId="5FF97EB2">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   </w:t>
      </w:r>
    </w:p>
    <w:bookmarkEnd w:id="24"/>
    <w:bookmarkEnd w:id="25"/>
    <w:p w14:paraId="6160DCF1">
      <w:pPr>
        <w:spacing w:line="360" w:lineRule="auto"/>
        <w:rPr>
          <w:rFonts w:ascii="宋体" w:hAnsi="宋体" w:cs="宋体"/>
          <w:kern w:val="0"/>
          <w:sz w:val="24"/>
          <w:lang w:val="zh-CN"/>
        </w:rPr>
        <w:sectPr>
          <w:pgSz w:w="11906" w:h="16838"/>
          <w:pgMar w:top="1531" w:right="1361" w:bottom="1531" w:left="1304" w:header="851" w:footer="601" w:gutter="0"/>
          <w:pgNumType w:fmt="numberInDash"/>
          <w:cols w:space="720" w:num="1"/>
          <w:docGrid w:type="lines" w:linePitch="318" w:charSpace="0"/>
        </w:sectPr>
      </w:pPr>
      <w:bookmarkStart w:id="26" w:name="_Toc328381294"/>
      <w:bookmarkStart w:id="27" w:name="_Toc303256683"/>
      <w:bookmarkStart w:id="28" w:name="_Toc350327367"/>
      <w:bookmarkStart w:id="29" w:name="_Toc297472057"/>
      <w:bookmarkStart w:id="30" w:name="_Toc297472825"/>
      <w:bookmarkStart w:id="31" w:name="_Toc349721556"/>
      <w:bookmarkStart w:id="32" w:name="_Toc339872470"/>
    </w:p>
    <w:p w14:paraId="40FE087D">
      <w:pPr>
        <w:shd w:val="clear" w:color="auto" w:fill="FFFFFF"/>
        <w:spacing w:line="360" w:lineRule="auto"/>
        <w:jc w:val="center"/>
        <w:outlineLvl w:val="1"/>
        <w:rPr>
          <w:rFonts w:ascii="宋体" w:hAnsi="宋体" w:cs="宋体"/>
          <w:b/>
          <w:sz w:val="32"/>
          <w:szCs w:val="32"/>
        </w:rPr>
      </w:pPr>
      <w:r>
        <w:rPr>
          <w:rFonts w:hint="eastAsia" w:ascii="宋体" w:hAnsi="宋体" w:cs="宋体"/>
          <w:b/>
          <w:sz w:val="32"/>
          <w:szCs w:val="32"/>
        </w:rPr>
        <w:t>六、投标响应函</w:t>
      </w:r>
    </w:p>
    <w:p w14:paraId="6F25FA3F">
      <w:pPr>
        <w:shd w:val="clear" w:color="auto" w:fill="FFFFFF"/>
        <w:autoSpaceDE w:val="0"/>
        <w:autoSpaceDN w:val="0"/>
        <w:adjustRightInd w:val="0"/>
        <w:spacing w:line="360" w:lineRule="auto"/>
        <w:jc w:val="center"/>
        <w:rPr>
          <w:rFonts w:ascii="宋体" w:hAnsi="宋体" w:cs="宋体"/>
          <w:b/>
          <w:kern w:val="0"/>
          <w:sz w:val="24"/>
        </w:rPr>
      </w:pPr>
    </w:p>
    <w:p w14:paraId="634F12BC">
      <w:pPr>
        <w:shd w:val="clear" w:color="auto" w:fill="FFFFFF"/>
        <w:spacing w:line="360" w:lineRule="auto"/>
        <w:rPr>
          <w:rFonts w:ascii="宋体" w:hAnsi="宋体" w:cs="宋体"/>
          <w:b/>
          <w:sz w:val="24"/>
        </w:rPr>
      </w:pPr>
      <w:r>
        <w:rPr>
          <w:rFonts w:hint="eastAsia" w:ascii="宋体" w:hAnsi="宋体" w:cs="宋体"/>
          <w:b/>
          <w:sz w:val="24"/>
        </w:rPr>
        <w:t>杭州嘉澍新材科技有限公司：</w:t>
      </w:r>
    </w:p>
    <w:p w14:paraId="1E257383">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(投标人全称)授权(全权代表姓名)(职务、职称)为全权代表，参加贵方组织项目（项目编号：          ）采购的有关活动，并对此项目进行投标。全部投标文件，包括报价文件正本一份、副本四份，商务/技术文件正本一份、副本四份，以及其他要求投标人提交的全部文件。</w:t>
      </w:r>
    </w:p>
    <w:p w14:paraId="176DC331">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5FEECAA2">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1、我方承诺已经具备《中华人民共和国政府采购法》第二十二条中规定的参加政府采购活动的投标人应当具备的条件：</w:t>
      </w:r>
    </w:p>
    <w:p w14:paraId="1BEC888B">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（一）具有独立承担民事责任的能力；</w:t>
      </w:r>
    </w:p>
    <w:p w14:paraId="3135F571">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（二）具有良好的商业信誉和健全的财务会计制度；</w:t>
      </w:r>
    </w:p>
    <w:p w14:paraId="27BE71D2">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（三）具有履行合同所必需的设备和专业技术能力；</w:t>
      </w:r>
    </w:p>
    <w:p w14:paraId="207574EF">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（四）有依法缴纳税收和社会保障资金的良好记录；</w:t>
      </w:r>
    </w:p>
    <w:p w14:paraId="365FF2DD">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6AB5A55D">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（六）法律、行政法规规定的其他条件。</w:t>
      </w:r>
    </w:p>
    <w:p w14:paraId="69CD5CFB">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2、本投标有效期自投标文件合格递交之日起</w:t>
      </w:r>
      <w:r>
        <w:rPr>
          <w:rFonts w:hint="eastAsia" w:ascii="宋体" w:hAnsi="宋体" w:cs="宋体"/>
          <w:b/>
          <w:sz w:val="24"/>
          <w:u w:val="thick"/>
        </w:rPr>
        <w:t>60日</w:t>
      </w:r>
      <w:r>
        <w:rPr>
          <w:rFonts w:hint="eastAsia" w:ascii="宋体" w:hAnsi="宋体" w:cs="宋体"/>
          <w:sz w:val="24"/>
        </w:rPr>
        <w:t>。</w:t>
      </w:r>
    </w:p>
    <w:p w14:paraId="3D7DBAE9">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3、如我方中标，本投标文件至本项目合同履行完毕止均保持有效，我方将按招标文件及政府采购法律、法规的规定履行合同责任和义务。</w:t>
      </w:r>
    </w:p>
    <w:p w14:paraId="647B7DD2">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4、我方完全理解贵方不一定要接受最低价的投标。</w:t>
      </w:r>
    </w:p>
    <w:p w14:paraId="4796FBE7">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5、我方同意按照贵方要求提供与投标有关的一切数据或资料，配合招标采购单位进行评标、验收等与本次采购相关工作。</w:t>
      </w:r>
    </w:p>
    <w:p w14:paraId="4F0CAA4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6、我方在投标之前已经与贵方进行了充分的沟通，完全理解并接受招标文件的各项规定和要求，对招标文件的合理性、合法性不再有异议。并保证遵守采购文件中的有关规定。</w:t>
      </w:r>
    </w:p>
    <w:p w14:paraId="4FC074DF">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7、我方已详细审查全部招标文件，包括更正通知（如有的话）以及全部参考资料和有关附件，已经了解我方对于招标文件、采购过程、采购结果有依法进行询问、质疑、投诉的权利及相关渠道和要求。</w:t>
      </w:r>
    </w:p>
    <w:p w14:paraId="0DDF021F">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8、我方向贵方提交的所有投标文件、资料都是准确的和真实的。</w:t>
      </w:r>
    </w:p>
    <w:p w14:paraId="7FDCB0E9">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CCC82A">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（一）提供虚假材料谋取中标、成交的；</w:t>
      </w:r>
    </w:p>
    <w:p w14:paraId="5A035D25">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（二）采取不正当手段诋毁、排挤其他供应商的；</w:t>
      </w:r>
    </w:p>
    <w:p w14:paraId="0ECE44DD">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（三）与采购人、其他供应商或者招标代理机构恶意串通的；</w:t>
      </w:r>
    </w:p>
    <w:p w14:paraId="1154FF3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（四）向采购人、招标代理机构行贿或者提供其他不正当利益的；</w:t>
      </w:r>
    </w:p>
    <w:p w14:paraId="7C36F223">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（五）在招标采购过程中与采购人进行协商谈判的；</w:t>
      </w:r>
    </w:p>
    <w:p w14:paraId="3ED0D7D7">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（六）拒绝有关部门监督检查或者提供虚假情况的。</w:t>
      </w:r>
    </w:p>
    <w:p w14:paraId="1EC5BFDC">
      <w:pPr>
        <w:shd w:val="clear" w:color="auto" w:fill="FFFFFF"/>
        <w:adjustRightInd w:val="0"/>
        <w:spacing w:line="360" w:lineRule="auto"/>
        <w:ind w:firstLine="480" w:firstLineChars="200"/>
        <w:rPr>
          <w:rFonts w:ascii="宋体" w:hAnsi="宋体" w:cs="宋体"/>
          <w:sz w:val="24"/>
        </w:rPr>
      </w:pPr>
      <w:r>
        <w:rPr>
          <w:rFonts w:hint="eastAsia" w:ascii="宋体" w:hAnsi="宋体" w:cs="宋体"/>
          <w:sz w:val="24"/>
        </w:rPr>
        <w:t>供应商有前款第（一）至（六）项情形之一的，中标、成交无效。</w:t>
      </w:r>
    </w:p>
    <w:p w14:paraId="38F95C8A">
      <w:pPr>
        <w:shd w:val="clear" w:color="auto" w:fill="FFFFFF"/>
        <w:adjustRightInd w:val="0"/>
        <w:spacing w:line="360" w:lineRule="auto"/>
        <w:ind w:firstLine="480" w:firstLineChars="200"/>
        <w:rPr>
          <w:rFonts w:ascii="宋体" w:hAnsi="宋体" w:cs="宋体"/>
          <w:sz w:val="24"/>
        </w:rPr>
      </w:pPr>
    </w:p>
    <w:p w14:paraId="2FB2ED23">
      <w:pPr>
        <w:shd w:val="clear" w:color="auto" w:fill="FFFFFF"/>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 xml:space="preserve">法定代表人或授权代表（签字）： </w:t>
      </w:r>
    </w:p>
    <w:p w14:paraId="138C10B5">
      <w:pPr>
        <w:shd w:val="clear" w:color="auto" w:fill="FFFFFF"/>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 xml:space="preserve">投标人（公章）：  </w:t>
      </w:r>
    </w:p>
    <w:p w14:paraId="37F7C443">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  邮政编码：</w:t>
      </w:r>
    </w:p>
    <w:p w14:paraId="6D7C4FCA">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联系地址：</w:t>
      </w:r>
    </w:p>
    <w:p w14:paraId="60C012BC">
      <w:pPr>
        <w:shd w:val="clear" w:color="auto" w:fill="FFFFFF"/>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联系电话： 传真号码：</w:t>
      </w:r>
    </w:p>
    <w:p w14:paraId="4874EA09">
      <w:pPr>
        <w:shd w:val="clear" w:color="auto" w:fill="FFFFFF"/>
        <w:spacing w:line="360" w:lineRule="auto"/>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u w:val="single"/>
        </w:rPr>
        <w:tab/>
      </w:r>
      <w:r>
        <w:rPr>
          <w:rFonts w:hint="eastAsia" w:ascii="宋体" w:hAnsi="宋体" w:cs="宋体"/>
          <w:kern w:val="0"/>
          <w:sz w:val="24"/>
          <w:lang w:val="zh-CN"/>
        </w:rPr>
        <w:t>月</w:t>
      </w:r>
      <w:r>
        <w:rPr>
          <w:rFonts w:hint="eastAsia" w:ascii="宋体" w:hAnsi="宋体" w:cs="宋体"/>
          <w:kern w:val="0"/>
          <w:sz w:val="24"/>
          <w:u w:val="single"/>
        </w:rPr>
        <w:tab/>
      </w:r>
      <w:r>
        <w:rPr>
          <w:rFonts w:hint="eastAsia" w:ascii="宋体" w:hAnsi="宋体" w:cs="宋体"/>
          <w:kern w:val="0"/>
          <w:sz w:val="24"/>
          <w:u w:val="single"/>
        </w:rPr>
        <w:tab/>
      </w:r>
      <w:r>
        <w:rPr>
          <w:rFonts w:hint="eastAsia" w:ascii="宋体" w:hAnsi="宋体" w:cs="宋体"/>
          <w:kern w:val="0"/>
          <w:sz w:val="24"/>
          <w:lang w:val="zh-CN"/>
        </w:rPr>
        <w:t>日</w:t>
      </w:r>
    </w:p>
    <w:p w14:paraId="23E4748E">
      <w:pPr>
        <w:shd w:val="clear" w:color="auto" w:fill="FFFFFF"/>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kern w:val="0"/>
          <w:sz w:val="32"/>
          <w:szCs w:val="32"/>
        </w:rPr>
        <w:br w:type="page"/>
      </w:r>
      <w:r>
        <w:rPr>
          <w:rFonts w:hint="eastAsia" w:ascii="宋体" w:hAnsi="宋体" w:cs="宋体"/>
          <w:b/>
          <w:sz w:val="32"/>
          <w:szCs w:val="32"/>
        </w:rPr>
        <w:t>七、授权委托书</w:t>
      </w:r>
    </w:p>
    <w:p w14:paraId="023FE202">
      <w:pPr>
        <w:shd w:val="clear" w:color="auto" w:fill="FFFFFF"/>
        <w:spacing w:line="360" w:lineRule="auto"/>
        <w:jc w:val="center"/>
        <w:rPr>
          <w:rFonts w:ascii="宋体" w:hAnsi="宋体" w:cs="宋体"/>
          <w:b/>
          <w:sz w:val="32"/>
          <w:szCs w:val="32"/>
        </w:rPr>
      </w:pPr>
    </w:p>
    <w:p w14:paraId="41EAF3C8">
      <w:pPr>
        <w:shd w:val="clear" w:color="auto" w:fill="FFFFFF"/>
        <w:spacing w:line="360" w:lineRule="auto"/>
        <w:rPr>
          <w:rFonts w:ascii="宋体" w:hAnsi="宋体" w:cs="宋体"/>
          <w:b/>
          <w:sz w:val="24"/>
        </w:rPr>
      </w:pPr>
      <w:r>
        <w:rPr>
          <w:rFonts w:hint="eastAsia" w:ascii="宋体" w:hAnsi="宋体" w:cs="宋体"/>
          <w:b/>
          <w:sz w:val="24"/>
        </w:rPr>
        <w:t>杭州嘉澍新材科技有限公司：</w:t>
      </w:r>
    </w:p>
    <w:p w14:paraId="3F160462">
      <w:pPr>
        <w:shd w:val="clear" w:color="auto" w:fill="FFFFFF"/>
        <w:spacing w:line="360" w:lineRule="auto"/>
        <w:rPr>
          <w:rFonts w:ascii="宋体" w:hAnsi="宋体" w:cs="宋体"/>
          <w:b/>
          <w:sz w:val="24"/>
        </w:rPr>
      </w:pPr>
    </w:p>
    <w:p w14:paraId="331A7DC1">
      <w:pPr>
        <w:shd w:val="clear" w:color="auto" w:fill="FFFFFF"/>
        <w:spacing w:line="360" w:lineRule="auto"/>
        <w:ind w:firstLine="480" w:firstLineChars="200"/>
        <w:rPr>
          <w:rFonts w:ascii="宋体" w:hAnsi="宋体" w:cs="宋体"/>
          <w:sz w:val="24"/>
        </w:rPr>
      </w:pPr>
      <w:r>
        <w:rPr>
          <w:rFonts w:hint="eastAsia" w:ascii="宋体" w:hAnsi="宋体" w:cs="宋体"/>
          <w:sz w:val="24"/>
        </w:rPr>
        <w:t>兹委派我公司先生/女士（其在本公司的职务是：，联系电话：，手机：，传真：，身份证号：）代表我公司全权处理项目（项目编号：      ）的一切事项，若中标则全权代表本公司签订合同，并负责处理合同履行等事宜。</w:t>
      </w:r>
    </w:p>
    <w:p w14:paraId="2FDFA051">
      <w:pPr>
        <w:shd w:val="clear" w:color="auto" w:fill="FFFFFF"/>
        <w:spacing w:line="360" w:lineRule="auto"/>
        <w:ind w:firstLine="480" w:firstLineChars="200"/>
        <w:rPr>
          <w:rFonts w:ascii="宋体" w:hAnsi="宋体" w:cs="宋体"/>
          <w:sz w:val="24"/>
        </w:rPr>
      </w:pPr>
      <w:r>
        <w:rPr>
          <w:rFonts w:hint="eastAsia" w:ascii="宋体" w:hAnsi="宋体" w:cs="宋体"/>
          <w:sz w:val="24"/>
        </w:rPr>
        <w:t>在撤销授权的书面通知以前，本授权书一直有效。授权代表在授权书有效期内签署的所有文件不因授权的撤销而失效。</w:t>
      </w:r>
    </w:p>
    <w:p w14:paraId="12BC9A1A">
      <w:pPr>
        <w:shd w:val="clear" w:color="auto" w:fill="FFFFFF"/>
        <w:spacing w:line="360" w:lineRule="auto"/>
        <w:ind w:firstLine="480" w:firstLineChars="200"/>
        <w:rPr>
          <w:rFonts w:ascii="宋体" w:hAnsi="宋体" w:cs="宋体"/>
          <w:sz w:val="24"/>
        </w:rPr>
      </w:pPr>
      <w:r>
        <w:rPr>
          <w:rFonts w:hint="eastAsia" w:ascii="宋体" w:hAnsi="宋体" w:cs="宋体"/>
          <w:sz w:val="24"/>
        </w:rPr>
        <w:t>授权代表无转委托权，特此委托。</w:t>
      </w:r>
    </w:p>
    <w:p w14:paraId="01F90985">
      <w:pPr>
        <w:shd w:val="clear" w:color="auto" w:fill="FFFFFF"/>
        <w:spacing w:line="360" w:lineRule="auto"/>
        <w:ind w:firstLine="480" w:firstLineChars="200"/>
        <w:rPr>
          <w:rFonts w:ascii="宋体" w:hAnsi="宋体" w:cs="宋体"/>
          <w:sz w:val="24"/>
        </w:rPr>
      </w:pPr>
      <w:r>
        <w:rPr>
          <w:rFonts w:hint="eastAsia" w:ascii="宋体" w:hAnsi="宋体" w:cs="宋体"/>
          <w:sz w:val="24"/>
        </w:rPr>
        <w:t>特此告知。</w:t>
      </w:r>
    </w:p>
    <w:p w14:paraId="0A4CBA0F">
      <w:pPr>
        <w:shd w:val="clear" w:color="auto" w:fill="FFFFFF"/>
        <w:spacing w:line="360" w:lineRule="auto"/>
        <w:rPr>
          <w:rFonts w:ascii="宋体" w:hAnsi="宋体" w:cs="宋体"/>
          <w:sz w:val="24"/>
        </w:rPr>
      </w:pPr>
    </w:p>
    <w:p w14:paraId="34DCEC36">
      <w:pPr>
        <w:shd w:val="clear" w:color="auto" w:fill="FFFFFF"/>
        <w:spacing w:line="360" w:lineRule="auto"/>
        <w:rPr>
          <w:rFonts w:ascii="宋体" w:hAnsi="宋体" w:cs="宋体"/>
          <w:sz w:val="24"/>
        </w:rPr>
      </w:pPr>
      <w:r>
        <w:rPr>
          <w:rFonts w:hint="eastAsia" w:ascii="宋体" w:hAnsi="宋体" w:cs="宋体"/>
          <w:sz w:val="24"/>
        </w:rPr>
        <w:t xml:space="preserve">法定代表人（签字）：                     授权代表（签字）：           </w:t>
      </w:r>
    </w:p>
    <w:p w14:paraId="11C7704E">
      <w:pPr>
        <w:shd w:val="clear" w:color="auto" w:fill="FFFFFF"/>
        <w:spacing w:line="360" w:lineRule="auto"/>
        <w:rPr>
          <w:rFonts w:ascii="宋体" w:hAnsi="宋体" w:cs="宋体"/>
          <w:sz w:val="24"/>
        </w:rPr>
      </w:pPr>
      <w:r>
        <w:rPr>
          <w:rFonts w:hint="eastAsia" w:ascii="宋体" w:hAnsi="宋体" w:cs="宋体"/>
          <w:sz w:val="24"/>
        </w:rPr>
        <w:t>职务：                                  职务：</w:t>
      </w:r>
    </w:p>
    <w:p w14:paraId="2AA8C40A">
      <w:pPr>
        <w:shd w:val="clear" w:color="auto" w:fill="FFFFFF"/>
        <w:spacing w:line="360" w:lineRule="auto"/>
        <w:rPr>
          <w:rFonts w:ascii="宋体" w:hAnsi="宋体" w:cs="宋体"/>
          <w:sz w:val="24"/>
        </w:rPr>
      </w:pPr>
      <w:r>
        <w:rPr>
          <w:rFonts w:hint="eastAsia" w:ascii="宋体" w:hAnsi="宋体" w:cs="宋体"/>
          <w:sz w:val="24"/>
        </w:rPr>
        <w:t>身份证号码：                            身份证号码：</w:t>
      </w:r>
    </w:p>
    <w:p w14:paraId="2C2EF62F">
      <w:pPr>
        <w:shd w:val="clear" w:color="auto" w:fill="FFFFFF"/>
        <w:spacing w:line="360" w:lineRule="auto"/>
        <w:rPr>
          <w:rFonts w:ascii="宋体" w:hAnsi="宋体" w:cs="宋体"/>
          <w:sz w:val="24"/>
        </w:rPr>
      </w:pPr>
    </w:p>
    <w:p w14:paraId="1127E92A">
      <w:pPr>
        <w:shd w:val="clear" w:color="auto" w:fill="FFFFFF"/>
        <w:spacing w:line="360" w:lineRule="auto"/>
        <w:ind w:firstLine="480" w:firstLineChars="200"/>
        <w:rPr>
          <w:rFonts w:ascii="宋体" w:hAnsi="宋体" w:cs="宋体"/>
          <w:sz w:val="24"/>
        </w:rPr>
      </w:pPr>
    </w:p>
    <w:p w14:paraId="5CD5740B">
      <w:pPr>
        <w:shd w:val="clear" w:color="auto" w:fill="FFFFFF"/>
        <w:spacing w:line="360" w:lineRule="auto"/>
        <w:ind w:firstLine="480" w:firstLineChars="200"/>
        <w:rPr>
          <w:rFonts w:ascii="宋体" w:hAnsi="宋体" w:cs="宋体"/>
          <w:sz w:val="24"/>
        </w:rPr>
      </w:pPr>
    </w:p>
    <w:p w14:paraId="01E89708">
      <w:pPr>
        <w:shd w:val="clear" w:color="auto" w:fill="FFFFFF"/>
        <w:wordWrap w:val="0"/>
        <w:autoSpaceDE w:val="0"/>
        <w:autoSpaceDN w:val="0"/>
        <w:adjustRightInd w:val="0"/>
        <w:spacing w:line="360" w:lineRule="auto"/>
        <w:ind w:right="480" w:firstLine="5040" w:firstLineChars="2100"/>
        <w:rPr>
          <w:rFonts w:ascii="宋体" w:hAnsi="宋体" w:cs="宋体"/>
          <w:kern w:val="0"/>
          <w:sz w:val="24"/>
          <w:lang w:val="zh-CN"/>
        </w:rPr>
      </w:pPr>
      <w:r>
        <w:rPr>
          <w:rFonts w:hint="eastAsia" w:ascii="宋体" w:hAnsi="宋体" w:cs="宋体"/>
          <w:kern w:val="0"/>
          <w:sz w:val="24"/>
          <w:lang w:val="zh-CN"/>
        </w:rPr>
        <w:t xml:space="preserve">投标人（公章）：     </w:t>
      </w:r>
    </w:p>
    <w:p w14:paraId="58AF82CA">
      <w:pPr>
        <w:shd w:val="clear" w:color="auto" w:fill="FFFFFF"/>
        <w:wordWrap w:val="0"/>
        <w:autoSpaceDE w:val="0"/>
        <w:autoSpaceDN w:val="0"/>
        <w:adjustRightInd w:val="0"/>
        <w:spacing w:line="360" w:lineRule="auto"/>
        <w:jc w:val="right"/>
        <w:rPr>
          <w:rFonts w:ascii="宋体" w:hAnsi="宋体" w:cs="宋体"/>
          <w:kern w:val="0"/>
          <w:sz w:val="24"/>
          <w:lang w:val="zh-CN"/>
        </w:rPr>
      </w:pPr>
      <w:r>
        <w:rPr>
          <w:rFonts w:hint="eastAsia" w:ascii="宋体" w:hAnsi="宋体" w:cs="宋体"/>
          <w:sz w:val="24"/>
        </w:rPr>
        <w:t>授权委托日期</w:t>
      </w:r>
      <w:r>
        <w:rPr>
          <w:rFonts w:hint="eastAsia" w:ascii="宋体" w:hAnsi="宋体" w:cs="宋体"/>
          <w:kern w:val="0"/>
          <w:sz w:val="24"/>
          <w:lang w:val="zh-CN"/>
        </w:rPr>
        <w:t xml:space="preserve">：20  年  月   日      </w:t>
      </w:r>
    </w:p>
    <w:p w14:paraId="5A0A3754">
      <w:pPr>
        <w:shd w:val="clear" w:color="auto" w:fill="FFFFFF"/>
        <w:spacing w:line="360" w:lineRule="auto"/>
        <w:jc w:val="center"/>
        <w:rPr>
          <w:rFonts w:ascii="宋体" w:hAnsi="宋体" w:cs="宋体"/>
          <w:b/>
          <w:sz w:val="32"/>
          <w:szCs w:val="32"/>
        </w:rPr>
      </w:pPr>
    </w:p>
    <w:p w14:paraId="405867D1">
      <w:pPr>
        <w:shd w:val="clear" w:color="auto" w:fill="FFFFFF"/>
        <w:spacing w:line="360" w:lineRule="auto"/>
        <w:jc w:val="center"/>
        <w:rPr>
          <w:rFonts w:ascii="宋体" w:hAnsi="宋体" w:cs="宋体"/>
          <w:b/>
          <w:sz w:val="32"/>
          <w:szCs w:val="32"/>
        </w:rPr>
      </w:pPr>
    </w:p>
    <w:p w14:paraId="15628799">
      <w:pPr>
        <w:shd w:val="clear" w:color="auto" w:fill="FFFFFF"/>
        <w:spacing w:line="360" w:lineRule="auto"/>
        <w:jc w:val="center"/>
        <w:rPr>
          <w:rFonts w:ascii="宋体" w:hAnsi="宋体" w:cs="宋体"/>
          <w:b/>
          <w:sz w:val="32"/>
          <w:szCs w:val="32"/>
        </w:rPr>
      </w:pPr>
    </w:p>
    <w:p w14:paraId="308F5186">
      <w:pPr>
        <w:shd w:val="clear" w:color="auto" w:fill="FFFFFF"/>
        <w:spacing w:line="360" w:lineRule="auto"/>
        <w:jc w:val="center"/>
        <w:rPr>
          <w:rFonts w:ascii="宋体" w:hAnsi="宋体" w:cs="宋体"/>
          <w:b/>
          <w:sz w:val="32"/>
          <w:szCs w:val="32"/>
        </w:rPr>
      </w:pPr>
    </w:p>
    <w:p w14:paraId="49C8CC1C">
      <w:pPr>
        <w:shd w:val="clear" w:color="auto" w:fill="FFFFFF"/>
        <w:spacing w:line="360" w:lineRule="auto"/>
        <w:jc w:val="center"/>
        <w:rPr>
          <w:rFonts w:ascii="宋体" w:hAnsi="宋体" w:cs="宋体"/>
          <w:b/>
          <w:sz w:val="32"/>
          <w:szCs w:val="32"/>
        </w:rPr>
      </w:pPr>
    </w:p>
    <w:p w14:paraId="19023414">
      <w:pPr>
        <w:shd w:val="clear" w:color="auto" w:fill="FFFFFF"/>
        <w:spacing w:line="360" w:lineRule="auto"/>
        <w:jc w:val="center"/>
        <w:rPr>
          <w:rFonts w:ascii="宋体" w:hAnsi="宋体" w:cs="宋体"/>
          <w:b/>
          <w:sz w:val="32"/>
          <w:szCs w:val="32"/>
        </w:rPr>
      </w:pPr>
    </w:p>
    <w:p w14:paraId="7B5EFC68">
      <w:pPr>
        <w:shd w:val="clear" w:color="auto" w:fill="FFFFFF"/>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八</w:t>
      </w:r>
      <w:r>
        <w:rPr>
          <w:rFonts w:hint="eastAsia" w:ascii="宋体" w:hAnsi="宋体" w:cs="宋体"/>
          <w:b/>
          <w:sz w:val="32"/>
          <w:szCs w:val="32"/>
          <w:lang w:val="zh-CN"/>
        </w:rPr>
        <w:t>、</w:t>
      </w:r>
      <w:r>
        <w:rPr>
          <w:rFonts w:hint="eastAsia" w:ascii="宋体" w:hAnsi="宋体" w:cs="宋体"/>
          <w:b/>
          <w:sz w:val="32"/>
          <w:szCs w:val="32"/>
        </w:rPr>
        <w:t>无失信行为承诺书</w:t>
      </w:r>
    </w:p>
    <w:p w14:paraId="53137FBC">
      <w:pPr>
        <w:spacing w:line="360" w:lineRule="auto"/>
        <w:rPr>
          <w:rFonts w:ascii="宋体" w:hAnsi="宋体" w:cs="宋体"/>
          <w:spacing w:val="-6"/>
          <w:sz w:val="32"/>
          <w:szCs w:val="32"/>
        </w:rPr>
      </w:pPr>
    </w:p>
    <w:p w14:paraId="42BC62B8">
      <w:pPr>
        <w:spacing w:line="360" w:lineRule="auto"/>
        <w:ind w:firstLine="572" w:firstLineChars="250"/>
        <w:rPr>
          <w:rFonts w:ascii="宋体" w:hAnsi="宋体" w:cs="宋体"/>
          <w:spacing w:val="-6"/>
          <w:sz w:val="24"/>
          <w:szCs w:val="24"/>
        </w:rPr>
      </w:pPr>
      <w:r>
        <w:rPr>
          <w:rFonts w:hint="eastAsia" w:ascii="宋体" w:hAnsi="宋体" w:cs="宋体"/>
          <w:b/>
          <w:spacing w:val="-6"/>
          <w:sz w:val="24"/>
          <w:szCs w:val="24"/>
        </w:rPr>
        <w:t>杭州嘉澍新材科技有限公司</w:t>
      </w:r>
      <w:r>
        <w:rPr>
          <w:rFonts w:hint="eastAsia" w:ascii="宋体" w:hAnsi="宋体" w:cs="宋体"/>
          <w:spacing w:val="-6"/>
          <w:sz w:val="24"/>
          <w:szCs w:val="24"/>
        </w:rPr>
        <w:t>：</w:t>
      </w:r>
    </w:p>
    <w:p w14:paraId="48524F16">
      <w:pPr>
        <w:spacing w:line="360" w:lineRule="auto"/>
        <w:ind w:firstLine="585"/>
        <w:rPr>
          <w:rFonts w:ascii="宋体" w:hAnsi="宋体" w:cs="宋体"/>
          <w:spacing w:val="-6"/>
          <w:sz w:val="24"/>
          <w:szCs w:val="24"/>
        </w:rPr>
      </w:pPr>
      <w:r>
        <w:rPr>
          <w:rFonts w:hint="eastAsia" w:ascii="宋体" w:hAnsi="宋体" w:cs="宋体"/>
          <w:spacing w:val="-6"/>
          <w:sz w:val="24"/>
          <w:szCs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14:paraId="4ED24007">
      <w:pPr>
        <w:spacing w:line="360" w:lineRule="auto"/>
        <w:ind w:firstLine="585"/>
        <w:rPr>
          <w:rFonts w:ascii="宋体" w:hAnsi="宋体" w:cs="宋体"/>
          <w:spacing w:val="-6"/>
          <w:sz w:val="24"/>
          <w:szCs w:val="24"/>
        </w:rPr>
      </w:pPr>
    </w:p>
    <w:p w14:paraId="3AAA06C9">
      <w:pPr>
        <w:wordWrap w:val="0"/>
        <w:autoSpaceDE w:val="0"/>
        <w:autoSpaceDN w:val="0"/>
        <w:adjustRightInd w:val="0"/>
        <w:spacing w:line="360" w:lineRule="auto"/>
        <w:jc w:val="right"/>
        <w:rPr>
          <w:rFonts w:ascii="宋体" w:hAnsi="宋体" w:cs="宋体"/>
          <w:sz w:val="24"/>
          <w:szCs w:val="24"/>
          <w:lang w:val="zh-CN"/>
        </w:rPr>
      </w:pPr>
    </w:p>
    <w:p w14:paraId="080B18D1">
      <w:pPr>
        <w:wordWrap w:val="0"/>
        <w:autoSpaceDE w:val="0"/>
        <w:autoSpaceDN w:val="0"/>
        <w:adjustRightInd w:val="0"/>
        <w:spacing w:line="360" w:lineRule="auto"/>
        <w:jc w:val="right"/>
        <w:rPr>
          <w:rFonts w:ascii="宋体" w:hAnsi="宋体" w:cs="宋体"/>
          <w:sz w:val="24"/>
          <w:szCs w:val="24"/>
          <w:lang w:val="zh-CN"/>
        </w:rPr>
      </w:pPr>
    </w:p>
    <w:p w14:paraId="72222A01">
      <w:pPr>
        <w:wordWrap w:val="0"/>
        <w:autoSpaceDE w:val="0"/>
        <w:autoSpaceDN w:val="0"/>
        <w:adjustRightInd w:val="0"/>
        <w:spacing w:line="360" w:lineRule="auto"/>
        <w:jc w:val="right"/>
        <w:rPr>
          <w:rFonts w:ascii="宋体" w:hAnsi="宋体" w:cs="宋体"/>
          <w:sz w:val="24"/>
          <w:szCs w:val="24"/>
          <w:lang w:val="zh-CN"/>
        </w:rPr>
      </w:pPr>
    </w:p>
    <w:p w14:paraId="6D2492C3">
      <w:pPr>
        <w:wordWrap w:val="0"/>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法定代表人（签字或盖章）：</w:t>
      </w:r>
    </w:p>
    <w:p w14:paraId="16D658E3">
      <w:pPr>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投标人（公章）：</w:t>
      </w:r>
    </w:p>
    <w:p w14:paraId="2B9B480E">
      <w:pPr>
        <w:wordWrap w:val="0"/>
        <w:autoSpaceDE w:val="0"/>
        <w:autoSpaceDN w:val="0"/>
        <w:adjustRightInd w:val="0"/>
        <w:spacing w:line="360" w:lineRule="auto"/>
        <w:jc w:val="right"/>
        <w:rPr>
          <w:rFonts w:ascii="宋体" w:hAnsi="宋体" w:cs="宋体"/>
          <w:sz w:val="24"/>
          <w:szCs w:val="24"/>
          <w:lang w:val="zh-CN"/>
        </w:rPr>
      </w:pPr>
      <w:r>
        <w:rPr>
          <w:rFonts w:hint="eastAsia" w:ascii="宋体" w:hAnsi="宋体" w:cs="宋体"/>
          <w:sz w:val="24"/>
          <w:szCs w:val="24"/>
          <w:lang w:val="zh-CN"/>
        </w:rPr>
        <w:t>日期：20  年  月 日</w:t>
      </w:r>
    </w:p>
    <w:p w14:paraId="13940271">
      <w:pPr>
        <w:spacing w:line="360" w:lineRule="auto"/>
        <w:ind w:firstLine="480" w:firstLineChars="200"/>
        <w:jc w:val="left"/>
        <w:rPr>
          <w:rFonts w:ascii="宋体" w:hAnsi="宋体" w:cs="宋体"/>
          <w:sz w:val="24"/>
        </w:rPr>
      </w:pPr>
    </w:p>
    <w:p w14:paraId="15B90B7F">
      <w:pPr>
        <w:shd w:val="clear" w:color="auto" w:fill="FFFFFF"/>
        <w:spacing w:line="360" w:lineRule="auto"/>
        <w:jc w:val="center"/>
        <w:rPr>
          <w:rFonts w:ascii="宋体" w:hAnsi="宋体" w:cs="宋体"/>
          <w:b/>
          <w:sz w:val="32"/>
          <w:szCs w:val="32"/>
          <w:lang w:val="zh-CN"/>
        </w:rPr>
      </w:pPr>
      <w:r>
        <w:rPr>
          <w:rFonts w:hint="eastAsia" w:ascii="宋体" w:hAnsi="宋体" w:cs="宋体"/>
          <w:b/>
          <w:sz w:val="32"/>
          <w:szCs w:val="32"/>
        </w:rPr>
        <w:br w:type="page"/>
      </w:r>
      <w:r>
        <w:rPr>
          <w:rFonts w:hint="eastAsia" w:ascii="宋体" w:hAnsi="宋体" w:cs="宋体"/>
          <w:b/>
          <w:sz w:val="32"/>
          <w:szCs w:val="32"/>
        </w:rPr>
        <w:t>九</w:t>
      </w:r>
      <w:r>
        <w:rPr>
          <w:rFonts w:hint="eastAsia" w:ascii="宋体" w:hAnsi="宋体" w:cs="宋体"/>
          <w:b/>
          <w:sz w:val="32"/>
          <w:szCs w:val="32"/>
          <w:lang w:val="zh-CN"/>
        </w:rPr>
        <w:t>、类似项目实施业绩一览表</w:t>
      </w:r>
    </w:p>
    <w:tbl>
      <w:tblPr>
        <w:tblStyle w:val="28"/>
        <w:tblW w:w="97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14:paraId="1D7E2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70" w:type="dxa"/>
            <w:tcBorders>
              <w:top w:val="double" w:color="auto" w:sz="4" w:space="0"/>
              <w:left w:val="double" w:color="auto" w:sz="4" w:space="0"/>
              <w:bottom w:val="single" w:color="auto" w:sz="4" w:space="0"/>
              <w:right w:val="single" w:color="auto" w:sz="4" w:space="0"/>
            </w:tcBorders>
            <w:shd w:val="clear" w:color="auto" w:fill="FFFF99"/>
            <w:vAlign w:val="center"/>
          </w:tcPr>
          <w:p w14:paraId="25DF9447">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vAlign w:val="center"/>
          </w:tcPr>
          <w:p w14:paraId="68654A09">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w:t>
            </w:r>
          </w:p>
          <w:p w14:paraId="43E1DE51">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vAlign w:val="center"/>
          </w:tcPr>
          <w:p w14:paraId="5F6A223C">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vAlign w:val="center"/>
          </w:tcPr>
          <w:p w14:paraId="1408C74D">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项目金额</w:t>
            </w:r>
          </w:p>
          <w:p w14:paraId="795D7976">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vAlign w:val="center"/>
          </w:tcPr>
          <w:p w14:paraId="5AF54050">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vAlign w:val="center"/>
          </w:tcPr>
          <w:p w14:paraId="08D72650">
            <w:pPr>
              <w:widowControl/>
              <w:shd w:val="clear" w:color="auto" w:fill="FFFFFF"/>
              <w:spacing w:line="360" w:lineRule="auto"/>
              <w:jc w:val="center"/>
              <w:rPr>
                <w:rFonts w:ascii="宋体" w:hAnsi="宋体" w:cs="宋体"/>
                <w:sz w:val="24"/>
                <w:lang w:val="zh-CN"/>
              </w:rPr>
            </w:pPr>
            <w:r>
              <w:rPr>
                <w:rFonts w:hint="eastAsia" w:ascii="宋体" w:hAnsi="宋体" w:cs="宋体"/>
                <w:sz w:val="24"/>
                <w:lang w:val="zh-CN"/>
              </w:rPr>
              <w:t>项目单位</w:t>
            </w:r>
          </w:p>
          <w:p w14:paraId="059AF5E6">
            <w:pPr>
              <w:shd w:val="clear" w:color="auto" w:fill="FFFFFF"/>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联系人及电话</w:t>
            </w:r>
          </w:p>
        </w:tc>
      </w:tr>
      <w:tr w14:paraId="6ACD8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70" w:type="dxa"/>
            <w:tcBorders>
              <w:top w:val="single" w:color="auto" w:sz="4" w:space="0"/>
              <w:left w:val="double" w:color="auto" w:sz="4" w:space="0"/>
              <w:bottom w:val="single" w:color="auto" w:sz="4" w:space="0"/>
              <w:right w:val="single" w:color="auto" w:sz="4" w:space="0"/>
            </w:tcBorders>
            <w:vAlign w:val="top"/>
          </w:tcPr>
          <w:p w14:paraId="52E7C322">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660113B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7AA7B17C">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68F354E1">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766DD071">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1497E745">
            <w:pPr>
              <w:shd w:val="clear" w:color="auto" w:fill="FFFFFF"/>
              <w:autoSpaceDE w:val="0"/>
              <w:autoSpaceDN w:val="0"/>
              <w:adjustRightInd w:val="0"/>
              <w:spacing w:line="360" w:lineRule="auto"/>
              <w:rPr>
                <w:rFonts w:ascii="宋体" w:hAnsi="宋体" w:cs="宋体"/>
                <w:sz w:val="24"/>
                <w:lang w:val="zh-CN"/>
              </w:rPr>
            </w:pPr>
          </w:p>
        </w:tc>
      </w:tr>
      <w:tr w14:paraId="19039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4884289E">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32A7FF2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5B6FB59E">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2C384605">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6489207E">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3310BBEB">
            <w:pPr>
              <w:shd w:val="clear" w:color="auto" w:fill="FFFFFF"/>
              <w:autoSpaceDE w:val="0"/>
              <w:autoSpaceDN w:val="0"/>
              <w:adjustRightInd w:val="0"/>
              <w:spacing w:line="360" w:lineRule="auto"/>
              <w:rPr>
                <w:rFonts w:ascii="宋体" w:hAnsi="宋体" w:cs="宋体"/>
                <w:sz w:val="24"/>
                <w:lang w:val="zh-CN"/>
              </w:rPr>
            </w:pPr>
          </w:p>
        </w:tc>
      </w:tr>
      <w:tr w14:paraId="02DF4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1859DACC">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27303CF3">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45924573">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6A641854">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65E7BD27">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3DEC6037">
            <w:pPr>
              <w:shd w:val="clear" w:color="auto" w:fill="FFFFFF"/>
              <w:autoSpaceDE w:val="0"/>
              <w:autoSpaceDN w:val="0"/>
              <w:adjustRightInd w:val="0"/>
              <w:spacing w:line="360" w:lineRule="auto"/>
              <w:rPr>
                <w:rFonts w:ascii="宋体" w:hAnsi="宋体" w:cs="宋体"/>
                <w:sz w:val="24"/>
                <w:lang w:val="zh-CN"/>
              </w:rPr>
            </w:pPr>
          </w:p>
        </w:tc>
      </w:tr>
      <w:tr w14:paraId="74483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746E6107">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646F3807">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7A64D352">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3DA398BC">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331116F5">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570527A7">
            <w:pPr>
              <w:shd w:val="clear" w:color="auto" w:fill="FFFFFF"/>
              <w:autoSpaceDE w:val="0"/>
              <w:autoSpaceDN w:val="0"/>
              <w:adjustRightInd w:val="0"/>
              <w:spacing w:line="360" w:lineRule="auto"/>
              <w:rPr>
                <w:rFonts w:ascii="宋体" w:hAnsi="宋体" w:cs="宋体"/>
                <w:sz w:val="24"/>
                <w:lang w:val="zh-CN"/>
              </w:rPr>
            </w:pPr>
          </w:p>
        </w:tc>
      </w:tr>
      <w:tr w14:paraId="7F3A4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49162804">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16AB5377">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15A6F528">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16DA1DB8">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7BE1D61F">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1052F7B9">
            <w:pPr>
              <w:shd w:val="clear" w:color="auto" w:fill="FFFFFF"/>
              <w:autoSpaceDE w:val="0"/>
              <w:autoSpaceDN w:val="0"/>
              <w:adjustRightInd w:val="0"/>
              <w:spacing w:line="360" w:lineRule="auto"/>
              <w:rPr>
                <w:rFonts w:ascii="宋体" w:hAnsi="宋体" w:cs="宋体"/>
                <w:sz w:val="24"/>
                <w:lang w:val="zh-CN"/>
              </w:rPr>
            </w:pPr>
          </w:p>
        </w:tc>
      </w:tr>
      <w:tr w14:paraId="45934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7B5FB47E">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5716249B">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4E1F533B">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4EAB4771">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41D5B20C">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04FCD233">
            <w:pPr>
              <w:shd w:val="clear" w:color="auto" w:fill="FFFFFF"/>
              <w:autoSpaceDE w:val="0"/>
              <w:autoSpaceDN w:val="0"/>
              <w:adjustRightInd w:val="0"/>
              <w:spacing w:line="360" w:lineRule="auto"/>
              <w:rPr>
                <w:rFonts w:ascii="宋体" w:hAnsi="宋体" w:cs="宋体"/>
                <w:sz w:val="24"/>
                <w:lang w:val="zh-CN"/>
              </w:rPr>
            </w:pPr>
          </w:p>
        </w:tc>
      </w:tr>
      <w:tr w14:paraId="468E4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6DE811F0">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50F8DEA6">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6CDC02F6">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24FC3CD4">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36EA769B">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5B51E9D7">
            <w:pPr>
              <w:shd w:val="clear" w:color="auto" w:fill="FFFFFF"/>
              <w:autoSpaceDE w:val="0"/>
              <w:autoSpaceDN w:val="0"/>
              <w:adjustRightInd w:val="0"/>
              <w:spacing w:line="360" w:lineRule="auto"/>
              <w:rPr>
                <w:rFonts w:ascii="宋体" w:hAnsi="宋体" w:cs="宋体"/>
                <w:sz w:val="24"/>
                <w:lang w:val="zh-CN"/>
              </w:rPr>
            </w:pPr>
          </w:p>
        </w:tc>
      </w:tr>
      <w:tr w14:paraId="26D03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1F2828CD">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0AAFD76A">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5F969269">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36CC5CDA">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77220FBB">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26D66C9A">
            <w:pPr>
              <w:shd w:val="clear" w:color="auto" w:fill="FFFFFF"/>
              <w:autoSpaceDE w:val="0"/>
              <w:autoSpaceDN w:val="0"/>
              <w:adjustRightInd w:val="0"/>
              <w:spacing w:line="360" w:lineRule="auto"/>
              <w:rPr>
                <w:rFonts w:ascii="宋体" w:hAnsi="宋体" w:cs="宋体"/>
                <w:sz w:val="24"/>
                <w:lang w:val="zh-CN"/>
              </w:rPr>
            </w:pPr>
          </w:p>
        </w:tc>
      </w:tr>
      <w:tr w14:paraId="799604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2EEA8ADA">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276E6D5C">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48425DB2">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12C4FBF3">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2CF8E3AD">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29BC9123">
            <w:pPr>
              <w:shd w:val="clear" w:color="auto" w:fill="FFFFFF"/>
              <w:autoSpaceDE w:val="0"/>
              <w:autoSpaceDN w:val="0"/>
              <w:adjustRightInd w:val="0"/>
              <w:spacing w:line="360" w:lineRule="auto"/>
              <w:rPr>
                <w:rFonts w:ascii="宋体" w:hAnsi="宋体" w:cs="宋体"/>
                <w:sz w:val="24"/>
                <w:lang w:val="zh-CN"/>
              </w:rPr>
            </w:pPr>
          </w:p>
        </w:tc>
      </w:tr>
      <w:tr w14:paraId="7A48A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single" w:color="auto" w:sz="4" w:space="0"/>
              <w:right w:val="single" w:color="auto" w:sz="4" w:space="0"/>
            </w:tcBorders>
            <w:vAlign w:val="top"/>
          </w:tcPr>
          <w:p w14:paraId="2FD2B4D7">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single" w:color="auto" w:sz="4" w:space="0"/>
              <w:right w:val="single" w:color="auto" w:sz="4" w:space="0"/>
            </w:tcBorders>
            <w:vAlign w:val="top"/>
          </w:tcPr>
          <w:p w14:paraId="24F1C3C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single" w:color="auto" w:sz="4" w:space="0"/>
              <w:right w:val="single" w:color="auto" w:sz="4" w:space="0"/>
            </w:tcBorders>
            <w:vAlign w:val="top"/>
          </w:tcPr>
          <w:p w14:paraId="795C96F9">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single" w:color="auto" w:sz="4" w:space="0"/>
              <w:right w:val="single" w:color="auto" w:sz="4" w:space="0"/>
            </w:tcBorders>
            <w:vAlign w:val="top"/>
          </w:tcPr>
          <w:p w14:paraId="57F78394">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single" w:color="auto" w:sz="4" w:space="0"/>
              <w:right w:val="single" w:color="auto" w:sz="4" w:space="0"/>
            </w:tcBorders>
            <w:vAlign w:val="top"/>
          </w:tcPr>
          <w:p w14:paraId="70457AE0">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single" w:color="auto" w:sz="4" w:space="0"/>
              <w:right w:val="double" w:color="auto" w:sz="4" w:space="0"/>
            </w:tcBorders>
            <w:vAlign w:val="top"/>
          </w:tcPr>
          <w:p w14:paraId="5EDCA5D3">
            <w:pPr>
              <w:shd w:val="clear" w:color="auto" w:fill="FFFFFF"/>
              <w:autoSpaceDE w:val="0"/>
              <w:autoSpaceDN w:val="0"/>
              <w:adjustRightInd w:val="0"/>
              <w:spacing w:line="360" w:lineRule="auto"/>
              <w:rPr>
                <w:rFonts w:ascii="宋体" w:hAnsi="宋体" w:cs="宋体"/>
                <w:sz w:val="24"/>
                <w:lang w:val="zh-CN"/>
              </w:rPr>
            </w:pPr>
          </w:p>
        </w:tc>
      </w:tr>
      <w:tr w14:paraId="0C7C86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70" w:type="dxa"/>
            <w:tcBorders>
              <w:top w:val="single" w:color="auto" w:sz="4" w:space="0"/>
              <w:left w:val="double" w:color="auto" w:sz="4" w:space="0"/>
              <w:bottom w:val="double" w:color="auto" w:sz="4" w:space="0"/>
              <w:right w:val="single" w:color="auto" w:sz="4" w:space="0"/>
            </w:tcBorders>
            <w:vAlign w:val="top"/>
          </w:tcPr>
          <w:p w14:paraId="1731F1CC">
            <w:pPr>
              <w:shd w:val="clear" w:color="auto" w:fill="FFFFFF"/>
              <w:autoSpaceDE w:val="0"/>
              <w:autoSpaceDN w:val="0"/>
              <w:adjustRightInd w:val="0"/>
              <w:spacing w:line="360" w:lineRule="auto"/>
              <w:rPr>
                <w:rFonts w:ascii="宋体" w:hAnsi="宋体" w:cs="宋体"/>
                <w:sz w:val="24"/>
                <w:lang w:val="zh-CN"/>
              </w:rPr>
            </w:pPr>
          </w:p>
        </w:tc>
        <w:tc>
          <w:tcPr>
            <w:tcW w:w="1281" w:type="dxa"/>
            <w:tcBorders>
              <w:top w:val="single" w:color="auto" w:sz="4" w:space="0"/>
              <w:left w:val="single" w:color="auto" w:sz="4" w:space="0"/>
              <w:bottom w:val="double" w:color="auto" w:sz="4" w:space="0"/>
              <w:right w:val="single" w:color="auto" w:sz="4" w:space="0"/>
            </w:tcBorders>
            <w:vAlign w:val="top"/>
          </w:tcPr>
          <w:p w14:paraId="3261B99D">
            <w:pPr>
              <w:shd w:val="clear" w:color="auto" w:fill="FFFFFF"/>
              <w:autoSpaceDE w:val="0"/>
              <w:autoSpaceDN w:val="0"/>
              <w:adjustRightInd w:val="0"/>
              <w:spacing w:line="360" w:lineRule="auto"/>
              <w:rPr>
                <w:rFonts w:ascii="宋体" w:hAnsi="宋体" w:cs="宋体"/>
                <w:sz w:val="24"/>
                <w:lang w:val="zh-CN"/>
              </w:rPr>
            </w:pPr>
          </w:p>
        </w:tc>
        <w:tc>
          <w:tcPr>
            <w:tcW w:w="1356" w:type="dxa"/>
            <w:tcBorders>
              <w:top w:val="single" w:color="auto" w:sz="4" w:space="0"/>
              <w:left w:val="single" w:color="auto" w:sz="4" w:space="0"/>
              <w:bottom w:val="double" w:color="auto" w:sz="4" w:space="0"/>
              <w:right w:val="single" w:color="auto" w:sz="4" w:space="0"/>
            </w:tcBorders>
            <w:vAlign w:val="top"/>
          </w:tcPr>
          <w:p w14:paraId="56B38ECD">
            <w:pPr>
              <w:shd w:val="clear" w:color="auto" w:fill="FFFFFF"/>
              <w:autoSpaceDE w:val="0"/>
              <w:autoSpaceDN w:val="0"/>
              <w:adjustRightInd w:val="0"/>
              <w:spacing w:line="360" w:lineRule="auto"/>
              <w:rPr>
                <w:rFonts w:ascii="宋体" w:hAnsi="宋体" w:cs="宋体"/>
                <w:sz w:val="24"/>
                <w:lang w:val="zh-CN"/>
              </w:rPr>
            </w:pPr>
          </w:p>
        </w:tc>
        <w:tc>
          <w:tcPr>
            <w:tcW w:w="1773" w:type="dxa"/>
            <w:tcBorders>
              <w:top w:val="single" w:color="auto" w:sz="4" w:space="0"/>
              <w:left w:val="single" w:color="auto" w:sz="4" w:space="0"/>
              <w:bottom w:val="double" w:color="auto" w:sz="4" w:space="0"/>
              <w:right w:val="single" w:color="auto" w:sz="4" w:space="0"/>
            </w:tcBorders>
            <w:vAlign w:val="top"/>
          </w:tcPr>
          <w:p w14:paraId="27D462A8">
            <w:pPr>
              <w:shd w:val="clear" w:color="auto" w:fill="FFFFFF"/>
              <w:autoSpaceDE w:val="0"/>
              <w:autoSpaceDN w:val="0"/>
              <w:adjustRightInd w:val="0"/>
              <w:spacing w:line="360" w:lineRule="auto"/>
              <w:rPr>
                <w:rFonts w:ascii="宋体" w:hAnsi="宋体" w:cs="宋体"/>
                <w:sz w:val="24"/>
                <w:lang w:val="zh-CN"/>
              </w:rPr>
            </w:pPr>
          </w:p>
        </w:tc>
        <w:tc>
          <w:tcPr>
            <w:tcW w:w="1365" w:type="dxa"/>
            <w:tcBorders>
              <w:top w:val="single" w:color="auto" w:sz="4" w:space="0"/>
              <w:left w:val="single" w:color="auto" w:sz="4" w:space="0"/>
              <w:bottom w:val="double" w:color="auto" w:sz="4" w:space="0"/>
              <w:right w:val="single" w:color="auto" w:sz="4" w:space="0"/>
            </w:tcBorders>
            <w:vAlign w:val="top"/>
          </w:tcPr>
          <w:p w14:paraId="34904B60">
            <w:pPr>
              <w:shd w:val="clear" w:color="auto" w:fill="FFFFFF"/>
              <w:autoSpaceDE w:val="0"/>
              <w:autoSpaceDN w:val="0"/>
              <w:adjustRightInd w:val="0"/>
              <w:spacing w:line="360" w:lineRule="auto"/>
              <w:rPr>
                <w:rFonts w:ascii="宋体" w:hAnsi="宋体" w:cs="宋体"/>
                <w:sz w:val="24"/>
                <w:lang w:val="zh-CN"/>
              </w:rPr>
            </w:pPr>
          </w:p>
        </w:tc>
        <w:tc>
          <w:tcPr>
            <w:tcW w:w="2475" w:type="dxa"/>
            <w:tcBorders>
              <w:top w:val="single" w:color="auto" w:sz="4" w:space="0"/>
              <w:left w:val="single" w:color="auto" w:sz="4" w:space="0"/>
              <w:bottom w:val="double" w:color="auto" w:sz="4" w:space="0"/>
              <w:right w:val="double" w:color="auto" w:sz="4" w:space="0"/>
            </w:tcBorders>
            <w:vAlign w:val="top"/>
          </w:tcPr>
          <w:p w14:paraId="575289A2">
            <w:pPr>
              <w:shd w:val="clear" w:color="auto" w:fill="FFFFFF"/>
              <w:autoSpaceDE w:val="0"/>
              <w:autoSpaceDN w:val="0"/>
              <w:adjustRightInd w:val="0"/>
              <w:spacing w:line="360" w:lineRule="auto"/>
              <w:rPr>
                <w:rFonts w:ascii="宋体" w:hAnsi="宋体" w:cs="宋体"/>
                <w:sz w:val="24"/>
                <w:lang w:val="zh-CN"/>
              </w:rPr>
            </w:pPr>
          </w:p>
        </w:tc>
      </w:tr>
    </w:tbl>
    <w:p w14:paraId="2D6558BA">
      <w:pPr>
        <w:spacing w:line="360" w:lineRule="auto"/>
        <w:jc w:val="left"/>
        <w:rPr>
          <w:rFonts w:ascii="宋体" w:hAnsi="宋体"/>
          <w:sz w:val="24"/>
          <w:szCs w:val="24"/>
        </w:rPr>
      </w:pPr>
      <w:r>
        <w:rPr>
          <w:rFonts w:hint="eastAsia" w:ascii="宋体" w:hAnsi="宋体" w:cs="宋体"/>
          <w:b/>
        </w:rPr>
        <w:t>备注：</w:t>
      </w:r>
      <w:r>
        <w:rPr>
          <w:rFonts w:hint="eastAsia" w:ascii="宋体" w:hAnsi="宋体"/>
          <w:sz w:val="24"/>
          <w:szCs w:val="24"/>
        </w:rPr>
        <w:t>a以合同签订时间为准，提供合同复印件、发票复印件作为证明文件，缺项视为无效业绩；</w:t>
      </w:r>
    </w:p>
    <w:p w14:paraId="690232F2">
      <w:pPr>
        <w:spacing w:line="360" w:lineRule="auto"/>
        <w:jc w:val="left"/>
        <w:rPr>
          <w:rFonts w:ascii="宋体" w:hAnsi="宋体"/>
          <w:sz w:val="24"/>
          <w:szCs w:val="24"/>
        </w:rPr>
      </w:pPr>
      <w:r>
        <w:rPr>
          <w:rFonts w:hint="eastAsia" w:ascii="宋体" w:hAnsi="宋体"/>
          <w:sz w:val="24"/>
          <w:szCs w:val="24"/>
        </w:rPr>
        <w:t>b、无具体数量或以实际供货量结算的框架合同以一个年度的内的发票累计数量为准，缺项视为无效业绩；</w:t>
      </w:r>
    </w:p>
    <w:p w14:paraId="44530E9A">
      <w:pPr>
        <w:pStyle w:val="40"/>
        <w:shd w:val="clear" w:color="auto" w:fill="FFFFFF"/>
        <w:spacing w:before="0" w:line="360" w:lineRule="auto"/>
        <w:ind w:firstLine="600" w:firstLineChars="250"/>
        <w:rPr>
          <w:rFonts w:ascii="宋体" w:hAnsi="宋体" w:cs="宋体"/>
          <w:kern w:val="0"/>
          <w:szCs w:val="24"/>
        </w:rPr>
      </w:pPr>
    </w:p>
    <w:p w14:paraId="376ABAB1">
      <w:pPr>
        <w:pStyle w:val="40"/>
        <w:shd w:val="clear" w:color="auto" w:fill="FFFFFF"/>
        <w:spacing w:before="0" w:line="360" w:lineRule="auto"/>
        <w:ind w:firstLine="600" w:firstLineChars="250"/>
        <w:rPr>
          <w:rFonts w:ascii="宋体" w:hAnsi="宋体" w:cs="宋体"/>
        </w:rPr>
      </w:pPr>
    </w:p>
    <w:p w14:paraId="2B514116">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投标人（公章）：</w:t>
      </w:r>
    </w:p>
    <w:p w14:paraId="168DF7EF">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法定代表人或授权代表（签字）：</w:t>
      </w:r>
    </w:p>
    <w:p w14:paraId="6C81629B">
      <w:pPr>
        <w:shd w:val="clear" w:color="auto" w:fill="FFFFFF"/>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日期：20  年  月   日</w:t>
      </w:r>
    </w:p>
    <w:p w14:paraId="6A2E226E">
      <w:pPr>
        <w:shd w:val="clear" w:color="auto" w:fill="FFFFFF"/>
        <w:autoSpaceDE w:val="0"/>
        <w:autoSpaceDN w:val="0"/>
        <w:adjustRightInd w:val="0"/>
        <w:spacing w:line="360" w:lineRule="auto"/>
        <w:rPr>
          <w:rFonts w:ascii="宋体" w:hAnsi="宋体" w:cs="宋体"/>
          <w:sz w:val="24"/>
          <w:lang w:val="zh-CN"/>
        </w:rPr>
      </w:pPr>
    </w:p>
    <w:p w14:paraId="682AFE14">
      <w:pPr>
        <w:shd w:val="clear" w:color="auto" w:fill="FFFFFF"/>
        <w:autoSpaceDE w:val="0"/>
        <w:autoSpaceDN w:val="0"/>
        <w:adjustRightInd w:val="0"/>
        <w:spacing w:line="360" w:lineRule="auto"/>
        <w:rPr>
          <w:rFonts w:ascii="宋体" w:hAnsi="宋体" w:cs="宋体"/>
          <w:sz w:val="24"/>
          <w:lang w:val="zh-CN"/>
        </w:rPr>
      </w:pPr>
    </w:p>
    <w:p w14:paraId="41620C06">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十、产品质量控制的保证措施（投标人自拟）</w:t>
      </w:r>
    </w:p>
    <w:p w14:paraId="6FECAA52">
      <w:pPr>
        <w:spacing w:line="360" w:lineRule="auto"/>
        <w:jc w:val="center"/>
        <w:rPr>
          <w:rFonts w:ascii="宋体" w:hAnsi="宋体" w:cs="宋体"/>
          <w:b/>
          <w:sz w:val="32"/>
          <w:szCs w:val="32"/>
        </w:rPr>
      </w:pPr>
    </w:p>
    <w:p w14:paraId="50B35EA7">
      <w:pPr>
        <w:spacing w:line="360" w:lineRule="auto"/>
        <w:jc w:val="center"/>
        <w:rPr>
          <w:rFonts w:ascii="宋体" w:hAnsi="宋体" w:cs="宋体"/>
          <w:b/>
          <w:sz w:val="32"/>
          <w:szCs w:val="32"/>
        </w:rPr>
      </w:pPr>
    </w:p>
    <w:p w14:paraId="76F51A1D">
      <w:pPr>
        <w:autoSpaceDE w:val="0"/>
        <w:autoSpaceDN w:val="0"/>
        <w:adjustRightInd w:val="0"/>
        <w:spacing w:line="360" w:lineRule="auto"/>
        <w:outlineLvl w:val="1"/>
        <w:rPr>
          <w:rFonts w:ascii="宋体" w:hAnsi="宋体" w:cs="宋体"/>
          <w:b/>
          <w:sz w:val="32"/>
          <w:szCs w:val="32"/>
        </w:rPr>
      </w:pPr>
      <w:r>
        <w:rPr>
          <w:rFonts w:hint="eastAsia" w:ascii="宋体" w:hAnsi="宋体" w:cs="宋体"/>
          <w:b/>
          <w:sz w:val="32"/>
          <w:szCs w:val="32"/>
        </w:rPr>
        <w:t xml:space="preserve">        十一、按计划供货的保证措施（投标人自拟）</w:t>
      </w:r>
    </w:p>
    <w:p w14:paraId="7462719A">
      <w:pPr>
        <w:spacing w:line="360" w:lineRule="auto"/>
        <w:jc w:val="center"/>
        <w:rPr>
          <w:rFonts w:ascii="宋体" w:hAnsi="宋体" w:cs="宋体"/>
          <w:b/>
          <w:sz w:val="32"/>
          <w:szCs w:val="32"/>
        </w:rPr>
      </w:pPr>
    </w:p>
    <w:p w14:paraId="2FF81955">
      <w:pPr>
        <w:spacing w:line="360" w:lineRule="auto"/>
        <w:jc w:val="center"/>
        <w:rPr>
          <w:rFonts w:ascii="宋体" w:hAnsi="宋体" w:cs="宋体"/>
          <w:b/>
          <w:sz w:val="32"/>
          <w:szCs w:val="32"/>
        </w:rPr>
      </w:pPr>
    </w:p>
    <w:p w14:paraId="21B0F45E">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 xml:space="preserve">  十二、培训计划及售后服务承诺（投标人自拟）</w:t>
      </w:r>
    </w:p>
    <w:p w14:paraId="1183E293">
      <w:pPr>
        <w:spacing w:line="360" w:lineRule="auto"/>
        <w:jc w:val="center"/>
        <w:rPr>
          <w:rFonts w:ascii="宋体" w:hAnsi="宋体" w:cs="宋体"/>
          <w:b/>
          <w:sz w:val="32"/>
          <w:szCs w:val="32"/>
        </w:rPr>
      </w:pPr>
    </w:p>
    <w:p w14:paraId="2DF3B533">
      <w:pPr>
        <w:spacing w:line="360" w:lineRule="auto"/>
        <w:jc w:val="left"/>
        <w:rPr>
          <w:rFonts w:ascii="宋体" w:hAnsi="宋体" w:cs="宋体"/>
          <w:b/>
          <w:sz w:val="32"/>
          <w:szCs w:val="32"/>
        </w:rPr>
      </w:pPr>
    </w:p>
    <w:p w14:paraId="1E10BC84">
      <w:pPr>
        <w:autoSpaceDE w:val="0"/>
        <w:autoSpaceDN w:val="0"/>
        <w:adjustRightInd w:val="0"/>
        <w:spacing w:line="360" w:lineRule="auto"/>
        <w:outlineLvl w:val="1"/>
        <w:rPr>
          <w:rFonts w:ascii="宋体" w:hAnsi="宋体" w:cs="宋体"/>
          <w:b/>
          <w:sz w:val="32"/>
          <w:szCs w:val="32"/>
        </w:rPr>
      </w:pPr>
      <w:r>
        <w:rPr>
          <w:rFonts w:hint="eastAsia" w:ascii="宋体" w:hAnsi="宋体" w:cs="宋体"/>
          <w:b/>
          <w:sz w:val="32"/>
          <w:szCs w:val="32"/>
        </w:rPr>
        <w:t>十三、其他按招标文件</w:t>
      </w:r>
      <w:r>
        <w:rPr>
          <w:rFonts w:hint="eastAsia" w:ascii="宋体" w:hAnsi="宋体" w:cs="宋体"/>
          <w:b/>
          <w:sz w:val="32"/>
          <w:szCs w:val="32"/>
          <w:lang w:val="en-US" w:eastAsia="zh-CN"/>
        </w:rPr>
        <w:t>36</w:t>
      </w:r>
      <w:r>
        <w:rPr>
          <w:rFonts w:hint="eastAsia" w:ascii="宋体" w:hAnsi="宋体" w:cs="宋体"/>
          <w:b/>
          <w:sz w:val="32"/>
          <w:szCs w:val="32"/>
        </w:rPr>
        <w:t>、投标文件组成（加“▲”的资料为必须提供，否则将被视为无效）部分格式可参考“第</w:t>
      </w:r>
      <w:r>
        <w:rPr>
          <w:rFonts w:hint="eastAsia" w:ascii="宋体" w:hAnsi="宋体" w:cs="宋体"/>
          <w:b/>
          <w:sz w:val="32"/>
          <w:szCs w:val="32"/>
          <w:lang w:val="en-US" w:eastAsia="zh-CN"/>
        </w:rPr>
        <w:t>五</w:t>
      </w:r>
      <w:r>
        <w:rPr>
          <w:rFonts w:hint="eastAsia" w:ascii="宋体" w:hAnsi="宋体" w:cs="宋体"/>
          <w:b/>
          <w:sz w:val="32"/>
          <w:szCs w:val="32"/>
        </w:rPr>
        <w:t>部分 投标文件格式”，未提供参考格式的由供应商根据相关要求自行编制。</w:t>
      </w:r>
    </w:p>
    <w:p w14:paraId="3DD6B726">
      <w:pPr>
        <w:autoSpaceDE w:val="0"/>
        <w:autoSpaceDN w:val="0"/>
        <w:adjustRightInd w:val="0"/>
        <w:spacing w:line="360" w:lineRule="auto"/>
        <w:jc w:val="center"/>
        <w:rPr>
          <w:rFonts w:ascii="宋体" w:hAnsi="宋体" w:cs="宋体"/>
          <w:b/>
          <w:sz w:val="30"/>
          <w:szCs w:val="30"/>
        </w:rPr>
      </w:pPr>
    </w:p>
    <w:p w14:paraId="778CFA3B">
      <w:pPr>
        <w:autoSpaceDE w:val="0"/>
        <w:autoSpaceDN w:val="0"/>
        <w:adjustRightInd w:val="0"/>
        <w:spacing w:line="360" w:lineRule="auto"/>
        <w:jc w:val="center"/>
        <w:rPr>
          <w:rFonts w:ascii="宋体" w:hAnsi="宋体" w:cs="宋体"/>
          <w:b/>
          <w:sz w:val="30"/>
          <w:szCs w:val="30"/>
        </w:rPr>
      </w:pPr>
    </w:p>
    <w:p w14:paraId="5108C601">
      <w:pPr>
        <w:autoSpaceDE w:val="0"/>
        <w:autoSpaceDN w:val="0"/>
        <w:adjustRightInd w:val="0"/>
        <w:spacing w:line="360" w:lineRule="auto"/>
        <w:jc w:val="center"/>
        <w:rPr>
          <w:rFonts w:ascii="宋体" w:hAnsi="宋体" w:cs="宋体"/>
          <w:b/>
          <w:sz w:val="30"/>
          <w:szCs w:val="30"/>
        </w:rPr>
      </w:pPr>
    </w:p>
    <w:p w14:paraId="11767138">
      <w:pPr>
        <w:autoSpaceDE w:val="0"/>
        <w:autoSpaceDN w:val="0"/>
        <w:adjustRightInd w:val="0"/>
        <w:spacing w:line="360" w:lineRule="auto"/>
        <w:jc w:val="center"/>
        <w:rPr>
          <w:rFonts w:ascii="宋体" w:hAnsi="宋体" w:cs="宋体"/>
          <w:b/>
          <w:sz w:val="30"/>
          <w:szCs w:val="30"/>
        </w:rPr>
      </w:pPr>
    </w:p>
    <w:p w14:paraId="50FFF3D7">
      <w:pPr>
        <w:autoSpaceDE w:val="0"/>
        <w:autoSpaceDN w:val="0"/>
        <w:adjustRightInd w:val="0"/>
        <w:spacing w:line="360" w:lineRule="auto"/>
        <w:jc w:val="center"/>
        <w:rPr>
          <w:rFonts w:ascii="宋体" w:hAnsi="宋体" w:cs="宋体"/>
          <w:b/>
          <w:sz w:val="30"/>
          <w:szCs w:val="30"/>
        </w:rPr>
      </w:pPr>
    </w:p>
    <w:p w14:paraId="55ADF2BD">
      <w:pPr>
        <w:autoSpaceDE w:val="0"/>
        <w:autoSpaceDN w:val="0"/>
        <w:adjustRightInd w:val="0"/>
        <w:spacing w:line="360" w:lineRule="auto"/>
        <w:jc w:val="center"/>
        <w:rPr>
          <w:rFonts w:ascii="宋体" w:hAnsi="宋体" w:cs="宋体"/>
          <w:b/>
          <w:sz w:val="30"/>
          <w:szCs w:val="30"/>
        </w:rPr>
      </w:pPr>
    </w:p>
    <w:p w14:paraId="139880C0">
      <w:pPr>
        <w:autoSpaceDE w:val="0"/>
        <w:autoSpaceDN w:val="0"/>
        <w:adjustRightInd w:val="0"/>
        <w:spacing w:line="360" w:lineRule="auto"/>
        <w:jc w:val="center"/>
        <w:rPr>
          <w:rFonts w:ascii="宋体" w:hAnsi="宋体" w:cs="宋体"/>
          <w:b/>
          <w:sz w:val="30"/>
          <w:szCs w:val="30"/>
        </w:rPr>
      </w:pPr>
    </w:p>
    <w:p w14:paraId="1B5E4493">
      <w:pPr>
        <w:autoSpaceDE w:val="0"/>
        <w:autoSpaceDN w:val="0"/>
        <w:adjustRightInd w:val="0"/>
        <w:spacing w:line="360" w:lineRule="auto"/>
        <w:jc w:val="center"/>
        <w:rPr>
          <w:rFonts w:ascii="宋体" w:hAnsi="宋体" w:cs="宋体"/>
          <w:b/>
          <w:sz w:val="30"/>
          <w:szCs w:val="30"/>
        </w:rPr>
      </w:pPr>
    </w:p>
    <w:p w14:paraId="761C8F81">
      <w:pPr>
        <w:autoSpaceDE w:val="0"/>
        <w:autoSpaceDN w:val="0"/>
        <w:adjustRightInd w:val="0"/>
        <w:spacing w:line="360" w:lineRule="auto"/>
        <w:jc w:val="center"/>
        <w:rPr>
          <w:rFonts w:ascii="宋体" w:hAnsi="宋体" w:cs="宋体"/>
          <w:b/>
          <w:sz w:val="30"/>
          <w:szCs w:val="30"/>
        </w:rPr>
      </w:pPr>
    </w:p>
    <w:p w14:paraId="29ADBAAE">
      <w:pPr>
        <w:autoSpaceDE w:val="0"/>
        <w:autoSpaceDN w:val="0"/>
        <w:adjustRightInd w:val="0"/>
        <w:spacing w:line="360" w:lineRule="auto"/>
        <w:jc w:val="center"/>
        <w:outlineLvl w:val="1"/>
        <w:rPr>
          <w:rFonts w:ascii="宋体" w:hAnsi="宋体" w:cs="宋体"/>
          <w:b/>
          <w:sz w:val="32"/>
          <w:szCs w:val="32"/>
        </w:rPr>
      </w:pPr>
      <w:r>
        <w:rPr>
          <w:rFonts w:hint="eastAsia" w:ascii="宋体" w:hAnsi="宋体" w:cs="宋体"/>
          <w:b/>
          <w:sz w:val="32"/>
          <w:szCs w:val="32"/>
        </w:rPr>
        <w:t>十四、投标文件外层包装封面（格式供参考）</w:t>
      </w:r>
    </w:p>
    <w:p w14:paraId="45346D41">
      <w:pPr>
        <w:spacing w:line="360" w:lineRule="auto"/>
        <w:jc w:val="center"/>
        <w:rPr>
          <w:rFonts w:ascii="宋体" w:hAnsi="宋体" w:cs="宋体"/>
          <w:b/>
          <w:sz w:val="30"/>
          <w:szCs w:val="30"/>
        </w:rPr>
      </w:pPr>
    </w:p>
    <w:p w14:paraId="12CF8560">
      <w:pPr>
        <w:spacing w:line="360" w:lineRule="auto"/>
        <w:rPr>
          <w:rFonts w:ascii="宋体" w:hAnsi="宋体" w:cs="宋体"/>
          <w:b/>
          <w:sz w:val="30"/>
          <w:szCs w:val="30"/>
        </w:rPr>
      </w:pPr>
      <w:r>
        <w:rPr>
          <w:rFonts w:hint="eastAsia" w:ascii="宋体" w:hAnsi="宋体" w:cs="宋体"/>
          <w:b/>
          <w:sz w:val="30"/>
          <w:szCs w:val="30"/>
        </w:rPr>
        <w:t>1、报价文件外层包装封面</w:t>
      </w:r>
    </w:p>
    <w:p w14:paraId="247CB716">
      <w:pPr>
        <w:spacing w:line="360" w:lineRule="auto"/>
        <w:jc w:val="center"/>
        <w:rPr>
          <w:rFonts w:ascii="宋体" w:hAnsi="宋体" w:cs="宋体"/>
          <w:b/>
          <w:sz w:val="30"/>
          <w:szCs w:val="30"/>
        </w:rPr>
      </w:pPr>
      <w:r>
        <w:rPr>
          <w:rFonts w:hint="eastAsia" w:ascii="宋体" w:hAnsi="宋体" w:cs="宋体"/>
          <w:b/>
          <w:sz w:val="30"/>
          <w:szCs w:val="30"/>
        </w:rPr>
        <w:t>报价文件</w:t>
      </w:r>
    </w:p>
    <w:p w14:paraId="1E4A0525">
      <w:pPr>
        <w:spacing w:line="360" w:lineRule="auto"/>
        <w:jc w:val="center"/>
        <w:rPr>
          <w:rFonts w:ascii="宋体" w:hAnsi="宋体" w:cs="宋体"/>
          <w:b/>
          <w:sz w:val="30"/>
          <w:szCs w:val="30"/>
        </w:rPr>
      </w:pPr>
      <w:r>
        <w:rPr>
          <w:rFonts w:hint="eastAsia" w:ascii="宋体" w:hAnsi="宋体" w:cs="宋体"/>
          <w:b/>
          <w:sz w:val="30"/>
          <w:szCs w:val="30"/>
        </w:rPr>
        <w:t>(唱标时启封)</w:t>
      </w:r>
    </w:p>
    <w:p w14:paraId="055A2862">
      <w:pPr>
        <w:spacing w:line="360" w:lineRule="auto"/>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41339420">
      <w:pPr>
        <w:spacing w:line="360" w:lineRule="auto"/>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6D1FB136">
      <w:pPr>
        <w:spacing w:line="360" w:lineRule="auto"/>
        <w:rPr>
          <w:rFonts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528CAF02">
      <w:pPr>
        <w:spacing w:line="360" w:lineRule="auto"/>
        <w:rPr>
          <w:rFonts w:ascii="宋体" w:hAnsi="宋体" w:cs="宋体"/>
          <w:b/>
          <w:sz w:val="30"/>
          <w:szCs w:val="30"/>
        </w:rPr>
      </w:pPr>
    </w:p>
    <w:p w14:paraId="3DF774FA">
      <w:pPr>
        <w:spacing w:line="360" w:lineRule="auto"/>
        <w:rPr>
          <w:rFonts w:ascii="宋体" w:hAnsi="宋体" w:cs="宋体"/>
          <w:b/>
          <w:sz w:val="30"/>
          <w:szCs w:val="30"/>
        </w:rPr>
      </w:pPr>
      <w:r>
        <w:rPr>
          <w:rFonts w:hint="eastAsia" w:ascii="宋体" w:hAnsi="宋体" w:cs="宋体"/>
          <w:b/>
          <w:sz w:val="30"/>
          <w:szCs w:val="30"/>
        </w:rPr>
        <w:t>在    年    月     日     时     分之前不得启封</w:t>
      </w:r>
    </w:p>
    <w:p w14:paraId="7E0073AB">
      <w:pPr>
        <w:spacing w:line="360" w:lineRule="auto"/>
        <w:rPr>
          <w:rFonts w:ascii="宋体" w:hAnsi="宋体" w:cs="宋体"/>
          <w:b/>
          <w:sz w:val="30"/>
          <w:szCs w:val="30"/>
        </w:rPr>
      </w:pPr>
    </w:p>
    <w:p w14:paraId="6A4EF48F">
      <w:pPr>
        <w:spacing w:line="360" w:lineRule="auto"/>
        <w:rPr>
          <w:rFonts w:ascii="宋体" w:hAnsi="宋体" w:cs="宋体"/>
          <w:b/>
          <w:sz w:val="30"/>
          <w:szCs w:val="30"/>
        </w:rPr>
      </w:pPr>
    </w:p>
    <w:p w14:paraId="34F87E8B">
      <w:pPr>
        <w:spacing w:line="360" w:lineRule="auto"/>
        <w:rPr>
          <w:rFonts w:ascii="宋体" w:hAnsi="宋体" w:cs="宋体"/>
          <w:b/>
          <w:sz w:val="30"/>
          <w:szCs w:val="30"/>
        </w:rPr>
      </w:pPr>
    </w:p>
    <w:p w14:paraId="7CF67F16">
      <w:pPr>
        <w:spacing w:line="360" w:lineRule="auto"/>
        <w:rPr>
          <w:rFonts w:ascii="宋体" w:hAnsi="宋体" w:cs="宋体"/>
          <w:b/>
          <w:sz w:val="30"/>
          <w:szCs w:val="30"/>
        </w:rPr>
      </w:pPr>
      <w:r>
        <w:rPr>
          <w:rFonts w:hint="eastAsia" w:ascii="宋体" w:hAnsi="宋体" w:cs="宋体"/>
          <w:b/>
          <w:sz w:val="30"/>
          <w:szCs w:val="30"/>
        </w:rPr>
        <w:t>2、商务/技术文件外层包装封面</w:t>
      </w:r>
    </w:p>
    <w:p w14:paraId="2ADB5965">
      <w:pPr>
        <w:spacing w:line="360" w:lineRule="auto"/>
        <w:jc w:val="center"/>
        <w:rPr>
          <w:rFonts w:ascii="宋体" w:hAnsi="宋体" w:cs="宋体"/>
          <w:b/>
          <w:sz w:val="30"/>
          <w:szCs w:val="30"/>
        </w:rPr>
      </w:pPr>
      <w:r>
        <w:rPr>
          <w:rFonts w:hint="eastAsia" w:ascii="宋体" w:hAnsi="宋体" w:cs="宋体"/>
          <w:b/>
          <w:sz w:val="30"/>
          <w:szCs w:val="30"/>
        </w:rPr>
        <w:t>商务/技术文件</w:t>
      </w:r>
    </w:p>
    <w:p w14:paraId="74A980CD">
      <w:pPr>
        <w:spacing w:line="360" w:lineRule="auto"/>
        <w:jc w:val="center"/>
        <w:rPr>
          <w:rFonts w:ascii="宋体" w:hAnsi="宋体" w:cs="宋体"/>
          <w:b/>
          <w:sz w:val="30"/>
          <w:szCs w:val="30"/>
        </w:rPr>
      </w:pPr>
      <w:r>
        <w:rPr>
          <w:rFonts w:hint="eastAsia" w:ascii="宋体" w:hAnsi="宋体" w:cs="宋体"/>
          <w:b/>
          <w:sz w:val="30"/>
          <w:szCs w:val="30"/>
        </w:rPr>
        <w:t>(开标时启封)</w:t>
      </w:r>
    </w:p>
    <w:p w14:paraId="4E853641">
      <w:pPr>
        <w:spacing w:line="360" w:lineRule="auto"/>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w:t>
      </w:r>
    </w:p>
    <w:p w14:paraId="47335785">
      <w:pPr>
        <w:spacing w:line="360" w:lineRule="auto"/>
        <w:rPr>
          <w:rFonts w:ascii="宋体" w:hAnsi="宋体" w:cs="宋体"/>
          <w:b/>
          <w:sz w:val="30"/>
          <w:szCs w:val="30"/>
        </w:rPr>
      </w:pPr>
      <w:r>
        <w:rPr>
          <w:rFonts w:hint="eastAsia" w:ascii="宋体" w:hAnsi="宋体" w:cs="宋体"/>
          <w:b/>
          <w:sz w:val="30"/>
          <w:szCs w:val="30"/>
        </w:rPr>
        <w:t>项目编号：</w:t>
      </w:r>
      <w:r>
        <w:rPr>
          <w:rFonts w:hint="eastAsia" w:ascii="宋体" w:hAnsi="宋体" w:cs="宋体"/>
          <w:b/>
          <w:sz w:val="30"/>
          <w:szCs w:val="30"/>
          <w:u w:val="single"/>
        </w:rPr>
        <w:t xml:space="preserve">                                    </w:t>
      </w:r>
    </w:p>
    <w:p w14:paraId="08CCB72A">
      <w:pPr>
        <w:spacing w:line="360" w:lineRule="auto"/>
        <w:rPr>
          <w:rFonts w:ascii="宋体" w:hAnsi="宋体" w:cs="宋体"/>
          <w:b/>
          <w:sz w:val="30"/>
          <w:szCs w:val="30"/>
        </w:rPr>
      </w:pPr>
      <w:r>
        <w:rPr>
          <w:rFonts w:hint="eastAsia" w:ascii="宋体" w:hAnsi="宋体" w:cs="宋体"/>
          <w:b/>
          <w:sz w:val="30"/>
          <w:szCs w:val="30"/>
        </w:rPr>
        <w:t>投标人名称（盖章）：</w:t>
      </w:r>
      <w:r>
        <w:rPr>
          <w:rFonts w:hint="eastAsia" w:ascii="宋体" w:hAnsi="宋体" w:cs="宋体"/>
          <w:b/>
          <w:sz w:val="30"/>
          <w:szCs w:val="30"/>
          <w:u w:val="single"/>
        </w:rPr>
        <w:t xml:space="preserve">                           </w:t>
      </w:r>
      <w:r>
        <w:rPr>
          <w:rFonts w:hint="eastAsia" w:ascii="宋体" w:hAnsi="宋体" w:cs="宋体"/>
          <w:b/>
          <w:sz w:val="30"/>
          <w:szCs w:val="30"/>
        </w:rPr>
        <w:t xml:space="preserve">  </w:t>
      </w:r>
    </w:p>
    <w:p w14:paraId="20C6905B">
      <w:pPr>
        <w:spacing w:line="360" w:lineRule="auto"/>
        <w:rPr>
          <w:rFonts w:ascii="宋体" w:hAnsi="宋体" w:cs="宋体"/>
          <w:b/>
          <w:sz w:val="30"/>
          <w:szCs w:val="30"/>
        </w:rPr>
      </w:pPr>
      <w:r>
        <w:rPr>
          <w:rFonts w:hint="eastAsia" w:ascii="宋体" w:hAnsi="宋体" w:cs="宋体"/>
          <w:b/>
          <w:sz w:val="30"/>
          <w:szCs w:val="30"/>
        </w:rPr>
        <w:t xml:space="preserve">     </w:t>
      </w:r>
    </w:p>
    <w:p w14:paraId="70E6BF5F">
      <w:pPr>
        <w:spacing w:line="360" w:lineRule="auto"/>
        <w:rPr>
          <w:rFonts w:ascii="宋体" w:hAnsi="宋体" w:cs="宋体"/>
          <w:b/>
          <w:sz w:val="30"/>
          <w:szCs w:val="30"/>
        </w:rPr>
      </w:pPr>
      <w:r>
        <w:rPr>
          <w:rFonts w:hint="eastAsia" w:ascii="宋体" w:hAnsi="宋体" w:cs="宋体"/>
          <w:b/>
          <w:sz w:val="30"/>
          <w:szCs w:val="30"/>
        </w:rPr>
        <w:t>在    年    月     日     时     分之前不得启封</w:t>
      </w:r>
    </w:p>
    <w:p w14:paraId="1930A07C">
      <w:pPr>
        <w:spacing w:line="360" w:lineRule="auto"/>
        <w:jc w:val="center"/>
        <w:outlineLvl w:val="1"/>
        <w:rPr>
          <w:rFonts w:ascii="宋体" w:hAnsi="宋体" w:cs="宋体"/>
          <w:b/>
          <w:sz w:val="32"/>
          <w:szCs w:val="32"/>
        </w:rPr>
      </w:pPr>
      <w:r>
        <w:rPr>
          <w:rFonts w:hint="eastAsia" w:ascii="宋体" w:hAnsi="宋体" w:cs="宋体"/>
          <w:b/>
          <w:sz w:val="30"/>
          <w:szCs w:val="30"/>
        </w:rPr>
        <w:br w:type="page"/>
      </w:r>
      <w:r>
        <w:rPr>
          <w:rFonts w:hint="eastAsia" w:ascii="宋体" w:hAnsi="宋体" w:cs="宋体"/>
          <w:b/>
          <w:sz w:val="32"/>
          <w:szCs w:val="32"/>
        </w:rPr>
        <w:t>十五、投标文件封面（格式供参考）</w:t>
      </w:r>
    </w:p>
    <w:p w14:paraId="32DB17F0">
      <w:pPr>
        <w:spacing w:line="360" w:lineRule="auto"/>
        <w:jc w:val="center"/>
        <w:rPr>
          <w:rFonts w:ascii="宋体" w:hAnsi="宋体" w:cs="宋体"/>
          <w:b/>
          <w:sz w:val="32"/>
          <w:szCs w:val="32"/>
        </w:rPr>
      </w:pPr>
    </w:p>
    <w:p w14:paraId="6BDEFD5B">
      <w:pPr>
        <w:spacing w:line="360" w:lineRule="auto"/>
        <w:jc w:val="center"/>
        <w:rPr>
          <w:rFonts w:ascii="宋体" w:hAnsi="宋体" w:cs="宋体"/>
          <w:b/>
          <w:sz w:val="32"/>
          <w:szCs w:val="32"/>
        </w:rPr>
      </w:pPr>
    </w:p>
    <w:p w14:paraId="682C6BD4">
      <w:pPr>
        <w:spacing w:line="360" w:lineRule="auto"/>
        <w:jc w:val="center"/>
        <w:rPr>
          <w:rFonts w:ascii="宋体" w:hAnsi="宋体" w:cs="宋体"/>
          <w:b/>
          <w:sz w:val="32"/>
          <w:szCs w:val="32"/>
        </w:rPr>
      </w:pPr>
    </w:p>
    <w:p w14:paraId="171985E6">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1、报价文件封面</w:t>
      </w:r>
    </w:p>
    <w:p w14:paraId="260C6627">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r>
        <w:rPr>
          <w:rFonts w:hint="eastAsia" w:ascii="宋体" w:hAnsi="宋体" w:cs="宋体"/>
          <w:b/>
          <w:sz w:val="24"/>
        </w:rPr>
        <w:t xml:space="preserve"> </w:t>
      </w:r>
      <w:r>
        <w:rPr>
          <w:rFonts w:hint="eastAsia" w:ascii="宋体" w:hAnsi="宋体" w:cs="宋体"/>
          <w:b/>
          <w:sz w:val="28"/>
          <w:szCs w:val="28"/>
        </w:rPr>
        <w:t>正本/副本</w:t>
      </w:r>
    </w:p>
    <w:p w14:paraId="71EFD640">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报价文件</w:t>
      </w:r>
    </w:p>
    <w:p w14:paraId="1989814E">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5932B37B">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5EC4344D">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14:paraId="1A574E4E">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法定代表人或授权代表签字：</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45407590">
      <w:pPr>
        <w:autoSpaceDE w:val="0"/>
        <w:autoSpaceDN w:val="0"/>
        <w:adjustRightInd w:val="0"/>
        <w:spacing w:line="360" w:lineRule="auto"/>
        <w:rPr>
          <w:rFonts w:ascii="宋体" w:hAnsi="宋体" w:cs="宋体"/>
          <w:b/>
          <w:sz w:val="32"/>
          <w:szCs w:val="32"/>
        </w:rPr>
      </w:pPr>
    </w:p>
    <w:p w14:paraId="015BB9E3">
      <w:pPr>
        <w:autoSpaceDE w:val="0"/>
        <w:autoSpaceDN w:val="0"/>
        <w:adjustRightInd w:val="0"/>
        <w:spacing w:line="360" w:lineRule="auto"/>
        <w:rPr>
          <w:rFonts w:ascii="宋体" w:hAnsi="宋体" w:cs="宋体"/>
          <w:b/>
          <w:sz w:val="32"/>
          <w:szCs w:val="32"/>
        </w:rPr>
      </w:pPr>
    </w:p>
    <w:p w14:paraId="549DC1AF">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2、商务/技术文件封面</w:t>
      </w:r>
    </w:p>
    <w:p w14:paraId="75EFC58E">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r>
        <w:rPr>
          <w:rFonts w:hint="eastAsia" w:ascii="宋体" w:hAnsi="宋体" w:cs="宋体"/>
          <w:b/>
          <w:sz w:val="28"/>
          <w:szCs w:val="28"/>
        </w:rPr>
        <w:t>正本/副本</w:t>
      </w:r>
    </w:p>
    <w:p w14:paraId="700D80B4">
      <w:pPr>
        <w:autoSpaceDE w:val="0"/>
        <w:autoSpaceDN w:val="0"/>
        <w:adjustRightInd w:val="0"/>
        <w:spacing w:line="360" w:lineRule="auto"/>
        <w:ind w:firstLine="4160" w:firstLineChars="1295"/>
        <w:rPr>
          <w:rFonts w:ascii="宋体" w:hAnsi="宋体" w:cs="宋体"/>
          <w:b/>
          <w:sz w:val="32"/>
          <w:szCs w:val="32"/>
        </w:rPr>
      </w:pPr>
      <w:r>
        <w:rPr>
          <w:rFonts w:hint="eastAsia" w:ascii="宋体" w:hAnsi="宋体" w:cs="宋体"/>
          <w:b/>
          <w:sz w:val="32"/>
          <w:szCs w:val="32"/>
        </w:rPr>
        <w:t>商务/技术文件</w:t>
      </w:r>
    </w:p>
    <w:p w14:paraId="6105DFCC">
      <w:pPr>
        <w:autoSpaceDE w:val="0"/>
        <w:autoSpaceDN w:val="0"/>
        <w:adjustRightInd w:val="0"/>
        <w:spacing w:line="360" w:lineRule="auto"/>
        <w:rPr>
          <w:rFonts w:ascii="宋体" w:hAnsi="宋体" w:cs="宋体"/>
          <w:b/>
          <w:sz w:val="32"/>
          <w:szCs w:val="32"/>
        </w:rPr>
      </w:pPr>
    </w:p>
    <w:p w14:paraId="695E01F0">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u w:val="single"/>
        </w:rPr>
        <w:t xml:space="preserve">                                    </w:t>
      </w:r>
    </w:p>
    <w:p w14:paraId="771AFB71">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u w:val="single"/>
        </w:rPr>
        <w:t xml:space="preserve">                                    </w:t>
      </w:r>
    </w:p>
    <w:p w14:paraId="5E791C6E">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14:paraId="0CD517B2">
      <w:pPr>
        <w:spacing w:line="360" w:lineRule="auto"/>
        <w:rPr>
          <w:rFonts w:ascii="宋体" w:hAnsi="宋体"/>
          <w:b/>
          <w:sz w:val="32"/>
          <w:szCs w:val="32"/>
        </w:rPr>
      </w:pPr>
      <w:r>
        <w:rPr>
          <w:rFonts w:hint="eastAsia" w:ascii="宋体" w:hAnsi="宋体" w:cs="宋体"/>
          <w:b/>
          <w:sz w:val="32"/>
          <w:szCs w:val="32"/>
        </w:rPr>
        <w:t xml:space="preserve">法定代表人或授权代表签字： </w:t>
      </w:r>
      <w:r>
        <w:rPr>
          <w:rFonts w:hint="eastAsia" w:ascii="宋体" w:hAnsi="宋体" w:cs="宋体"/>
          <w:b/>
          <w:sz w:val="32"/>
          <w:szCs w:val="32"/>
          <w:u w:val="single"/>
        </w:rPr>
        <w:t xml:space="preserve">             </w:t>
      </w:r>
      <w:bookmarkEnd w:id="26"/>
      <w:bookmarkEnd w:id="27"/>
      <w:bookmarkEnd w:id="28"/>
      <w:bookmarkEnd w:id="29"/>
      <w:bookmarkEnd w:id="30"/>
      <w:bookmarkEnd w:id="31"/>
      <w:bookmarkEnd w:id="32"/>
    </w:p>
    <w:sectPr>
      <w:pgSz w:w="11906" w:h="16838"/>
      <w:pgMar w:top="1531" w:right="1361" w:bottom="1531" w:left="1304" w:header="851" w:footer="60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SiemensSans-Roma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E0DA">
    <w:pPr>
      <w:pStyle w:val="1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B9BD239">
                          <w:pPr>
                            <w:pStyle w:val="17"/>
                          </w:pPr>
                          <w:r>
                            <w:fldChar w:fldCharType="begin"/>
                          </w:r>
                          <w:r>
                            <w:instrText xml:space="preserve"> PAGE  \* MERGEFORMAT </w:instrText>
                          </w:r>
                          <w:r>
                            <w:fldChar w:fldCharType="separate"/>
                          </w:r>
                          <w:r>
                            <w:t>- 9 -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A1DvcDyAEAAI0DAAAOAAAAAAAAAAEAIAAAAB8BAABkcnMvZTJvRG9j&#10;LnhtbFBLBQYAAAAABgAGAFkBAABZBQAAAAA=&#10;">
              <v:fill on="f" focussize="0,0"/>
              <v:stroke on="f"/>
              <v:imagedata o:title=""/>
              <o:lock v:ext="edit" aspectratio="f"/>
              <v:textbox inset="0mm,0mm,0mm,0mm" style="mso-fit-shape-to-text:t;">
                <w:txbxContent>
                  <w:p w14:paraId="2B9BD239">
                    <w:pPr>
                      <w:pStyle w:val="17"/>
                    </w:pPr>
                    <w:r>
                      <w:fldChar w:fldCharType="begin"/>
                    </w:r>
                    <w:r>
                      <w:instrText xml:space="preserve"> PAGE  \* MERGEFORMAT </w:instrText>
                    </w:r>
                    <w:r>
                      <w:fldChar w:fldCharType="separate"/>
                    </w:r>
                    <w:r>
                      <w:t>- 9 -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6C3B">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762F">
    <w:pPr>
      <w:pStyle w:val="17"/>
      <w:framePr w:wrap="around" w:vAnchor="text" w:hAnchor="margin" w:xAlign="center" w:y="2"/>
      <w:rPr>
        <w:rStyle w:val="33"/>
      </w:rPr>
    </w:pPr>
    <w:r>
      <w:fldChar w:fldCharType="begin"/>
    </w:r>
    <w:r>
      <w:rPr>
        <w:rStyle w:val="33"/>
      </w:rPr>
      <w:instrText xml:space="preserve">PAGE  </w:instrText>
    </w:r>
    <w:r>
      <w:fldChar w:fldCharType="separate"/>
    </w:r>
    <w:r>
      <w:fldChar w:fldCharType="end"/>
    </w:r>
  </w:p>
  <w:p w14:paraId="3C52069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1D8E">
    <w:pPr>
      <w:pStyle w:val="18"/>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5CEB">
    <w:pPr>
      <w:pStyle w:val="18"/>
      <w:framePr w:wrap="around" w:vAnchor="text" w:hAnchor="margin" w:xAlign="center" w:y="2"/>
      <w:rPr>
        <w:rStyle w:val="33"/>
        <w:b/>
      </w:rPr>
    </w:pPr>
    <w:r>
      <w:fldChar w:fldCharType="begin"/>
    </w:r>
    <w:r>
      <w:rPr>
        <w:rStyle w:val="33"/>
        <w:b/>
      </w:rPr>
      <w:instrText xml:space="preserve">PAGE  </w:instrText>
    </w:r>
    <w:r>
      <w:fldChar w:fldCharType="separate"/>
    </w:r>
    <w:r>
      <w:fldChar w:fldCharType="end"/>
    </w:r>
  </w:p>
  <w:p w14:paraId="37BF623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BC5ED"/>
    <w:multiLevelType w:val="singleLevel"/>
    <w:tmpl w:val="585BC5ED"/>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mEyNmIzOWVmY2Y1Mjg1NGNjNzFjMzI3M2RmZTkifQ=="/>
  </w:docVars>
  <w:rsids>
    <w:rsidRoot w:val="00172A27"/>
    <w:rsid w:val="000011B7"/>
    <w:rsid w:val="0000177C"/>
    <w:rsid w:val="00013B01"/>
    <w:rsid w:val="00013CE7"/>
    <w:rsid w:val="000260DC"/>
    <w:rsid w:val="00026BE5"/>
    <w:rsid w:val="00031790"/>
    <w:rsid w:val="000339B7"/>
    <w:rsid w:val="00035E77"/>
    <w:rsid w:val="00037DC9"/>
    <w:rsid w:val="0004037B"/>
    <w:rsid w:val="00040385"/>
    <w:rsid w:val="00042DA6"/>
    <w:rsid w:val="00043711"/>
    <w:rsid w:val="00046113"/>
    <w:rsid w:val="00046B5C"/>
    <w:rsid w:val="00047F0B"/>
    <w:rsid w:val="00051E98"/>
    <w:rsid w:val="000579D4"/>
    <w:rsid w:val="000603FF"/>
    <w:rsid w:val="00060715"/>
    <w:rsid w:val="0006081A"/>
    <w:rsid w:val="000618EC"/>
    <w:rsid w:val="000620A5"/>
    <w:rsid w:val="00062B88"/>
    <w:rsid w:val="00063DE2"/>
    <w:rsid w:val="0007098E"/>
    <w:rsid w:val="00072681"/>
    <w:rsid w:val="00073026"/>
    <w:rsid w:val="00073294"/>
    <w:rsid w:val="000742CE"/>
    <w:rsid w:val="0007729A"/>
    <w:rsid w:val="00077558"/>
    <w:rsid w:val="0007772F"/>
    <w:rsid w:val="00083526"/>
    <w:rsid w:val="000837AF"/>
    <w:rsid w:val="0008447E"/>
    <w:rsid w:val="0008651F"/>
    <w:rsid w:val="00087769"/>
    <w:rsid w:val="00087A93"/>
    <w:rsid w:val="00095A0D"/>
    <w:rsid w:val="00097057"/>
    <w:rsid w:val="000A1532"/>
    <w:rsid w:val="000A4B3F"/>
    <w:rsid w:val="000A52A9"/>
    <w:rsid w:val="000A7498"/>
    <w:rsid w:val="000B1156"/>
    <w:rsid w:val="000B1A0B"/>
    <w:rsid w:val="000B2747"/>
    <w:rsid w:val="000B5B2C"/>
    <w:rsid w:val="000B6244"/>
    <w:rsid w:val="000B6AFD"/>
    <w:rsid w:val="000B6BCF"/>
    <w:rsid w:val="000B7D58"/>
    <w:rsid w:val="000C0976"/>
    <w:rsid w:val="000C3AD4"/>
    <w:rsid w:val="000C6423"/>
    <w:rsid w:val="000C7DB2"/>
    <w:rsid w:val="000D06A3"/>
    <w:rsid w:val="000D4FF4"/>
    <w:rsid w:val="000D5260"/>
    <w:rsid w:val="000D609D"/>
    <w:rsid w:val="000D70B3"/>
    <w:rsid w:val="000D7E34"/>
    <w:rsid w:val="000E15F5"/>
    <w:rsid w:val="000E17D6"/>
    <w:rsid w:val="000E1AD4"/>
    <w:rsid w:val="000E3A1E"/>
    <w:rsid w:val="000E3F4B"/>
    <w:rsid w:val="000E44B7"/>
    <w:rsid w:val="000E70A8"/>
    <w:rsid w:val="000F15B1"/>
    <w:rsid w:val="000F3E6E"/>
    <w:rsid w:val="000F5BAE"/>
    <w:rsid w:val="000F6B80"/>
    <w:rsid w:val="000F7B2B"/>
    <w:rsid w:val="001019BD"/>
    <w:rsid w:val="00104558"/>
    <w:rsid w:val="00105639"/>
    <w:rsid w:val="0010618C"/>
    <w:rsid w:val="001077D4"/>
    <w:rsid w:val="00107883"/>
    <w:rsid w:val="00111B04"/>
    <w:rsid w:val="00114712"/>
    <w:rsid w:val="00121869"/>
    <w:rsid w:val="00122033"/>
    <w:rsid w:val="00122C3E"/>
    <w:rsid w:val="00124F9D"/>
    <w:rsid w:val="00126F38"/>
    <w:rsid w:val="001271D1"/>
    <w:rsid w:val="00127E9C"/>
    <w:rsid w:val="00131387"/>
    <w:rsid w:val="00131D33"/>
    <w:rsid w:val="00131EF4"/>
    <w:rsid w:val="00133731"/>
    <w:rsid w:val="001342F8"/>
    <w:rsid w:val="001355DA"/>
    <w:rsid w:val="001367CD"/>
    <w:rsid w:val="00136CEB"/>
    <w:rsid w:val="0013715E"/>
    <w:rsid w:val="001375AD"/>
    <w:rsid w:val="00140586"/>
    <w:rsid w:val="00144700"/>
    <w:rsid w:val="001448D1"/>
    <w:rsid w:val="001461EE"/>
    <w:rsid w:val="00153777"/>
    <w:rsid w:val="0016087C"/>
    <w:rsid w:val="00160EA8"/>
    <w:rsid w:val="00161ADD"/>
    <w:rsid w:val="00162525"/>
    <w:rsid w:val="00166200"/>
    <w:rsid w:val="001669DC"/>
    <w:rsid w:val="00167EB4"/>
    <w:rsid w:val="0017016E"/>
    <w:rsid w:val="00170320"/>
    <w:rsid w:val="00171B50"/>
    <w:rsid w:val="001724B6"/>
    <w:rsid w:val="00172A27"/>
    <w:rsid w:val="00174A9C"/>
    <w:rsid w:val="00174D3A"/>
    <w:rsid w:val="001767CD"/>
    <w:rsid w:val="001811E2"/>
    <w:rsid w:val="00181521"/>
    <w:rsid w:val="00183FB1"/>
    <w:rsid w:val="00184FA9"/>
    <w:rsid w:val="001853B9"/>
    <w:rsid w:val="00187C21"/>
    <w:rsid w:val="00187D67"/>
    <w:rsid w:val="00190FD1"/>
    <w:rsid w:val="0019179A"/>
    <w:rsid w:val="00191AA1"/>
    <w:rsid w:val="001931E1"/>
    <w:rsid w:val="001939F1"/>
    <w:rsid w:val="00194E69"/>
    <w:rsid w:val="00195329"/>
    <w:rsid w:val="001A37E7"/>
    <w:rsid w:val="001A5B2C"/>
    <w:rsid w:val="001B1AF1"/>
    <w:rsid w:val="001B1F8C"/>
    <w:rsid w:val="001B516C"/>
    <w:rsid w:val="001C2DFB"/>
    <w:rsid w:val="001C3803"/>
    <w:rsid w:val="001C38DC"/>
    <w:rsid w:val="001C402D"/>
    <w:rsid w:val="001C5C3E"/>
    <w:rsid w:val="001C67C0"/>
    <w:rsid w:val="001C7700"/>
    <w:rsid w:val="001D106D"/>
    <w:rsid w:val="001D1BD6"/>
    <w:rsid w:val="001D3791"/>
    <w:rsid w:val="001D66D8"/>
    <w:rsid w:val="001D6D1E"/>
    <w:rsid w:val="001E1D23"/>
    <w:rsid w:val="001E20B7"/>
    <w:rsid w:val="001E2842"/>
    <w:rsid w:val="001E2B32"/>
    <w:rsid w:val="001E3822"/>
    <w:rsid w:val="001E450C"/>
    <w:rsid w:val="001E61F7"/>
    <w:rsid w:val="001F053D"/>
    <w:rsid w:val="001F2C28"/>
    <w:rsid w:val="001F5487"/>
    <w:rsid w:val="00200C6B"/>
    <w:rsid w:val="002031D6"/>
    <w:rsid w:val="002033F3"/>
    <w:rsid w:val="00203666"/>
    <w:rsid w:val="00203CCD"/>
    <w:rsid w:val="0020545B"/>
    <w:rsid w:val="00205F11"/>
    <w:rsid w:val="00206630"/>
    <w:rsid w:val="00212717"/>
    <w:rsid w:val="002137F0"/>
    <w:rsid w:val="00213E2E"/>
    <w:rsid w:val="00214631"/>
    <w:rsid w:val="00216FB7"/>
    <w:rsid w:val="00217FBE"/>
    <w:rsid w:val="00221799"/>
    <w:rsid w:val="00223D9E"/>
    <w:rsid w:val="0023181E"/>
    <w:rsid w:val="00232037"/>
    <w:rsid w:val="002327FC"/>
    <w:rsid w:val="0023304C"/>
    <w:rsid w:val="00233AEB"/>
    <w:rsid w:val="00233C91"/>
    <w:rsid w:val="0023430B"/>
    <w:rsid w:val="002357E5"/>
    <w:rsid w:val="00236882"/>
    <w:rsid w:val="00242334"/>
    <w:rsid w:val="00243DB5"/>
    <w:rsid w:val="00244B50"/>
    <w:rsid w:val="00247228"/>
    <w:rsid w:val="00250521"/>
    <w:rsid w:val="002516CD"/>
    <w:rsid w:val="00252A37"/>
    <w:rsid w:val="00253E8B"/>
    <w:rsid w:val="00257184"/>
    <w:rsid w:val="002608ED"/>
    <w:rsid w:val="00267E7E"/>
    <w:rsid w:val="0027355A"/>
    <w:rsid w:val="002742DC"/>
    <w:rsid w:val="00274E7A"/>
    <w:rsid w:val="00276E42"/>
    <w:rsid w:val="0027706C"/>
    <w:rsid w:val="0028034C"/>
    <w:rsid w:val="00281767"/>
    <w:rsid w:val="002818D2"/>
    <w:rsid w:val="00281D52"/>
    <w:rsid w:val="00281DF0"/>
    <w:rsid w:val="0028202F"/>
    <w:rsid w:val="00284E8A"/>
    <w:rsid w:val="002855B1"/>
    <w:rsid w:val="0028596C"/>
    <w:rsid w:val="00287967"/>
    <w:rsid w:val="00292B57"/>
    <w:rsid w:val="00297E3C"/>
    <w:rsid w:val="002A1C0F"/>
    <w:rsid w:val="002A37F7"/>
    <w:rsid w:val="002A4A0D"/>
    <w:rsid w:val="002A5889"/>
    <w:rsid w:val="002B1D7F"/>
    <w:rsid w:val="002B5701"/>
    <w:rsid w:val="002C0E5A"/>
    <w:rsid w:val="002C1826"/>
    <w:rsid w:val="002C1C17"/>
    <w:rsid w:val="002C1D74"/>
    <w:rsid w:val="002C1DC5"/>
    <w:rsid w:val="002C4A85"/>
    <w:rsid w:val="002C4ADC"/>
    <w:rsid w:val="002C72FD"/>
    <w:rsid w:val="002D0005"/>
    <w:rsid w:val="002D1A38"/>
    <w:rsid w:val="002D2E9B"/>
    <w:rsid w:val="002D64DB"/>
    <w:rsid w:val="002D7A71"/>
    <w:rsid w:val="002E1BB9"/>
    <w:rsid w:val="002E4485"/>
    <w:rsid w:val="002E4EE2"/>
    <w:rsid w:val="002E714E"/>
    <w:rsid w:val="002F1BBF"/>
    <w:rsid w:val="002F3AC5"/>
    <w:rsid w:val="002F44E5"/>
    <w:rsid w:val="002F5CF5"/>
    <w:rsid w:val="002F61C9"/>
    <w:rsid w:val="002F7949"/>
    <w:rsid w:val="00300826"/>
    <w:rsid w:val="00300E09"/>
    <w:rsid w:val="003054CF"/>
    <w:rsid w:val="003120E0"/>
    <w:rsid w:val="00313A8D"/>
    <w:rsid w:val="003202B5"/>
    <w:rsid w:val="003240E3"/>
    <w:rsid w:val="0032699B"/>
    <w:rsid w:val="00327053"/>
    <w:rsid w:val="00327490"/>
    <w:rsid w:val="00330FB0"/>
    <w:rsid w:val="00331099"/>
    <w:rsid w:val="00331FD0"/>
    <w:rsid w:val="0033416B"/>
    <w:rsid w:val="00335F45"/>
    <w:rsid w:val="00337742"/>
    <w:rsid w:val="0034168C"/>
    <w:rsid w:val="00344A1F"/>
    <w:rsid w:val="00344E8C"/>
    <w:rsid w:val="00344ED5"/>
    <w:rsid w:val="00345493"/>
    <w:rsid w:val="00346986"/>
    <w:rsid w:val="00350177"/>
    <w:rsid w:val="00351BA9"/>
    <w:rsid w:val="003537DD"/>
    <w:rsid w:val="00355019"/>
    <w:rsid w:val="003565B1"/>
    <w:rsid w:val="00356ACD"/>
    <w:rsid w:val="003639FA"/>
    <w:rsid w:val="0036524F"/>
    <w:rsid w:val="00366BB5"/>
    <w:rsid w:val="00367110"/>
    <w:rsid w:val="0037084A"/>
    <w:rsid w:val="00372712"/>
    <w:rsid w:val="00373773"/>
    <w:rsid w:val="00373DD7"/>
    <w:rsid w:val="00374DC8"/>
    <w:rsid w:val="0037691E"/>
    <w:rsid w:val="0038025C"/>
    <w:rsid w:val="00381273"/>
    <w:rsid w:val="00381809"/>
    <w:rsid w:val="00382233"/>
    <w:rsid w:val="0038281E"/>
    <w:rsid w:val="00382CCA"/>
    <w:rsid w:val="00382F95"/>
    <w:rsid w:val="003946D1"/>
    <w:rsid w:val="003949CD"/>
    <w:rsid w:val="003971E3"/>
    <w:rsid w:val="003A103F"/>
    <w:rsid w:val="003A2CD8"/>
    <w:rsid w:val="003A4B73"/>
    <w:rsid w:val="003A525F"/>
    <w:rsid w:val="003A67C8"/>
    <w:rsid w:val="003B1846"/>
    <w:rsid w:val="003B517E"/>
    <w:rsid w:val="003B66A9"/>
    <w:rsid w:val="003C02CD"/>
    <w:rsid w:val="003C1C1A"/>
    <w:rsid w:val="003C216A"/>
    <w:rsid w:val="003C263A"/>
    <w:rsid w:val="003C42F7"/>
    <w:rsid w:val="003C6359"/>
    <w:rsid w:val="003C69B5"/>
    <w:rsid w:val="003C6A8C"/>
    <w:rsid w:val="003C6B2F"/>
    <w:rsid w:val="003C7083"/>
    <w:rsid w:val="003D2271"/>
    <w:rsid w:val="003D4183"/>
    <w:rsid w:val="003D41E5"/>
    <w:rsid w:val="003D49F4"/>
    <w:rsid w:val="003E0985"/>
    <w:rsid w:val="003E1792"/>
    <w:rsid w:val="003E1951"/>
    <w:rsid w:val="003E25E8"/>
    <w:rsid w:val="003E32EC"/>
    <w:rsid w:val="003E3B1E"/>
    <w:rsid w:val="003E48E7"/>
    <w:rsid w:val="003E5B90"/>
    <w:rsid w:val="003F076D"/>
    <w:rsid w:val="003F17C5"/>
    <w:rsid w:val="003F26DF"/>
    <w:rsid w:val="003F272B"/>
    <w:rsid w:val="003F27E7"/>
    <w:rsid w:val="003F631F"/>
    <w:rsid w:val="003F63CD"/>
    <w:rsid w:val="00400264"/>
    <w:rsid w:val="00402443"/>
    <w:rsid w:val="00402B82"/>
    <w:rsid w:val="004032AA"/>
    <w:rsid w:val="004049FB"/>
    <w:rsid w:val="00405C4F"/>
    <w:rsid w:val="00410FA4"/>
    <w:rsid w:val="00411FE2"/>
    <w:rsid w:val="004128B7"/>
    <w:rsid w:val="004142F6"/>
    <w:rsid w:val="00416BDB"/>
    <w:rsid w:val="00420D5B"/>
    <w:rsid w:val="00421089"/>
    <w:rsid w:val="004212CC"/>
    <w:rsid w:val="00421F02"/>
    <w:rsid w:val="00425295"/>
    <w:rsid w:val="00426B57"/>
    <w:rsid w:val="00426DC6"/>
    <w:rsid w:val="0042742D"/>
    <w:rsid w:val="004303F4"/>
    <w:rsid w:val="00430F68"/>
    <w:rsid w:val="00431CDE"/>
    <w:rsid w:val="00432610"/>
    <w:rsid w:val="00432F3E"/>
    <w:rsid w:val="004335BC"/>
    <w:rsid w:val="00433DC4"/>
    <w:rsid w:val="004466C5"/>
    <w:rsid w:val="004466F4"/>
    <w:rsid w:val="0044688C"/>
    <w:rsid w:val="00446E50"/>
    <w:rsid w:val="0044775D"/>
    <w:rsid w:val="00450975"/>
    <w:rsid w:val="004540BC"/>
    <w:rsid w:val="00454BF6"/>
    <w:rsid w:val="00454F06"/>
    <w:rsid w:val="00457FA2"/>
    <w:rsid w:val="00460F50"/>
    <w:rsid w:val="004630CA"/>
    <w:rsid w:val="004633F0"/>
    <w:rsid w:val="00463AED"/>
    <w:rsid w:val="00467568"/>
    <w:rsid w:val="00470130"/>
    <w:rsid w:val="00470ACF"/>
    <w:rsid w:val="00471480"/>
    <w:rsid w:val="00471BFF"/>
    <w:rsid w:val="00472B41"/>
    <w:rsid w:val="00472C14"/>
    <w:rsid w:val="004742F6"/>
    <w:rsid w:val="004748BA"/>
    <w:rsid w:val="0047663D"/>
    <w:rsid w:val="0048079B"/>
    <w:rsid w:val="00480BD2"/>
    <w:rsid w:val="004848E4"/>
    <w:rsid w:val="00484EF9"/>
    <w:rsid w:val="00486059"/>
    <w:rsid w:val="00486F9C"/>
    <w:rsid w:val="004871A0"/>
    <w:rsid w:val="00490B4A"/>
    <w:rsid w:val="004918B4"/>
    <w:rsid w:val="004A1713"/>
    <w:rsid w:val="004A3BD4"/>
    <w:rsid w:val="004A5DC0"/>
    <w:rsid w:val="004A707C"/>
    <w:rsid w:val="004A7480"/>
    <w:rsid w:val="004B06EF"/>
    <w:rsid w:val="004B26DE"/>
    <w:rsid w:val="004B332A"/>
    <w:rsid w:val="004B6127"/>
    <w:rsid w:val="004B620B"/>
    <w:rsid w:val="004B6A6B"/>
    <w:rsid w:val="004B6AFC"/>
    <w:rsid w:val="004C130C"/>
    <w:rsid w:val="004C3164"/>
    <w:rsid w:val="004C3F15"/>
    <w:rsid w:val="004C3F6B"/>
    <w:rsid w:val="004D0039"/>
    <w:rsid w:val="004D1072"/>
    <w:rsid w:val="004D261E"/>
    <w:rsid w:val="004D4DE5"/>
    <w:rsid w:val="004D6080"/>
    <w:rsid w:val="004D675F"/>
    <w:rsid w:val="004D6A06"/>
    <w:rsid w:val="004D78BC"/>
    <w:rsid w:val="004D7D8B"/>
    <w:rsid w:val="004E4019"/>
    <w:rsid w:val="004E62BF"/>
    <w:rsid w:val="004E7107"/>
    <w:rsid w:val="004E7458"/>
    <w:rsid w:val="004F32FB"/>
    <w:rsid w:val="004F5885"/>
    <w:rsid w:val="00501657"/>
    <w:rsid w:val="00505F6F"/>
    <w:rsid w:val="005063AB"/>
    <w:rsid w:val="005077FC"/>
    <w:rsid w:val="005102D1"/>
    <w:rsid w:val="00510819"/>
    <w:rsid w:val="0051451B"/>
    <w:rsid w:val="00515720"/>
    <w:rsid w:val="00517AD1"/>
    <w:rsid w:val="00517E37"/>
    <w:rsid w:val="00521243"/>
    <w:rsid w:val="005214AA"/>
    <w:rsid w:val="0052333E"/>
    <w:rsid w:val="005233B2"/>
    <w:rsid w:val="005316A5"/>
    <w:rsid w:val="0053180A"/>
    <w:rsid w:val="00531B30"/>
    <w:rsid w:val="00533051"/>
    <w:rsid w:val="00534D47"/>
    <w:rsid w:val="00535CF8"/>
    <w:rsid w:val="005376EB"/>
    <w:rsid w:val="00545A33"/>
    <w:rsid w:val="005479B2"/>
    <w:rsid w:val="00551C07"/>
    <w:rsid w:val="005552C7"/>
    <w:rsid w:val="005566C4"/>
    <w:rsid w:val="00556FE7"/>
    <w:rsid w:val="00560BAD"/>
    <w:rsid w:val="00563179"/>
    <w:rsid w:val="00563599"/>
    <w:rsid w:val="0056448F"/>
    <w:rsid w:val="00564806"/>
    <w:rsid w:val="0056506B"/>
    <w:rsid w:val="00565C90"/>
    <w:rsid w:val="00567857"/>
    <w:rsid w:val="00567914"/>
    <w:rsid w:val="0057402E"/>
    <w:rsid w:val="00574269"/>
    <w:rsid w:val="00576F65"/>
    <w:rsid w:val="00584B65"/>
    <w:rsid w:val="0058647B"/>
    <w:rsid w:val="005902F4"/>
    <w:rsid w:val="00590C4E"/>
    <w:rsid w:val="0059396A"/>
    <w:rsid w:val="0059548A"/>
    <w:rsid w:val="0059694A"/>
    <w:rsid w:val="00597BE8"/>
    <w:rsid w:val="005A10EA"/>
    <w:rsid w:val="005A185D"/>
    <w:rsid w:val="005A348B"/>
    <w:rsid w:val="005A49C5"/>
    <w:rsid w:val="005A5C84"/>
    <w:rsid w:val="005B008D"/>
    <w:rsid w:val="005B197A"/>
    <w:rsid w:val="005B1D66"/>
    <w:rsid w:val="005B2FD8"/>
    <w:rsid w:val="005B771C"/>
    <w:rsid w:val="005C1753"/>
    <w:rsid w:val="005C5B60"/>
    <w:rsid w:val="005C6234"/>
    <w:rsid w:val="005C7493"/>
    <w:rsid w:val="005C774F"/>
    <w:rsid w:val="005C77BA"/>
    <w:rsid w:val="005C7FD2"/>
    <w:rsid w:val="005D0CF9"/>
    <w:rsid w:val="005D0D6B"/>
    <w:rsid w:val="005D3B06"/>
    <w:rsid w:val="005D50D3"/>
    <w:rsid w:val="005D6575"/>
    <w:rsid w:val="005E18BD"/>
    <w:rsid w:val="005E433B"/>
    <w:rsid w:val="005E4ECB"/>
    <w:rsid w:val="005E4FDC"/>
    <w:rsid w:val="005E6366"/>
    <w:rsid w:val="005E6D49"/>
    <w:rsid w:val="005F29E2"/>
    <w:rsid w:val="005F2F55"/>
    <w:rsid w:val="005F4264"/>
    <w:rsid w:val="005F56FD"/>
    <w:rsid w:val="005F6C8E"/>
    <w:rsid w:val="00600F36"/>
    <w:rsid w:val="00601EBE"/>
    <w:rsid w:val="00602AAF"/>
    <w:rsid w:val="00605C75"/>
    <w:rsid w:val="006061DA"/>
    <w:rsid w:val="006075D3"/>
    <w:rsid w:val="00607C2F"/>
    <w:rsid w:val="006107ED"/>
    <w:rsid w:val="00610C6D"/>
    <w:rsid w:val="00617D48"/>
    <w:rsid w:val="006206E3"/>
    <w:rsid w:val="00621BBB"/>
    <w:rsid w:val="00621D9C"/>
    <w:rsid w:val="00622BBB"/>
    <w:rsid w:val="00623E43"/>
    <w:rsid w:val="00627099"/>
    <w:rsid w:val="006301C5"/>
    <w:rsid w:val="00630E8D"/>
    <w:rsid w:val="00637D4E"/>
    <w:rsid w:val="006413AF"/>
    <w:rsid w:val="00641D0C"/>
    <w:rsid w:val="00643057"/>
    <w:rsid w:val="00644CB4"/>
    <w:rsid w:val="00645B1D"/>
    <w:rsid w:val="0064694B"/>
    <w:rsid w:val="00647561"/>
    <w:rsid w:val="00652893"/>
    <w:rsid w:val="00653C6A"/>
    <w:rsid w:val="00654551"/>
    <w:rsid w:val="00655BC4"/>
    <w:rsid w:val="00666603"/>
    <w:rsid w:val="00666AE8"/>
    <w:rsid w:val="00666E1B"/>
    <w:rsid w:val="00670809"/>
    <w:rsid w:val="00670C46"/>
    <w:rsid w:val="006719CD"/>
    <w:rsid w:val="00672654"/>
    <w:rsid w:val="00673A94"/>
    <w:rsid w:val="006740EC"/>
    <w:rsid w:val="006753E2"/>
    <w:rsid w:val="0067552A"/>
    <w:rsid w:val="00681201"/>
    <w:rsid w:val="00681A5D"/>
    <w:rsid w:val="00682C03"/>
    <w:rsid w:val="00684BC4"/>
    <w:rsid w:val="00690486"/>
    <w:rsid w:val="0069151B"/>
    <w:rsid w:val="00694B95"/>
    <w:rsid w:val="006952D8"/>
    <w:rsid w:val="00696B4A"/>
    <w:rsid w:val="00697233"/>
    <w:rsid w:val="0069762A"/>
    <w:rsid w:val="006A0603"/>
    <w:rsid w:val="006A6A62"/>
    <w:rsid w:val="006A6BA3"/>
    <w:rsid w:val="006A77C4"/>
    <w:rsid w:val="006A78D4"/>
    <w:rsid w:val="006A7F97"/>
    <w:rsid w:val="006B108C"/>
    <w:rsid w:val="006B22DD"/>
    <w:rsid w:val="006B2CFE"/>
    <w:rsid w:val="006B4530"/>
    <w:rsid w:val="006C2A60"/>
    <w:rsid w:val="006C2EF4"/>
    <w:rsid w:val="006C6921"/>
    <w:rsid w:val="006C790C"/>
    <w:rsid w:val="006D02F9"/>
    <w:rsid w:val="006D371F"/>
    <w:rsid w:val="006D412A"/>
    <w:rsid w:val="006D4D39"/>
    <w:rsid w:val="006D6CB2"/>
    <w:rsid w:val="006D6F2E"/>
    <w:rsid w:val="006E1B98"/>
    <w:rsid w:val="006E3876"/>
    <w:rsid w:val="006E3AF8"/>
    <w:rsid w:val="006E42E5"/>
    <w:rsid w:val="006E501C"/>
    <w:rsid w:val="006E64F2"/>
    <w:rsid w:val="006F5485"/>
    <w:rsid w:val="006F6F55"/>
    <w:rsid w:val="006F78DC"/>
    <w:rsid w:val="007007A1"/>
    <w:rsid w:val="007026C2"/>
    <w:rsid w:val="007037D5"/>
    <w:rsid w:val="00703EBF"/>
    <w:rsid w:val="007066AC"/>
    <w:rsid w:val="00707C16"/>
    <w:rsid w:val="00713D53"/>
    <w:rsid w:val="00724871"/>
    <w:rsid w:val="0072667E"/>
    <w:rsid w:val="00726B9D"/>
    <w:rsid w:val="00726E4F"/>
    <w:rsid w:val="0073085C"/>
    <w:rsid w:val="0073226A"/>
    <w:rsid w:val="00735F17"/>
    <w:rsid w:val="007365CC"/>
    <w:rsid w:val="00737EE1"/>
    <w:rsid w:val="00740FA4"/>
    <w:rsid w:val="007411BE"/>
    <w:rsid w:val="00742261"/>
    <w:rsid w:val="00742AAF"/>
    <w:rsid w:val="007440E7"/>
    <w:rsid w:val="00745360"/>
    <w:rsid w:val="00746229"/>
    <w:rsid w:val="00746580"/>
    <w:rsid w:val="00752FDE"/>
    <w:rsid w:val="0075477D"/>
    <w:rsid w:val="0075565C"/>
    <w:rsid w:val="007571CA"/>
    <w:rsid w:val="00764934"/>
    <w:rsid w:val="00767B9F"/>
    <w:rsid w:val="00770744"/>
    <w:rsid w:val="00771BE8"/>
    <w:rsid w:val="00773D37"/>
    <w:rsid w:val="00774F6F"/>
    <w:rsid w:val="00777E41"/>
    <w:rsid w:val="00781864"/>
    <w:rsid w:val="007825FE"/>
    <w:rsid w:val="00782CAD"/>
    <w:rsid w:val="00783681"/>
    <w:rsid w:val="00783A4F"/>
    <w:rsid w:val="00785A62"/>
    <w:rsid w:val="007866E4"/>
    <w:rsid w:val="00786D29"/>
    <w:rsid w:val="007873BA"/>
    <w:rsid w:val="00787534"/>
    <w:rsid w:val="00790EFE"/>
    <w:rsid w:val="007912B4"/>
    <w:rsid w:val="00793EC4"/>
    <w:rsid w:val="0079659C"/>
    <w:rsid w:val="007A16CC"/>
    <w:rsid w:val="007A371F"/>
    <w:rsid w:val="007A4D52"/>
    <w:rsid w:val="007A5D8B"/>
    <w:rsid w:val="007B0B54"/>
    <w:rsid w:val="007B3B8D"/>
    <w:rsid w:val="007B6FC6"/>
    <w:rsid w:val="007B7C26"/>
    <w:rsid w:val="007C1BDD"/>
    <w:rsid w:val="007C1CD4"/>
    <w:rsid w:val="007C308E"/>
    <w:rsid w:val="007C552C"/>
    <w:rsid w:val="007C5D8D"/>
    <w:rsid w:val="007C7B53"/>
    <w:rsid w:val="007D0814"/>
    <w:rsid w:val="007D0A71"/>
    <w:rsid w:val="007D27AB"/>
    <w:rsid w:val="007D391A"/>
    <w:rsid w:val="007D394B"/>
    <w:rsid w:val="007D5C21"/>
    <w:rsid w:val="007D7590"/>
    <w:rsid w:val="007E2547"/>
    <w:rsid w:val="007E2B87"/>
    <w:rsid w:val="007E2F3D"/>
    <w:rsid w:val="007E2F4E"/>
    <w:rsid w:val="007E3662"/>
    <w:rsid w:val="007E4517"/>
    <w:rsid w:val="007E6ADC"/>
    <w:rsid w:val="007F38CF"/>
    <w:rsid w:val="007F3EB2"/>
    <w:rsid w:val="007F7ADE"/>
    <w:rsid w:val="0080206F"/>
    <w:rsid w:val="00802D42"/>
    <w:rsid w:val="00803DFA"/>
    <w:rsid w:val="00806A7B"/>
    <w:rsid w:val="00810CFB"/>
    <w:rsid w:val="00813075"/>
    <w:rsid w:val="00817D3D"/>
    <w:rsid w:val="00820B2E"/>
    <w:rsid w:val="008215A1"/>
    <w:rsid w:val="00822D21"/>
    <w:rsid w:val="00825A18"/>
    <w:rsid w:val="0082759A"/>
    <w:rsid w:val="00830248"/>
    <w:rsid w:val="00830FAD"/>
    <w:rsid w:val="00833455"/>
    <w:rsid w:val="008338AC"/>
    <w:rsid w:val="00835FC6"/>
    <w:rsid w:val="0083623D"/>
    <w:rsid w:val="00836302"/>
    <w:rsid w:val="00836310"/>
    <w:rsid w:val="00836DA7"/>
    <w:rsid w:val="00837558"/>
    <w:rsid w:val="00837CB3"/>
    <w:rsid w:val="00841E78"/>
    <w:rsid w:val="00844645"/>
    <w:rsid w:val="00844D23"/>
    <w:rsid w:val="00846479"/>
    <w:rsid w:val="00846B11"/>
    <w:rsid w:val="00847DE9"/>
    <w:rsid w:val="008502DE"/>
    <w:rsid w:val="008507B1"/>
    <w:rsid w:val="00853FCF"/>
    <w:rsid w:val="00854148"/>
    <w:rsid w:val="008564AE"/>
    <w:rsid w:val="00857F0D"/>
    <w:rsid w:val="00860E07"/>
    <w:rsid w:val="00862D18"/>
    <w:rsid w:val="00865646"/>
    <w:rsid w:val="00866814"/>
    <w:rsid w:val="00870535"/>
    <w:rsid w:val="00873F95"/>
    <w:rsid w:val="00876D6F"/>
    <w:rsid w:val="00880585"/>
    <w:rsid w:val="00881258"/>
    <w:rsid w:val="00883012"/>
    <w:rsid w:val="008835EF"/>
    <w:rsid w:val="00884139"/>
    <w:rsid w:val="0088466D"/>
    <w:rsid w:val="00884BD4"/>
    <w:rsid w:val="008852D9"/>
    <w:rsid w:val="00885574"/>
    <w:rsid w:val="0088782C"/>
    <w:rsid w:val="008906AF"/>
    <w:rsid w:val="00891935"/>
    <w:rsid w:val="0089472A"/>
    <w:rsid w:val="0089477C"/>
    <w:rsid w:val="00896305"/>
    <w:rsid w:val="008A1E8A"/>
    <w:rsid w:val="008A4DBD"/>
    <w:rsid w:val="008A7C2E"/>
    <w:rsid w:val="008B307A"/>
    <w:rsid w:val="008B3F08"/>
    <w:rsid w:val="008B46CA"/>
    <w:rsid w:val="008B4CCF"/>
    <w:rsid w:val="008B5EEF"/>
    <w:rsid w:val="008C17DA"/>
    <w:rsid w:val="008C1A0C"/>
    <w:rsid w:val="008C1AA3"/>
    <w:rsid w:val="008C3CE5"/>
    <w:rsid w:val="008C3EF0"/>
    <w:rsid w:val="008C5261"/>
    <w:rsid w:val="008C5EE6"/>
    <w:rsid w:val="008C702C"/>
    <w:rsid w:val="008D17E3"/>
    <w:rsid w:val="008D2325"/>
    <w:rsid w:val="008D46DE"/>
    <w:rsid w:val="008D474B"/>
    <w:rsid w:val="008D5A5D"/>
    <w:rsid w:val="008E0B77"/>
    <w:rsid w:val="008E2A55"/>
    <w:rsid w:val="008E5D48"/>
    <w:rsid w:val="008E61A5"/>
    <w:rsid w:val="008E62C7"/>
    <w:rsid w:val="008F0B9C"/>
    <w:rsid w:val="008F0E45"/>
    <w:rsid w:val="008F2BEA"/>
    <w:rsid w:val="008F4E8E"/>
    <w:rsid w:val="008F557B"/>
    <w:rsid w:val="008F7288"/>
    <w:rsid w:val="00902C17"/>
    <w:rsid w:val="009073A5"/>
    <w:rsid w:val="00911ACD"/>
    <w:rsid w:val="009130A4"/>
    <w:rsid w:val="0091675F"/>
    <w:rsid w:val="00916F5F"/>
    <w:rsid w:val="0092160F"/>
    <w:rsid w:val="009226E6"/>
    <w:rsid w:val="00923A66"/>
    <w:rsid w:val="0092402A"/>
    <w:rsid w:val="00926C49"/>
    <w:rsid w:val="00930355"/>
    <w:rsid w:val="009317F1"/>
    <w:rsid w:val="0093434C"/>
    <w:rsid w:val="00935D25"/>
    <w:rsid w:val="00935D74"/>
    <w:rsid w:val="00937875"/>
    <w:rsid w:val="00937EA1"/>
    <w:rsid w:val="00942155"/>
    <w:rsid w:val="00942E37"/>
    <w:rsid w:val="00944AFC"/>
    <w:rsid w:val="00945431"/>
    <w:rsid w:val="00946763"/>
    <w:rsid w:val="00947373"/>
    <w:rsid w:val="009478B9"/>
    <w:rsid w:val="00947F95"/>
    <w:rsid w:val="00951207"/>
    <w:rsid w:val="00951334"/>
    <w:rsid w:val="00954794"/>
    <w:rsid w:val="009561A3"/>
    <w:rsid w:val="009566EA"/>
    <w:rsid w:val="00957C7E"/>
    <w:rsid w:val="009610D8"/>
    <w:rsid w:val="0096365A"/>
    <w:rsid w:val="009646AB"/>
    <w:rsid w:val="00972812"/>
    <w:rsid w:val="009743C6"/>
    <w:rsid w:val="0097582F"/>
    <w:rsid w:val="00975DBD"/>
    <w:rsid w:val="00977C7C"/>
    <w:rsid w:val="00981063"/>
    <w:rsid w:val="0098302F"/>
    <w:rsid w:val="00985513"/>
    <w:rsid w:val="00985B58"/>
    <w:rsid w:val="00994474"/>
    <w:rsid w:val="00997A21"/>
    <w:rsid w:val="009A0172"/>
    <w:rsid w:val="009A0F07"/>
    <w:rsid w:val="009A2BA7"/>
    <w:rsid w:val="009A3A7E"/>
    <w:rsid w:val="009A5E50"/>
    <w:rsid w:val="009A7E40"/>
    <w:rsid w:val="009A7F30"/>
    <w:rsid w:val="009B0019"/>
    <w:rsid w:val="009B032B"/>
    <w:rsid w:val="009B03E4"/>
    <w:rsid w:val="009B2A1D"/>
    <w:rsid w:val="009B7DE6"/>
    <w:rsid w:val="009C1028"/>
    <w:rsid w:val="009C5052"/>
    <w:rsid w:val="009C5D32"/>
    <w:rsid w:val="009C5E94"/>
    <w:rsid w:val="009C75BD"/>
    <w:rsid w:val="009D03A4"/>
    <w:rsid w:val="009D24C6"/>
    <w:rsid w:val="009D2F1E"/>
    <w:rsid w:val="009D312E"/>
    <w:rsid w:val="009D49D0"/>
    <w:rsid w:val="009D6004"/>
    <w:rsid w:val="009E5520"/>
    <w:rsid w:val="009E795A"/>
    <w:rsid w:val="009F2999"/>
    <w:rsid w:val="00A02CCD"/>
    <w:rsid w:val="00A049F3"/>
    <w:rsid w:val="00A0785D"/>
    <w:rsid w:val="00A12DC4"/>
    <w:rsid w:val="00A13564"/>
    <w:rsid w:val="00A136D9"/>
    <w:rsid w:val="00A147EC"/>
    <w:rsid w:val="00A15091"/>
    <w:rsid w:val="00A2012D"/>
    <w:rsid w:val="00A202AC"/>
    <w:rsid w:val="00A204DA"/>
    <w:rsid w:val="00A231ED"/>
    <w:rsid w:val="00A24692"/>
    <w:rsid w:val="00A32044"/>
    <w:rsid w:val="00A322B9"/>
    <w:rsid w:val="00A32C98"/>
    <w:rsid w:val="00A35216"/>
    <w:rsid w:val="00A36598"/>
    <w:rsid w:val="00A367C0"/>
    <w:rsid w:val="00A372D2"/>
    <w:rsid w:val="00A37AA5"/>
    <w:rsid w:val="00A37E52"/>
    <w:rsid w:val="00A40FCE"/>
    <w:rsid w:val="00A45967"/>
    <w:rsid w:val="00A46122"/>
    <w:rsid w:val="00A46FE6"/>
    <w:rsid w:val="00A47698"/>
    <w:rsid w:val="00A526D0"/>
    <w:rsid w:val="00A54B8D"/>
    <w:rsid w:val="00A54D30"/>
    <w:rsid w:val="00A5689A"/>
    <w:rsid w:val="00A57847"/>
    <w:rsid w:val="00A57EDD"/>
    <w:rsid w:val="00A60578"/>
    <w:rsid w:val="00A64DF0"/>
    <w:rsid w:val="00A67D30"/>
    <w:rsid w:val="00A80EE8"/>
    <w:rsid w:val="00A81102"/>
    <w:rsid w:val="00A834B7"/>
    <w:rsid w:val="00A83C6D"/>
    <w:rsid w:val="00A8449F"/>
    <w:rsid w:val="00A85530"/>
    <w:rsid w:val="00A85CB3"/>
    <w:rsid w:val="00A9072D"/>
    <w:rsid w:val="00A9100C"/>
    <w:rsid w:val="00A92340"/>
    <w:rsid w:val="00A928A0"/>
    <w:rsid w:val="00A94FAA"/>
    <w:rsid w:val="00A96F13"/>
    <w:rsid w:val="00AA0934"/>
    <w:rsid w:val="00AA36DC"/>
    <w:rsid w:val="00AB0CEF"/>
    <w:rsid w:val="00AB13AA"/>
    <w:rsid w:val="00AB27E6"/>
    <w:rsid w:val="00AB38A0"/>
    <w:rsid w:val="00AB5E8B"/>
    <w:rsid w:val="00AB6630"/>
    <w:rsid w:val="00AC051C"/>
    <w:rsid w:val="00AC22CF"/>
    <w:rsid w:val="00AC359D"/>
    <w:rsid w:val="00AC4FC2"/>
    <w:rsid w:val="00AC5251"/>
    <w:rsid w:val="00AD07BD"/>
    <w:rsid w:val="00AD533D"/>
    <w:rsid w:val="00AD5361"/>
    <w:rsid w:val="00AD5B63"/>
    <w:rsid w:val="00AD65F4"/>
    <w:rsid w:val="00AD78ED"/>
    <w:rsid w:val="00AE1405"/>
    <w:rsid w:val="00AE2F68"/>
    <w:rsid w:val="00AE5B3E"/>
    <w:rsid w:val="00AE75F3"/>
    <w:rsid w:val="00AE7C8C"/>
    <w:rsid w:val="00AF3C48"/>
    <w:rsid w:val="00AF4E3C"/>
    <w:rsid w:val="00AF5054"/>
    <w:rsid w:val="00AF5C6D"/>
    <w:rsid w:val="00B02CD8"/>
    <w:rsid w:val="00B0359D"/>
    <w:rsid w:val="00B03928"/>
    <w:rsid w:val="00B051C8"/>
    <w:rsid w:val="00B062F1"/>
    <w:rsid w:val="00B07224"/>
    <w:rsid w:val="00B126EB"/>
    <w:rsid w:val="00B13B49"/>
    <w:rsid w:val="00B13C44"/>
    <w:rsid w:val="00B14B3F"/>
    <w:rsid w:val="00B16049"/>
    <w:rsid w:val="00B17020"/>
    <w:rsid w:val="00B1775E"/>
    <w:rsid w:val="00B20874"/>
    <w:rsid w:val="00B21C7D"/>
    <w:rsid w:val="00B228C2"/>
    <w:rsid w:val="00B23E96"/>
    <w:rsid w:val="00B34CE8"/>
    <w:rsid w:val="00B36613"/>
    <w:rsid w:val="00B372AF"/>
    <w:rsid w:val="00B376AF"/>
    <w:rsid w:val="00B4063A"/>
    <w:rsid w:val="00B40AFB"/>
    <w:rsid w:val="00B40D26"/>
    <w:rsid w:val="00B47557"/>
    <w:rsid w:val="00B476D5"/>
    <w:rsid w:val="00B50516"/>
    <w:rsid w:val="00B50BC2"/>
    <w:rsid w:val="00B51758"/>
    <w:rsid w:val="00B51A2C"/>
    <w:rsid w:val="00B54443"/>
    <w:rsid w:val="00B55092"/>
    <w:rsid w:val="00B5566E"/>
    <w:rsid w:val="00B573FE"/>
    <w:rsid w:val="00B57BE4"/>
    <w:rsid w:val="00B601AA"/>
    <w:rsid w:val="00B61D9E"/>
    <w:rsid w:val="00B62215"/>
    <w:rsid w:val="00B6611A"/>
    <w:rsid w:val="00B66217"/>
    <w:rsid w:val="00B679BB"/>
    <w:rsid w:val="00B67B88"/>
    <w:rsid w:val="00B704E8"/>
    <w:rsid w:val="00B714ED"/>
    <w:rsid w:val="00B7224B"/>
    <w:rsid w:val="00B72481"/>
    <w:rsid w:val="00B74814"/>
    <w:rsid w:val="00B75B8B"/>
    <w:rsid w:val="00B75CED"/>
    <w:rsid w:val="00B76F6E"/>
    <w:rsid w:val="00B80660"/>
    <w:rsid w:val="00B81DEB"/>
    <w:rsid w:val="00B83443"/>
    <w:rsid w:val="00B849C9"/>
    <w:rsid w:val="00B941D6"/>
    <w:rsid w:val="00B943F0"/>
    <w:rsid w:val="00B9493E"/>
    <w:rsid w:val="00B97385"/>
    <w:rsid w:val="00BA0974"/>
    <w:rsid w:val="00BA1BCD"/>
    <w:rsid w:val="00BA20C7"/>
    <w:rsid w:val="00BA76D7"/>
    <w:rsid w:val="00BB089F"/>
    <w:rsid w:val="00BB166A"/>
    <w:rsid w:val="00BB1EA3"/>
    <w:rsid w:val="00BB30E6"/>
    <w:rsid w:val="00BB60DD"/>
    <w:rsid w:val="00BB6D32"/>
    <w:rsid w:val="00BC1A98"/>
    <w:rsid w:val="00BC1D24"/>
    <w:rsid w:val="00BC2729"/>
    <w:rsid w:val="00BC37F9"/>
    <w:rsid w:val="00BC5E56"/>
    <w:rsid w:val="00BC6C50"/>
    <w:rsid w:val="00BC7D6C"/>
    <w:rsid w:val="00BD22FB"/>
    <w:rsid w:val="00BD37D0"/>
    <w:rsid w:val="00BD40D2"/>
    <w:rsid w:val="00BD4F42"/>
    <w:rsid w:val="00BD5874"/>
    <w:rsid w:val="00BD59C3"/>
    <w:rsid w:val="00BD5F6A"/>
    <w:rsid w:val="00BD642E"/>
    <w:rsid w:val="00BE23D5"/>
    <w:rsid w:val="00BE2F4F"/>
    <w:rsid w:val="00BE4AFC"/>
    <w:rsid w:val="00BE50AB"/>
    <w:rsid w:val="00BE526B"/>
    <w:rsid w:val="00BE528C"/>
    <w:rsid w:val="00BF0821"/>
    <w:rsid w:val="00BF14C2"/>
    <w:rsid w:val="00BF1E83"/>
    <w:rsid w:val="00BF4883"/>
    <w:rsid w:val="00BF6776"/>
    <w:rsid w:val="00C02784"/>
    <w:rsid w:val="00C04BB6"/>
    <w:rsid w:val="00C05F16"/>
    <w:rsid w:val="00C0736C"/>
    <w:rsid w:val="00C10C9E"/>
    <w:rsid w:val="00C111AE"/>
    <w:rsid w:val="00C11890"/>
    <w:rsid w:val="00C11D84"/>
    <w:rsid w:val="00C125CC"/>
    <w:rsid w:val="00C125D1"/>
    <w:rsid w:val="00C12EAE"/>
    <w:rsid w:val="00C1474A"/>
    <w:rsid w:val="00C14968"/>
    <w:rsid w:val="00C14B04"/>
    <w:rsid w:val="00C1527F"/>
    <w:rsid w:val="00C156CF"/>
    <w:rsid w:val="00C173CC"/>
    <w:rsid w:val="00C2074D"/>
    <w:rsid w:val="00C20AA0"/>
    <w:rsid w:val="00C20AFF"/>
    <w:rsid w:val="00C20E7B"/>
    <w:rsid w:val="00C23E8A"/>
    <w:rsid w:val="00C24843"/>
    <w:rsid w:val="00C301DF"/>
    <w:rsid w:val="00C31B08"/>
    <w:rsid w:val="00C32862"/>
    <w:rsid w:val="00C35C57"/>
    <w:rsid w:val="00C40E1B"/>
    <w:rsid w:val="00C43587"/>
    <w:rsid w:val="00C43A17"/>
    <w:rsid w:val="00C44A7F"/>
    <w:rsid w:val="00C45038"/>
    <w:rsid w:val="00C450A6"/>
    <w:rsid w:val="00C46815"/>
    <w:rsid w:val="00C50A57"/>
    <w:rsid w:val="00C518E2"/>
    <w:rsid w:val="00C534BE"/>
    <w:rsid w:val="00C55A3B"/>
    <w:rsid w:val="00C6390C"/>
    <w:rsid w:val="00C64250"/>
    <w:rsid w:val="00C67CEE"/>
    <w:rsid w:val="00C70D30"/>
    <w:rsid w:val="00C71A42"/>
    <w:rsid w:val="00C71D6E"/>
    <w:rsid w:val="00C722E1"/>
    <w:rsid w:val="00C751FF"/>
    <w:rsid w:val="00C761F3"/>
    <w:rsid w:val="00C8349E"/>
    <w:rsid w:val="00C90F78"/>
    <w:rsid w:val="00C91BB7"/>
    <w:rsid w:val="00C92223"/>
    <w:rsid w:val="00C943D2"/>
    <w:rsid w:val="00C9533D"/>
    <w:rsid w:val="00C95ED8"/>
    <w:rsid w:val="00C9600F"/>
    <w:rsid w:val="00C96A33"/>
    <w:rsid w:val="00C96BC6"/>
    <w:rsid w:val="00CA1021"/>
    <w:rsid w:val="00CA3DD1"/>
    <w:rsid w:val="00CA5BDF"/>
    <w:rsid w:val="00CA5CD5"/>
    <w:rsid w:val="00CA7A03"/>
    <w:rsid w:val="00CB0EE7"/>
    <w:rsid w:val="00CB20E2"/>
    <w:rsid w:val="00CB28EE"/>
    <w:rsid w:val="00CB4851"/>
    <w:rsid w:val="00CB691B"/>
    <w:rsid w:val="00CB6FE1"/>
    <w:rsid w:val="00CB7015"/>
    <w:rsid w:val="00CB7084"/>
    <w:rsid w:val="00CC00A2"/>
    <w:rsid w:val="00CC07AD"/>
    <w:rsid w:val="00CC1900"/>
    <w:rsid w:val="00CC29BB"/>
    <w:rsid w:val="00CC2E52"/>
    <w:rsid w:val="00CC46E0"/>
    <w:rsid w:val="00CC5F2C"/>
    <w:rsid w:val="00CD20BA"/>
    <w:rsid w:val="00CD3D09"/>
    <w:rsid w:val="00CD5284"/>
    <w:rsid w:val="00CD7078"/>
    <w:rsid w:val="00CD7679"/>
    <w:rsid w:val="00CD7C3D"/>
    <w:rsid w:val="00CE0389"/>
    <w:rsid w:val="00CE0823"/>
    <w:rsid w:val="00CE19FB"/>
    <w:rsid w:val="00CE1C2F"/>
    <w:rsid w:val="00CE3680"/>
    <w:rsid w:val="00CE37F2"/>
    <w:rsid w:val="00CE4750"/>
    <w:rsid w:val="00CE4C3E"/>
    <w:rsid w:val="00CE5FD4"/>
    <w:rsid w:val="00CF0350"/>
    <w:rsid w:val="00CF47B4"/>
    <w:rsid w:val="00CF58D4"/>
    <w:rsid w:val="00CF5A2C"/>
    <w:rsid w:val="00D00C3C"/>
    <w:rsid w:val="00D02DE3"/>
    <w:rsid w:val="00D07160"/>
    <w:rsid w:val="00D12200"/>
    <w:rsid w:val="00D130E8"/>
    <w:rsid w:val="00D13CDB"/>
    <w:rsid w:val="00D13E02"/>
    <w:rsid w:val="00D14167"/>
    <w:rsid w:val="00D143A7"/>
    <w:rsid w:val="00D15CB1"/>
    <w:rsid w:val="00D20A7B"/>
    <w:rsid w:val="00D214B7"/>
    <w:rsid w:val="00D2247F"/>
    <w:rsid w:val="00D225B8"/>
    <w:rsid w:val="00D22FB0"/>
    <w:rsid w:val="00D23028"/>
    <w:rsid w:val="00D24480"/>
    <w:rsid w:val="00D24FAB"/>
    <w:rsid w:val="00D276F6"/>
    <w:rsid w:val="00D31128"/>
    <w:rsid w:val="00D31C5F"/>
    <w:rsid w:val="00D330D4"/>
    <w:rsid w:val="00D33E83"/>
    <w:rsid w:val="00D3418F"/>
    <w:rsid w:val="00D35BDE"/>
    <w:rsid w:val="00D371B3"/>
    <w:rsid w:val="00D371C9"/>
    <w:rsid w:val="00D40912"/>
    <w:rsid w:val="00D447DA"/>
    <w:rsid w:val="00D44A41"/>
    <w:rsid w:val="00D4606E"/>
    <w:rsid w:val="00D46E21"/>
    <w:rsid w:val="00D47F3E"/>
    <w:rsid w:val="00D508EB"/>
    <w:rsid w:val="00D512D1"/>
    <w:rsid w:val="00D5171D"/>
    <w:rsid w:val="00D51F43"/>
    <w:rsid w:val="00D55C2E"/>
    <w:rsid w:val="00D55E25"/>
    <w:rsid w:val="00D56132"/>
    <w:rsid w:val="00D574DB"/>
    <w:rsid w:val="00D6118F"/>
    <w:rsid w:val="00D61E0F"/>
    <w:rsid w:val="00D64A95"/>
    <w:rsid w:val="00D65387"/>
    <w:rsid w:val="00D6629D"/>
    <w:rsid w:val="00D67D58"/>
    <w:rsid w:val="00D7267F"/>
    <w:rsid w:val="00D72A1E"/>
    <w:rsid w:val="00D73E25"/>
    <w:rsid w:val="00D74108"/>
    <w:rsid w:val="00D7534F"/>
    <w:rsid w:val="00D801A0"/>
    <w:rsid w:val="00D816CF"/>
    <w:rsid w:val="00D82CA5"/>
    <w:rsid w:val="00D83D48"/>
    <w:rsid w:val="00D842F4"/>
    <w:rsid w:val="00D8448A"/>
    <w:rsid w:val="00D87350"/>
    <w:rsid w:val="00D8781F"/>
    <w:rsid w:val="00D9046A"/>
    <w:rsid w:val="00D919FC"/>
    <w:rsid w:val="00D92C8F"/>
    <w:rsid w:val="00D93E7D"/>
    <w:rsid w:val="00D95C6A"/>
    <w:rsid w:val="00D965EB"/>
    <w:rsid w:val="00DA0893"/>
    <w:rsid w:val="00DA18FA"/>
    <w:rsid w:val="00DA36A8"/>
    <w:rsid w:val="00DA630B"/>
    <w:rsid w:val="00DA6B8E"/>
    <w:rsid w:val="00DA77E2"/>
    <w:rsid w:val="00DB153C"/>
    <w:rsid w:val="00DB1EC0"/>
    <w:rsid w:val="00DB6A80"/>
    <w:rsid w:val="00DB748F"/>
    <w:rsid w:val="00DB7885"/>
    <w:rsid w:val="00DC3BC6"/>
    <w:rsid w:val="00DC6063"/>
    <w:rsid w:val="00DC61BE"/>
    <w:rsid w:val="00DC7860"/>
    <w:rsid w:val="00DD2E03"/>
    <w:rsid w:val="00DD3671"/>
    <w:rsid w:val="00DD375E"/>
    <w:rsid w:val="00DD3D75"/>
    <w:rsid w:val="00DD610E"/>
    <w:rsid w:val="00DE38B4"/>
    <w:rsid w:val="00DE3DE7"/>
    <w:rsid w:val="00DE4329"/>
    <w:rsid w:val="00DF436D"/>
    <w:rsid w:val="00DF47B5"/>
    <w:rsid w:val="00DF5B54"/>
    <w:rsid w:val="00DF6241"/>
    <w:rsid w:val="00DF6DE2"/>
    <w:rsid w:val="00E0079D"/>
    <w:rsid w:val="00E0147C"/>
    <w:rsid w:val="00E028FA"/>
    <w:rsid w:val="00E041D1"/>
    <w:rsid w:val="00E05865"/>
    <w:rsid w:val="00E07F80"/>
    <w:rsid w:val="00E101D5"/>
    <w:rsid w:val="00E12BD3"/>
    <w:rsid w:val="00E148D3"/>
    <w:rsid w:val="00E14C27"/>
    <w:rsid w:val="00E1537B"/>
    <w:rsid w:val="00E15753"/>
    <w:rsid w:val="00E15AAD"/>
    <w:rsid w:val="00E15C08"/>
    <w:rsid w:val="00E15F31"/>
    <w:rsid w:val="00E176DF"/>
    <w:rsid w:val="00E20B83"/>
    <w:rsid w:val="00E22462"/>
    <w:rsid w:val="00E23E77"/>
    <w:rsid w:val="00E24EE1"/>
    <w:rsid w:val="00E27519"/>
    <w:rsid w:val="00E2756F"/>
    <w:rsid w:val="00E2782A"/>
    <w:rsid w:val="00E305E8"/>
    <w:rsid w:val="00E32587"/>
    <w:rsid w:val="00E33D6E"/>
    <w:rsid w:val="00E34FB8"/>
    <w:rsid w:val="00E353DD"/>
    <w:rsid w:val="00E36983"/>
    <w:rsid w:val="00E36DE1"/>
    <w:rsid w:val="00E3708B"/>
    <w:rsid w:val="00E37814"/>
    <w:rsid w:val="00E37861"/>
    <w:rsid w:val="00E37D76"/>
    <w:rsid w:val="00E40B25"/>
    <w:rsid w:val="00E41372"/>
    <w:rsid w:val="00E42A0A"/>
    <w:rsid w:val="00E47CFE"/>
    <w:rsid w:val="00E47DFA"/>
    <w:rsid w:val="00E51689"/>
    <w:rsid w:val="00E53538"/>
    <w:rsid w:val="00E53F2E"/>
    <w:rsid w:val="00E609BA"/>
    <w:rsid w:val="00E635E5"/>
    <w:rsid w:val="00E6491D"/>
    <w:rsid w:val="00E6620C"/>
    <w:rsid w:val="00E7004F"/>
    <w:rsid w:val="00E73D5A"/>
    <w:rsid w:val="00E741DC"/>
    <w:rsid w:val="00E7534E"/>
    <w:rsid w:val="00E76682"/>
    <w:rsid w:val="00E76A33"/>
    <w:rsid w:val="00E77B81"/>
    <w:rsid w:val="00E8042E"/>
    <w:rsid w:val="00E80591"/>
    <w:rsid w:val="00E80817"/>
    <w:rsid w:val="00E81163"/>
    <w:rsid w:val="00E84128"/>
    <w:rsid w:val="00E85C32"/>
    <w:rsid w:val="00E870E6"/>
    <w:rsid w:val="00E923F8"/>
    <w:rsid w:val="00E939F5"/>
    <w:rsid w:val="00E94F63"/>
    <w:rsid w:val="00E95EF8"/>
    <w:rsid w:val="00E97B58"/>
    <w:rsid w:val="00E97FC3"/>
    <w:rsid w:val="00EA0CFA"/>
    <w:rsid w:val="00EA4E0C"/>
    <w:rsid w:val="00EA515C"/>
    <w:rsid w:val="00EA6991"/>
    <w:rsid w:val="00EA6AD5"/>
    <w:rsid w:val="00EB1079"/>
    <w:rsid w:val="00EB235B"/>
    <w:rsid w:val="00EB34C7"/>
    <w:rsid w:val="00EB3E90"/>
    <w:rsid w:val="00EC35CB"/>
    <w:rsid w:val="00EC51C9"/>
    <w:rsid w:val="00ED0D72"/>
    <w:rsid w:val="00ED1970"/>
    <w:rsid w:val="00ED1FCC"/>
    <w:rsid w:val="00ED4DCA"/>
    <w:rsid w:val="00ED55DB"/>
    <w:rsid w:val="00ED7FBE"/>
    <w:rsid w:val="00EE1E7A"/>
    <w:rsid w:val="00EE3333"/>
    <w:rsid w:val="00EE3A32"/>
    <w:rsid w:val="00EE6327"/>
    <w:rsid w:val="00EE73B9"/>
    <w:rsid w:val="00EF035D"/>
    <w:rsid w:val="00EF1055"/>
    <w:rsid w:val="00EF18BB"/>
    <w:rsid w:val="00EF1B26"/>
    <w:rsid w:val="00EF375B"/>
    <w:rsid w:val="00EF4205"/>
    <w:rsid w:val="00EF4B69"/>
    <w:rsid w:val="00EF57A7"/>
    <w:rsid w:val="00EF6489"/>
    <w:rsid w:val="00EF66FF"/>
    <w:rsid w:val="00EF6E0F"/>
    <w:rsid w:val="00F00491"/>
    <w:rsid w:val="00F02313"/>
    <w:rsid w:val="00F033A1"/>
    <w:rsid w:val="00F03A2C"/>
    <w:rsid w:val="00F0558D"/>
    <w:rsid w:val="00F06304"/>
    <w:rsid w:val="00F07A70"/>
    <w:rsid w:val="00F1082F"/>
    <w:rsid w:val="00F111E6"/>
    <w:rsid w:val="00F1130A"/>
    <w:rsid w:val="00F11689"/>
    <w:rsid w:val="00F128B5"/>
    <w:rsid w:val="00F12B1C"/>
    <w:rsid w:val="00F13169"/>
    <w:rsid w:val="00F13B99"/>
    <w:rsid w:val="00F153DC"/>
    <w:rsid w:val="00F16AB9"/>
    <w:rsid w:val="00F17E9D"/>
    <w:rsid w:val="00F205F8"/>
    <w:rsid w:val="00F209E1"/>
    <w:rsid w:val="00F235CF"/>
    <w:rsid w:val="00F26A3D"/>
    <w:rsid w:val="00F31A9A"/>
    <w:rsid w:val="00F32E2B"/>
    <w:rsid w:val="00F35C7A"/>
    <w:rsid w:val="00F4032C"/>
    <w:rsid w:val="00F404B1"/>
    <w:rsid w:val="00F448AC"/>
    <w:rsid w:val="00F454F4"/>
    <w:rsid w:val="00F45B3F"/>
    <w:rsid w:val="00F51C27"/>
    <w:rsid w:val="00F52CE6"/>
    <w:rsid w:val="00F53262"/>
    <w:rsid w:val="00F5675E"/>
    <w:rsid w:val="00F5688C"/>
    <w:rsid w:val="00F5721F"/>
    <w:rsid w:val="00F57983"/>
    <w:rsid w:val="00F637EC"/>
    <w:rsid w:val="00F6413E"/>
    <w:rsid w:val="00F71927"/>
    <w:rsid w:val="00F736BE"/>
    <w:rsid w:val="00F74C61"/>
    <w:rsid w:val="00F87F67"/>
    <w:rsid w:val="00F9023B"/>
    <w:rsid w:val="00F91618"/>
    <w:rsid w:val="00F93903"/>
    <w:rsid w:val="00F94E37"/>
    <w:rsid w:val="00FA2238"/>
    <w:rsid w:val="00FA24DC"/>
    <w:rsid w:val="00FA4531"/>
    <w:rsid w:val="00FA5D07"/>
    <w:rsid w:val="00FA69E7"/>
    <w:rsid w:val="00FA6E11"/>
    <w:rsid w:val="00FA6E72"/>
    <w:rsid w:val="00FB162C"/>
    <w:rsid w:val="00FB1682"/>
    <w:rsid w:val="00FB16F8"/>
    <w:rsid w:val="00FB4939"/>
    <w:rsid w:val="00FB6EE8"/>
    <w:rsid w:val="00FC2152"/>
    <w:rsid w:val="00FC2201"/>
    <w:rsid w:val="00FC3A19"/>
    <w:rsid w:val="00FC5904"/>
    <w:rsid w:val="00FC59DE"/>
    <w:rsid w:val="00FC6208"/>
    <w:rsid w:val="00FD0663"/>
    <w:rsid w:val="00FD2FAA"/>
    <w:rsid w:val="00FD376B"/>
    <w:rsid w:val="00FD5DCD"/>
    <w:rsid w:val="00FD633F"/>
    <w:rsid w:val="00FD693F"/>
    <w:rsid w:val="00FD6980"/>
    <w:rsid w:val="00FD7863"/>
    <w:rsid w:val="00FE02A8"/>
    <w:rsid w:val="00FE08B0"/>
    <w:rsid w:val="00FE0BD9"/>
    <w:rsid w:val="00FE1E70"/>
    <w:rsid w:val="00FE3377"/>
    <w:rsid w:val="00FE52AA"/>
    <w:rsid w:val="00FE6105"/>
    <w:rsid w:val="00FE6EF7"/>
    <w:rsid w:val="00FE7CF2"/>
    <w:rsid w:val="00FF016F"/>
    <w:rsid w:val="00FF0F0E"/>
    <w:rsid w:val="00FF10DD"/>
    <w:rsid w:val="00FF271D"/>
    <w:rsid w:val="00FF387B"/>
    <w:rsid w:val="00FF3F81"/>
    <w:rsid w:val="00FF438A"/>
    <w:rsid w:val="012F3569"/>
    <w:rsid w:val="019162EE"/>
    <w:rsid w:val="01B03F6B"/>
    <w:rsid w:val="022C0464"/>
    <w:rsid w:val="02447348"/>
    <w:rsid w:val="025C49EE"/>
    <w:rsid w:val="02646578"/>
    <w:rsid w:val="02661A7B"/>
    <w:rsid w:val="02A17A2B"/>
    <w:rsid w:val="02F846FB"/>
    <w:rsid w:val="02F856DE"/>
    <w:rsid w:val="02FE0DF2"/>
    <w:rsid w:val="0309038A"/>
    <w:rsid w:val="0350642E"/>
    <w:rsid w:val="035B4911"/>
    <w:rsid w:val="0361681B"/>
    <w:rsid w:val="04163AF5"/>
    <w:rsid w:val="04177243"/>
    <w:rsid w:val="04253FDA"/>
    <w:rsid w:val="04521626"/>
    <w:rsid w:val="04671510"/>
    <w:rsid w:val="04735344"/>
    <w:rsid w:val="049C4CF0"/>
    <w:rsid w:val="04B11640"/>
    <w:rsid w:val="04B638C9"/>
    <w:rsid w:val="04B83FF5"/>
    <w:rsid w:val="04C87066"/>
    <w:rsid w:val="04E723C1"/>
    <w:rsid w:val="05145E61"/>
    <w:rsid w:val="05405A2B"/>
    <w:rsid w:val="054B3467"/>
    <w:rsid w:val="05806815"/>
    <w:rsid w:val="05852456"/>
    <w:rsid w:val="05AC1AA7"/>
    <w:rsid w:val="05BC0BF8"/>
    <w:rsid w:val="05D23899"/>
    <w:rsid w:val="05D91E34"/>
    <w:rsid w:val="05FB3EC6"/>
    <w:rsid w:val="066C0CF8"/>
    <w:rsid w:val="06A84497"/>
    <w:rsid w:val="06AB2A7F"/>
    <w:rsid w:val="06B81D95"/>
    <w:rsid w:val="06CE648B"/>
    <w:rsid w:val="07062992"/>
    <w:rsid w:val="073161DB"/>
    <w:rsid w:val="077361A7"/>
    <w:rsid w:val="0780475B"/>
    <w:rsid w:val="07D91E6C"/>
    <w:rsid w:val="08295640"/>
    <w:rsid w:val="095B7DEA"/>
    <w:rsid w:val="09703AE5"/>
    <w:rsid w:val="098708AE"/>
    <w:rsid w:val="09AD7682"/>
    <w:rsid w:val="09BE460B"/>
    <w:rsid w:val="0A203A70"/>
    <w:rsid w:val="0A305844"/>
    <w:rsid w:val="0A586307"/>
    <w:rsid w:val="0A5F6393"/>
    <w:rsid w:val="0A817464"/>
    <w:rsid w:val="0AB51320"/>
    <w:rsid w:val="0AB944A3"/>
    <w:rsid w:val="0AFB4013"/>
    <w:rsid w:val="0B6113B0"/>
    <w:rsid w:val="0B7123FA"/>
    <w:rsid w:val="0BE10575"/>
    <w:rsid w:val="0BE552B3"/>
    <w:rsid w:val="0C1D53EF"/>
    <w:rsid w:val="0C493935"/>
    <w:rsid w:val="0C506B43"/>
    <w:rsid w:val="0CAC2B81"/>
    <w:rsid w:val="0CAC4806"/>
    <w:rsid w:val="0CE81CF2"/>
    <w:rsid w:val="0CF50C9E"/>
    <w:rsid w:val="0D5E339D"/>
    <w:rsid w:val="0D72469C"/>
    <w:rsid w:val="0D8A004D"/>
    <w:rsid w:val="0D9848DC"/>
    <w:rsid w:val="0DB40989"/>
    <w:rsid w:val="0DC444A6"/>
    <w:rsid w:val="0E3015D7"/>
    <w:rsid w:val="0E575C13"/>
    <w:rsid w:val="0E673CAF"/>
    <w:rsid w:val="0E8B665A"/>
    <w:rsid w:val="0E9128F5"/>
    <w:rsid w:val="0EAB0E15"/>
    <w:rsid w:val="0EB63A2E"/>
    <w:rsid w:val="0EBF2140"/>
    <w:rsid w:val="0EEA0A05"/>
    <w:rsid w:val="0EEE2C8F"/>
    <w:rsid w:val="0F00642C"/>
    <w:rsid w:val="0F5A453C"/>
    <w:rsid w:val="0FC1695C"/>
    <w:rsid w:val="10C035D7"/>
    <w:rsid w:val="10FD29EF"/>
    <w:rsid w:val="11456666"/>
    <w:rsid w:val="11A021F8"/>
    <w:rsid w:val="11A978C3"/>
    <w:rsid w:val="11B02492"/>
    <w:rsid w:val="12475E89"/>
    <w:rsid w:val="12AC362F"/>
    <w:rsid w:val="12AD10B0"/>
    <w:rsid w:val="12CF6D33"/>
    <w:rsid w:val="130E5C52"/>
    <w:rsid w:val="13171358"/>
    <w:rsid w:val="131E259C"/>
    <w:rsid w:val="1388607B"/>
    <w:rsid w:val="13C532E2"/>
    <w:rsid w:val="13C775FF"/>
    <w:rsid w:val="13F57B05"/>
    <w:rsid w:val="144E1A7E"/>
    <w:rsid w:val="149C15D9"/>
    <w:rsid w:val="14B0757C"/>
    <w:rsid w:val="14B66F07"/>
    <w:rsid w:val="14DA3C44"/>
    <w:rsid w:val="14E24EB2"/>
    <w:rsid w:val="14EA1CE0"/>
    <w:rsid w:val="15023B03"/>
    <w:rsid w:val="151F30B3"/>
    <w:rsid w:val="152F114F"/>
    <w:rsid w:val="154A2FFE"/>
    <w:rsid w:val="156206A5"/>
    <w:rsid w:val="15BB35E3"/>
    <w:rsid w:val="15D860E5"/>
    <w:rsid w:val="16435794"/>
    <w:rsid w:val="16B90C56"/>
    <w:rsid w:val="16EA4CA9"/>
    <w:rsid w:val="16EB0DBF"/>
    <w:rsid w:val="16F65238"/>
    <w:rsid w:val="16F7073B"/>
    <w:rsid w:val="17040C1B"/>
    <w:rsid w:val="17170FF0"/>
    <w:rsid w:val="17550AD5"/>
    <w:rsid w:val="17905436"/>
    <w:rsid w:val="17C37BF0"/>
    <w:rsid w:val="17FF0715"/>
    <w:rsid w:val="18235CAA"/>
    <w:rsid w:val="18701B13"/>
    <w:rsid w:val="187E183C"/>
    <w:rsid w:val="187F2B40"/>
    <w:rsid w:val="18A26578"/>
    <w:rsid w:val="18B51996"/>
    <w:rsid w:val="18FB0B09"/>
    <w:rsid w:val="19274253"/>
    <w:rsid w:val="1985100A"/>
    <w:rsid w:val="198A0A74"/>
    <w:rsid w:val="19AB6A2A"/>
    <w:rsid w:val="19B02EB2"/>
    <w:rsid w:val="1A2B05FE"/>
    <w:rsid w:val="1A4E6234"/>
    <w:rsid w:val="1A6D6AE8"/>
    <w:rsid w:val="1AA524C6"/>
    <w:rsid w:val="1AA71D86"/>
    <w:rsid w:val="1AFF3E59"/>
    <w:rsid w:val="1B0E6672"/>
    <w:rsid w:val="1B3F77DB"/>
    <w:rsid w:val="1B633542"/>
    <w:rsid w:val="1BBC4116"/>
    <w:rsid w:val="1BD11C33"/>
    <w:rsid w:val="1BDC117C"/>
    <w:rsid w:val="1C2900C3"/>
    <w:rsid w:val="1C332BD1"/>
    <w:rsid w:val="1C5E4596"/>
    <w:rsid w:val="1C6A3ED7"/>
    <w:rsid w:val="1C836886"/>
    <w:rsid w:val="1C9E2280"/>
    <w:rsid w:val="1D3E4388"/>
    <w:rsid w:val="1D885A81"/>
    <w:rsid w:val="1DBA3523"/>
    <w:rsid w:val="1DE17414"/>
    <w:rsid w:val="1DEC1F22"/>
    <w:rsid w:val="1E161E6D"/>
    <w:rsid w:val="1E387E23"/>
    <w:rsid w:val="1EF11854"/>
    <w:rsid w:val="1F3B1CEC"/>
    <w:rsid w:val="1F3C63CC"/>
    <w:rsid w:val="1F554D78"/>
    <w:rsid w:val="1FBC0334"/>
    <w:rsid w:val="204C6209"/>
    <w:rsid w:val="20656FA4"/>
    <w:rsid w:val="20F95428"/>
    <w:rsid w:val="210D0846"/>
    <w:rsid w:val="210F28DD"/>
    <w:rsid w:val="21216CBC"/>
    <w:rsid w:val="2156432E"/>
    <w:rsid w:val="21E60641"/>
    <w:rsid w:val="22297D19"/>
    <w:rsid w:val="22A068A5"/>
    <w:rsid w:val="22E87E76"/>
    <w:rsid w:val="22EB7DD7"/>
    <w:rsid w:val="22ED32DA"/>
    <w:rsid w:val="22ED6B5D"/>
    <w:rsid w:val="2310618A"/>
    <w:rsid w:val="2357078B"/>
    <w:rsid w:val="23B9752B"/>
    <w:rsid w:val="23F15106"/>
    <w:rsid w:val="242001D4"/>
    <w:rsid w:val="24335B6F"/>
    <w:rsid w:val="24647B6D"/>
    <w:rsid w:val="24E32AAF"/>
    <w:rsid w:val="24E56C98"/>
    <w:rsid w:val="25050EF2"/>
    <w:rsid w:val="252E6E42"/>
    <w:rsid w:val="25654221"/>
    <w:rsid w:val="25876B1A"/>
    <w:rsid w:val="25B6156F"/>
    <w:rsid w:val="25C25381"/>
    <w:rsid w:val="26050A95"/>
    <w:rsid w:val="262C6FAF"/>
    <w:rsid w:val="26485599"/>
    <w:rsid w:val="26637109"/>
    <w:rsid w:val="26671392"/>
    <w:rsid w:val="266D7055"/>
    <w:rsid w:val="26723EA0"/>
    <w:rsid w:val="268132B4"/>
    <w:rsid w:val="26C848AF"/>
    <w:rsid w:val="26F015B8"/>
    <w:rsid w:val="270F17A0"/>
    <w:rsid w:val="275F2824"/>
    <w:rsid w:val="27A727EB"/>
    <w:rsid w:val="27A92426"/>
    <w:rsid w:val="282E547B"/>
    <w:rsid w:val="2830097E"/>
    <w:rsid w:val="28593D41"/>
    <w:rsid w:val="2874016E"/>
    <w:rsid w:val="28971627"/>
    <w:rsid w:val="28C46110"/>
    <w:rsid w:val="28C97878"/>
    <w:rsid w:val="28F6465C"/>
    <w:rsid w:val="290179D1"/>
    <w:rsid w:val="29120F71"/>
    <w:rsid w:val="29265513"/>
    <w:rsid w:val="297C2ABA"/>
    <w:rsid w:val="29D90C64"/>
    <w:rsid w:val="29F744DA"/>
    <w:rsid w:val="2A1D6EA4"/>
    <w:rsid w:val="2A53737E"/>
    <w:rsid w:val="2A74112A"/>
    <w:rsid w:val="2AF372A5"/>
    <w:rsid w:val="2B72292D"/>
    <w:rsid w:val="2BD40774"/>
    <w:rsid w:val="2C4677AE"/>
    <w:rsid w:val="2C637962"/>
    <w:rsid w:val="2C943C2E"/>
    <w:rsid w:val="2D254C1E"/>
    <w:rsid w:val="2D653489"/>
    <w:rsid w:val="2D7F7FD3"/>
    <w:rsid w:val="2DC74D62"/>
    <w:rsid w:val="2E601123"/>
    <w:rsid w:val="2E824B5A"/>
    <w:rsid w:val="2E8B49B7"/>
    <w:rsid w:val="2EA3508F"/>
    <w:rsid w:val="2EC67BCD"/>
    <w:rsid w:val="2ED56B63"/>
    <w:rsid w:val="2EDA6E9C"/>
    <w:rsid w:val="2EE316FC"/>
    <w:rsid w:val="2EED420A"/>
    <w:rsid w:val="2F267268"/>
    <w:rsid w:val="2F6870CA"/>
    <w:rsid w:val="2F922799"/>
    <w:rsid w:val="3023024C"/>
    <w:rsid w:val="303F3BB7"/>
    <w:rsid w:val="305D3167"/>
    <w:rsid w:val="3088782E"/>
    <w:rsid w:val="30A957E4"/>
    <w:rsid w:val="30FB3AA3"/>
    <w:rsid w:val="310635FD"/>
    <w:rsid w:val="31665B97"/>
    <w:rsid w:val="316B58A2"/>
    <w:rsid w:val="31832F49"/>
    <w:rsid w:val="31BC0B24"/>
    <w:rsid w:val="31E04716"/>
    <w:rsid w:val="321005AF"/>
    <w:rsid w:val="32491A0D"/>
    <w:rsid w:val="325F3BB1"/>
    <w:rsid w:val="32771258"/>
    <w:rsid w:val="329F1B0B"/>
    <w:rsid w:val="32DE1F01"/>
    <w:rsid w:val="32FD49B4"/>
    <w:rsid w:val="33005939"/>
    <w:rsid w:val="33356193"/>
    <w:rsid w:val="338A4840"/>
    <w:rsid w:val="33B1355E"/>
    <w:rsid w:val="33CD760B"/>
    <w:rsid w:val="33E443DD"/>
    <w:rsid w:val="34234796"/>
    <w:rsid w:val="342E63AB"/>
    <w:rsid w:val="346B298C"/>
    <w:rsid w:val="34E857D9"/>
    <w:rsid w:val="352765C3"/>
    <w:rsid w:val="35486AF7"/>
    <w:rsid w:val="35565E0D"/>
    <w:rsid w:val="355B7D16"/>
    <w:rsid w:val="356F0F35"/>
    <w:rsid w:val="35AA3319"/>
    <w:rsid w:val="35C032BE"/>
    <w:rsid w:val="35CA164F"/>
    <w:rsid w:val="35EE2B08"/>
    <w:rsid w:val="360F303D"/>
    <w:rsid w:val="361C5BD6"/>
    <w:rsid w:val="36317AE8"/>
    <w:rsid w:val="363D2887"/>
    <w:rsid w:val="36C41867"/>
    <w:rsid w:val="372B2510"/>
    <w:rsid w:val="374A69BA"/>
    <w:rsid w:val="375201D1"/>
    <w:rsid w:val="379D6FCC"/>
    <w:rsid w:val="37C750C3"/>
    <w:rsid w:val="37F962EB"/>
    <w:rsid w:val="38961762"/>
    <w:rsid w:val="38BC19A2"/>
    <w:rsid w:val="39160DB7"/>
    <w:rsid w:val="39404B46"/>
    <w:rsid w:val="39A93BA9"/>
    <w:rsid w:val="39CB75E0"/>
    <w:rsid w:val="39E7368D"/>
    <w:rsid w:val="3A45103E"/>
    <w:rsid w:val="3A702B65"/>
    <w:rsid w:val="3A8D769E"/>
    <w:rsid w:val="3A8F2BA2"/>
    <w:rsid w:val="3AB31ADC"/>
    <w:rsid w:val="3ABF1172"/>
    <w:rsid w:val="3B02185C"/>
    <w:rsid w:val="3B1E371E"/>
    <w:rsid w:val="3B3955B9"/>
    <w:rsid w:val="3B457A6E"/>
    <w:rsid w:val="3B6E2210"/>
    <w:rsid w:val="3B77509E"/>
    <w:rsid w:val="3B846932"/>
    <w:rsid w:val="3BAF5EF5"/>
    <w:rsid w:val="3BB02C79"/>
    <w:rsid w:val="3BC70982"/>
    <w:rsid w:val="3BCE5AAC"/>
    <w:rsid w:val="3BF72018"/>
    <w:rsid w:val="3C090160"/>
    <w:rsid w:val="3C277E24"/>
    <w:rsid w:val="3C980FD7"/>
    <w:rsid w:val="3CC23ACA"/>
    <w:rsid w:val="3D0F3EBA"/>
    <w:rsid w:val="3D464014"/>
    <w:rsid w:val="3D5877B1"/>
    <w:rsid w:val="3D965098"/>
    <w:rsid w:val="3DC3718A"/>
    <w:rsid w:val="3DCB2A3B"/>
    <w:rsid w:val="3DD4297E"/>
    <w:rsid w:val="3E043756"/>
    <w:rsid w:val="3E3715DF"/>
    <w:rsid w:val="3EB75C2B"/>
    <w:rsid w:val="3EB8009D"/>
    <w:rsid w:val="3EE811C2"/>
    <w:rsid w:val="3F3A5749"/>
    <w:rsid w:val="3F846CB9"/>
    <w:rsid w:val="3FB60916"/>
    <w:rsid w:val="3FD768CC"/>
    <w:rsid w:val="401E123E"/>
    <w:rsid w:val="40793ED7"/>
    <w:rsid w:val="408F607A"/>
    <w:rsid w:val="40ED0226"/>
    <w:rsid w:val="40F37016"/>
    <w:rsid w:val="41022C69"/>
    <w:rsid w:val="413D7498"/>
    <w:rsid w:val="414C6A67"/>
    <w:rsid w:val="416824DA"/>
    <w:rsid w:val="416C2839"/>
    <w:rsid w:val="41D7769B"/>
    <w:rsid w:val="42004FD7"/>
    <w:rsid w:val="420E1D6F"/>
    <w:rsid w:val="421C6B06"/>
    <w:rsid w:val="426A0E03"/>
    <w:rsid w:val="42741713"/>
    <w:rsid w:val="42A9416B"/>
    <w:rsid w:val="42DF4645"/>
    <w:rsid w:val="432A59BE"/>
    <w:rsid w:val="435C7492"/>
    <w:rsid w:val="4380094B"/>
    <w:rsid w:val="43A02746"/>
    <w:rsid w:val="43BE3CB3"/>
    <w:rsid w:val="43C8636A"/>
    <w:rsid w:val="441E7DC8"/>
    <w:rsid w:val="442B2FE3"/>
    <w:rsid w:val="446C1006"/>
    <w:rsid w:val="44954D38"/>
    <w:rsid w:val="44B8774F"/>
    <w:rsid w:val="44ED30A1"/>
    <w:rsid w:val="45FD520F"/>
    <w:rsid w:val="46016752"/>
    <w:rsid w:val="462640A2"/>
    <w:rsid w:val="464113B6"/>
    <w:rsid w:val="468766C5"/>
    <w:rsid w:val="46B63991"/>
    <w:rsid w:val="46D851CA"/>
    <w:rsid w:val="46E71F62"/>
    <w:rsid w:val="47220AC2"/>
    <w:rsid w:val="47305EC0"/>
    <w:rsid w:val="4731280B"/>
    <w:rsid w:val="479D298A"/>
    <w:rsid w:val="47EA2A89"/>
    <w:rsid w:val="47F15C97"/>
    <w:rsid w:val="47F55F0A"/>
    <w:rsid w:val="47F83522"/>
    <w:rsid w:val="48072039"/>
    <w:rsid w:val="48A30128"/>
    <w:rsid w:val="48AA50C6"/>
    <w:rsid w:val="48F32F3B"/>
    <w:rsid w:val="49042E3F"/>
    <w:rsid w:val="492F531F"/>
    <w:rsid w:val="494055B9"/>
    <w:rsid w:val="495367D8"/>
    <w:rsid w:val="49585025"/>
    <w:rsid w:val="498C34BA"/>
    <w:rsid w:val="499421AB"/>
    <w:rsid w:val="49956348"/>
    <w:rsid w:val="49AD5BED"/>
    <w:rsid w:val="4A0A0E78"/>
    <w:rsid w:val="4A224094"/>
    <w:rsid w:val="4A3161C6"/>
    <w:rsid w:val="4A500C79"/>
    <w:rsid w:val="4A5B700A"/>
    <w:rsid w:val="4ACF6FC9"/>
    <w:rsid w:val="4AE20F59"/>
    <w:rsid w:val="4B1132B6"/>
    <w:rsid w:val="4B385564"/>
    <w:rsid w:val="4B50661E"/>
    <w:rsid w:val="4B955A8D"/>
    <w:rsid w:val="4B995B21"/>
    <w:rsid w:val="4BA92101"/>
    <w:rsid w:val="4BB9751B"/>
    <w:rsid w:val="4BF103A5"/>
    <w:rsid w:val="4BFD5C50"/>
    <w:rsid w:val="4C100C5A"/>
    <w:rsid w:val="4C2E4987"/>
    <w:rsid w:val="4C5948D2"/>
    <w:rsid w:val="4C632C63"/>
    <w:rsid w:val="4C850C19"/>
    <w:rsid w:val="4CB074DF"/>
    <w:rsid w:val="4D3806BD"/>
    <w:rsid w:val="4D570F71"/>
    <w:rsid w:val="4D750521"/>
    <w:rsid w:val="4D8465BE"/>
    <w:rsid w:val="4DAD60FD"/>
    <w:rsid w:val="4DC67027"/>
    <w:rsid w:val="4EAA2B1D"/>
    <w:rsid w:val="4EB95335"/>
    <w:rsid w:val="4F1B40D5"/>
    <w:rsid w:val="4F3C7E8D"/>
    <w:rsid w:val="4F422894"/>
    <w:rsid w:val="4F714AE4"/>
    <w:rsid w:val="4FB46852"/>
    <w:rsid w:val="4FBE39FB"/>
    <w:rsid w:val="4FD7228A"/>
    <w:rsid w:val="4FFD7F4B"/>
    <w:rsid w:val="500B2C0C"/>
    <w:rsid w:val="504B1683"/>
    <w:rsid w:val="50B7737A"/>
    <w:rsid w:val="50E101BE"/>
    <w:rsid w:val="512344AA"/>
    <w:rsid w:val="51334ADB"/>
    <w:rsid w:val="514B67D1"/>
    <w:rsid w:val="51981EEB"/>
    <w:rsid w:val="51F2387E"/>
    <w:rsid w:val="520C4960"/>
    <w:rsid w:val="52AA1365"/>
    <w:rsid w:val="52ED3616"/>
    <w:rsid w:val="530A1FF3"/>
    <w:rsid w:val="53212054"/>
    <w:rsid w:val="532819FD"/>
    <w:rsid w:val="53885DE3"/>
    <w:rsid w:val="538E6B22"/>
    <w:rsid w:val="53BA2E6A"/>
    <w:rsid w:val="53EB4CBE"/>
    <w:rsid w:val="53F41D4A"/>
    <w:rsid w:val="541D768B"/>
    <w:rsid w:val="546C6C53"/>
    <w:rsid w:val="54A85071"/>
    <w:rsid w:val="55440772"/>
    <w:rsid w:val="554561F4"/>
    <w:rsid w:val="554A475C"/>
    <w:rsid w:val="55985C8F"/>
    <w:rsid w:val="55A44B0C"/>
    <w:rsid w:val="55C67A47"/>
    <w:rsid w:val="55F655E7"/>
    <w:rsid w:val="56035FBF"/>
    <w:rsid w:val="562F3BF3"/>
    <w:rsid w:val="57335A1F"/>
    <w:rsid w:val="57CB6E97"/>
    <w:rsid w:val="57DE0ACC"/>
    <w:rsid w:val="58343043"/>
    <w:rsid w:val="584645E3"/>
    <w:rsid w:val="588259F3"/>
    <w:rsid w:val="58B34C17"/>
    <w:rsid w:val="58EA5398"/>
    <w:rsid w:val="58F70B83"/>
    <w:rsid w:val="590662B4"/>
    <w:rsid w:val="59734B5B"/>
    <w:rsid w:val="597A6A82"/>
    <w:rsid w:val="59A57A22"/>
    <w:rsid w:val="59ED369A"/>
    <w:rsid w:val="59F01ACB"/>
    <w:rsid w:val="5A142254"/>
    <w:rsid w:val="5AE470AA"/>
    <w:rsid w:val="5AE54B2B"/>
    <w:rsid w:val="5B246EFF"/>
    <w:rsid w:val="5B5A5DEF"/>
    <w:rsid w:val="5B9104C7"/>
    <w:rsid w:val="5BDA1BC0"/>
    <w:rsid w:val="5BDA740A"/>
    <w:rsid w:val="5C3F5168"/>
    <w:rsid w:val="5CA11989"/>
    <w:rsid w:val="5CD24D50"/>
    <w:rsid w:val="5CDE5F6B"/>
    <w:rsid w:val="5D2353DA"/>
    <w:rsid w:val="5D333E92"/>
    <w:rsid w:val="5D3921E0"/>
    <w:rsid w:val="5D44590F"/>
    <w:rsid w:val="5D4E3CA0"/>
    <w:rsid w:val="5D8F5D8E"/>
    <w:rsid w:val="5DA62130"/>
    <w:rsid w:val="5DBB20D6"/>
    <w:rsid w:val="5E0E085B"/>
    <w:rsid w:val="5E1D0E75"/>
    <w:rsid w:val="5E3774A1"/>
    <w:rsid w:val="5E654AED"/>
    <w:rsid w:val="5E6C7D9D"/>
    <w:rsid w:val="5E810B9A"/>
    <w:rsid w:val="5EF665DA"/>
    <w:rsid w:val="5EF85FD1"/>
    <w:rsid w:val="5F0458F0"/>
    <w:rsid w:val="5F146688"/>
    <w:rsid w:val="5F16108D"/>
    <w:rsid w:val="5F2538A6"/>
    <w:rsid w:val="5F255CE9"/>
    <w:rsid w:val="5F47185C"/>
    <w:rsid w:val="5F4D3766"/>
    <w:rsid w:val="5F4D6416"/>
    <w:rsid w:val="5F5A62FF"/>
    <w:rsid w:val="5F5C34D4"/>
    <w:rsid w:val="5F634208"/>
    <w:rsid w:val="5F8D230B"/>
    <w:rsid w:val="5F900D57"/>
    <w:rsid w:val="5F952C60"/>
    <w:rsid w:val="5FF225A8"/>
    <w:rsid w:val="60383F06"/>
    <w:rsid w:val="603A11F0"/>
    <w:rsid w:val="606C7440"/>
    <w:rsid w:val="606D4EC2"/>
    <w:rsid w:val="60E455D3"/>
    <w:rsid w:val="60FE69AF"/>
    <w:rsid w:val="61094D40"/>
    <w:rsid w:val="610A6045"/>
    <w:rsid w:val="611C5F5F"/>
    <w:rsid w:val="61605331"/>
    <w:rsid w:val="621C5B02"/>
    <w:rsid w:val="62680180"/>
    <w:rsid w:val="62BC40AF"/>
    <w:rsid w:val="62C21B13"/>
    <w:rsid w:val="62C7456C"/>
    <w:rsid w:val="62DC05C2"/>
    <w:rsid w:val="62DC5F40"/>
    <w:rsid w:val="63515EFF"/>
    <w:rsid w:val="63A8690E"/>
    <w:rsid w:val="63D619DB"/>
    <w:rsid w:val="63DD3565"/>
    <w:rsid w:val="63F22205"/>
    <w:rsid w:val="642207D6"/>
    <w:rsid w:val="642C6B67"/>
    <w:rsid w:val="64A742B2"/>
    <w:rsid w:val="64BD1C3F"/>
    <w:rsid w:val="64C1336A"/>
    <w:rsid w:val="65A97358"/>
    <w:rsid w:val="65C91E0B"/>
    <w:rsid w:val="65D62E58"/>
    <w:rsid w:val="65E55EB8"/>
    <w:rsid w:val="65F870D7"/>
    <w:rsid w:val="66675F79"/>
    <w:rsid w:val="666A113C"/>
    <w:rsid w:val="66A84CFD"/>
    <w:rsid w:val="66AB6B0C"/>
    <w:rsid w:val="66F36075"/>
    <w:rsid w:val="67292740"/>
    <w:rsid w:val="6751640F"/>
    <w:rsid w:val="67570318"/>
    <w:rsid w:val="677C4CD5"/>
    <w:rsid w:val="677D1E84"/>
    <w:rsid w:val="67873066"/>
    <w:rsid w:val="67A13C10"/>
    <w:rsid w:val="67B63BB5"/>
    <w:rsid w:val="67FE782C"/>
    <w:rsid w:val="681D485E"/>
    <w:rsid w:val="684E3922"/>
    <w:rsid w:val="68916D9B"/>
    <w:rsid w:val="68D73C8C"/>
    <w:rsid w:val="68DC7207"/>
    <w:rsid w:val="690525DD"/>
    <w:rsid w:val="693F23B7"/>
    <w:rsid w:val="697E523B"/>
    <w:rsid w:val="69927C43"/>
    <w:rsid w:val="69A63060"/>
    <w:rsid w:val="69EA60D3"/>
    <w:rsid w:val="6A53447E"/>
    <w:rsid w:val="6A6E406B"/>
    <w:rsid w:val="6A7A44B8"/>
    <w:rsid w:val="6AB76720"/>
    <w:rsid w:val="6AD43AD2"/>
    <w:rsid w:val="6AEB36F7"/>
    <w:rsid w:val="6B275294"/>
    <w:rsid w:val="6B6B2D4C"/>
    <w:rsid w:val="6BEA5819"/>
    <w:rsid w:val="6C1F0271"/>
    <w:rsid w:val="6C2C2BBB"/>
    <w:rsid w:val="6CED7FF4"/>
    <w:rsid w:val="6D4044DB"/>
    <w:rsid w:val="6D756624"/>
    <w:rsid w:val="6DC77328"/>
    <w:rsid w:val="6DCB15B1"/>
    <w:rsid w:val="6DCF3A7C"/>
    <w:rsid w:val="6E0E1C9B"/>
    <w:rsid w:val="6E7E78D0"/>
    <w:rsid w:val="6E8F4C72"/>
    <w:rsid w:val="6F21085E"/>
    <w:rsid w:val="6F45301C"/>
    <w:rsid w:val="6F703E60"/>
    <w:rsid w:val="6F7402E8"/>
    <w:rsid w:val="6F8B5D0F"/>
    <w:rsid w:val="6F960A42"/>
    <w:rsid w:val="6F966352"/>
    <w:rsid w:val="6F9A0528"/>
    <w:rsid w:val="6FAE1E38"/>
    <w:rsid w:val="6FCA1077"/>
    <w:rsid w:val="6FCB7A26"/>
    <w:rsid w:val="704B3EF1"/>
    <w:rsid w:val="707B6EB1"/>
    <w:rsid w:val="708A21ED"/>
    <w:rsid w:val="70D13D8D"/>
    <w:rsid w:val="70EB6234"/>
    <w:rsid w:val="713B295D"/>
    <w:rsid w:val="716C3313"/>
    <w:rsid w:val="71A96AE6"/>
    <w:rsid w:val="71D63725"/>
    <w:rsid w:val="71F02BFB"/>
    <w:rsid w:val="726100ED"/>
    <w:rsid w:val="72721ECF"/>
    <w:rsid w:val="729B57E3"/>
    <w:rsid w:val="72CC2890"/>
    <w:rsid w:val="72F476CB"/>
    <w:rsid w:val="73193962"/>
    <w:rsid w:val="732970BD"/>
    <w:rsid w:val="7349576A"/>
    <w:rsid w:val="735B7C4E"/>
    <w:rsid w:val="7364055E"/>
    <w:rsid w:val="73FD2CDB"/>
    <w:rsid w:val="745B77F1"/>
    <w:rsid w:val="74A2126A"/>
    <w:rsid w:val="74CE1D2E"/>
    <w:rsid w:val="74D516B9"/>
    <w:rsid w:val="74ED25E3"/>
    <w:rsid w:val="7519472C"/>
    <w:rsid w:val="752B4646"/>
    <w:rsid w:val="754D697D"/>
    <w:rsid w:val="75746B0C"/>
    <w:rsid w:val="759B5BFF"/>
    <w:rsid w:val="75A44EF4"/>
    <w:rsid w:val="75F10B8C"/>
    <w:rsid w:val="76094035"/>
    <w:rsid w:val="76271066"/>
    <w:rsid w:val="76756BE7"/>
    <w:rsid w:val="76793F45"/>
    <w:rsid w:val="76B344CD"/>
    <w:rsid w:val="76FB48C2"/>
    <w:rsid w:val="770B4B5C"/>
    <w:rsid w:val="77162EED"/>
    <w:rsid w:val="776719F2"/>
    <w:rsid w:val="77B90E92"/>
    <w:rsid w:val="77C60085"/>
    <w:rsid w:val="77D61F94"/>
    <w:rsid w:val="77FA69E3"/>
    <w:rsid w:val="780A36CB"/>
    <w:rsid w:val="7843265A"/>
    <w:rsid w:val="78663B14"/>
    <w:rsid w:val="787C3AB9"/>
    <w:rsid w:val="788F09E7"/>
    <w:rsid w:val="78DD2859"/>
    <w:rsid w:val="78F73403"/>
    <w:rsid w:val="791B013F"/>
    <w:rsid w:val="791D0F7B"/>
    <w:rsid w:val="794252D9"/>
    <w:rsid w:val="79BC1EC7"/>
    <w:rsid w:val="79C1634F"/>
    <w:rsid w:val="79C46B51"/>
    <w:rsid w:val="79E906DA"/>
    <w:rsid w:val="7A3E119B"/>
    <w:rsid w:val="7A5A304A"/>
    <w:rsid w:val="7AFC60D6"/>
    <w:rsid w:val="7B081A9D"/>
    <w:rsid w:val="7B10162B"/>
    <w:rsid w:val="7B236977"/>
    <w:rsid w:val="7B5F67C8"/>
    <w:rsid w:val="7B602578"/>
    <w:rsid w:val="7B8732B5"/>
    <w:rsid w:val="7BFD5C79"/>
    <w:rsid w:val="7CA221F8"/>
    <w:rsid w:val="7CE03CED"/>
    <w:rsid w:val="7CF25884"/>
    <w:rsid w:val="7D3149F1"/>
    <w:rsid w:val="7D956C94"/>
    <w:rsid w:val="7DC31D62"/>
    <w:rsid w:val="7DD065B2"/>
    <w:rsid w:val="7DE97CBA"/>
    <w:rsid w:val="7E1F6BF8"/>
    <w:rsid w:val="7E5116D0"/>
    <w:rsid w:val="7EAC1CDF"/>
    <w:rsid w:val="7EBC6360"/>
    <w:rsid w:val="7F0F1D84"/>
    <w:rsid w:val="7F263BA7"/>
    <w:rsid w:val="7F2E4837"/>
    <w:rsid w:val="7F800DBE"/>
    <w:rsid w:val="7F9035D7"/>
    <w:rsid w:val="7FD21AC2"/>
    <w:rsid w:val="7FE66564"/>
    <w:rsid w:val="F2BF586C"/>
    <w:rsid w:val="FB7FB37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0">
    <w:name w:val="Default Paragraph Font"/>
    <w:link w:val="31"/>
    <w:unhideWhenUsed/>
    <w:qFormat/>
    <w:uiPriority w:val="1"/>
    <w:rPr>
      <w:rFonts w:ascii="仿宋_GB2312" w:eastAsia="仿宋_GB2312"/>
      <w:b/>
      <w:sz w:val="32"/>
      <w:szCs w:val="32"/>
    </w:rPr>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72"/>
    <w:qFormat/>
    <w:uiPriority w:val="0"/>
    <w:pPr>
      <w:jc w:val="left"/>
    </w:pPr>
    <w:rPr>
      <w:rFonts w:ascii="??_GB2312" w:hAnsi="??_GB2312" w:eastAsia="??_GB2312"/>
      <w:b/>
      <w:szCs w:val="24"/>
    </w:rPr>
  </w:style>
  <w:style w:type="paragraph" w:styleId="7">
    <w:name w:val="Body Text 3"/>
    <w:basedOn w:val="1"/>
    <w:link w:val="73"/>
    <w:qFormat/>
    <w:uiPriority w:val="0"/>
    <w:pPr>
      <w:spacing w:after="120"/>
    </w:pPr>
    <w:rPr>
      <w:rFonts w:ascii="??_GB2312" w:hAnsi="??_GB2312" w:eastAsia="??_GB2312"/>
      <w:b/>
      <w:sz w:val="16"/>
      <w:szCs w:val="16"/>
    </w:rPr>
  </w:style>
  <w:style w:type="paragraph" w:styleId="8">
    <w:name w:val="Body Text"/>
    <w:basedOn w:val="1"/>
    <w:next w:val="9"/>
    <w:qFormat/>
    <w:uiPriority w:val="0"/>
    <w:rPr>
      <w:sz w:val="32"/>
    </w:rPr>
  </w:style>
  <w:style w:type="paragraph" w:styleId="9">
    <w:name w:val="Body Text First Indent"/>
    <w:basedOn w:val="8"/>
    <w:qFormat/>
    <w:uiPriority w:val="0"/>
    <w:pPr>
      <w:autoSpaceDE w:val="0"/>
      <w:autoSpaceDN w:val="0"/>
      <w:adjustRightInd w:val="0"/>
      <w:spacing w:line="360" w:lineRule="auto"/>
      <w:ind w:firstLine="420"/>
    </w:pPr>
    <w:rPr>
      <w:rFonts w:ascii="宋体" w:hAnsi="Calibri"/>
      <w:szCs w:val="20"/>
      <w:lang w:val="zh-CN"/>
    </w:rPr>
  </w:style>
  <w:style w:type="paragraph" w:styleId="10">
    <w:name w:val="Body Text Indent"/>
    <w:basedOn w:val="1"/>
    <w:next w:val="11"/>
    <w:qFormat/>
    <w:uiPriority w:val="0"/>
    <w:pPr>
      <w:ind w:firstLine="645"/>
    </w:pPr>
    <w:rPr>
      <w:sz w:val="28"/>
    </w:rPr>
  </w:style>
  <w:style w:type="paragraph" w:customStyle="1" w:styleId="11">
    <w:name w:val="正文文本首行缩进 2"/>
    <w:basedOn w:val="10"/>
    <w:qFormat/>
    <w:uiPriority w:val="99"/>
    <w:pPr>
      <w:spacing w:line="200" w:lineRule="atLeast"/>
      <w:ind w:firstLine="420"/>
    </w:pPr>
    <w:rPr>
      <w:rFonts w:ascii="宋体" w:hAnsi="Courier New"/>
      <w:spacing w:val="-4"/>
      <w:sz w:val="18"/>
    </w:rPr>
  </w:style>
  <w:style w:type="paragraph" w:styleId="12">
    <w:name w:val="toc 3"/>
    <w:basedOn w:val="1"/>
    <w:next w:val="1"/>
    <w:qFormat/>
    <w:uiPriority w:val="0"/>
    <w:pPr>
      <w:widowControl/>
      <w:spacing w:after="100" w:line="276" w:lineRule="auto"/>
      <w:ind w:left="440"/>
      <w:jc w:val="left"/>
    </w:pPr>
    <w:rPr>
      <w:kern w:val="0"/>
      <w:sz w:val="22"/>
    </w:rPr>
  </w:style>
  <w:style w:type="paragraph" w:styleId="13">
    <w:name w:val="Plain Text"/>
    <w:basedOn w:val="1"/>
    <w:next w:val="1"/>
    <w:link w:val="74"/>
    <w:qFormat/>
    <w:uiPriority w:val="0"/>
    <w:rPr>
      <w:rFonts w:ascii="宋体" w:hAnsi="Courier New" w:eastAsia="??_GB2312"/>
      <w:b/>
      <w:szCs w:val="32"/>
    </w:rPr>
  </w:style>
  <w:style w:type="paragraph" w:styleId="14">
    <w:name w:val="Date"/>
    <w:basedOn w:val="1"/>
    <w:next w:val="1"/>
    <w:qFormat/>
    <w:uiPriority w:val="0"/>
    <w:pPr>
      <w:ind w:left="100"/>
    </w:pPr>
    <w:rPr>
      <w:sz w:val="28"/>
      <w:szCs w:val="20"/>
    </w:rPr>
  </w:style>
  <w:style w:type="paragraph" w:styleId="15">
    <w:name w:val="Body Text Indent 2"/>
    <w:basedOn w:val="1"/>
    <w:qFormat/>
    <w:uiPriority w:val="0"/>
    <w:pPr>
      <w:ind w:left="360"/>
    </w:pPr>
    <w:rPr>
      <w:rFonts w:ascii="宋体" w:hAnsi="宋体"/>
      <w:sz w:val="32"/>
    </w:rPr>
  </w:style>
  <w:style w:type="paragraph" w:styleId="16">
    <w:name w:val="Balloon Text"/>
    <w:basedOn w:val="1"/>
    <w:qFormat/>
    <w:uiPriority w:val="0"/>
    <w:rPr>
      <w:sz w:val="18"/>
      <w:szCs w:val="18"/>
    </w:rPr>
  </w:style>
  <w:style w:type="paragraph" w:styleId="17">
    <w:name w:val="footer"/>
    <w:basedOn w:val="1"/>
    <w:link w:val="100"/>
    <w:qFormat/>
    <w:uiPriority w:val="99"/>
    <w:pPr>
      <w:tabs>
        <w:tab w:val="center" w:pos="4153"/>
        <w:tab w:val="right" w:pos="8306"/>
      </w:tabs>
      <w:snapToGrid w:val="0"/>
      <w:jc w:val="left"/>
    </w:pPr>
    <w:rPr>
      <w:sz w:val="18"/>
      <w:szCs w:val="18"/>
    </w:rPr>
  </w:style>
  <w:style w:type="paragraph" w:styleId="18">
    <w:name w:val="header"/>
    <w:basedOn w:val="1"/>
    <w:link w:val="75"/>
    <w:qFormat/>
    <w:uiPriority w:val="0"/>
    <w:pPr>
      <w:pBdr>
        <w:bottom w:val="single" w:color="auto" w:sz="6" w:space="1"/>
      </w:pBdr>
      <w:tabs>
        <w:tab w:val="center" w:pos="4153"/>
        <w:tab w:val="right" w:pos="8306"/>
      </w:tabs>
      <w:snapToGrid w:val="0"/>
      <w:jc w:val="center"/>
    </w:pPr>
    <w:rPr>
      <w:rFonts w:ascii="??_GB2312" w:hAnsi="??_GB2312" w:eastAsia="??_GB2312"/>
      <w:b/>
      <w:sz w:val="18"/>
      <w:szCs w:val="18"/>
    </w:rPr>
  </w:style>
  <w:style w:type="paragraph" w:styleId="19">
    <w:name w:val="toc 1"/>
    <w:basedOn w:val="1"/>
    <w:next w:val="1"/>
    <w:qFormat/>
    <w:uiPriority w:val="39"/>
    <w:pPr>
      <w:widowControl/>
      <w:spacing w:after="100" w:line="276" w:lineRule="auto"/>
      <w:jc w:val="left"/>
    </w:pPr>
    <w:rPr>
      <w:kern w:val="0"/>
      <w:sz w:val="22"/>
    </w:rPr>
  </w:style>
  <w:style w:type="paragraph" w:styleId="20">
    <w:name w:val="Body Text Indent 3"/>
    <w:basedOn w:val="1"/>
    <w:qFormat/>
    <w:uiPriority w:val="0"/>
    <w:pPr>
      <w:ind w:left="420"/>
    </w:pPr>
    <w:rPr>
      <w:rFonts w:ascii="宋体" w:hAnsi="宋体"/>
      <w:sz w:val="32"/>
    </w:rPr>
  </w:style>
  <w:style w:type="paragraph" w:styleId="21">
    <w:name w:val="toc 2"/>
    <w:basedOn w:val="1"/>
    <w:next w:val="1"/>
    <w:qFormat/>
    <w:uiPriority w:val="0"/>
    <w:pPr>
      <w:widowControl/>
      <w:spacing w:after="100" w:line="276" w:lineRule="auto"/>
      <w:ind w:left="220"/>
      <w:jc w:val="left"/>
    </w:pPr>
    <w:rPr>
      <w:kern w:val="0"/>
      <w:sz w:val="22"/>
    </w:rPr>
  </w:style>
  <w:style w:type="paragraph" w:styleId="22">
    <w:name w:val="Body Text 2"/>
    <w:basedOn w:val="1"/>
    <w:qFormat/>
    <w:uiPriority w:val="0"/>
    <w:pPr>
      <w:spacing w:after="120" w:line="480" w:lineRule="auto"/>
    </w:pPr>
  </w:style>
  <w:style w:type="paragraph" w:styleId="23">
    <w:name w:val="HTML Preformatted"/>
    <w:basedOn w:val="1"/>
    <w:link w:val="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_GB2312"/>
      <w:b/>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jc w:val="center"/>
      <w:outlineLvl w:val="0"/>
    </w:pPr>
    <w:rPr>
      <w:rFonts w:ascii="Cambria" w:hAnsi="Cambria"/>
      <w:b/>
      <w:bCs/>
      <w:kern w:val="0"/>
      <w:sz w:val="32"/>
      <w:szCs w:val="32"/>
    </w:rPr>
  </w:style>
  <w:style w:type="paragraph" w:styleId="26">
    <w:name w:val="annotation subject"/>
    <w:basedOn w:val="6"/>
    <w:next w:val="6"/>
    <w:semiHidden/>
    <w:qFormat/>
    <w:uiPriority w:val="0"/>
    <w:rPr>
      <w:b w:val="0"/>
      <w:bCs/>
      <w:szCs w:val="22"/>
    </w:rPr>
  </w:style>
  <w:style w:type="paragraph" w:styleId="27">
    <w:name w:val="Body Text First Indent 2"/>
    <w:basedOn w:val="10"/>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 Char Char Char Char Char Char Char"/>
    <w:basedOn w:val="1"/>
    <w:link w:val="30"/>
    <w:qFormat/>
    <w:uiPriority w:val="0"/>
    <w:rPr>
      <w:rFonts w:ascii="仿宋_GB2312" w:eastAsia="仿宋_GB2312"/>
      <w:b/>
      <w:sz w:val="32"/>
      <w:szCs w:val="32"/>
    </w:rPr>
  </w:style>
  <w:style w:type="character" w:styleId="32">
    <w:name w:val="Strong"/>
    <w:qFormat/>
    <w:uiPriority w:val="0"/>
    <w:rPr>
      <w:rFonts w:ascii="??_GB2312" w:hAnsi="??_GB2312" w:eastAsia="??_GB2312" w:cs="宋体"/>
      <w:bCs/>
      <w:sz w:val="32"/>
      <w:szCs w:val="32"/>
    </w:rPr>
  </w:style>
  <w:style w:type="character" w:styleId="33">
    <w:name w:val="page number"/>
    <w:basedOn w:val="30"/>
    <w:qFormat/>
    <w:uiPriority w:val="0"/>
  </w:style>
  <w:style w:type="character" w:styleId="34">
    <w:name w:val="FollowedHyperlink"/>
    <w:qFormat/>
    <w:uiPriority w:val="99"/>
    <w:rPr>
      <w:rFonts w:ascii="??_GB2312" w:hAnsi="??_GB2312" w:eastAsia="??_GB2312" w:cs="宋体"/>
      <w:b/>
      <w:color w:val="800080"/>
      <w:sz w:val="32"/>
      <w:szCs w:val="32"/>
      <w:u w:val="single"/>
    </w:rPr>
  </w:style>
  <w:style w:type="character" w:styleId="35">
    <w:name w:val="Emphasis"/>
    <w:qFormat/>
    <w:uiPriority w:val="0"/>
    <w:rPr>
      <w:rFonts w:ascii="??_GB2312" w:hAnsi="??_GB2312" w:eastAsia="??_GB2312" w:cs="宋体"/>
      <w:b/>
      <w:i/>
      <w:sz w:val="32"/>
      <w:szCs w:val="32"/>
    </w:rPr>
  </w:style>
  <w:style w:type="character" w:styleId="36">
    <w:name w:val="Hyperlink"/>
    <w:qFormat/>
    <w:uiPriority w:val="99"/>
    <w:rPr>
      <w:rFonts w:ascii="??_GB2312" w:hAnsi="??_GB2312" w:eastAsia="??_GB2312" w:cs="宋体"/>
      <w:b/>
      <w:color w:val="0000FF"/>
      <w:sz w:val="32"/>
      <w:szCs w:val="32"/>
      <w:u w:val="single"/>
    </w:rPr>
  </w:style>
  <w:style w:type="character" w:styleId="37">
    <w:name w:val="annotation reference"/>
    <w:qFormat/>
    <w:uiPriority w:val="0"/>
    <w:rPr>
      <w:rFonts w:ascii="??_GB2312" w:hAnsi="??_GB2312" w:eastAsia="??_GB2312" w:cs="宋体"/>
      <w:b/>
      <w:sz w:val="21"/>
      <w:szCs w:val="21"/>
    </w:rPr>
  </w:style>
  <w:style w:type="paragraph" w:customStyle="1" w:styleId="38">
    <w:name w:val="[Normal]"/>
    <w:qFormat/>
    <w:uiPriority w:val="99"/>
    <w:rPr>
      <w:rFonts w:ascii="宋体" w:hAnsi="宋体" w:eastAsia="宋体" w:cs="宋体"/>
      <w:sz w:val="24"/>
      <w:szCs w:val="24"/>
      <w:lang w:val="zh-CN" w:eastAsia="zh-CN" w:bidi="ar-SA"/>
    </w:rPr>
  </w:style>
  <w:style w:type="paragraph" w:customStyle="1" w:styleId="39">
    <w:name w:val="Char Char4 Char"/>
    <w:basedOn w:val="1"/>
    <w:qFormat/>
    <w:uiPriority w:val="0"/>
    <w:rPr>
      <w:szCs w:val="21"/>
    </w:rPr>
  </w:style>
  <w:style w:type="paragraph" w:customStyle="1" w:styleId="40">
    <w:name w:val="正文2"/>
    <w:basedOn w:val="1"/>
    <w:link w:val="78"/>
    <w:qFormat/>
    <w:uiPriority w:val="0"/>
    <w:pPr>
      <w:spacing w:before="156" w:line="360" w:lineRule="auto"/>
      <w:ind w:firstLine="510" w:firstLineChars="200"/>
    </w:pPr>
    <w:rPr>
      <w:rFonts w:ascii="Calibri" w:hAnsi="Calibri"/>
      <w:sz w:val="24"/>
      <w:szCs w:val="20"/>
    </w:rPr>
  </w:style>
  <w:style w:type="paragraph" w:customStyle="1" w:styleId="41">
    <w:name w:val="No Spacing"/>
    <w:link w:val="94"/>
    <w:qFormat/>
    <w:uiPriority w:val="0"/>
    <w:rPr>
      <w:rFonts w:ascii="Times New Roman" w:hAnsi="Times New Roman" w:eastAsia="宋体" w:cs="Times New Roman"/>
      <w:sz w:val="22"/>
      <w:szCs w:val="22"/>
      <w:lang w:val="en-US" w:eastAsia="zh-CN" w:bidi="ar-SA"/>
    </w:rPr>
  </w:style>
  <w:style w:type="paragraph" w:customStyle="1" w:styleId="42">
    <w:name w:val="Char1"/>
    <w:basedOn w:val="1"/>
    <w:qFormat/>
    <w:uiPriority w:val="0"/>
    <w:rPr>
      <w:rFonts w:ascii="??_GB2312" w:hAnsi="??_GB2312" w:eastAsia="??_GB2312" w:cs="宋体"/>
      <w:b/>
      <w:sz w:val="32"/>
      <w:szCs w:val="32"/>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45">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46">
    <w:name w:val="普通(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47">
    <w:name w:val="Char2"/>
    <w:basedOn w:val="1"/>
    <w:qFormat/>
    <w:uiPriority w:val="0"/>
    <w:rPr>
      <w:rFonts w:ascii="仿宋_GB2312" w:eastAsia="仿宋_GB2312"/>
      <w:b/>
      <w:sz w:val="32"/>
      <w:szCs w:val="32"/>
    </w:rPr>
  </w:style>
  <w:style w:type="paragraph" w:customStyle="1" w:styleId="48">
    <w:name w:val="Char Char Char Char Char Char Char"/>
    <w:basedOn w:val="1"/>
    <w:qFormat/>
    <w:uiPriority w:val="0"/>
    <w:rPr>
      <w:rFonts w:ascii="仿宋_GB2312" w:eastAsia="仿宋_GB2312"/>
      <w:b/>
      <w:sz w:val="32"/>
      <w:szCs w:val="32"/>
    </w:rPr>
  </w:style>
  <w:style w:type="paragraph" w:customStyle="1" w:styleId="4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52">
    <w:name w:val="font7"/>
    <w:basedOn w:val="1"/>
    <w:qFormat/>
    <w:uiPriority w:val="0"/>
    <w:pPr>
      <w:widowControl/>
      <w:spacing w:before="100" w:beforeAutospacing="1" w:after="100" w:afterAutospacing="1"/>
      <w:jc w:val="left"/>
    </w:pPr>
    <w:rPr>
      <w:kern w:val="0"/>
      <w:sz w:val="20"/>
      <w:szCs w:val="20"/>
    </w:rPr>
  </w:style>
  <w:style w:type="paragraph" w:customStyle="1" w:styleId="53">
    <w:name w:val="styl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Char Char Char Char"/>
    <w:basedOn w:val="1"/>
    <w:qFormat/>
    <w:uiPriority w:val="0"/>
    <w:rPr>
      <w:rFonts w:ascii="Tahoma" w:hAnsi="Tahoma"/>
      <w:sz w:val="24"/>
      <w:szCs w:val="20"/>
    </w:rPr>
  </w:style>
  <w:style w:type="paragraph" w:customStyle="1" w:styleId="5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6">
    <w:name w:val="Char"/>
    <w:basedOn w:val="1"/>
    <w:qFormat/>
    <w:uiPriority w:val="0"/>
    <w:rPr>
      <w:rFonts w:ascii="Tahoma" w:hAnsi="Tahoma"/>
      <w:sz w:val="24"/>
      <w:szCs w:val="20"/>
    </w:rPr>
  </w:style>
  <w:style w:type="paragraph" w:customStyle="1" w:styleId="57">
    <w:name w:val="2"/>
    <w:basedOn w:val="1"/>
    <w:next w:val="1"/>
    <w:qFormat/>
    <w:uiPriority w:val="0"/>
    <w:rPr>
      <w:rFonts w:eastAsia="仿宋_GB2312"/>
      <w:sz w:val="18"/>
      <w:szCs w:val="20"/>
    </w:rPr>
  </w:style>
  <w:style w:type="paragraph" w:customStyle="1" w:styleId="58">
    <w:name w:val="默认段落字体 Para Char"/>
    <w:basedOn w:val="1"/>
    <w:qFormat/>
    <w:uiPriority w:val="0"/>
    <w:pPr>
      <w:adjustRightInd w:val="0"/>
      <w:spacing w:line="360" w:lineRule="atLeast"/>
      <w:textAlignment w:val="baseline"/>
    </w:pPr>
  </w:style>
  <w:style w:type="paragraph" w:customStyle="1" w:styleId="59">
    <w:name w:val="Char3"/>
    <w:basedOn w:val="1"/>
    <w:qFormat/>
    <w:uiPriority w:val="0"/>
    <w:rPr>
      <w:rFonts w:ascii="Tahoma" w:hAnsi="Tahoma"/>
      <w:sz w:val="24"/>
      <w:szCs w:val="20"/>
    </w:rPr>
  </w:style>
  <w:style w:type="paragraph" w:customStyle="1" w:styleId="60">
    <w:name w:val="_Style 43"/>
    <w:basedOn w:val="1"/>
    <w:qFormat/>
    <w:uiPriority w:val="0"/>
    <w:rPr>
      <w:rFonts w:ascii="Tahoma" w:hAnsi="Tahoma"/>
      <w:sz w:val="24"/>
      <w:szCs w:val="20"/>
    </w:rPr>
  </w:style>
  <w:style w:type="paragraph" w:customStyle="1" w:styleId="61">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
    <w:name w:val="Char21"/>
    <w:basedOn w:val="1"/>
    <w:qFormat/>
    <w:uiPriority w:val="0"/>
    <w:rPr>
      <w:rFonts w:ascii="仿宋_GB2312" w:eastAsia="仿宋_GB2312"/>
      <w:b/>
      <w:sz w:val="32"/>
      <w:szCs w:val="32"/>
    </w:rPr>
  </w:style>
  <w:style w:type="paragraph" w:customStyle="1" w:styleId="63">
    <w:name w:val="Char11"/>
    <w:basedOn w:val="1"/>
    <w:qFormat/>
    <w:uiPriority w:val="0"/>
  </w:style>
  <w:style w:type="paragraph" w:customStyle="1" w:styleId="64">
    <w:name w:val="Char Char Char"/>
    <w:basedOn w:val="1"/>
    <w:qFormat/>
    <w:uiPriority w:val="0"/>
  </w:style>
  <w:style w:type="paragraph" w:customStyle="1" w:styleId="6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66">
    <w:name w:val="Table Paragraph"/>
    <w:basedOn w:val="1"/>
    <w:qFormat/>
    <w:uiPriority w:val="1"/>
    <w:rPr>
      <w:rFonts w:ascii="宋体" w:hAnsi="宋体" w:cs="宋体"/>
      <w:lang w:val="zh-CN" w:bidi="zh-CN"/>
    </w:rPr>
  </w:style>
  <w:style w:type="paragraph" w:customStyle="1" w:styleId="67">
    <w:name w:val="_Style 7"/>
    <w:basedOn w:val="1"/>
    <w:qFormat/>
    <w:uiPriority w:val="0"/>
  </w:style>
  <w:style w:type="paragraph" w:customStyle="1" w:styleId="68">
    <w:name w:val="样式1"/>
    <w:basedOn w:val="2"/>
    <w:qFormat/>
    <w:uiPriority w:val="0"/>
    <w:pPr>
      <w:jc w:val="center"/>
    </w:pPr>
    <w:rPr>
      <w:rFonts w:eastAsia="黑体"/>
    </w:rPr>
  </w:style>
  <w:style w:type="paragraph" w:customStyle="1" w:styleId="69">
    <w:name w:val="正文格式"/>
    <w:basedOn w:val="1"/>
    <w:qFormat/>
    <w:uiPriority w:val="0"/>
    <w:pPr>
      <w:topLinePunct/>
      <w:ind w:firstLine="420" w:firstLineChars="200"/>
    </w:pPr>
    <w:rPr>
      <w:rFonts w:ascii="宋体" w:hAnsi="宋体"/>
      <w:bCs/>
      <w:szCs w:val="21"/>
    </w:rPr>
  </w:style>
  <w:style w:type="paragraph" w:customStyle="1" w:styleId="70">
    <w:name w:val="style17"/>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71">
    <w:name w:val=" Char"/>
    <w:basedOn w:val="1"/>
    <w:qFormat/>
    <w:uiPriority w:val="0"/>
    <w:rPr>
      <w:rFonts w:ascii="Tahoma" w:hAnsi="Tahoma"/>
      <w:sz w:val="24"/>
      <w:szCs w:val="20"/>
    </w:rPr>
  </w:style>
  <w:style w:type="character" w:customStyle="1" w:styleId="72">
    <w:name w:val="批注文字 Char"/>
    <w:link w:val="6"/>
    <w:qFormat/>
    <w:uiPriority w:val="0"/>
    <w:rPr>
      <w:rFonts w:ascii="??_GB2312" w:hAnsi="??_GB2312" w:eastAsia="??_GB2312" w:cs="宋体"/>
      <w:b/>
      <w:kern w:val="2"/>
      <w:sz w:val="21"/>
      <w:szCs w:val="24"/>
    </w:rPr>
  </w:style>
  <w:style w:type="character" w:customStyle="1" w:styleId="73">
    <w:name w:val="正文文本 3 Char"/>
    <w:link w:val="7"/>
    <w:qFormat/>
    <w:uiPriority w:val="0"/>
    <w:rPr>
      <w:rFonts w:ascii="??_GB2312" w:hAnsi="??_GB2312" w:eastAsia="??_GB2312" w:cs="宋体"/>
      <w:b/>
      <w:kern w:val="2"/>
      <w:sz w:val="16"/>
      <w:szCs w:val="16"/>
    </w:rPr>
  </w:style>
  <w:style w:type="character" w:customStyle="1" w:styleId="74">
    <w:name w:val="纯文本 Char"/>
    <w:link w:val="13"/>
    <w:qFormat/>
    <w:uiPriority w:val="0"/>
    <w:rPr>
      <w:rFonts w:ascii="宋体" w:hAnsi="Courier New" w:eastAsia="??_GB2312" w:cs="宋体"/>
      <w:b/>
      <w:kern w:val="2"/>
      <w:sz w:val="21"/>
      <w:szCs w:val="32"/>
    </w:rPr>
  </w:style>
  <w:style w:type="character" w:customStyle="1" w:styleId="75">
    <w:name w:val="页眉 Char"/>
    <w:link w:val="18"/>
    <w:qFormat/>
    <w:uiPriority w:val="0"/>
    <w:rPr>
      <w:rFonts w:ascii="??_GB2312" w:hAnsi="??_GB2312" w:eastAsia="??_GB2312" w:cs="宋体"/>
      <w:b/>
      <w:kern w:val="2"/>
      <w:sz w:val="18"/>
      <w:szCs w:val="18"/>
    </w:rPr>
  </w:style>
  <w:style w:type="character" w:customStyle="1" w:styleId="76">
    <w:name w:val="HTML 预设格式 Char"/>
    <w:link w:val="23"/>
    <w:qFormat/>
    <w:uiPriority w:val="99"/>
    <w:rPr>
      <w:rFonts w:ascii="Arial" w:hAnsi="Arial" w:eastAsia="??_GB2312" w:cs="Arial"/>
      <w:b/>
      <w:sz w:val="24"/>
      <w:szCs w:val="24"/>
    </w:rPr>
  </w:style>
  <w:style w:type="character" w:customStyle="1" w:styleId="77">
    <w:name w:val="标题 Char"/>
    <w:link w:val="25"/>
    <w:qFormat/>
    <w:uiPriority w:val="0"/>
    <w:rPr>
      <w:rFonts w:ascii="Cambria" w:hAnsi="Cambria" w:eastAsia="宋体" w:cs="Times New Roman"/>
      <w:b/>
      <w:bCs/>
      <w:sz w:val="32"/>
      <w:szCs w:val="32"/>
    </w:rPr>
  </w:style>
  <w:style w:type="character" w:customStyle="1" w:styleId="78">
    <w:name w:val="正文2 Char"/>
    <w:link w:val="40"/>
    <w:qFormat/>
    <w:uiPriority w:val="0"/>
    <w:rPr>
      <w:rFonts w:ascii="Calibri" w:hAnsi="Calibri" w:eastAsia="宋体"/>
      <w:kern w:val="2"/>
      <w:sz w:val="24"/>
      <w:lang w:val="en-US" w:eastAsia="zh-CN" w:bidi="ar-SA"/>
    </w:rPr>
  </w:style>
  <w:style w:type="character" w:customStyle="1" w:styleId="79">
    <w:name w:val="font171"/>
    <w:qFormat/>
    <w:uiPriority w:val="0"/>
    <w:rPr>
      <w:rFonts w:ascii="Arial" w:hAnsi="Arial" w:eastAsia="??_GB2312" w:cs="Arial"/>
      <w:b/>
      <w:color w:val="000000"/>
      <w:sz w:val="20"/>
      <w:szCs w:val="20"/>
      <w:u w:val="none"/>
    </w:rPr>
  </w:style>
  <w:style w:type="character" w:customStyle="1" w:styleId="80">
    <w:name w:val="font81"/>
    <w:qFormat/>
    <w:uiPriority w:val="0"/>
    <w:rPr>
      <w:rFonts w:hint="eastAsia" w:ascii="宋体" w:hAnsi="宋体" w:eastAsia="宋体" w:cs="宋体"/>
      <w:b/>
      <w:color w:val="000000"/>
      <w:sz w:val="22"/>
      <w:szCs w:val="22"/>
      <w:u w:val="none"/>
    </w:rPr>
  </w:style>
  <w:style w:type="character" w:customStyle="1" w:styleId="81">
    <w:name w:val="font01"/>
    <w:basedOn w:val="30"/>
    <w:qFormat/>
    <w:uiPriority w:val="0"/>
    <w:rPr>
      <w:rFonts w:hint="default" w:ascii="MingLiU" w:hAnsi="MingLiU" w:eastAsia="MingLiU" w:cs="MingLiU"/>
      <w:color w:val="000000"/>
      <w:sz w:val="20"/>
      <w:szCs w:val="20"/>
      <w:u w:val="none"/>
    </w:rPr>
  </w:style>
  <w:style w:type="character" w:customStyle="1" w:styleId="82">
    <w:name w:val="font201"/>
    <w:qFormat/>
    <w:uiPriority w:val="0"/>
    <w:rPr>
      <w:rFonts w:hint="eastAsia" w:ascii="宋体" w:hAnsi="宋体" w:eastAsia="宋体" w:cs="宋体"/>
      <w:b/>
      <w:color w:val="000000"/>
      <w:sz w:val="20"/>
      <w:szCs w:val="20"/>
      <w:u w:val="none"/>
    </w:rPr>
  </w:style>
  <w:style w:type="character" w:customStyle="1" w:styleId="83">
    <w:name w:val="fontstyle11"/>
    <w:qFormat/>
    <w:uiPriority w:val="0"/>
    <w:rPr>
      <w:rFonts w:hint="default" w:ascii="SiemensSans-Roman" w:hAnsi="SiemensSans-Roman"/>
      <w:color w:val="000000"/>
      <w:sz w:val="22"/>
      <w:szCs w:val="22"/>
    </w:rPr>
  </w:style>
  <w:style w:type="character" w:customStyle="1" w:styleId="84">
    <w:name w:val="Char Char5"/>
    <w:qFormat/>
    <w:uiPriority w:val="0"/>
    <w:rPr>
      <w:rFonts w:ascii="??_GB2312" w:hAnsi="??_GB2312" w:eastAsia="??_GB2312" w:cs="宋体"/>
      <w:b/>
      <w:kern w:val="2"/>
      <w:sz w:val="21"/>
      <w:szCs w:val="24"/>
    </w:rPr>
  </w:style>
  <w:style w:type="character" w:customStyle="1" w:styleId="85">
    <w:name w:val="font161"/>
    <w:qFormat/>
    <w:uiPriority w:val="0"/>
    <w:rPr>
      <w:rFonts w:hint="eastAsia" w:ascii="楷体" w:hAnsi="楷体" w:eastAsia="楷体" w:cs="楷体"/>
      <w:b/>
      <w:color w:val="000000"/>
      <w:sz w:val="18"/>
      <w:szCs w:val="18"/>
      <w:u w:val="none"/>
    </w:rPr>
  </w:style>
  <w:style w:type="character" w:customStyle="1" w:styleId="86">
    <w:name w:val="font61"/>
    <w:qFormat/>
    <w:uiPriority w:val="0"/>
    <w:rPr>
      <w:rFonts w:hint="eastAsia" w:ascii="宋体" w:hAnsi="宋体" w:eastAsia="宋体" w:cs="宋体"/>
      <w:color w:val="FF0000"/>
      <w:sz w:val="20"/>
      <w:szCs w:val="20"/>
      <w:u w:val="none"/>
    </w:rPr>
  </w:style>
  <w:style w:type="character" w:customStyle="1" w:styleId="87">
    <w:name w:val="font31"/>
    <w:qFormat/>
    <w:uiPriority w:val="0"/>
    <w:rPr>
      <w:rFonts w:hint="eastAsia" w:ascii="楷体" w:hAnsi="楷体" w:eastAsia="楷体" w:cs="楷体"/>
      <w:b/>
      <w:color w:val="000000"/>
      <w:sz w:val="20"/>
      <w:szCs w:val="20"/>
      <w:u w:val="none"/>
    </w:rPr>
  </w:style>
  <w:style w:type="character" w:customStyle="1" w:styleId="88">
    <w:name w:val="纯文本 Char1"/>
    <w:qFormat/>
    <w:uiPriority w:val="0"/>
    <w:rPr>
      <w:rFonts w:ascii="宋体" w:hAnsi="Courier New" w:eastAsia="宋体" w:cs="Times New Roman"/>
      <w:b/>
      <w:sz w:val="32"/>
      <w:szCs w:val="20"/>
    </w:rPr>
  </w:style>
  <w:style w:type="character" w:customStyle="1" w:styleId="89">
    <w:name w:val="fontstyle21"/>
    <w:qFormat/>
    <w:uiPriority w:val="0"/>
    <w:rPr>
      <w:rFonts w:hint="default" w:ascii="SiemensSans-Roman" w:hAnsi="SiemensSans-Roman"/>
      <w:color w:val="000000"/>
      <w:sz w:val="16"/>
      <w:szCs w:val="16"/>
    </w:rPr>
  </w:style>
  <w:style w:type="character" w:customStyle="1" w:styleId="90">
    <w:name w:val="style191"/>
    <w:qFormat/>
    <w:uiPriority w:val="0"/>
    <w:rPr>
      <w:rFonts w:ascii="??_GB2312" w:hAnsi="??_GB2312" w:eastAsia="??_GB2312" w:cs="宋体"/>
      <w:b/>
      <w:bCs/>
      <w:sz w:val="21"/>
      <w:szCs w:val="21"/>
    </w:rPr>
  </w:style>
  <w:style w:type="character" w:customStyle="1" w:styleId="91">
    <w:name w:val="纯文本 Char2"/>
    <w:qFormat/>
    <w:uiPriority w:val="0"/>
    <w:rPr>
      <w:rFonts w:ascii="宋体" w:hAnsi="Courier New" w:eastAsia="??_GB2312" w:cs="宋体"/>
      <w:b/>
      <w:kern w:val="2"/>
      <w:sz w:val="21"/>
      <w:szCs w:val="32"/>
    </w:rPr>
  </w:style>
  <w:style w:type="character" w:customStyle="1" w:styleId="92">
    <w:name w:val="font21"/>
    <w:qFormat/>
    <w:uiPriority w:val="0"/>
    <w:rPr>
      <w:rFonts w:hint="eastAsia" w:ascii="宋体" w:hAnsi="宋体" w:eastAsia="宋体" w:cs="宋体"/>
      <w:b/>
      <w:color w:val="000000"/>
      <w:sz w:val="24"/>
      <w:szCs w:val="24"/>
      <w:u w:val="none"/>
      <w:vertAlign w:val="subscript"/>
    </w:rPr>
  </w:style>
  <w:style w:type="character" w:customStyle="1" w:styleId="93">
    <w:name w:val="font41"/>
    <w:basedOn w:val="30"/>
    <w:qFormat/>
    <w:uiPriority w:val="0"/>
    <w:rPr>
      <w:rFonts w:ascii="Times New Roman" w:hAnsi="Times New Roman" w:eastAsia="??_GB2312" w:cs="Times New Roman"/>
      <w:color w:val="000000"/>
      <w:sz w:val="24"/>
      <w:szCs w:val="24"/>
      <w:u w:val="none"/>
    </w:rPr>
  </w:style>
  <w:style w:type="character" w:customStyle="1" w:styleId="94">
    <w:name w:val="无间隔 Char"/>
    <w:link w:val="41"/>
    <w:qFormat/>
    <w:uiPriority w:val="0"/>
    <w:rPr>
      <w:sz w:val="22"/>
      <w:szCs w:val="22"/>
      <w:lang w:val="en-US" w:eastAsia="zh-CN" w:bidi="ar-SA"/>
    </w:rPr>
  </w:style>
  <w:style w:type="character" w:customStyle="1" w:styleId="95">
    <w:name w:val="font151"/>
    <w:qFormat/>
    <w:uiPriority w:val="0"/>
    <w:rPr>
      <w:rFonts w:hint="eastAsia" w:ascii="楷体" w:hAnsi="楷体" w:eastAsia="楷体" w:cs="楷体"/>
      <w:b/>
      <w:color w:val="000000"/>
      <w:sz w:val="22"/>
      <w:szCs w:val="22"/>
      <w:u w:val="none"/>
      <w:vertAlign w:val="superscript"/>
    </w:rPr>
  </w:style>
  <w:style w:type="character" w:customStyle="1" w:styleId="96">
    <w:name w:val="font211"/>
    <w:qFormat/>
    <w:uiPriority w:val="0"/>
    <w:rPr>
      <w:rFonts w:hint="eastAsia" w:ascii="楷体" w:hAnsi="楷体" w:eastAsia="楷体" w:cs="楷体"/>
      <w:b/>
      <w:color w:val="000000"/>
      <w:sz w:val="18"/>
      <w:szCs w:val="18"/>
      <w:u w:val="none"/>
    </w:rPr>
  </w:style>
  <w:style w:type="character" w:customStyle="1" w:styleId="97">
    <w:name w:val="style171"/>
    <w:qFormat/>
    <w:uiPriority w:val="0"/>
    <w:rPr>
      <w:rFonts w:ascii="??_GB2312" w:hAnsi="??_GB2312" w:eastAsia="??_GB2312" w:cs="宋体"/>
      <w:b/>
      <w:bCs/>
      <w:color w:val="000000"/>
      <w:sz w:val="32"/>
      <w:szCs w:val="32"/>
    </w:rPr>
  </w:style>
  <w:style w:type="character" w:customStyle="1" w:styleId="98">
    <w:name w:val="font191"/>
    <w:qFormat/>
    <w:uiPriority w:val="0"/>
    <w:rPr>
      <w:rFonts w:hint="eastAsia" w:ascii="楷体" w:hAnsi="楷体" w:eastAsia="楷体" w:cs="楷体"/>
      <w:b/>
      <w:color w:val="000000"/>
      <w:sz w:val="20"/>
      <w:szCs w:val="20"/>
      <w:u w:val="none"/>
    </w:rPr>
  </w:style>
  <w:style w:type="character" w:customStyle="1" w:styleId="99">
    <w:name w:val="style2 bin1"/>
    <w:basedOn w:val="30"/>
    <w:qFormat/>
    <w:uiPriority w:val="0"/>
  </w:style>
  <w:style w:type="character" w:customStyle="1" w:styleId="100">
    <w:name w:val="页脚 Char"/>
    <w:basedOn w:val="30"/>
    <w:link w:val="1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p\webword_839884880\C:\Users\admin\Desktop\&#39640;&#328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嘉澍监测</Company>
  <Pages>41</Pages>
  <Words>18662</Words>
  <Characters>19762</Characters>
  <Lines>167</Lines>
  <Paragraphs>47</Paragraphs>
  <TotalTime>38</TotalTime>
  <ScaleCrop>false</ScaleCrop>
  <LinksUpToDate>false</LinksUpToDate>
  <CharactersWithSpaces>21586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2022-01-17T16:39:00Z</dcterms:created>
  <dc:creator>WZ-刘佩沛</dc:creator>
  <cp:lastModifiedBy>PUMA</cp:lastModifiedBy>
  <cp:lastPrinted>2020-12-14T09:48:00Z</cp:lastPrinted>
  <dcterms:modified xsi:type="dcterms:W3CDTF">2025-02-11T03:41:04Z</dcterms:modified>
  <dc:title>机电类物资招标文件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064B9E2A0C344710907449B26A6BBE39_13</vt:lpwstr>
  </property>
  <property fmtid="{D5CDD505-2E9C-101B-9397-08002B2CF9AE}" pid="4" name="KSOTemplateDocerSaveRecord">
    <vt:lpwstr>eyJoZGlkIjoiMTAxMDE2YzRjZTAzNjFmMGJhOWU1Mjk5ZTk4YTk3OTUiLCJ1c2VySWQiOiIxMTI3OTgyOTY3In0=</vt:lpwstr>
  </property>
</Properties>
</file>