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宋体" w:hAnsi="宋体" w:eastAsia="宋体" w:cs="宋体"/>
          <w:b/>
          <w:bCs/>
          <w:color w:val="000000"/>
          <w:sz w:val="72"/>
          <w:szCs w:val="72"/>
          <w:highlight w:val="none"/>
          <w:lang w:eastAsia="zh-CN"/>
        </w:rPr>
      </w:pPr>
    </w:p>
    <w:p>
      <w:pPr>
        <w:adjustRightInd/>
        <w:spacing w:line="360" w:lineRule="auto"/>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宁新村安置房（潮遇宁新里）装修垃圾清运处置项目</w:t>
      </w:r>
    </w:p>
    <w:p>
      <w:pPr>
        <w:adjustRightInd/>
        <w:spacing w:line="360" w:lineRule="auto"/>
        <w:jc w:val="center"/>
        <w:rPr>
          <w:rFonts w:hint="eastAsia" w:ascii="宋体" w:hAnsi="宋体" w:eastAsia="宋体" w:cs="宋体"/>
          <w:b/>
          <w:bCs/>
          <w:color w:val="000000"/>
          <w:sz w:val="52"/>
          <w:szCs w:val="52"/>
          <w:highlight w:val="none"/>
        </w:rPr>
      </w:pPr>
    </w:p>
    <w:p>
      <w:pPr>
        <w:adjustRightInd/>
        <w:spacing w:line="360" w:lineRule="auto"/>
        <w:jc w:val="center"/>
        <w:rPr>
          <w:rFonts w:hint="eastAsia" w:ascii="宋体" w:hAnsi="宋体" w:eastAsia="宋体" w:cs="宋体"/>
          <w:b/>
          <w:bCs/>
          <w:color w:val="000000"/>
          <w:sz w:val="52"/>
          <w:szCs w:val="52"/>
          <w:highlight w:val="none"/>
        </w:rPr>
      </w:pPr>
      <w:r>
        <w:rPr>
          <w:rFonts w:hint="eastAsia" w:ascii="宋体" w:hAnsi="宋体" w:eastAsia="宋体" w:cs="宋体"/>
          <w:b/>
          <w:bCs/>
          <w:color w:val="000000"/>
          <w:sz w:val="52"/>
          <w:szCs w:val="52"/>
          <w:highlight w:val="none"/>
        </w:rPr>
        <w:t>公开竞争文件</w:t>
      </w:r>
    </w:p>
    <w:p>
      <w:pPr>
        <w:adjustRightInd/>
        <w:spacing w:line="360" w:lineRule="auto"/>
        <w:jc w:val="center"/>
        <w:rPr>
          <w:rFonts w:hint="eastAsia" w:ascii="宋体" w:hAnsi="宋体" w:eastAsia="宋体" w:cs="宋体"/>
          <w:b/>
          <w:color w:val="000000"/>
          <w:sz w:val="44"/>
          <w:szCs w:val="44"/>
          <w:highlight w:val="none"/>
        </w:rPr>
      </w:pPr>
    </w:p>
    <w:p>
      <w:pPr>
        <w:snapToGrid w:val="0"/>
        <w:spacing w:line="360" w:lineRule="auto"/>
        <w:jc w:val="center"/>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交易编号：</w:t>
      </w:r>
      <w:r>
        <w:rPr>
          <w:rFonts w:hint="eastAsia" w:ascii="宋体" w:hAnsi="宋体" w:eastAsia="宋体" w:cs="宋体"/>
          <w:b/>
          <w:bCs/>
          <w:color w:val="000000"/>
          <w:sz w:val="30"/>
          <w:szCs w:val="30"/>
          <w:highlight w:val="none"/>
          <w:lang w:val="en-US" w:eastAsia="zh-CN"/>
        </w:rPr>
        <w:t>萧开企采（2024）41号</w:t>
      </w:r>
    </w:p>
    <w:p>
      <w:pPr>
        <w:snapToGrid w:val="0"/>
        <w:spacing w:line="360" w:lineRule="auto"/>
        <w:jc w:val="center"/>
        <w:rPr>
          <w:rFonts w:hint="eastAsia" w:ascii="宋体" w:hAnsi="宋体" w:eastAsia="宋体" w:cs="宋体"/>
          <w:b/>
          <w:bCs/>
          <w:color w:val="000000"/>
          <w:sz w:val="30"/>
          <w:szCs w:val="30"/>
          <w:highlight w:val="none"/>
        </w:rPr>
      </w:pPr>
    </w:p>
    <w:p>
      <w:pPr>
        <w:snapToGrid w:val="0"/>
        <w:spacing w:line="360" w:lineRule="auto"/>
        <w:jc w:val="center"/>
        <w:rPr>
          <w:rFonts w:hint="eastAsia" w:ascii="宋体" w:hAnsi="宋体" w:eastAsia="宋体" w:cs="宋体"/>
          <w:b/>
          <w:bCs/>
          <w:color w:val="000000"/>
          <w:sz w:val="30"/>
          <w:szCs w:val="30"/>
          <w:highlight w:val="none"/>
          <w:lang w:val="en-US" w:eastAsia="zh-CN"/>
        </w:rPr>
      </w:pPr>
    </w:p>
    <w:p>
      <w:pPr>
        <w:adjustRightInd/>
        <w:spacing w:line="360" w:lineRule="auto"/>
        <w:rPr>
          <w:rFonts w:hint="eastAsia" w:ascii="宋体" w:hAnsi="宋体" w:eastAsia="宋体" w:cs="宋体"/>
          <w:color w:val="000000"/>
          <w:sz w:val="28"/>
          <w:szCs w:val="20"/>
          <w:highlight w:val="none"/>
        </w:rPr>
      </w:pPr>
    </w:p>
    <w:p>
      <w:pPr>
        <w:spacing w:line="360" w:lineRule="auto"/>
        <w:jc w:val="center"/>
        <w:rPr>
          <w:rFonts w:hint="eastAsia" w:ascii="宋体" w:hAnsi="宋体" w:eastAsia="宋体" w:cs="宋体"/>
          <w:b/>
          <w:color w:val="000000"/>
          <w:sz w:val="44"/>
          <w:szCs w:val="44"/>
          <w:highlight w:val="none"/>
        </w:rPr>
      </w:pPr>
      <w:r>
        <w:rPr>
          <w:rFonts w:hint="eastAsia" w:ascii="宋体" w:hAnsi="宋体" w:eastAsia="宋体" w:cs="宋体"/>
          <w:b/>
          <w:color w:val="000000"/>
          <w:sz w:val="44"/>
          <w:szCs w:val="44"/>
          <w:highlight w:val="none"/>
        </w:rPr>
        <w:t xml:space="preserve"> </w:t>
      </w:r>
    </w:p>
    <w:p>
      <w:pPr>
        <w:spacing w:line="360" w:lineRule="auto"/>
        <w:jc w:val="center"/>
        <w:rPr>
          <w:rFonts w:hint="eastAsia" w:ascii="宋体" w:hAnsi="宋体" w:eastAsia="宋体" w:cs="宋体"/>
          <w:b/>
          <w:color w:val="000000"/>
          <w:sz w:val="44"/>
          <w:szCs w:val="44"/>
          <w:highlight w:val="none"/>
        </w:rPr>
      </w:pPr>
    </w:p>
    <w:p>
      <w:pPr>
        <w:pStyle w:val="24"/>
        <w:rPr>
          <w:rFonts w:hint="eastAsia" w:ascii="宋体" w:hAnsi="宋体" w:eastAsia="宋体" w:cs="宋体"/>
          <w:color w:val="000000"/>
          <w:highlight w:val="none"/>
        </w:rPr>
      </w:pPr>
    </w:p>
    <w:p>
      <w:pPr>
        <w:pStyle w:val="24"/>
        <w:rPr>
          <w:rFonts w:hint="eastAsia" w:ascii="宋体" w:hAnsi="宋体" w:eastAsia="宋体" w:cs="宋体"/>
          <w:color w:val="000000"/>
          <w:highlight w:val="none"/>
        </w:rPr>
      </w:pPr>
    </w:p>
    <w:p>
      <w:pPr>
        <w:pStyle w:val="24"/>
        <w:rPr>
          <w:rFonts w:hint="eastAsia" w:ascii="宋体" w:hAnsi="宋体" w:eastAsia="宋体" w:cs="宋体"/>
          <w:color w:val="000000"/>
          <w:highlight w:val="none"/>
        </w:rPr>
      </w:pPr>
    </w:p>
    <w:p>
      <w:pPr>
        <w:pStyle w:val="25"/>
        <w:ind w:firstLine="0"/>
        <w:rPr>
          <w:rFonts w:hint="eastAsia" w:ascii="宋体" w:hAnsi="宋体" w:eastAsia="宋体" w:cs="宋体"/>
          <w:color w:val="000000"/>
          <w:highlight w:val="none"/>
          <w:lang w:eastAsia="zh-CN"/>
        </w:rPr>
      </w:pPr>
    </w:p>
    <w:p>
      <w:pPr>
        <w:rPr>
          <w:rFonts w:hint="eastAsia" w:ascii="宋体" w:hAnsi="宋体" w:eastAsia="宋体" w:cs="宋体"/>
          <w:color w:val="000000"/>
          <w:highlight w:val="none"/>
          <w:lang w:eastAsia="zh-CN"/>
        </w:rPr>
      </w:pPr>
    </w:p>
    <w:p>
      <w:pPr>
        <w:rPr>
          <w:rFonts w:hint="eastAsia" w:ascii="宋体" w:hAnsi="宋体" w:eastAsia="宋体" w:cs="宋体"/>
          <w:color w:val="000000"/>
          <w:highlight w:val="none"/>
          <w:lang w:eastAsia="zh-CN"/>
        </w:rPr>
      </w:pPr>
    </w:p>
    <w:p>
      <w:pPr>
        <w:spacing w:line="360" w:lineRule="auto"/>
        <w:jc w:val="center"/>
        <w:rPr>
          <w:rFonts w:hint="eastAsia" w:ascii="宋体" w:hAnsi="宋体" w:eastAsia="宋体" w:cs="宋体"/>
          <w:b/>
          <w:color w:val="000000"/>
          <w:spacing w:val="-23"/>
          <w:sz w:val="32"/>
          <w:szCs w:val="30"/>
          <w:highlight w:val="none"/>
          <w:lang w:val="en-US" w:eastAsia="zh-CN"/>
        </w:rPr>
      </w:pPr>
      <w:r>
        <w:rPr>
          <w:rFonts w:hint="eastAsia" w:ascii="宋体" w:hAnsi="宋体" w:eastAsia="宋体" w:cs="宋体"/>
          <w:b/>
          <w:color w:val="000000"/>
          <w:spacing w:val="-23"/>
          <w:sz w:val="32"/>
          <w:szCs w:val="30"/>
          <w:highlight w:val="none"/>
          <w:lang w:val="en-US" w:eastAsia="zh-CN"/>
        </w:rPr>
        <w:t xml:space="preserve">  </w:t>
      </w:r>
    </w:p>
    <w:p>
      <w:pPr>
        <w:rPr>
          <w:rFonts w:hint="eastAsia" w:ascii="宋体" w:hAnsi="宋体" w:eastAsia="宋体" w:cs="宋体"/>
          <w:highlight w:val="none"/>
          <w:lang w:val="en-US" w:eastAsia="zh-CN"/>
        </w:rPr>
      </w:pPr>
    </w:p>
    <w:p>
      <w:pPr>
        <w:spacing w:line="360" w:lineRule="auto"/>
        <w:jc w:val="center"/>
        <w:rPr>
          <w:rFonts w:hint="eastAsia" w:ascii="宋体" w:hAnsi="宋体" w:eastAsia="宋体" w:cs="宋体"/>
          <w:b/>
          <w:color w:val="000000"/>
          <w:spacing w:val="-34"/>
          <w:sz w:val="32"/>
          <w:szCs w:val="30"/>
          <w:highlight w:val="none"/>
          <w:lang w:val="en-US" w:eastAsia="zh-CN"/>
        </w:rPr>
      </w:pPr>
      <w:r>
        <w:rPr>
          <w:rFonts w:hint="eastAsia" w:ascii="宋体" w:hAnsi="宋体" w:eastAsia="宋体" w:cs="宋体"/>
          <w:b/>
          <w:color w:val="000000"/>
          <w:spacing w:val="-23"/>
          <w:sz w:val="32"/>
          <w:szCs w:val="30"/>
          <w:highlight w:val="none"/>
        </w:rPr>
        <w:t>交易发起人</w:t>
      </w:r>
      <w:r>
        <w:rPr>
          <w:rFonts w:hint="eastAsia" w:ascii="宋体" w:hAnsi="宋体" w:eastAsia="宋体" w:cs="宋体"/>
          <w:b/>
          <w:color w:val="000000"/>
          <w:spacing w:val="-34"/>
          <w:sz w:val="32"/>
          <w:szCs w:val="30"/>
          <w:highlight w:val="none"/>
        </w:rPr>
        <w:t>：</w:t>
      </w:r>
      <w:r>
        <w:rPr>
          <w:rFonts w:hint="eastAsia" w:ascii="宋体" w:hAnsi="宋体" w:eastAsia="宋体" w:cs="宋体"/>
          <w:b/>
          <w:color w:val="000000"/>
          <w:spacing w:val="-17"/>
          <w:sz w:val="32"/>
          <w:szCs w:val="30"/>
          <w:highlight w:val="none"/>
          <w:lang w:val="en-US" w:eastAsia="zh-CN"/>
        </w:rPr>
        <w:t>杭州金开颐和物业有限公司</w:t>
      </w:r>
    </w:p>
    <w:p>
      <w:pPr>
        <w:spacing w:line="360" w:lineRule="auto"/>
        <w:ind w:firstLine="275" w:firstLineChars="100"/>
        <w:jc w:val="center"/>
        <w:rPr>
          <w:rFonts w:hint="eastAsia" w:ascii="宋体" w:hAnsi="宋体" w:eastAsia="宋体" w:cs="宋体"/>
          <w:b/>
          <w:color w:val="000000"/>
          <w:spacing w:val="-23"/>
          <w:sz w:val="32"/>
          <w:szCs w:val="30"/>
          <w:highlight w:val="none"/>
        </w:rPr>
      </w:pPr>
      <w:r>
        <w:rPr>
          <w:rFonts w:hint="eastAsia" w:ascii="宋体" w:hAnsi="宋体" w:eastAsia="宋体" w:cs="宋体"/>
          <w:b/>
          <w:color w:val="000000"/>
          <w:spacing w:val="-23"/>
          <w:sz w:val="32"/>
          <w:szCs w:val="30"/>
          <w:highlight w:val="none"/>
        </w:rPr>
        <w:t>代理机构：浙江省房地产管理咨询有限公司</w:t>
      </w:r>
    </w:p>
    <w:p>
      <w:pPr>
        <w:spacing w:line="360" w:lineRule="auto"/>
        <w:jc w:val="center"/>
        <w:rPr>
          <w:rFonts w:hint="eastAsia" w:ascii="宋体" w:hAnsi="宋体" w:eastAsia="宋体" w:cs="宋体"/>
          <w:b/>
          <w:color w:val="000000"/>
          <w:spacing w:val="-23"/>
          <w:sz w:val="32"/>
          <w:szCs w:val="30"/>
          <w:highlight w:val="none"/>
          <w:lang w:val="en-US" w:eastAsia="zh-CN"/>
        </w:rPr>
      </w:pPr>
      <w:r>
        <w:rPr>
          <w:rFonts w:hint="eastAsia" w:ascii="宋体" w:hAnsi="宋体" w:eastAsia="宋体" w:cs="宋体"/>
          <w:b/>
          <w:color w:val="000000"/>
          <w:spacing w:val="-23"/>
          <w:sz w:val="32"/>
          <w:szCs w:val="30"/>
          <w:highlight w:val="none"/>
          <w:lang w:val="en-US" w:eastAsia="zh-CN"/>
        </w:rPr>
        <w:t>二〇二四年</w:t>
      </w:r>
      <w:r>
        <w:rPr>
          <w:rFonts w:hint="eastAsia" w:ascii="宋体" w:hAnsi="宋体" w:cs="宋体"/>
          <w:b/>
          <w:color w:val="000000"/>
          <w:spacing w:val="-23"/>
          <w:sz w:val="32"/>
          <w:szCs w:val="30"/>
          <w:highlight w:val="none"/>
          <w:lang w:val="en-US" w:eastAsia="zh-CN"/>
        </w:rPr>
        <w:t>八</w:t>
      </w:r>
      <w:r>
        <w:rPr>
          <w:rFonts w:hint="eastAsia" w:ascii="宋体" w:hAnsi="宋体" w:eastAsia="宋体" w:cs="宋体"/>
          <w:b/>
          <w:color w:val="000000"/>
          <w:spacing w:val="-23"/>
          <w:sz w:val="32"/>
          <w:szCs w:val="30"/>
          <w:highlight w:val="none"/>
          <w:lang w:val="en-US" w:eastAsia="zh-CN"/>
        </w:rPr>
        <w:t>月</w:t>
      </w:r>
    </w:p>
    <w:p>
      <w:pPr>
        <w:pStyle w:val="7"/>
        <w:rPr>
          <w:rFonts w:hint="eastAsia" w:ascii="宋体" w:hAnsi="宋体" w:eastAsia="宋体" w:cs="宋体"/>
          <w:color w:val="000000"/>
          <w:highlight w:val="none"/>
          <w:lang w:val="en-US"/>
        </w:rPr>
      </w:pPr>
    </w:p>
    <w:p>
      <w:pPr>
        <w:pStyle w:val="8"/>
        <w:rPr>
          <w:rFonts w:hint="eastAsia" w:ascii="宋体" w:hAnsi="宋体" w:eastAsia="宋体" w:cs="宋体"/>
          <w:color w:val="000000"/>
          <w:highlight w:val="none"/>
          <w:lang w:val="en-US"/>
        </w:rPr>
      </w:pPr>
    </w:p>
    <w:p>
      <w:pPr>
        <w:pStyle w:val="8"/>
        <w:rPr>
          <w:rFonts w:hint="eastAsia" w:ascii="宋体" w:hAnsi="宋体" w:eastAsia="宋体" w:cs="宋体"/>
          <w:color w:val="000000"/>
          <w:highlight w:val="none"/>
          <w:lang w:val="en-US"/>
        </w:rPr>
      </w:pPr>
    </w:p>
    <w:p>
      <w:pPr>
        <w:pStyle w:val="9"/>
        <w:rPr>
          <w:rFonts w:hint="eastAsia" w:ascii="宋体" w:hAnsi="宋体" w:eastAsia="宋体" w:cs="宋体"/>
          <w:color w:val="000000"/>
          <w:highlight w:val="none"/>
        </w:rPr>
      </w:pPr>
    </w:p>
    <w:p>
      <w:pPr>
        <w:jc w:val="center"/>
        <w:rPr>
          <w:rFonts w:hint="eastAsia" w:ascii="宋体" w:hAnsi="宋体" w:eastAsia="宋体" w:cs="宋体"/>
          <w:b/>
          <w:color w:val="000000"/>
          <w:sz w:val="48"/>
          <w:szCs w:val="48"/>
          <w:highlight w:val="none"/>
        </w:rPr>
      </w:pPr>
      <w:r>
        <w:rPr>
          <w:rFonts w:hint="eastAsia" w:ascii="宋体" w:hAnsi="宋体" w:eastAsia="宋体" w:cs="宋体"/>
          <w:b/>
          <w:color w:val="000000"/>
          <w:sz w:val="48"/>
          <w:szCs w:val="48"/>
          <w:highlight w:val="none"/>
        </w:rPr>
        <w:t>目  录</w:t>
      </w:r>
    </w:p>
    <w:p>
      <w:pPr>
        <w:spacing w:line="360" w:lineRule="auto"/>
        <w:rPr>
          <w:rFonts w:hint="eastAsia" w:ascii="宋体" w:hAnsi="宋体" w:eastAsia="宋体" w:cs="宋体"/>
          <w:color w:val="000000"/>
          <w:sz w:val="32"/>
          <w:szCs w:val="32"/>
          <w:highlight w:val="none"/>
        </w:rPr>
      </w:pPr>
    </w:p>
    <w:p>
      <w:pPr>
        <w:spacing w:line="360" w:lineRule="auto"/>
        <w:rPr>
          <w:rFonts w:hint="eastAsia" w:ascii="宋体" w:hAnsi="宋体" w:eastAsia="宋体" w:cs="宋体"/>
          <w:color w:val="000000"/>
          <w:sz w:val="32"/>
          <w:szCs w:val="32"/>
          <w:highlight w:val="none"/>
        </w:rPr>
      </w:pPr>
    </w:p>
    <w:p>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第一部分      交易公告</w:t>
      </w:r>
    </w:p>
    <w:p>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第二部分      响应人须知</w:t>
      </w:r>
    </w:p>
    <w:p>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第三部分      交易需求</w:t>
      </w:r>
    </w:p>
    <w:p>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第四部分      交易办法</w:t>
      </w:r>
    </w:p>
    <w:p>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第五部分      拟签订的合同文本</w:t>
      </w:r>
    </w:p>
    <w:p>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第六部分      应提交的有关格式范例</w:t>
      </w:r>
    </w:p>
    <w:p>
      <w:pPr>
        <w:spacing w:line="360" w:lineRule="auto"/>
        <w:ind w:firstLine="549" w:firstLineChars="229"/>
        <w:rPr>
          <w:rFonts w:hint="eastAsia" w:ascii="宋体" w:hAnsi="宋体" w:eastAsia="宋体" w:cs="宋体"/>
          <w:color w:val="000000"/>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rPr>
          <w:rFonts w:hint="eastAsia" w:ascii="宋体" w:hAnsi="宋体" w:eastAsia="宋体" w:cs="宋体"/>
          <w:color w:val="000000"/>
          <w:sz w:val="24"/>
          <w:highlight w:val="none"/>
        </w:rPr>
      </w:pPr>
    </w:p>
    <w:p>
      <w:pPr>
        <w:adjustRightInd/>
        <w:spacing w:line="360" w:lineRule="auto"/>
        <w:jc w:val="center"/>
        <w:outlineLvl w:val="0"/>
        <w:rPr>
          <w:rFonts w:hint="eastAsia" w:ascii="宋体" w:hAnsi="宋体" w:eastAsia="宋体" w:cs="宋体"/>
          <w:b/>
          <w:color w:val="000000"/>
          <w:sz w:val="36"/>
          <w:szCs w:val="20"/>
          <w:highlight w:val="none"/>
        </w:rPr>
      </w:pPr>
      <w:bookmarkStart w:id="2" w:name="第一部分"/>
      <w:r>
        <w:rPr>
          <w:rFonts w:hint="eastAsia" w:ascii="宋体" w:hAnsi="宋体" w:eastAsia="宋体" w:cs="宋体"/>
          <w:b/>
          <w:color w:val="000000"/>
          <w:sz w:val="36"/>
          <w:szCs w:val="36"/>
          <w:highlight w:val="none"/>
        </w:rPr>
        <w:br w:type="page"/>
      </w:r>
      <w:bookmarkEnd w:id="1"/>
      <w:bookmarkEnd w:id="2"/>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eastAsia="宋体" w:cs="宋体"/>
          <w:b/>
          <w:color w:val="000000"/>
          <w:sz w:val="36"/>
          <w:szCs w:val="20"/>
          <w:highlight w:val="none"/>
        </w:rPr>
        <w:t>第一部分 交易公告</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一、基本情况</w:t>
      </w:r>
    </w:p>
    <w:p>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交易编号：</w:t>
      </w:r>
      <w:r>
        <w:rPr>
          <w:rFonts w:hint="eastAsia" w:ascii="宋体" w:hAnsi="宋体" w:eastAsia="宋体" w:cs="宋体"/>
          <w:b/>
          <w:bCs w:val="0"/>
          <w:color w:val="000000"/>
          <w:sz w:val="24"/>
          <w:highlight w:val="none"/>
          <w:lang w:val="en-US" w:eastAsia="zh-CN"/>
        </w:rPr>
        <w:t>萧开企采（2024）41号</w:t>
      </w:r>
    </w:p>
    <w:p>
      <w:pPr>
        <w:spacing w:line="360" w:lineRule="auto"/>
        <w:ind w:firstLine="482" w:firstLineChars="200"/>
        <w:rPr>
          <w:rFonts w:hint="eastAsia" w:ascii="宋体" w:hAnsi="宋体" w:eastAsia="宋体" w:cs="宋体"/>
          <w:b/>
          <w:bCs w:val="0"/>
          <w:color w:val="000000"/>
          <w:sz w:val="24"/>
          <w:highlight w:val="none"/>
          <w:lang w:val="en-US" w:eastAsia="zh-CN"/>
        </w:rPr>
      </w:pPr>
      <w:r>
        <w:rPr>
          <w:rFonts w:hint="eastAsia" w:ascii="宋体" w:hAnsi="宋体" w:eastAsia="宋体" w:cs="宋体"/>
          <w:b/>
          <w:color w:val="000000"/>
          <w:sz w:val="24"/>
          <w:highlight w:val="none"/>
        </w:rPr>
        <w:t>交易名称：</w:t>
      </w:r>
      <w:bookmarkStart w:id="382" w:name="_GoBack"/>
      <w:r>
        <w:rPr>
          <w:rFonts w:hint="eastAsia" w:ascii="宋体" w:hAnsi="宋体" w:eastAsia="宋体" w:cs="宋体"/>
          <w:b/>
          <w:bCs w:val="0"/>
          <w:color w:val="000000"/>
          <w:sz w:val="24"/>
          <w:highlight w:val="none"/>
          <w:lang w:val="en-US" w:eastAsia="zh-CN"/>
        </w:rPr>
        <w:t>宁新村安置房（潮遇宁新里）装修垃圾清运处置项目</w:t>
      </w:r>
    </w:p>
    <w:bookmarkEnd w:id="382"/>
    <w:p>
      <w:pPr>
        <w:spacing w:line="360" w:lineRule="auto"/>
        <w:ind w:firstLine="482" w:firstLineChars="200"/>
        <w:rPr>
          <w:rFonts w:hint="eastAsia" w:ascii="宋体" w:hAnsi="宋体" w:eastAsia="宋体" w:cs="宋体"/>
          <w:color w:val="000000"/>
          <w:sz w:val="24"/>
          <w:szCs w:val="28"/>
          <w:highlight w:val="none"/>
          <w:lang w:val="en-US" w:eastAsia="zh-CN"/>
        </w:rPr>
      </w:pPr>
      <w:r>
        <w:rPr>
          <w:rFonts w:hint="eastAsia" w:ascii="宋体" w:hAnsi="宋体" w:eastAsia="宋体" w:cs="宋体"/>
          <w:b/>
          <w:color w:val="000000"/>
          <w:sz w:val="24"/>
          <w:highlight w:val="none"/>
        </w:rPr>
        <w:t>预算金额(元）：</w:t>
      </w:r>
      <w:r>
        <w:rPr>
          <w:rFonts w:hint="eastAsia" w:ascii="宋体" w:hAnsi="宋体" w:eastAsia="宋体" w:cs="宋体"/>
          <w:b/>
          <w:color w:val="000000"/>
          <w:sz w:val="24"/>
          <w:highlight w:val="none"/>
          <w:lang w:val="en-US" w:eastAsia="zh-CN"/>
        </w:rPr>
        <w:t>1800000.00</w:t>
      </w:r>
    </w:p>
    <w:p>
      <w:pPr>
        <w:spacing w:line="360" w:lineRule="auto"/>
        <w:ind w:firstLine="482" w:firstLineChars="200"/>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rPr>
        <w:t>最高限价(元）：</w:t>
      </w:r>
      <w:r>
        <w:rPr>
          <w:rFonts w:hint="eastAsia" w:ascii="宋体" w:hAnsi="宋体" w:eastAsia="宋体" w:cs="宋体"/>
          <w:b/>
          <w:color w:val="000000"/>
          <w:sz w:val="24"/>
          <w:highlight w:val="none"/>
          <w:lang w:val="en-US" w:eastAsia="zh-CN"/>
        </w:rPr>
        <w:t>1739400.00</w:t>
      </w:r>
    </w:p>
    <w:p>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交易需求：</w:t>
      </w:r>
      <w:r>
        <w:rPr>
          <w:rFonts w:hint="eastAsia" w:ascii="宋体" w:hAnsi="宋体" w:eastAsia="宋体" w:cs="宋体"/>
          <w:b/>
          <w:color w:val="000000"/>
          <w:sz w:val="24"/>
          <w:highlight w:val="none"/>
          <w:lang w:val="en-US" w:eastAsia="zh-CN"/>
        </w:rPr>
        <w:t>宁新村安置房（潮遇宁新里）装修垃圾清运处置项目</w:t>
      </w:r>
      <w:r>
        <w:rPr>
          <w:rFonts w:hint="eastAsia" w:ascii="宋体" w:hAnsi="宋体" w:eastAsia="宋体" w:cs="宋体"/>
          <w:b/>
          <w:color w:val="000000"/>
          <w:sz w:val="24"/>
          <w:highlight w:val="none"/>
        </w:rPr>
        <w:t>。详见交易需求。</w:t>
      </w:r>
    </w:p>
    <w:p>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合同履约期限：详见公开竞争文件</w:t>
      </w:r>
    </w:p>
    <w:p>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本项目接受联合体响应：</w:t>
      </w:r>
      <w:r>
        <w:rPr>
          <w:rFonts w:hint="eastAsia" w:ascii="宋体" w:hAnsi="宋体" w:eastAsia="宋体" w:cs="宋体"/>
          <w:bCs/>
          <w:color w:val="000000"/>
          <w:sz w:val="24"/>
          <w:highlight w:val="none"/>
        </w:rPr>
        <w:t>（  ）是；（√）否。</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二、申请人的资格要求</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2、具有良好的商业信誉和健全的财务会计制度；</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3、具有履行合同所必需的设备和专业技术能力；</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4、有依法缴纳税收和社会保障资金的良好记录；</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5、参加交易活动前三年内，在经营活动中没有重大违法记录；</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6、法律、行政法规规定的其他条件；</w:t>
      </w:r>
    </w:p>
    <w:p>
      <w:pPr>
        <w:pStyle w:val="8"/>
        <w:ind w:firstLineChars="175"/>
        <w:rPr>
          <w:rFonts w:hint="eastAsia" w:ascii="宋体" w:hAnsi="宋体" w:eastAsia="宋体" w:cs="宋体"/>
          <w:color w:val="000000"/>
          <w:highlight w:val="none"/>
          <w:lang w:val="en-US"/>
        </w:rPr>
      </w:pPr>
      <w:r>
        <w:rPr>
          <w:rFonts w:hint="eastAsia" w:ascii="宋体" w:hAnsi="宋体" w:eastAsia="宋体" w:cs="宋体"/>
          <w:color w:val="000000"/>
          <w:highlight w:val="none"/>
        </w:rPr>
        <w:t>7、本项目的特定资格要求：</w:t>
      </w:r>
      <w:r>
        <w:rPr>
          <w:rFonts w:hint="eastAsia" w:ascii="宋体" w:hAnsi="宋体" w:eastAsia="宋体" w:cs="宋体"/>
          <w:color w:val="000000"/>
          <w:sz w:val="24"/>
          <w:szCs w:val="20"/>
          <w:highlight w:val="none"/>
          <w:lang w:val="zh-CN"/>
        </w:rPr>
        <w:t>无</w:t>
      </w:r>
      <w:r>
        <w:rPr>
          <w:rFonts w:hint="eastAsia" w:ascii="宋体" w:hAnsi="宋体" w:eastAsia="宋体" w:cs="宋体"/>
          <w:color w:val="000000"/>
          <w:highlight w:val="none"/>
          <w:lang w:val="en-US"/>
        </w:rPr>
        <w:t>；</w:t>
      </w:r>
    </w:p>
    <w:p>
      <w:pPr>
        <w:pStyle w:val="8"/>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t>8、</w:t>
      </w:r>
      <w:r>
        <w:rPr>
          <w:rFonts w:hint="eastAsia" w:ascii="宋体" w:hAnsi="宋体" w:eastAsia="宋体" w:cs="宋体"/>
          <w:color w:val="auto"/>
          <w:highlight w:val="none"/>
        </w:rPr>
        <w:t>本项目不接受联合体参与（潜在响应人能独立完成本项目）。</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xml:space="preserve">三、获取公开竞争文件 </w:t>
      </w:r>
    </w:p>
    <w:p>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时间：</w:t>
      </w:r>
      <w:r>
        <w:rPr>
          <w:rFonts w:hint="eastAsia" w:ascii="宋体" w:hAnsi="宋体" w:eastAsia="宋体" w:cs="宋体"/>
          <w:color w:val="000000"/>
          <w:sz w:val="24"/>
          <w:highlight w:val="none"/>
        </w:rPr>
        <w:t>/至</w:t>
      </w:r>
      <w:r>
        <w:rPr>
          <w:rFonts w:hint="eastAsia" w:ascii="宋体" w:hAnsi="宋体" w:eastAsia="宋体" w:cs="宋体"/>
          <w:color w:val="000000"/>
          <w:sz w:val="24"/>
          <w:highlight w:val="none"/>
          <w:u w:val="single"/>
        </w:rPr>
        <w:t>202</w:t>
      </w:r>
      <w:r>
        <w:rPr>
          <w:rFonts w:hint="eastAsia" w:ascii="宋体" w:hAnsi="宋体" w:eastAsia="宋体" w:cs="宋体"/>
          <w:color w:val="000000"/>
          <w:sz w:val="24"/>
          <w:highlight w:val="none"/>
          <w:u w:val="single"/>
          <w:lang w:val="en-US" w:eastAsia="zh-CN"/>
        </w:rPr>
        <w:t>4</w:t>
      </w:r>
      <w:r>
        <w:rPr>
          <w:rFonts w:hint="eastAsia" w:ascii="宋体" w:hAnsi="宋体" w:eastAsia="宋体" w:cs="宋体"/>
          <w:color w:val="000000"/>
          <w:sz w:val="24"/>
          <w:highlight w:val="none"/>
          <w:u w:val="single"/>
        </w:rPr>
        <w:t>年</w:t>
      </w:r>
      <w:r>
        <w:rPr>
          <w:rFonts w:hint="eastAsia" w:ascii="宋体" w:hAnsi="宋体" w:cs="宋体"/>
          <w:color w:val="000000"/>
          <w:sz w:val="24"/>
          <w:highlight w:val="none"/>
          <w:u w:val="single"/>
          <w:lang w:val="en-US" w:eastAsia="zh-CN"/>
        </w:rPr>
        <w:t>9</w:t>
      </w:r>
      <w:r>
        <w:rPr>
          <w:rFonts w:hint="eastAsia" w:ascii="宋体" w:hAnsi="宋体" w:eastAsia="宋体" w:cs="宋体"/>
          <w:color w:val="000000"/>
          <w:sz w:val="24"/>
          <w:highlight w:val="none"/>
          <w:u w:val="single"/>
        </w:rPr>
        <w:t>月</w:t>
      </w:r>
      <w:r>
        <w:rPr>
          <w:rFonts w:hint="eastAsia" w:ascii="宋体" w:hAnsi="宋体" w:cs="宋体"/>
          <w:color w:val="000000"/>
          <w:sz w:val="24"/>
          <w:highlight w:val="none"/>
          <w:u w:val="single"/>
          <w:lang w:val="en-US" w:eastAsia="zh-CN"/>
        </w:rPr>
        <w:t>10</w:t>
      </w:r>
      <w:r>
        <w:rPr>
          <w:rFonts w:hint="eastAsia" w:ascii="宋体" w:hAnsi="宋体" w:eastAsia="宋体" w:cs="宋体"/>
          <w:color w:val="000000"/>
          <w:sz w:val="24"/>
          <w:highlight w:val="none"/>
          <w:u w:val="single"/>
        </w:rPr>
        <w:t>日</w:t>
      </w:r>
      <w:r>
        <w:rPr>
          <w:rFonts w:hint="eastAsia" w:ascii="宋体" w:hAnsi="宋体" w:cs="宋体"/>
          <w:color w:val="000000"/>
          <w:sz w:val="24"/>
          <w:highlight w:val="none"/>
          <w:u w:val="single"/>
          <w:lang w:val="en-US" w:eastAsia="zh-CN"/>
        </w:rPr>
        <w:t>9</w:t>
      </w:r>
      <w:r>
        <w:rPr>
          <w:rFonts w:hint="eastAsia" w:ascii="宋体" w:hAnsi="宋体" w:eastAsia="宋体" w:cs="宋体"/>
          <w:color w:val="000000"/>
          <w:sz w:val="24"/>
          <w:highlight w:val="none"/>
          <w:u w:val="single"/>
        </w:rPr>
        <w:t>点</w:t>
      </w:r>
      <w:r>
        <w:rPr>
          <w:rFonts w:hint="eastAsia" w:ascii="宋体" w:hAnsi="宋体" w:cs="宋体"/>
          <w:color w:val="000000"/>
          <w:sz w:val="24"/>
          <w:highlight w:val="none"/>
          <w:u w:val="single"/>
          <w:lang w:val="en-US" w:eastAsia="zh-CN"/>
        </w:rPr>
        <w:t>30</w:t>
      </w:r>
      <w:r>
        <w:rPr>
          <w:rFonts w:hint="eastAsia" w:ascii="宋体" w:hAnsi="宋体" w:eastAsia="宋体" w:cs="宋体"/>
          <w:color w:val="000000"/>
          <w:sz w:val="24"/>
          <w:highlight w:val="none"/>
          <w:u w:val="single"/>
        </w:rPr>
        <w:t>分</w:t>
      </w:r>
      <w:r>
        <w:rPr>
          <w:rFonts w:hint="eastAsia" w:ascii="宋体" w:hAnsi="宋体" w:eastAsia="宋体" w:cs="宋体"/>
          <w:color w:val="000000"/>
          <w:sz w:val="24"/>
          <w:highlight w:val="none"/>
        </w:rPr>
        <w:t>，每天上午00:00至12:00 ，下午12:00至23:59（北京时间，线上获取法定节假日均可）</w:t>
      </w:r>
    </w:p>
    <w:p>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地点（网址）：</w:t>
      </w:r>
      <w:r>
        <w:rPr>
          <w:rFonts w:hint="eastAsia" w:ascii="宋体" w:hAnsi="宋体" w:cs="宋体"/>
          <w:color w:val="000000"/>
          <w:sz w:val="24"/>
          <w:highlight w:val="none"/>
          <w:lang w:eastAsia="zh-CN"/>
        </w:rPr>
        <w:t>乐采云平台</w:t>
      </w: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www.lecaiyun.com</w:t>
      </w:r>
      <w:r>
        <w:rPr>
          <w:rFonts w:hint="eastAsia" w:ascii="宋体" w:hAnsi="宋体" w:eastAsia="宋体" w:cs="宋体"/>
          <w:color w:val="000000"/>
          <w:sz w:val="24"/>
          <w:highlight w:val="none"/>
        </w:rPr>
        <w:t xml:space="preserve">） </w:t>
      </w:r>
    </w:p>
    <w:p>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方式：</w:t>
      </w:r>
      <w:r>
        <w:rPr>
          <w:rFonts w:hint="eastAsia" w:ascii="宋体" w:hAnsi="宋体" w:eastAsia="宋体" w:cs="宋体"/>
          <w:color w:val="000000"/>
          <w:sz w:val="24"/>
          <w:highlight w:val="none"/>
        </w:rPr>
        <w:t>响应人登录</w:t>
      </w:r>
      <w:r>
        <w:rPr>
          <w:rFonts w:hint="eastAsia" w:ascii="宋体" w:hAnsi="宋体" w:cs="宋体"/>
          <w:color w:val="000000"/>
          <w:sz w:val="24"/>
          <w:highlight w:val="none"/>
          <w:lang w:eastAsia="zh-CN"/>
        </w:rPr>
        <w:t>乐采云平台www.lecaiyun.com</w:t>
      </w:r>
      <w:r>
        <w:rPr>
          <w:rFonts w:hint="eastAsia" w:ascii="宋体" w:hAnsi="宋体" w:eastAsia="宋体" w:cs="宋体"/>
          <w:color w:val="000000"/>
          <w:sz w:val="24"/>
          <w:highlight w:val="none"/>
        </w:rPr>
        <w:t>在线申请获取公开竞争文件（进入“项目采购”应用，在获取</w:t>
      </w:r>
      <w:r>
        <w:rPr>
          <w:rFonts w:hint="eastAsia" w:ascii="宋体" w:hAnsi="宋体" w:eastAsia="宋体" w:cs="宋体"/>
          <w:color w:val="000000"/>
          <w:sz w:val="24"/>
          <w:highlight w:val="none"/>
          <w:lang w:eastAsia="zh-CN"/>
        </w:rPr>
        <w:t>公开竞争文件</w:t>
      </w:r>
      <w:r>
        <w:rPr>
          <w:rFonts w:hint="eastAsia" w:ascii="宋体" w:hAnsi="宋体" w:eastAsia="宋体" w:cs="宋体"/>
          <w:color w:val="000000"/>
          <w:sz w:val="24"/>
          <w:highlight w:val="none"/>
        </w:rPr>
        <w:t xml:space="preserve">菜单中选择项目，申请获取公开竞争文件）。 </w:t>
      </w:r>
    </w:p>
    <w:p>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售价（元）：</w:t>
      </w:r>
      <w:r>
        <w:rPr>
          <w:rFonts w:hint="eastAsia" w:ascii="宋体" w:hAnsi="宋体" w:eastAsia="宋体" w:cs="宋体"/>
          <w:color w:val="000000"/>
          <w:sz w:val="24"/>
          <w:highlight w:val="none"/>
        </w:rPr>
        <w:t xml:space="preserve">0 </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四、提交响应文件截止时间、交易时间和地点</w:t>
      </w:r>
    </w:p>
    <w:p>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rPr>
        <w:t>提交响应文件截止时间：</w:t>
      </w:r>
      <w:r>
        <w:rPr>
          <w:rFonts w:hint="eastAsia" w:ascii="宋体" w:hAnsi="宋体" w:eastAsia="宋体" w:cs="宋体"/>
          <w:color w:val="000000"/>
          <w:sz w:val="24"/>
          <w:highlight w:val="none"/>
          <w:u w:val="single"/>
        </w:rPr>
        <w:t>202</w:t>
      </w:r>
      <w:r>
        <w:rPr>
          <w:rFonts w:hint="eastAsia" w:ascii="宋体" w:hAnsi="宋体" w:eastAsia="宋体" w:cs="宋体"/>
          <w:color w:val="000000"/>
          <w:sz w:val="24"/>
          <w:highlight w:val="none"/>
          <w:u w:val="single"/>
          <w:lang w:val="en-US" w:eastAsia="zh-CN"/>
        </w:rPr>
        <w:t>4</w:t>
      </w:r>
      <w:r>
        <w:rPr>
          <w:rFonts w:hint="eastAsia" w:ascii="宋体" w:hAnsi="宋体" w:eastAsia="宋体" w:cs="宋体"/>
          <w:color w:val="000000"/>
          <w:sz w:val="24"/>
          <w:highlight w:val="none"/>
          <w:u w:val="single"/>
        </w:rPr>
        <w:t>年</w:t>
      </w:r>
      <w:r>
        <w:rPr>
          <w:rFonts w:hint="eastAsia" w:ascii="宋体" w:hAnsi="宋体" w:cs="宋体"/>
          <w:color w:val="000000"/>
          <w:sz w:val="24"/>
          <w:highlight w:val="none"/>
          <w:u w:val="single"/>
          <w:lang w:val="en-US" w:eastAsia="zh-CN"/>
        </w:rPr>
        <w:t>9</w:t>
      </w:r>
      <w:r>
        <w:rPr>
          <w:rFonts w:hint="eastAsia" w:ascii="宋体" w:hAnsi="宋体" w:eastAsia="宋体" w:cs="宋体"/>
          <w:color w:val="000000"/>
          <w:sz w:val="24"/>
          <w:highlight w:val="none"/>
          <w:u w:val="single"/>
        </w:rPr>
        <w:t>月</w:t>
      </w:r>
      <w:r>
        <w:rPr>
          <w:rFonts w:hint="eastAsia" w:ascii="宋体" w:hAnsi="宋体" w:cs="宋体"/>
          <w:color w:val="000000"/>
          <w:sz w:val="24"/>
          <w:highlight w:val="none"/>
          <w:u w:val="single"/>
          <w:lang w:val="en-US" w:eastAsia="zh-CN"/>
        </w:rPr>
        <w:t>10</w:t>
      </w:r>
      <w:r>
        <w:rPr>
          <w:rFonts w:hint="eastAsia" w:ascii="宋体" w:hAnsi="宋体" w:eastAsia="宋体" w:cs="宋体"/>
          <w:color w:val="000000"/>
          <w:sz w:val="24"/>
          <w:highlight w:val="none"/>
          <w:u w:val="single"/>
        </w:rPr>
        <w:t>日</w:t>
      </w:r>
      <w:r>
        <w:rPr>
          <w:rFonts w:hint="eastAsia" w:ascii="宋体" w:hAnsi="宋体" w:cs="宋体"/>
          <w:color w:val="000000"/>
          <w:sz w:val="24"/>
          <w:highlight w:val="none"/>
          <w:u w:val="single"/>
          <w:lang w:val="en-US" w:eastAsia="zh-CN"/>
        </w:rPr>
        <w:t>9</w:t>
      </w:r>
      <w:r>
        <w:rPr>
          <w:rFonts w:hint="eastAsia" w:ascii="宋体" w:hAnsi="宋体" w:eastAsia="宋体" w:cs="宋体"/>
          <w:color w:val="000000"/>
          <w:sz w:val="24"/>
          <w:highlight w:val="none"/>
          <w:u w:val="single"/>
        </w:rPr>
        <w:t>点</w:t>
      </w:r>
      <w:r>
        <w:rPr>
          <w:rFonts w:hint="eastAsia" w:ascii="宋体" w:hAnsi="宋体" w:cs="宋体"/>
          <w:color w:val="000000"/>
          <w:sz w:val="24"/>
          <w:highlight w:val="none"/>
          <w:u w:val="single"/>
          <w:lang w:val="en-US" w:eastAsia="zh-CN"/>
        </w:rPr>
        <w:t>30</w:t>
      </w:r>
      <w:r>
        <w:rPr>
          <w:rFonts w:hint="eastAsia" w:ascii="宋体" w:hAnsi="宋体" w:eastAsia="宋体" w:cs="宋体"/>
          <w:color w:val="000000"/>
          <w:sz w:val="24"/>
          <w:highlight w:val="none"/>
          <w:u w:val="single"/>
        </w:rPr>
        <w:t>分</w:t>
      </w:r>
      <w:r>
        <w:rPr>
          <w:rFonts w:hint="eastAsia" w:ascii="宋体" w:hAnsi="宋体" w:eastAsia="宋体" w:cs="宋体"/>
          <w:color w:val="000000"/>
          <w:sz w:val="24"/>
          <w:highlight w:val="none"/>
        </w:rPr>
        <w:t>（北京时间）</w:t>
      </w:r>
    </w:p>
    <w:p>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响应地点（网址）：</w:t>
      </w:r>
      <w:r>
        <w:rPr>
          <w:rFonts w:hint="eastAsia" w:ascii="宋体" w:hAnsi="宋体" w:cs="宋体"/>
          <w:color w:val="000000"/>
          <w:sz w:val="24"/>
          <w:highlight w:val="none"/>
          <w:lang w:eastAsia="zh-CN"/>
        </w:rPr>
        <w:t>乐采云平台</w:t>
      </w: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www.lecaiyun.com</w:t>
      </w:r>
      <w:r>
        <w:rPr>
          <w:rFonts w:hint="eastAsia" w:ascii="宋体" w:hAnsi="宋体" w:eastAsia="宋体" w:cs="宋体"/>
          <w:color w:val="000000"/>
          <w:sz w:val="24"/>
          <w:highlight w:val="none"/>
        </w:rPr>
        <w:t xml:space="preserve">） </w:t>
      </w:r>
    </w:p>
    <w:p>
      <w:pPr>
        <w:spacing w:line="360" w:lineRule="auto"/>
        <w:ind w:firstLine="482" w:firstLineChars="200"/>
        <w:rPr>
          <w:rFonts w:hint="eastAsia" w:ascii="宋体" w:hAnsi="宋体" w:eastAsia="宋体" w:cs="宋体"/>
          <w:bCs/>
          <w:color w:val="000000"/>
          <w:sz w:val="24"/>
          <w:highlight w:val="none"/>
          <w:u w:val="single"/>
        </w:rPr>
      </w:pPr>
      <w:r>
        <w:rPr>
          <w:rFonts w:hint="eastAsia" w:ascii="宋体" w:hAnsi="宋体" w:eastAsia="宋体" w:cs="宋体"/>
          <w:b/>
          <w:color w:val="000000"/>
          <w:sz w:val="24"/>
          <w:highlight w:val="none"/>
        </w:rPr>
        <w:t>交易时间：</w:t>
      </w:r>
      <w:r>
        <w:rPr>
          <w:rFonts w:hint="eastAsia" w:ascii="宋体" w:hAnsi="宋体" w:eastAsia="宋体" w:cs="宋体"/>
          <w:color w:val="000000"/>
          <w:sz w:val="24"/>
          <w:highlight w:val="none"/>
          <w:u w:val="single"/>
        </w:rPr>
        <w:t>202</w:t>
      </w:r>
      <w:r>
        <w:rPr>
          <w:rFonts w:hint="eastAsia" w:ascii="宋体" w:hAnsi="宋体" w:eastAsia="宋体" w:cs="宋体"/>
          <w:color w:val="000000"/>
          <w:sz w:val="24"/>
          <w:highlight w:val="none"/>
          <w:u w:val="single"/>
          <w:lang w:val="en-US" w:eastAsia="zh-CN"/>
        </w:rPr>
        <w:t>4</w:t>
      </w:r>
      <w:r>
        <w:rPr>
          <w:rFonts w:hint="eastAsia" w:ascii="宋体" w:hAnsi="宋体" w:eastAsia="宋体" w:cs="宋体"/>
          <w:color w:val="000000"/>
          <w:sz w:val="24"/>
          <w:highlight w:val="none"/>
          <w:u w:val="single"/>
        </w:rPr>
        <w:t>年</w:t>
      </w:r>
      <w:r>
        <w:rPr>
          <w:rFonts w:hint="eastAsia" w:ascii="宋体" w:hAnsi="宋体" w:cs="宋体"/>
          <w:color w:val="000000"/>
          <w:sz w:val="24"/>
          <w:highlight w:val="none"/>
          <w:u w:val="single"/>
          <w:lang w:val="en-US" w:eastAsia="zh-CN"/>
        </w:rPr>
        <w:t>9</w:t>
      </w:r>
      <w:r>
        <w:rPr>
          <w:rFonts w:hint="eastAsia" w:ascii="宋体" w:hAnsi="宋体" w:eastAsia="宋体" w:cs="宋体"/>
          <w:color w:val="000000"/>
          <w:sz w:val="24"/>
          <w:highlight w:val="none"/>
          <w:u w:val="single"/>
        </w:rPr>
        <w:t>月</w:t>
      </w:r>
      <w:r>
        <w:rPr>
          <w:rFonts w:hint="eastAsia" w:ascii="宋体" w:hAnsi="宋体" w:cs="宋体"/>
          <w:color w:val="000000"/>
          <w:sz w:val="24"/>
          <w:highlight w:val="none"/>
          <w:u w:val="single"/>
          <w:lang w:val="en-US" w:eastAsia="zh-CN"/>
        </w:rPr>
        <w:t>10</w:t>
      </w:r>
      <w:r>
        <w:rPr>
          <w:rFonts w:hint="eastAsia" w:ascii="宋体" w:hAnsi="宋体" w:eastAsia="宋体" w:cs="宋体"/>
          <w:color w:val="000000"/>
          <w:sz w:val="24"/>
          <w:highlight w:val="none"/>
          <w:u w:val="single"/>
        </w:rPr>
        <w:t>日</w:t>
      </w:r>
      <w:r>
        <w:rPr>
          <w:rFonts w:hint="eastAsia" w:ascii="宋体" w:hAnsi="宋体" w:cs="宋体"/>
          <w:color w:val="000000"/>
          <w:sz w:val="24"/>
          <w:highlight w:val="none"/>
          <w:u w:val="single"/>
          <w:lang w:val="en-US" w:eastAsia="zh-CN"/>
        </w:rPr>
        <w:t>9</w:t>
      </w:r>
      <w:r>
        <w:rPr>
          <w:rFonts w:hint="eastAsia" w:ascii="宋体" w:hAnsi="宋体" w:eastAsia="宋体" w:cs="宋体"/>
          <w:color w:val="000000"/>
          <w:sz w:val="24"/>
          <w:highlight w:val="none"/>
          <w:u w:val="single"/>
        </w:rPr>
        <w:t>点</w:t>
      </w:r>
      <w:r>
        <w:rPr>
          <w:rFonts w:hint="eastAsia" w:ascii="宋体" w:hAnsi="宋体" w:cs="宋体"/>
          <w:color w:val="000000"/>
          <w:sz w:val="24"/>
          <w:highlight w:val="none"/>
          <w:u w:val="single"/>
          <w:lang w:val="en-US" w:eastAsia="zh-CN"/>
        </w:rPr>
        <w:t>30</w:t>
      </w:r>
      <w:r>
        <w:rPr>
          <w:rFonts w:hint="eastAsia" w:ascii="宋体" w:hAnsi="宋体" w:eastAsia="宋体" w:cs="宋体"/>
          <w:color w:val="000000"/>
          <w:sz w:val="24"/>
          <w:highlight w:val="none"/>
          <w:u w:val="single"/>
        </w:rPr>
        <w:t>分</w:t>
      </w:r>
    </w:p>
    <w:p>
      <w:pPr>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b/>
          <w:color w:val="000000"/>
          <w:sz w:val="24"/>
          <w:highlight w:val="none"/>
          <w:lang w:val="en-US" w:eastAsia="zh-CN"/>
        </w:rPr>
        <w:t>交易</w:t>
      </w:r>
      <w:r>
        <w:rPr>
          <w:rFonts w:hint="eastAsia" w:ascii="宋体" w:hAnsi="宋体" w:eastAsia="宋体" w:cs="宋体"/>
          <w:b/>
          <w:color w:val="000000"/>
          <w:sz w:val="24"/>
          <w:highlight w:val="none"/>
        </w:rPr>
        <w:t>地点（网址）：</w:t>
      </w:r>
      <w:r>
        <w:rPr>
          <w:rFonts w:hint="eastAsia" w:ascii="宋体" w:hAnsi="宋体" w:cs="宋体"/>
          <w:color w:val="000000"/>
          <w:sz w:val="24"/>
          <w:highlight w:val="none"/>
          <w:lang w:eastAsia="zh-CN"/>
        </w:rPr>
        <w:t>乐采云平台</w:t>
      </w: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www.lecaiyun.com</w:t>
      </w:r>
      <w:r>
        <w:rPr>
          <w:rFonts w:hint="eastAsia" w:ascii="宋体" w:hAnsi="宋体" w:eastAsia="宋体" w:cs="宋体"/>
          <w:color w:val="000000"/>
          <w:sz w:val="24"/>
          <w:highlight w:val="none"/>
        </w:rPr>
        <w:t>）</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五、其他补充事宜</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2、其他事项：电子招投标的说明：①电子招投标：本项目以数据电文形式，依托“</w:t>
      </w:r>
      <w:r>
        <w:rPr>
          <w:rFonts w:hint="eastAsia" w:ascii="宋体" w:hAnsi="宋体" w:cs="宋体"/>
          <w:color w:val="000000"/>
          <w:sz w:val="24"/>
          <w:highlight w:val="none"/>
          <w:lang w:val="en-US" w:eastAsia="zh-CN"/>
        </w:rPr>
        <w:t>乐采</w:t>
      </w:r>
      <w:r>
        <w:rPr>
          <w:rFonts w:hint="eastAsia" w:ascii="宋体" w:hAnsi="宋体" w:eastAsia="宋体" w:cs="宋体"/>
          <w:color w:val="000000"/>
          <w:sz w:val="24"/>
          <w:highlight w:val="none"/>
        </w:rPr>
        <w:t>云平台（www.zcygov.cn）”进行招投标活动，不接受纸质响应文件；②响应准备：注册账号--点击“商家入驻”，进行政府采购供应商资料填写；申领CA数字证书---申领流程详见“浙江政府采购网-下载专区-电子交易客户端-CA驱动和申领流程”；安装“</w:t>
      </w:r>
      <w:r>
        <w:rPr>
          <w:rFonts w:hint="eastAsia" w:ascii="宋体" w:hAnsi="宋体" w:cs="宋体"/>
          <w:color w:val="000000"/>
          <w:sz w:val="24"/>
          <w:highlight w:val="none"/>
          <w:lang w:val="en-US" w:eastAsia="zh-CN"/>
        </w:rPr>
        <w:t>乐</w:t>
      </w:r>
      <w:r>
        <w:rPr>
          <w:rFonts w:hint="eastAsia" w:ascii="宋体" w:hAnsi="宋体" w:eastAsia="宋体" w:cs="宋体"/>
          <w:color w:val="000000"/>
          <w:sz w:val="24"/>
          <w:highlight w:val="none"/>
          <w:lang w:eastAsia="zh-CN"/>
        </w:rPr>
        <w:t>采云</w:t>
      </w:r>
      <w:r>
        <w:rPr>
          <w:rFonts w:hint="eastAsia" w:ascii="宋体" w:hAnsi="宋体" w:eastAsia="宋体" w:cs="宋体"/>
          <w:color w:val="000000"/>
          <w:sz w:val="24"/>
          <w:highlight w:val="none"/>
        </w:rPr>
        <w:t>电子交易客户端”</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下载链接：https://b.zhengcaiyun.cn/luban/category?parentId=550045&amp;childrenCode=qicaiCategory17&amp;utm=luban.luban-PC-39026.959-pc-websitegroup-navBar-front.8.c8789bc0520b11efb86dbfa49a87be0d）；③公开竞争文件的获取：使用账号登录或者使用CA登录</w:t>
      </w:r>
      <w:r>
        <w:rPr>
          <w:rFonts w:hint="eastAsia" w:ascii="宋体" w:hAnsi="宋体" w:cs="宋体"/>
          <w:color w:val="000000"/>
          <w:sz w:val="24"/>
          <w:highlight w:val="none"/>
          <w:lang w:eastAsia="zh-CN"/>
        </w:rPr>
        <w:t>乐采云平台</w:t>
      </w:r>
      <w:r>
        <w:rPr>
          <w:rFonts w:hint="eastAsia" w:ascii="宋体" w:hAnsi="宋体" w:eastAsia="宋体" w:cs="宋体"/>
          <w:color w:val="000000"/>
          <w:sz w:val="24"/>
          <w:highlight w:val="none"/>
        </w:rPr>
        <w:t>；进入“项目采购”应用，在获取</w:t>
      </w:r>
      <w:r>
        <w:rPr>
          <w:rFonts w:hint="eastAsia" w:ascii="宋体" w:hAnsi="宋体" w:eastAsia="宋体" w:cs="宋体"/>
          <w:color w:val="000000"/>
          <w:sz w:val="24"/>
          <w:highlight w:val="none"/>
          <w:lang w:eastAsia="zh-CN"/>
        </w:rPr>
        <w:t>公开竞争文件</w:t>
      </w:r>
      <w:r>
        <w:rPr>
          <w:rFonts w:hint="eastAsia" w:ascii="宋体" w:hAnsi="宋体" w:eastAsia="宋体" w:cs="宋体"/>
          <w:color w:val="000000"/>
          <w:sz w:val="24"/>
          <w:highlight w:val="none"/>
        </w:rPr>
        <w:t>菜单中选择项目，获取公开竞争文件；④响应文件的制作：在“</w:t>
      </w:r>
      <w:r>
        <w:rPr>
          <w:rFonts w:hint="eastAsia" w:ascii="宋体" w:hAnsi="宋体" w:cs="宋体"/>
          <w:color w:val="000000"/>
          <w:sz w:val="24"/>
          <w:highlight w:val="none"/>
          <w:lang w:eastAsia="zh-CN"/>
        </w:rPr>
        <w:t>乐采云</w:t>
      </w:r>
      <w:r>
        <w:rPr>
          <w:rFonts w:hint="eastAsia" w:ascii="宋体" w:hAnsi="宋体" w:eastAsia="宋体" w:cs="宋体"/>
          <w:color w:val="000000"/>
          <w:sz w:val="24"/>
          <w:highlight w:val="none"/>
        </w:rPr>
        <w:t>电子交易客户端”中完成“填写基本信息”“导入响应文件”“标书关联”“标书检查”“电子签名”“生成电子标书”等操作；⑤交易发起人、代理机构将依托</w:t>
      </w:r>
      <w:r>
        <w:rPr>
          <w:rFonts w:hint="eastAsia" w:ascii="宋体" w:hAnsi="宋体" w:cs="宋体"/>
          <w:color w:val="000000"/>
          <w:sz w:val="24"/>
          <w:highlight w:val="none"/>
          <w:lang w:eastAsia="zh-CN"/>
        </w:rPr>
        <w:t>乐采云平台</w:t>
      </w:r>
      <w:r>
        <w:rPr>
          <w:rFonts w:hint="eastAsia" w:ascii="宋体" w:hAnsi="宋体" w:eastAsia="宋体" w:cs="宋体"/>
          <w:color w:val="000000"/>
          <w:sz w:val="24"/>
          <w:highlight w:val="none"/>
        </w:rPr>
        <w:t>完成本项目的电子交易活动，平台不接受未按上述方式获取公开竞争文件的响应人进行响应活动； ⑥对未按上述方式获取公开竞争文件的响应人对该文件提出的异议，交易发起人或代理机构将不予处理；⑦不提供公开竞争文件纸质版；⑧响应文件的传输递交：响应人在响应截止时间前将加密的响应文件上传至</w:t>
      </w:r>
      <w:r>
        <w:rPr>
          <w:rFonts w:hint="eastAsia" w:ascii="宋体" w:hAnsi="宋体" w:cs="宋体"/>
          <w:color w:val="000000"/>
          <w:sz w:val="24"/>
          <w:highlight w:val="none"/>
          <w:lang w:val="en-US" w:eastAsia="zh-CN"/>
        </w:rPr>
        <w:t>乐采</w:t>
      </w:r>
      <w:r>
        <w:rPr>
          <w:rFonts w:hint="eastAsia" w:ascii="宋体" w:hAnsi="宋体" w:eastAsia="宋体" w:cs="宋体"/>
          <w:color w:val="000000"/>
          <w:sz w:val="24"/>
          <w:highlight w:val="none"/>
        </w:rPr>
        <w:t>云平台；⑨响应文件的解密：响应人按照平台提示和公开竞争文件的规定在半小时内完成在线解密。通过“</w:t>
      </w:r>
      <w:r>
        <w:rPr>
          <w:rFonts w:hint="eastAsia" w:ascii="宋体" w:hAnsi="宋体" w:cs="宋体"/>
          <w:color w:val="000000"/>
          <w:sz w:val="24"/>
          <w:highlight w:val="none"/>
          <w:lang w:val="en-US" w:eastAsia="zh-CN"/>
        </w:rPr>
        <w:t>乐采</w:t>
      </w:r>
      <w:r>
        <w:rPr>
          <w:rFonts w:hint="eastAsia" w:ascii="宋体" w:hAnsi="宋体" w:eastAsia="宋体" w:cs="宋体"/>
          <w:color w:val="000000"/>
          <w:sz w:val="24"/>
          <w:highlight w:val="none"/>
        </w:rPr>
        <w:t>云平台”上传递交的响应文件无法按时解密，视为响应文件撤回；⑩具体操作指南：详见</w:t>
      </w:r>
      <w:r>
        <w:rPr>
          <w:rFonts w:hint="eastAsia" w:ascii="宋体" w:hAnsi="宋体" w:cs="宋体"/>
          <w:color w:val="000000"/>
          <w:sz w:val="24"/>
          <w:highlight w:val="none"/>
          <w:lang w:eastAsia="zh-CN"/>
        </w:rPr>
        <w:t>乐采云平台</w:t>
      </w:r>
      <w:r>
        <w:rPr>
          <w:rFonts w:hint="eastAsia" w:ascii="宋体" w:hAnsi="宋体" w:eastAsia="宋体" w:cs="宋体"/>
          <w:color w:val="000000"/>
          <w:sz w:val="24"/>
          <w:highlight w:val="none"/>
        </w:rPr>
        <w:t>“服务中心-帮助文档-项目采购-操作流程-电子招投标-政府采购项目电子交易管理操作指南-供应商”。</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六、对本次交易提出异议、投诉，请按以下方式联系</w:t>
      </w:r>
    </w:p>
    <w:p>
      <w:pPr>
        <w:widowControl/>
        <w:spacing w:line="360" w:lineRule="auto"/>
        <w:ind w:firstLine="480" w:firstLineChars="20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1、交易发起人信息</w:t>
      </w:r>
    </w:p>
    <w:p>
      <w:pPr>
        <w:spacing w:line="360" w:lineRule="auto"/>
        <w:ind w:firstLine="480" w:firstLineChars="200"/>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名称：杭州金开颐和物业有限公司</w:t>
      </w:r>
    </w:p>
    <w:p>
      <w:pPr>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地址：杭州市萧山区市心北路99号</w:t>
      </w:r>
    </w:p>
    <w:p>
      <w:pPr>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项目联系人（询问）：陆银涛</w:t>
      </w:r>
    </w:p>
    <w:p>
      <w:pPr>
        <w:spacing w:line="360" w:lineRule="auto"/>
        <w:ind w:firstLine="480" w:firstLineChars="200"/>
        <w:jc w:val="left"/>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highlight w:val="none"/>
        </w:rPr>
        <w:t>项目联系方式（询问）：13575705317</w:t>
      </w:r>
    </w:p>
    <w:p>
      <w:pPr>
        <w:spacing w:line="360" w:lineRule="auto"/>
        <w:ind w:firstLine="480" w:firstLineChars="200"/>
        <w:jc w:val="left"/>
        <w:rPr>
          <w:rFonts w:hint="eastAsia" w:ascii="宋体" w:hAnsi="宋体" w:eastAsia="宋体" w:cs="宋体"/>
          <w:color w:val="000000"/>
          <w:sz w:val="24"/>
          <w:szCs w:val="28"/>
          <w:highlight w:val="none"/>
        </w:rPr>
      </w:pPr>
      <w:bookmarkStart w:id="10" w:name="_Toc28359009"/>
      <w:bookmarkStart w:id="11" w:name="_Toc28359086"/>
      <w:r>
        <w:rPr>
          <w:rFonts w:hint="eastAsia" w:ascii="宋体" w:hAnsi="宋体" w:eastAsia="宋体" w:cs="宋体"/>
          <w:color w:val="000000"/>
          <w:sz w:val="24"/>
          <w:szCs w:val="28"/>
          <w:highlight w:val="none"/>
        </w:rPr>
        <w:t>2</w:t>
      </w:r>
      <w:bookmarkEnd w:id="10"/>
      <w:bookmarkEnd w:id="11"/>
      <w:r>
        <w:rPr>
          <w:rFonts w:hint="eastAsia" w:ascii="宋体" w:hAnsi="宋体" w:eastAsia="宋体" w:cs="宋体"/>
          <w:color w:val="000000"/>
          <w:sz w:val="24"/>
          <w:szCs w:val="28"/>
          <w:highlight w:val="none"/>
        </w:rPr>
        <w:t>、代理机构信息</w:t>
      </w:r>
    </w:p>
    <w:p>
      <w:pPr>
        <w:spacing w:line="360" w:lineRule="auto"/>
        <w:ind w:firstLine="480" w:firstLineChars="20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名称：浙江省房地产管理咨询有限公司</w:t>
      </w:r>
    </w:p>
    <w:p>
      <w:pPr>
        <w:spacing w:line="360" w:lineRule="auto"/>
        <w:ind w:firstLine="480" w:firstLineChars="20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地址：萧山区蜀山街道柳桥南和城4幢1单元1003室</w:t>
      </w:r>
    </w:p>
    <w:p>
      <w:pPr>
        <w:spacing w:line="360" w:lineRule="auto"/>
        <w:ind w:firstLine="480" w:firstLineChars="200"/>
        <w:jc w:val="left"/>
        <w:rPr>
          <w:rFonts w:hint="eastAsia" w:ascii="宋体" w:hAnsi="宋体" w:eastAsia="宋体" w:cs="宋体"/>
          <w:color w:val="000000"/>
          <w:sz w:val="24"/>
          <w:szCs w:val="28"/>
          <w:highlight w:val="none"/>
          <w:lang w:eastAsia="zh-CN"/>
        </w:rPr>
      </w:pPr>
      <w:r>
        <w:rPr>
          <w:rFonts w:hint="eastAsia" w:ascii="宋体" w:hAnsi="宋体" w:eastAsia="宋体" w:cs="宋体"/>
          <w:color w:val="000000"/>
          <w:sz w:val="24"/>
          <w:szCs w:val="28"/>
          <w:highlight w:val="none"/>
        </w:rPr>
        <w:t>项目联系人（询问）：</w:t>
      </w:r>
      <w:r>
        <w:rPr>
          <w:rFonts w:hint="eastAsia" w:ascii="宋体" w:hAnsi="宋体" w:eastAsia="宋体" w:cs="宋体"/>
          <w:color w:val="000000"/>
          <w:sz w:val="24"/>
          <w:szCs w:val="28"/>
          <w:highlight w:val="none"/>
          <w:lang w:val="en-US" w:eastAsia="zh-CN"/>
        </w:rPr>
        <w:t>田岳</w:t>
      </w:r>
    </w:p>
    <w:p>
      <w:pPr>
        <w:spacing w:line="360" w:lineRule="auto"/>
        <w:ind w:firstLine="480" w:firstLineChars="200"/>
        <w:jc w:val="left"/>
        <w:rPr>
          <w:rFonts w:hint="eastAsia" w:ascii="宋体" w:hAnsi="宋体" w:eastAsia="宋体" w:cs="宋体"/>
          <w:color w:val="000000"/>
          <w:sz w:val="24"/>
          <w:szCs w:val="28"/>
          <w:highlight w:val="none"/>
          <w:lang w:val="en-US" w:eastAsia="zh-CN"/>
        </w:rPr>
      </w:pPr>
      <w:r>
        <w:rPr>
          <w:rFonts w:hint="eastAsia" w:ascii="宋体" w:hAnsi="宋体" w:eastAsia="宋体" w:cs="宋体"/>
          <w:color w:val="000000"/>
          <w:sz w:val="24"/>
          <w:szCs w:val="28"/>
          <w:highlight w:val="none"/>
        </w:rPr>
        <w:t>项目联系方式（询问）：</w:t>
      </w:r>
      <w:r>
        <w:rPr>
          <w:rFonts w:hint="eastAsia" w:ascii="宋体" w:hAnsi="宋体" w:eastAsia="宋体" w:cs="宋体"/>
          <w:color w:val="000000"/>
          <w:sz w:val="24"/>
          <w:szCs w:val="28"/>
          <w:highlight w:val="none"/>
          <w:lang w:val="en-US" w:eastAsia="zh-CN"/>
        </w:rPr>
        <w:t>13777889406</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3.采购监督管理部门：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名称：开发区财政局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地址：杭州市萧山区市心北路99号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联系人：倪女士</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监督投诉电话：0571-82866806</w:t>
      </w:r>
    </w:p>
    <w:p>
      <w:pPr>
        <w:spacing w:line="360" w:lineRule="auto"/>
        <w:ind w:firstLine="480" w:firstLineChars="200"/>
        <w:rPr>
          <w:rFonts w:hint="eastAsia" w:ascii="宋体" w:hAnsi="宋体" w:eastAsia="宋体" w:cs="宋体"/>
          <w:color w:val="000000"/>
          <w:sz w:val="24"/>
          <w:highlight w:val="none"/>
        </w:rPr>
      </w:pP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若对项目电子交易系统操作有疑问，可登录</w:t>
      </w:r>
      <w:r>
        <w:rPr>
          <w:rFonts w:hint="eastAsia" w:ascii="宋体" w:hAnsi="宋体" w:cs="宋体"/>
          <w:color w:val="000000"/>
          <w:sz w:val="24"/>
          <w:highlight w:val="none"/>
          <w:lang w:eastAsia="zh-CN"/>
        </w:rPr>
        <w:t>乐采云</w:t>
      </w: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www.lecaiyun.com</w:t>
      </w:r>
      <w:r>
        <w:rPr>
          <w:rFonts w:hint="eastAsia" w:ascii="宋体" w:hAnsi="宋体" w:eastAsia="宋体" w:cs="宋体"/>
          <w:color w:val="000000"/>
          <w:sz w:val="24"/>
          <w:highlight w:val="none"/>
        </w:rPr>
        <w:t>），点击右侧咨询小采，获取采小蜜智能服务管家帮助，或拨打</w:t>
      </w:r>
      <w:r>
        <w:rPr>
          <w:rFonts w:hint="eastAsia" w:ascii="宋体" w:hAnsi="宋体" w:cs="宋体"/>
          <w:color w:val="000000"/>
          <w:sz w:val="24"/>
          <w:highlight w:val="none"/>
          <w:lang w:eastAsia="zh-CN"/>
        </w:rPr>
        <w:t>乐采云</w:t>
      </w:r>
      <w:r>
        <w:rPr>
          <w:rFonts w:hint="eastAsia" w:ascii="宋体" w:hAnsi="宋体" w:eastAsia="宋体" w:cs="宋体"/>
          <w:color w:val="000000"/>
          <w:sz w:val="24"/>
          <w:highlight w:val="none"/>
        </w:rPr>
        <w:t>服务热线95763获取热线服务帮助。</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000000"/>
          <w:sz w:val="36"/>
          <w:szCs w:val="20"/>
          <w:highlight w:val="none"/>
        </w:rPr>
      </w:pPr>
      <w:r>
        <w:rPr>
          <w:rFonts w:hint="eastAsia" w:ascii="宋体" w:hAnsi="宋体" w:eastAsia="宋体" w:cs="宋体"/>
          <w:b/>
          <w:color w:val="000000"/>
          <w:sz w:val="36"/>
          <w:szCs w:val="20"/>
          <w:highlight w:val="none"/>
        </w:rPr>
        <w:br w:type="page"/>
      </w:r>
      <w:r>
        <w:rPr>
          <w:rFonts w:hint="eastAsia" w:ascii="宋体" w:hAnsi="宋体" w:eastAsia="宋体" w:cs="宋体"/>
          <w:b/>
          <w:color w:val="000000"/>
          <w:sz w:val="36"/>
          <w:szCs w:val="20"/>
          <w:highlight w:val="none"/>
        </w:rPr>
        <w:t>第二部分</w:t>
      </w:r>
      <w:bookmarkEnd w:id="7"/>
      <w:r>
        <w:rPr>
          <w:rFonts w:hint="eastAsia" w:ascii="宋体" w:hAnsi="宋体" w:eastAsia="宋体" w:cs="宋体"/>
          <w:b/>
          <w:color w:val="000000"/>
          <w:sz w:val="36"/>
          <w:szCs w:val="20"/>
          <w:highlight w:val="none"/>
        </w:rPr>
        <w:t xml:space="preserve"> 响应人须知</w:t>
      </w:r>
      <w:bookmarkEnd w:id="8"/>
    </w:p>
    <w:p>
      <w:pPr>
        <w:snapToGrid w:val="0"/>
        <w:spacing w:line="360" w:lineRule="auto"/>
        <w:jc w:val="center"/>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前附表</w:t>
      </w:r>
    </w:p>
    <w:tbl>
      <w:tblPr>
        <w:tblStyle w:val="18"/>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w:t>
            </w:r>
            <w:r>
              <w:rPr>
                <w:rFonts w:hint="eastAsia" w:ascii="宋体" w:hAnsi="宋体" w:eastAsia="宋体" w:cs="宋体"/>
                <w:bCs/>
                <w:color w:val="000000"/>
                <w:sz w:val="24"/>
                <w:highlight w:val="none"/>
                <w:lang w:val="en-US" w:eastAsia="zh-CN"/>
              </w:rPr>
              <w:t xml:space="preserve">  </w:t>
            </w:r>
            <w:r>
              <w:rPr>
                <w:rFonts w:hint="eastAsia" w:ascii="宋体" w:hAnsi="宋体" w:eastAsia="宋体" w:cs="宋体"/>
                <w:bCs/>
                <w:color w:val="000000"/>
                <w:sz w:val="24"/>
                <w:highlight w:val="none"/>
              </w:rPr>
              <w:t>）</w:t>
            </w:r>
            <w:r>
              <w:rPr>
                <w:rFonts w:hint="eastAsia" w:ascii="宋体" w:hAnsi="宋体" w:eastAsia="宋体" w:cs="宋体"/>
                <w:color w:val="000000"/>
                <w:kern w:val="0"/>
                <w:sz w:val="24"/>
                <w:highlight w:val="none"/>
              </w:rPr>
              <w:t>A货物类</w:t>
            </w:r>
            <w:r>
              <w:rPr>
                <w:rFonts w:hint="eastAsia" w:ascii="宋体" w:hAnsi="宋体" w:eastAsia="宋体" w:cs="宋体"/>
                <w:color w:val="000000"/>
                <w:sz w:val="24"/>
                <w:highlight w:val="none"/>
              </w:rPr>
              <w:t>。</w:t>
            </w:r>
          </w:p>
          <w:p>
            <w:pPr>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w:t>
            </w:r>
            <w:r>
              <w:rPr>
                <w:rFonts w:hint="eastAsia" w:ascii="宋体" w:hAnsi="宋体" w:eastAsia="宋体" w:cs="宋体"/>
                <w:color w:val="000000"/>
                <w:kern w:val="0"/>
                <w:sz w:val="24"/>
                <w:highlight w:val="none"/>
              </w:rPr>
              <w:t>B服务类</w:t>
            </w:r>
            <w:r>
              <w:rPr>
                <w:rFonts w:hint="eastAsia" w:ascii="宋体" w:hAnsi="宋体" w:eastAsia="宋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  ）</w:t>
            </w:r>
            <w:r>
              <w:rPr>
                <w:rFonts w:hint="eastAsia" w:ascii="宋体" w:hAnsi="宋体" w:eastAsia="宋体" w:cs="宋体"/>
                <w:color w:val="000000"/>
                <w:kern w:val="0"/>
                <w:sz w:val="24"/>
                <w:highlight w:val="none"/>
              </w:rPr>
              <w:t>A适用</w:t>
            </w:r>
            <w:r>
              <w:rPr>
                <w:rFonts w:hint="eastAsia" w:ascii="宋体" w:hAnsi="宋体" w:eastAsia="宋体" w:cs="宋体"/>
                <w:color w:val="000000"/>
                <w:sz w:val="24"/>
                <w:highlight w:val="none"/>
              </w:rPr>
              <w:t>。</w:t>
            </w:r>
          </w:p>
          <w:p>
            <w:pPr>
              <w:rPr>
                <w:rFonts w:hint="eastAsia" w:ascii="宋体" w:hAnsi="宋体" w:eastAsia="宋体" w:cs="宋体"/>
                <w:color w:val="000000"/>
                <w:kern w:val="0"/>
                <w:sz w:val="24"/>
                <w:highlight w:val="none"/>
              </w:rPr>
            </w:pPr>
            <w:r>
              <w:rPr>
                <w:rFonts w:hint="eastAsia" w:ascii="宋体" w:hAnsi="宋体" w:eastAsia="宋体" w:cs="宋体"/>
                <w:bCs/>
                <w:color w:val="000000"/>
                <w:sz w:val="24"/>
                <w:highlight w:val="none"/>
              </w:rPr>
              <w:t>（√）</w:t>
            </w:r>
            <w:r>
              <w:rPr>
                <w:rFonts w:hint="eastAsia" w:ascii="宋体" w:hAnsi="宋体" w:eastAsia="宋体" w:cs="宋体"/>
                <w:color w:val="000000"/>
                <w:kern w:val="0"/>
                <w:sz w:val="24"/>
                <w:highlight w:val="none"/>
              </w:rPr>
              <w:t>B不适用</w:t>
            </w:r>
            <w:r>
              <w:rPr>
                <w:rFonts w:hint="eastAsia" w:ascii="宋体" w:hAnsi="宋体" w:eastAsia="宋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rPr>
                <w:rFonts w:hint="eastAsia" w:ascii="宋体" w:hAnsi="宋体" w:eastAsia="宋体" w:cs="宋体"/>
                <w:color w:val="000000"/>
                <w:highlight w:val="none"/>
              </w:rPr>
            </w:pPr>
            <w:r>
              <w:rPr>
                <w:rFonts w:hint="eastAsia" w:ascii="宋体" w:hAnsi="宋体" w:eastAsia="宋体" w:cs="宋体"/>
                <w:bCs/>
                <w:color w:val="000000"/>
                <w:sz w:val="24"/>
                <w:highlight w:val="none"/>
              </w:rPr>
              <w:t>（√）</w:t>
            </w:r>
            <w:r>
              <w:rPr>
                <w:rFonts w:hint="eastAsia" w:ascii="宋体" w:hAnsi="宋体" w:eastAsia="宋体" w:cs="宋体"/>
                <w:color w:val="000000"/>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w:t>
            </w:r>
            <w:r>
              <w:rPr>
                <w:rFonts w:hint="eastAsia" w:ascii="宋体" w:hAnsi="宋体" w:eastAsia="宋体" w:cs="宋体"/>
                <w:bCs/>
                <w:color w:val="000000"/>
                <w:kern w:val="0"/>
                <w:sz w:val="24"/>
                <w:highlight w:val="none"/>
              </w:rPr>
              <w:t>B</w:t>
            </w:r>
            <w:r>
              <w:rPr>
                <w:rFonts w:hint="eastAsia" w:ascii="宋体" w:hAnsi="宋体" w:eastAsia="宋体" w:cs="宋体"/>
                <w:bCs/>
                <w:color w:val="000000"/>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rPr>
                <w:rFonts w:hint="eastAsia" w:ascii="宋体" w:hAnsi="宋体" w:eastAsia="宋体" w:cs="宋体"/>
                <w:bCs/>
                <w:color w:val="000000"/>
                <w:sz w:val="24"/>
                <w:szCs w:val="20"/>
                <w:highlight w:val="none"/>
              </w:rPr>
            </w:pPr>
            <w:r>
              <w:rPr>
                <w:rFonts w:hint="eastAsia" w:ascii="宋体" w:hAnsi="宋体" w:eastAsia="宋体" w:cs="宋体"/>
                <w:bCs/>
                <w:color w:val="000000"/>
                <w:sz w:val="24"/>
                <w:highlight w:val="none"/>
              </w:rPr>
              <w:t>（√）</w:t>
            </w:r>
            <w:r>
              <w:rPr>
                <w:rFonts w:hint="eastAsia" w:ascii="宋体" w:hAnsi="宋体" w:eastAsia="宋体" w:cs="宋体"/>
                <w:bCs/>
                <w:color w:val="000000"/>
                <w:kern w:val="0"/>
                <w:sz w:val="24"/>
                <w:highlight w:val="none"/>
              </w:rPr>
              <w:t>A</w:t>
            </w:r>
            <w:r>
              <w:rPr>
                <w:rFonts w:hint="eastAsia" w:ascii="宋体" w:hAnsi="宋体" w:eastAsia="宋体" w:cs="宋体"/>
                <w:bCs/>
                <w:color w:val="000000"/>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jc w:val="center"/>
              <w:rPr>
                <w:rFonts w:hint="eastAsia" w:ascii="宋体" w:hAnsi="宋体" w:eastAsia="宋体" w:cs="宋体"/>
                <w:color w:val="000000"/>
                <w:highlight w:val="none"/>
              </w:rPr>
            </w:pPr>
            <w:r>
              <w:rPr>
                <w:rFonts w:hint="eastAsia" w:ascii="宋体" w:hAnsi="宋体" w:eastAsia="宋体" w:cs="宋体"/>
                <w:b/>
                <w:color w:val="000000"/>
                <w:sz w:val="24"/>
                <w:highlight w:val="none"/>
              </w:rPr>
              <w:t>现场讲解</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4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（√）A不组织。</w:t>
            </w:r>
          </w:p>
          <w:p>
            <w:pPr>
              <w:snapToGrid w:val="0"/>
              <w:spacing w:line="400" w:lineRule="exact"/>
              <w:rPr>
                <w:rFonts w:hint="eastAsia" w:ascii="宋体" w:hAnsi="宋体" w:eastAsia="宋体" w:cs="宋体"/>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8" w:hRule="atLeast"/>
          <w:tblHeader/>
          <w:jc w:val="center"/>
        </w:trPr>
        <w:tc>
          <w:tcPr>
            <w:tcW w:w="629"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8</w:t>
            </w:r>
          </w:p>
        </w:tc>
        <w:tc>
          <w:tcPr>
            <w:tcW w:w="1843" w:type="dxa"/>
            <w:tcBorders>
              <w:top w:val="single" w:color="000000" w:sz="8" w:space="0"/>
              <w:left w:val="single" w:color="auto" w:sz="4"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（1）资格证明文件：见公开竞争文件第二部分10.1。</w:t>
            </w:r>
          </w:p>
          <w:p>
            <w:pPr>
              <w:rPr>
                <w:rFonts w:hint="eastAsia" w:ascii="宋体" w:hAnsi="宋体" w:eastAsia="宋体" w:cs="宋体"/>
                <w:snapToGrid w:val="0"/>
                <w:color w:val="000000"/>
                <w:kern w:val="0"/>
                <w:szCs w:val="21"/>
                <w:highlight w:val="none"/>
              </w:rPr>
            </w:pPr>
            <w:r>
              <w:rPr>
                <w:rFonts w:hint="eastAsia" w:ascii="宋体" w:hAnsi="宋体" w:eastAsia="宋体" w:cs="宋体"/>
                <w:color w:val="000000"/>
                <w:kern w:val="0"/>
                <w:sz w:val="24"/>
                <w:highlight w:val="none"/>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p>
        </w:tc>
        <w:tc>
          <w:tcPr>
            <w:tcW w:w="1843" w:type="dxa"/>
            <w:tcBorders>
              <w:top w:val="single" w:color="000000" w:sz="8" w:space="0"/>
              <w:left w:val="single" w:color="auto" w:sz="4" w:space="0"/>
              <w:right w:val="single" w:color="000000" w:sz="8" w:space="0"/>
            </w:tcBorders>
            <w:noWrap w:val="0"/>
            <w:vAlign w:val="center"/>
          </w:tcPr>
          <w:p>
            <w:pPr>
              <w:snapToGrid w:val="0"/>
              <w:jc w:val="center"/>
              <w:rPr>
                <w:rFonts w:hint="eastAsia" w:ascii="宋体" w:hAnsi="宋体" w:eastAsia="宋体" w:cs="宋体"/>
                <w:bCs/>
                <w:color w:val="000000"/>
                <w:sz w:val="24"/>
                <w:highlight w:val="none"/>
              </w:rPr>
            </w:pPr>
            <w:r>
              <w:rPr>
                <w:rFonts w:hint="eastAsia" w:ascii="宋体" w:hAnsi="宋体" w:eastAsia="宋体" w:cs="宋体"/>
                <w:b/>
                <w:color w:val="000000"/>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ind w:firstLine="480" w:firstLineChars="200"/>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有关本项目实施所需的所有费用（含税费）均计入报价。</w:t>
            </w:r>
            <w:r>
              <w:rPr>
                <w:rFonts w:hint="eastAsia" w:ascii="宋体" w:hAnsi="宋体" w:eastAsia="宋体" w:cs="宋体"/>
                <w:bCs/>
                <w:color w:val="000000"/>
                <w:kern w:val="0"/>
                <w:sz w:val="24"/>
                <w:highlight w:val="none"/>
              </w:rPr>
              <w:t>交易一览表（报价表）是报价的唯一载体</w:t>
            </w:r>
            <w:r>
              <w:rPr>
                <w:rFonts w:hint="eastAsia" w:ascii="宋体" w:hAnsi="宋体" w:eastAsia="宋体" w:cs="宋体"/>
                <w:bCs/>
                <w:color w:val="000000"/>
                <w:kern w:val="0"/>
                <w:sz w:val="24"/>
                <w:highlight w:val="none"/>
                <w:lang w:val="zh-CN"/>
              </w:rPr>
              <w:t>。响应文件中价格全部采用人民币报价。公开竞争文件未列明，而响应人认为必需的费用也需列入报价。</w:t>
            </w:r>
          </w:p>
          <w:p>
            <w:pPr>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交易报价出现下列情形的，交易无效：</w:t>
            </w:r>
          </w:p>
          <w:p>
            <w:pPr>
              <w:ind w:firstLine="480" w:firstLineChars="200"/>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响应文件出现不是唯一的、有选择性交易报价的；</w:t>
            </w:r>
          </w:p>
          <w:p>
            <w:pPr>
              <w:ind w:firstLine="480" w:firstLineChars="200"/>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交易报价超过公开竞争文件中规定的预算金额或者最高限价的；</w:t>
            </w:r>
          </w:p>
          <w:p>
            <w:pPr>
              <w:ind w:firstLine="480" w:firstLineChars="200"/>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hint="eastAsia" w:ascii="宋体" w:hAnsi="宋体" w:eastAsia="宋体" w:cs="宋体"/>
                <w:color w:val="000000"/>
                <w:kern w:val="0"/>
                <w:sz w:val="24"/>
                <w:highlight w:val="none"/>
                <w:lang w:val="zh-CN"/>
              </w:rPr>
            </w:pPr>
            <w:r>
              <w:rPr>
                <w:rFonts w:hint="eastAsia" w:ascii="宋体" w:hAnsi="宋体" w:eastAsia="宋体" w:cs="宋体"/>
                <w:bCs/>
                <w:color w:val="000000"/>
                <w:kern w:val="0"/>
                <w:sz w:val="24"/>
                <w:highlight w:val="none"/>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备份响应文件</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pStyle w:val="11"/>
              <w:ind w:hanging="4"/>
              <w:rPr>
                <w:rFonts w:hint="eastAsia" w:ascii="宋体" w:hAnsi="宋体" w:eastAsia="宋体" w:cs="宋体"/>
                <w:color w:val="000000"/>
                <w:kern w:val="28"/>
                <w:sz w:val="24"/>
                <w:szCs w:val="24"/>
                <w:highlight w:val="none"/>
              </w:rPr>
            </w:pPr>
            <w:r>
              <w:rPr>
                <w:rFonts w:hint="eastAsia" w:ascii="宋体" w:hAnsi="宋体" w:eastAsia="宋体" w:cs="宋体"/>
                <w:color w:val="000000"/>
                <w:kern w:val="28"/>
                <w:sz w:val="24"/>
                <w:szCs w:val="24"/>
                <w:highlight w:val="none"/>
              </w:rPr>
              <w:t>备份文件是否收取：不收取。</w:t>
            </w:r>
          </w:p>
          <w:p>
            <w:pPr>
              <w:pStyle w:val="11"/>
              <w:ind w:hanging="4"/>
              <w:rPr>
                <w:rFonts w:hint="eastAsia" w:ascii="宋体" w:hAnsi="宋体" w:eastAsia="宋体" w:cs="宋体"/>
                <w:color w:val="000000"/>
                <w:kern w:val="28"/>
                <w:sz w:val="24"/>
                <w:szCs w:val="24"/>
                <w:highlight w:val="none"/>
              </w:rPr>
            </w:pPr>
            <w:r>
              <w:rPr>
                <w:rFonts w:hint="eastAsia" w:ascii="宋体" w:hAnsi="宋体" w:eastAsia="宋体" w:cs="宋体"/>
                <w:b/>
                <w:color w:val="000000"/>
                <w:sz w:val="24"/>
                <w:highlight w:val="none"/>
              </w:rPr>
              <w:t>成交</w:t>
            </w:r>
            <w:r>
              <w:rPr>
                <w:rFonts w:hint="eastAsia" w:ascii="宋体" w:hAnsi="宋体" w:eastAsia="宋体" w:cs="宋体"/>
                <w:b/>
                <w:color w:val="000000"/>
                <w:sz w:val="24"/>
                <w:highlight w:val="none"/>
                <w:lang w:val="en-US" w:eastAsia="zh-CN"/>
              </w:rPr>
              <w:t>人</w:t>
            </w:r>
            <w:r>
              <w:rPr>
                <w:rFonts w:hint="eastAsia" w:ascii="宋体" w:hAnsi="宋体" w:eastAsia="宋体" w:cs="宋体"/>
                <w:b/>
                <w:color w:val="000000"/>
                <w:sz w:val="24"/>
                <w:highlight w:val="none"/>
              </w:rPr>
              <w:t>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代理机构代理费用</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snapToGrid w:val="0"/>
              <w:rPr>
                <w:rFonts w:hint="eastAsia" w:ascii="宋体" w:hAnsi="宋体" w:eastAsia="宋体" w:cs="宋体"/>
                <w:bCs/>
                <w:color w:val="000000"/>
                <w:kern w:val="0"/>
                <w:sz w:val="24"/>
                <w:highlight w:val="none"/>
                <w:lang w:val="en-US" w:eastAsia="zh-CN"/>
              </w:rPr>
            </w:pPr>
            <w:r>
              <w:rPr>
                <w:rFonts w:hint="eastAsia" w:ascii="宋体" w:hAnsi="宋体" w:eastAsia="宋体" w:cs="宋体"/>
                <w:bCs/>
                <w:color w:val="000000"/>
                <w:kern w:val="0"/>
                <w:sz w:val="24"/>
                <w:highlight w:val="none"/>
                <w:lang w:val="en-US" w:eastAsia="zh-CN"/>
              </w:rPr>
              <w:t>本项目代理服务费由交易发起人支付。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Cs/>
                <w:color w:val="000000"/>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履约保证金</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snapToGrid w:val="0"/>
              <w:rPr>
                <w:rFonts w:hint="eastAsia" w:ascii="宋体" w:hAnsi="宋体" w:eastAsia="宋体" w:cs="宋体"/>
                <w:bCs/>
                <w:color w:val="000000"/>
                <w:kern w:val="0"/>
                <w:sz w:val="24"/>
                <w:highlight w:val="none"/>
                <w:lang w:eastAsia="zh-CN"/>
              </w:rPr>
            </w:pPr>
            <w:r>
              <w:rPr>
                <w:rFonts w:hint="eastAsia" w:ascii="宋体" w:hAnsi="宋体" w:eastAsia="宋体" w:cs="宋体"/>
                <w:bCs/>
                <w:color w:val="000000"/>
                <w:kern w:val="0"/>
                <w:sz w:val="24"/>
                <w:highlight w:val="none"/>
                <w:lang w:eastAsia="zh-CN"/>
              </w:rPr>
              <w:t>成交价的1%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snapToGrid w:val="0"/>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异议接收人及答复</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代理机构异议接收人：</w:t>
            </w:r>
            <w:r>
              <w:rPr>
                <w:rFonts w:hint="eastAsia" w:ascii="宋体" w:hAnsi="宋体" w:eastAsia="宋体" w:cs="宋体"/>
                <w:color w:val="000000"/>
                <w:sz w:val="24"/>
                <w:highlight w:val="none"/>
                <w:u w:val="single"/>
                <w:lang w:val="en-US" w:eastAsia="zh-CN"/>
              </w:rPr>
              <w:t>俞佳</w:t>
            </w:r>
            <w:r>
              <w:rPr>
                <w:rFonts w:hint="eastAsia" w:ascii="宋体" w:hAnsi="宋体" w:eastAsia="宋体" w:cs="宋体"/>
                <w:color w:val="000000"/>
                <w:sz w:val="24"/>
                <w:highlight w:val="none"/>
              </w:rPr>
              <w:t xml:space="preserve"> 联系方式：</w:t>
            </w:r>
            <w:r>
              <w:rPr>
                <w:rFonts w:hint="eastAsia" w:ascii="宋体" w:hAnsi="宋体" w:eastAsia="宋体" w:cs="宋体"/>
                <w:color w:val="000000"/>
                <w:sz w:val="24"/>
                <w:highlight w:val="none"/>
                <w:u w:val="single"/>
              </w:rPr>
              <w:t>0571-83731873</w:t>
            </w:r>
          </w:p>
          <w:p>
            <w:pPr>
              <w:snapToGrid w:val="0"/>
              <w:spacing w:line="500" w:lineRule="exact"/>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地址：</w:t>
            </w:r>
            <w:r>
              <w:rPr>
                <w:rFonts w:hint="eastAsia" w:ascii="宋体" w:hAnsi="宋体" w:eastAsia="宋体" w:cs="宋体"/>
                <w:color w:val="000000"/>
                <w:sz w:val="24"/>
                <w:highlight w:val="none"/>
                <w:u w:val="single"/>
              </w:rPr>
              <w:t>萧山区蜀山街道柳桥南和城4幢1单元1003室</w:t>
            </w:r>
          </w:p>
          <w:p>
            <w:pPr>
              <w:snapToGrid w:val="0"/>
              <w:spacing w:line="5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邮箱：</w:t>
            </w:r>
            <w:r>
              <w:rPr>
                <w:rFonts w:hint="eastAsia" w:ascii="宋体" w:hAnsi="宋体" w:eastAsia="宋体" w:cs="宋体"/>
                <w:color w:val="000000"/>
                <w:sz w:val="24"/>
                <w:highlight w:val="none"/>
                <w:u w:val="single"/>
              </w:rPr>
              <w:fldChar w:fldCharType="begin"/>
            </w:r>
            <w:r>
              <w:rPr>
                <w:rFonts w:hint="eastAsia" w:ascii="宋体" w:hAnsi="宋体" w:eastAsia="宋体" w:cs="宋体"/>
                <w:color w:val="000000"/>
                <w:sz w:val="24"/>
                <w:highlight w:val="none"/>
                <w:u w:val="single"/>
              </w:rPr>
              <w:instrText xml:space="preserve"> HYPERLINK "mailto:382733636@qq.com" </w:instrText>
            </w:r>
            <w:r>
              <w:rPr>
                <w:rFonts w:hint="eastAsia" w:ascii="宋体" w:hAnsi="宋体" w:eastAsia="宋体" w:cs="宋体"/>
                <w:color w:val="000000"/>
                <w:sz w:val="24"/>
                <w:highlight w:val="none"/>
                <w:u w:val="single"/>
              </w:rPr>
              <w:fldChar w:fldCharType="separate"/>
            </w:r>
            <w:r>
              <w:rPr>
                <w:rFonts w:hint="eastAsia" w:ascii="宋体" w:hAnsi="宋体" w:eastAsia="宋体" w:cs="宋体"/>
                <w:color w:val="000000"/>
                <w:sz w:val="24"/>
                <w:highlight w:val="none"/>
                <w:u w:val="single"/>
                <w:lang w:val="en-US" w:eastAsia="zh-CN"/>
              </w:rPr>
              <w:t>1062785323qq.com</w:t>
            </w:r>
            <w:r>
              <w:rPr>
                <w:rFonts w:hint="eastAsia" w:ascii="宋体" w:hAnsi="宋体" w:eastAsia="宋体" w:cs="宋体"/>
                <w:color w:val="000000"/>
                <w:sz w:val="24"/>
                <w:highlight w:val="none"/>
                <w:u w:val="single"/>
              </w:rPr>
              <w:t>@qq.com</w:t>
            </w:r>
            <w:r>
              <w:rPr>
                <w:rFonts w:hint="eastAsia" w:ascii="宋体" w:hAnsi="宋体" w:eastAsia="宋体" w:cs="宋体"/>
                <w:color w:val="000000"/>
                <w:sz w:val="24"/>
                <w:highlight w:val="none"/>
                <w:u w:val="single"/>
              </w:rPr>
              <w:fldChar w:fldCharType="end"/>
            </w:r>
          </w:p>
          <w:p>
            <w:pPr>
              <w:snapToGrid w:val="0"/>
              <w:spacing w:line="40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如通过邮箱方式发送异议，须提交符合法规及公开竞争文件要求的异议文件（参考附件</w:t>
            </w:r>
            <w:r>
              <w:rPr>
                <w:rFonts w:hint="eastAsia" w:ascii="宋体" w:hAnsi="宋体" w:eastAsia="宋体" w:cs="宋体"/>
                <w:b/>
                <w:color w:val="000000"/>
                <w:sz w:val="24"/>
                <w:highlight w:val="none"/>
                <w:lang w:val="en-US" w:eastAsia="zh-CN"/>
              </w:rPr>
              <w:t>1</w:t>
            </w:r>
            <w:r>
              <w:rPr>
                <w:rFonts w:hint="eastAsia" w:ascii="宋体" w:hAnsi="宋体" w:eastAsia="宋体" w:cs="宋体"/>
                <w:b/>
                <w:color w:val="000000"/>
                <w:sz w:val="24"/>
                <w:highlight w:val="none"/>
              </w:rPr>
              <w:t>），盖章扫描后发送，异议的受理按答复主体划分以交易发起人或代理机构邮箱回复确认受理为准。</w:t>
            </w:r>
          </w:p>
          <w:p>
            <w:pPr>
              <w:snapToGrid w:val="0"/>
              <w:spacing w:line="40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本项目涉及资格条件、交易需求、评分办法及交易过程中有关现场考察或开标前答疑会事项由交易发起人进行答复。</w:t>
            </w:r>
          </w:p>
          <w:p>
            <w:pPr>
              <w:pStyle w:val="11"/>
              <w:spacing w:line="400" w:lineRule="exact"/>
              <w:ind w:hanging="4"/>
              <w:rPr>
                <w:rFonts w:hint="eastAsia" w:ascii="宋体" w:hAnsi="宋体" w:eastAsia="宋体" w:cs="宋体"/>
                <w:color w:val="000000"/>
                <w:sz w:val="24"/>
                <w:highlight w:val="none"/>
              </w:rPr>
            </w:pPr>
            <w:r>
              <w:rPr>
                <w:rFonts w:hint="eastAsia" w:ascii="宋体" w:hAnsi="宋体" w:eastAsia="宋体" w:cs="宋体"/>
                <w:color w:val="000000"/>
                <w:sz w:val="24"/>
                <w:highlight w:val="none"/>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2"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noWrap w:val="0"/>
            <w:vAlign w:val="center"/>
          </w:tcPr>
          <w:p>
            <w:pPr>
              <w:rPr>
                <w:rFonts w:hint="eastAsia" w:ascii="宋体" w:hAnsi="宋体" w:eastAsia="宋体" w:cs="宋体"/>
                <w:snapToGrid w:val="0"/>
                <w:color w:val="000000"/>
                <w:kern w:val="28"/>
                <w:sz w:val="24"/>
                <w:highlight w:val="none"/>
              </w:rPr>
            </w:pPr>
            <w:r>
              <w:rPr>
                <w:rFonts w:hint="eastAsia" w:ascii="宋体" w:hAnsi="宋体" w:eastAsia="宋体" w:cs="宋体"/>
                <w:b/>
                <w:color w:val="000000"/>
                <w:sz w:val="24"/>
                <w:highlight w:val="none"/>
              </w:rPr>
              <w:t>本项目通用总则条款与前附表等专用特别规定有冲突之处，以专用条款（特别规定）为准。</w:t>
            </w:r>
          </w:p>
        </w:tc>
      </w:tr>
    </w:tbl>
    <w:p>
      <w:pPr>
        <w:snapToGrid w:val="0"/>
        <w:spacing w:line="360" w:lineRule="auto"/>
        <w:jc w:val="center"/>
        <w:rPr>
          <w:rFonts w:hint="eastAsia" w:ascii="宋体" w:hAnsi="宋体" w:eastAsia="宋体" w:cs="宋体"/>
          <w:b/>
          <w:color w:val="000000"/>
          <w:sz w:val="32"/>
          <w:szCs w:val="20"/>
          <w:highlight w:val="none"/>
        </w:rPr>
      </w:pPr>
    </w:p>
    <w:bookmarkEnd w:id="9"/>
    <w:p>
      <w:pPr>
        <w:rPr>
          <w:rFonts w:hint="eastAsia" w:ascii="宋体" w:hAnsi="宋体" w:eastAsia="宋体" w:cs="宋体"/>
          <w:b/>
          <w:color w:val="000000"/>
          <w:sz w:val="32"/>
          <w:szCs w:val="20"/>
          <w:highlight w:val="none"/>
        </w:rPr>
      </w:pPr>
      <w:bookmarkStart w:id="12" w:name="第三部分"/>
      <w:bookmarkStart w:id="13" w:name="_Toc164416483"/>
      <w:r>
        <w:rPr>
          <w:rFonts w:hint="eastAsia" w:ascii="宋体" w:hAnsi="宋体" w:eastAsia="宋体" w:cs="宋体"/>
          <w:b/>
          <w:color w:val="000000"/>
          <w:sz w:val="32"/>
          <w:szCs w:val="20"/>
          <w:highlight w:val="none"/>
        </w:rPr>
        <w:br w:type="page"/>
      </w:r>
    </w:p>
    <w:p>
      <w:pPr>
        <w:adjustRightInd/>
        <w:spacing w:line="360" w:lineRule="auto"/>
        <w:ind w:firstLine="3845" w:firstLineChars="1197"/>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一、总则</w:t>
      </w:r>
    </w:p>
    <w:p>
      <w:pPr>
        <w:keepNext w:val="0"/>
        <w:keepLines w:val="0"/>
        <w:pageBreakBefore w:val="0"/>
        <w:kinsoku/>
        <w:wordWrap/>
        <w:overflowPunct/>
        <w:topLinePunct w:val="0"/>
        <w:bidi w:val="0"/>
        <w:snapToGrid w:val="0"/>
        <w:spacing w:beforeAutospacing="0" w:line="360" w:lineRule="auto"/>
        <w:jc w:val="left"/>
        <w:textAlignment w:val="auto"/>
        <w:outlineLvl w:val="1"/>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1.适用范围</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本公开竞争文件适用于该项目的交易、响应、评审、资格审查及信用信息查询、评审、定标、合同、验收等行为（法律、法规另有规定的，从其规定）。</w:t>
      </w:r>
    </w:p>
    <w:p>
      <w:pPr>
        <w:keepNext w:val="0"/>
        <w:keepLines w:val="0"/>
        <w:pageBreakBefore w:val="0"/>
        <w:kinsoku/>
        <w:wordWrap/>
        <w:overflowPunct/>
        <w:topLinePunct w:val="0"/>
        <w:bidi w:val="0"/>
        <w:adjustRightInd/>
        <w:spacing w:beforeAutospacing="0" w:line="360" w:lineRule="auto"/>
        <w:textAlignment w:val="auto"/>
        <w:outlineLvl w:val="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2.定义</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2.1“交易发起人”系指交易公告中载明的本项目的交易发起人。</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2.2“代理机构”系指交易公告中载明的本项目的代理机构。</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2.3“响应人”系指是指响应</w:t>
      </w:r>
      <w:r>
        <w:rPr>
          <w:rFonts w:hint="eastAsia" w:ascii="宋体" w:hAnsi="宋体" w:eastAsia="宋体" w:cs="宋体"/>
          <w:color w:val="000000"/>
          <w:sz w:val="24"/>
          <w:highlight w:val="none"/>
          <w:lang w:val="en-US" w:eastAsia="zh-CN"/>
        </w:rPr>
        <w:t>交易</w:t>
      </w:r>
      <w:r>
        <w:rPr>
          <w:rFonts w:hint="eastAsia" w:ascii="宋体" w:hAnsi="宋体" w:eastAsia="宋体" w:cs="宋体"/>
          <w:color w:val="000000"/>
          <w:sz w:val="24"/>
          <w:highlight w:val="none"/>
        </w:rPr>
        <w:t>、参加响应竞争的法人、其他组织或者自然人。</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2.6“电子交易平台”是指本项目交易活动所依托的</w:t>
      </w:r>
      <w:r>
        <w:rPr>
          <w:rFonts w:hint="eastAsia" w:ascii="宋体" w:hAnsi="宋体" w:cs="宋体"/>
          <w:color w:val="000000"/>
          <w:sz w:val="24"/>
          <w:highlight w:val="none"/>
          <w:lang w:val="en-US" w:eastAsia="zh-CN"/>
        </w:rPr>
        <w:t>乐采</w:t>
      </w:r>
      <w:r>
        <w:rPr>
          <w:rFonts w:hint="eastAsia" w:ascii="宋体" w:hAnsi="宋体" w:eastAsia="宋体" w:cs="宋体"/>
          <w:color w:val="000000"/>
          <w:sz w:val="24"/>
          <w:highlight w:val="none"/>
        </w:rPr>
        <w:t>云平台（</w:t>
      </w:r>
      <w:r>
        <w:rPr>
          <w:rFonts w:hint="eastAsia" w:ascii="宋体" w:hAnsi="宋体" w:cs="宋体"/>
          <w:color w:val="000000"/>
          <w:sz w:val="24"/>
          <w:highlight w:val="none"/>
          <w:lang w:eastAsia="zh-CN"/>
        </w:rPr>
        <w:t>www.lecaiyun.com</w:t>
      </w:r>
      <w:r>
        <w:rPr>
          <w:rFonts w:hint="eastAsia" w:ascii="宋体" w:hAnsi="宋体" w:eastAsia="宋体" w:cs="宋体"/>
          <w:color w:val="000000"/>
          <w:sz w:val="24"/>
          <w:highlight w:val="none"/>
        </w:rPr>
        <w:t>）。</w:t>
      </w:r>
    </w:p>
    <w:p>
      <w:pPr>
        <w:keepNext w:val="0"/>
        <w:keepLines w:val="0"/>
        <w:pageBreakBefore w:val="0"/>
        <w:widowControl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2.7“▲” 系指实质性要求条款，“（</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rPr>
        <w:t>）” 系指适用本项目的要求，“（  ）”系指不适用本项目的要求。</w:t>
      </w:r>
    </w:p>
    <w:p>
      <w:pPr>
        <w:keepNext w:val="0"/>
        <w:keepLines w:val="0"/>
        <w:pageBreakBefore w:val="0"/>
        <w:kinsoku/>
        <w:wordWrap/>
        <w:overflowPunct/>
        <w:topLinePunct w:val="0"/>
        <w:bidi w:val="0"/>
        <w:spacing w:beforeAutospacing="0" w:line="360" w:lineRule="auto"/>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3.异议、投诉</w:t>
      </w:r>
    </w:p>
    <w:p>
      <w:pPr>
        <w:keepNext w:val="0"/>
        <w:keepLines w:val="0"/>
        <w:pageBreakBefore w:val="0"/>
        <w:kinsoku/>
        <w:wordWrap/>
        <w:overflowPunct/>
        <w:topLinePunct w:val="0"/>
        <w:autoSpaceDE w:val="0"/>
        <w:autoSpaceDN w:val="0"/>
        <w:bidi w:val="0"/>
        <w:spacing w:beforeAutospacing="0" w:line="360" w:lineRule="auto"/>
        <w:ind w:firstLine="480" w:firstLineChars="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.1响应人异议</w:t>
      </w:r>
    </w:p>
    <w:p>
      <w:pPr>
        <w:keepNext w:val="0"/>
        <w:keepLines w:val="0"/>
        <w:pageBreakBefore w:val="0"/>
        <w:kinsoku/>
        <w:wordWrap/>
        <w:overflowPunct/>
        <w:topLinePunct w:val="0"/>
        <w:autoSpaceDE w:val="0"/>
        <w:autoSpaceDN w:val="0"/>
        <w:bidi w:val="0"/>
        <w:spacing w:beforeAutospacing="0" w:line="360" w:lineRule="auto"/>
        <w:ind w:firstLine="480" w:firstLineChars="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响应人对</w:t>
      </w:r>
      <w:r>
        <w:rPr>
          <w:rFonts w:hint="eastAsia" w:ascii="宋体" w:hAnsi="宋体" w:eastAsia="宋体" w:cs="宋体"/>
          <w:color w:val="000000"/>
          <w:kern w:val="0"/>
          <w:sz w:val="24"/>
          <w:highlight w:val="none"/>
        </w:rPr>
        <w:t>交易</w:t>
      </w:r>
      <w:r>
        <w:rPr>
          <w:rFonts w:hint="eastAsia" w:ascii="宋体" w:hAnsi="宋体" w:eastAsia="宋体" w:cs="宋体"/>
          <w:color w:val="000000"/>
          <w:kern w:val="0"/>
          <w:sz w:val="24"/>
          <w:highlight w:val="none"/>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keepNext w:val="0"/>
        <w:keepLines w:val="0"/>
        <w:pageBreakBefore w:val="0"/>
        <w:kinsoku/>
        <w:wordWrap/>
        <w:overflowPunct/>
        <w:topLinePunct w:val="0"/>
        <w:autoSpaceDE w:val="0"/>
        <w:autoSpaceDN w:val="0"/>
        <w:bidi w:val="0"/>
        <w:spacing w:beforeAutospacing="0" w:line="360" w:lineRule="auto"/>
        <w:ind w:firstLine="480" w:firstLineChars="200"/>
        <w:jc w:val="left"/>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.2响应人异议</w:t>
      </w:r>
    </w:p>
    <w:p>
      <w:pPr>
        <w:pStyle w:val="11"/>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w:t>
      </w:r>
      <w:r>
        <w:rPr>
          <w:rFonts w:hint="eastAsia" w:ascii="宋体" w:hAnsi="宋体" w:eastAsia="宋体" w:cs="宋体"/>
          <w:color w:val="000000"/>
          <w:sz w:val="24"/>
          <w:highlight w:val="none"/>
        </w:rPr>
        <w:t>.1提出</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的响应人应当是参与所质</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项目交易活动的响应人。潜在响应人已依法获取其可</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的公开竞争文件的，可以对该文件提出</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w:t>
      </w:r>
    </w:p>
    <w:p>
      <w:pPr>
        <w:pStyle w:val="11"/>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w:t>
      </w:r>
      <w:r>
        <w:rPr>
          <w:rFonts w:hint="eastAsia" w:ascii="宋体" w:hAnsi="宋体" w:eastAsia="宋体" w:cs="宋体"/>
          <w:color w:val="000000"/>
          <w:sz w:val="24"/>
          <w:highlight w:val="none"/>
        </w:rPr>
        <w:t>.2响应人认为公开竞争文件、交易过程和成交结果使自己的权益受到损害的，可以在知道或者应知其权益受到损害之日起3日内，以书面形式向交易发起人或者代理机构提出</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，否则，交易发起人或者代理机构不予受理：</w:t>
      </w:r>
    </w:p>
    <w:p>
      <w:pPr>
        <w:pStyle w:val="11"/>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3.2.2.1对交易过程提出</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的，</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期限为各交易程序环节结束之日起计算。对同一交易程序环节的</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，响应人须一次性提出。</w:t>
      </w:r>
    </w:p>
    <w:p>
      <w:pPr>
        <w:pStyle w:val="11"/>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.2.3</w:t>
      </w:r>
      <w:r>
        <w:rPr>
          <w:rFonts w:hint="eastAsia" w:ascii="宋体" w:hAnsi="宋体" w:eastAsia="宋体" w:cs="宋体"/>
          <w:color w:val="000000"/>
          <w:sz w:val="24"/>
          <w:highlight w:val="none"/>
        </w:rPr>
        <w:t>响应人提出</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应当提交</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函和必要的证明材料。</w:t>
      </w:r>
      <w:r>
        <w:rPr>
          <w:rFonts w:hint="eastAsia" w:ascii="宋体" w:hAnsi="宋体" w:eastAsia="宋体" w:cs="宋体"/>
          <w:color w:val="000000"/>
          <w:kern w:val="0"/>
          <w:sz w:val="24"/>
          <w:highlight w:val="none"/>
          <w:lang w:val="zh-CN"/>
        </w:rPr>
        <w:t>异议</w:t>
      </w:r>
      <w:r>
        <w:rPr>
          <w:rFonts w:hint="eastAsia" w:ascii="宋体" w:hAnsi="宋体" w:eastAsia="宋体" w:cs="宋体"/>
          <w:color w:val="000000"/>
          <w:sz w:val="24"/>
          <w:highlight w:val="none"/>
        </w:rPr>
        <w:t>函应当包括下列内容：</w:t>
      </w:r>
    </w:p>
    <w:p>
      <w:pPr>
        <w:pStyle w:val="11"/>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.2.3.1响应人的姓名或者名称、地址、邮编、联系人及联系电话；</w:t>
      </w:r>
    </w:p>
    <w:p>
      <w:pPr>
        <w:pStyle w:val="11"/>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.2.3.2异议项目的名称、编号；</w:t>
      </w:r>
    </w:p>
    <w:p>
      <w:pPr>
        <w:pStyle w:val="11"/>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.2.3.3具体、明确的异议事项和与异议事项相关的请求；</w:t>
      </w:r>
    </w:p>
    <w:p>
      <w:pPr>
        <w:pStyle w:val="11"/>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.2.3.4事实依据；</w:t>
      </w:r>
    </w:p>
    <w:p>
      <w:pPr>
        <w:pStyle w:val="11"/>
        <w:keepNext w:val="0"/>
        <w:keepLines w:val="0"/>
        <w:pageBreakBefore w:val="0"/>
        <w:kinsoku/>
        <w:wordWrap/>
        <w:overflowPunct/>
        <w:topLinePunct w:val="0"/>
        <w:bidi w:val="0"/>
        <w:spacing w:beforeAutospacing="0" w:line="360" w:lineRule="auto"/>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.2.3.5必要的法律依据；</w:t>
      </w:r>
    </w:p>
    <w:p>
      <w:pPr>
        <w:pStyle w:val="11"/>
        <w:keepNext w:val="0"/>
        <w:keepLines w:val="0"/>
        <w:pageBreakBefore w:val="0"/>
        <w:kinsoku/>
        <w:wordWrap/>
        <w:overflowPunct/>
        <w:topLinePunct w:val="0"/>
        <w:autoSpaceDE/>
        <w:autoSpaceDN/>
        <w:bidi w:val="0"/>
        <w:spacing w:beforeAutospacing="0" w:line="360" w:lineRule="auto"/>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rPr>
        <w:t>3</w:t>
      </w:r>
      <w:r>
        <w:rPr>
          <w:rFonts w:hint="eastAsia" w:ascii="宋体" w:hAnsi="宋体" w:eastAsia="宋体" w:cs="宋体"/>
          <w:color w:val="000000"/>
          <w:kern w:val="0"/>
          <w:sz w:val="24"/>
          <w:highlight w:val="none"/>
          <w:lang w:val="zh-CN"/>
        </w:rPr>
        <w:t>.2.3.6提出异议的日期。</w:t>
      </w:r>
    </w:p>
    <w:p>
      <w:pPr>
        <w:pStyle w:val="2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响应人提交的</w:t>
      </w:r>
      <w:r>
        <w:rPr>
          <w:rFonts w:hint="eastAsia" w:ascii="宋体" w:hAnsi="宋体" w:eastAsia="宋体" w:cs="宋体"/>
          <w:color w:val="000000"/>
          <w:highlight w:val="none"/>
          <w:lang w:val="zh-CN"/>
        </w:rPr>
        <w:t>异议</w:t>
      </w:r>
      <w:r>
        <w:rPr>
          <w:rFonts w:hint="eastAsia" w:ascii="宋体" w:hAnsi="宋体" w:eastAsia="宋体" w:cs="宋体"/>
          <w:color w:val="000000"/>
          <w:highlight w:val="none"/>
        </w:rPr>
        <w:t>函需一式三份。响应人为自然人的，应当由本人签字；响应人为法人或者其他组织的，应当由法定代表人、主要负责人，或者其授权代表签字或者盖章，并加盖公章。</w:t>
      </w:r>
    </w:p>
    <w:p>
      <w:pPr>
        <w:pStyle w:val="2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lang w:val="zh-CN"/>
        </w:rPr>
        <w:t>异议</w:t>
      </w:r>
      <w:r>
        <w:rPr>
          <w:rFonts w:hint="eastAsia" w:ascii="宋体" w:hAnsi="宋体" w:eastAsia="宋体" w:cs="宋体"/>
          <w:color w:val="000000"/>
          <w:highlight w:val="none"/>
        </w:rPr>
        <w:t>函范本及制作说明详见附件1。</w:t>
      </w:r>
    </w:p>
    <w:p>
      <w:pPr>
        <w:pStyle w:val="2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w:t>
      </w:r>
      <w:r>
        <w:rPr>
          <w:rFonts w:hint="eastAsia" w:ascii="宋体" w:hAnsi="宋体" w:eastAsia="宋体" w:cs="宋体"/>
          <w:color w:val="000000"/>
          <w:highlight w:val="none"/>
          <w:lang w:val="zh-CN"/>
        </w:rPr>
        <w:t>.2</w:t>
      </w:r>
      <w:r>
        <w:rPr>
          <w:rFonts w:hint="eastAsia" w:ascii="宋体" w:hAnsi="宋体" w:eastAsia="宋体" w:cs="宋体"/>
          <w:color w:val="000000"/>
          <w:highlight w:val="none"/>
        </w:rPr>
        <w:t>.4交易发起人或者代理机构应当在收到响应人的书面异议后3日内作出答复，并以书面形式通知异议响应人和其他与异议处理结果有利害关系的交易当事人，但答复的内容不得涉及商业秘密。</w:t>
      </w:r>
    </w:p>
    <w:p>
      <w:pPr>
        <w:pStyle w:val="2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w:t>
      </w:r>
      <w:r>
        <w:rPr>
          <w:rFonts w:hint="eastAsia" w:ascii="宋体" w:hAnsi="宋体" w:eastAsia="宋体" w:cs="宋体"/>
          <w:color w:val="000000"/>
          <w:highlight w:val="none"/>
          <w:lang w:val="zh-CN"/>
        </w:rPr>
        <w:t>.2</w:t>
      </w:r>
      <w:r>
        <w:rPr>
          <w:rFonts w:hint="eastAsia" w:ascii="宋体" w:hAnsi="宋体" w:eastAsia="宋体" w:cs="宋体"/>
          <w:color w:val="000000"/>
          <w:highlight w:val="none"/>
        </w:rPr>
        <w:t>.5询问或者异议事项可能影响交易结果的，交易发起人应当暂停签订合同，已经签订合同的，应当中止履行合同。</w:t>
      </w:r>
    </w:p>
    <w:p>
      <w:pPr>
        <w:pStyle w:val="2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rPr>
        <w:t>3</w:t>
      </w:r>
      <w:r>
        <w:rPr>
          <w:rFonts w:hint="eastAsia" w:ascii="宋体" w:hAnsi="宋体" w:eastAsia="宋体" w:cs="宋体"/>
          <w:color w:val="000000"/>
          <w:highlight w:val="none"/>
          <w:lang w:val="zh-CN"/>
        </w:rPr>
        <w:t>.3响应人投诉</w:t>
      </w:r>
    </w:p>
    <w:p>
      <w:pPr>
        <w:pStyle w:val="2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3.3.1</w:t>
      </w:r>
      <w:r>
        <w:rPr>
          <w:rFonts w:hint="eastAsia" w:ascii="宋体" w:hAnsi="宋体" w:eastAsia="宋体" w:cs="宋体"/>
          <w:color w:val="000000"/>
          <w:highlight w:val="none"/>
          <w:lang w:val="zh-CN"/>
        </w:rPr>
        <w:t>异议</w:t>
      </w:r>
      <w:r>
        <w:rPr>
          <w:rFonts w:hint="eastAsia" w:ascii="宋体" w:hAnsi="宋体" w:eastAsia="宋体" w:cs="宋体"/>
          <w:color w:val="000000"/>
          <w:highlight w:val="none"/>
        </w:rPr>
        <w:t>响应人对交易发起人、代理机构的答复不满意或者交易发起人、代理机构未在规定的时间内作出答复的，可以在答复期满后10日内向基层监督机构部门提出投诉。</w:t>
      </w:r>
    </w:p>
    <w:p>
      <w:pPr>
        <w:pStyle w:val="2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3.3.</w:t>
      </w:r>
      <w:r>
        <w:rPr>
          <w:rFonts w:hint="eastAsia" w:ascii="宋体" w:hAnsi="宋体" w:eastAsia="宋体" w:cs="宋体"/>
          <w:color w:val="000000"/>
          <w:highlight w:val="none"/>
          <w:lang w:val="zh-CN"/>
        </w:rPr>
        <w:t>2</w:t>
      </w:r>
      <w:r>
        <w:rPr>
          <w:rFonts w:hint="eastAsia" w:ascii="宋体" w:hAnsi="宋体" w:eastAsia="宋体" w:cs="宋体"/>
          <w:color w:val="000000"/>
          <w:highlight w:val="none"/>
        </w:rPr>
        <w:t>响应人投诉的事项不得超出已</w:t>
      </w:r>
      <w:r>
        <w:rPr>
          <w:rFonts w:hint="eastAsia" w:ascii="宋体" w:hAnsi="宋体" w:eastAsia="宋体" w:cs="宋体"/>
          <w:color w:val="000000"/>
          <w:highlight w:val="none"/>
          <w:lang w:val="zh-CN"/>
        </w:rPr>
        <w:t>异议</w:t>
      </w:r>
      <w:r>
        <w:rPr>
          <w:rFonts w:hint="eastAsia" w:ascii="宋体" w:hAnsi="宋体" w:eastAsia="宋体" w:cs="宋体"/>
          <w:color w:val="000000"/>
          <w:highlight w:val="none"/>
        </w:rPr>
        <w:t>事项的范围，基于</w:t>
      </w:r>
      <w:r>
        <w:rPr>
          <w:rFonts w:hint="eastAsia" w:ascii="宋体" w:hAnsi="宋体" w:eastAsia="宋体" w:cs="宋体"/>
          <w:color w:val="000000"/>
          <w:highlight w:val="none"/>
          <w:lang w:val="zh-CN"/>
        </w:rPr>
        <w:t>异议</w:t>
      </w:r>
      <w:r>
        <w:rPr>
          <w:rFonts w:hint="eastAsia" w:ascii="宋体" w:hAnsi="宋体" w:eastAsia="宋体" w:cs="宋体"/>
          <w:color w:val="000000"/>
          <w:highlight w:val="none"/>
        </w:rPr>
        <w:t>答复内容提出的投诉事项除外。</w:t>
      </w:r>
    </w:p>
    <w:p>
      <w:pPr>
        <w:pStyle w:val="2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3.3.3响应人投诉应当有明确的请求和必要的证明材料。</w:t>
      </w:r>
    </w:p>
    <w:p>
      <w:pPr>
        <w:pStyle w:val="2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3.3.4以联合体形式参加交易活动的，其投诉应当由组成联合体的所有响应人共同提出。</w:t>
      </w:r>
    </w:p>
    <w:p>
      <w:pPr>
        <w:pStyle w:val="26"/>
        <w:keepNext w:val="0"/>
        <w:keepLines w:val="0"/>
        <w:pageBreakBefore w:val="0"/>
        <w:shd w:val="clear" w:color="auto" w:fill="FFFFFF"/>
        <w:kinsoku/>
        <w:wordWrap/>
        <w:overflowPunct/>
        <w:topLinePunct w:val="0"/>
        <w:bidi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000000"/>
          <w:highlight w:val="none"/>
        </w:rPr>
      </w:pPr>
      <w:r>
        <w:rPr>
          <w:rFonts w:hint="eastAsia" w:ascii="宋体" w:hAnsi="宋体" w:eastAsia="宋体" w:cs="宋体"/>
          <w:color w:val="000000"/>
          <w:highlight w:val="none"/>
        </w:rPr>
        <w:t>投诉书范本及制作说明详见附件2。</w:t>
      </w:r>
    </w:p>
    <w:p>
      <w:pPr>
        <w:pStyle w:val="27"/>
        <w:snapToGrid w:val="0"/>
        <w:spacing w:before="0" w:line="460" w:lineRule="exact"/>
        <w:ind w:firstLine="360"/>
        <w:rPr>
          <w:rFonts w:hint="eastAsia" w:ascii="宋体" w:hAnsi="宋体" w:eastAsia="宋体" w:cs="宋体"/>
          <w:color w:val="000000"/>
          <w:sz w:val="18"/>
          <w:szCs w:val="18"/>
          <w:highlight w:val="none"/>
        </w:rPr>
      </w:pPr>
    </w:p>
    <w:p>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二、公开竞争文件的构成、澄清、修改</w:t>
      </w:r>
    </w:p>
    <w:p>
      <w:pPr>
        <w:pStyle w:val="11"/>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4．公开竞争文件的构成</w:t>
      </w:r>
    </w:p>
    <w:p>
      <w:pPr>
        <w:pStyle w:val="11"/>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4.1公开竞争文件包括下列文件及附件：</w:t>
      </w:r>
    </w:p>
    <w:p>
      <w:pPr>
        <w:pStyle w:val="11"/>
        <w:keepNext w:val="0"/>
        <w:keepLines w:val="0"/>
        <w:pageBreakBefore w:val="0"/>
        <w:widowControl w:val="0"/>
        <w:tabs>
          <w:tab w:val="left" w:pos="840"/>
        </w:tabs>
        <w:kinsoku/>
        <w:wordWrap/>
        <w:overflowPunct/>
        <w:topLinePunct w:val="0"/>
        <w:autoSpaceDE/>
        <w:autoSpaceDN/>
        <w:bidi w:val="0"/>
        <w:spacing w:line="360" w:lineRule="auto"/>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4.1.1交易公告；</w:t>
      </w:r>
    </w:p>
    <w:p>
      <w:pPr>
        <w:pStyle w:val="11"/>
        <w:keepNext w:val="0"/>
        <w:keepLines w:val="0"/>
        <w:pageBreakBefore w:val="0"/>
        <w:widowControl w:val="0"/>
        <w:tabs>
          <w:tab w:val="left" w:pos="840"/>
        </w:tabs>
        <w:kinsoku/>
        <w:wordWrap/>
        <w:overflowPunct/>
        <w:topLinePunct w:val="0"/>
        <w:autoSpaceDE/>
        <w:autoSpaceDN/>
        <w:bidi w:val="0"/>
        <w:spacing w:line="360" w:lineRule="auto"/>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4.1.2响应人须知；</w:t>
      </w:r>
    </w:p>
    <w:p>
      <w:pPr>
        <w:pStyle w:val="11"/>
        <w:keepNext w:val="0"/>
        <w:keepLines w:val="0"/>
        <w:pageBreakBefore w:val="0"/>
        <w:widowControl w:val="0"/>
        <w:tabs>
          <w:tab w:val="left" w:pos="840"/>
        </w:tabs>
        <w:kinsoku/>
        <w:wordWrap/>
        <w:overflowPunct/>
        <w:topLinePunct w:val="0"/>
        <w:autoSpaceDE/>
        <w:autoSpaceDN/>
        <w:bidi w:val="0"/>
        <w:spacing w:line="360" w:lineRule="auto"/>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4.1.3交易需求；</w:t>
      </w:r>
    </w:p>
    <w:p>
      <w:pPr>
        <w:pStyle w:val="11"/>
        <w:keepNext w:val="0"/>
        <w:keepLines w:val="0"/>
        <w:pageBreakBefore w:val="0"/>
        <w:widowControl w:val="0"/>
        <w:tabs>
          <w:tab w:val="left" w:pos="840"/>
        </w:tabs>
        <w:kinsoku/>
        <w:wordWrap/>
        <w:overflowPunct/>
        <w:topLinePunct w:val="0"/>
        <w:autoSpaceDE/>
        <w:autoSpaceDN/>
        <w:bidi w:val="0"/>
        <w:spacing w:line="360" w:lineRule="auto"/>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4.1.4交易办法；</w:t>
      </w:r>
    </w:p>
    <w:p>
      <w:pPr>
        <w:pStyle w:val="11"/>
        <w:keepNext w:val="0"/>
        <w:keepLines w:val="0"/>
        <w:pageBreakBefore w:val="0"/>
        <w:widowControl w:val="0"/>
        <w:tabs>
          <w:tab w:val="left" w:pos="840"/>
        </w:tabs>
        <w:kinsoku/>
        <w:wordWrap/>
        <w:overflowPunct/>
        <w:topLinePunct w:val="0"/>
        <w:autoSpaceDE/>
        <w:autoSpaceDN/>
        <w:bidi w:val="0"/>
        <w:spacing w:line="360" w:lineRule="auto"/>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4.1.5拟签订的合同文本；</w:t>
      </w:r>
    </w:p>
    <w:p>
      <w:pPr>
        <w:pStyle w:val="11"/>
        <w:keepNext w:val="0"/>
        <w:keepLines w:val="0"/>
        <w:pageBreakBefore w:val="0"/>
        <w:widowControl w:val="0"/>
        <w:tabs>
          <w:tab w:val="left" w:pos="840"/>
        </w:tabs>
        <w:kinsoku/>
        <w:wordWrap/>
        <w:overflowPunct/>
        <w:topLinePunct w:val="0"/>
        <w:autoSpaceDE/>
        <w:autoSpaceDN/>
        <w:bidi w:val="0"/>
        <w:spacing w:line="360" w:lineRule="auto"/>
        <w:ind w:firstLine="960" w:firstLineChars="4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4.1.6</w:t>
      </w:r>
      <w:r>
        <w:rPr>
          <w:rFonts w:hint="eastAsia" w:ascii="宋体" w:hAnsi="宋体" w:eastAsia="宋体" w:cs="宋体"/>
          <w:color w:val="000000"/>
          <w:sz w:val="24"/>
          <w:szCs w:val="24"/>
          <w:highlight w:val="none"/>
        </w:rPr>
        <w:t>应提交的有关格式范例。</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4.2与本项目有关的</w:t>
      </w:r>
      <w:r>
        <w:rPr>
          <w:rFonts w:hint="eastAsia" w:ascii="宋体" w:hAnsi="宋体" w:eastAsia="宋体" w:cs="宋体"/>
          <w:bCs/>
          <w:color w:val="000000"/>
          <w:sz w:val="24"/>
          <w:highlight w:val="none"/>
        </w:rPr>
        <w:t>澄清或者修改的内容为公开竞争文件的组成部分</w:t>
      </w:r>
      <w:r>
        <w:rPr>
          <w:rFonts w:hint="eastAsia" w:ascii="宋体" w:hAnsi="宋体" w:eastAsia="宋体" w:cs="宋体"/>
          <w:color w:val="000000"/>
          <w:sz w:val="24"/>
          <w:highlight w:val="none"/>
        </w:rPr>
        <w:t>。</w:t>
      </w:r>
    </w:p>
    <w:p>
      <w:pPr>
        <w:pStyle w:val="11"/>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5.公开竞争文件的澄清、修改</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5.1已获取公开竞争文件的潜在响应人，若有问题需要澄清，应于响应截止时间前，以书面形式向代理机构提出。</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hint="eastAsia" w:ascii="宋体" w:hAnsi="宋体" w:eastAsia="宋体" w:cs="宋体"/>
          <w:b/>
          <w:color w:val="000000"/>
          <w:sz w:val="30"/>
          <w:szCs w:val="20"/>
          <w:highlight w:val="none"/>
        </w:rPr>
      </w:pPr>
    </w:p>
    <w:p>
      <w:pPr>
        <w:adjustRightInd/>
        <w:spacing w:line="460" w:lineRule="exact"/>
        <w:jc w:val="center"/>
        <w:outlineLvl w:val="0"/>
        <w:rPr>
          <w:rFonts w:hint="eastAsia" w:ascii="宋体" w:hAnsi="宋体" w:eastAsia="宋体" w:cs="宋体"/>
          <w:b/>
          <w:color w:val="000000"/>
          <w:sz w:val="30"/>
          <w:szCs w:val="20"/>
          <w:highlight w:val="none"/>
        </w:rPr>
      </w:pPr>
      <w:r>
        <w:rPr>
          <w:rFonts w:hint="eastAsia" w:ascii="宋体" w:hAnsi="宋体" w:eastAsia="宋体" w:cs="宋体"/>
          <w:b/>
          <w:color w:val="000000"/>
          <w:sz w:val="30"/>
          <w:szCs w:val="20"/>
          <w:highlight w:val="none"/>
        </w:rPr>
        <w:t>三、响应</w:t>
      </w:r>
    </w:p>
    <w:p>
      <w:pPr>
        <w:pStyle w:val="11"/>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6.公开竞争文件的获取</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snapToGrid w:val="0"/>
          <w:color w:val="000000"/>
          <w:kern w:val="28"/>
          <w:sz w:val="24"/>
          <w:highlight w:val="none"/>
        </w:rPr>
      </w:pPr>
      <w:r>
        <w:rPr>
          <w:rFonts w:hint="eastAsia" w:ascii="宋体" w:hAnsi="宋体" w:eastAsia="宋体" w:cs="宋体"/>
          <w:snapToGrid w:val="0"/>
          <w:color w:val="000000"/>
          <w:kern w:val="28"/>
          <w:sz w:val="24"/>
          <w:highlight w:val="none"/>
        </w:rPr>
        <w:t>详见交易公告中获取公开竞争文件的时间期限、地点、方式及公开竞争文件售价。</w:t>
      </w:r>
    </w:p>
    <w:p>
      <w:pPr>
        <w:pStyle w:val="11"/>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7.交易前答疑会或现场考察</w:t>
      </w:r>
    </w:p>
    <w:p>
      <w:pPr>
        <w:pStyle w:val="11"/>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交易发起人组织潜在响应人现场考察或者召开交易前答疑会的，潜在响应人按第二部分响应人须知前附表的规定参加现场考察或者开标前答疑会。</w:t>
      </w:r>
    </w:p>
    <w:p>
      <w:pPr>
        <w:pStyle w:val="11"/>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000000"/>
          <w:szCs w:val="24"/>
          <w:highlight w:val="none"/>
        </w:rPr>
      </w:pPr>
      <w:r>
        <w:rPr>
          <w:rFonts w:hint="eastAsia" w:ascii="宋体" w:hAnsi="宋体" w:eastAsia="宋体" w:cs="宋体"/>
          <w:b/>
          <w:color w:val="000000"/>
          <w:kern w:val="28"/>
          <w:sz w:val="24"/>
          <w:szCs w:val="24"/>
          <w:highlight w:val="none"/>
        </w:rPr>
        <w:t>8.交易保证金</w:t>
      </w:r>
    </w:p>
    <w:p>
      <w:pPr>
        <w:pStyle w:val="5"/>
        <w:keepNext w:val="0"/>
        <w:keepLines w:val="0"/>
        <w:pageBreakBefore w:val="0"/>
        <w:kinsoku/>
        <w:wordWrap/>
        <w:overflowPunct/>
        <w:topLinePunct w:val="0"/>
        <w:bidi w:val="0"/>
        <w:adjustRightInd w:val="0"/>
        <w:spacing w:line="360" w:lineRule="auto"/>
        <w:ind w:firstLine="470" w:firstLineChars="196"/>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本项目不需缴纳交易保证金。</w:t>
      </w:r>
    </w:p>
    <w:p>
      <w:pPr>
        <w:pStyle w:val="11"/>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9.响应文件的语言</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响应文件及响应人与交易有关的来往通知、函件和文件均应使用中文。</w:t>
      </w:r>
    </w:p>
    <w:p>
      <w:pPr>
        <w:pStyle w:val="11"/>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10.响应文件的组成</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10.1</w:t>
      </w:r>
      <w:r>
        <w:rPr>
          <w:rFonts w:hint="eastAsia" w:ascii="宋体" w:hAnsi="宋体" w:eastAsia="宋体" w:cs="宋体"/>
          <w:b/>
          <w:color w:val="000000"/>
          <w:sz w:val="24"/>
          <w:highlight w:val="none"/>
        </w:rPr>
        <w:t>资格文件</w:t>
      </w:r>
      <w:r>
        <w:rPr>
          <w:rFonts w:hint="eastAsia" w:ascii="宋体" w:hAnsi="宋体" w:eastAsia="宋体" w:cs="宋体"/>
          <w:color w:val="000000"/>
          <w:sz w:val="24"/>
          <w:highlight w:val="none"/>
        </w:rPr>
        <w:t>：</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10.1.1符合参加交易活动应当具备的一般条件的承诺函；</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10.1.2本项目的特定资格要求</w:t>
      </w:r>
      <w:r>
        <w:rPr>
          <w:rFonts w:hint="eastAsia" w:ascii="宋体" w:hAnsi="宋体" w:eastAsia="宋体" w:cs="宋体"/>
          <w:color w:val="000000"/>
          <w:sz w:val="24"/>
          <w:highlight w:val="none"/>
          <w:lang w:eastAsia="zh-CN"/>
        </w:rPr>
        <w:t>；</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10.1.3</w:t>
      </w:r>
      <w:r>
        <w:rPr>
          <w:rFonts w:hint="eastAsia" w:ascii="宋体" w:hAnsi="宋体" w:eastAsia="宋体" w:cs="宋体"/>
          <w:color w:val="000000"/>
          <w:sz w:val="24"/>
          <w:highlight w:val="none"/>
        </w:rPr>
        <w:t>具有履行合同所必需的设备和专业技术能力的承诺函</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10.1.4</w:t>
      </w:r>
      <w:r>
        <w:rPr>
          <w:rFonts w:hint="eastAsia" w:ascii="宋体" w:hAnsi="宋体" w:eastAsia="宋体" w:cs="宋体"/>
          <w:color w:val="000000"/>
          <w:sz w:val="24"/>
          <w:highlight w:val="none"/>
        </w:rPr>
        <w:t>参加政府采购活动前三年内，在经营活动中没有重大违法记录的声明</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10.1.5</w:t>
      </w:r>
      <w:r>
        <w:rPr>
          <w:rFonts w:hint="eastAsia" w:ascii="宋体" w:hAnsi="宋体" w:eastAsia="宋体" w:cs="宋体"/>
          <w:color w:val="000000"/>
          <w:sz w:val="24"/>
          <w:highlight w:val="none"/>
        </w:rPr>
        <w:t>具有良好商业信誉的特别声明</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10.1.6</w:t>
      </w:r>
      <w:r>
        <w:rPr>
          <w:rFonts w:hint="eastAsia" w:ascii="宋体" w:hAnsi="宋体" w:eastAsia="宋体" w:cs="宋体"/>
          <w:color w:val="000000"/>
          <w:sz w:val="24"/>
          <w:highlight w:val="none"/>
          <w:lang w:eastAsia="zh-CN"/>
        </w:rPr>
        <w:t>最近一年度资产负债表或审计报告等财务报表资料文件 (新成立的公司，必须提供情况说明)</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10.1.7</w:t>
      </w:r>
      <w:r>
        <w:rPr>
          <w:rFonts w:hint="eastAsia" w:ascii="宋体" w:hAnsi="宋体" w:eastAsia="宋体" w:cs="宋体"/>
          <w:color w:val="000000"/>
          <w:sz w:val="24"/>
          <w:highlight w:val="none"/>
        </w:rPr>
        <w:t>授权书（如法定代表人直接参加</w:t>
      </w:r>
      <w:r>
        <w:rPr>
          <w:rFonts w:hint="eastAsia" w:ascii="宋体" w:hAnsi="宋体" w:eastAsia="宋体" w:cs="宋体"/>
          <w:color w:val="000000"/>
          <w:sz w:val="24"/>
          <w:highlight w:val="none"/>
          <w:lang w:val="en-US" w:eastAsia="zh-CN"/>
        </w:rPr>
        <w:t>交易</w:t>
      </w:r>
      <w:r>
        <w:rPr>
          <w:rFonts w:hint="eastAsia" w:ascii="宋体" w:hAnsi="宋体" w:eastAsia="宋体" w:cs="宋体"/>
          <w:color w:val="000000"/>
          <w:sz w:val="24"/>
          <w:highlight w:val="none"/>
        </w:rPr>
        <w:t>并对相应文件签字的，只需提供其身份证复印件正反面；如以联合体形式参加的，按</w:t>
      </w:r>
      <w:r>
        <w:rPr>
          <w:rFonts w:hint="eastAsia" w:ascii="宋体" w:hAnsi="宋体" w:eastAsia="宋体" w:cs="宋体"/>
          <w:color w:val="000000"/>
          <w:sz w:val="24"/>
          <w:highlight w:val="none"/>
          <w:lang w:val="en-US" w:eastAsia="zh-CN"/>
        </w:rPr>
        <w:t>竞争</w:t>
      </w:r>
      <w:r>
        <w:rPr>
          <w:rFonts w:hint="eastAsia" w:ascii="宋体" w:hAnsi="宋体" w:eastAsia="宋体" w:cs="宋体"/>
          <w:color w:val="000000"/>
          <w:sz w:val="24"/>
          <w:highlight w:val="none"/>
        </w:rPr>
        <w:t>文件有关格式范例提供联合体</w:t>
      </w:r>
      <w:r>
        <w:rPr>
          <w:rFonts w:hint="eastAsia" w:ascii="宋体" w:hAnsi="宋体" w:eastAsia="宋体" w:cs="宋体"/>
          <w:color w:val="000000"/>
          <w:sz w:val="24"/>
          <w:highlight w:val="none"/>
          <w:lang w:val="en-US" w:eastAsia="zh-CN"/>
        </w:rPr>
        <w:t>响应</w:t>
      </w:r>
      <w:r>
        <w:rPr>
          <w:rFonts w:hint="eastAsia" w:ascii="宋体" w:hAnsi="宋体" w:eastAsia="宋体" w:cs="宋体"/>
          <w:color w:val="000000"/>
          <w:sz w:val="24"/>
          <w:highlight w:val="none"/>
        </w:rPr>
        <w:t>授权书）</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000000"/>
          <w:sz w:val="24"/>
          <w:highlight w:val="none"/>
          <w:lang w:val="zh-CN"/>
        </w:rPr>
      </w:pPr>
      <w:r>
        <w:rPr>
          <w:rFonts w:hint="eastAsia" w:ascii="宋体" w:hAnsi="宋体" w:eastAsia="宋体" w:cs="宋体"/>
          <w:b/>
          <w:bCs/>
          <w:color w:val="000000"/>
          <w:sz w:val="24"/>
          <w:highlight w:val="none"/>
          <w:lang w:val="zh-CN"/>
        </w:rPr>
        <w:t>1</w:t>
      </w:r>
      <w:r>
        <w:rPr>
          <w:rFonts w:hint="eastAsia" w:ascii="宋体" w:hAnsi="宋体" w:eastAsia="宋体" w:cs="宋体"/>
          <w:b/>
          <w:bCs/>
          <w:color w:val="000000"/>
          <w:sz w:val="24"/>
          <w:highlight w:val="none"/>
        </w:rPr>
        <w:t>0</w:t>
      </w:r>
      <w:r>
        <w:rPr>
          <w:rFonts w:hint="eastAsia" w:ascii="宋体" w:hAnsi="宋体" w:eastAsia="宋体" w:cs="宋体"/>
          <w:b/>
          <w:bCs/>
          <w:color w:val="000000"/>
          <w:sz w:val="24"/>
          <w:highlight w:val="none"/>
          <w:lang w:val="zh-CN"/>
        </w:rPr>
        <w:t>.</w:t>
      </w:r>
      <w:r>
        <w:rPr>
          <w:rFonts w:hint="eastAsia" w:ascii="宋体" w:hAnsi="宋体" w:eastAsia="宋体" w:cs="宋体"/>
          <w:b/>
          <w:bCs/>
          <w:color w:val="000000"/>
          <w:sz w:val="24"/>
          <w:highlight w:val="none"/>
        </w:rPr>
        <w:t>2商务技术</w:t>
      </w:r>
      <w:r>
        <w:rPr>
          <w:rFonts w:hint="eastAsia" w:ascii="宋体" w:hAnsi="宋体" w:eastAsia="宋体" w:cs="宋体"/>
          <w:b/>
          <w:bCs/>
          <w:color w:val="000000"/>
          <w:sz w:val="24"/>
          <w:highlight w:val="none"/>
          <w:lang w:val="zh-CN"/>
        </w:rPr>
        <w:t>文件：</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10.2.1交易函；</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10.2.2授权委托书或法定代表人（单位负责人、自然人本人）身份证明；</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10.2.3</w:t>
      </w:r>
      <w:r>
        <w:rPr>
          <w:rFonts w:hint="eastAsia" w:ascii="宋体" w:hAnsi="宋体" w:eastAsia="宋体" w:cs="宋体"/>
          <w:color w:val="000000"/>
          <w:sz w:val="24"/>
          <w:highlight w:val="none"/>
          <w:lang w:eastAsia="zh-CN"/>
        </w:rPr>
        <w:t>营业执照</w:t>
      </w:r>
      <w:r>
        <w:rPr>
          <w:rFonts w:hint="eastAsia" w:ascii="宋体" w:hAnsi="宋体" w:eastAsia="宋体" w:cs="宋体"/>
          <w:color w:val="000000"/>
          <w:sz w:val="24"/>
          <w:highlight w:val="none"/>
        </w:rPr>
        <w:t>；</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10.2.4符合性审查资料；</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10.2.5评审标准相应的商务技术资料；</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10.2.6商务技术偏离表；</w:t>
      </w:r>
    </w:p>
    <w:p>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10.2.7</w:t>
      </w:r>
      <w:r>
        <w:rPr>
          <w:rFonts w:hint="eastAsia" w:ascii="宋体" w:hAnsi="宋体" w:eastAsia="宋体" w:cs="宋体"/>
          <w:color w:val="000000"/>
          <w:sz w:val="24"/>
          <w:highlight w:val="none"/>
          <w:lang w:val="zh-CN"/>
        </w:rPr>
        <w:t>响应人廉洁自律承诺书</w:t>
      </w:r>
      <w:r>
        <w:rPr>
          <w:rFonts w:hint="eastAsia" w:ascii="宋体" w:hAnsi="宋体" w:eastAsia="宋体" w:cs="宋体"/>
          <w:color w:val="000000"/>
          <w:sz w:val="24"/>
          <w:highlight w:val="none"/>
          <w:lang w:val="en-US" w:eastAsia="zh-CN"/>
        </w:rPr>
        <w:t>。</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000000"/>
          <w:sz w:val="24"/>
          <w:highlight w:val="none"/>
          <w:u w:val="single"/>
          <w:lang w:val="zh-CN"/>
        </w:rPr>
      </w:pPr>
      <w:r>
        <w:rPr>
          <w:rFonts w:hint="eastAsia" w:ascii="宋体" w:hAnsi="宋体" w:eastAsia="宋体" w:cs="宋体"/>
          <w:b/>
          <w:bCs/>
          <w:color w:val="000000"/>
          <w:kern w:val="0"/>
          <w:sz w:val="24"/>
          <w:highlight w:val="none"/>
          <w:lang w:val="zh-CN"/>
        </w:rPr>
        <w:t>1</w:t>
      </w:r>
      <w:r>
        <w:rPr>
          <w:rFonts w:hint="eastAsia" w:ascii="宋体" w:hAnsi="宋体" w:eastAsia="宋体" w:cs="宋体"/>
          <w:b/>
          <w:bCs/>
          <w:color w:val="000000"/>
          <w:kern w:val="0"/>
          <w:sz w:val="24"/>
          <w:highlight w:val="none"/>
        </w:rPr>
        <w:t>0</w:t>
      </w:r>
      <w:r>
        <w:rPr>
          <w:rFonts w:hint="eastAsia" w:ascii="宋体" w:hAnsi="宋体" w:eastAsia="宋体" w:cs="宋体"/>
          <w:b/>
          <w:bCs/>
          <w:color w:val="000000"/>
          <w:kern w:val="0"/>
          <w:sz w:val="24"/>
          <w:highlight w:val="none"/>
          <w:lang w:val="zh-CN"/>
        </w:rPr>
        <w:t>.</w:t>
      </w:r>
      <w:r>
        <w:rPr>
          <w:rFonts w:hint="eastAsia" w:ascii="宋体" w:hAnsi="宋体" w:eastAsia="宋体" w:cs="宋体"/>
          <w:b/>
          <w:bCs/>
          <w:color w:val="000000"/>
          <w:kern w:val="0"/>
          <w:sz w:val="24"/>
          <w:highlight w:val="none"/>
        </w:rPr>
        <w:t>3</w:t>
      </w:r>
      <w:r>
        <w:rPr>
          <w:rFonts w:hint="eastAsia" w:ascii="宋体" w:hAnsi="宋体" w:eastAsia="宋体" w:cs="宋体"/>
          <w:b/>
          <w:bCs/>
          <w:color w:val="000000"/>
          <w:sz w:val="24"/>
          <w:highlight w:val="none"/>
        </w:rPr>
        <w:t>报价文件：</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10.3.1交易一览表（报价表）。</w:t>
      </w:r>
    </w:p>
    <w:p>
      <w:pPr>
        <w:keepNext w:val="0"/>
        <w:keepLines w:val="0"/>
        <w:pageBreakBefore w:val="0"/>
        <w:widowControl w:val="0"/>
        <w:kinsoku/>
        <w:wordWrap/>
        <w:overflowPunct/>
        <w:topLinePunct w:val="0"/>
        <w:autoSpaceDE/>
        <w:autoSpaceDN/>
        <w:bidi w:val="0"/>
        <w:adjustRightInd w:val="0"/>
        <w:spacing w:line="360" w:lineRule="auto"/>
        <w:ind w:firstLine="723" w:firstLineChars="30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响应文件含有交易发起人不能接受的附加条件的，交易无效；</w:t>
      </w:r>
    </w:p>
    <w:p>
      <w:pPr>
        <w:keepNext w:val="0"/>
        <w:keepLines w:val="0"/>
        <w:pageBreakBefore w:val="0"/>
        <w:widowControl w:val="0"/>
        <w:kinsoku/>
        <w:wordWrap/>
        <w:overflowPunct/>
        <w:topLinePunct w:val="0"/>
        <w:autoSpaceDE/>
        <w:autoSpaceDN/>
        <w:bidi w:val="0"/>
        <w:adjustRightInd w:val="0"/>
        <w:spacing w:line="360" w:lineRule="auto"/>
        <w:ind w:firstLine="723" w:firstLineChars="300"/>
        <w:textAlignment w:val="auto"/>
        <w:rPr>
          <w:rFonts w:hint="eastAsia" w:ascii="宋体" w:hAnsi="宋体" w:eastAsia="宋体" w:cs="宋体"/>
          <w:b/>
          <w:color w:val="000000"/>
          <w:sz w:val="24"/>
          <w:szCs w:val="21"/>
          <w:highlight w:val="none"/>
        </w:rPr>
      </w:pPr>
      <w:r>
        <w:rPr>
          <w:rFonts w:hint="eastAsia" w:ascii="宋体" w:hAnsi="宋体" w:eastAsia="宋体" w:cs="宋体"/>
          <w:b/>
          <w:color w:val="000000"/>
          <w:sz w:val="24"/>
          <w:highlight w:val="none"/>
        </w:rPr>
        <w:t>响应人提供虚假材料</w:t>
      </w:r>
      <w:r>
        <w:rPr>
          <w:rFonts w:hint="eastAsia" w:ascii="宋体" w:hAnsi="宋体" w:eastAsia="宋体" w:cs="宋体"/>
          <w:b/>
          <w:color w:val="000000"/>
          <w:sz w:val="24"/>
          <w:highlight w:val="none"/>
          <w:lang w:val="en-US" w:eastAsia="zh-CN"/>
        </w:rPr>
        <w:t>响应</w:t>
      </w:r>
      <w:r>
        <w:rPr>
          <w:rFonts w:hint="eastAsia" w:ascii="宋体" w:hAnsi="宋体" w:eastAsia="宋体" w:cs="宋体"/>
          <w:b/>
          <w:color w:val="000000"/>
          <w:sz w:val="24"/>
          <w:highlight w:val="none"/>
        </w:rPr>
        <w:t>的，交易无效。</w:t>
      </w:r>
    </w:p>
    <w:p>
      <w:pPr>
        <w:pStyle w:val="27"/>
        <w:keepNext w:val="0"/>
        <w:keepLines w:val="0"/>
        <w:pageBreakBefore w:val="0"/>
        <w:kinsoku/>
        <w:wordWrap/>
        <w:overflowPunct/>
        <w:topLinePunct w:val="0"/>
        <w:bidi w:val="0"/>
        <w:adjustRightInd w:val="0"/>
        <w:snapToGrid w:val="0"/>
        <w:spacing w:before="0" w:line="360" w:lineRule="auto"/>
        <w:ind w:firstLine="0" w:firstLineChars="0"/>
        <w:textAlignment w:val="auto"/>
        <w:outlineLvl w:val="0"/>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11</w:t>
      </w:r>
      <w:r>
        <w:rPr>
          <w:rFonts w:hint="eastAsia" w:ascii="宋体" w:hAnsi="宋体" w:eastAsia="宋体" w:cs="宋体"/>
          <w:b/>
          <w:color w:val="000000"/>
          <w:kern w:val="0"/>
          <w:szCs w:val="24"/>
          <w:highlight w:val="none"/>
          <w:lang w:val="zh-CN"/>
        </w:rPr>
        <w:t>.</w:t>
      </w:r>
      <w:r>
        <w:rPr>
          <w:rFonts w:hint="eastAsia" w:ascii="宋体" w:hAnsi="宋体" w:eastAsia="宋体" w:cs="宋体"/>
          <w:b/>
          <w:color w:val="000000"/>
          <w:szCs w:val="24"/>
          <w:highlight w:val="none"/>
        </w:rPr>
        <w:t>响应文件的编制</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color w:val="000000"/>
          <w:sz w:val="24"/>
          <w:highlight w:val="none"/>
        </w:rPr>
      </w:pPr>
      <w:r>
        <w:rPr>
          <w:rFonts w:hint="eastAsia" w:ascii="宋体" w:hAnsi="宋体" w:eastAsia="宋体" w:cs="宋体"/>
          <w:color w:val="000000"/>
          <w:kern w:val="0"/>
          <w:sz w:val="24"/>
          <w:highlight w:val="none"/>
          <w:lang w:val="zh-CN"/>
        </w:rPr>
        <w:t>1</w:t>
      </w: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w:t>
      </w: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zh-CN"/>
        </w:rPr>
        <w:t>.2响应人进行电子</w:t>
      </w:r>
      <w:r>
        <w:rPr>
          <w:rFonts w:hint="eastAsia" w:ascii="宋体" w:hAnsi="宋体" w:eastAsia="宋体" w:cs="宋体"/>
          <w:color w:val="000000"/>
          <w:kern w:val="0"/>
          <w:sz w:val="24"/>
          <w:highlight w:val="none"/>
          <w:lang w:val="en-US" w:eastAsia="zh-CN"/>
        </w:rPr>
        <w:t>响应</w:t>
      </w:r>
      <w:r>
        <w:rPr>
          <w:rFonts w:hint="eastAsia" w:ascii="宋体" w:hAnsi="宋体" w:eastAsia="宋体" w:cs="宋体"/>
          <w:color w:val="000000"/>
          <w:kern w:val="0"/>
          <w:sz w:val="24"/>
          <w:highlight w:val="none"/>
          <w:lang w:val="zh-CN"/>
        </w:rPr>
        <w:t>应安装客户端软件—“</w:t>
      </w:r>
      <w:r>
        <w:rPr>
          <w:rFonts w:hint="eastAsia" w:ascii="宋体" w:hAnsi="宋体" w:cs="宋体"/>
          <w:color w:val="000000"/>
          <w:kern w:val="0"/>
          <w:sz w:val="24"/>
          <w:highlight w:val="none"/>
          <w:lang w:val="zh-CN"/>
        </w:rPr>
        <w:t>乐采云</w:t>
      </w:r>
      <w:r>
        <w:rPr>
          <w:rFonts w:hint="eastAsia" w:ascii="宋体" w:hAnsi="宋体" w:eastAsia="宋体" w:cs="宋体"/>
          <w:color w:val="000000"/>
          <w:kern w:val="0"/>
          <w:sz w:val="24"/>
          <w:highlight w:val="none"/>
          <w:lang w:val="zh-CN"/>
        </w:rPr>
        <w:t>电子交易客户端”，并按照公开竞争文件和电子交易平台的要求编制并加密响应文件。响应人未按规定加密的响应文件，电子交易平台将拒收并提示。</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1</w:t>
      </w:r>
      <w:r>
        <w:rPr>
          <w:rFonts w:hint="eastAsia" w:ascii="宋体" w:hAnsi="宋体" w:eastAsia="宋体" w:cs="宋体"/>
          <w:color w:val="000000"/>
          <w:kern w:val="0"/>
          <w:sz w:val="24"/>
          <w:highlight w:val="none"/>
        </w:rPr>
        <w:t>1</w:t>
      </w:r>
      <w:r>
        <w:rPr>
          <w:rFonts w:hint="eastAsia" w:ascii="宋体" w:hAnsi="宋体" w:eastAsia="宋体" w:cs="宋体"/>
          <w:color w:val="000000"/>
          <w:kern w:val="0"/>
          <w:sz w:val="24"/>
          <w:highlight w:val="none"/>
          <w:lang w:val="zh-CN"/>
        </w:rPr>
        <w:t>.3使用“</w:t>
      </w:r>
      <w:r>
        <w:rPr>
          <w:rFonts w:hint="eastAsia" w:ascii="宋体" w:hAnsi="宋体" w:cs="宋体"/>
          <w:color w:val="000000"/>
          <w:kern w:val="0"/>
          <w:sz w:val="24"/>
          <w:highlight w:val="none"/>
          <w:lang w:val="zh-CN"/>
        </w:rPr>
        <w:t>乐采云</w:t>
      </w:r>
      <w:r>
        <w:rPr>
          <w:rFonts w:hint="eastAsia" w:ascii="宋体" w:hAnsi="宋体" w:eastAsia="宋体" w:cs="宋体"/>
          <w:color w:val="000000"/>
          <w:kern w:val="0"/>
          <w:sz w:val="24"/>
          <w:highlight w:val="none"/>
          <w:lang w:val="zh-CN"/>
        </w:rPr>
        <w:t>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12.响应文件的签署、盖章</w:t>
      </w:r>
    </w:p>
    <w:p>
      <w:pPr>
        <w:pStyle w:val="27"/>
        <w:keepNext w:val="0"/>
        <w:keepLines w:val="0"/>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b/>
          <w:color w:val="000000"/>
          <w:highlight w:val="none"/>
        </w:rPr>
      </w:pPr>
      <w:r>
        <w:rPr>
          <w:rFonts w:hint="eastAsia" w:ascii="宋体" w:hAnsi="宋体" w:eastAsia="宋体" w:cs="宋体"/>
          <w:color w:val="000000"/>
          <w:szCs w:val="24"/>
          <w:highlight w:val="none"/>
        </w:rPr>
        <w:t>12.1响应文件按照公开竞争文件第六部分格式要</w:t>
      </w:r>
      <w:r>
        <w:rPr>
          <w:rFonts w:hint="eastAsia" w:ascii="宋体" w:hAnsi="宋体" w:eastAsia="宋体" w:cs="宋体"/>
          <w:color w:val="000000"/>
          <w:highlight w:val="none"/>
        </w:rPr>
        <w:t>求进行签署、盖章。</w:t>
      </w:r>
      <w:r>
        <w:rPr>
          <w:rFonts w:hint="eastAsia" w:ascii="宋体" w:hAnsi="宋体" w:eastAsia="宋体" w:cs="宋体"/>
          <w:b/>
          <w:color w:val="000000"/>
          <w:highlight w:val="none"/>
        </w:rPr>
        <w:t>▲响应人的响应文件未按照公开竞争文件要求签署、盖章的，其交易无效</w:t>
      </w:r>
      <w:r>
        <w:rPr>
          <w:rFonts w:hint="eastAsia" w:ascii="宋体" w:hAnsi="宋体" w:eastAsia="宋体" w:cs="宋体"/>
          <w:color w:val="000000"/>
          <w:szCs w:val="24"/>
          <w:highlight w:val="none"/>
        </w:rPr>
        <w:t>。</w:t>
      </w:r>
    </w:p>
    <w:p>
      <w:pPr>
        <w:pStyle w:val="27"/>
        <w:keepNext w:val="0"/>
        <w:keepLines w:val="0"/>
        <w:pageBreakBefore w:val="0"/>
        <w:kinsoku/>
        <w:wordWrap/>
        <w:overflowPunct/>
        <w:topLinePunct w:val="0"/>
        <w:bidi w:val="0"/>
        <w:adjustRightInd w:val="0"/>
        <w:snapToGrid w:val="0"/>
        <w:spacing w:before="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12.2为确保网上操作合法、有效和安全，响应人应当在响应截止时间前完成在“</w:t>
      </w:r>
      <w:r>
        <w:rPr>
          <w:rFonts w:hint="eastAsia" w:ascii="宋体" w:hAnsi="宋体" w:cs="宋体"/>
          <w:color w:val="000000"/>
          <w:highlight w:val="none"/>
          <w:lang w:val="en-US" w:eastAsia="zh-CN"/>
        </w:rPr>
        <w:t>乐采</w:t>
      </w:r>
      <w:r>
        <w:rPr>
          <w:rFonts w:hint="eastAsia" w:ascii="宋体" w:hAnsi="宋体" w:eastAsia="宋体" w:cs="宋体"/>
          <w:color w:val="000000"/>
          <w:highlight w:val="none"/>
        </w:rPr>
        <w:t>云平台”的身份认证，确保在电子</w:t>
      </w:r>
      <w:r>
        <w:rPr>
          <w:rFonts w:hint="eastAsia" w:ascii="宋体" w:hAnsi="宋体" w:eastAsia="宋体" w:cs="宋体"/>
          <w:color w:val="000000"/>
          <w:highlight w:val="none"/>
          <w:lang w:val="en-US" w:eastAsia="zh-CN"/>
        </w:rPr>
        <w:t>响应</w:t>
      </w:r>
      <w:r>
        <w:rPr>
          <w:rFonts w:hint="eastAsia" w:ascii="宋体" w:hAnsi="宋体" w:eastAsia="宋体" w:cs="宋体"/>
          <w:color w:val="000000"/>
          <w:highlight w:val="none"/>
        </w:rPr>
        <w:t>过程中能够对相关数据电文进行加密和使用电子签名。</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highlight w:val="none"/>
        </w:rPr>
        <w:t>12.3公开竞争文件对响应文件签署、盖章的要求适用于电子签名。</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13.响应文件的提交、补充、修改、撤回</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13.1响应人应当在响应截止时间前完成响应文件的传输递交，并可以补充、修改或者撤回响应文件。补充或者修改响应文件的，应当先行撤回原文件，补充、修改后重新传输递交。</w:t>
      </w:r>
      <w:r>
        <w:rPr>
          <w:rFonts w:hint="eastAsia" w:ascii="宋体" w:hAnsi="宋体" w:eastAsia="宋体" w:cs="宋体"/>
          <w:color w:val="000000"/>
          <w:szCs w:val="24"/>
          <w:highlight w:val="none"/>
          <w:lang w:val="en-US" w:eastAsia="zh-CN"/>
        </w:rPr>
        <w:t>响应</w:t>
      </w:r>
      <w:r>
        <w:rPr>
          <w:rFonts w:hint="eastAsia" w:ascii="宋体" w:hAnsi="宋体" w:eastAsia="宋体" w:cs="宋体"/>
          <w:color w:val="000000"/>
          <w:szCs w:val="24"/>
          <w:highlight w:val="none"/>
        </w:rPr>
        <w:t>截止时间前未完成传输的，视为撤回响应文件。响应截止时间后递交的响应文件，电子交易平台将拒收。</w:t>
      </w:r>
    </w:p>
    <w:p>
      <w:pPr>
        <w:pStyle w:val="27"/>
        <w:keepNext w:val="0"/>
        <w:keepLines w:val="0"/>
        <w:pageBreakBefore w:val="0"/>
        <w:kinsoku/>
        <w:wordWrap/>
        <w:overflowPunct/>
        <w:topLinePunct w:val="0"/>
        <w:bidi w:val="0"/>
        <w:adjustRightInd w:val="0"/>
        <w:spacing w:before="0" w:line="360" w:lineRule="auto"/>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13.2电子交易平台收到响应文件，将妥善保存并即时向响应人发出确认回执通知。在响应截止时间前，除响应人补充、修改或者撤回响应文件外，任何单位和个人不得解密或提取响应文件。</w:t>
      </w:r>
    </w:p>
    <w:p>
      <w:pPr>
        <w:pStyle w:val="27"/>
        <w:keepNext w:val="0"/>
        <w:keepLines w:val="0"/>
        <w:pageBreakBefore w:val="0"/>
        <w:kinsoku/>
        <w:wordWrap/>
        <w:overflowPunct/>
        <w:topLinePunct w:val="0"/>
        <w:bidi w:val="0"/>
        <w:adjustRightInd w:val="0"/>
        <w:spacing w:before="0" w:line="360" w:lineRule="auto"/>
        <w:ind w:firstLine="480"/>
        <w:textAlignment w:val="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13.3交易发起人、代理机构可以视情况延长响应文件提交的截止时间。在上述情况下，代理机构与响应人以前在</w:t>
      </w:r>
      <w:r>
        <w:rPr>
          <w:rFonts w:hint="eastAsia" w:ascii="宋体" w:hAnsi="宋体" w:eastAsia="宋体" w:cs="宋体"/>
          <w:color w:val="000000"/>
          <w:szCs w:val="24"/>
          <w:highlight w:val="none"/>
          <w:lang w:val="en-US" w:eastAsia="zh-CN"/>
        </w:rPr>
        <w:t>响应</w:t>
      </w:r>
      <w:r>
        <w:rPr>
          <w:rFonts w:hint="eastAsia" w:ascii="宋体" w:hAnsi="宋体" w:eastAsia="宋体" w:cs="宋体"/>
          <w:color w:val="000000"/>
          <w:szCs w:val="24"/>
          <w:highlight w:val="none"/>
        </w:rPr>
        <w:t>截止期方面的全部权利、责任和义务，将适用于延长至新的</w:t>
      </w:r>
      <w:r>
        <w:rPr>
          <w:rFonts w:hint="eastAsia" w:ascii="宋体" w:hAnsi="宋体" w:eastAsia="宋体" w:cs="宋体"/>
          <w:color w:val="000000"/>
          <w:szCs w:val="24"/>
          <w:highlight w:val="none"/>
          <w:lang w:val="en-US" w:eastAsia="zh-CN"/>
        </w:rPr>
        <w:t>响应</w:t>
      </w:r>
      <w:r>
        <w:rPr>
          <w:rFonts w:hint="eastAsia" w:ascii="宋体" w:hAnsi="宋体" w:eastAsia="宋体" w:cs="宋体"/>
          <w:color w:val="000000"/>
          <w:szCs w:val="24"/>
          <w:highlight w:val="none"/>
        </w:rPr>
        <w:t>截止期。</w:t>
      </w:r>
    </w:p>
    <w:p>
      <w:pPr>
        <w:pStyle w:val="11"/>
        <w:keepNext w:val="0"/>
        <w:keepLines w:val="0"/>
        <w:pageBreakBefore w:val="0"/>
        <w:numPr>
          <w:ilvl w:val="0"/>
          <w:numId w:val="2"/>
        </w:numPr>
        <w:kinsoku/>
        <w:wordWrap/>
        <w:overflowPunct/>
        <w:topLinePunct w:val="0"/>
        <w:bidi w:val="0"/>
        <w:adjustRightInd w:val="0"/>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备份响应文件</w:t>
      </w:r>
    </w:p>
    <w:p>
      <w:pPr>
        <w:pStyle w:val="11"/>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kern w:val="28"/>
          <w:sz w:val="24"/>
          <w:szCs w:val="24"/>
          <w:highlight w:val="none"/>
        </w:rPr>
        <w:t>不收取备份响应文件。</w:t>
      </w:r>
    </w:p>
    <w:p>
      <w:pPr>
        <w:pStyle w:val="27"/>
        <w:keepNext w:val="0"/>
        <w:keepLines w:val="0"/>
        <w:pageBreakBefore w:val="0"/>
        <w:kinsoku/>
        <w:wordWrap/>
        <w:overflowPunct/>
        <w:topLinePunct w:val="0"/>
        <w:bidi w:val="0"/>
        <w:adjustRightInd w:val="0"/>
        <w:spacing w:before="0" w:line="360" w:lineRule="auto"/>
        <w:ind w:firstLine="0" w:firstLineChars="0"/>
        <w:textAlignment w:val="auto"/>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15.响应文件的无效处理</w:t>
      </w:r>
    </w:p>
    <w:p>
      <w:pPr>
        <w:pStyle w:val="10"/>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有公开竞争文件第四部分</w:t>
      </w:r>
      <w:r>
        <w:rPr>
          <w:rFonts w:hint="eastAsia" w:ascii="宋体" w:hAnsi="宋体" w:eastAsia="宋体" w:cs="宋体"/>
          <w:color w:val="000000"/>
          <w:highlight w:val="none"/>
        </w:rPr>
        <w:t>4.2规定</w:t>
      </w:r>
      <w:r>
        <w:rPr>
          <w:rFonts w:hint="eastAsia" w:ascii="宋体" w:hAnsi="宋体" w:eastAsia="宋体" w:cs="宋体"/>
          <w:color w:val="000000"/>
          <w:szCs w:val="21"/>
          <w:highlight w:val="none"/>
        </w:rPr>
        <w:t>的情形之一的，交易无效：</w:t>
      </w:r>
    </w:p>
    <w:p>
      <w:pPr>
        <w:pStyle w:val="27"/>
        <w:keepNext w:val="0"/>
        <w:keepLines w:val="0"/>
        <w:pageBreakBefore w:val="0"/>
        <w:kinsoku/>
        <w:wordWrap/>
        <w:overflowPunct/>
        <w:topLinePunct w:val="0"/>
        <w:bidi w:val="0"/>
        <w:adjustRightInd w:val="0"/>
        <w:spacing w:before="0" w:line="360" w:lineRule="auto"/>
        <w:ind w:firstLine="0" w:firstLineChars="0"/>
        <w:textAlignment w:val="auto"/>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16.交易有效期</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color w:val="000000"/>
          <w:sz w:val="24"/>
          <w:szCs w:val="21"/>
          <w:highlight w:val="none"/>
        </w:rPr>
      </w:pPr>
      <w:r>
        <w:rPr>
          <w:rFonts w:hint="eastAsia" w:ascii="宋体" w:hAnsi="宋体" w:eastAsia="宋体" w:cs="宋体"/>
          <w:color w:val="000000"/>
          <w:sz w:val="24"/>
          <w:szCs w:val="20"/>
          <w:highlight w:val="none"/>
        </w:rPr>
        <w:t>16.1交易有效期为从提交响应文件的截止之日起90天。▲</w:t>
      </w:r>
      <w:r>
        <w:rPr>
          <w:rFonts w:hint="eastAsia" w:ascii="宋体" w:hAnsi="宋体" w:eastAsia="宋体" w:cs="宋体"/>
          <w:b/>
          <w:color w:val="000000"/>
          <w:sz w:val="24"/>
          <w:szCs w:val="20"/>
          <w:highlight w:val="none"/>
        </w:rPr>
        <w:t>响应人的响应文件中承</w:t>
      </w:r>
      <w:r>
        <w:rPr>
          <w:rFonts w:hint="eastAsia" w:ascii="宋体" w:hAnsi="宋体" w:eastAsia="宋体" w:cs="宋体"/>
          <w:b/>
          <w:color w:val="000000"/>
          <w:sz w:val="24"/>
          <w:szCs w:val="21"/>
          <w:highlight w:val="none"/>
        </w:rPr>
        <w:t>诺的交易有效期少于公开竞争文件中载明的交易有效期的，交易无效。</w:t>
      </w:r>
    </w:p>
    <w:p>
      <w:pPr>
        <w:pStyle w:val="27"/>
        <w:keepNext w:val="0"/>
        <w:keepLines w:val="0"/>
        <w:pageBreakBefore w:val="0"/>
        <w:kinsoku/>
        <w:wordWrap/>
        <w:overflowPunct/>
        <w:topLinePunct w:val="0"/>
        <w:bidi w:val="0"/>
        <w:adjustRightInd w:val="0"/>
        <w:spacing w:before="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16.2响应文件合格投递后，自</w:t>
      </w:r>
      <w:r>
        <w:rPr>
          <w:rFonts w:hint="eastAsia" w:ascii="宋体" w:hAnsi="宋体" w:eastAsia="宋体" w:cs="宋体"/>
          <w:color w:val="000000"/>
          <w:szCs w:val="24"/>
          <w:highlight w:val="none"/>
          <w:lang w:val="en-US" w:eastAsia="zh-CN"/>
        </w:rPr>
        <w:t>响应</w:t>
      </w:r>
      <w:r>
        <w:rPr>
          <w:rFonts w:hint="eastAsia" w:ascii="宋体" w:hAnsi="宋体" w:eastAsia="宋体" w:cs="宋体"/>
          <w:color w:val="000000"/>
          <w:highlight w:val="none"/>
        </w:rPr>
        <w:t>截止日期起，在交易有效期内有效。</w:t>
      </w:r>
    </w:p>
    <w:p>
      <w:pPr>
        <w:pStyle w:val="27"/>
        <w:keepNext w:val="0"/>
        <w:keepLines w:val="0"/>
        <w:pageBreakBefore w:val="0"/>
        <w:kinsoku/>
        <w:wordWrap/>
        <w:overflowPunct/>
        <w:topLinePunct w:val="0"/>
        <w:bidi w:val="0"/>
        <w:adjustRightInd w:val="0"/>
        <w:spacing w:before="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16.3在原定交易有效期满之前，如果出现特殊情况，代理机构可以以书面形式通知响应人延长交易有效期。响应人同意延长的，不得要求或被允许修改其响应文件，响应人拒绝延长的，其交易无效。</w:t>
      </w:r>
    </w:p>
    <w:p>
      <w:pPr>
        <w:pStyle w:val="27"/>
        <w:spacing w:before="0" w:line="460" w:lineRule="exact"/>
        <w:ind w:firstLine="643"/>
        <w:rPr>
          <w:rFonts w:hint="eastAsia" w:ascii="宋体" w:hAnsi="宋体" w:eastAsia="宋体" w:cs="宋体"/>
          <w:b/>
          <w:color w:val="000000"/>
          <w:sz w:val="32"/>
          <w:highlight w:val="none"/>
        </w:rPr>
      </w:pPr>
    </w:p>
    <w:p>
      <w:pPr>
        <w:pStyle w:val="27"/>
        <w:spacing w:before="0" w:line="460" w:lineRule="exact"/>
        <w:ind w:firstLine="0" w:firstLineChars="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四、交易、资格审查</w:t>
      </w:r>
    </w:p>
    <w:p>
      <w:pPr>
        <w:pStyle w:val="28"/>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rPr>
        <w:t xml:space="preserve">17.交易 </w:t>
      </w:r>
    </w:p>
    <w:p>
      <w:pPr>
        <w:pStyle w:val="28"/>
        <w:keepNext w:val="0"/>
        <w:keepLines w:val="0"/>
        <w:pageBreakBefore w:val="0"/>
        <w:widowControl w:val="0"/>
        <w:kinsoku/>
        <w:wordWrap/>
        <w:overflowPunct/>
        <w:topLinePunct w:val="0"/>
        <w:autoSpaceDE w:val="0"/>
        <w:autoSpaceDN w:val="0"/>
        <w:bidi w:val="0"/>
        <w:adjustRightInd w:val="0"/>
        <w:snapToGrid w:val="0"/>
        <w:spacing w:before="0" w:line="360" w:lineRule="auto"/>
        <w:ind w:left="0" w:firstLine="480" w:firstLineChars="200"/>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17.1代理机构按照公开竞争文件规定的时间通过电子交易平台组织开标，所有响应人均应当准时在线参加。响应人不足3家的，不得开标。</w:t>
      </w:r>
    </w:p>
    <w:p>
      <w:pPr>
        <w:pStyle w:val="28"/>
        <w:keepNext w:val="0"/>
        <w:keepLines w:val="0"/>
        <w:pageBreakBefore w:val="0"/>
        <w:widowControl w:val="0"/>
        <w:kinsoku/>
        <w:wordWrap/>
        <w:overflowPunct/>
        <w:topLinePunct w:val="0"/>
        <w:autoSpaceDE w:val="0"/>
        <w:autoSpaceDN w:val="0"/>
        <w:bidi w:val="0"/>
        <w:adjustRightInd w:val="0"/>
        <w:snapToGrid w:val="0"/>
        <w:spacing w:before="0" w:line="360" w:lineRule="auto"/>
        <w:ind w:left="0" w:firstLine="480" w:firstLineChars="200"/>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17.2交易时，电子交易平台按交易时间自动提取所有响应文件。代理机构依托电子交易平台发起开始解密指令，响应人按照平台提示和公开竞争文件的规定在半小时内完成在线解密。</w:t>
      </w:r>
    </w:p>
    <w:p>
      <w:pPr>
        <w:pStyle w:val="28"/>
        <w:keepNext w:val="0"/>
        <w:keepLines w:val="0"/>
        <w:pageBreakBefore w:val="0"/>
        <w:widowControl w:val="0"/>
        <w:kinsoku/>
        <w:wordWrap/>
        <w:overflowPunct/>
        <w:topLinePunct w:val="0"/>
        <w:autoSpaceDE w:val="0"/>
        <w:autoSpaceDN w:val="0"/>
        <w:bidi w:val="0"/>
        <w:adjustRightInd w:val="0"/>
        <w:snapToGrid w:val="0"/>
        <w:spacing w:before="0" w:line="360" w:lineRule="auto"/>
        <w:ind w:left="0" w:firstLine="480" w:firstLineChars="200"/>
        <w:contextualSpacing/>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17.3响应文件未按时解密，视为响应文件撤回。</w:t>
      </w:r>
    </w:p>
    <w:p>
      <w:pPr>
        <w:pStyle w:val="10"/>
        <w:keepNext w:val="0"/>
        <w:keepLines w:val="0"/>
        <w:pageBreakBefore w:val="0"/>
        <w:widowControl w:val="0"/>
        <w:kinsoku/>
        <w:wordWrap/>
        <w:overflowPunct/>
        <w:topLinePunct w:val="0"/>
        <w:bidi w:val="0"/>
        <w:adjustRightInd w:val="0"/>
        <w:snapToGrid w:val="0"/>
        <w:spacing w:line="360" w:lineRule="auto"/>
        <w:ind w:left="479" w:hanging="479" w:hangingChars="199"/>
        <w:textAlignment w:val="auto"/>
        <w:rPr>
          <w:rFonts w:hint="eastAsia" w:ascii="宋体" w:hAnsi="宋体" w:eastAsia="宋体" w:cs="宋体"/>
          <w:b/>
          <w:color w:val="000000"/>
          <w:highlight w:val="none"/>
        </w:rPr>
      </w:pPr>
      <w:r>
        <w:rPr>
          <w:rFonts w:hint="eastAsia" w:ascii="宋体" w:hAnsi="宋体" w:eastAsia="宋体" w:cs="宋体"/>
          <w:b/>
          <w:color w:val="000000"/>
          <w:highlight w:val="none"/>
        </w:rPr>
        <w:t>18、资格审查</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18.1交易后，交易发起人或代理机构将依法对响应人的资格进行审查。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18.2</w:t>
      </w:r>
      <w:r>
        <w:rPr>
          <w:rFonts w:hint="eastAsia" w:ascii="宋体" w:hAnsi="宋体" w:eastAsia="宋体" w:cs="宋体"/>
          <w:color w:val="000000"/>
          <w:sz w:val="24"/>
          <w:highlight w:val="none"/>
        </w:rPr>
        <w:t>交易发起人或代理机构依据法律法规和公开竞争文件的规定，对响应人的基本资格条件、特定资格条件进行审查。</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kern w:val="0"/>
          <w:szCs w:val="24"/>
          <w:highlight w:val="none"/>
        </w:rPr>
        <w:t>18.3响应人未按照公开竞争文件要求提供与</w:t>
      </w:r>
      <w:r>
        <w:rPr>
          <w:rFonts w:hint="eastAsia" w:ascii="宋体" w:hAnsi="宋体" w:eastAsia="宋体" w:cs="宋体"/>
          <w:color w:val="000000"/>
          <w:highlight w:val="none"/>
        </w:rPr>
        <w:t>基本资格条件、特定资格条件相应的</w:t>
      </w:r>
      <w:r>
        <w:rPr>
          <w:rFonts w:hint="eastAsia" w:ascii="宋体" w:hAnsi="宋体" w:eastAsia="宋体" w:cs="宋体"/>
          <w:color w:val="000000"/>
          <w:kern w:val="0"/>
          <w:szCs w:val="24"/>
          <w:highlight w:val="none"/>
        </w:rPr>
        <w:t>有效资格证明材料的，视为</w:t>
      </w:r>
      <w:r>
        <w:rPr>
          <w:rFonts w:hint="eastAsia" w:ascii="宋体" w:hAnsi="宋体" w:eastAsia="宋体" w:cs="宋体"/>
          <w:color w:val="000000"/>
          <w:highlight w:val="none"/>
        </w:rPr>
        <w:t>响应人不具备公开竞争文件中规定的资格要求，其交易无效。</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kern w:val="0"/>
          <w:szCs w:val="24"/>
          <w:highlight w:val="none"/>
        </w:rPr>
        <w:t>18.</w:t>
      </w:r>
      <w:r>
        <w:rPr>
          <w:rFonts w:hint="eastAsia" w:ascii="宋体" w:hAnsi="宋体" w:eastAsia="宋体" w:cs="宋体"/>
          <w:color w:val="000000"/>
          <w:highlight w:val="none"/>
        </w:rPr>
        <w:t>4对未通过资格审查的响应人，交易发起人或代理机构告知其未通过的原因。</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kern w:val="0"/>
          <w:szCs w:val="24"/>
          <w:highlight w:val="none"/>
        </w:rPr>
        <w:t>18.</w:t>
      </w:r>
      <w:r>
        <w:rPr>
          <w:rFonts w:hint="eastAsia" w:ascii="宋体" w:hAnsi="宋体" w:eastAsia="宋体" w:cs="宋体"/>
          <w:color w:val="000000"/>
          <w:highlight w:val="none"/>
        </w:rPr>
        <w:t>5合格响应人不足3家的，不再评标。</w:t>
      </w:r>
    </w:p>
    <w:p>
      <w:pPr>
        <w:pStyle w:val="27"/>
        <w:spacing w:before="0" w:line="460" w:lineRule="exact"/>
        <w:ind w:firstLine="0" w:firstLineChars="0"/>
        <w:rPr>
          <w:rFonts w:hint="eastAsia" w:ascii="宋体" w:hAnsi="宋体" w:eastAsia="宋体" w:cs="宋体"/>
          <w:color w:val="000000"/>
          <w:kern w:val="0"/>
          <w:szCs w:val="24"/>
          <w:highlight w:val="none"/>
        </w:rPr>
      </w:pPr>
    </w:p>
    <w:p>
      <w:pPr>
        <w:snapToGrid w:val="0"/>
        <w:spacing w:line="460" w:lineRule="exact"/>
        <w:jc w:val="center"/>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五、评审</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sz w:val="24"/>
          <w:highlight w:val="none"/>
        </w:rPr>
      </w:pPr>
      <w:bookmarkStart w:id="14" w:name="_Toc91899903"/>
      <w:r>
        <w:rPr>
          <w:rFonts w:hint="eastAsia" w:ascii="宋体" w:hAnsi="宋体" w:eastAsia="宋体" w:cs="宋体"/>
          <w:b/>
          <w:color w:val="000000"/>
          <w:sz w:val="24"/>
          <w:highlight w:val="none"/>
        </w:rPr>
        <w:t>19.</w:t>
      </w:r>
      <w:r>
        <w:rPr>
          <w:rFonts w:hint="eastAsia" w:ascii="宋体" w:hAnsi="宋体" w:eastAsia="宋体" w:cs="宋体"/>
          <w:color w:val="000000"/>
          <w:sz w:val="24"/>
          <w:highlight w:val="none"/>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详见公开竞争文件第四部分交易办法。</w:t>
      </w:r>
    </w:p>
    <w:p>
      <w:pPr>
        <w:spacing w:line="460" w:lineRule="exact"/>
        <w:rPr>
          <w:rFonts w:hint="eastAsia" w:ascii="宋体" w:hAnsi="宋体" w:eastAsia="宋体" w:cs="宋体"/>
          <w:b/>
          <w:color w:val="000000"/>
          <w:sz w:val="24"/>
          <w:highlight w:val="none"/>
        </w:rPr>
      </w:pPr>
    </w:p>
    <w:p>
      <w:pPr>
        <w:snapToGrid w:val="0"/>
        <w:spacing w:line="460" w:lineRule="exact"/>
        <w:jc w:val="center"/>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六、定标</w:t>
      </w:r>
    </w:p>
    <w:p>
      <w:pPr>
        <w:pStyle w:val="10"/>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hint="eastAsia" w:ascii="宋体" w:hAnsi="宋体" w:eastAsia="宋体" w:cs="宋体"/>
          <w:b/>
          <w:color w:val="000000"/>
          <w:highlight w:val="none"/>
        </w:rPr>
      </w:pPr>
      <w:r>
        <w:rPr>
          <w:rFonts w:hint="eastAsia" w:ascii="宋体" w:hAnsi="宋体" w:eastAsia="宋体" w:cs="宋体"/>
          <w:b/>
          <w:color w:val="000000"/>
          <w:highlight w:val="none"/>
        </w:rPr>
        <w:t>20.确定成交响应人</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b/>
          <w:color w:val="000000"/>
          <w:szCs w:val="24"/>
          <w:highlight w:val="none"/>
        </w:rPr>
      </w:pPr>
      <w:r>
        <w:rPr>
          <w:rFonts w:hint="eastAsia" w:ascii="宋体" w:hAnsi="宋体" w:eastAsia="宋体" w:cs="宋体"/>
          <w:color w:val="000000"/>
          <w:szCs w:val="24"/>
          <w:highlight w:val="none"/>
        </w:rPr>
        <w:t>交易发起人将自收到评审报告之日起5个工作日内通过电子交易平台在评审报告推荐的成交候选人中按顺序确定成交响应人。</w:t>
      </w:r>
    </w:p>
    <w:p>
      <w:pPr>
        <w:pStyle w:val="27"/>
        <w:keepNext w:val="0"/>
        <w:keepLines w:val="0"/>
        <w:pageBreakBefore w:val="0"/>
        <w:kinsoku/>
        <w:wordWrap/>
        <w:overflowPunct/>
        <w:topLinePunct w:val="0"/>
        <w:autoSpaceDE/>
        <w:autoSpaceDN/>
        <w:bidi w:val="0"/>
        <w:adjustRightInd w:val="0"/>
        <w:snapToGrid w:val="0"/>
        <w:spacing w:before="0" w:line="360" w:lineRule="auto"/>
        <w:ind w:firstLine="0" w:firstLineChars="0"/>
        <w:textAlignment w:val="auto"/>
        <w:rPr>
          <w:rFonts w:hint="eastAsia" w:ascii="宋体" w:hAnsi="宋体" w:eastAsia="宋体" w:cs="宋体"/>
          <w:b/>
          <w:color w:val="000000"/>
          <w:szCs w:val="24"/>
          <w:highlight w:val="none"/>
        </w:rPr>
      </w:pPr>
      <w:r>
        <w:rPr>
          <w:rFonts w:hint="eastAsia" w:ascii="宋体" w:hAnsi="宋体" w:eastAsia="宋体" w:cs="宋体"/>
          <w:b/>
          <w:color w:val="000000"/>
          <w:szCs w:val="24"/>
          <w:highlight w:val="none"/>
        </w:rPr>
        <w:t>21.成交通知与成交结果公告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21.1自成交人确定之日起3天内，代理机构通过电子交易平台向成交人发出成交通知书，同时编制发布成交结果公告。代理机构也可以以纸质形式进行成交通知。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hint="eastAsia" w:ascii="宋体" w:hAnsi="宋体" w:eastAsia="宋体" w:cs="宋体"/>
          <w:b/>
          <w:color w:val="000000"/>
          <w:sz w:val="32"/>
          <w:highlight w:val="none"/>
        </w:rPr>
      </w:pPr>
    </w:p>
    <w:p>
      <w:pPr>
        <w:snapToGrid w:val="0"/>
        <w:spacing w:line="460" w:lineRule="exact"/>
        <w:ind w:left="120" w:leftChars="57" w:firstLine="482" w:firstLineChars="15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七、合同授予</w:t>
      </w:r>
    </w:p>
    <w:p>
      <w:pPr>
        <w:pStyle w:val="10"/>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hint="eastAsia" w:ascii="宋体" w:hAnsi="宋体" w:eastAsia="宋体" w:cs="宋体"/>
          <w:b/>
          <w:color w:val="000000"/>
          <w:highlight w:val="none"/>
        </w:rPr>
      </w:pPr>
      <w:r>
        <w:rPr>
          <w:rFonts w:hint="eastAsia" w:ascii="宋体" w:hAnsi="宋体" w:eastAsia="宋体" w:cs="宋体"/>
          <w:b/>
          <w:color w:val="000000"/>
          <w:highlight w:val="none"/>
        </w:rPr>
        <w:t>22.</w:t>
      </w:r>
      <w:r>
        <w:rPr>
          <w:rFonts w:hint="eastAsia" w:ascii="宋体" w:hAnsi="宋体" w:eastAsia="宋体" w:cs="宋体"/>
          <w:color w:val="000000"/>
          <w:highlight w:val="none"/>
        </w:rPr>
        <w:t>合同主要条款详见第五部分拟签订的合同文本。</w:t>
      </w:r>
    </w:p>
    <w:p>
      <w:pPr>
        <w:pStyle w:val="10"/>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hint="eastAsia" w:ascii="宋体" w:hAnsi="宋体" w:eastAsia="宋体" w:cs="宋体"/>
          <w:b/>
          <w:color w:val="000000"/>
          <w:highlight w:val="none"/>
        </w:rPr>
      </w:pPr>
      <w:r>
        <w:rPr>
          <w:rFonts w:hint="eastAsia" w:ascii="宋体" w:hAnsi="宋体" w:eastAsia="宋体" w:cs="宋体"/>
          <w:b/>
          <w:color w:val="000000"/>
          <w:highlight w:val="none"/>
        </w:rPr>
        <w:t>23.合同的签订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23.1</w:t>
      </w:r>
      <w:r>
        <w:rPr>
          <w:rFonts w:hint="eastAsia" w:ascii="宋体" w:hAnsi="宋体" w:eastAsia="宋体" w:cs="宋体"/>
          <w:color w:val="000000"/>
          <w:kern w:val="0"/>
          <w:sz w:val="24"/>
          <w:highlight w:val="none"/>
        </w:rPr>
        <w:t xml:space="preserve"> 交易发起人与成交人应当通过电子交易平台在成交通知书发出之日起三十日内，按照公开竞争文件确定的事项签订书面合同。</w:t>
      </w:r>
    </w:p>
    <w:p>
      <w:pPr>
        <w:pStyle w:val="27"/>
        <w:keepNext w:val="0"/>
        <w:keepLines w:val="0"/>
        <w:pageBreakBefore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2</w:t>
      </w:r>
      <w:r>
        <w:rPr>
          <w:rFonts w:hint="eastAsia" w:ascii="宋体" w:hAnsi="宋体" w:eastAsia="宋体" w:cs="宋体"/>
          <w:color w:val="000000"/>
          <w:kern w:val="0"/>
          <w:highlight w:val="none"/>
        </w:rPr>
        <w:t>3</w:t>
      </w:r>
      <w:r>
        <w:rPr>
          <w:rFonts w:hint="eastAsia" w:ascii="宋体" w:hAnsi="宋体" w:eastAsia="宋体" w:cs="宋体"/>
          <w:color w:val="000000"/>
          <w:kern w:val="0"/>
          <w:highlight w:val="none"/>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27"/>
        <w:keepNext w:val="0"/>
        <w:keepLines w:val="0"/>
        <w:pageBreakBefore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23.3如签订合同并生效后，响应人无故拒绝或延期，除按照合同条款处理外，列入不良行为记录一次，并给予通报。</w:t>
      </w:r>
    </w:p>
    <w:p>
      <w:pPr>
        <w:pStyle w:val="27"/>
        <w:keepNext w:val="0"/>
        <w:keepLines w:val="0"/>
        <w:pageBreakBefore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23.4成交响应人拒绝与交易发起人签订合同的，交易发起人可以按照评审报告推荐的</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或者成交候选人名单排序，确定下一候选人为成交响应人，也可以重新开展交易活动。</w:t>
      </w:r>
    </w:p>
    <w:p>
      <w:pPr>
        <w:pStyle w:val="27"/>
        <w:keepNext w:val="0"/>
        <w:keepLines w:val="0"/>
        <w:pageBreakBefore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23.5书面合同由交易发起人与成交响应人根据公开竞争文件、响应文件等内容签订合同。</w:t>
      </w:r>
    </w:p>
    <w:p>
      <w:pPr>
        <w:pStyle w:val="10"/>
        <w:keepNext w:val="0"/>
        <w:keepLines w:val="0"/>
        <w:pageBreakBefore w:val="0"/>
        <w:kinsoku/>
        <w:wordWrap/>
        <w:overflowPunct/>
        <w:topLinePunct w:val="0"/>
        <w:autoSpaceDE/>
        <w:autoSpaceDN/>
        <w:bidi w:val="0"/>
        <w:adjustRightInd w:val="0"/>
        <w:snapToGrid w:val="0"/>
        <w:spacing w:line="360" w:lineRule="auto"/>
        <w:ind w:left="479" w:hanging="479" w:hangingChars="199"/>
        <w:textAlignment w:val="auto"/>
        <w:rPr>
          <w:rFonts w:hint="eastAsia" w:ascii="宋体" w:hAnsi="宋体" w:eastAsia="宋体" w:cs="宋体"/>
          <w:b/>
          <w:color w:val="000000"/>
          <w:highlight w:val="none"/>
          <w:lang w:val="en-US"/>
        </w:rPr>
      </w:pPr>
      <w:r>
        <w:rPr>
          <w:rFonts w:hint="eastAsia" w:ascii="宋体" w:hAnsi="宋体" w:eastAsia="宋体" w:cs="宋体"/>
          <w:b/>
          <w:color w:val="000000"/>
          <w:highlight w:val="none"/>
        </w:rPr>
        <w:t>24.履约保证金：合同价的1%。</w:t>
      </w:r>
    </w:p>
    <w:p>
      <w:pPr>
        <w:snapToGrid w:val="0"/>
        <w:spacing w:line="460" w:lineRule="exact"/>
        <w:ind w:firstLine="3357" w:firstLineChars="1045"/>
        <w:rPr>
          <w:rFonts w:hint="eastAsia" w:ascii="宋体" w:hAnsi="宋体" w:eastAsia="宋体" w:cs="宋体"/>
          <w:b/>
          <w:color w:val="000000"/>
          <w:sz w:val="32"/>
          <w:highlight w:val="none"/>
        </w:rPr>
      </w:pPr>
    </w:p>
    <w:p>
      <w:pPr>
        <w:snapToGrid w:val="0"/>
        <w:spacing w:line="460" w:lineRule="exact"/>
        <w:ind w:firstLine="3357" w:firstLineChars="1045"/>
        <w:rPr>
          <w:rFonts w:hint="eastAsia" w:ascii="宋体" w:hAnsi="宋体" w:eastAsia="宋体" w:cs="宋体"/>
          <w:b/>
          <w:color w:val="000000"/>
          <w:sz w:val="24"/>
          <w:highlight w:val="none"/>
        </w:rPr>
      </w:pPr>
      <w:r>
        <w:rPr>
          <w:rFonts w:hint="eastAsia" w:ascii="宋体" w:hAnsi="宋体" w:eastAsia="宋体" w:cs="宋体"/>
          <w:b/>
          <w:color w:val="000000"/>
          <w:sz w:val="32"/>
          <w:highlight w:val="none"/>
        </w:rPr>
        <w:t>八、电子交易活动的中止</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宋体" w:hAnsi="宋体" w:eastAsia="宋体" w:cs="宋体"/>
          <w:color w:val="000000"/>
          <w:highlight w:val="none"/>
        </w:rPr>
      </w:pPr>
      <w:r>
        <w:rPr>
          <w:rFonts w:hint="eastAsia" w:ascii="宋体" w:hAnsi="宋体" w:eastAsia="宋体" w:cs="宋体"/>
          <w:b/>
          <w:bCs/>
          <w:color w:val="000000"/>
          <w:highlight w:val="none"/>
        </w:rPr>
        <w:t>2</w:t>
      </w:r>
      <w:r>
        <w:rPr>
          <w:rFonts w:hint="eastAsia" w:ascii="宋体" w:hAnsi="宋体" w:eastAsia="宋体" w:cs="宋体"/>
          <w:b/>
          <w:color w:val="000000"/>
          <w:szCs w:val="24"/>
          <w:highlight w:val="none"/>
        </w:rPr>
        <w:t>5.电子交易活动的中止。</w:t>
      </w:r>
      <w:r>
        <w:rPr>
          <w:rFonts w:hint="eastAsia" w:ascii="宋体" w:hAnsi="宋体" w:eastAsia="宋体" w:cs="宋体"/>
          <w:bCs/>
          <w:color w:val="000000"/>
          <w:szCs w:val="24"/>
          <w:highlight w:val="none"/>
        </w:rPr>
        <w:t>交易</w:t>
      </w:r>
      <w:r>
        <w:rPr>
          <w:rFonts w:hint="eastAsia" w:ascii="宋体" w:hAnsi="宋体" w:eastAsia="宋体" w:cs="宋体"/>
          <w:color w:val="000000"/>
          <w:highlight w:val="none"/>
        </w:rPr>
        <w:t>过程中出现以下情形，导致电子交易平台无法正常运行，或者无法保证电子交易的公平、公正和安全时，代理机构可中止电子交易活动：</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25.1电子交易平台发生故障而无法登录访问的； </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25.2电子交易平台应用或数据库出现错误，不能进行正常操作的；</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25.3电子交易平台发现严重安全漏洞，有潜在泄密危险的；</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 xml:space="preserve">25.4病毒发作导致不能进行正常操作的； </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25.5其他无法保证电子交易的公平、公正和安全的情况。</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宋体" w:hAnsi="宋体" w:eastAsia="宋体" w:cs="宋体"/>
          <w:color w:val="000000"/>
          <w:highlight w:val="none"/>
        </w:rPr>
      </w:pPr>
      <w:r>
        <w:rPr>
          <w:rFonts w:hint="eastAsia" w:ascii="宋体" w:hAnsi="宋体" w:eastAsia="宋体" w:cs="宋体"/>
          <w:b/>
          <w:bCs/>
          <w:color w:val="000000"/>
          <w:highlight w:val="none"/>
        </w:rPr>
        <w:t>26.</w:t>
      </w:r>
      <w:r>
        <w:rPr>
          <w:rFonts w:hint="eastAsia" w:ascii="宋体" w:hAnsi="宋体" w:eastAsia="宋体" w:cs="宋体"/>
          <w:color w:val="000000"/>
          <w:highlight w:val="none"/>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九、验收</w:t>
      </w:r>
    </w:p>
    <w:p>
      <w:pPr>
        <w:pStyle w:val="10"/>
        <w:spacing w:line="460" w:lineRule="exact"/>
        <w:ind w:firstLine="0" w:firstLineChars="0"/>
        <w:rPr>
          <w:rFonts w:hint="eastAsia" w:ascii="宋体" w:hAnsi="宋体" w:eastAsia="宋体" w:cs="宋体"/>
          <w:b/>
          <w:color w:val="000000"/>
          <w:highlight w:val="none"/>
        </w:rPr>
      </w:pPr>
      <w:r>
        <w:rPr>
          <w:rFonts w:hint="eastAsia" w:ascii="宋体" w:hAnsi="宋体" w:eastAsia="宋体" w:cs="宋体"/>
          <w:b/>
          <w:color w:val="000000"/>
          <w:highlight w:val="none"/>
        </w:rPr>
        <w:t>27.验收</w:t>
      </w:r>
    </w:p>
    <w:p>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kern w:val="0"/>
          <w:sz w:val="24"/>
          <w:highlight w:val="none"/>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宋体" w:hAnsi="宋体" w:eastAsia="宋体" w:cs="宋体"/>
          <w:color w:val="000000"/>
          <w:kern w:val="0"/>
          <w:sz w:val="24"/>
          <w:highlight w:val="none"/>
        </w:rPr>
        <w:t>27.1交易发起人应当组织对响应人履约的验收。</w:t>
      </w:r>
    </w:p>
    <w:p>
      <w:pPr>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第三部分   交易需求</w:t>
      </w:r>
    </w:p>
    <w:p>
      <w:pPr>
        <w:snapToGrid w:val="0"/>
        <w:spacing w:line="360" w:lineRule="auto"/>
        <w:jc w:val="center"/>
        <w:rPr>
          <w:rFonts w:hint="eastAsia" w:ascii="宋体" w:hAnsi="宋体" w:eastAsia="宋体" w:cs="宋体"/>
          <w:color w:val="000000"/>
          <w:sz w:val="24"/>
          <w:highlight w:val="none"/>
        </w:rPr>
      </w:pPr>
    </w:p>
    <w:p>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属于实质性要求条款的，请用符号“▲”标明，否则属于非实质性要求。</w:t>
      </w:r>
    </w:p>
    <w:p>
      <w:pPr>
        <w:numPr>
          <w:ilvl w:val="0"/>
          <w:numId w:val="0"/>
        </w:numPr>
        <w:spacing w:line="360" w:lineRule="auto"/>
        <w:ind w:left="0" w:leftChars="0"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2"/>
          <w:sz w:val="28"/>
          <w:szCs w:val="28"/>
          <w:highlight w:val="none"/>
          <w:lang w:val="en-US" w:eastAsia="zh-CN" w:bidi="ar-SA"/>
        </w:rPr>
        <w:t>一、</w:t>
      </w:r>
      <w:r>
        <w:rPr>
          <w:rFonts w:hint="eastAsia" w:ascii="宋体" w:hAnsi="宋体" w:eastAsia="宋体" w:cs="宋体"/>
          <w:b/>
          <w:color w:val="auto"/>
          <w:sz w:val="28"/>
          <w:szCs w:val="28"/>
          <w:highlight w:val="none"/>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18"/>
        <w:tblW w:w="86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2"/>
        <w:gridCol w:w="3666"/>
        <w:gridCol w:w="1854"/>
        <w:gridCol w:w="720"/>
        <w:gridCol w:w="773"/>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9"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序号</w:t>
            </w:r>
          </w:p>
        </w:tc>
        <w:tc>
          <w:tcPr>
            <w:tcW w:w="36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85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具体服务要求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90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35" w:hRule="atLeast"/>
          <w:jc w:val="center"/>
        </w:trPr>
        <w:tc>
          <w:tcPr>
            <w:tcW w:w="7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6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i w:val="0"/>
                <w:iCs w:val="0"/>
                <w:color w:val="000000"/>
                <w:kern w:val="0"/>
                <w:sz w:val="22"/>
                <w:szCs w:val="22"/>
                <w:highlight w:val="none"/>
                <w:u w:val="none"/>
                <w:lang w:val="en-US" w:eastAsia="zh-CN" w:bidi="ar"/>
              </w:rPr>
              <w:t>宁新村安置房（潮遇宁新里）装修垃圾清运处置项目</w:t>
            </w:r>
          </w:p>
        </w:tc>
        <w:tc>
          <w:tcPr>
            <w:tcW w:w="185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年</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907" w:type="dxa"/>
            <w:tcBorders>
              <w:top w:val="single" w:color="auto" w:sz="4" w:space="0"/>
              <w:left w:val="nil"/>
              <w:bottom w:val="single" w:color="auto" w:sz="4" w:space="0"/>
              <w:right w:val="single" w:color="auto" w:sz="4" w:space="0"/>
            </w:tcBorders>
            <w:vAlign w:val="center"/>
          </w:tcPr>
          <w:p>
            <w:pPr>
              <w:rPr>
                <w:rFonts w:hint="eastAsia" w:ascii="宋体" w:hAnsi="宋体" w:eastAsia="宋体" w:cs="宋体"/>
                <w:color w:val="auto"/>
                <w:sz w:val="24"/>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二、交易需求</w:t>
      </w:r>
    </w:p>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一、服务内容及范围</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1.杭州金开颐和物业有限公司针对</w:t>
      </w:r>
      <w:r>
        <w:rPr>
          <w:rFonts w:hint="eastAsia" w:ascii="宋体" w:hAnsi="宋体" w:eastAsia="宋体" w:cs="宋体"/>
          <w:sz w:val="24"/>
          <w:lang w:val="en-US" w:eastAsia="zh-CN"/>
        </w:rPr>
        <w:t>宁新村安置房（潮遇宁新里）</w:t>
      </w:r>
      <w:r>
        <w:rPr>
          <w:rFonts w:hint="eastAsia" w:ascii="宋体" w:hAnsi="宋体" w:eastAsia="宋体" w:cs="宋体"/>
          <w:sz w:val="24"/>
        </w:rPr>
        <w:t>装修垃圾清运、处置服务。</w:t>
      </w:r>
    </w:p>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二、服务要求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1.装修垃圾收集及清运过程中，应做到集中清运，集中处置；</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2.服务单位接到采购人的通知，必须立即安排清运车辆、作业人员第一时间进行清理。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3.小区装修垃圾应做到日产日清，不得停留过长时间，原则上垃圾集置点的装修垃圾不得超过一车。在接到小区物业等相关部门通知后一天内进行清理，不得拖延；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4.装修垃圾清运过程中，应保证清运沿途无垃圾撒落，保证无二次污染，污水无滴漏；</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5.服务单位应根据采购要求合理安排清运路线，避免噪音扰民等现象；</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6.服务期间若遇上级检查或其它突击任务等特殊情况，应无条件服从采购人调配和安排；</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7.服务单位必须定期对相关作业人员进行安全教育，在装修垃圾运输过程中发生的任何事故均由服务单位负责，并应及时通知采购人相关人员；在服务期内，因</w:t>
      </w:r>
      <w:r>
        <w:rPr>
          <w:rFonts w:hint="eastAsia" w:ascii="宋体" w:hAnsi="宋体" w:eastAsia="宋体" w:cs="宋体"/>
          <w:sz w:val="24"/>
          <w:lang w:val="en-US" w:eastAsia="zh-CN"/>
        </w:rPr>
        <w:t>成交人</w:t>
      </w:r>
      <w:r>
        <w:rPr>
          <w:rFonts w:hint="eastAsia" w:ascii="宋体" w:hAnsi="宋体" w:eastAsia="宋体" w:cs="宋体"/>
          <w:sz w:val="24"/>
        </w:rPr>
        <w:t>原因导致采购人财产损失的，由</w:t>
      </w:r>
      <w:r>
        <w:rPr>
          <w:rFonts w:hint="eastAsia" w:ascii="宋体" w:hAnsi="宋体" w:eastAsia="宋体" w:cs="宋体"/>
          <w:sz w:val="24"/>
          <w:lang w:val="en-US" w:eastAsia="zh-CN"/>
        </w:rPr>
        <w:t>成交人</w:t>
      </w:r>
      <w:r>
        <w:rPr>
          <w:rFonts w:hint="eastAsia" w:ascii="宋体" w:hAnsi="宋体" w:eastAsia="宋体" w:cs="宋体"/>
          <w:sz w:val="24"/>
        </w:rPr>
        <w:t>负责维修、赔偿。</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8.服务单位应建立针对本项目服务的相应管理制度；</w:t>
      </w:r>
    </w:p>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三、运输机械要求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1.车辆驾驶员必须持有效驾驶证上岗。服务期内，装修垃圾清运车辆清洗及停放，由投标人自行负责；</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2.装修垃圾专运车辆车容必须保持整洁，车辆必须按照采购人要求粘贴明显的标识、标志，不得随处乱停放，不得违反交通规则；</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3.所有清运车辆保险手续齐全，且车辆保险未生效前，不得上路作业；</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4.装修垃圾专运车要求为封闭式车辆或毡布覆盖，车辆在作业过程中必须进行全覆盖，车厢外不得有垃圾拖挂，沿途禁止抛洒滴漏，严禁超载超限运输；</w:t>
      </w:r>
    </w:p>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四、作业人员要求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1.清运人员要求统一着装，服装应有明显标识；</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响应人</w:t>
      </w:r>
      <w:r>
        <w:rPr>
          <w:rFonts w:hint="eastAsia" w:ascii="宋体" w:hAnsi="宋体" w:eastAsia="宋体" w:cs="宋体"/>
          <w:sz w:val="24"/>
        </w:rPr>
        <w:t>须根据本项目的特点及要求，配置合理的作业人员；</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响应人</w:t>
      </w:r>
      <w:r>
        <w:rPr>
          <w:rFonts w:hint="eastAsia" w:ascii="宋体" w:hAnsi="宋体" w:eastAsia="宋体" w:cs="宋体"/>
          <w:sz w:val="24"/>
        </w:rPr>
        <w:t>须派一名项目管理人员作为本项目的负责人，负责承包区域内的日常管理工作，并承担联系、沟通及协调经营中发生的问题，负责人不得随意更换，若确需更换的，须得到采购人许可。</w:t>
      </w:r>
    </w:p>
    <w:p>
      <w:pPr>
        <w:keepNext/>
        <w:keepLines/>
        <w:tabs>
          <w:tab w:val="left" w:pos="432"/>
        </w:tabs>
        <w:adjustRightInd/>
        <w:snapToGrid w:val="0"/>
        <w:spacing w:line="360" w:lineRule="auto"/>
        <w:ind w:left="434" w:leftChars="202" w:hanging="10" w:hangingChars="4"/>
        <w:jc w:val="left"/>
        <w:outlineLvl w:val="1"/>
        <w:rPr>
          <w:rFonts w:hint="eastAsia" w:ascii="宋体" w:hAnsi="宋体" w:eastAsia="宋体" w:cs="宋体"/>
          <w:b/>
          <w:bCs/>
          <w:sz w:val="24"/>
          <w:lang w:val="zh-CN"/>
        </w:rPr>
      </w:pPr>
      <w:r>
        <w:rPr>
          <w:rFonts w:hint="eastAsia" w:ascii="宋体" w:hAnsi="宋体" w:eastAsia="宋体" w:cs="宋体"/>
          <w:b/>
          <w:bCs/>
          <w:sz w:val="24"/>
        </w:rPr>
        <w:t>五、</w:t>
      </w:r>
      <w:r>
        <w:rPr>
          <w:rFonts w:hint="eastAsia" w:ascii="宋体" w:hAnsi="宋体" w:eastAsia="宋体" w:cs="宋体"/>
          <w:b/>
          <w:bCs/>
          <w:sz w:val="24"/>
          <w:lang w:val="zh-CN"/>
        </w:rPr>
        <w:t>其他要求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响应人</w:t>
      </w:r>
      <w:r>
        <w:rPr>
          <w:rFonts w:hint="eastAsia" w:ascii="宋体" w:hAnsi="宋体" w:eastAsia="宋体" w:cs="宋体"/>
          <w:sz w:val="24"/>
        </w:rPr>
        <w:t>需具备装修垃圾处置证或提供合法、合规的消纳场所证明等相关资料（</w:t>
      </w:r>
      <w:r>
        <w:rPr>
          <w:rFonts w:hint="eastAsia" w:ascii="宋体" w:hAnsi="宋体" w:cs="宋体"/>
          <w:sz w:val="24"/>
          <w:lang w:val="en-US" w:eastAsia="zh-CN"/>
        </w:rPr>
        <w:t>成交后</w:t>
      </w:r>
      <w:r>
        <w:rPr>
          <w:rFonts w:hint="eastAsia" w:ascii="宋体" w:hAnsi="宋体" w:eastAsia="宋体" w:cs="宋体"/>
          <w:sz w:val="24"/>
        </w:rPr>
        <w:t>原件备查）。</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1.项目服务期限：暂定二年，合同签订之日起开始计算；</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成交</w:t>
      </w:r>
      <w:r>
        <w:rPr>
          <w:rFonts w:hint="eastAsia" w:ascii="宋体" w:hAnsi="宋体" w:eastAsia="宋体" w:cs="宋体"/>
          <w:sz w:val="24"/>
        </w:rPr>
        <w:t>单位不得将本项目转包给他人完成；</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采购人将对服务单位进行监督检查，考核以日常检查和不定期检查相结合的方式进行，考核内容主要包括：劳动纪律、车辆管理、垃圾收集、垃圾运输清运等4个方面内容。具体考核标准详见考核制度，考核制度作为合同签订时的合同附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4.因服务单位清运不到位、达不到作业标准而发生需其他单位“代清运”的，“代清运”的费用从</w:t>
      </w:r>
      <w:r>
        <w:rPr>
          <w:rFonts w:hint="eastAsia" w:ascii="宋体" w:hAnsi="宋体" w:eastAsia="宋体" w:cs="宋体"/>
          <w:sz w:val="24"/>
          <w:lang w:val="en-US" w:eastAsia="zh-CN"/>
        </w:rPr>
        <w:t>成交</w:t>
      </w:r>
      <w:r>
        <w:rPr>
          <w:rFonts w:hint="eastAsia" w:ascii="宋体" w:hAnsi="宋体" w:eastAsia="宋体" w:cs="宋体"/>
          <w:sz w:val="24"/>
        </w:rPr>
        <w:t>单位的合同承包经费中扣除。</w:t>
      </w:r>
    </w:p>
    <w:p>
      <w:pPr>
        <w:keepNext/>
        <w:keepLines/>
        <w:tabs>
          <w:tab w:val="left" w:pos="432"/>
        </w:tabs>
        <w:adjustRightInd/>
        <w:snapToGrid w:val="0"/>
        <w:spacing w:line="360" w:lineRule="auto"/>
        <w:ind w:left="434" w:leftChars="202" w:hanging="10" w:hangingChars="4"/>
        <w:jc w:val="left"/>
        <w:outlineLvl w:val="1"/>
        <w:rPr>
          <w:rFonts w:hint="eastAsia" w:ascii="宋体" w:hAnsi="宋体" w:eastAsia="宋体" w:cs="宋体"/>
          <w:b/>
          <w:bCs/>
          <w:sz w:val="24"/>
          <w:lang w:val="zh-CN"/>
        </w:rPr>
      </w:pPr>
      <w:r>
        <w:rPr>
          <w:rFonts w:hint="eastAsia" w:ascii="宋体" w:hAnsi="宋体" w:eastAsia="宋体" w:cs="宋体"/>
          <w:b/>
          <w:bCs/>
          <w:sz w:val="24"/>
          <w:lang w:val="en-US" w:eastAsia="zh-CN"/>
        </w:rPr>
        <w:t>六</w:t>
      </w:r>
      <w:r>
        <w:rPr>
          <w:rFonts w:hint="eastAsia" w:ascii="宋体" w:hAnsi="宋体" w:eastAsia="宋体" w:cs="宋体"/>
          <w:b/>
          <w:bCs/>
          <w:sz w:val="24"/>
        </w:rPr>
        <w:t>、</w:t>
      </w:r>
      <w:r>
        <w:rPr>
          <w:rFonts w:hint="eastAsia" w:ascii="宋体" w:hAnsi="宋体" w:eastAsia="宋体" w:cs="宋体"/>
          <w:b/>
          <w:bCs/>
          <w:sz w:val="24"/>
          <w:lang w:val="zh-CN"/>
        </w:rPr>
        <w:t>报价要求</w:t>
      </w:r>
    </w:p>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▲1.本项目</w:t>
      </w:r>
      <w:r>
        <w:rPr>
          <w:rFonts w:hint="eastAsia" w:ascii="宋体" w:hAnsi="宋体" w:eastAsia="宋体" w:cs="宋体"/>
          <w:b/>
          <w:sz w:val="24"/>
          <w:lang w:val="en-US" w:eastAsia="zh-CN"/>
        </w:rPr>
        <w:t>响应</w:t>
      </w:r>
      <w:r>
        <w:rPr>
          <w:rFonts w:hint="eastAsia" w:ascii="宋体" w:hAnsi="宋体" w:eastAsia="宋体" w:cs="宋体"/>
          <w:b/>
          <w:sz w:val="24"/>
        </w:rPr>
        <w:t>报价为每户单价，暂按</w:t>
      </w:r>
      <w:r>
        <w:rPr>
          <w:rFonts w:hint="eastAsia" w:ascii="宋体" w:hAnsi="宋体" w:eastAsia="宋体" w:cs="宋体"/>
          <w:b/>
          <w:sz w:val="24"/>
          <w:lang w:val="en-US" w:eastAsia="zh-CN"/>
        </w:rPr>
        <w:t>2899</w:t>
      </w:r>
      <w:r>
        <w:rPr>
          <w:rFonts w:hint="eastAsia" w:ascii="宋体" w:hAnsi="宋体" w:eastAsia="宋体" w:cs="宋体"/>
          <w:b/>
          <w:sz w:val="24"/>
        </w:rPr>
        <w:t>户计，即每户单价含运输工具营运费用（含燃料费、折旧费、维修费）、车辆保险费、人工费及人员保险福利费、装卸费、税金、利润，完成合同所需的一切本身和不可缺的所有工作开支、政策性文件规定及合同包含的所有风险、责任等各项一切费用。签订合同后，单价不得调整。</w:t>
      </w:r>
    </w:p>
    <w:p>
      <w:pPr>
        <w:snapToGrid w:val="0"/>
        <w:spacing w:line="360" w:lineRule="auto"/>
        <w:ind w:firstLine="482" w:firstLineChars="200"/>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sz w:val="24"/>
        </w:rPr>
        <w:t xml:space="preserve"> 本次</w:t>
      </w:r>
      <w:r>
        <w:rPr>
          <w:rFonts w:hint="eastAsia" w:ascii="宋体" w:hAnsi="宋体" w:eastAsia="宋体" w:cs="宋体"/>
          <w:sz w:val="24"/>
          <w:lang w:val="en-US" w:eastAsia="zh-CN"/>
        </w:rPr>
        <w:t>响应</w:t>
      </w:r>
      <w:r>
        <w:rPr>
          <w:rFonts w:hint="eastAsia" w:ascii="宋体" w:hAnsi="宋体" w:eastAsia="宋体" w:cs="宋体"/>
          <w:sz w:val="24"/>
        </w:rPr>
        <w:t>报价为人民币价。</w:t>
      </w:r>
    </w:p>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▲3.本项目每户单价最高限价为</w:t>
      </w:r>
      <w:r>
        <w:rPr>
          <w:rFonts w:hint="eastAsia" w:ascii="宋体" w:hAnsi="宋体" w:eastAsia="宋体" w:cs="宋体"/>
          <w:b/>
          <w:sz w:val="24"/>
          <w:u w:val="single"/>
        </w:rPr>
        <w:t xml:space="preserve">  600 </w:t>
      </w:r>
      <w:r>
        <w:rPr>
          <w:rFonts w:hint="eastAsia" w:ascii="宋体" w:hAnsi="宋体" w:eastAsia="宋体" w:cs="宋体"/>
          <w:b/>
          <w:sz w:val="24"/>
        </w:rPr>
        <w:t>元，报价超过最高限价的为无效标。</w:t>
      </w:r>
    </w:p>
    <w:p>
      <w:pPr>
        <w:keepNext/>
        <w:keepLines/>
        <w:tabs>
          <w:tab w:val="left" w:pos="432"/>
        </w:tabs>
        <w:adjustRightInd/>
        <w:snapToGrid w:val="0"/>
        <w:spacing w:line="360" w:lineRule="auto"/>
        <w:ind w:left="432" w:hanging="432"/>
        <w:jc w:val="left"/>
        <w:outlineLvl w:val="1"/>
        <w:rPr>
          <w:rFonts w:hint="eastAsia" w:ascii="宋体" w:hAnsi="宋体" w:eastAsia="宋体" w:cs="宋体"/>
          <w:b/>
          <w:bCs/>
          <w:sz w:val="24"/>
          <w:lang w:val="zh-CN"/>
        </w:rPr>
      </w:pPr>
      <w:r>
        <w:rPr>
          <w:rFonts w:hint="eastAsia" w:ascii="宋体" w:hAnsi="宋体" w:eastAsia="宋体" w:cs="宋体"/>
          <w:b/>
          <w:bCs/>
          <w:kern w:val="0"/>
          <w:sz w:val="24"/>
          <w:lang w:val="en-US" w:eastAsia="zh-CN"/>
        </w:rPr>
        <w:t>七</w:t>
      </w:r>
      <w:r>
        <w:rPr>
          <w:rFonts w:hint="eastAsia" w:ascii="宋体" w:hAnsi="宋体" w:eastAsia="宋体" w:cs="宋体"/>
          <w:b/>
          <w:bCs/>
          <w:sz w:val="24"/>
          <w:lang w:val="zh-CN"/>
        </w:rPr>
        <w:t>、考核制度</w:t>
      </w:r>
    </w:p>
    <w:p>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（一）考核标准</w:t>
      </w:r>
    </w:p>
    <w:tbl>
      <w:tblPr>
        <w:tblStyle w:val="18"/>
        <w:tblW w:w="8339" w:type="dxa"/>
        <w:tblInd w:w="0" w:type="dxa"/>
        <w:tblLayout w:type="fixed"/>
        <w:tblCellMar>
          <w:top w:w="15" w:type="dxa"/>
          <w:left w:w="28" w:type="dxa"/>
          <w:bottom w:w="15" w:type="dxa"/>
          <w:right w:w="28" w:type="dxa"/>
        </w:tblCellMar>
      </w:tblPr>
      <w:tblGrid>
        <w:gridCol w:w="645"/>
        <w:gridCol w:w="1095"/>
        <w:gridCol w:w="6599"/>
      </w:tblGrid>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kern w:val="0"/>
                <w:sz w:val="24"/>
              </w:rPr>
              <w:t>序号</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kern w:val="0"/>
                <w:sz w:val="24"/>
              </w:rPr>
              <w:t>考核内容</w:t>
            </w:r>
          </w:p>
        </w:tc>
        <w:tc>
          <w:tcPr>
            <w:tcW w:w="659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kern w:val="0"/>
                <w:sz w:val="24"/>
              </w:rPr>
              <w:t>考核要点</w:t>
            </w:r>
          </w:p>
        </w:tc>
      </w:tr>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kern w:val="0"/>
                <w:sz w:val="24"/>
              </w:rPr>
              <w:t>1</w:t>
            </w:r>
          </w:p>
        </w:tc>
        <w:tc>
          <w:tcPr>
            <w:tcW w:w="1095" w:type="dxa"/>
            <w:vMerge w:val="restart"/>
            <w:tcBorders>
              <w:top w:val="single" w:color="000000" w:sz="4" w:space="0"/>
              <w:left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sz w:val="24"/>
              </w:rPr>
              <w:t>劳动纪律</w:t>
            </w:r>
          </w:p>
        </w:tc>
        <w:tc>
          <w:tcPr>
            <w:tcW w:w="659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left"/>
              <w:textAlignment w:val="center"/>
              <w:rPr>
                <w:rFonts w:hint="eastAsia" w:ascii="宋体" w:hAnsi="宋体" w:eastAsia="宋体" w:cs="宋体"/>
                <w:sz w:val="24"/>
              </w:rPr>
            </w:pPr>
            <w:r>
              <w:rPr>
                <w:rFonts w:hint="eastAsia" w:ascii="宋体" w:hAnsi="宋体" w:eastAsia="宋体" w:cs="宋体"/>
                <w:sz w:val="24"/>
              </w:rPr>
              <w:t>清运人员作业时间要求：如遇垃圾量较多的情况，作业单位必须无条件服从甲方工作安排，主动安排人员加班加点完成清理任务。根据清运实际情况，酌情扣1-5分。</w:t>
            </w:r>
          </w:p>
        </w:tc>
      </w:tr>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kern w:val="0"/>
                <w:sz w:val="24"/>
              </w:rPr>
              <w:t>2</w:t>
            </w:r>
          </w:p>
        </w:tc>
        <w:tc>
          <w:tcPr>
            <w:tcW w:w="1095" w:type="dxa"/>
            <w:vMerge w:val="continue"/>
            <w:tcBorders>
              <w:left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p>
        </w:tc>
        <w:tc>
          <w:tcPr>
            <w:tcW w:w="659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left"/>
              <w:textAlignment w:val="center"/>
              <w:rPr>
                <w:rFonts w:hint="eastAsia" w:ascii="宋体" w:hAnsi="宋体" w:eastAsia="宋体" w:cs="宋体"/>
                <w:sz w:val="24"/>
              </w:rPr>
            </w:pPr>
            <w:r>
              <w:rPr>
                <w:rFonts w:hint="eastAsia" w:ascii="宋体" w:hAnsi="宋体" w:eastAsia="宋体" w:cs="宋体"/>
                <w:sz w:val="24"/>
              </w:rPr>
              <w:t>清运人员上班期间，应统一着装，必须按规定着防护标志服帽，不得将防护服斜搭在肩上，系在腰间或挂在别处；上班期间严禁做与工作无关的事情，不得与他人在承包作业路段闲聊、逗留，甚至成群坐岗。如发现上述情况，视情节每人每次扣1-3分。</w:t>
            </w:r>
          </w:p>
        </w:tc>
      </w:tr>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kern w:val="0"/>
                <w:sz w:val="24"/>
              </w:rPr>
              <w:t>3</w:t>
            </w:r>
          </w:p>
        </w:tc>
        <w:tc>
          <w:tcPr>
            <w:tcW w:w="1095" w:type="dxa"/>
            <w:vMerge w:val="restart"/>
            <w:tcBorders>
              <w:top w:val="single" w:color="000000" w:sz="4" w:space="0"/>
              <w:left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sz w:val="24"/>
              </w:rPr>
              <w:t>清运车辆管理</w:t>
            </w:r>
          </w:p>
        </w:tc>
        <w:tc>
          <w:tcPr>
            <w:tcW w:w="659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left"/>
              <w:textAlignment w:val="center"/>
              <w:rPr>
                <w:rFonts w:hint="eastAsia" w:ascii="宋体" w:hAnsi="宋体" w:eastAsia="宋体" w:cs="宋体"/>
                <w:sz w:val="24"/>
              </w:rPr>
            </w:pPr>
            <w:r>
              <w:rPr>
                <w:rFonts w:hint="eastAsia" w:ascii="宋体" w:hAnsi="宋体" w:eastAsia="宋体" w:cs="宋体"/>
                <w:sz w:val="24"/>
              </w:rPr>
              <w:t>装修垃圾专运车辆车容必须保持整洁，车辆必须按照甲方要求粘贴明显的标识、标志，不得随处乱停放，不得违反交通规则。发现车容不整洁的或未按要求粘贴标识标志的，每次扣1分，屡教不改的，加倍扣分。</w:t>
            </w:r>
          </w:p>
        </w:tc>
      </w:tr>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kern w:val="0"/>
                <w:sz w:val="24"/>
              </w:rPr>
              <w:t>4</w:t>
            </w:r>
          </w:p>
        </w:tc>
        <w:tc>
          <w:tcPr>
            <w:tcW w:w="1095" w:type="dxa"/>
            <w:vMerge w:val="continue"/>
            <w:tcBorders>
              <w:left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p>
        </w:tc>
        <w:tc>
          <w:tcPr>
            <w:tcW w:w="659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left"/>
              <w:textAlignment w:val="center"/>
              <w:rPr>
                <w:rFonts w:hint="eastAsia" w:ascii="宋体" w:hAnsi="宋体" w:eastAsia="宋体" w:cs="宋体"/>
                <w:sz w:val="24"/>
              </w:rPr>
            </w:pPr>
            <w:r>
              <w:rPr>
                <w:rFonts w:hint="eastAsia" w:ascii="宋体" w:hAnsi="宋体" w:eastAsia="宋体" w:cs="宋体"/>
                <w:sz w:val="24"/>
              </w:rPr>
              <w:t>所有车辆车辆保险手续齐全，且车辆保险未生效前，不得上路作业。合同签订后未按要求安装GPS定位系统的，扣5分；保险手续不齐全的，扣2-10分，并责令该车辆停止作业，待手续办理齐全后方可作业。</w:t>
            </w:r>
          </w:p>
        </w:tc>
      </w:tr>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auto"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kern w:val="0"/>
                <w:sz w:val="24"/>
              </w:rPr>
              <w:t>5</w:t>
            </w:r>
          </w:p>
        </w:tc>
        <w:tc>
          <w:tcPr>
            <w:tcW w:w="1095" w:type="dxa"/>
            <w:vMerge w:val="continue"/>
            <w:tcBorders>
              <w:left w:val="single" w:color="000000" w:sz="4" w:space="0"/>
              <w:bottom w:val="single" w:color="auto"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p>
        </w:tc>
        <w:tc>
          <w:tcPr>
            <w:tcW w:w="659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left"/>
              <w:textAlignment w:val="center"/>
              <w:rPr>
                <w:rFonts w:hint="eastAsia" w:ascii="宋体" w:hAnsi="宋体" w:eastAsia="宋体" w:cs="宋体"/>
                <w:sz w:val="24"/>
              </w:rPr>
            </w:pPr>
            <w:r>
              <w:rPr>
                <w:rFonts w:hint="eastAsia" w:ascii="宋体" w:hAnsi="宋体" w:eastAsia="宋体" w:cs="宋体"/>
                <w:sz w:val="24"/>
              </w:rPr>
              <w:t>装修垃圾专运车要求为封闭式车辆或毡布覆盖，车辆在作业过程中必须进行全覆盖，车厢外不得有垃圾拖挂，沿途禁止抛洒滴漏，严禁超载超限运输。车辆未按要求进行覆盖的，每次扣除考核分3分；在收集、运输过程中，车厢外有垃圾拖挂现象，每次扣1分；车辆超载超限运输的，一经发现，扣除考核分5分。</w:t>
            </w:r>
          </w:p>
        </w:tc>
      </w:tr>
      <w:tr>
        <w:tblPrEx>
          <w:tblCellMar>
            <w:top w:w="15" w:type="dxa"/>
            <w:left w:w="28" w:type="dxa"/>
            <w:bottom w:w="15" w:type="dxa"/>
            <w:right w:w="28" w:type="dxa"/>
          </w:tblCellMar>
        </w:tblPrEx>
        <w:trPr>
          <w:trHeight w:val="454" w:hRule="atLeast"/>
        </w:trPr>
        <w:tc>
          <w:tcPr>
            <w:tcW w:w="645" w:type="dxa"/>
            <w:tcBorders>
              <w:top w:val="single" w:color="auto" w:sz="4" w:space="0"/>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kern w:val="0"/>
                <w:sz w:val="24"/>
              </w:rPr>
              <w:t>6</w:t>
            </w:r>
          </w:p>
        </w:tc>
        <w:tc>
          <w:tcPr>
            <w:tcW w:w="1095" w:type="dxa"/>
            <w:vMerge w:val="restart"/>
            <w:tcBorders>
              <w:top w:val="single" w:color="auto" w:sz="4" w:space="0"/>
              <w:left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sz w:val="24"/>
              </w:rPr>
              <w:t>垃圾清运</w:t>
            </w:r>
          </w:p>
        </w:tc>
        <w:tc>
          <w:tcPr>
            <w:tcW w:w="659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left"/>
              <w:textAlignment w:val="center"/>
              <w:rPr>
                <w:rFonts w:hint="eastAsia" w:ascii="宋体" w:hAnsi="宋体" w:eastAsia="宋体" w:cs="宋体"/>
                <w:sz w:val="24"/>
              </w:rPr>
            </w:pPr>
            <w:r>
              <w:rPr>
                <w:rFonts w:hint="eastAsia" w:ascii="宋体" w:hAnsi="宋体" w:eastAsia="宋体" w:cs="宋体"/>
                <w:sz w:val="24"/>
              </w:rPr>
              <w:t>甲方制定专人对辖区范围内装修垃圾进行巡查，作业单位接到甲方有关部门的通知，必须立即安排清运车辆、人员第一时间进行清理，并及时将垃圾清理前后对比照片发至甲方相应的管理工作群中。逾期未清理的，每次每处扣1-3分，逾期未清理且不积极安排加班清理的或逾期24小时未完成清理的加倍扣分；连续造成承包区域范围内装修垃圾挤压，不能完成清运任务的，甲方有权单方终止合同，扣除履约保证金</w:t>
            </w:r>
          </w:p>
        </w:tc>
      </w:tr>
      <w:tr>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kern w:val="0"/>
                <w:sz w:val="24"/>
              </w:rPr>
            </w:pPr>
            <w:r>
              <w:rPr>
                <w:rFonts w:hint="eastAsia" w:ascii="宋体" w:hAnsi="宋体" w:eastAsia="宋体" w:cs="宋体"/>
                <w:kern w:val="0"/>
                <w:sz w:val="24"/>
              </w:rPr>
              <w:t>7</w:t>
            </w:r>
          </w:p>
        </w:tc>
        <w:tc>
          <w:tcPr>
            <w:tcW w:w="1095" w:type="dxa"/>
            <w:vMerge w:val="continue"/>
            <w:tcBorders>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p>
        </w:tc>
        <w:tc>
          <w:tcPr>
            <w:tcW w:w="659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left"/>
              <w:textAlignment w:val="center"/>
              <w:rPr>
                <w:rFonts w:hint="eastAsia" w:ascii="宋体" w:hAnsi="宋体" w:eastAsia="宋体" w:cs="宋体"/>
                <w:sz w:val="24"/>
              </w:rPr>
            </w:pPr>
            <w:r>
              <w:rPr>
                <w:rFonts w:hint="eastAsia" w:ascii="宋体" w:hAnsi="宋体" w:eastAsia="宋体" w:cs="宋体"/>
                <w:sz w:val="24"/>
              </w:rPr>
              <w:t>在接到区域范围内小区物业等相关部门通知后一天内进行清理，不得拖延。接到通知后，逾期未清理的，每次每处扣除考核分3分。</w:t>
            </w:r>
          </w:p>
        </w:tc>
      </w:tr>
      <w:tr>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kern w:val="0"/>
                <w:sz w:val="24"/>
              </w:rPr>
              <w:t>8</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sz w:val="24"/>
              </w:rPr>
              <w:t>垃圾运输</w:t>
            </w:r>
          </w:p>
        </w:tc>
        <w:tc>
          <w:tcPr>
            <w:tcW w:w="659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left"/>
              <w:textAlignment w:val="center"/>
              <w:rPr>
                <w:rFonts w:hint="eastAsia" w:ascii="宋体" w:hAnsi="宋体" w:eastAsia="宋体" w:cs="宋体"/>
                <w:sz w:val="24"/>
              </w:rPr>
            </w:pPr>
            <w:r>
              <w:rPr>
                <w:rFonts w:hint="eastAsia" w:ascii="宋体" w:hAnsi="宋体" w:eastAsia="宋体" w:cs="宋体"/>
                <w:sz w:val="24"/>
              </w:rPr>
              <w:t>装修垃圾应运至合法消纳地。同时，垃圾运至相应的场所后，服从相应场所工作人员的管理，并应将运输单据交由相应场所工作人员签字确认。未按要求将分类好的垃圾运至指定处理场所的或随处倾倒的，每次扣除考核分5分。未按要求签字确认运输单据的，每次扣1-3分。</w:t>
            </w:r>
          </w:p>
        </w:tc>
      </w:tr>
      <w:tr>
        <w:tblPrEx>
          <w:tblCellMar>
            <w:top w:w="15" w:type="dxa"/>
            <w:left w:w="28" w:type="dxa"/>
            <w:bottom w:w="15" w:type="dxa"/>
            <w:right w:w="28" w:type="dxa"/>
          </w:tblCellMar>
        </w:tblPrEx>
        <w:trPr>
          <w:trHeight w:val="45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kern w:val="0"/>
                <w:sz w:val="24"/>
              </w:rPr>
            </w:pPr>
            <w:r>
              <w:rPr>
                <w:rFonts w:hint="eastAsia" w:ascii="宋体" w:hAnsi="宋体" w:eastAsia="宋体" w:cs="宋体"/>
                <w:kern w:val="0"/>
                <w:sz w:val="24"/>
              </w:rPr>
              <w:t>9</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center"/>
              <w:textAlignment w:val="center"/>
              <w:rPr>
                <w:rFonts w:hint="eastAsia" w:ascii="宋体" w:hAnsi="宋体" w:eastAsia="宋体" w:cs="宋体"/>
                <w:sz w:val="24"/>
              </w:rPr>
            </w:pPr>
            <w:r>
              <w:rPr>
                <w:rFonts w:hint="eastAsia" w:ascii="宋体" w:hAnsi="宋体" w:eastAsia="宋体" w:cs="宋体"/>
                <w:sz w:val="24"/>
              </w:rPr>
              <w:t>其他</w:t>
            </w:r>
          </w:p>
        </w:tc>
        <w:tc>
          <w:tcPr>
            <w:tcW w:w="6599"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300" w:lineRule="auto"/>
              <w:jc w:val="left"/>
              <w:textAlignment w:val="center"/>
              <w:rPr>
                <w:rFonts w:hint="eastAsia" w:ascii="宋体" w:hAnsi="宋体" w:eastAsia="宋体" w:cs="宋体"/>
                <w:sz w:val="24"/>
              </w:rPr>
            </w:pPr>
            <w:r>
              <w:rPr>
                <w:rFonts w:hint="eastAsia" w:ascii="宋体" w:hAnsi="宋体" w:eastAsia="宋体" w:cs="宋体"/>
                <w:sz w:val="24"/>
              </w:rPr>
              <w:t>省、市卫生检查和文明创建等重大活动中，因作业单位责任被上级通报批评的，或甲方所安排工作无故拒不执行而造成失分或被通报批评的，视当月考核不合格，每项扣罚考核分5分；情节严重的，甲方将单方解除合同。</w:t>
            </w:r>
          </w:p>
        </w:tc>
      </w:tr>
    </w:tbl>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（二）考核结果运用</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1.甲方负责对作业单位业务指导、工作检查和考核，作业单位必须服从甲方管理，接受检查和考核，甲方对作业单位实行日检、月考制度，由甲方组成的考核小组采取不定时抽查考核。</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2.除合同约定扣罚金额外，考核分数另行处罚。考核实行100分制，结算每月考核分数，低于95分的，按每分扣罚300元。</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3.每月累计扣分超过15次以上（含15次）或30分以上视为当月考核不合格；累计三个月考核不合格的，甲方有权单方解除合同，并要求作业单位赔偿相关损失。</w:t>
      </w:r>
    </w:p>
    <w:p>
      <w:pPr>
        <w:keepNext/>
        <w:keepLines/>
        <w:tabs>
          <w:tab w:val="left" w:pos="432"/>
        </w:tabs>
        <w:snapToGrid w:val="0"/>
        <w:spacing w:before="120" w:line="360" w:lineRule="auto"/>
        <w:ind w:left="434" w:leftChars="202" w:hanging="10" w:hangingChars="4"/>
        <w:jc w:val="left"/>
        <w:outlineLvl w:val="1"/>
        <w:rPr>
          <w:rFonts w:hint="eastAsia" w:ascii="宋体" w:hAnsi="宋体" w:eastAsia="宋体" w:cs="宋体"/>
          <w:b/>
          <w:bCs/>
          <w:sz w:val="24"/>
          <w:lang w:val="zh-CN"/>
        </w:rPr>
      </w:pPr>
      <w:r>
        <w:rPr>
          <w:rFonts w:hint="eastAsia" w:ascii="宋体" w:hAnsi="宋体" w:eastAsia="宋体" w:cs="宋体"/>
          <w:b/>
          <w:bCs/>
          <w:sz w:val="24"/>
        </w:rPr>
        <w:t>八、</w:t>
      </w:r>
      <w:r>
        <w:rPr>
          <w:rFonts w:hint="eastAsia" w:ascii="宋体" w:hAnsi="宋体" w:eastAsia="宋体" w:cs="宋体"/>
          <w:b/>
          <w:bCs/>
          <w:sz w:val="24"/>
          <w:lang w:val="zh-CN"/>
        </w:rPr>
        <w:t>商务要求</w:t>
      </w:r>
    </w:p>
    <w:p>
      <w:pPr>
        <w:spacing w:line="360" w:lineRule="auto"/>
        <w:ind w:firstLine="480" w:firstLineChars="200"/>
        <w:jc w:val="left"/>
        <w:outlineLvl w:val="0"/>
        <w:rPr>
          <w:rFonts w:hint="eastAsia"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、付款方式：以小区物业装修备案登记表结合实地踏勘签证来确定清运完成户数，乘以</w:t>
      </w:r>
      <w:r>
        <w:rPr>
          <w:rFonts w:hint="eastAsia" w:ascii="宋体" w:hAnsi="宋体" w:eastAsia="宋体" w:cs="宋体"/>
          <w:sz w:val="24"/>
          <w:lang w:val="en-US" w:eastAsia="zh-CN"/>
        </w:rPr>
        <w:t>成交单位响应</w:t>
      </w:r>
      <w:r>
        <w:rPr>
          <w:rFonts w:hint="eastAsia" w:ascii="宋体" w:hAnsi="宋体" w:eastAsia="宋体" w:cs="宋体"/>
          <w:sz w:val="24"/>
          <w:lang w:val="zh-CN"/>
        </w:rPr>
        <w:t>价格按实结算。按结算总额和考核结果扣罚后向采购人结算，并由</w:t>
      </w:r>
      <w:r>
        <w:rPr>
          <w:rFonts w:hint="eastAsia" w:ascii="宋体" w:hAnsi="宋体" w:eastAsia="宋体" w:cs="宋体"/>
          <w:sz w:val="24"/>
          <w:lang w:val="en-US" w:eastAsia="zh-CN"/>
        </w:rPr>
        <w:t>成交</w:t>
      </w:r>
      <w:r>
        <w:rPr>
          <w:rFonts w:hint="eastAsia" w:ascii="宋体" w:hAnsi="宋体" w:eastAsia="宋体" w:cs="宋体"/>
          <w:sz w:val="24"/>
          <w:lang w:val="zh-CN"/>
        </w:rPr>
        <w:t>单位开具正式发票。经甲方审核确认后，</w:t>
      </w:r>
      <w:r>
        <w:rPr>
          <w:rFonts w:hint="eastAsia" w:ascii="宋体" w:hAnsi="宋体" w:eastAsia="宋体" w:cs="宋体"/>
          <w:sz w:val="24"/>
        </w:rPr>
        <w:t>30</w:t>
      </w:r>
      <w:r>
        <w:rPr>
          <w:rFonts w:hint="eastAsia" w:ascii="宋体" w:hAnsi="宋体" w:eastAsia="宋体" w:cs="宋体"/>
          <w:sz w:val="24"/>
          <w:lang w:val="zh-CN"/>
        </w:rPr>
        <w:t>日内甲方支付实际服务经费。</w:t>
      </w:r>
    </w:p>
    <w:p>
      <w:pPr>
        <w:spacing w:line="360" w:lineRule="auto"/>
        <w:ind w:firstLine="480" w:firstLineChars="200"/>
        <w:jc w:val="left"/>
        <w:outlineLvl w:val="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、履约保证金：合同签订后</w:t>
      </w:r>
      <w:r>
        <w:rPr>
          <w:rFonts w:hint="eastAsia" w:ascii="宋体" w:hAnsi="宋体" w:eastAsia="宋体" w:cs="宋体"/>
          <w:sz w:val="24"/>
        </w:rPr>
        <w:t>7</w:t>
      </w:r>
      <w:r>
        <w:rPr>
          <w:rFonts w:hint="eastAsia" w:ascii="宋体" w:hAnsi="宋体" w:eastAsia="宋体" w:cs="宋体"/>
          <w:sz w:val="24"/>
          <w:lang w:val="zh-CN"/>
        </w:rPr>
        <w:t>个工作日内，</w:t>
      </w:r>
      <w:r>
        <w:rPr>
          <w:rFonts w:hint="eastAsia" w:ascii="宋体" w:hAnsi="宋体" w:eastAsia="宋体" w:cs="宋体"/>
          <w:sz w:val="24"/>
          <w:lang w:val="en-US" w:eastAsia="zh-CN"/>
        </w:rPr>
        <w:t>成交人</w:t>
      </w:r>
      <w:r>
        <w:rPr>
          <w:rFonts w:hint="eastAsia" w:ascii="宋体" w:hAnsi="宋体" w:eastAsia="宋体" w:cs="宋体"/>
          <w:sz w:val="24"/>
          <w:lang w:val="zh-CN"/>
        </w:rPr>
        <w:t>应提供合同总价1％的履约保证金，待本项目所有内容完成后</w:t>
      </w:r>
      <w:r>
        <w:rPr>
          <w:rFonts w:hint="eastAsia" w:ascii="宋体" w:hAnsi="宋体" w:eastAsia="宋体" w:cs="宋体"/>
          <w:sz w:val="24"/>
        </w:rPr>
        <w:t>30</w:t>
      </w:r>
      <w:r>
        <w:rPr>
          <w:rFonts w:hint="eastAsia" w:ascii="宋体" w:hAnsi="宋体" w:eastAsia="宋体" w:cs="宋体"/>
          <w:sz w:val="24"/>
          <w:lang w:val="zh-CN"/>
        </w:rPr>
        <w:t>日内无息退还其履约保证金。</w:t>
      </w:r>
    </w:p>
    <w:p>
      <w:pPr>
        <w:spacing w:line="360" w:lineRule="auto"/>
        <w:ind w:firstLine="480" w:firstLineChars="200"/>
        <w:jc w:val="left"/>
        <w:outlineLvl w:val="0"/>
        <w:rPr>
          <w:rFonts w:hint="eastAsia" w:ascii="宋体" w:hAnsi="宋体" w:eastAsia="宋体" w:cs="宋体"/>
          <w:sz w:val="24"/>
          <w:lang w:val="zh-CN"/>
        </w:rPr>
      </w:pPr>
      <w:r>
        <w:rPr>
          <w:rFonts w:hint="eastAsia" w:ascii="宋体" w:hAnsi="宋体" w:eastAsia="宋体" w:cs="宋体"/>
          <w:sz w:val="24"/>
        </w:rPr>
        <w:t>3</w:t>
      </w:r>
      <w:r>
        <w:rPr>
          <w:rFonts w:hint="eastAsia" w:ascii="宋体" w:hAnsi="宋体" w:eastAsia="宋体" w:cs="宋体"/>
          <w:sz w:val="24"/>
          <w:lang w:val="zh-CN"/>
        </w:rPr>
        <w:t>、发生下列情形之一者采购人有权立即终止与之签订的服务合同，所有损失由</w:t>
      </w:r>
      <w:r>
        <w:rPr>
          <w:rFonts w:hint="eastAsia" w:ascii="宋体" w:hAnsi="宋体" w:eastAsia="宋体" w:cs="宋体"/>
          <w:sz w:val="24"/>
          <w:lang w:val="en-US" w:eastAsia="zh-CN"/>
        </w:rPr>
        <w:t>成交</w:t>
      </w:r>
      <w:r>
        <w:rPr>
          <w:rFonts w:hint="eastAsia" w:ascii="宋体" w:hAnsi="宋体" w:eastAsia="宋体" w:cs="宋体"/>
          <w:sz w:val="24"/>
          <w:lang w:val="zh-CN"/>
        </w:rPr>
        <w:t>单位承担：</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宋体" w:hAnsi="宋体" w:eastAsia="宋体" w:cs="宋体"/>
          <w:sz w:val="24"/>
          <w:lang w:val="zh-CN"/>
        </w:rPr>
      </w:pPr>
      <w:r>
        <w:rPr>
          <w:rFonts w:hint="eastAsia" w:ascii="宋体" w:hAnsi="宋体" w:eastAsia="宋体" w:cs="宋体"/>
          <w:sz w:val="24"/>
          <w:lang w:val="zh-CN"/>
        </w:rPr>
        <w:t>①　严重违反国家法律法规和政策的；</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宋体" w:hAnsi="宋体" w:eastAsia="宋体" w:cs="宋体"/>
          <w:sz w:val="24"/>
          <w:lang w:val="zh-CN"/>
        </w:rPr>
      </w:pPr>
      <w:r>
        <w:rPr>
          <w:rFonts w:hint="eastAsia" w:ascii="宋体" w:hAnsi="宋体" w:eastAsia="宋体" w:cs="宋体"/>
          <w:sz w:val="24"/>
          <w:lang w:val="zh-CN"/>
        </w:rPr>
        <w:t>②　服务辖区范围内被上级部门或媒体曝光或给服务辖区造成恶劣影响的；</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宋体" w:hAnsi="宋体" w:eastAsia="宋体" w:cs="宋体"/>
          <w:sz w:val="24"/>
          <w:lang w:val="zh-CN"/>
        </w:rPr>
      </w:pPr>
      <w:r>
        <w:rPr>
          <w:rFonts w:hint="eastAsia" w:ascii="宋体" w:hAnsi="宋体" w:eastAsia="宋体" w:cs="宋体"/>
          <w:sz w:val="24"/>
          <w:lang w:val="zh-CN"/>
        </w:rPr>
        <w:t>③　连续2个月不合格或总共发生3个月总评分不合格的；</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宋体" w:hAnsi="宋体" w:eastAsia="宋体" w:cs="宋体"/>
          <w:sz w:val="24"/>
          <w:lang w:val="zh-CN"/>
        </w:rPr>
      </w:pPr>
      <w:r>
        <w:rPr>
          <w:rFonts w:hint="eastAsia" w:ascii="宋体" w:hAnsi="宋体" w:eastAsia="宋体" w:cs="宋体"/>
          <w:sz w:val="24"/>
          <w:lang w:val="zh-CN"/>
        </w:rPr>
        <w:t>④　拖欠人员工资、发生重大安全作业事故的；</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b/>
          <w:bCs/>
          <w:sz w:val="28"/>
          <w:szCs w:val="28"/>
          <w:highlight w:val="none"/>
          <w:lang w:val="zh-CN"/>
        </w:rPr>
      </w:pPr>
      <w:r>
        <w:rPr>
          <w:rFonts w:hint="eastAsia" w:ascii="宋体" w:hAnsi="宋体" w:eastAsia="宋体" w:cs="宋体"/>
          <w:sz w:val="24"/>
          <w:lang w:val="zh-CN"/>
        </w:rPr>
        <w:t>⑤　</w:t>
      </w:r>
      <w:r>
        <w:rPr>
          <w:rFonts w:hint="eastAsia" w:ascii="宋体" w:hAnsi="宋体" w:eastAsia="宋体" w:cs="宋体"/>
          <w:sz w:val="24"/>
          <w:lang w:val="en-US" w:eastAsia="zh-CN"/>
        </w:rPr>
        <w:t>成交</w:t>
      </w:r>
      <w:r>
        <w:rPr>
          <w:rFonts w:hint="eastAsia" w:ascii="宋体" w:hAnsi="宋体" w:eastAsia="宋体" w:cs="宋体"/>
          <w:sz w:val="24"/>
          <w:lang w:val="zh-CN"/>
        </w:rPr>
        <w:t>单位在合同履约期内未经采购单位批准自行终止履行合同义务的。</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000000"/>
          <w:kern w:val="0"/>
          <w:sz w:val="24"/>
          <w:szCs w:val="24"/>
          <w:highlight w:val="none"/>
          <w:lang w:val="en-US" w:eastAsia="zh-CN" w:bidi="ar"/>
        </w:rPr>
        <w:t>注：</w:t>
      </w:r>
      <w:r>
        <w:rPr>
          <w:rFonts w:hint="eastAsia" w:ascii="宋体" w:hAnsi="宋体" w:eastAsia="宋体" w:cs="宋体"/>
          <w:color w:val="auto"/>
          <w:kern w:val="2"/>
          <w:sz w:val="24"/>
          <w:szCs w:val="20"/>
          <w:highlight w:val="none"/>
          <w:lang w:val="en-US" w:eastAsia="zh-CN" w:bidi="ar-SA"/>
        </w:rPr>
        <w:t>1、除标注的参考品牌外，欢迎其它能满足本项目技术需求且性能与所注品牌相当的产品参与。</w:t>
      </w:r>
    </w:p>
    <w:p>
      <w:pPr>
        <w:pStyle w:val="27"/>
        <w:snapToGrid w:val="0"/>
        <w:spacing w:before="0"/>
        <w:ind w:firstLine="480"/>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2、如有附图，仅作参考。</w:t>
      </w:r>
    </w:p>
    <w:p>
      <w:pPr>
        <w:pStyle w:val="27"/>
        <w:snapToGrid w:val="0"/>
        <w:spacing w:before="0"/>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3、打▲内容为实质性要求，不允许有负偏离，否则将以涉及无效响应条款作无效响应。</w:t>
      </w:r>
    </w:p>
    <w:p>
      <w:pPr>
        <w:pStyle w:val="27"/>
        <w:snapToGrid w:val="0"/>
        <w:spacing w:before="0"/>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4、成交人所提供的货物、服务须与响应承诺一致，不得以次充好、偷工减料，若在项目验收中发现有上述情况，将向有关部门举证，根据相关规定进行处理。</w:t>
      </w:r>
    </w:p>
    <w:p>
      <w:pPr>
        <w:keepNext w:val="0"/>
        <w:keepLines w:val="0"/>
        <w:pageBreakBefore w:val="0"/>
        <w:widowControl/>
        <w:suppressLineNumbers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000000"/>
          <w:kern w:val="0"/>
          <w:sz w:val="24"/>
          <w:szCs w:val="24"/>
          <w:highlight w:val="none"/>
          <w:lang w:val="en-US" w:eastAsia="zh-CN" w:bidi="ar"/>
        </w:rPr>
      </w:pPr>
    </w:p>
    <w:p>
      <w:pP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br w:type="page"/>
      </w:r>
    </w:p>
    <w:p>
      <w:pPr>
        <w:spacing w:line="360" w:lineRule="auto"/>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 xml:space="preserve">第四部分   </w:t>
      </w:r>
      <w:bookmarkStart w:id="15" w:name="_Toc184308064"/>
      <w:bookmarkEnd w:id="15"/>
      <w:bookmarkStart w:id="16" w:name="_Toc184308077"/>
      <w:bookmarkEnd w:id="16"/>
      <w:bookmarkStart w:id="17" w:name="_Toc184314435"/>
      <w:bookmarkEnd w:id="17"/>
      <w:bookmarkStart w:id="18" w:name="_Toc184312081"/>
      <w:bookmarkEnd w:id="18"/>
      <w:bookmarkStart w:id="19" w:name="_Toc184314439"/>
      <w:bookmarkEnd w:id="19"/>
      <w:bookmarkStart w:id="20" w:name="_Toc184308043"/>
      <w:bookmarkEnd w:id="20"/>
      <w:bookmarkStart w:id="21" w:name="_Toc184310275"/>
      <w:bookmarkEnd w:id="21"/>
      <w:bookmarkStart w:id="22" w:name="_Toc184312070"/>
      <w:bookmarkEnd w:id="22"/>
      <w:bookmarkStart w:id="23" w:name="_Toc184310317"/>
      <w:bookmarkEnd w:id="23"/>
      <w:bookmarkStart w:id="24" w:name="_Toc184310308"/>
      <w:bookmarkEnd w:id="24"/>
      <w:bookmarkStart w:id="25" w:name="_Toc184314443"/>
      <w:bookmarkEnd w:id="25"/>
      <w:bookmarkStart w:id="26" w:name="_Toc184308065"/>
      <w:bookmarkEnd w:id="26"/>
      <w:bookmarkStart w:id="27" w:name="_Toc184313289"/>
      <w:bookmarkEnd w:id="27"/>
      <w:bookmarkStart w:id="28" w:name="_Toc184310339"/>
      <w:bookmarkEnd w:id="28"/>
      <w:bookmarkStart w:id="29" w:name="_Toc184308081"/>
      <w:bookmarkEnd w:id="29"/>
      <w:bookmarkStart w:id="30" w:name="_Toc184314454"/>
      <w:bookmarkEnd w:id="30"/>
      <w:bookmarkStart w:id="31" w:name="_Toc184314473"/>
      <w:bookmarkEnd w:id="31"/>
      <w:bookmarkStart w:id="32" w:name="_Toc184312078"/>
      <w:bookmarkEnd w:id="32"/>
      <w:bookmarkStart w:id="33" w:name="_Toc184312069"/>
      <w:bookmarkEnd w:id="33"/>
      <w:bookmarkStart w:id="34" w:name="_Toc184308099"/>
      <w:bookmarkEnd w:id="34"/>
      <w:bookmarkStart w:id="35" w:name="_Toc184313288"/>
      <w:bookmarkEnd w:id="35"/>
      <w:bookmarkStart w:id="36" w:name="_Toc184312117"/>
      <w:bookmarkEnd w:id="36"/>
      <w:bookmarkStart w:id="37" w:name="_Toc184312129"/>
      <w:bookmarkEnd w:id="37"/>
      <w:bookmarkStart w:id="38" w:name="_Toc184308087"/>
      <w:bookmarkEnd w:id="38"/>
      <w:bookmarkStart w:id="39" w:name="_Toc184310295"/>
      <w:bookmarkEnd w:id="39"/>
      <w:bookmarkStart w:id="40" w:name="_Toc184312083"/>
      <w:bookmarkEnd w:id="40"/>
      <w:bookmarkStart w:id="41" w:name="_Toc184313277"/>
      <w:bookmarkEnd w:id="41"/>
      <w:bookmarkStart w:id="42" w:name="_Toc184310280"/>
      <w:bookmarkEnd w:id="42"/>
      <w:bookmarkStart w:id="43" w:name="_Toc184314413"/>
      <w:bookmarkEnd w:id="43"/>
      <w:bookmarkStart w:id="44" w:name="_Toc184310272"/>
      <w:bookmarkEnd w:id="44"/>
      <w:bookmarkStart w:id="45" w:name="_Toc184308056"/>
      <w:bookmarkEnd w:id="45"/>
      <w:bookmarkStart w:id="46" w:name="_Toc184310333"/>
      <w:bookmarkEnd w:id="46"/>
      <w:bookmarkStart w:id="47" w:name="_Toc184310331"/>
      <w:bookmarkEnd w:id="47"/>
      <w:bookmarkStart w:id="48" w:name="_Toc184310300"/>
      <w:bookmarkEnd w:id="48"/>
      <w:bookmarkStart w:id="49" w:name="_Toc184310306"/>
      <w:bookmarkEnd w:id="49"/>
      <w:bookmarkStart w:id="50" w:name="_Toc184310319"/>
      <w:bookmarkEnd w:id="50"/>
      <w:bookmarkStart w:id="51" w:name="_Toc184310327"/>
      <w:bookmarkEnd w:id="51"/>
      <w:bookmarkStart w:id="52" w:name="_Toc184313303"/>
      <w:bookmarkEnd w:id="52"/>
      <w:bookmarkStart w:id="53" w:name="_Toc184313242"/>
      <w:bookmarkEnd w:id="53"/>
      <w:bookmarkStart w:id="54" w:name="_Toc184312128"/>
      <w:bookmarkEnd w:id="54"/>
      <w:bookmarkStart w:id="55" w:name="_Toc184310337"/>
      <w:bookmarkEnd w:id="55"/>
      <w:bookmarkStart w:id="56" w:name="_Toc184310314"/>
      <w:bookmarkEnd w:id="56"/>
      <w:bookmarkStart w:id="57" w:name="_Toc184314450"/>
      <w:bookmarkEnd w:id="57"/>
      <w:bookmarkStart w:id="58" w:name="_Toc184314418"/>
      <w:bookmarkEnd w:id="58"/>
      <w:bookmarkStart w:id="59" w:name="_Toc184310312"/>
      <w:bookmarkEnd w:id="59"/>
      <w:bookmarkStart w:id="60" w:name="_Toc184308086"/>
      <w:bookmarkEnd w:id="60"/>
      <w:bookmarkStart w:id="61" w:name="_Toc184313273"/>
      <w:bookmarkEnd w:id="61"/>
      <w:bookmarkStart w:id="62" w:name="_Toc184312085"/>
      <w:bookmarkEnd w:id="62"/>
      <w:bookmarkStart w:id="63" w:name="_Toc184312122"/>
      <w:bookmarkEnd w:id="63"/>
      <w:bookmarkStart w:id="64" w:name="_Toc184308055"/>
      <w:bookmarkEnd w:id="64"/>
      <w:bookmarkStart w:id="65" w:name="_Toc184312121"/>
      <w:bookmarkEnd w:id="65"/>
      <w:bookmarkStart w:id="66" w:name="_Toc184313257"/>
      <w:bookmarkEnd w:id="66"/>
      <w:bookmarkStart w:id="67" w:name="_Toc184308084"/>
      <w:bookmarkEnd w:id="67"/>
      <w:bookmarkStart w:id="68" w:name="_Toc184314442"/>
      <w:bookmarkEnd w:id="68"/>
      <w:bookmarkStart w:id="69" w:name="_Toc184314447"/>
      <w:bookmarkEnd w:id="69"/>
      <w:bookmarkStart w:id="70" w:name="_Toc184312073"/>
      <w:bookmarkEnd w:id="70"/>
      <w:bookmarkStart w:id="71" w:name="_Toc184314481"/>
      <w:bookmarkEnd w:id="71"/>
      <w:bookmarkStart w:id="72" w:name="_Toc184312107"/>
      <w:bookmarkEnd w:id="72"/>
      <w:bookmarkStart w:id="73" w:name="_Toc184312084"/>
      <w:bookmarkEnd w:id="73"/>
      <w:bookmarkStart w:id="74" w:name="_Toc184308061"/>
      <w:bookmarkEnd w:id="74"/>
      <w:bookmarkStart w:id="75" w:name="_Toc184308078"/>
      <w:bookmarkEnd w:id="75"/>
      <w:bookmarkStart w:id="76" w:name="_Toc184308079"/>
      <w:bookmarkEnd w:id="76"/>
      <w:bookmarkStart w:id="77" w:name="_Toc184313285"/>
      <w:bookmarkEnd w:id="77"/>
      <w:bookmarkStart w:id="78" w:name="_Toc184313305"/>
      <w:bookmarkEnd w:id="78"/>
      <w:bookmarkStart w:id="79" w:name="_Toc184310289"/>
      <w:bookmarkEnd w:id="79"/>
      <w:bookmarkStart w:id="80" w:name="_Toc184313284"/>
      <w:bookmarkEnd w:id="80"/>
      <w:bookmarkStart w:id="81" w:name="_Toc184312115"/>
      <w:bookmarkEnd w:id="81"/>
      <w:bookmarkStart w:id="82" w:name="_Toc184308044"/>
      <w:bookmarkEnd w:id="82"/>
      <w:bookmarkStart w:id="83" w:name="_Toc184308073"/>
      <w:bookmarkEnd w:id="83"/>
      <w:bookmarkStart w:id="84" w:name="_Toc184312099"/>
      <w:bookmarkEnd w:id="84"/>
      <w:bookmarkStart w:id="85" w:name="_Toc184312090"/>
      <w:bookmarkEnd w:id="85"/>
      <w:bookmarkStart w:id="86" w:name="_Toc184314424"/>
      <w:bookmarkEnd w:id="86"/>
      <w:bookmarkStart w:id="87" w:name="_Toc184312093"/>
      <w:bookmarkEnd w:id="87"/>
      <w:bookmarkStart w:id="88" w:name="_Toc184312119"/>
      <w:bookmarkEnd w:id="88"/>
      <w:bookmarkStart w:id="89" w:name="_Toc184313270"/>
      <w:bookmarkEnd w:id="89"/>
      <w:bookmarkStart w:id="90" w:name="_Toc184310310"/>
      <w:bookmarkEnd w:id="90"/>
      <w:bookmarkStart w:id="91" w:name="_Toc184313276"/>
      <w:bookmarkEnd w:id="91"/>
      <w:bookmarkStart w:id="92" w:name="_Toc184313254"/>
      <w:bookmarkEnd w:id="92"/>
      <w:bookmarkStart w:id="93" w:name="_Toc184308085"/>
      <w:bookmarkEnd w:id="93"/>
      <w:bookmarkStart w:id="94" w:name="_Toc184312136"/>
      <w:bookmarkEnd w:id="94"/>
      <w:bookmarkStart w:id="95" w:name="_Toc184313250"/>
      <w:bookmarkEnd w:id="95"/>
      <w:bookmarkStart w:id="96" w:name="_Toc184312067"/>
      <w:bookmarkEnd w:id="96"/>
      <w:bookmarkStart w:id="97" w:name="_Toc184310301"/>
      <w:bookmarkEnd w:id="97"/>
      <w:bookmarkStart w:id="98" w:name="_Toc184312112"/>
      <w:bookmarkEnd w:id="98"/>
      <w:bookmarkStart w:id="99" w:name="_Toc184313261"/>
      <w:bookmarkEnd w:id="99"/>
      <w:bookmarkStart w:id="100" w:name="_Toc184312138"/>
      <w:bookmarkEnd w:id="100"/>
      <w:bookmarkStart w:id="101" w:name="_Toc184314436"/>
      <w:bookmarkEnd w:id="101"/>
      <w:bookmarkStart w:id="102" w:name="_Toc184314423"/>
      <w:bookmarkEnd w:id="102"/>
      <w:bookmarkStart w:id="103" w:name="_Toc184310288"/>
      <w:bookmarkEnd w:id="103"/>
      <w:bookmarkStart w:id="104" w:name="_Toc184312125"/>
      <w:bookmarkEnd w:id="104"/>
      <w:bookmarkStart w:id="105" w:name="_Toc184313244"/>
      <w:bookmarkEnd w:id="105"/>
      <w:bookmarkStart w:id="106" w:name="_Toc184313297"/>
      <w:bookmarkEnd w:id="106"/>
      <w:bookmarkStart w:id="107" w:name="_Toc184308069"/>
      <w:bookmarkEnd w:id="107"/>
      <w:bookmarkStart w:id="108" w:name="_Toc184314410"/>
      <w:bookmarkEnd w:id="108"/>
      <w:bookmarkStart w:id="109" w:name="_Toc184313266"/>
      <w:bookmarkEnd w:id="109"/>
      <w:bookmarkStart w:id="110" w:name="_Toc184310321"/>
      <w:bookmarkEnd w:id="110"/>
      <w:bookmarkStart w:id="111" w:name="_Toc184310287"/>
      <w:bookmarkEnd w:id="111"/>
      <w:bookmarkStart w:id="112" w:name="_Toc184310316"/>
      <w:bookmarkEnd w:id="112"/>
      <w:bookmarkStart w:id="113" w:name="_Toc184314441"/>
      <w:bookmarkEnd w:id="113"/>
      <w:bookmarkStart w:id="114" w:name="_Toc184313283"/>
      <w:bookmarkEnd w:id="114"/>
      <w:bookmarkStart w:id="115" w:name="_Toc184314433"/>
      <w:bookmarkEnd w:id="115"/>
      <w:bookmarkStart w:id="116" w:name="_Toc184308051"/>
      <w:bookmarkEnd w:id="116"/>
      <w:bookmarkStart w:id="117" w:name="_Toc184308063"/>
      <w:bookmarkEnd w:id="117"/>
      <w:bookmarkStart w:id="118" w:name="_Toc184314429"/>
      <w:bookmarkEnd w:id="118"/>
      <w:bookmarkStart w:id="119" w:name="_Toc184310313"/>
      <w:bookmarkEnd w:id="119"/>
      <w:bookmarkStart w:id="120" w:name="_Toc184310304"/>
      <w:bookmarkEnd w:id="120"/>
      <w:bookmarkStart w:id="121" w:name="_Toc184308074"/>
      <w:bookmarkEnd w:id="121"/>
      <w:bookmarkStart w:id="122" w:name="_Toc184314438"/>
      <w:bookmarkEnd w:id="122"/>
      <w:bookmarkStart w:id="123" w:name="_Toc184313293"/>
      <w:bookmarkEnd w:id="123"/>
      <w:bookmarkStart w:id="124" w:name="_Toc184308101"/>
      <w:bookmarkEnd w:id="124"/>
      <w:bookmarkStart w:id="125" w:name="_Toc184312080"/>
      <w:bookmarkEnd w:id="125"/>
      <w:bookmarkStart w:id="126" w:name="_Toc184314428"/>
      <w:bookmarkEnd w:id="126"/>
      <w:bookmarkStart w:id="127" w:name="_Toc184310318"/>
      <w:bookmarkEnd w:id="127"/>
      <w:bookmarkStart w:id="128" w:name="_Toc184313290"/>
      <w:bookmarkEnd w:id="128"/>
      <w:bookmarkStart w:id="129" w:name="_Toc184308049"/>
      <w:bookmarkEnd w:id="129"/>
      <w:bookmarkStart w:id="130" w:name="_Toc184312086"/>
      <w:bookmarkEnd w:id="130"/>
      <w:bookmarkStart w:id="131" w:name="_Toc184312101"/>
      <w:bookmarkEnd w:id="131"/>
      <w:bookmarkStart w:id="132" w:name="_Toc184310282"/>
      <w:bookmarkEnd w:id="132"/>
      <w:bookmarkStart w:id="133" w:name="_Toc184308070"/>
      <w:bookmarkEnd w:id="133"/>
      <w:bookmarkStart w:id="134" w:name="_Toc184314470"/>
      <w:bookmarkEnd w:id="134"/>
      <w:bookmarkStart w:id="135" w:name="_Toc184312131"/>
      <w:bookmarkEnd w:id="135"/>
      <w:bookmarkStart w:id="136" w:name="_Toc184313307"/>
      <w:bookmarkEnd w:id="136"/>
      <w:bookmarkStart w:id="137" w:name="_Toc184308052"/>
      <w:bookmarkEnd w:id="137"/>
      <w:bookmarkStart w:id="138" w:name="_Toc184314475"/>
      <w:bookmarkEnd w:id="138"/>
      <w:bookmarkStart w:id="139" w:name="_Toc184310323"/>
      <w:bookmarkEnd w:id="139"/>
      <w:bookmarkStart w:id="140" w:name="_Toc184308068"/>
      <w:bookmarkEnd w:id="140"/>
      <w:bookmarkStart w:id="141" w:name="_Toc184313309"/>
      <w:bookmarkEnd w:id="141"/>
      <w:bookmarkStart w:id="142" w:name="_Toc184308108"/>
      <w:bookmarkEnd w:id="142"/>
      <w:bookmarkStart w:id="143" w:name="_Toc184308067"/>
      <w:bookmarkEnd w:id="143"/>
      <w:bookmarkStart w:id="144" w:name="_Toc184310305"/>
      <w:bookmarkEnd w:id="144"/>
      <w:bookmarkStart w:id="145" w:name="_Toc184313304"/>
      <w:bookmarkEnd w:id="145"/>
      <w:bookmarkStart w:id="146" w:name="_Toc184312124"/>
      <w:bookmarkEnd w:id="146"/>
      <w:bookmarkStart w:id="147" w:name="_Toc184312094"/>
      <w:bookmarkEnd w:id="147"/>
      <w:bookmarkStart w:id="148" w:name="_Toc184313287"/>
      <w:bookmarkEnd w:id="148"/>
      <w:bookmarkStart w:id="149" w:name="_Toc184314461"/>
      <w:bookmarkEnd w:id="149"/>
      <w:bookmarkStart w:id="150" w:name="_Toc184310279"/>
      <w:bookmarkEnd w:id="150"/>
      <w:bookmarkStart w:id="151" w:name="_Toc184313292"/>
      <w:bookmarkEnd w:id="151"/>
      <w:bookmarkStart w:id="152" w:name="_Toc184310325"/>
      <w:bookmarkEnd w:id="152"/>
      <w:bookmarkStart w:id="153" w:name="_Toc184312114"/>
      <w:bookmarkEnd w:id="153"/>
      <w:bookmarkStart w:id="154" w:name="_Toc184314445"/>
      <w:bookmarkEnd w:id="154"/>
      <w:bookmarkStart w:id="155" w:name="_Toc184312089"/>
      <w:bookmarkEnd w:id="155"/>
      <w:bookmarkStart w:id="156" w:name="_Toc184310274"/>
      <w:bookmarkEnd w:id="156"/>
      <w:bookmarkStart w:id="157" w:name="_Toc184308059"/>
      <w:bookmarkEnd w:id="157"/>
      <w:bookmarkStart w:id="158" w:name="_Toc184314432"/>
      <w:bookmarkEnd w:id="158"/>
      <w:bookmarkStart w:id="159" w:name="_Toc184310322"/>
      <w:bookmarkEnd w:id="159"/>
      <w:bookmarkStart w:id="160" w:name="_Toc184312137"/>
      <w:bookmarkEnd w:id="160"/>
      <w:bookmarkStart w:id="161" w:name="_Toc184308060"/>
      <w:bookmarkEnd w:id="161"/>
      <w:bookmarkStart w:id="162" w:name="_Toc184313249"/>
      <w:bookmarkEnd w:id="162"/>
      <w:bookmarkStart w:id="163" w:name="_Toc184314463"/>
      <w:bookmarkEnd w:id="163"/>
      <w:bookmarkStart w:id="164" w:name="_Toc184310284"/>
      <w:bookmarkEnd w:id="164"/>
      <w:bookmarkStart w:id="165" w:name="_Toc184313255"/>
      <w:bookmarkEnd w:id="165"/>
      <w:bookmarkStart w:id="166" w:name="_Toc184313281"/>
      <w:bookmarkEnd w:id="166"/>
      <w:bookmarkStart w:id="167" w:name="_Toc184308100"/>
      <w:bookmarkEnd w:id="167"/>
      <w:bookmarkStart w:id="168" w:name="_Toc184312126"/>
      <w:bookmarkEnd w:id="168"/>
      <w:bookmarkStart w:id="169" w:name="_Toc184313247"/>
      <w:bookmarkEnd w:id="169"/>
      <w:bookmarkStart w:id="170" w:name="_Toc184313300"/>
      <w:bookmarkEnd w:id="170"/>
      <w:bookmarkStart w:id="171" w:name="_Toc184314469"/>
      <w:bookmarkEnd w:id="171"/>
      <w:bookmarkStart w:id="172" w:name="_Toc184313278"/>
      <w:bookmarkEnd w:id="172"/>
      <w:bookmarkStart w:id="173" w:name="_Toc184308098"/>
      <w:bookmarkEnd w:id="173"/>
      <w:bookmarkStart w:id="174" w:name="_Toc184308050"/>
      <w:bookmarkEnd w:id="174"/>
      <w:bookmarkStart w:id="175" w:name="_Toc184314426"/>
      <w:bookmarkEnd w:id="175"/>
      <w:bookmarkStart w:id="176" w:name="_Toc184308092"/>
      <w:bookmarkEnd w:id="176"/>
      <w:bookmarkStart w:id="177" w:name="_Toc184308066"/>
      <w:bookmarkEnd w:id="177"/>
      <w:bookmarkStart w:id="178" w:name="_Toc184312091"/>
      <w:bookmarkEnd w:id="178"/>
      <w:bookmarkStart w:id="179" w:name="_Toc184313256"/>
      <w:bookmarkEnd w:id="179"/>
      <w:bookmarkStart w:id="180" w:name="_Toc184314444"/>
      <w:bookmarkEnd w:id="180"/>
      <w:bookmarkStart w:id="181" w:name="_Toc184310343"/>
      <w:bookmarkEnd w:id="181"/>
      <w:bookmarkStart w:id="182" w:name="_Toc184314453"/>
      <w:bookmarkEnd w:id="182"/>
      <w:bookmarkStart w:id="183" w:name="_Toc184310277"/>
      <w:bookmarkEnd w:id="183"/>
      <w:bookmarkStart w:id="184" w:name="_Toc184308083"/>
      <w:bookmarkEnd w:id="184"/>
      <w:bookmarkStart w:id="185" w:name="_Toc184314476"/>
      <w:bookmarkEnd w:id="185"/>
      <w:bookmarkStart w:id="186" w:name="_Toc184313258"/>
      <w:bookmarkEnd w:id="186"/>
      <w:bookmarkStart w:id="187" w:name="_Toc184310320"/>
      <w:bookmarkEnd w:id="187"/>
      <w:bookmarkStart w:id="188" w:name="_Toc184313280"/>
      <w:bookmarkEnd w:id="188"/>
      <w:bookmarkStart w:id="189" w:name="_Toc184310273"/>
      <w:bookmarkEnd w:id="189"/>
      <w:bookmarkStart w:id="190" w:name="_Toc184314427"/>
      <w:bookmarkEnd w:id="190"/>
      <w:bookmarkStart w:id="191" w:name="_Toc184314414"/>
      <w:bookmarkEnd w:id="191"/>
      <w:bookmarkStart w:id="192" w:name="_Toc184312132"/>
      <w:bookmarkEnd w:id="192"/>
      <w:bookmarkStart w:id="193" w:name="_Toc184310336"/>
      <w:bookmarkEnd w:id="193"/>
      <w:bookmarkStart w:id="194" w:name="_Toc184308037"/>
      <w:bookmarkEnd w:id="194"/>
      <w:bookmarkStart w:id="195" w:name="_Toc184312139"/>
      <w:bookmarkEnd w:id="195"/>
      <w:bookmarkStart w:id="196" w:name="_Toc184310285"/>
      <w:bookmarkEnd w:id="196"/>
      <w:bookmarkStart w:id="197" w:name="_Toc184314440"/>
      <w:bookmarkEnd w:id="197"/>
      <w:bookmarkStart w:id="198" w:name="_Toc184310293"/>
      <w:bookmarkEnd w:id="198"/>
      <w:bookmarkStart w:id="199" w:name="_Toc184312127"/>
      <w:bookmarkEnd w:id="199"/>
      <w:bookmarkStart w:id="200" w:name="_Toc184314458"/>
      <w:bookmarkEnd w:id="200"/>
      <w:bookmarkStart w:id="201" w:name="_Toc184312116"/>
      <w:bookmarkEnd w:id="201"/>
      <w:bookmarkStart w:id="202" w:name="_Toc184310303"/>
      <w:bookmarkEnd w:id="202"/>
      <w:bookmarkStart w:id="203" w:name="_Toc184310344"/>
      <w:bookmarkEnd w:id="203"/>
      <w:bookmarkStart w:id="204" w:name="_Toc184312102"/>
      <w:bookmarkEnd w:id="204"/>
      <w:bookmarkStart w:id="205" w:name="_Toc184308091"/>
      <w:bookmarkEnd w:id="205"/>
      <w:bookmarkStart w:id="206" w:name="_Toc184312088"/>
      <w:bookmarkEnd w:id="206"/>
      <w:bookmarkStart w:id="207" w:name="_Toc184308062"/>
      <w:bookmarkEnd w:id="207"/>
      <w:bookmarkStart w:id="208" w:name="_Toc184308104"/>
      <w:bookmarkEnd w:id="208"/>
      <w:bookmarkStart w:id="209" w:name="_Toc184314479"/>
      <w:bookmarkEnd w:id="209"/>
      <w:bookmarkStart w:id="210" w:name="_Toc184313275"/>
      <w:bookmarkEnd w:id="210"/>
      <w:bookmarkStart w:id="211" w:name="_Toc184314468"/>
      <w:bookmarkEnd w:id="211"/>
      <w:bookmarkStart w:id="212" w:name="_Toc184312103"/>
      <w:bookmarkEnd w:id="212"/>
      <w:bookmarkStart w:id="213" w:name="_Toc184314474"/>
      <w:bookmarkEnd w:id="213"/>
      <w:bookmarkStart w:id="214" w:name="_Toc184314459"/>
      <w:bookmarkEnd w:id="214"/>
      <w:bookmarkStart w:id="215" w:name="_Toc184312130"/>
      <w:bookmarkEnd w:id="215"/>
      <w:bookmarkStart w:id="216" w:name="_Toc184310338"/>
      <w:bookmarkEnd w:id="216"/>
      <w:bookmarkStart w:id="217" w:name="_Toc184314455"/>
      <w:bookmarkEnd w:id="217"/>
      <w:bookmarkStart w:id="218" w:name="_Toc184314471"/>
      <w:bookmarkEnd w:id="218"/>
      <w:bookmarkStart w:id="219" w:name="_Toc184308090"/>
      <w:bookmarkEnd w:id="219"/>
      <w:bookmarkStart w:id="220" w:name="_Toc184308045"/>
      <w:bookmarkEnd w:id="220"/>
      <w:bookmarkStart w:id="221" w:name="_Toc184314452"/>
      <w:bookmarkEnd w:id="221"/>
      <w:bookmarkStart w:id="222" w:name="_Toc184310328"/>
      <w:bookmarkEnd w:id="222"/>
      <w:bookmarkStart w:id="223" w:name="_Toc184310292"/>
      <w:bookmarkEnd w:id="223"/>
      <w:bookmarkStart w:id="224" w:name="_Toc184310334"/>
      <w:bookmarkEnd w:id="224"/>
      <w:bookmarkStart w:id="225" w:name="_Toc184313269"/>
      <w:bookmarkEnd w:id="225"/>
      <w:bookmarkStart w:id="226" w:name="_Toc184313251"/>
      <w:bookmarkEnd w:id="226"/>
      <w:bookmarkStart w:id="227" w:name="_Toc184308076"/>
      <w:bookmarkEnd w:id="227"/>
      <w:bookmarkStart w:id="228" w:name="_Toc184308040"/>
      <w:bookmarkEnd w:id="228"/>
      <w:bookmarkStart w:id="229" w:name="_Toc184310324"/>
      <w:bookmarkEnd w:id="229"/>
      <w:bookmarkStart w:id="230" w:name="_Toc184314419"/>
      <w:bookmarkEnd w:id="230"/>
      <w:bookmarkStart w:id="231" w:name="_Toc184314416"/>
      <w:bookmarkEnd w:id="231"/>
      <w:bookmarkStart w:id="232" w:name="_Toc184308082"/>
      <w:bookmarkEnd w:id="232"/>
      <w:bookmarkStart w:id="233" w:name="_Toc184313272"/>
      <w:bookmarkEnd w:id="233"/>
      <w:bookmarkStart w:id="234" w:name="_Toc184313246"/>
      <w:bookmarkEnd w:id="234"/>
      <w:bookmarkStart w:id="235" w:name="_Toc184314434"/>
      <w:bookmarkEnd w:id="235"/>
      <w:bookmarkStart w:id="236" w:name="_Toc184313302"/>
      <w:bookmarkEnd w:id="236"/>
      <w:bookmarkStart w:id="237" w:name="_Toc184310281"/>
      <w:bookmarkEnd w:id="237"/>
      <w:bookmarkStart w:id="238" w:name="_Toc184313245"/>
      <w:bookmarkEnd w:id="238"/>
      <w:bookmarkStart w:id="239" w:name="_Toc184308095"/>
      <w:bookmarkEnd w:id="239"/>
      <w:bookmarkStart w:id="240" w:name="_Toc184314448"/>
      <w:bookmarkEnd w:id="240"/>
      <w:bookmarkStart w:id="241" w:name="_Toc184308036"/>
      <w:bookmarkEnd w:id="241"/>
      <w:bookmarkStart w:id="242" w:name="_Toc184308054"/>
      <w:bookmarkEnd w:id="242"/>
      <w:bookmarkStart w:id="243" w:name="_Toc184308053"/>
      <w:bookmarkEnd w:id="243"/>
      <w:bookmarkStart w:id="244" w:name="_Toc184310309"/>
      <w:bookmarkEnd w:id="244"/>
      <w:bookmarkStart w:id="245" w:name="_Toc184308089"/>
      <w:bookmarkEnd w:id="245"/>
      <w:bookmarkStart w:id="246" w:name="_Toc184312104"/>
      <w:bookmarkEnd w:id="246"/>
      <w:bookmarkStart w:id="247" w:name="_Toc184310290"/>
      <w:bookmarkEnd w:id="247"/>
      <w:bookmarkStart w:id="248" w:name="_Toc184314460"/>
      <w:bookmarkEnd w:id="248"/>
      <w:bookmarkStart w:id="249" w:name="_Toc184312109"/>
      <w:bookmarkEnd w:id="249"/>
      <w:bookmarkStart w:id="250" w:name="_Toc184308058"/>
      <w:bookmarkEnd w:id="250"/>
      <w:bookmarkStart w:id="251" w:name="_Toc184313264"/>
      <w:bookmarkEnd w:id="251"/>
      <w:bookmarkStart w:id="252" w:name="_Toc184310330"/>
      <w:bookmarkEnd w:id="252"/>
      <w:bookmarkStart w:id="253" w:name="_Toc184308042"/>
      <w:bookmarkEnd w:id="253"/>
      <w:bookmarkStart w:id="254" w:name="_Toc184314467"/>
      <w:bookmarkEnd w:id="254"/>
      <w:bookmarkStart w:id="255" w:name="_Toc184312082"/>
      <w:bookmarkEnd w:id="255"/>
      <w:bookmarkStart w:id="256" w:name="_Toc184312075"/>
      <w:bookmarkEnd w:id="256"/>
      <w:bookmarkStart w:id="257" w:name="_Toc184313295"/>
      <w:bookmarkEnd w:id="257"/>
      <w:bookmarkStart w:id="258" w:name="_Toc184313263"/>
      <w:bookmarkEnd w:id="258"/>
      <w:bookmarkStart w:id="259" w:name="_Toc184314456"/>
      <w:bookmarkEnd w:id="259"/>
      <w:bookmarkStart w:id="260" w:name="_Toc184313310"/>
      <w:bookmarkEnd w:id="260"/>
      <w:bookmarkStart w:id="261" w:name="_Toc184313294"/>
      <w:bookmarkEnd w:id="261"/>
      <w:bookmarkStart w:id="262" w:name="_Toc184308105"/>
      <w:bookmarkEnd w:id="262"/>
      <w:bookmarkStart w:id="263" w:name="_Toc184310341"/>
      <w:bookmarkEnd w:id="263"/>
      <w:bookmarkStart w:id="264" w:name="_Toc184312076"/>
      <w:bookmarkEnd w:id="264"/>
      <w:bookmarkStart w:id="265" w:name="_Toc184312071"/>
      <w:bookmarkEnd w:id="265"/>
      <w:bookmarkStart w:id="266" w:name="_Toc184312111"/>
      <w:bookmarkEnd w:id="266"/>
      <w:bookmarkStart w:id="267" w:name="_Toc184314477"/>
      <w:bookmarkEnd w:id="267"/>
      <w:bookmarkStart w:id="268" w:name="_Toc184314451"/>
      <w:bookmarkEnd w:id="268"/>
      <w:bookmarkStart w:id="269" w:name="_Toc184312095"/>
      <w:bookmarkEnd w:id="269"/>
      <w:bookmarkStart w:id="270" w:name="_Toc184308071"/>
      <w:bookmarkEnd w:id="270"/>
      <w:bookmarkStart w:id="271" w:name="_Toc184314430"/>
      <w:bookmarkEnd w:id="271"/>
      <w:bookmarkStart w:id="272" w:name="_Toc184310315"/>
      <w:bookmarkEnd w:id="272"/>
      <w:bookmarkStart w:id="273" w:name="_Toc184310291"/>
      <w:bookmarkEnd w:id="273"/>
      <w:bookmarkStart w:id="274" w:name="_Toc184313259"/>
      <w:bookmarkEnd w:id="274"/>
      <w:bookmarkStart w:id="275" w:name="_Toc184312135"/>
      <w:bookmarkEnd w:id="275"/>
      <w:bookmarkStart w:id="276" w:name="_Toc184314446"/>
      <w:bookmarkEnd w:id="276"/>
      <w:bookmarkStart w:id="277" w:name="_Toc184312098"/>
      <w:bookmarkEnd w:id="277"/>
      <w:bookmarkStart w:id="278" w:name="_Toc184312096"/>
      <w:bookmarkEnd w:id="278"/>
      <w:bookmarkStart w:id="279" w:name="_Toc184313298"/>
      <w:bookmarkEnd w:id="279"/>
      <w:bookmarkStart w:id="280" w:name="_Toc184308103"/>
      <w:bookmarkEnd w:id="280"/>
      <w:bookmarkStart w:id="281" w:name="_Toc184308093"/>
      <w:bookmarkEnd w:id="281"/>
      <w:bookmarkStart w:id="282" w:name="_Toc184314421"/>
      <w:bookmarkEnd w:id="282"/>
      <w:bookmarkStart w:id="283" w:name="_Toc184313243"/>
      <w:bookmarkEnd w:id="283"/>
      <w:bookmarkStart w:id="284" w:name="_Toc184312072"/>
      <w:bookmarkEnd w:id="284"/>
      <w:bookmarkStart w:id="285" w:name="_Toc184313299"/>
      <w:bookmarkEnd w:id="285"/>
      <w:bookmarkStart w:id="286" w:name="_Toc184308039"/>
      <w:bookmarkEnd w:id="286"/>
      <w:bookmarkStart w:id="287" w:name="_Toc184310276"/>
      <w:bookmarkEnd w:id="287"/>
      <w:bookmarkStart w:id="288" w:name="_Toc184308080"/>
      <w:bookmarkEnd w:id="288"/>
      <w:bookmarkStart w:id="289" w:name="_Toc184312110"/>
      <w:bookmarkEnd w:id="289"/>
      <w:bookmarkStart w:id="290" w:name="_Toc184313271"/>
      <w:bookmarkEnd w:id="290"/>
      <w:bookmarkStart w:id="291" w:name="_Toc184314415"/>
      <w:bookmarkEnd w:id="291"/>
      <w:bookmarkStart w:id="292" w:name="_Toc184310278"/>
      <w:bookmarkEnd w:id="292"/>
      <w:bookmarkStart w:id="293" w:name="_Toc184312100"/>
      <w:bookmarkEnd w:id="293"/>
      <w:bookmarkStart w:id="294" w:name="_Toc184312120"/>
      <w:bookmarkEnd w:id="294"/>
      <w:bookmarkStart w:id="295" w:name="_Toc184310332"/>
      <w:bookmarkEnd w:id="295"/>
      <w:bookmarkStart w:id="296" w:name="_Toc184308097"/>
      <w:bookmarkEnd w:id="296"/>
      <w:bookmarkStart w:id="297" w:name="_Toc184312106"/>
      <w:bookmarkEnd w:id="297"/>
      <w:bookmarkStart w:id="298" w:name="_Toc184312108"/>
      <w:bookmarkEnd w:id="298"/>
      <w:bookmarkStart w:id="299" w:name="_Toc184314420"/>
      <w:bookmarkEnd w:id="299"/>
      <w:bookmarkStart w:id="300" w:name="_Toc184312077"/>
      <w:bookmarkEnd w:id="300"/>
      <w:bookmarkStart w:id="301" w:name="_Toc184310286"/>
      <w:bookmarkEnd w:id="301"/>
      <w:bookmarkStart w:id="302" w:name="_Toc184313268"/>
      <w:bookmarkEnd w:id="302"/>
      <w:bookmarkStart w:id="303" w:name="_Toc184310335"/>
      <w:bookmarkEnd w:id="303"/>
      <w:bookmarkStart w:id="304" w:name="_Toc184314431"/>
      <w:bookmarkEnd w:id="304"/>
      <w:bookmarkStart w:id="305" w:name="_Toc184314466"/>
      <w:bookmarkEnd w:id="305"/>
      <w:bookmarkStart w:id="306" w:name="_Toc184308107"/>
      <w:bookmarkEnd w:id="306"/>
      <w:bookmarkStart w:id="307" w:name="_Toc184313291"/>
      <w:bookmarkEnd w:id="307"/>
      <w:bookmarkStart w:id="308" w:name="_Toc184308072"/>
      <w:bookmarkEnd w:id="308"/>
      <w:bookmarkStart w:id="309" w:name="_Toc184314457"/>
      <w:bookmarkEnd w:id="309"/>
      <w:bookmarkStart w:id="310" w:name="_Toc184314482"/>
      <w:bookmarkEnd w:id="310"/>
      <w:bookmarkStart w:id="311" w:name="_Toc184314417"/>
      <w:bookmarkEnd w:id="311"/>
      <w:bookmarkStart w:id="312" w:name="_Toc184314422"/>
      <w:bookmarkEnd w:id="312"/>
      <w:bookmarkStart w:id="313" w:name="_Toc184314449"/>
      <w:bookmarkEnd w:id="313"/>
      <w:bookmarkStart w:id="314" w:name="_Toc184308047"/>
      <w:bookmarkEnd w:id="314"/>
      <w:bookmarkStart w:id="315" w:name="_Toc184310340"/>
      <w:bookmarkEnd w:id="315"/>
      <w:bookmarkStart w:id="316" w:name="_Toc184313248"/>
      <w:bookmarkEnd w:id="316"/>
      <w:bookmarkStart w:id="317" w:name="_Toc184308046"/>
      <w:bookmarkEnd w:id="317"/>
      <w:bookmarkStart w:id="318" w:name="_Toc184313239"/>
      <w:bookmarkEnd w:id="318"/>
      <w:bookmarkStart w:id="319" w:name="_Toc184313308"/>
      <w:bookmarkEnd w:id="319"/>
      <w:bookmarkStart w:id="320" w:name="_Toc184308057"/>
      <w:bookmarkEnd w:id="320"/>
      <w:bookmarkStart w:id="321" w:name="_Toc184312079"/>
      <w:bookmarkEnd w:id="321"/>
      <w:bookmarkStart w:id="322" w:name="_Toc184312123"/>
      <w:bookmarkEnd w:id="322"/>
      <w:bookmarkStart w:id="323" w:name="_Toc184314464"/>
      <w:bookmarkEnd w:id="323"/>
      <w:bookmarkStart w:id="324" w:name="_Toc184308106"/>
      <w:bookmarkEnd w:id="324"/>
      <w:bookmarkStart w:id="325" w:name="_Toc184312074"/>
      <w:bookmarkEnd w:id="325"/>
      <w:bookmarkStart w:id="326" w:name="_Toc184308041"/>
      <w:bookmarkEnd w:id="326"/>
      <w:bookmarkStart w:id="327" w:name="_Toc184308075"/>
      <w:bookmarkEnd w:id="327"/>
      <w:bookmarkStart w:id="328" w:name="_Toc184312113"/>
      <w:bookmarkEnd w:id="328"/>
      <w:bookmarkStart w:id="329" w:name="_Toc184313253"/>
      <w:bookmarkEnd w:id="329"/>
      <w:bookmarkStart w:id="330" w:name="_Toc184313267"/>
      <w:bookmarkEnd w:id="330"/>
      <w:bookmarkStart w:id="331" w:name="_Toc184310299"/>
      <w:bookmarkEnd w:id="331"/>
      <w:bookmarkStart w:id="332" w:name="_Toc184308094"/>
      <w:bookmarkEnd w:id="332"/>
      <w:bookmarkStart w:id="333" w:name="_Toc184310307"/>
      <w:bookmarkEnd w:id="333"/>
      <w:bookmarkStart w:id="334" w:name="_Toc184314411"/>
      <w:bookmarkEnd w:id="334"/>
      <w:bookmarkStart w:id="335" w:name="_Toc184313274"/>
      <w:bookmarkEnd w:id="335"/>
      <w:bookmarkStart w:id="336" w:name="_Toc184308102"/>
      <w:bookmarkEnd w:id="336"/>
      <w:bookmarkStart w:id="337" w:name="_Toc184314465"/>
      <w:bookmarkEnd w:id="337"/>
      <w:bookmarkStart w:id="338" w:name="_Toc184314412"/>
      <w:bookmarkEnd w:id="338"/>
      <w:bookmarkStart w:id="339" w:name="_Toc184308048"/>
      <w:bookmarkEnd w:id="339"/>
      <w:bookmarkStart w:id="340" w:name="_Toc184313265"/>
      <w:bookmarkEnd w:id="340"/>
      <w:bookmarkStart w:id="341" w:name="_Toc184312068"/>
      <w:bookmarkEnd w:id="341"/>
      <w:bookmarkStart w:id="342" w:name="_Toc184314478"/>
      <w:bookmarkEnd w:id="342"/>
      <w:bookmarkStart w:id="343" w:name="_Toc184310329"/>
      <w:bookmarkEnd w:id="343"/>
      <w:bookmarkStart w:id="344" w:name="_Toc184310294"/>
      <w:bookmarkEnd w:id="344"/>
      <w:bookmarkStart w:id="345" w:name="_Toc184312105"/>
      <w:bookmarkEnd w:id="345"/>
      <w:bookmarkStart w:id="346" w:name="_Toc184314425"/>
      <w:bookmarkEnd w:id="346"/>
      <w:bookmarkStart w:id="347" w:name="_Toc184314472"/>
      <w:bookmarkEnd w:id="347"/>
      <w:bookmarkStart w:id="348" w:name="_Toc184308088"/>
      <w:bookmarkEnd w:id="348"/>
      <w:bookmarkStart w:id="349" w:name="_Toc184313279"/>
      <w:bookmarkEnd w:id="349"/>
      <w:bookmarkStart w:id="350" w:name="_Toc184313240"/>
      <w:bookmarkEnd w:id="350"/>
      <w:bookmarkStart w:id="351" w:name="_Toc184310297"/>
      <w:bookmarkEnd w:id="351"/>
      <w:bookmarkStart w:id="352" w:name="_Toc184313282"/>
      <w:bookmarkEnd w:id="352"/>
      <w:bookmarkStart w:id="353" w:name="_Toc184313262"/>
      <w:bookmarkEnd w:id="353"/>
      <w:bookmarkStart w:id="354" w:name="_Toc184310296"/>
      <w:bookmarkEnd w:id="354"/>
      <w:bookmarkStart w:id="355" w:name="_Toc184308038"/>
      <w:bookmarkEnd w:id="355"/>
      <w:bookmarkStart w:id="356" w:name="_Toc184310326"/>
      <w:bookmarkEnd w:id="356"/>
      <w:bookmarkStart w:id="357" w:name="_Toc184312133"/>
      <w:bookmarkEnd w:id="357"/>
      <w:bookmarkStart w:id="358" w:name="_Toc184312092"/>
      <w:bookmarkEnd w:id="358"/>
      <w:bookmarkStart w:id="359" w:name="_Toc184310311"/>
      <w:bookmarkEnd w:id="359"/>
      <w:bookmarkStart w:id="360" w:name="_Toc184313296"/>
      <w:bookmarkEnd w:id="360"/>
      <w:bookmarkStart w:id="361" w:name="_Toc184313306"/>
      <w:bookmarkEnd w:id="361"/>
      <w:bookmarkStart w:id="362" w:name="_Toc184314480"/>
      <w:bookmarkEnd w:id="362"/>
      <w:bookmarkStart w:id="363" w:name="_Toc184313286"/>
      <w:bookmarkEnd w:id="363"/>
      <w:bookmarkStart w:id="364" w:name="_Toc184313238"/>
      <w:bookmarkEnd w:id="364"/>
      <w:bookmarkStart w:id="365" w:name="_Toc184314462"/>
      <w:bookmarkEnd w:id="365"/>
      <w:bookmarkStart w:id="366" w:name="_Toc184312134"/>
      <w:bookmarkEnd w:id="366"/>
      <w:bookmarkStart w:id="367" w:name="_Toc184310342"/>
      <w:bookmarkEnd w:id="367"/>
      <w:bookmarkStart w:id="368" w:name="_Toc184310283"/>
      <w:bookmarkEnd w:id="368"/>
      <w:bookmarkStart w:id="369" w:name="_Toc184308096"/>
      <w:bookmarkEnd w:id="369"/>
      <w:bookmarkStart w:id="370" w:name="_Toc184312097"/>
      <w:bookmarkEnd w:id="370"/>
      <w:bookmarkStart w:id="371" w:name="_Toc184314437"/>
      <w:bookmarkEnd w:id="371"/>
      <w:bookmarkStart w:id="372" w:name="_Toc184310298"/>
      <w:bookmarkEnd w:id="372"/>
      <w:bookmarkStart w:id="373" w:name="_Toc184313252"/>
      <w:bookmarkEnd w:id="373"/>
      <w:bookmarkStart w:id="374" w:name="_Toc184312087"/>
      <w:bookmarkEnd w:id="374"/>
      <w:bookmarkStart w:id="375" w:name="_Toc184312118"/>
      <w:bookmarkEnd w:id="375"/>
      <w:bookmarkStart w:id="376" w:name="_Toc184313260"/>
      <w:bookmarkEnd w:id="376"/>
      <w:bookmarkStart w:id="377" w:name="_Toc184313241"/>
      <w:bookmarkEnd w:id="377"/>
      <w:bookmarkStart w:id="378" w:name="_Toc184310302"/>
      <w:bookmarkEnd w:id="378"/>
      <w:bookmarkStart w:id="379" w:name="_Toc184313301"/>
      <w:bookmarkEnd w:id="379"/>
      <w:r>
        <w:rPr>
          <w:rFonts w:hint="eastAsia" w:ascii="宋体" w:hAnsi="宋体" w:eastAsia="宋体" w:cs="宋体"/>
          <w:b/>
          <w:color w:val="000000"/>
          <w:sz w:val="36"/>
          <w:szCs w:val="36"/>
          <w:highlight w:val="none"/>
        </w:rPr>
        <w:t>交易办法</w:t>
      </w:r>
    </w:p>
    <w:p>
      <w:pPr>
        <w:snapToGrid w:val="0"/>
        <w:spacing w:line="360" w:lineRule="auto"/>
        <w:jc w:val="center"/>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交易办法前附表</w:t>
      </w:r>
    </w:p>
    <w:p>
      <w:pPr>
        <w:rPr>
          <w:rFonts w:hint="eastAsia" w:ascii="宋体" w:hAnsi="宋体" w:eastAsia="宋体" w:cs="宋体"/>
          <w:b/>
          <w:highlight w:val="none"/>
        </w:rPr>
      </w:pPr>
      <w:r>
        <w:rPr>
          <w:rFonts w:hint="eastAsia" w:ascii="宋体" w:hAnsi="宋体" w:eastAsia="宋体" w:cs="宋体"/>
          <w:b/>
          <w:highlight w:val="none"/>
        </w:rPr>
        <w:t>商务技术分（</w:t>
      </w:r>
      <w:r>
        <w:rPr>
          <w:rFonts w:hint="eastAsia" w:ascii="宋体" w:hAnsi="宋体" w:cs="宋体"/>
          <w:b/>
          <w:highlight w:val="none"/>
          <w:lang w:val="en-US" w:eastAsia="zh-CN"/>
        </w:rPr>
        <w:t>90</w:t>
      </w:r>
      <w:r>
        <w:rPr>
          <w:rFonts w:hint="eastAsia" w:ascii="宋体" w:hAnsi="宋体" w:eastAsia="宋体" w:cs="宋体"/>
          <w:b/>
          <w:highlight w:val="none"/>
        </w:rPr>
        <w:t>分）</w:t>
      </w:r>
    </w:p>
    <w:tbl>
      <w:tblPr>
        <w:tblStyle w:val="18"/>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5914"/>
        <w:gridCol w:w="1123"/>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shd w:val="clear" w:color="auto" w:fill="auto"/>
            <w:vAlign w:val="center"/>
          </w:tcPr>
          <w:p>
            <w:pPr>
              <w:widowControl/>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5914" w:type="dxa"/>
            <w:shd w:val="clear" w:color="auto" w:fill="auto"/>
            <w:vAlign w:val="center"/>
          </w:tcPr>
          <w:p>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评分内容和标准</w:t>
            </w:r>
          </w:p>
        </w:tc>
        <w:tc>
          <w:tcPr>
            <w:tcW w:w="1123" w:type="dxa"/>
            <w:shd w:val="clear" w:color="auto" w:fill="auto"/>
            <w:vAlign w:val="center"/>
          </w:tcPr>
          <w:p>
            <w:pPr>
              <w:widowControl/>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分值</w:t>
            </w:r>
          </w:p>
          <w:p>
            <w:pPr>
              <w:widowControl/>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区间</w:t>
            </w:r>
          </w:p>
        </w:tc>
        <w:tc>
          <w:tcPr>
            <w:tcW w:w="1131" w:type="dxa"/>
            <w:shd w:val="clear" w:color="auto" w:fill="auto"/>
            <w:vAlign w:val="center"/>
          </w:tcPr>
          <w:p>
            <w:pPr>
              <w:widowControl/>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主客</w:t>
            </w:r>
          </w:p>
          <w:p>
            <w:pPr>
              <w:widowControl/>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shd w:val="clear" w:color="auto" w:fill="auto"/>
            <w:vAlign w:val="center"/>
          </w:tcPr>
          <w:p>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59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lang w:eastAsia="zh-CN"/>
              </w:rPr>
              <w:t>响应人</w:t>
            </w:r>
            <w:r>
              <w:rPr>
                <w:rFonts w:hint="eastAsia" w:ascii="宋体" w:hAnsi="宋体" w:eastAsia="宋体" w:cs="宋体"/>
                <w:sz w:val="24"/>
              </w:rPr>
              <w:t>具有质量管理体系认证证书的得1分，具有环境管理体系认证证书的得1分，具有职业健康安全管理体系认证证书的得1分，具有社会责任管理体系认证证书的得1分，具有安全生产标准化认证证书的得1分，最高得5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highlight w:val="none"/>
              </w:rPr>
            </w:pPr>
            <w:r>
              <w:rPr>
                <w:rFonts w:hint="eastAsia" w:ascii="宋体" w:hAnsi="宋体" w:eastAsia="宋体" w:cs="宋体"/>
                <w:sz w:val="24"/>
                <w:lang w:eastAsia="zh-CN"/>
              </w:rPr>
              <w:t>【</w:t>
            </w:r>
            <w:r>
              <w:rPr>
                <w:rFonts w:hint="eastAsia" w:ascii="宋体" w:hAnsi="宋体" w:eastAsia="宋体" w:cs="宋体"/>
                <w:sz w:val="24"/>
                <w:lang w:val="en-US" w:eastAsia="zh-CN"/>
              </w:rPr>
              <w:t>证明材料：</w:t>
            </w:r>
            <w:r>
              <w:rPr>
                <w:rFonts w:hint="eastAsia" w:ascii="宋体" w:hAnsi="宋体" w:eastAsia="宋体" w:cs="宋体"/>
                <w:sz w:val="24"/>
              </w:rPr>
              <w:t>提供认证范围与本项目相关的证书扫描件或复印件及</w:t>
            </w:r>
            <w:r>
              <w:rPr>
                <w:rFonts w:hint="eastAsia" w:ascii="宋体" w:hAnsi="宋体" w:eastAsia="宋体" w:cs="宋体"/>
                <w:sz w:val="24"/>
                <w:lang w:val="en-US" w:eastAsia="zh-CN"/>
              </w:rPr>
              <w:t>响应</w:t>
            </w:r>
            <w:r>
              <w:rPr>
                <w:rFonts w:hint="eastAsia" w:ascii="宋体" w:hAnsi="宋体" w:eastAsia="宋体" w:cs="宋体"/>
                <w:sz w:val="24"/>
              </w:rPr>
              <w:t>截止前1星期内的全国认证认可信息公共服务平台官网证书信息查询截图且加盖公章，否则不得分</w:t>
            </w:r>
            <w:r>
              <w:rPr>
                <w:rFonts w:hint="eastAsia" w:ascii="宋体" w:hAnsi="宋体" w:eastAsia="宋体" w:cs="宋体"/>
                <w:sz w:val="24"/>
                <w:lang w:eastAsia="zh-CN"/>
              </w:rPr>
              <w:t>。】</w:t>
            </w:r>
          </w:p>
        </w:tc>
        <w:tc>
          <w:tcPr>
            <w:tcW w:w="1123"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0-5分</w:t>
            </w:r>
          </w:p>
        </w:tc>
        <w:tc>
          <w:tcPr>
            <w:tcW w:w="1131"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shd w:val="clear" w:color="auto" w:fill="auto"/>
            <w:vAlign w:val="center"/>
          </w:tcPr>
          <w:p>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p>
        </w:tc>
        <w:tc>
          <w:tcPr>
            <w:tcW w:w="59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2021年1月1日至今，</w:t>
            </w:r>
            <w:r>
              <w:rPr>
                <w:rFonts w:hint="eastAsia" w:ascii="宋体" w:hAnsi="宋体" w:eastAsia="宋体" w:cs="宋体"/>
                <w:sz w:val="24"/>
                <w:lang w:eastAsia="zh-CN"/>
              </w:rPr>
              <w:t>响应人</w:t>
            </w:r>
            <w:r>
              <w:rPr>
                <w:rFonts w:hint="eastAsia" w:ascii="宋体" w:hAnsi="宋体" w:eastAsia="宋体" w:cs="宋体"/>
                <w:sz w:val="24"/>
              </w:rPr>
              <w:t>承担过装修垃圾清运处置业绩（包括正在履约的项目）的1个得0.5分，最高得1分。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highlight w:val="none"/>
              </w:rPr>
            </w:pPr>
            <w:r>
              <w:rPr>
                <w:rFonts w:hint="eastAsia" w:ascii="宋体" w:hAnsi="宋体" w:eastAsia="宋体" w:cs="宋体"/>
                <w:sz w:val="24"/>
                <w:lang w:eastAsia="zh-CN"/>
              </w:rPr>
              <w:t>【</w:t>
            </w:r>
            <w:r>
              <w:rPr>
                <w:rFonts w:hint="eastAsia" w:ascii="宋体" w:hAnsi="宋体" w:eastAsia="宋体" w:cs="宋体"/>
                <w:sz w:val="24"/>
              </w:rPr>
              <w:t>须提供中标通知书或合同的扫描件或复印件，并加盖公章，否则不得分。时间以合同签订时间为准</w:t>
            </w:r>
            <w:r>
              <w:rPr>
                <w:rFonts w:hint="eastAsia" w:ascii="宋体" w:hAnsi="宋体" w:eastAsia="宋体" w:cs="宋体"/>
                <w:sz w:val="24"/>
                <w:lang w:eastAsia="zh-CN"/>
              </w:rPr>
              <w:t>。】</w:t>
            </w:r>
          </w:p>
        </w:tc>
        <w:tc>
          <w:tcPr>
            <w:tcW w:w="1123"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0-1分</w:t>
            </w:r>
          </w:p>
        </w:tc>
        <w:tc>
          <w:tcPr>
            <w:tcW w:w="1131"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shd w:val="clear" w:color="auto" w:fill="auto"/>
            <w:vAlign w:val="center"/>
          </w:tcPr>
          <w:p>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59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lang w:eastAsia="zh-CN"/>
              </w:rPr>
              <w:t>响应人</w:t>
            </w:r>
            <w:r>
              <w:rPr>
                <w:rFonts w:hint="eastAsia" w:ascii="宋体" w:hAnsi="宋体" w:eastAsia="宋体" w:cs="宋体"/>
                <w:sz w:val="24"/>
              </w:rPr>
              <w:t>具备勾臂车，每一辆得4分，本项最高8分。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highlight w:val="none"/>
              </w:rPr>
            </w:pPr>
            <w:r>
              <w:rPr>
                <w:rFonts w:hint="eastAsia" w:ascii="宋体" w:hAnsi="宋体" w:eastAsia="宋体" w:cs="宋体"/>
                <w:sz w:val="24"/>
              </w:rPr>
              <w:t>【证明材料：提供车辆行驶证加盖公章，如车辆为租赁的，另需提供租赁合同复印件加盖公章】</w:t>
            </w:r>
          </w:p>
        </w:tc>
        <w:tc>
          <w:tcPr>
            <w:tcW w:w="1123"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0-8分</w:t>
            </w:r>
          </w:p>
        </w:tc>
        <w:tc>
          <w:tcPr>
            <w:tcW w:w="1131"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shd w:val="clear" w:color="auto" w:fill="auto"/>
            <w:vAlign w:val="center"/>
          </w:tcPr>
          <w:p>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591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lang w:eastAsia="zh-CN"/>
              </w:rPr>
              <w:t>响应人</w:t>
            </w:r>
            <w:r>
              <w:rPr>
                <w:rFonts w:hint="eastAsia" w:ascii="宋体" w:hAnsi="宋体" w:eastAsia="宋体" w:cs="宋体"/>
                <w:sz w:val="24"/>
              </w:rPr>
              <w:t>具备六个装修垃圾收集箱体的得3分，不足六个箱体的不得分。满足六个箱体的</w:t>
            </w:r>
            <w:r>
              <w:rPr>
                <w:rFonts w:hint="eastAsia" w:ascii="宋体" w:hAnsi="宋体" w:eastAsia="宋体" w:cs="宋体"/>
                <w:sz w:val="24"/>
                <w:lang w:val="en-US" w:eastAsia="zh-CN"/>
              </w:rPr>
              <w:t>响应人</w:t>
            </w:r>
            <w:r>
              <w:rPr>
                <w:rFonts w:hint="eastAsia" w:ascii="宋体" w:hAnsi="宋体" w:eastAsia="宋体" w:cs="宋体"/>
                <w:sz w:val="24"/>
              </w:rPr>
              <w:t>，每增加一个箱体加0.5分，最高可加3分。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【证明材料：提供箱体图片资料加盖公章</w:t>
            </w:r>
            <w:r>
              <w:rPr>
                <w:rFonts w:hint="eastAsia" w:ascii="宋体" w:hAnsi="宋体" w:eastAsia="宋体" w:cs="宋体"/>
                <w:sz w:val="24"/>
                <w:lang w:eastAsia="zh-CN"/>
              </w:rPr>
              <w:t>。</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highlight w:val="none"/>
              </w:rPr>
            </w:pPr>
            <w:r>
              <w:rPr>
                <w:rFonts w:hint="eastAsia" w:ascii="宋体" w:hAnsi="宋体" w:eastAsia="宋体" w:cs="宋体"/>
                <w:sz w:val="24"/>
              </w:rPr>
              <w:t>注：所有箱体需出现在一张图片上。</w:t>
            </w:r>
          </w:p>
        </w:tc>
        <w:tc>
          <w:tcPr>
            <w:tcW w:w="1123"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0-6分</w:t>
            </w:r>
          </w:p>
        </w:tc>
        <w:tc>
          <w:tcPr>
            <w:tcW w:w="1131"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shd w:val="clear" w:color="auto" w:fill="auto"/>
            <w:vAlign w:val="center"/>
          </w:tcPr>
          <w:p>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5914" w:type="dxa"/>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总体响应方案的合理性、科学性、全面性（根据对本项目的理解程度、总体设计、组织实施、独到优势等情况综合评定）</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方案合理性、科学性、全面性好的得7-10分；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方案合理性、科学性、全面性较好的的得4-7分；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方案合理性、科学性、全面性一般的的得0-4分；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highlight w:val="none"/>
                <w:lang w:eastAsia="zh-CN"/>
              </w:rPr>
            </w:pPr>
            <w:r>
              <w:rPr>
                <w:rFonts w:hint="eastAsia" w:ascii="宋体" w:hAnsi="宋体" w:eastAsia="宋体" w:cs="宋体"/>
                <w:sz w:val="24"/>
              </w:rPr>
              <w:t>方案不合理、不科学、不全面的不得分</w:t>
            </w:r>
            <w:r>
              <w:rPr>
                <w:rFonts w:hint="eastAsia" w:ascii="宋体" w:hAnsi="宋体" w:eastAsia="宋体" w:cs="宋体"/>
                <w:sz w:val="24"/>
                <w:lang w:eastAsia="zh-CN"/>
              </w:rPr>
              <w:t>。</w:t>
            </w:r>
          </w:p>
        </w:tc>
        <w:tc>
          <w:tcPr>
            <w:tcW w:w="1123"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0-10分</w:t>
            </w:r>
          </w:p>
        </w:tc>
        <w:tc>
          <w:tcPr>
            <w:tcW w:w="1131"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shd w:val="clear" w:color="auto" w:fill="auto"/>
            <w:vAlign w:val="center"/>
          </w:tcPr>
          <w:p>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w:t>
            </w:r>
          </w:p>
        </w:tc>
        <w:tc>
          <w:tcPr>
            <w:tcW w:w="5914" w:type="dxa"/>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垃圾清运方案是否合理可行（综合评定）</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方案合理性、可行性好的得7-10分；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方案合理性、可行性较好的的得4-7分；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方案合理性、可行性一般的的得0-4分；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highlight w:val="none"/>
                <w:lang w:eastAsia="zh-CN"/>
              </w:rPr>
            </w:pPr>
            <w:r>
              <w:rPr>
                <w:rFonts w:hint="eastAsia" w:ascii="宋体" w:hAnsi="宋体" w:eastAsia="宋体" w:cs="宋体"/>
                <w:sz w:val="24"/>
              </w:rPr>
              <w:t>方案不合理、不可行的不得分</w:t>
            </w:r>
            <w:r>
              <w:rPr>
                <w:rFonts w:hint="eastAsia" w:ascii="宋体" w:hAnsi="宋体" w:eastAsia="宋体" w:cs="宋体"/>
                <w:sz w:val="24"/>
                <w:lang w:eastAsia="zh-CN"/>
              </w:rPr>
              <w:t>。</w:t>
            </w:r>
          </w:p>
        </w:tc>
        <w:tc>
          <w:tcPr>
            <w:tcW w:w="1123"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0-10分</w:t>
            </w:r>
          </w:p>
        </w:tc>
        <w:tc>
          <w:tcPr>
            <w:tcW w:w="1131"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shd w:val="clear" w:color="auto" w:fill="auto"/>
            <w:vAlign w:val="center"/>
          </w:tcPr>
          <w:p>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p>
        </w:tc>
        <w:tc>
          <w:tcPr>
            <w:tcW w:w="5914" w:type="dxa"/>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垃圾处理方案是否可靠，是否具有先进性（综合评定）</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方案可靠性、先进性好的得7-10分；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方案可靠性、先进性较好的的得4-7分；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方案可靠性、先进性一般的的得0-4分；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highlight w:val="none"/>
                <w:lang w:eastAsia="zh-CN"/>
              </w:rPr>
            </w:pPr>
            <w:r>
              <w:rPr>
                <w:rFonts w:hint="eastAsia" w:ascii="宋体" w:hAnsi="宋体" w:eastAsia="宋体" w:cs="宋体"/>
                <w:sz w:val="24"/>
              </w:rPr>
              <w:t>方案不可靠、不先进的不得分</w:t>
            </w:r>
            <w:r>
              <w:rPr>
                <w:rFonts w:hint="eastAsia" w:ascii="宋体" w:hAnsi="宋体" w:eastAsia="宋体" w:cs="宋体"/>
                <w:sz w:val="24"/>
                <w:lang w:eastAsia="zh-CN"/>
              </w:rPr>
              <w:t>。</w:t>
            </w:r>
          </w:p>
        </w:tc>
        <w:tc>
          <w:tcPr>
            <w:tcW w:w="1123"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0-10分</w:t>
            </w:r>
          </w:p>
        </w:tc>
        <w:tc>
          <w:tcPr>
            <w:tcW w:w="1131"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shd w:val="clear" w:color="auto" w:fill="auto"/>
            <w:vAlign w:val="center"/>
          </w:tcPr>
          <w:p>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w:t>
            </w:r>
          </w:p>
        </w:tc>
        <w:tc>
          <w:tcPr>
            <w:tcW w:w="5914" w:type="dxa"/>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保证进度和项目完成的方案和措施等（综合评定）</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方案详细、完善，与项目匹配度好的得7-10分；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方案较详细、完善，与项目匹配度较好的的得4-7分；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方案一般详细、完善，与项目匹配度一般的的得0-4分；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highlight w:val="none"/>
                <w:lang w:eastAsia="zh-CN"/>
              </w:rPr>
            </w:pPr>
            <w:r>
              <w:rPr>
                <w:rFonts w:hint="eastAsia" w:ascii="宋体" w:hAnsi="宋体" w:eastAsia="宋体" w:cs="宋体"/>
                <w:sz w:val="24"/>
              </w:rPr>
              <w:t>方案不详细、不完善或未提及的不得分</w:t>
            </w:r>
            <w:r>
              <w:rPr>
                <w:rFonts w:hint="eastAsia" w:ascii="宋体" w:hAnsi="宋体" w:eastAsia="宋体" w:cs="宋体"/>
                <w:sz w:val="24"/>
                <w:lang w:eastAsia="zh-CN"/>
              </w:rPr>
              <w:t>。</w:t>
            </w:r>
          </w:p>
        </w:tc>
        <w:tc>
          <w:tcPr>
            <w:tcW w:w="1123"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0-10分</w:t>
            </w:r>
          </w:p>
        </w:tc>
        <w:tc>
          <w:tcPr>
            <w:tcW w:w="1131"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shd w:val="clear" w:color="auto" w:fill="auto"/>
            <w:vAlign w:val="center"/>
          </w:tcPr>
          <w:p>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w:t>
            </w:r>
          </w:p>
        </w:tc>
        <w:tc>
          <w:tcPr>
            <w:tcW w:w="5914" w:type="dxa"/>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安全保证体系及措施是否完善、可靠（综合评定）</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方案完善、可靠，与项目匹配度好的得7-10分；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方案较完善、可靠，与项目匹配度较好的的得4-7分；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方案一般完善、可靠，与项目匹配度一般的的得0-4分；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highlight w:val="none"/>
                <w:lang w:eastAsia="zh-CN"/>
              </w:rPr>
            </w:pPr>
            <w:r>
              <w:rPr>
                <w:rFonts w:hint="eastAsia" w:ascii="宋体" w:hAnsi="宋体" w:eastAsia="宋体" w:cs="宋体"/>
                <w:sz w:val="24"/>
              </w:rPr>
              <w:t>方案不完善、不可靠或未提及的不得分</w:t>
            </w:r>
            <w:r>
              <w:rPr>
                <w:rFonts w:hint="eastAsia" w:ascii="宋体" w:hAnsi="宋体" w:eastAsia="宋体" w:cs="宋体"/>
                <w:sz w:val="24"/>
                <w:lang w:eastAsia="zh-CN"/>
              </w:rPr>
              <w:t>。</w:t>
            </w:r>
          </w:p>
        </w:tc>
        <w:tc>
          <w:tcPr>
            <w:tcW w:w="1123"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0-10分</w:t>
            </w:r>
          </w:p>
        </w:tc>
        <w:tc>
          <w:tcPr>
            <w:tcW w:w="1131"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shd w:val="clear" w:color="auto" w:fill="auto"/>
            <w:vAlign w:val="center"/>
          </w:tcPr>
          <w:p>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5914" w:type="dxa"/>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环保方案及措施是否具有科学性、先进性（综合评定）</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方案科学、先进，与项目匹配度好的得4-7分；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方案较科学、先进，与项目匹配度较好的的得2-4分；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方案一般科学、先进，与项目匹配度一般的的得0-2分；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highlight w:val="none"/>
                <w:lang w:eastAsia="zh-CN"/>
              </w:rPr>
            </w:pPr>
            <w:r>
              <w:rPr>
                <w:rFonts w:hint="eastAsia" w:ascii="宋体" w:hAnsi="宋体" w:eastAsia="宋体" w:cs="宋体"/>
                <w:sz w:val="24"/>
              </w:rPr>
              <w:t>方案不科学、不先进或未提及的不得分</w:t>
            </w:r>
            <w:r>
              <w:rPr>
                <w:rFonts w:hint="eastAsia" w:ascii="宋体" w:hAnsi="宋体" w:eastAsia="宋体" w:cs="宋体"/>
                <w:sz w:val="24"/>
                <w:lang w:eastAsia="zh-CN"/>
              </w:rPr>
              <w:t>。</w:t>
            </w:r>
          </w:p>
        </w:tc>
        <w:tc>
          <w:tcPr>
            <w:tcW w:w="1123"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0-7分</w:t>
            </w:r>
          </w:p>
        </w:tc>
        <w:tc>
          <w:tcPr>
            <w:tcW w:w="1131"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shd w:val="clear" w:color="auto" w:fill="auto"/>
            <w:vAlign w:val="center"/>
          </w:tcPr>
          <w:p>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11</w:t>
            </w:r>
          </w:p>
        </w:tc>
        <w:tc>
          <w:tcPr>
            <w:tcW w:w="5914" w:type="dxa"/>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服务质量保证方案（根据质保期限、可实现程度、提供优惠等综合评定）</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方案完善、可靠，与项目匹配度好的得4-7分；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方案较完善、可靠，与项目匹配度较好的的得2-4分；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方案一般完善、可靠，与项目匹配度一般的的得0-2分；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highlight w:val="none"/>
                <w:lang w:eastAsia="zh-CN"/>
              </w:rPr>
            </w:pPr>
            <w:r>
              <w:rPr>
                <w:rFonts w:hint="eastAsia" w:ascii="宋体" w:hAnsi="宋体" w:eastAsia="宋体" w:cs="宋体"/>
                <w:sz w:val="24"/>
              </w:rPr>
              <w:t>方案不完善、不可靠或未提及的不得分</w:t>
            </w:r>
            <w:r>
              <w:rPr>
                <w:rFonts w:hint="eastAsia" w:ascii="宋体" w:hAnsi="宋体" w:eastAsia="宋体" w:cs="宋体"/>
                <w:sz w:val="24"/>
                <w:lang w:eastAsia="zh-CN"/>
              </w:rPr>
              <w:t>。</w:t>
            </w:r>
          </w:p>
        </w:tc>
        <w:tc>
          <w:tcPr>
            <w:tcW w:w="1123"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0-7分</w:t>
            </w:r>
          </w:p>
        </w:tc>
        <w:tc>
          <w:tcPr>
            <w:tcW w:w="1131"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586" w:type="dxa"/>
            <w:shd w:val="clear" w:color="auto" w:fill="auto"/>
            <w:vAlign w:val="center"/>
          </w:tcPr>
          <w:p>
            <w:pPr>
              <w:widowControl/>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12</w:t>
            </w:r>
          </w:p>
        </w:tc>
        <w:tc>
          <w:tcPr>
            <w:tcW w:w="5914" w:type="dxa"/>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服务承诺（根据售后服务方案、措施、响应及本地化服务能力综合评定）</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方案完善、可靠，与项目匹配度好的得4-6分；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方案较完善、可靠，与项目匹配度较好的的得2-4分；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rPr>
            </w:pPr>
            <w:r>
              <w:rPr>
                <w:rFonts w:hint="eastAsia" w:ascii="宋体" w:hAnsi="宋体" w:eastAsia="宋体" w:cs="宋体"/>
                <w:sz w:val="24"/>
              </w:rPr>
              <w:t>方案一般完善、可靠，与项目匹配度一般的的得0-2分；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宋体" w:cs="宋体"/>
                <w:sz w:val="24"/>
                <w:highlight w:val="none"/>
                <w:lang w:eastAsia="zh-CN"/>
              </w:rPr>
            </w:pPr>
            <w:r>
              <w:rPr>
                <w:rFonts w:hint="eastAsia" w:ascii="宋体" w:hAnsi="宋体" w:eastAsia="宋体" w:cs="宋体"/>
                <w:sz w:val="24"/>
              </w:rPr>
              <w:t>方案不完善、不可靠或未提及的不得分</w:t>
            </w:r>
            <w:r>
              <w:rPr>
                <w:rFonts w:hint="eastAsia" w:ascii="宋体" w:hAnsi="宋体" w:eastAsia="宋体" w:cs="宋体"/>
                <w:sz w:val="24"/>
                <w:lang w:eastAsia="zh-CN"/>
              </w:rPr>
              <w:t>。</w:t>
            </w:r>
          </w:p>
        </w:tc>
        <w:tc>
          <w:tcPr>
            <w:tcW w:w="1123"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0-6分</w:t>
            </w:r>
          </w:p>
        </w:tc>
        <w:tc>
          <w:tcPr>
            <w:tcW w:w="1131" w:type="dxa"/>
            <w:shd w:val="clear" w:color="auto" w:fill="auto"/>
            <w:vAlign w:val="center"/>
          </w:tcPr>
          <w:p>
            <w:pPr>
              <w:snapToGrid w:val="0"/>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主观分</w:t>
            </w:r>
          </w:p>
        </w:tc>
      </w:tr>
    </w:tbl>
    <w:p>
      <w:pPr>
        <w:widowControl/>
        <w:spacing w:line="360" w:lineRule="auto"/>
        <w:jc w:val="left"/>
        <w:rPr>
          <w:rFonts w:hint="eastAsia" w:ascii="宋体" w:hAnsi="宋体" w:eastAsia="宋体" w:cs="宋体"/>
          <w:sz w:val="24"/>
          <w:highlight w:val="none"/>
        </w:rPr>
      </w:pP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价格分（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9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价格权值</w:t>
            </w:r>
          </w:p>
        </w:tc>
        <w:tc>
          <w:tcPr>
            <w:tcW w:w="64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90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eastAsia="宋体" w:cs="宋体"/>
                <w:sz w:val="24"/>
              </w:rPr>
            </w:pPr>
            <w:r>
              <w:rPr>
                <w:rFonts w:hint="eastAsia" w:ascii="宋体" w:hAnsi="宋体" w:eastAsia="宋体" w:cs="宋体"/>
                <w:sz w:val="24"/>
              </w:rPr>
              <w:t>价格权值=0.10</w:t>
            </w:r>
          </w:p>
        </w:tc>
        <w:tc>
          <w:tcPr>
            <w:tcW w:w="64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最低有效</w:t>
            </w:r>
            <w:r>
              <w:rPr>
                <w:rFonts w:hint="eastAsia" w:ascii="宋体" w:hAnsi="宋体" w:eastAsia="宋体" w:cs="宋体"/>
                <w:kern w:val="0"/>
                <w:sz w:val="24"/>
                <w:lang w:val="en-US" w:eastAsia="zh-CN"/>
              </w:rPr>
              <w:t>响应</w:t>
            </w:r>
            <w:r>
              <w:rPr>
                <w:rFonts w:hint="eastAsia" w:ascii="宋体" w:hAnsi="宋体" w:eastAsia="宋体" w:cs="宋体"/>
                <w:kern w:val="0"/>
                <w:sz w:val="24"/>
              </w:rPr>
              <w:t>价格为评标基准价</w:t>
            </w:r>
          </w:p>
          <w:p>
            <w:pPr>
              <w:spacing w:line="360" w:lineRule="auto"/>
              <w:rPr>
                <w:rFonts w:hint="eastAsia" w:ascii="宋体" w:hAnsi="宋体" w:eastAsia="宋体" w:cs="宋体"/>
                <w:kern w:val="0"/>
                <w:sz w:val="24"/>
              </w:rPr>
            </w:pPr>
            <w:r>
              <w:rPr>
                <w:rFonts w:hint="eastAsia" w:ascii="宋体" w:hAnsi="宋体" w:eastAsia="宋体" w:cs="宋体"/>
                <w:kern w:val="0"/>
                <w:sz w:val="24"/>
                <w:lang w:val="en-US" w:eastAsia="zh-CN"/>
              </w:rPr>
              <w:t>响应</w:t>
            </w:r>
            <w:r>
              <w:rPr>
                <w:rFonts w:hint="eastAsia" w:ascii="宋体" w:hAnsi="宋体" w:eastAsia="宋体" w:cs="宋体"/>
                <w:kern w:val="0"/>
                <w:sz w:val="24"/>
              </w:rPr>
              <w:t>报价得分=(评标基准价／</w:t>
            </w:r>
            <w:r>
              <w:rPr>
                <w:rFonts w:hint="eastAsia" w:ascii="宋体" w:hAnsi="宋体" w:eastAsia="宋体" w:cs="宋体"/>
                <w:kern w:val="0"/>
                <w:sz w:val="24"/>
                <w:lang w:val="en-US" w:eastAsia="zh-CN"/>
              </w:rPr>
              <w:t>响应</w:t>
            </w:r>
            <w:r>
              <w:rPr>
                <w:rFonts w:hint="eastAsia" w:ascii="宋体" w:hAnsi="宋体" w:eastAsia="宋体" w:cs="宋体"/>
                <w:kern w:val="0"/>
                <w:sz w:val="24"/>
              </w:rPr>
              <w:t xml:space="preserve">报价)×价格权值×100 </w:t>
            </w:r>
          </w:p>
          <w:p>
            <w:pPr>
              <w:autoSpaceDE w:val="0"/>
              <w:autoSpaceDN w:val="0"/>
              <w:spacing w:line="360" w:lineRule="auto"/>
              <w:jc w:val="left"/>
              <w:rPr>
                <w:rFonts w:hint="eastAsia" w:ascii="宋体" w:hAnsi="宋体" w:eastAsia="宋体" w:cs="宋体"/>
                <w:sz w:val="24"/>
              </w:rPr>
            </w:pPr>
            <w:r>
              <w:rPr>
                <w:rFonts w:hint="eastAsia" w:ascii="宋体" w:hAnsi="宋体" w:eastAsia="宋体" w:cs="宋体"/>
                <w:kern w:val="0"/>
                <w:sz w:val="24"/>
              </w:rPr>
              <w:t>（计算得分保留小数点后2位）</w:t>
            </w:r>
          </w:p>
        </w:tc>
      </w:tr>
    </w:tbl>
    <w:p>
      <w:pPr>
        <w:ind w:firstLine="480" w:firstLineChars="200"/>
        <w:rPr>
          <w:rFonts w:hint="eastAsia" w:ascii="宋体" w:hAnsi="宋体" w:eastAsia="宋体" w:cs="宋体"/>
          <w:sz w:val="24"/>
          <w:szCs w:val="24"/>
          <w:highlight w:val="none"/>
        </w:rPr>
      </w:pPr>
    </w:p>
    <w:p>
      <w:pPr>
        <w:ind w:firstLine="480" w:firstLineChars="200"/>
        <w:rPr>
          <w:rFonts w:hint="eastAsia" w:ascii="宋体" w:hAnsi="宋体" w:eastAsia="宋体" w:cs="宋体"/>
          <w:sz w:val="24"/>
          <w:szCs w:val="24"/>
          <w:highlight w:val="none"/>
        </w:rPr>
      </w:pPr>
    </w:p>
    <w:p>
      <w:pPr>
        <w:spacing w:line="360" w:lineRule="auto"/>
        <w:rPr>
          <w:rFonts w:hint="eastAsia" w:ascii="宋体" w:hAnsi="宋体" w:eastAsia="宋体" w:cs="宋体"/>
          <w:b/>
          <w:highlight w:val="none"/>
        </w:rPr>
      </w:pPr>
      <w:r>
        <w:rPr>
          <w:rFonts w:hint="eastAsia" w:ascii="宋体" w:hAnsi="宋体" w:eastAsia="宋体" w:cs="宋体"/>
          <w:b/>
          <w:highlight w:val="none"/>
        </w:rPr>
        <w:t>备注：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1、评分条款中涉及的业绩、荣誉、人员、劳动合同等分公司均有效。</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中如附有外文资料，必须逐一对应翻译成中文并加盖</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公章后附在相关外文资料后面，否则外文资料不予认可。翻译的中文资料与外文资料不符的，均不予认可。翻译严重错误的，将视同提供虚假资料。</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响应人</w:t>
      </w:r>
      <w:r>
        <w:rPr>
          <w:rFonts w:hint="eastAsia" w:ascii="宋体" w:hAnsi="宋体" w:eastAsia="宋体" w:cs="宋体"/>
          <w:sz w:val="24"/>
          <w:szCs w:val="24"/>
          <w:highlight w:val="none"/>
        </w:rPr>
        <w:t>编制</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（商务技术文件部分）时，建议按此目录（序号和内容）提供评标标准相应的商务技术资料。 </w:t>
      </w:r>
    </w:p>
    <w:p>
      <w:pP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一、交易方法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1.本项目采用综合评分法。</w:t>
      </w:r>
      <w:r>
        <w:rPr>
          <w:rFonts w:hint="eastAsia" w:ascii="宋体" w:hAnsi="宋体" w:eastAsia="宋体" w:cs="宋体"/>
          <w:color w:val="000000"/>
          <w:kern w:val="0"/>
          <w:sz w:val="24"/>
          <w:highlight w:val="none"/>
        </w:rPr>
        <w:t>综合评分法，是指响应文件满足公开竞争文件全部实质性要求，且按照评审因素的量化指标评审得分最高的响应人为成交候选人的评标方法。</w:t>
      </w:r>
    </w:p>
    <w:p>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二、交易标准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2.评标标准：</w:t>
      </w:r>
      <w:r>
        <w:rPr>
          <w:rFonts w:hint="eastAsia" w:ascii="宋体" w:hAnsi="宋体" w:eastAsia="宋体" w:cs="宋体"/>
          <w:color w:val="000000"/>
          <w:kern w:val="0"/>
          <w:sz w:val="24"/>
          <w:highlight w:val="none"/>
        </w:rPr>
        <w:t>见交易办法前附表。</w:t>
      </w:r>
    </w:p>
    <w:p>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三、交易程序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kern w:val="0"/>
          <w:sz w:val="24"/>
          <w:highlight w:val="none"/>
        </w:rPr>
      </w:pPr>
      <w:bookmarkStart w:id="380" w:name="第五部分"/>
      <w:bookmarkStart w:id="381" w:name="_Toc86217003"/>
      <w:r>
        <w:rPr>
          <w:rFonts w:hint="eastAsia" w:ascii="宋体" w:hAnsi="宋体" w:eastAsia="宋体" w:cs="宋体"/>
          <w:b/>
          <w:color w:val="000000"/>
          <w:kern w:val="0"/>
          <w:sz w:val="24"/>
          <w:highlight w:val="none"/>
        </w:rPr>
        <w:t>3.1符合性审查。</w:t>
      </w:r>
      <w:r>
        <w:rPr>
          <w:rFonts w:hint="eastAsia" w:ascii="宋体" w:hAnsi="宋体" w:eastAsia="宋体" w:cs="宋体"/>
          <w:color w:val="000000"/>
          <w:kern w:val="0"/>
          <w:sz w:val="24"/>
          <w:highlight w:val="none"/>
        </w:rPr>
        <w:t>评审委员会应当对符合资格的响应人的响应文件进行符合性审查，以确定其是否满足公开竞争文件的实质性要求。不满足公开竞争文件的实质性要求的，交易无效。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3.2比较与评价。</w:t>
      </w:r>
      <w:r>
        <w:rPr>
          <w:rFonts w:hint="eastAsia" w:ascii="宋体" w:hAnsi="宋体" w:eastAsia="宋体" w:cs="宋体"/>
          <w:color w:val="000000"/>
          <w:kern w:val="0"/>
          <w:sz w:val="24"/>
          <w:highlight w:val="none"/>
        </w:rPr>
        <w:t>评审委员会应当按照公开竞争文件中规定的评标方法和标准，对符合性审查合格的响应文件进行商务和技术评估，综合比较与评价。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3.3汇总商务技术得分。</w:t>
      </w:r>
      <w:r>
        <w:rPr>
          <w:rFonts w:hint="eastAsia" w:ascii="宋体" w:hAnsi="宋体" w:eastAsia="宋体" w:cs="宋体"/>
          <w:color w:val="000000"/>
          <w:kern w:val="0"/>
          <w:sz w:val="24"/>
          <w:highlight w:val="none"/>
        </w:rPr>
        <w:t>评审委员会各成员应当独立对每个响应人的商务和技术文件进行评价，并汇总商务技术得分情况。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kern w:val="0"/>
          <w:sz w:val="24"/>
          <w:highlight w:val="none"/>
        </w:rPr>
      </w:pPr>
      <w:r>
        <w:rPr>
          <w:rFonts w:hint="eastAsia" w:ascii="宋体" w:hAnsi="宋体" w:eastAsia="宋体" w:cs="宋体"/>
          <w:b/>
          <w:color w:val="000000"/>
          <w:kern w:val="0"/>
          <w:sz w:val="24"/>
          <w:highlight w:val="none"/>
        </w:rPr>
        <w:t>3.4报价评审。</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000000"/>
          <w:kern w:val="0"/>
          <w:highlight w:val="none"/>
        </w:rPr>
      </w:pPr>
      <w:r>
        <w:rPr>
          <w:rFonts w:hint="eastAsia" w:ascii="宋体" w:hAnsi="宋体" w:eastAsia="宋体" w:cs="宋体"/>
          <w:color w:val="000000"/>
          <w:kern w:val="0"/>
          <w:highlight w:val="none"/>
        </w:rPr>
        <w:t>3.4.1响应文件报价出现前后不一致的，按照下列规定修正：</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3.4.1.1响应文件中交易一览表(报价表)内容与响应文件中相应内容不一致的，以交易一览表(报价表)为准；</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3.4.1.2大写金额和小写金额不一致的，以大写金额为准；</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3.4.1.3单价金额小数点或者百分比有明显错位的，以交易一览表的总价为准，并修改单价；</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3.4.1.4总价金额与按单价汇总金额不一致的，以单价金额计算结果为准；</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3.4.1.5同时出现两种以上不一致的，按照3.4.1规定的顺序修正。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3.4.2响应文件出现不是唯一的、有选择性交易报价的，交易无效。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3.4.3交易报价超过公开竞争文件中规定的预算金额或者最高限价的，交易无效。</w:t>
      </w:r>
    </w:p>
    <w:p>
      <w:pPr>
        <w:pStyle w:val="27"/>
        <w:keepNext w:val="0"/>
        <w:keepLines w:val="0"/>
        <w:pageBreakBefore w:val="0"/>
        <w:widowControl w:val="0"/>
        <w:kinsoku/>
        <w:wordWrap/>
        <w:overflowPunct/>
        <w:topLinePunct w:val="0"/>
        <w:autoSpaceDE/>
        <w:autoSpaceDN/>
        <w:bidi w:val="0"/>
        <w:adjustRightInd w:val="0"/>
        <w:snapToGrid w:val="0"/>
        <w:spacing w:before="0" w:line="360" w:lineRule="auto"/>
        <w:ind w:firstLine="480" w:firstLineChars="200"/>
        <w:textAlignment w:val="auto"/>
        <w:rPr>
          <w:rFonts w:hint="eastAsia" w:ascii="宋体" w:hAnsi="宋体" w:eastAsia="宋体" w:cs="宋体"/>
          <w:color w:val="000000"/>
          <w:kern w:val="0"/>
          <w:szCs w:val="24"/>
          <w:highlight w:val="none"/>
        </w:rPr>
      </w:pPr>
      <w:r>
        <w:rPr>
          <w:rFonts w:hint="eastAsia" w:ascii="宋体" w:hAnsi="宋体" w:eastAsia="宋体" w:cs="宋体"/>
          <w:color w:val="000000"/>
          <w:kern w:val="0"/>
          <w:szCs w:val="24"/>
          <w:highlight w:val="none"/>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响应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3.5排序与推荐。</w:t>
      </w:r>
      <w:r>
        <w:rPr>
          <w:rFonts w:hint="eastAsia" w:ascii="宋体" w:hAnsi="宋体" w:eastAsia="宋体" w:cs="宋体"/>
          <w:color w:val="000000"/>
          <w:kern w:val="0"/>
          <w:sz w:val="24"/>
          <w:highlight w:val="none"/>
        </w:rPr>
        <w:t>采用综合评分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kern w:val="0"/>
          <w:sz w:val="24"/>
          <w:highlight w:val="none"/>
        </w:rPr>
      </w:pPr>
      <w:r>
        <w:rPr>
          <w:rFonts w:hint="eastAsia" w:ascii="宋体" w:hAnsi="宋体" w:eastAsia="宋体" w:cs="宋体"/>
          <w:b/>
          <w:color w:val="000000"/>
          <w:kern w:val="0"/>
          <w:sz w:val="24"/>
          <w:highlight w:val="none"/>
        </w:rPr>
        <w:t>3.6编写评审报告。</w:t>
      </w:r>
      <w:r>
        <w:rPr>
          <w:rFonts w:hint="eastAsia" w:ascii="宋体" w:hAnsi="宋体" w:eastAsia="宋体" w:cs="宋体"/>
          <w:color w:val="000000"/>
          <w:kern w:val="0"/>
          <w:sz w:val="24"/>
          <w:highlight w:val="none"/>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四、评标中的其他事项</w:t>
      </w:r>
    </w:p>
    <w:p>
      <w:pPr>
        <w:pStyle w:val="27"/>
        <w:pageBreakBefore w:val="0"/>
        <w:widowControl w:val="0"/>
        <w:kinsoku/>
        <w:wordWrap/>
        <w:overflowPunct/>
        <w:topLinePunct w:val="0"/>
        <w:autoSpaceDE/>
        <w:autoSpaceDN/>
        <w:bidi w:val="0"/>
        <w:snapToGrid w:val="0"/>
        <w:spacing w:before="0" w:line="360" w:lineRule="auto"/>
        <w:ind w:firstLine="482" w:firstLineChars="200"/>
        <w:textAlignment w:val="auto"/>
        <w:rPr>
          <w:rFonts w:hint="eastAsia" w:ascii="宋体" w:hAnsi="宋体" w:eastAsia="宋体" w:cs="宋体"/>
          <w:color w:val="000000"/>
          <w:kern w:val="0"/>
          <w:szCs w:val="24"/>
          <w:highlight w:val="none"/>
        </w:rPr>
      </w:pPr>
      <w:r>
        <w:rPr>
          <w:rFonts w:hint="eastAsia" w:ascii="宋体" w:hAnsi="宋体" w:eastAsia="宋体" w:cs="宋体"/>
          <w:b/>
          <w:color w:val="000000"/>
          <w:kern w:val="0"/>
          <w:szCs w:val="24"/>
          <w:highlight w:val="none"/>
        </w:rPr>
        <w:t>4.1响应人澄清、说明或者补正。</w:t>
      </w:r>
      <w:r>
        <w:rPr>
          <w:rFonts w:hint="eastAsia" w:ascii="宋体" w:hAnsi="宋体" w:eastAsia="宋体" w:cs="宋体"/>
          <w:color w:val="000000"/>
          <w:kern w:val="0"/>
          <w:szCs w:val="24"/>
          <w:highlight w:val="none"/>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1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000000"/>
          <w:szCs w:val="21"/>
          <w:highlight w:val="none"/>
        </w:rPr>
      </w:pPr>
      <w:r>
        <w:rPr>
          <w:rFonts w:hint="eastAsia" w:ascii="宋体" w:hAnsi="宋体" w:eastAsia="宋体" w:cs="宋体"/>
          <w:b/>
          <w:color w:val="000000"/>
          <w:kern w:val="0"/>
          <w:highlight w:val="none"/>
        </w:rPr>
        <w:t>4.2交易无效。</w:t>
      </w:r>
      <w:r>
        <w:rPr>
          <w:rFonts w:hint="eastAsia" w:ascii="宋体" w:hAnsi="宋体" w:eastAsia="宋体" w:cs="宋体"/>
          <w:color w:val="000000"/>
          <w:szCs w:val="21"/>
          <w:highlight w:val="none"/>
        </w:rPr>
        <w:t>有下列情形之一的，交易无效：</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4.2.1响应人不具备公开竞争文件中规定的资格要求的（响应人未提供有效的资格文件的，视为响应人不具备公开竞争文件中规定的资格要求）；</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4.2.2响应文件未按照公开竞争文件要求签署、盖章的；</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4.2.3响应文件含有交易发起人不能接受的附加条件的；</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4.2.4响应文件中承诺的交易有效期少于公开竞争文件中载明的交易有效期的；</w:t>
      </w:r>
    </w:p>
    <w:p>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4.2.5响应文件出现不是唯一的、有选择性交易报价的；</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4.2.6交易报价超过公开竞争文件中规定的预算金额或者最高限价的；</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4.2.7报价明显低于其他通过符合性审查响应人的报价，有可能影响产品质量或者不能诚信履约的，未能按要求提供书面说明或者提交相关证明材料，不能证明其报价合理性的；</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4.2.8响应人对根据修正原则修正后的报价不确认的；</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4.2.9响应人提供虚假材料响应的；</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4.2.10响应人有恶意串通、妨碍其他响应人的竞争行为、损害交易发起人或者其他响应人的合法权益情形的；</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4.2.11响应人未在电子交易平台传输递交响应文件的，交易无效；</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 w:val="24"/>
          <w:highlight w:val="none"/>
          <w:lang w:val="en-US"/>
        </w:rPr>
      </w:pPr>
      <w:r>
        <w:rPr>
          <w:rFonts w:hint="eastAsia" w:ascii="宋体" w:hAnsi="宋体" w:eastAsia="宋体" w:cs="宋体"/>
          <w:color w:val="000000"/>
          <w:kern w:val="0"/>
          <w:sz w:val="24"/>
          <w:highlight w:val="none"/>
          <w:lang w:val="en-US"/>
        </w:rPr>
        <w:t>4.2.12响应文件不满足公开竞争文件的其它实质性要求的；</w:t>
      </w:r>
    </w:p>
    <w:p>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4.2.13法律、法规、规章（适用本市的）及省级以上规范性文件（适用本市的）规定的其他无效情形。</w:t>
      </w:r>
    </w:p>
    <w:p>
      <w:pPr>
        <w:pStyle w:val="1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000000"/>
          <w:highlight w:val="none"/>
        </w:rPr>
      </w:pPr>
      <w:r>
        <w:rPr>
          <w:rFonts w:hint="eastAsia" w:ascii="宋体" w:hAnsi="宋体" w:eastAsia="宋体" w:cs="宋体"/>
          <w:b/>
          <w:color w:val="000000"/>
          <w:highlight w:val="none"/>
        </w:rPr>
        <w:t>5.废标。</w:t>
      </w:r>
      <w:r>
        <w:rPr>
          <w:rFonts w:hint="eastAsia" w:ascii="宋体" w:hAnsi="宋体" w:eastAsia="宋体" w:cs="宋体"/>
          <w:color w:val="000000"/>
          <w:highlight w:val="none"/>
        </w:rPr>
        <w:t>根据《中华人民共和国政府采购法》第三十六条之规定，在交易过程中，出现下列情形之一的，应予废标：</w:t>
      </w:r>
    </w:p>
    <w:p>
      <w:pPr>
        <w:pStyle w:val="1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5.1符合专业条件的响应人或者对公开竞争文件作实质响应的响应人不足3家的；</w:t>
      </w:r>
    </w:p>
    <w:p>
      <w:pPr>
        <w:pStyle w:val="1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5.2出现影响采购公正的违法、违规行为的；</w:t>
      </w:r>
    </w:p>
    <w:p>
      <w:pPr>
        <w:pStyle w:val="1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5.3响应人的报价均超过了采购预算，交易发起人不能支付的；</w:t>
      </w:r>
    </w:p>
    <w:p>
      <w:pPr>
        <w:pStyle w:val="1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5.4因重大变故，采购任务取消的。</w:t>
      </w:r>
    </w:p>
    <w:p>
      <w:pPr>
        <w:pStyle w:val="1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废标后，代理机构应当将废标理由通知所有响应人。</w:t>
      </w:r>
    </w:p>
    <w:p>
      <w:pPr>
        <w:pStyle w:val="1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000000"/>
          <w:highlight w:val="none"/>
        </w:rPr>
      </w:pPr>
      <w:r>
        <w:rPr>
          <w:rFonts w:hint="eastAsia" w:ascii="宋体" w:hAnsi="宋体" w:eastAsia="宋体" w:cs="宋体"/>
          <w:b/>
          <w:color w:val="000000"/>
          <w:highlight w:val="none"/>
        </w:rPr>
        <w:t>6.修改公开竞争文件，重新组织交易活动。</w:t>
      </w:r>
      <w:r>
        <w:rPr>
          <w:rFonts w:hint="eastAsia" w:ascii="宋体" w:hAnsi="宋体" w:eastAsia="宋体" w:cs="宋体"/>
          <w:color w:val="000000"/>
          <w:highlight w:val="none"/>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1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color w:val="000000"/>
          <w:highlight w:val="none"/>
        </w:rPr>
      </w:pPr>
      <w:r>
        <w:rPr>
          <w:rFonts w:hint="eastAsia" w:ascii="宋体" w:hAnsi="宋体" w:eastAsia="宋体" w:cs="宋体"/>
          <w:b/>
          <w:color w:val="000000"/>
          <w:kern w:val="0"/>
          <w:highlight w:val="none"/>
        </w:rPr>
        <w:t>7.重新开展交易。</w:t>
      </w:r>
      <w:r>
        <w:rPr>
          <w:rFonts w:hint="eastAsia" w:ascii="宋体" w:hAnsi="宋体" w:eastAsia="宋体" w:cs="宋体"/>
          <w:color w:val="000000"/>
          <w:highlight w:val="none"/>
        </w:rPr>
        <w:t>影响或者可能影响</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、成交结果的，依照下列规定处理：</w:t>
      </w:r>
    </w:p>
    <w:p>
      <w:pPr>
        <w:pStyle w:val="1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7.1未确定</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或者成交人的，终止本次交易活动，重新开展交易活动。</w:t>
      </w:r>
    </w:p>
    <w:p>
      <w:pPr>
        <w:pStyle w:val="1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7.2已确定</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或者成交人但尚未签订合同的，</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或者成交结果无效，从合格的</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或者成交候选人中另行确定</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或者成交人；没有合格的</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或者成交候选人的，重新开展交易活动。</w:t>
      </w:r>
    </w:p>
    <w:p>
      <w:pPr>
        <w:pStyle w:val="1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7.3书面合同已签订但尚未履行的，撤销合同，从合格的</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或者成交候选人中另行确定</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或者成交人；没有合格的</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或者成交候选人的，重新开展交易活动。</w:t>
      </w:r>
    </w:p>
    <w:p>
      <w:pPr>
        <w:pStyle w:val="1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7.4书面合同已经履行，给交易发起人、响应人造成损失的，由责任人承担赔偿责任。</w:t>
      </w:r>
    </w:p>
    <w:p>
      <w:pPr>
        <w:pStyle w:val="1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highlight w:val="none"/>
        </w:rPr>
      </w:pPr>
      <w:r>
        <w:rPr>
          <w:rFonts w:hint="eastAsia" w:ascii="宋体" w:hAnsi="宋体" w:eastAsia="宋体" w:cs="宋体"/>
          <w:color w:val="000000"/>
          <w:highlight w:val="none"/>
        </w:rPr>
        <w:t>7.5交易当事人有其他违反政府采购法</w:t>
      </w:r>
      <w:r>
        <w:rPr>
          <w:rFonts w:hint="eastAsia" w:ascii="宋体" w:hAnsi="宋体" w:eastAsia="宋体" w:cs="宋体"/>
          <w:color w:val="000000"/>
          <w:kern w:val="0"/>
          <w:highlight w:val="none"/>
        </w:rPr>
        <w:t>或者政府采购法实施条例等法律法规规定</w:t>
      </w:r>
      <w:r>
        <w:rPr>
          <w:rFonts w:hint="eastAsia" w:ascii="宋体" w:hAnsi="宋体" w:eastAsia="宋体" w:cs="宋体"/>
          <w:color w:val="000000"/>
          <w:highlight w:val="none"/>
        </w:rPr>
        <w:t>的行为，经改正后仍然影响或者可能影响</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、成交结果或者依法被认定为</w:t>
      </w:r>
      <w:r>
        <w:rPr>
          <w:rFonts w:hint="eastAsia" w:ascii="宋体" w:hAnsi="宋体" w:eastAsia="宋体" w:cs="宋体"/>
          <w:color w:val="000000"/>
          <w:kern w:val="0"/>
          <w:highlight w:val="none"/>
        </w:rPr>
        <w:t>成交</w:t>
      </w:r>
      <w:r>
        <w:rPr>
          <w:rFonts w:hint="eastAsia" w:ascii="宋体" w:hAnsi="宋体" w:eastAsia="宋体" w:cs="宋体"/>
          <w:color w:val="000000"/>
          <w:highlight w:val="none"/>
        </w:rPr>
        <w:t>、成交无效的，依照7.1-7.4规定处理。</w:t>
      </w:r>
    </w:p>
    <w:p>
      <w:pPr>
        <w:pStyle w:val="10"/>
        <w:snapToGrid w:val="0"/>
        <w:spacing w:line="360" w:lineRule="auto"/>
        <w:rPr>
          <w:rFonts w:hint="eastAsia" w:ascii="宋体" w:hAnsi="宋体" w:eastAsia="宋体" w:cs="宋体"/>
          <w:color w:val="000000"/>
          <w:highlight w:val="none"/>
        </w:rPr>
      </w:pPr>
      <w:r>
        <w:rPr>
          <w:rFonts w:hint="eastAsia" w:ascii="宋体" w:hAnsi="宋体" w:eastAsia="宋体" w:cs="宋体"/>
          <w:color w:val="000000"/>
          <w:highlight w:val="none"/>
        </w:rPr>
        <w:t xml:space="preserve"> </w:t>
      </w:r>
    </w:p>
    <w:p>
      <w:pPr>
        <w:pStyle w:val="5"/>
        <w:rPr>
          <w:rFonts w:hint="eastAsia" w:ascii="宋体" w:hAnsi="宋体" w:eastAsia="宋体" w:cs="宋体"/>
          <w:color w:val="000000"/>
          <w:highlight w:val="none"/>
        </w:rPr>
      </w:pPr>
    </w:p>
    <w:p>
      <w:pPr>
        <w:rPr>
          <w:rFonts w:hint="eastAsia" w:ascii="宋体" w:hAnsi="宋体" w:eastAsia="宋体" w:cs="宋体"/>
          <w:color w:val="000000"/>
          <w:highlight w:val="none"/>
        </w:rPr>
      </w:pPr>
    </w:p>
    <w:p>
      <w:pP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第五部分 拟签订的合同文本</w:t>
      </w:r>
    </w:p>
    <w:p>
      <w:pPr>
        <w:numPr>
          <w:ilvl w:val="0"/>
          <w:numId w:val="0"/>
        </w:numPr>
        <w:spacing w:line="360" w:lineRule="auto"/>
        <w:ind w:left="303" w:leftChars="0" w:right="-420" w:rightChars="-200"/>
        <w:jc w:val="center"/>
        <w:outlineLvl w:val="0"/>
        <w:rPr>
          <w:rFonts w:hint="eastAsia" w:ascii="宋体" w:hAnsi="宋体" w:eastAsia="宋体" w:cs="宋体"/>
          <w:b w:val="0"/>
          <w:bCs/>
          <w:sz w:val="32"/>
          <w:szCs w:val="32"/>
          <w:highlight w:val="none"/>
          <w:lang w:eastAsia="zh-CN"/>
        </w:rPr>
      </w:pPr>
      <w:r>
        <w:rPr>
          <w:rFonts w:hint="eastAsia" w:ascii="宋体" w:hAnsi="宋体" w:eastAsia="宋体" w:cs="宋体"/>
          <w:b w:val="0"/>
          <w:bCs/>
          <w:sz w:val="32"/>
          <w:szCs w:val="32"/>
          <w:highlight w:val="none"/>
          <w:lang w:eastAsia="zh-CN"/>
        </w:rPr>
        <w:t>（</w:t>
      </w:r>
      <w:r>
        <w:rPr>
          <w:rFonts w:hint="eastAsia" w:ascii="宋体" w:hAnsi="宋体" w:eastAsia="宋体" w:cs="宋体"/>
          <w:b w:val="0"/>
          <w:bCs/>
          <w:sz w:val="32"/>
          <w:szCs w:val="32"/>
          <w:highlight w:val="none"/>
        </w:rPr>
        <w:t>参考范本</w:t>
      </w:r>
      <w:r>
        <w:rPr>
          <w:rFonts w:hint="eastAsia" w:ascii="宋体" w:hAnsi="宋体" w:eastAsia="宋体" w:cs="宋体"/>
          <w:b w:val="0"/>
          <w:bCs/>
          <w:sz w:val="32"/>
          <w:szCs w:val="32"/>
          <w:highlight w:val="none"/>
          <w:lang w:eastAsia="zh-CN"/>
        </w:rPr>
        <w:t>，</w:t>
      </w:r>
      <w:r>
        <w:rPr>
          <w:rFonts w:hint="eastAsia" w:ascii="宋体" w:hAnsi="宋体" w:eastAsia="宋体" w:cs="宋体"/>
          <w:b w:val="0"/>
          <w:bCs/>
          <w:sz w:val="32"/>
          <w:szCs w:val="32"/>
          <w:highlight w:val="none"/>
          <w:lang w:val="en-US" w:eastAsia="zh-CN"/>
        </w:rPr>
        <w:t>以实际签订合同为准</w:t>
      </w:r>
      <w:r>
        <w:rPr>
          <w:rFonts w:hint="eastAsia" w:ascii="宋体" w:hAnsi="宋体" w:eastAsia="宋体" w:cs="宋体"/>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                                 签订时间：20</w:t>
      </w:r>
      <w:r>
        <w:rPr>
          <w:rFonts w:hint="eastAsia" w:ascii="宋体" w:hAnsi="宋体" w:eastAsia="宋体" w:cs="宋体"/>
          <w:color w:val="auto"/>
          <w:sz w:val="24"/>
          <w:szCs w:val="24"/>
          <w:highlight w:val="none"/>
          <w:u w:val="none"/>
          <w:lang w:val="en-US" w:eastAsia="zh-CN"/>
        </w:rPr>
        <w:t>23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甲方（需方）：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乙方（供方）：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供、需双方根据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结果和</w:t>
      </w:r>
      <w:r>
        <w:rPr>
          <w:rFonts w:hint="eastAsia" w:ascii="宋体" w:hAnsi="宋体" w:eastAsia="宋体" w:cs="宋体"/>
          <w:color w:val="auto"/>
          <w:sz w:val="24"/>
          <w:szCs w:val="24"/>
          <w:highlight w:val="none"/>
          <w:lang w:val="en-US" w:eastAsia="zh-CN"/>
        </w:rPr>
        <w:t>竞争</w:t>
      </w:r>
      <w:r>
        <w:rPr>
          <w:rFonts w:hint="eastAsia" w:ascii="宋体" w:hAnsi="宋体" w:eastAsia="宋体" w:cs="宋体"/>
          <w:color w:val="auto"/>
          <w:sz w:val="24"/>
          <w:szCs w:val="24"/>
          <w:highlight w:val="none"/>
        </w:rPr>
        <w:t>文件的要求，并经双方协调一致，订立本合同。</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一、合同文件：</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1、合同条款。</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2、成交通知书。</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竞争</w:t>
      </w:r>
      <w:r>
        <w:rPr>
          <w:rFonts w:hint="eastAsia" w:ascii="宋体" w:hAnsi="宋体" w:eastAsia="宋体" w:cs="宋体"/>
          <w:color w:val="auto"/>
          <w:sz w:val="24"/>
          <w:szCs w:val="24"/>
          <w:highlight w:val="none"/>
        </w:rPr>
        <w:t>文件。</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4、更正公告。</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5、成交单位响应文件。</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w:t>
      </w:r>
    </w:p>
    <w:p>
      <w:pPr>
        <w:keepNext w:val="0"/>
        <w:keepLines w:val="0"/>
        <w:pageBreakBefore w:val="0"/>
        <w:widowControl w:val="0"/>
        <w:kinsoku/>
        <w:wordWrap/>
        <w:overflowPunct/>
        <w:topLinePunct w:val="0"/>
        <w:autoSpaceDE/>
        <w:autoSpaceDN/>
        <w:bidi w:val="0"/>
        <w:adjustRightInd w:val="0"/>
        <w:snapToGrid/>
        <w:spacing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二、合同金额: 本合同金额为(大写)</w:t>
      </w:r>
      <w:r>
        <w:rPr>
          <w:rFonts w:hint="eastAsia" w:ascii="宋体" w:hAnsi="宋体" w:eastAsia="宋体" w:cs="宋体"/>
          <w:color w:val="auto"/>
          <w:sz w:val="24"/>
          <w:szCs w:val="24"/>
          <w:highlight w:val="none"/>
          <w:u w:val="single"/>
        </w:rPr>
        <w:t>_________________</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元）人民币</w:t>
      </w:r>
    </w:p>
    <w:p>
      <w:pPr>
        <w:keepNext w:val="0"/>
        <w:keepLines w:val="0"/>
        <w:pageBreakBefore w:val="0"/>
        <w:widowControl w:val="0"/>
        <w:kinsoku/>
        <w:wordWrap/>
        <w:overflowPunct/>
        <w:topLinePunct w:val="0"/>
        <w:autoSpaceDE/>
        <w:autoSpaceDN/>
        <w:bidi w:val="0"/>
        <w:adjustRightInd w:val="0"/>
        <w:snapToGrid/>
        <w:spacing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附：《项目清单内容》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jc w:val="center"/>
              <w:textAlignment w:val="auto"/>
              <w:rPr>
                <w:rFonts w:hint="eastAsia" w:ascii="宋体" w:hAnsi="宋体" w:eastAsia="宋体" w:cs="宋体"/>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三、技术资料</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w:t>
      </w:r>
      <w:r>
        <w:rPr>
          <w:rFonts w:hint="eastAsia" w:ascii="宋体" w:hAnsi="宋体" w:eastAsia="宋体" w:cs="宋体"/>
          <w:color w:val="auto"/>
          <w:sz w:val="24"/>
          <w:szCs w:val="24"/>
          <w:highlight w:val="none"/>
          <w:lang w:val="en-US" w:eastAsia="zh-CN"/>
        </w:rPr>
        <w:t>竞争</w:t>
      </w:r>
      <w:r>
        <w:rPr>
          <w:rFonts w:hint="eastAsia" w:ascii="宋体" w:hAnsi="宋体" w:eastAsia="宋体" w:cs="宋体"/>
          <w:color w:val="auto"/>
          <w:sz w:val="24"/>
          <w:szCs w:val="24"/>
          <w:highlight w:val="none"/>
        </w:rPr>
        <w:t>文件规定的时间向甲方提供有关技术资料。</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四、知识产权</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五、履约保证金</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乙方交纳人民币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元作为本合同的履约保证金。</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六、转包或分包</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1.本合同范围的服务，应由乙方直接供应，不得转让他人供应；</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2.除非得到甲方的书面同意，乙方不得将本合同范围的服务全部或部分分包给他人供应；</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3.如有转让和未经甲方同意的分包行为，甲方有权解除合同，没收履约保证金并追究乙方的违约责任。</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七、服务质量保证期</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服务质量保证期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年。（自验收合格之日起计）</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、合同履行时间、履行方式及履行地点</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履行时间：</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履行方式：</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履行地点：</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、款项支付</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1.付款方式：</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2.合同履行完毕，需方根据合同进行验收，验收合格后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按结算要求办理货款结算手续。</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、税费</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、质量保证及后续服务</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乙方应按</w:t>
      </w:r>
      <w:r>
        <w:rPr>
          <w:rFonts w:hint="eastAsia" w:ascii="宋体" w:hAnsi="宋体" w:eastAsia="宋体" w:cs="宋体"/>
          <w:color w:val="auto"/>
          <w:sz w:val="24"/>
          <w:szCs w:val="24"/>
          <w:highlight w:val="none"/>
          <w:lang w:val="en-US" w:eastAsia="zh-CN"/>
        </w:rPr>
        <w:t>竞争</w:t>
      </w:r>
      <w:r>
        <w:rPr>
          <w:rFonts w:hint="eastAsia" w:ascii="宋体" w:hAnsi="宋体" w:eastAsia="宋体" w:cs="宋体"/>
          <w:color w:val="auto"/>
          <w:sz w:val="24"/>
          <w:szCs w:val="24"/>
          <w:highlight w:val="none"/>
        </w:rPr>
        <w:t>文件规定向甲方提供服务。</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乙方提供的服务成果在服务质量保证期内发生故障，乙方应负责免费提供后续服务。对达不到要求者，根据实际情况，经双方协商，可按以下办法处理：</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⑴重做：由乙方承担所发生的全部费用。</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⑵贬值处理：由甲乙双方合议定价。</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⑶解除合同。</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如在使用过程中发生问题，乙方在接到甲方通知后在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小时内到达甲方现场。</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4.在服务质量保证期内，乙方应对出现的质量及安全问题负责处理解决并承担一切费用。</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、违约责任</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1.甲方无正当理由拒绝接收服务的，甲方向乙方偿付合同款项百分之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作为违约金。</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2.甲方无故逾期验收和办理款项支付手续的，甲方应按逾期付款总额每日万分之</w:t>
      </w:r>
      <w:r>
        <w:rPr>
          <w:rFonts w:hint="eastAsia" w:ascii="宋体" w:hAnsi="宋体" w:eastAsia="宋体" w:cs="宋体"/>
          <w:color w:val="auto"/>
          <w:sz w:val="24"/>
          <w:szCs w:val="24"/>
          <w:highlight w:val="none"/>
          <w:u w:val="single"/>
          <w:lang w:val="en-US" w:eastAsia="zh-CN"/>
        </w:rPr>
        <w:t>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向乙方支付违约金。</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3.乙方未能如期提供服务的，每日向甲方支付合同款项的千分之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作为违约金。乙方超过约定日期10个工作日仍不能提供服务的，甲方可解除本合同，不予退还履约保证金，如造成甲方损失超过履约保证金的，超出部分由乙方继续承担赔偿责任。</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4.供方在服务项目验收合格之日起保修期内违反本合同有关承诺保证的，需方将有权不予退还质量保证金，损失赔偿不足部分，由乙方承担赔偿。</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5．如发现乙方违反</w:t>
      </w:r>
      <w:r>
        <w:rPr>
          <w:rFonts w:hint="eastAsia" w:ascii="宋体" w:hAnsi="宋体" w:eastAsia="宋体" w:cs="宋体"/>
          <w:color w:val="auto"/>
          <w:sz w:val="24"/>
          <w:szCs w:val="24"/>
          <w:highlight w:val="none"/>
          <w:lang w:val="en-US" w:eastAsia="zh-CN"/>
        </w:rPr>
        <w:t>竞争</w:t>
      </w:r>
      <w:r>
        <w:rPr>
          <w:rFonts w:hint="eastAsia" w:ascii="宋体" w:hAnsi="宋体" w:eastAsia="宋体" w:cs="宋体"/>
          <w:color w:val="auto"/>
          <w:sz w:val="24"/>
          <w:szCs w:val="24"/>
          <w:highlight w:val="none"/>
        </w:rPr>
        <w:t>文件和合同的有关规定，甲方有权根据约定对乙方进行处罚，并有权提前终止合同。</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、争议的解决</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因本合同引起的或与本合同有关的任何争议，合同双方应首先通过协商解决，达成书面协议，如协商不成，可选择下列第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种方式解决。</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（1）提请杭州仲裁委员会按照该会仲裁规则进行仲裁，仲裁裁决是终局的，对合同双方均有约束力。</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（2）向有管辖权的人民法院提起诉讼。</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、合同生效</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持成交通知书作为与需方签订合同的凭证。</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2.本合同经需、供双方法定代表人或其授权委托人签字并加盖单位公章后生效。</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3.本合同一式四份，需、供双方各执二份。</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需方（盖章）：                     供方（盖章）：</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法定代表人（或委托代理人）签名：   法定代表人（或委托代理人）签名：</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pPr>
        <w:rPr>
          <w:rFonts w:hint="eastAsia" w:ascii="宋体" w:hAnsi="宋体" w:eastAsia="宋体" w:cs="宋体"/>
          <w:color w:val="000000"/>
          <w:highlight w:val="none"/>
        </w:rPr>
      </w:pPr>
    </w:p>
    <w:p>
      <w:pPr>
        <w:spacing w:line="360" w:lineRule="auto"/>
        <w:ind w:left="720" w:firstLine="723" w:firstLineChars="200"/>
        <w:outlineLvl w:val="0"/>
        <w:rPr>
          <w:rFonts w:hint="eastAsia" w:ascii="宋体" w:hAnsi="宋体" w:eastAsia="宋体" w:cs="宋体"/>
          <w:b/>
          <w:color w:val="000000"/>
          <w:sz w:val="36"/>
          <w:szCs w:val="20"/>
          <w:highlight w:val="none"/>
        </w:rPr>
      </w:pPr>
      <w:r>
        <w:rPr>
          <w:rFonts w:hint="eastAsia" w:ascii="宋体" w:hAnsi="宋体" w:eastAsia="宋体" w:cs="宋体"/>
          <w:b/>
          <w:color w:val="000000"/>
          <w:sz w:val="36"/>
          <w:szCs w:val="20"/>
          <w:highlight w:val="none"/>
        </w:rPr>
        <w:br w:type="page"/>
      </w:r>
      <w:r>
        <w:rPr>
          <w:rFonts w:hint="eastAsia" w:ascii="宋体" w:hAnsi="宋体" w:eastAsia="宋体" w:cs="宋体"/>
          <w:b/>
          <w:color w:val="000000"/>
          <w:sz w:val="36"/>
          <w:szCs w:val="20"/>
          <w:highlight w:val="none"/>
        </w:rPr>
        <w:t>第六部分</w:t>
      </w:r>
      <w:bookmarkEnd w:id="380"/>
      <w:r>
        <w:rPr>
          <w:rFonts w:hint="eastAsia" w:ascii="宋体" w:hAnsi="宋体" w:eastAsia="宋体" w:cs="宋体"/>
          <w:b/>
          <w:color w:val="000000"/>
          <w:sz w:val="36"/>
          <w:szCs w:val="20"/>
          <w:highlight w:val="none"/>
        </w:rPr>
        <w:t xml:space="preserve"> </w:t>
      </w:r>
      <w:bookmarkEnd w:id="381"/>
      <w:r>
        <w:rPr>
          <w:rFonts w:hint="eastAsia" w:ascii="宋体" w:hAnsi="宋体" w:eastAsia="宋体" w:cs="宋体"/>
          <w:b/>
          <w:color w:val="000000"/>
          <w:sz w:val="36"/>
          <w:szCs w:val="20"/>
          <w:highlight w:val="none"/>
        </w:rPr>
        <w:t>应提交的有关格式范例</w:t>
      </w:r>
    </w:p>
    <w:p>
      <w:pPr>
        <w:spacing w:line="360" w:lineRule="auto"/>
        <w:jc w:val="center"/>
        <w:outlineLvl w:val="0"/>
        <w:rPr>
          <w:rFonts w:hint="eastAsia" w:ascii="宋体" w:hAnsi="宋体" w:eastAsia="宋体" w:cs="宋体"/>
          <w:b/>
          <w:color w:val="000000"/>
          <w:kern w:val="0"/>
          <w:sz w:val="36"/>
          <w:szCs w:val="36"/>
          <w:highlight w:val="none"/>
        </w:rPr>
      </w:pPr>
    </w:p>
    <w:p>
      <w:pPr>
        <w:spacing w:line="360" w:lineRule="auto"/>
        <w:jc w:val="center"/>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资格文件部分</w:t>
      </w:r>
    </w:p>
    <w:p>
      <w:pPr>
        <w:spacing w:line="360" w:lineRule="auto"/>
        <w:jc w:val="center"/>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目录</w:t>
      </w:r>
    </w:p>
    <w:p>
      <w:pPr>
        <w:spacing w:line="360" w:lineRule="auto"/>
        <w:jc w:val="center"/>
        <w:outlineLvl w:val="0"/>
        <w:rPr>
          <w:rFonts w:hint="eastAsia" w:ascii="宋体" w:hAnsi="宋体" w:eastAsia="宋体" w:cs="宋体"/>
          <w:b/>
          <w:color w:val="000000"/>
          <w:kern w:val="0"/>
          <w:sz w:val="36"/>
          <w:szCs w:val="36"/>
          <w:highlight w:val="none"/>
        </w:rPr>
      </w:pP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（1）符合参加交易活动应当具备的一般条件的承诺函…………………</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（页码）</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（2）本项目的特定资格要求………………………………………………</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（页码）</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）具有履行合同所必需的设备和专业技术能力的承诺函………………………（页码）</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）参加政府采购活动前三年内，在经营活动中没有重大违法记录的声明……（页码）</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）具有良好商业信誉的特别声明…………………………………………………（页码）</w:t>
      </w:r>
    </w:p>
    <w:p>
      <w:pPr>
        <w:snapToGrid w:val="0"/>
        <w:spacing w:line="360" w:lineRule="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lang w:eastAsia="zh-CN"/>
        </w:rPr>
        <w:t>）最近一年度资产负债表或审计报告等财务报表资料文件 (新成立的公司，必须提供情况说明)…………………………………………………………………………</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lang w:eastAsia="zh-CN"/>
        </w:rPr>
        <w:t>（页码）</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（7）授权书（如法定代表人直接参加</w:t>
      </w:r>
      <w:r>
        <w:rPr>
          <w:rFonts w:hint="eastAsia" w:ascii="宋体" w:hAnsi="宋体" w:eastAsia="宋体" w:cs="宋体"/>
          <w:color w:val="000000"/>
          <w:sz w:val="24"/>
          <w:highlight w:val="none"/>
          <w:lang w:val="en-US" w:eastAsia="zh-CN"/>
        </w:rPr>
        <w:t>交易</w:t>
      </w:r>
      <w:r>
        <w:rPr>
          <w:rFonts w:hint="eastAsia" w:ascii="宋体" w:hAnsi="宋体" w:eastAsia="宋体" w:cs="宋体"/>
          <w:color w:val="000000"/>
          <w:sz w:val="24"/>
          <w:highlight w:val="none"/>
        </w:rPr>
        <w:t>并对相应文件签字的，只需提供其身份证复印件正反面；如以联合体形式参加的，按</w:t>
      </w:r>
      <w:r>
        <w:rPr>
          <w:rFonts w:hint="eastAsia" w:ascii="宋体" w:hAnsi="宋体" w:eastAsia="宋体" w:cs="宋体"/>
          <w:color w:val="000000"/>
          <w:sz w:val="24"/>
          <w:highlight w:val="none"/>
          <w:lang w:val="en-US" w:eastAsia="zh-CN"/>
        </w:rPr>
        <w:t>竞争</w:t>
      </w:r>
      <w:r>
        <w:rPr>
          <w:rFonts w:hint="eastAsia" w:ascii="宋体" w:hAnsi="宋体" w:eastAsia="宋体" w:cs="宋体"/>
          <w:color w:val="000000"/>
          <w:sz w:val="24"/>
          <w:highlight w:val="none"/>
        </w:rPr>
        <w:t>文件有关格式范例提供联合体</w:t>
      </w:r>
      <w:r>
        <w:rPr>
          <w:rFonts w:hint="eastAsia" w:ascii="宋体" w:hAnsi="宋体" w:eastAsia="宋体" w:cs="宋体"/>
          <w:color w:val="000000"/>
          <w:sz w:val="24"/>
          <w:highlight w:val="none"/>
          <w:lang w:val="en-US" w:eastAsia="zh-CN"/>
        </w:rPr>
        <w:t>响应</w:t>
      </w:r>
      <w:r>
        <w:rPr>
          <w:rFonts w:hint="eastAsia" w:ascii="宋体" w:hAnsi="宋体" w:eastAsia="宋体" w:cs="宋体"/>
          <w:color w:val="000000"/>
          <w:sz w:val="24"/>
          <w:highlight w:val="none"/>
        </w:rPr>
        <w:t>授权书）……………………………………………………………………………………（页码）</w:t>
      </w:r>
    </w:p>
    <w:p>
      <w:pPr>
        <w:spacing w:line="360" w:lineRule="auto"/>
        <w:ind w:firstLine="480" w:firstLineChars="200"/>
        <w:rPr>
          <w:rFonts w:hint="eastAsia" w:ascii="宋体" w:hAnsi="宋体" w:eastAsia="宋体" w:cs="宋体"/>
          <w:color w:val="000000"/>
          <w:sz w:val="24"/>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r>
        <w:rPr>
          <w:rFonts w:hint="eastAsia" w:ascii="宋体" w:hAnsi="宋体" w:eastAsia="宋体" w:cs="宋体"/>
          <w:color w:val="000000"/>
          <w:kern w:val="0"/>
          <w:sz w:val="24"/>
          <w:highlight w:val="none"/>
        </w:rPr>
        <w:br w:type="page"/>
      </w:r>
      <w:r>
        <w:rPr>
          <w:rFonts w:hint="eastAsia" w:ascii="宋体" w:hAnsi="宋体" w:eastAsia="宋体" w:cs="宋体"/>
          <w:b/>
          <w:color w:val="000000"/>
          <w:kern w:val="0"/>
          <w:sz w:val="32"/>
          <w:szCs w:val="32"/>
          <w:highlight w:val="none"/>
        </w:rPr>
        <w:t xml:space="preserve">  一、 符合参加交易活动应当具备的一般条件的承诺函</w:t>
      </w:r>
    </w:p>
    <w:p>
      <w:pPr>
        <w:snapToGrid w:val="0"/>
        <w:spacing w:line="360" w:lineRule="auto"/>
        <w:rPr>
          <w:rFonts w:hint="eastAsia" w:ascii="宋体" w:hAnsi="宋体" w:eastAsia="宋体" w:cs="宋体"/>
          <w:color w:val="000000"/>
          <w:sz w:val="24"/>
          <w:highlight w:val="none"/>
        </w:rPr>
      </w:pPr>
    </w:p>
    <w:p>
      <w:pPr>
        <w:snapToGrid w:val="0"/>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（交易发起人）、（代理机构）：</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我方参与</w:t>
      </w:r>
      <w:r>
        <w:rPr>
          <w:rFonts w:hint="eastAsia" w:ascii="宋体" w:hAnsi="宋体" w:eastAsia="宋体" w:cs="宋体"/>
          <w:color w:val="000000"/>
          <w:sz w:val="24"/>
          <w:highlight w:val="none"/>
          <w:u w:val="single"/>
        </w:rPr>
        <w:t>（项目名称）【交易编号：    】</w:t>
      </w:r>
      <w:r>
        <w:rPr>
          <w:rFonts w:hint="eastAsia" w:ascii="宋体" w:hAnsi="宋体" w:eastAsia="宋体" w:cs="宋体"/>
          <w:color w:val="000000"/>
          <w:sz w:val="24"/>
          <w:highlight w:val="none"/>
        </w:rPr>
        <w:t>交易活动，郑重承诺：</w:t>
      </w:r>
    </w:p>
    <w:p>
      <w:pPr>
        <w:snapToGrid w:val="0"/>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（一）具备以下条件：</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5、参加交易活动前三年内，在经营活动中没有重大违法记录；</w:t>
      </w:r>
    </w:p>
    <w:p>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000000"/>
          <w:kern w:val="0"/>
          <w:sz w:val="24"/>
          <w:highlight w:val="none"/>
          <w:lang w:val="zh-CN"/>
        </w:rPr>
      </w:pPr>
    </w:p>
    <w:p>
      <w:pPr>
        <w:snapToGrid w:val="0"/>
        <w:spacing w:line="360" w:lineRule="auto"/>
        <w:ind w:firstLine="5520" w:firstLineChars="2300"/>
        <w:rPr>
          <w:rFonts w:hint="eastAsia" w:ascii="宋体" w:hAnsi="宋体" w:eastAsia="宋体" w:cs="宋体"/>
          <w:color w:val="000000"/>
          <w:kern w:val="0"/>
          <w:sz w:val="24"/>
          <w:highlight w:val="none"/>
          <w:lang w:val="zh-CN"/>
        </w:rPr>
      </w:pPr>
    </w:p>
    <w:p>
      <w:pPr>
        <w:snapToGrid w:val="0"/>
        <w:spacing w:line="360" w:lineRule="auto"/>
        <w:ind w:firstLine="5520" w:firstLineChars="2300"/>
        <w:rPr>
          <w:rFonts w:hint="eastAsia" w:ascii="宋体" w:hAnsi="宋体" w:eastAsia="宋体" w:cs="宋体"/>
          <w:color w:val="000000"/>
          <w:kern w:val="0"/>
          <w:sz w:val="24"/>
          <w:highlight w:val="none"/>
          <w:lang w:val="zh-CN"/>
        </w:rPr>
      </w:pPr>
    </w:p>
    <w:p>
      <w:pPr>
        <w:snapToGrid w:val="0"/>
        <w:spacing w:line="360" w:lineRule="auto"/>
        <w:ind w:firstLine="5520" w:firstLineChars="23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响应人名称(电子签名)：</w:t>
      </w:r>
    </w:p>
    <w:p>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 xml:space="preserve">：  年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w:t>
      </w: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rPr>
          <w:rFonts w:hint="eastAsia" w:ascii="宋体" w:hAnsi="宋体" w:eastAsia="宋体" w:cs="宋体"/>
          <w:color w:val="000000"/>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br w:type="page"/>
      </w:r>
    </w:p>
    <w:p>
      <w:pPr>
        <w:widowControl/>
        <w:spacing w:line="360" w:lineRule="auto"/>
        <w:ind w:left="150"/>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二、本项目的特定资格要求</w:t>
      </w:r>
    </w:p>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（根据交易公告本项目的特定资格要求提供相应的材料；未要求的，无需提供）</w:t>
      </w:r>
    </w:p>
    <w:p>
      <w:pPr>
        <w:spacing w:line="360" w:lineRule="auto"/>
        <w:jc w:val="center"/>
        <w:rPr>
          <w:rFonts w:hint="eastAsia" w:ascii="宋体" w:hAnsi="宋体" w:eastAsia="宋体" w:cs="宋体"/>
          <w:color w:val="000000"/>
          <w:kern w:val="0"/>
          <w:sz w:val="24"/>
          <w:highlight w:val="none"/>
          <w:lang w:val="zh-CN"/>
        </w:rPr>
      </w:pPr>
    </w:p>
    <w:p>
      <w:pPr>
        <w:widowControl/>
        <w:spacing w:line="360" w:lineRule="auto"/>
        <w:ind w:left="150"/>
        <w:jc w:val="center"/>
        <w:rPr>
          <w:rFonts w:hint="eastAsia" w:ascii="宋体" w:hAnsi="宋体" w:eastAsia="宋体" w:cs="宋体"/>
          <w:b/>
          <w:color w:val="000000"/>
          <w:kern w:val="0"/>
          <w:sz w:val="32"/>
          <w:szCs w:val="32"/>
          <w:highlight w:val="none"/>
        </w:rPr>
      </w:pPr>
    </w:p>
    <w:p>
      <w:pPr>
        <w:rPr>
          <w:rFonts w:hint="eastAsia" w:ascii="宋体" w:hAnsi="宋体" w:eastAsia="宋体" w:cs="宋体"/>
          <w:color w:val="000000"/>
          <w:highlight w:val="none"/>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三、具有履行合同所必需的设备和专业技术能力的承诺函</w:t>
      </w:r>
    </w:p>
    <w:p>
      <w:pPr>
        <w:snapToGrid w:val="0"/>
        <w:spacing w:line="360" w:lineRule="auto"/>
        <w:rPr>
          <w:rFonts w:hint="eastAsia" w:ascii="宋体" w:hAnsi="宋体" w:eastAsia="宋体" w:cs="宋体"/>
          <w:sz w:val="24"/>
        </w:rPr>
      </w:pPr>
      <w:r>
        <w:rPr>
          <w:rFonts w:hint="eastAsia" w:ascii="宋体" w:hAnsi="宋体" w:eastAsia="宋体" w:cs="宋体"/>
          <w:sz w:val="24"/>
        </w:rPr>
        <w:t>XXX（采购单位名称或采购机构）：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我方郑重承诺，我方具有*******项目【</w:t>
      </w:r>
      <w:r>
        <w:rPr>
          <w:rFonts w:hint="eastAsia" w:ascii="宋体" w:hAnsi="宋体" w:eastAsia="宋体" w:cs="宋体"/>
          <w:sz w:val="24"/>
          <w:lang w:val="en-US" w:eastAsia="zh-CN"/>
        </w:rPr>
        <w:t>交易</w:t>
      </w:r>
      <w:r>
        <w:rPr>
          <w:rFonts w:hint="eastAsia" w:ascii="宋体" w:hAnsi="宋体" w:eastAsia="宋体" w:cs="宋体"/>
          <w:sz w:val="24"/>
        </w:rPr>
        <w:t>编号：*****】合同所必需的设备和专业技术能力。如</w:t>
      </w:r>
      <w:r>
        <w:rPr>
          <w:rFonts w:hint="eastAsia" w:ascii="宋体" w:hAnsi="宋体" w:eastAsia="宋体" w:cs="宋体"/>
          <w:sz w:val="24"/>
          <w:lang w:val="en-US" w:eastAsia="zh-CN"/>
        </w:rPr>
        <w:t>成交</w:t>
      </w:r>
      <w:r>
        <w:rPr>
          <w:rFonts w:hint="eastAsia" w:ascii="宋体" w:hAnsi="宋体" w:eastAsia="宋体" w:cs="宋体"/>
          <w:sz w:val="24"/>
        </w:rPr>
        <w:t>，我方将保证合同顺利履行。</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040" w:firstLineChars="2100"/>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color w:val="000000"/>
          <w:kern w:val="0"/>
          <w:sz w:val="24"/>
          <w:highlight w:val="none"/>
          <w:lang w:val="zh-CN"/>
        </w:rPr>
        <w:t>响应人名称(电子签名)：</w:t>
      </w:r>
    </w:p>
    <w:p>
      <w:pPr>
        <w:snapToGrid w:val="0"/>
        <w:spacing w:line="360" w:lineRule="auto"/>
        <w:ind w:firstLine="5160" w:firstLineChars="215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firstLine="5160" w:firstLineChars="2150"/>
        <w:rPr>
          <w:rFonts w:hint="eastAsia" w:ascii="宋体" w:hAnsi="宋体" w:eastAsia="宋体" w:cs="宋体"/>
          <w:kern w:val="0"/>
          <w:sz w:val="24"/>
          <w:lang w:val="zh-CN"/>
        </w:rPr>
      </w:pPr>
    </w:p>
    <w:p>
      <w:pPr>
        <w:spacing w:line="360" w:lineRule="auto"/>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rPr>
        <w:br w:type="page"/>
      </w:r>
      <w:r>
        <w:rPr>
          <w:rFonts w:hint="eastAsia" w:ascii="宋体" w:hAnsi="宋体" w:eastAsia="宋体" w:cs="宋体"/>
          <w:b/>
          <w:kern w:val="0"/>
          <w:sz w:val="32"/>
          <w:szCs w:val="32"/>
        </w:rPr>
        <w:t>四、参加政府采购活动前三年内，在经营活动中没有重大违法记录的声明</w:t>
      </w:r>
    </w:p>
    <w:p>
      <w:pPr>
        <w:snapToGrid w:val="0"/>
        <w:spacing w:line="360" w:lineRule="auto"/>
        <w:rPr>
          <w:rFonts w:hint="eastAsia" w:ascii="宋体" w:hAnsi="宋体" w:eastAsia="宋体" w:cs="宋体"/>
          <w:kern w:val="0"/>
          <w:sz w:val="24"/>
        </w:rPr>
      </w:pPr>
      <w:r>
        <w:rPr>
          <w:rFonts w:hint="eastAsia" w:ascii="宋体" w:hAnsi="宋体" w:eastAsia="宋体" w:cs="宋体"/>
          <w:sz w:val="24"/>
        </w:rPr>
        <w:t>XXX（采购单位名称或采购机构）</w:t>
      </w:r>
      <w:r>
        <w:rPr>
          <w:rFonts w:hint="eastAsia" w:ascii="宋体" w:hAnsi="宋体" w:eastAsia="宋体" w:cs="宋体"/>
          <w:kern w:val="0"/>
          <w:sz w:val="24"/>
          <w:lang w:val="zh-CN"/>
        </w:rPr>
        <w:t>：</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我方</w:t>
      </w:r>
      <w:r>
        <w:rPr>
          <w:rFonts w:hint="eastAsia" w:ascii="宋体" w:hAnsi="宋体" w:eastAsia="宋体" w:cs="宋体"/>
          <w:sz w:val="24"/>
        </w:rPr>
        <w:t>声明</w:t>
      </w:r>
      <w:r>
        <w:rPr>
          <w:rFonts w:hint="eastAsia" w:ascii="宋体" w:hAnsi="宋体" w:eastAsia="宋体" w:cs="宋体"/>
          <w:sz w:val="24"/>
          <w:lang w:val="en-US" w:eastAsia="zh-CN"/>
        </w:rPr>
        <w:t>响应</w:t>
      </w:r>
      <w:r>
        <w:rPr>
          <w:rFonts w:hint="eastAsia" w:ascii="宋体" w:hAnsi="宋体" w:eastAsia="宋体" w:cs="宋体"/>
          <w:sz w:val="24"/>
        </w:rPr>
        <w:t>截止时间前三年，在</w:t>
      </w:r>
      <w:r>
        <w:rPr>
          <w:rFonts w:hint="eastAsia" w:ascii="宋体" w:hAnsi="宋体" w:eastAsia="宋体" w:cs="宋体"/>
          <w:kern w:val="0"/>
          <w:sz w:val="24"/>
        </w:rPr>
        <w:t xml:space="preserve">经营活动中没有重大违法记录。 </w:t>
      </w:r>
    </w:p>
    <w:p>
      <w:pPr>
        <w:snapToGrid w:val="0"/>
        <w:spacing w:line="360" w:lineRule="auto"/>
        <w:ind w:firstLine="1200" w:firstLineChars="500"/>
        <w:rPr>
          <w:rFonts w:hint="eastAsia" w:ascii="宋体" w:hAnsi="宋体" w:eastAsia="宋体" w:cs="宋体"/>
          <w:sz w:val="24"/>
          <w:szCs w:val="20"/>
        </w:rPr>
      </w:pPr>
    </w:p>
    <w:p>
      <w:pPr>
        <w:snapToGrid w:val="0"/>
        <w:spacing w:line="360" w:lineRule="auto"/>
        <w:ind w:firstLine="5040" w:firstLineChars="2100"/>
        <w:rPr>
          <w:rFonts w:hint="eastAsia" w:ascii="宋体" w:hAnsi="宋体" w:eastAsia="宋体" w:cs="宋体"/>
          <w:kern w:val="0"/>
          <w:sz w:val="24"/>
        </w:rPr>
      </w:pPr>
      <w:r>
        <w:rPr>
          <w:rFonts w:hint="eastAsia" w:ascii="宋体" w:hAnsi="宋体" w:eastAsia="宋体" w:cs="宋体"/>
          <w:color w:val="000000"/>
          <w:kern w:val="0"/>
          <w:sz w:val="24"/>
          <w:highlight w:val="none"/>
          <w:lang w:val="zh-CN"/>
        </w:rPr>
        <w:t>响应人名称(电子签名)：</w:t>
      </w:r>
    </w:p>
    <w:p>
      <w:pPr>
        <w:snapToGrid w:val="0"/>
        <w:spacing w:line="360" w:lineRule="auto"/>
        <w:ind w:firstLine="5160" w:firstLineChars="2150"/>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pacing w:line="360" w:lineRule="auto"/>
        <w:jc w:val="center"/>
        <w:rPr>
          <w:rFonts w:hint="eastAsia" w:ascii="宋体" w:hAnsi="宋体" w:eastAsia="宋体" w:cs="宋体"/>
          <w:b/>
          <w:sz w:val="32"/>
          <w:szCs w:val="32"/>
        </w:rPr>
      </w:pPr>
    </w:p>
    <w:p>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五、具有良好商业信誉的特别声明</w:t>
      </w:r>
    </w:p>
    <w:p>
      <w:pPr>
        <w:snapToGrid w:val="0"/>
        <w:spacing w:line="360" w:lineRule="auto"/>
        <w:rPr>
          <w:rFonts w:hint="eastAsia" w:ascii="宋体" w:hAnsi="宋体" w:eastAsia="宋体" w:cs="宋体"/>
          <w:kern w:val="0"/>
          <w:sz w:val="24"/>
        </w:rPr>
      </w:pPr>
      <w:r>
        <w:rPr>
          <w:rFonts w:hint="eastAsia" w:ascii="宋体" w:hAnsi="宋体" w:eastAsia="宋体" w:cs="宋体"/>
          <w:sz w:val="24"/>
        </w:rPr>
        <w:t>XXX（采购单位名称或采购机构）</w:t>
      </w:r>
      <w:r>
        <w:rPr>
          <w:rFonts w:hint="eastAsia" w:ascii="宋体" w:hAnsi="宋体" w:eastAsia="宋体" w:cs="宋体"/>
          <w:kern w:val="0"/>
          <w:sz w:val="24"/>
          <w:lang w:val="zh-CN"/>
        </w:rPr>
        <w:t>：</w:t>
      </w:r>
    </w:p>
    <w:p>
      <w:pPr>
        <w:snapToGrid w:val="0"/>
        <w:spacing w:line="360" w:lineRule="auto"/>
        <w:ind w:firstLine="480"/>
        <w:rPr>
          <w:rFonts w:hint="eastAsia" w:ascii="宋体" w:hAnsi="宋体" w:eastAsia="宋体" w:cs="宋体"/>
          <w:kern w:val="0"/>
          <w:sz w:val="24"/>
          <w:lang w:val="zh-CN"/>
        </w:rPr>
      </w:pPr>
      <w:r>
        <w:rPr>
          <w:rFonts w:hint="eastAsia" w:ascii="宋体" w:hAnsi="宋体" w:eastAsia="宋体" w:cs="宋体"/>
          <w:sz w:val="24"/>
        </w:rPr>
        <w:t>截至</w:t>
      </w:r>
      <w:r>
        <w:rPr>
          <w:rFonts w:hint="eastAsia" w:ascii="宋体" w:hAnsi="宋体" w:eastAsia="宋体" w:cs="宋体"/>
          <w:sz w:val="24"/>
          <w:lang w:val="en-US" w:eastAsia="zh-CN"/>
        </w:rPr>
        <w:t>响应</w:t>
      </w:r>
      <w:r>
        <w:rPr>
          <w:rFonts w:hint="eastAsia" w:ascii="宋体" w:hAnsi="宋体" w:eastAsia="宋体" w:cs="宋体"/>
          <w:sz w:val="24"/>
        </w:rPr>
        <w:t>截止时间，我方具有良好的商业信誉，不存在下列情形（包括但不限于）。否则，我方将承担在资格审查时不被通过的后果。</w:t>
      </w:r>
    </w:p>
    <w:p>
      <w:pPr>
        <w:pStyle w:val="27"/>
        <w:spacing w:before="0"/>
        <w:ind w:firstLine="495" w:firstLineChars="0"/>
        <w:rPr>
          <w:rFonts w:hint="eastAsia" w:ascii="宋体" w:hAnsi="宋体" w:eastAsia="宋体" w:cs="宋体"/>
        </w:rPr>
      </w:pPr>
      <w:r>
        <w:rPr>
          <w:rFonts w:hint="eastAsia" w:ascii="宋体" w:hAnsi="宋体" w:eastAsia="宋体" w:cs="宋体"/>
        </w:rPr>
        <w:t>1</w:t>
      </w:r>
      <w:r>
        <w:rPr>
          <w:rFonts w:hint="eastAsia" w:ascii="宋体" w:hAnsi="宋体" w:eastAsia="宋体" w:cs="宋体"/>
          <w:b/>
          <w:szCs w:val="24"/>
        </w:rPr>
        <w:t>、</w:t>
      </w:r>
      <w:r>
        <w:rPr>
          <w:rFonts w:hint="eastAsia" w:ascii="宋体" w:hAnsi="宋体" w:eastAsia="宋体" w:cs="宋体"/>
        </w:rPr>
        <w:t>经“信用中国”网站(www.creditchina.gov.cn)、中国政府采购网(www.ccgp.gov.cn)渠道查询列入失信被执行人名单、重大税收违法案件当事人名单、政府采购严重违法失信行为记录名单；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2、截至</w:t>
      </w:r>
      <w:r>
        <w:rPr>
          <w:rFonts w:hint="eastAsia" w:ascii="宋体" w:hAnsi="宋体" w:eastAsia="宋体" w:cs="宋体"/>
          <w:sz w:val="24"/>
          <w:lang w:val="en-US" w:eastAsia="zh-CN"/>
        </w:rPr>
        <w:t>响应</w:t>
      </w:r>
      <w:r>
        <w:rPr>
          <w:rFonts w:hint="eastAsia" w:ascii="宋体" w:hAnsi="宋体" w:eastAsia="宋体" w:cs="宋体"/>
          <w:sz w:val="24"/>
        </w:rPr>
        <w:t xml:space="preserve">截止时间，因违反《浙江省政府采购供应商注册及诚信管理暂行办法》而被列入‘黑名单’，在处罚有效期内。 </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color w:val="000000"/>
          <w:kern w:val="0"/>
          <w:sz w:val="24"/>
          <w:highlight w:val="none"/>
          <w:lang w:val="zh-CN"/>
        </w:rPr>
        <w:t>响应人名称(电子签名)：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  年  月   日</w:t>
      </w:r>
    </w:p>
    <w:p>
      <w:pPr>
        <w:pStyle w:val="2"/>
        <w:rPr>
          <w:rFonts w:hint="eastAsia" w:ascii="宋体" w:hAnsi="宋体" w:eastAsia="宋体" w:cs="宋体"/>
          <w:kern w:val="0"/>
          <w:sz w:val="24"/>
          <w:lang w:val="zh-CN"/>
        </w:rPr>
      </w:pPr>
    </w:p>
    <w:p>
      <w:pPr>
        <w:spacing w:line="360" w:lineRule="auto"/>
        <w:jc w:val="center"/>
        <w:rPr>
          <w:rFonts w:hint="eastAsia" w:ascii="宋体" w:hAnsi="宋体" w:eastAsia="宋体" w:cs="宋体"/>
          <w:b/>
          <w:sz w:val="30"/>
          <w:szCs w:val="30"/>
          <w:lang w:val="zh-CN"/>
        </w:rPr>
      </w:pPr>
      <w:r>
        <w:rPr>
          <w:rFonts w:hint="eastAsia" w:ascii="宋体" w:hAnsi="宋体" w:eastAsia="宋体" w:cs="宋体"/>
          <w:b/>
          <w:sz w:val="30"/>
          <w:szCs w:val="30"/>
          <w:lang w:val="en-US" w:eastAsia="zh-CN"/>
        </w:rPr>
        <w:t>六、</w:t>
      </w:r>
      <w:r>
        <w:rPr>
          <w:rFonts w:hint="eastAsia" w:ascii="宋体" w:hAnsi="宋体" w:eastAsia="宋体" w:cs="宋体"/>
          <w:b/>
          <w:sz w:val="30"/>
          <w:szCs w:val="30"/>
          <w:lang w:val="zh-CN" w:eastAsia="zh-CN"/>
        </w:rPr>
        <w:t>最近一年度资产负债表或审计报告等财务报表资料文件 (新成立的公司，必须提供情况说明)</w:t>
      </w:r>
    </w:p>
    <w:p>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br w:type="page"/>
      </w:r>
      <w:r>
        <w:rPr>
          <w:rFonts w:hint="eastAsia" w:ascii="宋体" w:hAnsi="宋体" w:eastAsia="宋体" w:cs="宋体"/>
          <w:b/>
          <w:sz w:val="30"/>
          <w:szCs w:val="30"/>
          <w:lang w:val="en-US" w:eastAsia="zh-CN"/>
        </w:rPr>
        <w:t>七</w:t>
      </w:r>
      <w:r>
        <w:rPr>
          <w:rFonts w:hint="eastAsia" w:ascii="宋体" w:hAnsi="宋体" w:eastAsia="宋体" w:cs="宋体"/>
          <w:b/>
          <w:sz w:val="30"/>
          <w:szCs w:val="30"/>
        </w:rPr>
        <w:t>、授权书（如法定代表人直接参加</w:t>
      </w:r>
      <w:r>
        <w:rPr>
          <w:rFonts w:hint="eastAsia" w:ascii="宋体" w:hAnsi="宋体" w:eastAsia="宋体" w:cs="宋体"/>
          <w:b/>
          <w:sz w:val="30"/>
          <w:szCs w:val="30"/>
          <w:lang w:val="en-US" w:eastAsia="zh-CN"/>
        </w:rPr>
        <w:t>交易</w:t>
      </w:r>
      <w:r>
        <w:rPr>
          <w:rFonts w:hint="eastAsia" w:ascii="宋体" w:hAnsi="宋体" w:eastAsia="宋体" w:cs="宋体"/>
          <w:b/>
          <w:sz w:val="30"/>
          <w:szCs w:val="30"/>
        </w:rPr>
        <w:t>并对相应文件签字的，只需提供其身份证复印件正反面；如以联合体形式参加的，按</w:t>
      </w:r>
      <w:r>
        <w:rPr>
          <w:rFonts w:hint="eastAsia" w:ascii="宋体" w:hAnsi="宋体" w:eastAsia="宋体" w:cs="宋体"/>
          <w:b/>
          <w:sz w:val="30"/>
          <w:szCs w:val="30"/>
          <w:lang w:val="en-US" w:eastAsia="zh-CN"/>
        </w:rPr>
        <w:t>竞争</w:t>
      </w:r>
      <w:r>
        <w:rPr>
          <w:rFonts w:hint="eastAsia" w:ascii="宋体" w:hAnsi="宋体" w:eastAsia="宋体" w:cs="宋体"/>
          <w:b/>
          <w:sz w:val="30"/>
          <w:szCs w:val="30"/>
        </w:rPr>
        <w:t>文件有关格式范例提供联合体</w:t>
      </w:r>
      <w:r>
        <w:rPr>
          <w:rFonts w:hint="eastAsia" w:ascii="宋体" w:hAnsi="宋体" w:eastAsia="宋体" w:cs="宋体"/>
          <w:b/>
          <w:sz w:val="30"/>
          <w:szCs w:val="30"/>
          <w:lang w:val="en-US" w:eastAsia="zh-CN"/>
        </w:rPr>
        <w:t>响应</w:t>
      </w:r>
      <w:r>
        <w:rPr>
          <w:rFonts w:hint="eastAsia" w:ascii="宋体" w:hAnsi="宋体" w:eastAsia="宋体" w:cs="宋体"/>
          <w:b/>
          <w:sz w:val="30"/>
          <w:szCs w:val="30"/>
        </w:rPr>
        <w:t>授权书）</w:t>
      </w:r>
    </w:p>
    <w:p>
      <w:pPr>
        <w:snapToGrid w:val="0"/>
        <w:spacing w:line="360" w:lineRule="auto"/>
        <w:jc w:val="center"/>
        <w:rPr>
          <w:rFonts w:hint="eastAsia" w:ascii="宋体" w:hAnsi="宋体" w:eastAsia="宋体" w:cs="宋体"/>
          <w:b/>
          <w:kern w:val="0"/>
          <w:sz w:val="32"/>
          <w:szCs w:val="32"/>
        </w:rPr>
      </w:pPr>
    </w:p>
    <w:p>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法人授权书</w:t>
      </w:r>
    </w:p>
    <w:p>
      <w:pPr>
        <w:snapToGrid w:val="0"/>
        <w:spacing w:line="360" w:lineRule="auto"/>
        <w:rPr>
          <w:rFonts w:hint="eastAsia" w:ascii="宋体" w:hAnsi="宋体" w:eastAsia="宋体" w:cs="宋体"/>
          <w:kern w:val="0"/>
          <w:sz w:val="24"/>
        </w:rPr>
      </w:pPr>
      <w:r>
        <w:rPr>
          <w:rFonts w:hint="eastAsia" w:ascii="宋体" w:hAnsi="宋体" w:eastAsia="宋体" w:cs="宋体"/>
          <w:sz w:val="24"/>
        </w:rPr>
        <w:t>XXX（采购单位名称或采购机构）</w:t>
      </w:r>
      <w:r>
        <w:rPr>
          <w:rFonts w:hint="eastAsia" w:ascii="宋体" w:hAnsi="宋体" w:eastAsia="宋体" w:cs="宋体"/>
          <w:kern w:val="0"/>
          <w:sz w:val="24"/>
          <w:lang w:val="zh-CN"/>
        </w:rPr>
        <w:t>：</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lang w:val="zh-CN"/>
        </w:rPr>
        <w:t>兹委派我公司</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先生/女士(其在本公司的职务是：</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 ，联系电话：</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传真：</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)，代表我公司全权处理</w:t>
      </w:r>
      <w:r>
        <w:rPr>
          <w:rFonts w:hint="eastAsia" w:ascii="宋体" w:hAnsi="宋体" w:eastAsia="宋体" w:cs="宋体"/>
          <w:sz w:val="24"/>
        </w:rPr>
        <w:t>XXXXXXXX项目</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交易</w:t>
      </w:r>
      <w:r>
        <w:rPr>
          <w:rFonts w:hint="eastAsia" w:ascii="宋体" w:hAnsi="宋体" w:eastAsia="宋体" w:cs="宋体"/>
          <w:kern w:val="0"/>
          <w:sz w:val="24"/>
          <w:lang w:val="zh-CN"/>
        </w:rPr>
        <w:t>编号：XXXXX】</w:t>
      </w:r>
      <w:r>
        <w:rPr>
          <w:rFonts w:hint="eastAsia" w:ascii="宋体" w:hAnsi="宋体" w:eastAsia="宋体" w:cs="宋体"/>
          <w:kern w:val="0"/>
          <w:sz w:val="24"/>
          <w:lang w:val="en-US" w:eastAsia="zh-CN"/>
        </w:rPr>
        <w:t>交易项目</w:t>
      </w:r>
      <w:r>
        <w:rPr>
          <w:rFonts w:hint="eastAsia" w:ascii="宋体" w:hAnsi="宋体" w:eastAsia="宋体" w:cs="宋体"/>
          <w:kern w:val="0"/>
          <w:sz w:val="24"/>
          <w:lang w:val="zh-CN"/>
        </w:rPr>
        <w:t>的一切事项，若</w:t>
      </w:r>
      <w:r>
        <w:rPr>
          <w:rFonts w:hint="eastAsia" w:ascii="宋体" w:hAnsi="宋体" w:eastAsia="宋体" w:cs="宋体"/>
          <w:kern w:val="0"/>
          <w:sz w:val="24"/>
          <w:lang w:val="en-US" w:eastAsia="zh-CN"/>
        </w:rPr>
        <w:t>成交</w:t>
      </w:r>
      <w:r>
        <w:rPr>
          <w:rFonts w:hint="eastAsia" w:ascii="宋体" w:hAnsi="宋体" w:eastAsia="宋体" w:cs="宋体"/>
          <w:kern w:val="0"/>
          <w:sz w:val="24"/>
          <w:lang w:val="zh-CN"/>
        </w:rPr>
        <w:t>则全权代表本公司签订相关合同，并负责处理合同履行等事宜。</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本授权书有效期：自   年 月  日起至  年  月  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特此告知。</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color w:val="000000"/>
          <w:kern w:val="0"/>
          <w:sz w:val="24"/>
          <w:highlight w:val="none"/>
          <w:lang w:val="zh-CN"/>
        </w:rPr>
        <w:t>响应人名称(电子签名)：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  年  月   日</w:t>
      </w:r>
    </w:p>
    <w:p>
      <w:pPr>
        <w:spacing w:line="360" w:lineRule="auto"/>
        <w:rPr>
          <w:rFonts w:hint="eastAsia" w:ascii="宋体" w:hAnsi="宋体" w:eastAsia="宋体" w:cs="宋体"/>
          <w:b/>
          <w:sz w:val="30"/>
          <w:szCs w:val="30"/>
        </w:rPr>
      </w:pPr>
    </w:p>
    <w:p>
      <w:pPr>
        <w:snapToGrid w:val="0"/>
        <w:spacing w:line="360" w:lineRule="auto"/>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联合体</w:t>
      </w:r>
      <w:r>
        <w:rPr>
          <w:rFonts w:hint="eastAsia" w:ascii="宋体" w:hAnsi="宋体" w:eastAsia="宋体" w:cs="宋体"/>
          <w:b/>
          <w:kern w:val="0"/>
          <w:sz w:val="32"/>
          <w:szCs w:val="32"/>
          <w:lang w:val="en-US" w:eastAsia="zh-CN"/>
        </w:rPr>
        <w:t>响应</w:t>
      </w:r>
      <w:r>
        <w:rPr>
          <w:rFonts w:hint="eastAsia" w:ascii="宋体" w:hAnsi="宋体" w:eastAsia="宋体" w:cs="宋体"/>
          <w:b/>
          <w:kern w:val="0"/>
          <w:sz w:val="32"/>
          <w:szCs w:val="32"/>
          <w:lang w:val="zh-CN"/>
        </w:rPr>
        <w:t>授权书（适用联合体投标）</w:t>
      </w:r>
    </w:p>
    <w:p>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lang w:val="zh-CN"/>
        </w:rPr>
        <w:t>兹委派</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公司</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先生/女士(其在该公司的职务是：</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 ，联系电话：</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传真：</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公司</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先生/女士(其在该公司的职务是：</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 xml:space="preserve"> ，联系电话：</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传真：</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)；……，代表本联合体全权处理</w:t>
      </w:r>
      <w:r>
        <w:rPr>
          <w:rFonts w:hint="eastAsia" w:ascii="宋体" w:hAnsi="宋体" w:eastAsia="宋体" w:cs="宋体"/>
          <w:sz w:val="24"/>
        </w:rPr>
        <w:t>*****项目</w:t>
      </w:r>
      <w:r>
        <w:rPr>
          <w:rFonts w:hint="eastAsia" w:ascii="宋体" w:hAnsi="宋体" w:eastAsia="宋体" w:cs="宋体"/>
          <w:kern w:val="0"/>
          <w:sz w:val="24"/>
          <w:lang w:val="zh-CN"/>
        </w:rPr>
        <w:t>【</w:t>
      </w:r>
      <w:r>
        <w:rPr>
          <w:rFonts w:hint="eastAsia" w:ascii="宋体" w:hAnsi="宋体" w:eastAsia="宋体" w:cs="宋体"/>
          <w:kern w:val="0"/>
          <w:sz w:val="24"/>
          <w:lang w:val="en-US" w:eastAsia="zh-CN"/>
        </w:rPr>
        <w:t>交易</w:t>
      </w:r>
      <w:r>
        <w:rPr>
          <w:rFonts w:hint="eastAsia" w:ascii="宋体" w:hAnsi="宋体" w:eastAsia="宋体" w:cs="宋体"/>
          <w:kern w:val="0"/>
          <w:sz w:val="24"/>
          <w:lang w:val="zh-CN"/>
        </w:rPr>
        <w:t>编号： 】</w:t>
      </w:r>
      <w:r>
        <w:rPr>
          <w:rFonts w:hint="eastAsia" w:ascii="宋体" w:hAnsi="宋体" w:eastAsia="宋体" w:cs="宋体"/>
          <w:kern w:val="0"/>
          <w:sz w:val="24"/>
          <w:lang w:val="en-US" w:eastAsia="zh-CN"/>
        </w:rPr>
        <w:t>交易项目</w:t>
      </w:r>
      <w:r>
        <w:rPr>
          <w:rFonts w:hint="eastAsia" w:ascii="宋体" w:hAnsi="宋体" w:eastAsia="宋体" w:cs="宋体"/>
          <w:kern w:val="0"/>
          <w:sz w:val="24"/>
          <w:lang w:val="zh-CN"/>
        </w:rPr>
        <w:t>的一切事项，若</w:t>
      </w:r>
      <w:r>
        <w:rPr>
          <w:rFonts w:hint="eastAsia" w:ascii="宋体" w:hAnsi="宋体" w:eastAsia="宋体" w:cs="宋体"/>
          <w:kern w:val="0"/>
          <w:sz w:val="24"/>
          <w:lang w:val="en-US" w:eastAsia="zh-CN"/>
        </w:rPr>
        <w:t>成交</w:t>
      </w:r>
      <w:r>
        <w:rPr>
          <w:rFonts w:hint="eastAsia" w:ascii="宋体" w:hAnsi="宋体" w:eastAsia="宋体" w:cs="宋体"/>
          <w:kern w:val="0"/>
          <w:sz w:val="24"/>
          <w:lang w:val="zh-CN"/>
        </w:rPr>
        <w:t>则全权代表本联合体签订相关合同，并负责处理合同履行等事宜。</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本授权书有效期：自   年 月  日起至  年  月  日止。</w:t>
      </w:r>
    </w:p>
    <w:p>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特此告知。</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单位：            （</w:t>
      </w:r>
      <w:r>
        <w:rPr>
          <w:rFonts w:hint="eastAsia" w:ascii="宋体" w:hAnsi="宋体" w:eastAsia="宋体" w:cs="宋体"/>
          <w:kern w:val="0"/>
          <w:sz w:val="24"/>
          <w:lang w:val="en-US" w:eastAsia="zh-CN"/>
        </w:rPr>
        <w:t>响应人</w:t>
      </w:r>
      <w:r>
        <w:rPr>
          <w:rFonts w:hint="eastAsia" w:ascii="宋体" w:hAnsi="宋体" w:eastAsia="宋体" w:cs="宋体"/>
          <w:kern w:val="0"/>
          <w:sz w:val="24"/>
          <w:lang w:val="zh-CN"/>
        </w:rPr>
        <w:t>公章）         单位：          （</w:t>
      </w:r>
      <w:r>
        <w:rPr>
          <w:rFonts w:hint="eastAsia" w:ascii="宋体" w:hAnsi="宋体" w:eastAsia="宋体" w:cs="宋体"/>
          <w:kern w:val="0"/>
          <w:sz w:val="24"/>
          <w:lang w:val="en-US" w:eastAsia="zh-CN"/>
        </w:rPr>
        <w:t>响应人</w:t>
      </w:r>
      <w:r>
        <w:rPr>
          <w:rFonts w:hint="eastAsia" w:ascii="宋体" w:hAnsi="宋体" w:eastAsia="宋体" w:cs="宋体"/>
          <w:kern w:val="0"/>
          <w:sz w:val="24"/>
          <w:lang w:val="zh-CN"/>
        </w:rPr>
        <w:t>公章）</w:t>
      </w:r>
    </w:p>
    <w:p>
      <w:pPr>
        <w:snapToGrid w:val="0"/>
        <w:spacing w:line="360" w:lineRule="auto"/>
        <w:ind w:right="480"/>
        <w:jc w:val="center"/>
        <w:rPr>
          <w:rFonts w:hint="eastAsia" w:ascii="宋体" w:hAnsi="宋体" w:eastAsia="宋体" w:cs="宋体"/>
          <w:b/>
          <w:color w:val="000000"/>
          <w:kern w:val="0"/>
          <w:sz w:val="32"/>
          <w:szCs w:val="32"/>
          <w:highlight w:val="none"/>
        </w:rPr>
      </w:pPr>
      <w:r>
        <w:rPr>
          <w:rFonts w:hint="eastAsia" w:ascii="宋体" w:hAnsi="宋体" w:eastAsia="宋体" w:cs="宋体"/>
          <w:kern w:val="0"/>
          <w:sz w:val="24"/>
          <w:lang w:val="zh-CN"/>
        </w:rPr>
        <w:t>日期：    年   月   日             日期：    年   月   日</w:t>
      </w:r>
    </w:p>
    <w:p>
      <w:pPr>
        <w:snapToGrid w:val="0"/>
        <w:spacing w:line="360" w:lineRule="auto"/>
        <w:ind w:right="480"/>
        <w:jc w:val="center"/>
        <w:rPr>
          <w:rFonts w:hint="eastAsia" w:ascii="宋体" w:hAnsi="宋体" w:eastAsia="宋体" w:cs="宋体"/>
          <w:b/>
          <w:color w:val="000000"/>
          <w:kern w:val="0"/>
          <w:sz w:val="32"/>
          <w:szCs w:val="32"/>
          <w:highlight w:val="none"/>
        </w:rPr>
      </w:pPr>
    </w:p>
    <w:p>
      <w:pPr>
        <w:spacing w:line="360" w:lineRule="auto"/>
        <w:ind w:right="420"/>
        <w:jc w:val="center"/>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商务技术文件部分</w:t>
      </w:r>
    </w:p>
    <w:p>
      <w:pPr>
        <w:spacing w:line="360" w:lineRule="auto"/>
        <w:jc w:val="center"/>
        <w:outlineLvl w:val="0"/>
        <w:rPr>
          <w:rFonts w:hint="eastAsia" w:ascii="宋体" w:hAnsi="宋体" w:eastAsia="宋体" w:cs="宋体"/>
          <w:b/>
          <w:color w:val="000000"/>
          <w:kern w:val="0"/>
          <w:sz w:val="24"/>
          <w:highlight w:val="none"/>
        </w:rPr>
      </w:pPr>
    </w:p>
    <w:p>
      <w:pPr>
        <w:spacing w:line="360" w:lineRule="auto"/>
        <w:jc w:val="center"/>
        <w:outlineLvl w:val="0"/>
        <w:rPr>
          <w:rFonts w:hint="eastAsia"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目录</w:t>
      </w:r>
    </w:p>
    <w:p>
      <w:pPr>
        <w:snapToGrid w:val="0"/>
        <w:spacing w:line="360" w:lineRule="auto"/>
        <w:ind w:left="479" w:leftChars="228"/>
        <w:jc w:val="distribute"/>
        <w:rPr>
          <w:rFonts w:hint="eastAsia" w:ascii="宋体" w:hAnsi="宋体" w:eastAsia="宋体" w:cs="宋体"/>
          <w:color w:val="000000"/>
          <w:highlight w:val="none"/>
        </w:rPr>
      </w:pPr>
      <w:r>
        <w:rPr>
          <w:rFonts w:hint="eastAsia" w:ascii="宋体" w:hAnsi="宋体" w:eastAsia="宋体" w:cs="宋体"/>
          <w:color w:val="000000"/>
          <w:sz w:val="24"/>
          <w:highlight w:val="none"/>
        </w:rPr>
        <w:t>（1）交易函</w:t>
      </w:r>
      <w:r>
        <w:rPr>
          <w:rFonts w:hint="eastAsia" w:ascii="宋体" w:hAnsi="宋体" w:eastAsia="宋体" w:cs="宋体"/>
          <w:color w:val="000000"/>
          <w:highlight w:val="none"/>
        </w:rPr>
        <w:t>…………………………………………………………………………………（页码）</w:t>
      </w:r>
      <w:r>
        <w:rPr>
          <w:rFonts w:hint="eastAsia" w:ascii="宋体" w:hAnsi="宋体" w:eastAsia="宋体" w:cs="宋体"/>
          <w:color w:val="000000"/>
          <w:sz w:val="24"/>
          <w:highlight w:val="none"/>
        </w:rPr>
        <w:t>（2）授权委托书或法定代表人（单位负责人、自然人本人）身份证明</w:t>
      </w:r>
      <w:r>
        <w:rPr>
          <w:rFonts w:hint="eastAsia" w:ascii="宋体" w:hAnsi="宋体" w:eastAsia="宋体" w:cs="宋体"/>
          <w:color w:val="000000"/>
          <w:highlight w:val="none"/>
        </w:rPr>
        <w:t>………（页码）</w:t>
      </w:r>
    </w:p>
    <w:p>
      <w:pPr>
        <w:snapToGrid w:val="0"/>
        <w:spacing w:line="360" w:lineRule="auto"/>
        <w:ind w:firstLine="480" w:firstLineChars="200"/>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lang w:eastAsia="zh-CN"/>
        </w:rPr>
        <w:t>营业执照</w:t>
      </w:r>
      <w:r>
        <w:rPr>
          <w:rFonts w:hint="eastAsia" w:ascii="宋体" w:hAnsi="宋体" w:eastAsia="宋体" w:cs="宋体"/>
          <w:color w:val="000000"/>
          <w:highlight w:val="none"/>
        </w:rPr>
        <w:t>………………………………………………………………（页码）</w:t>
      </w:r>
    </w:p>
    <w:p>
      <w:pPr>
        <w:snapToGrid w:val="0"/>
        <w:spacing w:line="360" w:lineRule="auto"/>
        <w:ind w:firstLine="480" w:firstLineChars="200"/>
        <w:jc w:val="distribute"/>
        <w:rPr>
          <w:rFonts w:hint="eastAsia" w:ascii="宋体" w:hAnsi="宋体" w:eastAsia="宋体" w:cs="宋体"/>
          <w:color w:val="000000"/>
          <w:highlight w:val="none"/>
        </w:rPr>
      </w:pPr>
      <w:r>
        <w:rPr>
          <w:rFonts w:hint="eastAsia" w:ascii="宋体" w:hAnsi="宋体" w:eastAsia="宋体" w:cs="宋体"/>
          <w:color w:val="000000"/>
          <w:sz w:val="24"/>
          <w:highlight w:val="none"/>
        </w:rPr>
        <w:t>（4）符合性审查资料</w:t>
      </w:r>
      <w:r>
        <w:rPr>
          <w:rFonts w:hint="eastAsia" w:ascii="宋体" w:hAnsi="宋体" w:eastAsia="宋体" w:cs="宋体"/>
          <w:color w:val="000000"/>
          <w:highlight w:val="none"/>
        </w:rPr>
        <w:t>………………………………………………………………………（页码）</w:t>
      </w:r>
    </w:p>
    <w:p>
      <w:pPr>
        <w:snapToGrid w:val="0"/>
        <w:spacing w:line="360" w:lineRule="auto"/>
        <w:ind w:firstLine="480" w:firstLineChars="200"/>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（5）评审标准相应的商务技术资料</w:t>
      </w:r>
      <w:r>
        <w:rPr>
          <w:rFonts w:hint="eastAsia" w:ascii="宋体" w:hAnsi="宋体" w:eastAsia="宋体" w:cs="宋体"/>
          <w:color w:val="000000"/>
          <w:highlight w:val="none"/>
        </w:rPr>
        <w:t>……………………………………………………（页码）</w:t>
      </w:r>
    </w:p>
    <w:p>
      <w:pPr>
        <w:snapToGrid w:val="0"/>
        <w:spacing w:line="360" w:lineRule="auto"/>
        <w:ind w:firstLine="480" w:firstLineChars="200"/>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（6）商务技术偏离表</w:t>
      </w:r>
      <w:r>
        <w:rPr>
          <w:rFonts w:hint="eastAsia" w:ascii="宋体" w:hAnsi="宋体" w:eastAsia="宋体" w:cs="宋体"/>
          <w:color w:val="000000"/>
          <w:highlight w:val="none"/>
        </w:rPr>
        <w:t>………………………………………………………………………（页码）</w:t>
      </w:r>
    </w:p>
    <w:p>
      <w:pPr>
        <w:snapToGrid w:val="0"/>
        <w:spacing w:line="360" w:lineRule="auto"/>
        <w:ind w:left="479" w:leftChars="228"/>
        <w:jc w:val="distribute"/>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4"/>
          <w:highlight w:val="none"/>
        </w:rPr>
        <w:t>（7）</w:t>
      </w:r>
      <w:r>
        <w:rPr>
          <w:rFonts w:hint="eastAsia" w:ascii="宋体" w:hAnsi="宋体" w:eastAsia="宋体" w:cs="宋体"/>
          <w:color w:val="000000"/>
          <w:sz w:val="24"/>
          <w:highlight w:val="none"/>
          <w:lang w:val="zh-CN"/>
        </w:rPr>
        <w:t>响应人廉洁自律承诺书</w:t>
      </w:r>
      <w:r>
        <w:rPr>
          <w:rFonts w:hint="eastAsia" w:ascii="宋体" w:hAnsi="宋体" w:eastAsia="宋体" w:cs="宋体"/>
          <w:color w:val="000000"/>
          <w:highlight w:val="none"/>
        </w:rPr>
        <w:t>……………………………………………………………（页码）</w:t>
      </w:r>
    </w:p>
    <w:p>
      <w:pPr>
        <w:snapToGrid w:val="0"/>
        <w:spacing w:line="360" w:lineRule="auto"/>
        <w:jc w:val="center"/>
        <w:rPr>
          <w:rFonts w:hint="eastAsia" w:ascii="宋体" w:hAnsi="宋体" w:eastAsia="宋体" w:cs="宋体"/>
          <w:b/>
          <w:color w:val="000000"/>
          <w:kern w:val="0"/>
          <w:sz w:val="32"/>
          <w:szCs w:val="32"/>
          <w:highlight w:val="none"/>
          <w:lang w:val="zh-CN"/>
        </w:rPr>
      </w:pPr>
    </w:p>
    <w:p>
      <w:pPr>
        <w:snapToGrid w:val="0"/>
        <w:spacing w:line="360" w:lineRule="auto"/>
        <w:jc w:val="center"/>
        <w:rPr>
          <w:rFonts w:hint="eastAsia" w:ascii="宋体" w:hAnsi="宋体" w:eastAsia="宋体" w:cs="宋体"/>
          <w:b/>
          <w:color w:val="000000"/>
          <w:kern w:val="0"/>
          <w:sz w:val="32"/>
          <w:szCs w:val="32"/>
          <w:highlight w:val="none"/>
          <w:lang w:val="zh-CN"/>
        </w:rPr>
      </w:pPr>
    </w:p>
    <w:p>
      <w:pPr>
        <w:snapToGrid w:val="0"/>
        <w:spacing w:line="360" w:lineRule="auto"/>
        <w:jc w:val="center"/>
        <w:rPr>
          <w:rFonts w:hint="eastAsia" w:ascii="宋体" w:hAnsi="宋体" w:eastAsia="宋体" w:cs="宋体"/>
          <w:b/>
          <w:color w:val="000000"/>
          <w:kern w:val="0"/>
          <w:sz w:val="32"/>
          <w:szCs w:val="32"/>
          <w:highlight w:val="none"/>
          <w:lang w:val="zh-CN"/>
        </w:rPr>
      </w:pPr>
    </w:p>
    <w:p>
      <w:pPr>
        <w:snapToGrid w:val="0"/>
        <w:spacing w:line="360" w:lineRule="auto"/>
        <w:jc w:val="center"/>
        <w:rPr>
          <w:rFonts w:hint="eastAsia" w:ascii="宋体" w:hAnsi="宋体" w:eastAsia="宋体" w:cs="宋体"/>
          <w:b/>
          <w:color w:val="000000"/>
          <w:kern w:val="0"/>
          <w:sz w:val="32"/>
          <w:szCs w:val="32"/>
          <w:highlight w:val="none"/>
          <w:lang w:val="zh-CN"/>
        </w:rPr>
      </w:pPr>
    </w:p>
    <w:p>
      <w:pPr>
        <w:snapToGrid w:val="0"/>
        <w:spacing w:line="360" w:lineRule="auto"/>
        <w:jc w:val="center"/>
        <w:rPr>
          <w:rFonts w:hint="eastAsia" w:ascii="宋体" w:hAnsi="宋体" w:eastAsia="宋体" w:cs="宋体"/>
          <w:b/>
          <w:color w:val="000000"/>
          <w:kern w:val="0"/>
          <w:sz w:val="32"/>
          <w:szCs w:val="32"/>
          <w:highlight w:val="none"/>
          <w:lang w:val="zh-CN"/>
        </w:rPr>
      </w:pPr>
    </w:p>
    <w:p>
      <w:pPr>
        <w:snapToGrid w:val="0"/>
        <w:spacing w:line="360" w:lineRule="auto"/>
        <w:jc w:val="center"/>
        <w:outlineLvl w:val="0"/>
        <w:rPr>
          <w:rFonts w:hint="eastAsia" w:ascii="宋体" w:hAnsi="宋体" w:eastAsia="宋体" w:cs="宋体"/>
          <w:b/>
          <w:color w:val="000000"/>
          <w:kern w:val="0"/>
          <w:sz w:val="32"/>
          <w:szCs w:val="32"/>
          <w:highlight w:val="none"/>
        </w:rPr>
      </w:pPr>
    </w:p>
    <w:p>
      <w:pPr>
        <w:snapToGrid w:val="0"/>
        <w:spacing w:line="360" w:lineRule="auto"/>
        <w:jc w:val="center"/>
        <w:outlineLvl w:val="0"/>
        <w:rPr>
          <w:rFonts w:hint="eastAsia" w:ascii="宋体" w:hAnsi="宋体" w:eastAsia="宋体" w:cs="宋体"/>
          <w:b/>
          <w:color w:val="000000"/>
          <w:kern w:val="0"/>
          <w:sz w:val="32"/>
          <w:szCs w:val="32"/>
          <w:highlight w:val="none"/>
        </w:rPr>
      </w:pPr>
    </w:p>
    <w:p>
      <w:pPr>
        <w:rPr>
          <w:rFonts w:hint="eastAsia" w:ascii="宋体" w:hAnsi="宋体" w:eastAsia="宋体" w:cs="宋体"/>
          <w:color w:val="000000"/>
          <w:highlight w:val="none"/>
        </w:rPr>
      </w:pPr>
    </w:p>
    <w:p>
      <w:pPr>
        <w:snapToGrid w:val="0"/>
        <w:spacing w:line="360" w:lineRule="auto"/>
        <w:jc w:val="center"/>
        <w:outlineLvl w:val="0"/>
        <w:rPr>
          <w:rFonts w:hint="eastAsia" w:ascii="宋体" w:hAnsi="宋体" w:eastAsia="宋体" w:cs="宋体"/>
          <w:b/>
          <w:color w:val="000000"/>
          <w:kern w:val="0"/>
          <w:sz w:val="32"/>
          <w:szCs w:val="32"/>
          <w:highlight w:val="none"/>
        </w:rPr>
      </w:pPr>
    </w:p>
    <w:p>
      <w:pPr>
        <w:snapToGrid w:val="0"/>
        <w:spacing w:line="360" w:lineRule="auto"/>
        <w:jc w:val="center"/>
        <w:outlineLvl w:val="0"/>
        <w:rPr>
          <w:rFonts w:hint="eastAsia" w:ascii="宋体" w:hAnsi="宋体" w:eastAsia="宋体" w:cs="宋体"/>
          <w:b/>
          <w:color w:val="000000"/>
          <w:kern w:val="0"/>
          <w:sz w:val="32"/>
          <w:szCs w:val="32"/>
          <w:highlight w:val="none"/>
        </w:rPr>
      </w:pPr>
    </w:p>
    <w:p>
      <w:pPr>
        <w:snapToGrid w:val="0"/>
        <w:spacing w:line="360" w:lineRule="auto"/>
        <w:jc w:val="center"/>
        <w:outlineLvl w:val="0"/>
        <w:rPr>
          <w:rFonts w:hint="eastAsia" w:ascii="宋体" w:hAnsi="宋体" w:eastAsia="宋体" w:cs="宋体"/>
          <w:b/>
          <w:color w:val="000000"/>
          <w:kern w:val="0"/>
          <w:sz w:val="32"/>
          <w:szCs w:val="32"/>
          <w:highlight w:val="none"/>
        </w:rPr>
      </w:pPr>
    </w:p>
    <w:p>
      <w:pPr>
        <w:snapToGrid w:val="0"/>
        <w:spacing w:line="360" w:lineRule="auto"/>
        <w:jc w:val="center"/>
        <w:outlineLvl w:val="0"/>
        <w:rPr>
          <w:rFonts w:hint="eastAsia" w:ascii="宋体" w:hAnsi="宋体" w:eastAsia="宋体" w:cs="宋体"/>
          <w:b/>
          <w:color w:val="000000"/>
          <w:kern w:val="0"/>
          <w:sz w:val="32"/>
          <w:szCs w:val="32"/>
          <w:highlight w:val="none"/>
        </w:rPr>
      </w:pPr>
    </w:p>
    <w:p>
      <w:pPr>
        <w:snapToGrid w:val="0"/>
        <w:spacing w:line="360" w:lineRule="auto"/>
        <w:jc w:val="center"/>
        <w:outlineLvl w:val="0"/>
        <w:rPr>
          <w:rFonts w:hint="eastAsia" w:ascii="宋体" w:hAnsi="宋体" w:eastAsia="宋体" w:cs="宋体"/>
          <w:b/>
          <w:color w:val="000000"/>
          <w:kern w:val="0"/>
          <w:sz w:val="32"/>
          <w:szCs w:val="32"/>
          <w:highlight w:val="none"/>
        </w:rPr>
      </w:pPr>
    </w:p>
    <w:p>
      <w:pPr>
        <w:snapToGrid w:val="0"/>
        <w:spacing w:line="360" w:lineRule="auto"/>
        <w:jc w:val="center"/>
        <w:outlineLvl w:val="0"/>
        <w:rPr>
          <w:rFonts w:hint="eastAsia" w:ascii="宋体" w:hAnsi="宋体" w:eastAsia="宋体" w:cs="宋体"/>
          <w:b/>
          <w:color w:val="000000"/>
          <w:kern w:val="0"/>
          <w:sz w:val="32"/>
          <w:szCs w:val="32"/>
          <w:highlight w:val="none"/>
        </w:rPr>
      </w:pPr>
    </w:p>
    <w:p>
      <w:pP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br w:type="page"/>
      </w:r>
    </w:p>
    <w:p>
      <w:pPr>
        <w:snapToGrid w:val="0"/>
        <w:spacing w:line="360" w:lineRule="auto"/>
        <w:jc w:val="center"/>
        <w:outlineLvl w:val="0"/>
        <w:rPr>
          <w:rFonts w:hint="eastAsia" w:ascii="宋体" w:hAnsi="宋体" w:eastAsia="宋体" w:cs="宋体"/>
          <w:b/>
          <w:color w:val="000000"/>
          <w:sz w:val="32"/>
          <w:szCs w:val="32"/>
          <w:highlight w:val="none"/>
        </w:rPr>
      </w:pPr>
      <w:r>
        <w:rPr>
          <w:rFonts w:hint="eastAsia" w:ascii="宋体" w:hAnsi="宋体" w:eastAsia="宋体" w:cs="宋体"/>
          <w:b/>
          <w:color w:val="000000"/>
          <w:kern w:val="0"/>
          <w:sz w:val="32"/>
          <w:szCs w:val="32"/>
          <w:highlight w:val="none"/>
        </w:rPr>
        <w:t>一、交易函</w:t>
      </w:r>
    </w:p>
    <w:p>
      <w:pPr>
        <w:snapToGrid w:val="0"/>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（交易发起人）、（代理机构）：</w:t>
      </w:r>
    </w:p>
    <w:p>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我方参加你方组织的</w:t>
      </w:r>
      <w:r>
        <w:rPr>
          <w:rFonts w:hint="eastAsia" w:ascii="宋体" w:hAnsi="宋体" w:eastAsia="宋体" w:cs="宋体"/>
          <w:color w:val="000000"/>
          <w:sz w:val="24"/>
          <w:highlight w:val="none"/>
          <w:u w:val="single"/>
        </w:rPr>
        <w:t>（项目名称）【交易编号：        】</w:t>
      </w:r>
      <w:r>
        <w:rPr>
          <w:rFonts w:hint="eastAsia" w:ascii="宋体" w:hAnsi="宋体" w:eastAsia="宋体" w:cs="宋体"/>
          <w:color w:val="000000"/>
          <w:sz w:val="24"/>
          <w:highlight w:val="none"/>
          <w:lang w:val="en-US" w:eastAsia="zh-CN"/>
        </w:rPr>
        <w:t>交易</w:t>
      </w:r>
      <w:r>
        <w:rPr>
          <w:rFonts w:hint="eastAsia" w:ascii="宋体" w:hAnsi="宋体" w:eastAsia="宋体" w:cs="宋体"/>
          <w:color w:val="000000"/>
          <w:sz w:val="24"/>
          <w:highlight w:val="none"/>
        </w:rPr>
        <w:t>的有关活动，并对此项目进行响应。为此：</w:t>
      </w:r>
    </w:p>
    <w:p>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1、我方承诺交易有效期从提交响应文件的截止之日起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天（不少于90天）</w:t>
      </w:r>
      <w:r>
        <w:rPr>
          <w:rFonts w:hint="eastAsia" w:ascii="宋体" w:hAnsi="宋体" w:eastAsia="宋体" w:cs="宋体"/>
          <w:color w:val="000000"/>
          <w:highlight w:val="none"/>
        </w:rPr>
        <w:t>，</w:t>
      </w:r>
      <w:r>
        <w:rPr>
          <w:rFonts w:hint="eastAsia" w:ascii="宋体" w:hAnsi="宋体" w:eastAsia="宋体" w:cs="宋体"/>
          <w:color w:val="000000"/>
          <w:sz w:val="24"/>
          <w:highlight w:val="none"/>
        </w:rPr>
        <w:t>本响应文件在交易有效期满之前均具有约束力。</w:t>
      </w:r>
    </w:p>
    <w:p>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2、我方的响应文件包括以下内容：</w:t>
      </w:r>
    </w:p>
    <w:p>
      <w:pPr>
        <w:snapToGrid w:val="0"/>
        <w:spacing w:line="440" w:lineRule="exact"/>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2.1资格文件：</w:t>
      </w:r>
    </w:p>
    <w:p>
      <w:pPr>
        <w:snapToGrid w:val="0"/>
        <w:spacing w:line="440" w:lineRule="exact"/>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.1.1符合参加交易活动应当具备的一般条件的承诺函；</w:t>
      </w:r>
    </w:p>
    <w:p>
      <w:pPr>
        <w:snapToGrid w:val="0"/>
        <w:spacing w:line="440" w:lineRule="exact"/>
        <w:ind w:left="420" w:leftChars="200"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2</w:t>
      </w:r>
      <w:r>
        <w:rPr>
          <w:rFonts w:hint="eastAsia" w:ascii="宋体" w:hAnsi="宋体" w:eastAsia="宋体" w:cs="宋体"/>
          <w:color w:val="000000"/>
          <w:sz w:val="24"/>
          <w:highlight w:val="none"/>
        </w:rPr>
        <w:t>.1.2本项目的特定资格要求</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如果有</w:t>
      </w:r>
      <w:r>
        <w:rPr>
          <w:rFonts w:hint="eastAsia" w:ascii="宋体" w:hAnsi="宋体" w:eastAsia="宋体" w:cs="宋体"/>
          <w:color w:val="000000"/>
          <w:sz w:val="24"/>
          <w:highlight w:val="none"/>
          <w:lang w:eastAsia="zh-CN"/>
        </w:rPr>
        <w:t>）</w:t>
      </w:r>
    </w:p>
    <w:p>
      <w:pPr>
        <w:snapToGrid w:val="0"/>
        <w:spacing w:line="440" w:lineRule="exact"/>
        <w:ind w:left="420" w:leftChars="200"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2.1.3</w:t>
      </w:r>
      <w:r>
        <w:rPr>
          <w:rFonts w:hint="eastAsia" w:ascii="宋体" w:hAnsi="宋体" w:eastAsia="宋体" w:cs="宋体"/>
          <w:color w:val="000000"/>
          <w:sz w:val="24"/>
          <w:highlight w:val="none"/>
        </w:rPr>
        <w:t>具有履行合同所必需的设备和专业技术能力的承诺函</w:t>
      </w:r>
      <w:r>
        <w:rPr>
          <w:rFonts w:hint="eastAsia" w:ascii="宋体" w:hAnsi="宋体" w:eastAsia="宋体" w:cs="宋体"/>
          <w:color w:val="000000"/>
          <w:sz w:val="24"/>
          <w:highlight w:val="none"/>
          <w:lang w:eastAsia="zh-CN"/>
        </w:rPr>
        <w:t>；</w:t>
      </w:r>
    </w:p>
    <w:p>
      <w:pPr>
        <w:snapToGrid w:val="0"/>
        <w:spacing w:line="440" w:lineRule="exact"/>
        <w:ind w:left="420" w:leftChars="200"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2.1.4</w:t>
      </w:r>
      <w:r>
        <w:rPr>
          <w:rFonts w:hint="eastAsia" w:ascii="宋体" w:hAnsi="宋体" w:eastAsia="宋体" w:cs="宋体"/>
          <w:color w:val="000000"/>
          <w:sz w:val="24"/>
          <w:highlight w:val="none"/>
        </w:rPr>
        <w:t>参加政府采购活动前三年内，在经营活动中没有重大违法记录的声明</w:t>
      </w:r>
      <w:r>
        <w:rPr>
          <w:rFonts w:hint="eastAsia" w:ascii="宋体" w:hAnsi="宋体" w:eastAsia="宋体" w:cs="宋体"/>
          <w:color w:val="000000"/>
          <w:sz w:val="24"/>
          <w:highlight w:val="none"/>
          <w:lang w:eastAsia="zh-CN"/>
        </w:rPr>
        <w:t>；</w:t>
      </w:r>
    </w:p>
    <w:p>
      <w:pPr>
        <w:snapToGrid w:val="0"/>
        <w:spacing w:line="440" w:lineRule="exact"/>
        <w:ind w:left="420" w:leftChars="200"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2.1.5</w:t>
      </w:r>
      <w:r>
        <w:rPr>
          <w:rFonts w:hint="eastAsia" w:ascii="宋体" w:hAnsi="宋体" w:eastAsia="宋体" w:cs="宋体"/>
          <w:color w:val="000000"/>
          <w:sz w:val="24"/>
          <w:highlight w:val="none"/>
        </w:rPr>
        <w:t>具有良好商业信誉的特别声明</w:t>
      </w:r>
      <w:r>
        <w:rPr>
          <w:rFonts w:hint="eastAsia" w:ascii="宋体" w:hAnsi="宋体" w:eastAsia="宋体" w:cs="宋体"/>
          <w:color w:val="000000"/>
          <w:sz w:val="24"/>
          <w:highlight w:val="none"/>
          <w:lang w:eastAsia="zh-CN"/>
        </w:rPr>
        <w:t>；</w:t>
      </w:r>
    </w:p>
    <w:p>
      <w:pPr>
        <w:snapToGrid w:val="0"/>
        <w:spacing w:line="440" w:lineRule="exact"/>
        <w:ind w:left="420" w:leftChars="200"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2.1.6</w:t>
      </w:r>
      <w:r>
        <w:rPr>
          <w:rFonts w:hint="eastAsia" w:ascii="宋体" w:hAnsi="宋体" w:eastAsia="宋体" w:cs="宋体"/>
          <w:color w:val="000000"/>
          <w:sz w:val="24"/>
          <w:highlight w:val="none"/>
          <w:lang w:eastAsia="zh-CN"/>
        </w:rPr>
        <w:t>最近一年度资产负债表或审计报告等财务报表资料文件 (新成立的公司，必须提供情况说明)；</w:t>
      </w:r>
    </w:p>
    <w:p>
      <w:pPr>
        <w:snapToGrid w:val="0"/>
        <w:spacing w:line="440" w:lineRule="exact"/>
        <w:ind w:left="420" w:leftChars="200"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2.1.7</w:t>
      </w:r>
      <w:r>
        <w:rPr>
          <w:rFonts w:hint="eastAsia" w:ascii="宋体" w:hAnsi="宋体" w:eastAsia="宋体" w:cs="宋体"/>
          <w:color w:val="000000"/>
          <w:sz w:val="24"/>
          <w:highlight w:val="none"/>
        </w:rPr>
        <w:t>授权书（如法定代表人直接参加</w:t>
      </w:r>
      <w:r>
        <w:rPr>
          <w:rFonts w:hint="eastAsia" w:ascii="宋体" w:hAnsi="宋体" w:eastAsia="宋体" w:cs="宋体"/>
          <w:color w:val="000000"/>
          <w:sz w:val="24"/>
          <w:highlight w:val="none"/>
          <w:lang w:val="en-US" w:eastAsia="zh-CN"/>
        </w:rPr>
        <w:t>交易</w:t>
      </w:r>
      <w:r>
        <w:rPr>
          <w:rFonts w:hint="eastAsia" w:ascii="宋体" w:hAnsi="宋体" w:eastAsia="宋体" w:cs="宋体"/>
          <w:color w:val="000000"/>
          <w:sz w:val="24"/>
          <w:highlight w:val="none"/>
        </w:rPr>
        <w:t>并对相应文件签字的，只需提供其身份证复印件正反面；如以联合体形式参加的，按</w:t>
      </w:r>
      <w:r>
        <w:rPr>
          <w:rFonts w:hint="eastAsia" w:ascii="宋体" w:hAnsi="宋体" w:eastAsia="宋体" w:cs="宋体"/>
          <w:color w:val="000000"/>
          <w:sz w:val="24"/>
          <w:highlight w:val="none"/>
          <w:lang w:val="en-US" w:eastAsia="zh-CN"/>
        </w:rPr>
        <w:t>竞争</w:t>
      </w:r>
      <w:r>
        <w:rPr>
          <w:rFonts w:hint="eastAsia" w:ascii="宋体" w:hAnsi="宋体" w:eastAsia="宋体" w:cs="宋体"/>
          <w:color w:val="000000"/>
          <w:sz w:val="24"/>
          <w:highlight w:val="none"/>
        </w:rPr>
        <w:t>文件有关格式范例提供联合体</w:t>
      </w:r>
      <w:r>
        <w:rPr>
          <w:rFonts w:hint="eastAsia" w:ascii="宋体" w:hAnsi="宋体" w:eastAsia="宋体" w:cs="宋体"/>
          <w:color w:val="000000"/>
          <w:sz w:val="24"/>
          <w:highlight w:val="none"/>
          <w:lang w:val="en-US" w:eastAsia="zh-CN"/>
        </w:rPr>
        <w:t>响应</w:t>
      </w:r>
      <w:r>
        <w:rPr>
          <w:rFonts w:hint="eastAsia" w:ascii="宋体" w:hAnsi="宋体" w:eastAsia="宋体" w:cs="宋体"/>
          <w:color w:val="000000"/>
          <w:sz w:val="24"/>
          <w:highlight w:val="none"/>
        </w:rPr>
        <w:t>授权书）</w:t>
      </w:r>
      <w:r>
        <w:rPr>
          <w:rFonts w:hint="eastAsia" w:ascii="宋体" w:hAnsi="宋体" w:eastAsia="宋体" w:cs="宋体"/>
          <w:color w:val="000000"/>
          <w:sz w:val="24"/>
          <w:highlight w:val="none"/>
          <w:lang w:eastAsia="zh-CN"/>
        </w:rPr>
        <w:t>。</w:t>
      </w:r>
    </w:p>
    <w:p>
      <w:pPr>
        <w:snapToGrid w:val="0"/>
        <w:spacing w:line="440" w:lineRule="exact"/>
        <w:ind w:left="210" w:leftChars="100" w:firstLine="480" w:firstLineChars="200"/>
        <w:rPr>
          <w:rFonts w:hint="eastAsia" w:ascii="宋体" w:hAnsi="宋体" w:eastAsia="宋体" w:cs="宋体"/>
          <w:color w:val="000000"/>
          <w:sz w:val="24"/>
          <w:highlight w:val="none"/>
          <w:lang w:val="zh-CN"/>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 xml:space="preserve"> </w:t>
      </w:r>
      <w:r>
        <w:rPr>
          <w:rFonts w:hint="eastAsia" w:ascii="宋体" w:hAnsi="宋体" w:eastAsia="宋体" w:cs="宋体"/>
          <w:color w:val="000000"/>
          <w:sz w:val="24"/>
          <w:highlight w:val="none"/>
        </w:rPr>
        <w:t>商务技术</w:t>
      </w:r>
      <w:r>
        <w:rPr>
          <w:rFonts w:hint="eastAsia" w:ascii="宋体" w:hAnsi="宋体" w:eastAsia="宋体" w:cs="宋体"/>
          <w:color w:val="000000"/>
          <w:sz w:val="24"/>
          <w:highlight w:val="none"/>
          <w:lang w:val="zh-CN"/>
        </w:rPr>
        <w:t>文件：</w:t>
      </w:r>
    </w:p>
    <w:p>
      <w:pPr>
        <w:snapToGrid w:val="0"/>
        <w:spacing w:line="440" w:lineRule="exact"/>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2.2.1交易函；</w:t>
      </w:r>
      <w:r>
        <w:rPr>
          <w:rFonts w:hint="eastAsia" w:ascii="宋体" w:hAnsi="宋体" w:eastAsia="宋体" w:cs="宋体"/>
          <w:color w:val="000000"/>
          <w:sz w:val="24"/>
          <w:highlight w:val="none"/>
          <w:lang w:val="zh-CN"/>
        </w:rPr>
        <w:t xml:space="preserve"> </w:t>
      </w:r>
    </w:p>
    <w:p>
      <w:pPr>
        <w:snapToGrid w:val="0"/>
        <w:spacing w:line="440" w:lineRule="exact"/>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2.2.2授权委托书或法定代表人（单位负责人）身份证明；</w:t>
      </w:r>
    </w:p>
    <w:p>
      <w:pPr>
        <w:snapToGrid w:val="0"/>
        <w:spacing w:line="440" w:lineRule="exact"/>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2.2.3</w:t>
      </w:r>
      <w:r>
        <w:rPr>
          <w:rFonts w:hint="eastAsia" w:ascii="宋体" w:hAnsi="宋体" w:eastAsia="宋体" w:cs="宋体"/>
          <w:color w:val="000000"/>
          <w:sz w:val="24"/>
          <w:highlight w:val="none"/>
          <w:lang w:val="en-US" w:eastAsia="zh-CN"/>
        </w:rPr>
        <w:t>营业执照</w:t>
      </w:r>
      <w:r>
        <w:rPr>
          <w:rFonts w:hint="eastAsia" w:ascii="宋体" w:hAnsi="宋体" w:eastAsia="宋体" w:cs="宋体"/>
          <w:color w:val="000000"/>
          <w:sz w:val="24"/>
          <w:highlight w:val="none"/>
        </w:rPr>
        <w:t>；</w:t>
      </w:r>
    </w:p>
    <w:p>
      <w:pPr>
        <w:snapToGrid w:val="0"/>
        <w:spacing w:line="440" w:lineRule="exact"/>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2.2.4符合性审查资料；</w:t>
      </w:r>
    </w:p>
    <w:p>
      <w:pPr>
        <w:snapToGrid w:val="0"/>
        <w:spacing w:line="440" w:lineRule="exact"/>
        <w:ind w:left="420" w:leftChars="200" w:firstLine="480" w:firstLineChars="200"/>
        <w:rPr>
          <w:rFonts w:hint="eastAsia" w:ascii="宋体" w:hAnsi="宋体" w:eastAsia="宋体" w:cs="宋体"/>
          <w:color w:val="000000"/>
          <w:highlight w:val="none"/>
        </w:rPr>
      </w:pPr>
      <w:r>
        <w:rPr>
          <w:rFonts w:hint="eastAsia" w:ascii="宋体" w:hAnsi="宋体" w:eastAsia="宋体" w:cs="宋体"/>
          <w:color w:val="000000"/>
          <w:sz w:val="24"/>
          <w:highlight w:val="none"/>
        </w:rPr>
        <w:t>2.2.5评审标准相应的商务技术资料；</w:t>
      </w:r>
    </w:p>
    <w:p>
      <w:pPr>
        <w:snapToGrid w:val="0"/>
        <w:spacing w:line="440" w:lineRule="exact"/>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2.2.6商务技术偏离表；</w:t>
      </w:r>
    </w:p>
    <w:p>
      <w:pPr>
        <w:snapToGrid w:val="0"/>
        <w:spacing w:line="440" w:lineRule="exact"/>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2.2.7</w:t>
      </w:r>
      <w:r>
        <w:rPr>
          <w:rFonts w:hint="eastAsia" w:ascii="宋体" w:hAnsi="宋体" w:eastAsia="宋体" w:cs="宋体"/>
          <w:color w:val="000000"/>
          <w:sz w:val="24"/>
          <w:highlight w:val="none"/>
          <w:lang w:val="zh-CN"/>
        </w:rPr>
        <w:t>响应人廉洁自律承诺书。</w:t>
      </w:r>
    </w:p>
    <w:p>
      <w:pPr>
        <w:snapToGrid w:val="0"/>
        <w:spacing w:line="440" w:lineRule="exact"/>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zh-CN"/>
        </w:rPr>
        <w:t>.</w:t>
      </w:r>
      <w:r>
        <w:rPr>
          <w:rFonts w:hint="eastAsia" w:ascii="宋体" w:hAnsi="宋体" w:eastAsia="宋体" w:cs="宋体"/>
          <w:color w:val="000000"/>
          <w:sz w:val="24"/>
          <w:highlight w:val="none"/>
        </w:rPr>
        <w:t>3报价文件</w:t>
      </w:r>
    </w:p>
    <w:p>
      <w:pPr>
        <w:snapToGrid w:val="0"/>
        <w:spacing w:line="440" w:lineRule="exact"/>
        <w:ind w:left="420" w:leftChars="2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2.3.1交易一览表（报价表）。</w:t>
      </w:r>
    </w:p>
    <w:p>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3、我方承诺除商务技术偏离表列出的偏离外，我方响应公开竞争文件的全部要求。</w:t>
      </w:r>
    </w:p>
    <w:p>
      <w:pPr>
        <w:snapToGrid w:val="0"/>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4、如我方成交，我方承诺：</w:t>
      </w:r>
    </w:p>
    <w:p>
      <w:pPr>
        <w:snapToGrid w:val="0"/>
        <w:spacing w:line="440" w:lineRule="exact"/>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4.2在签订合同时不向你方提出附加条件； </w:t>
      </w:r>
    </w:p>
    <w:p>
      <w:pPr>
        <w:snapToGrid w:val="0"/>
        <w:spacing w:line="440" w:lineRule="exact"/>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4.3按照公开竞争文件要求提交履约保证金； </w:t>
      </w:r>
    </w:p>
    <w:p>
      <w:pPr>
        <w:snapToGrid w:val="0"/>
        <w:spacing w:line="440" w:lineRule="exact"/>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4.4在合同约定的期限内完成合同规定的全部义务。 </w:t>
      </w:r>
    </w:p>
    <w:p>
      <w:pPr>
        <w:snapToGrid w:val="0"/>
        <w:spacing w:line="440" w:lineRule="exact"/>
        <w:ind w:left="210" w:leftChars="10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5、其他补充说明:</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pPr>
        <w:spacing w:line="440" w:lineRule="exact"/>
        <w:ind w:firstLine="3600" w:firstLineChars="15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响应人名称（电子签名）：                          </w:t>
      </w:r>
    </w:p>
    <w:p>
      <w:pPr>
        <w:spacing w:line="440" w:lineRule="exact"/>
        <w:jc w:val="center"/>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 xml:space="preserve">     日期：  年   月   日</w:t>
      </w:r>
    </w:p>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pPr>
        <w:pStyle w:val="7"/>
        <w:rPr>
          <w:rFonts w:hint="eastAsia" w:ascii="宋体" w:hAnsi="宋体" w:eastAsia="宋体" w:cs="宋体"/>
          <w:color w:val="000000"/>
          <w:highlight w:val="none"/>
          <w:lang w:val="en-US"/>
        </w:rPr>
      </w:pPr>
    </w:p>
    <w:p>
      <w:pPr>
        <w:jc w:val="center"/>
        <w:rPr>
          <w:rFonts w:hint="eastAsia" w:ascii="宋体" w:hAnsi="宋体" w:eastAsia="宋体" w:cs="宋体"/>
          <w:b/>
          <w:color w:val="000000"/>
          <w:kern w:val="0"/>
          <w:sz w:val="32"/>
          <w:szCs w:val="32"/>
          <w:highlight w:val="none"/>
        </w:rPr>
      </w:pPr>
    </w:p>
    <w:p>
      <w:pPr>
        <w:rPr>
          <w:rFonts w:hint="eastAsia" w:ascii="宋体" w:hAnsi="宋体" w:eastAsia="宋体" w:cs="宋体"/>
          <w:b/>
          <w:color w:val="000000"/>
          <w:kern w:val="0"/>
          <w:sz w:val="32"/>
          <w:szCs w:val="32"/>
          <w:highlight w:val="none"/>
          <w:lang w:val="zh-CN"/>
        </w:rPr>
      </w:pPr>
      <w:r>
        <w:rPr>
          <w:rFonts w:hint="eastAsia" w:ascii="宋体" w:hAnsi="宋体" w:eastAsia="宋体" w:cs="宋体"/>
          <w:b/>
          <w:color w:val="000000"/>
          <w:kern w:val="0"/>
          <w:sz w:val="32"/>
          <w:szCs w:val="32"/>
          <w:highlight w:val="none"/>
          <w:lang w:val="zh-CN"/>
        </w:rPr>
        <w:br w:type="page"/>
      </w:r>
    </w:p>
    <w:p>
      <w:pPr>
        <w:jc w:val="center"/>
        <w:rPr>
          <w:rFonts w:hint="eastAsia" w:ascii="宋体" w:hAnsi="宋体" w:eastAsia="宋体" w:cs="宋体"/>
          <w:b/>
          <w:color w:val="000000"/>
          <w:kern w:val="0"/>
          <w:sz w:val="32"/>
          <w:szCs w:val="32"/>
          <w:highlight w:val="none"/>
          <w:lang w:val="zh-CN"/>
        </w:rPr>
      </w:pPr>
      <w:r>
        <w:rPr>
          <w:rFonts w:hint="eastAsia" w:ascii="宋体" w:hAnsi="宋体" w:eastAsia="宋体" w:cs="宋体"/>
          <w:b/>
          <w:color w:val="000000"/>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snapToGrid w:val="0"/>
        <w:spacing w:line="360" w:lineRule="auto"/>
        <w:jc w:val="center"/>
        <w:rPr>
          <w:rFonts w:hint="eastAsia" w:ascii="宋体" w:hAnsi="宋体" w:eastAsia="宋体" w:cs="宋体"/>
          <w:color w:val="000000"/>
          <w:highlight w:val="none"/>
        </w:rPr>
      </w:pPr>
      <w:r>
        <w:rPr>
          <w:rFonts w:hint="eastAsia" w:ascii="宋体" w:hAnsi="宋体" w:eastAsia="宋体" w:cs="宋体"/>
          <w:b/>
          <w:color w:val="000000"/>
          <w:kern w:val="0"/>
          <w:sz w:val="32"/>
          <w:szCs w:val="32"/>
          <w:highlight w:val="none"/>
          <w:lang w:val="zh-CN"/>
        </w:rPr>
        <w:t>授权委托书</w:t>
      </w:r>
    </w:p>
    <w:p>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rPr>
        <w:t>（交易发起人）、（代理机构）</w:t>
      </w:r>
      <w:r>
        <w:rPr>
          <w:rFonts w:hint="eastAsia" w:ascii="宋体" w:hAnsi="宋体" w:eastAsia="宋体" w:cs="宋体"/>
          <w:color w:val="000000"/>
          <w:kern w:val="0"/>
          <w:sz w:val="24"/>
          <w:highlight w:val="none"/>
          <w:lang w:val="zh-CN"/>
        </w:rPr>
        <w:t>：</w:t>
      </w:r>
    </w:p>
    <w:p>
      <w:pPr>
        <w:snapToGrid w:val="0"/>
        <w:spacing w:line="360" w:lineRule="auto"/>
        <w:ind w:firstLine="576"/>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现</w:t>
      </w:r>
      <w:r>
        <w:rPr>
          <w:rFonts w:hint="eastAsia" w:ascii="宋体" w:hAnsi="宋体" w:eastAsia="宋体" w:cs="宋体"/>
          <w:color w:val="000000"/>
          <w:kern w:val="0"/>
          <w:sz w:val="24"/>
          <w:highlight w:val="none"/>
          <w:lang w:val="zh-CN"/>
        </w:rPr>
        <w:t>委托</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（姓名）为我方代理人（身份证号码：</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，手机：</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kern w:val="0"/>
          <w:sz w:val="24"/>
          <w:highlight w:val="none"/>
          <w:lang w:val="zh-CN"/>
        </w:rPr>
        <w:t>），以我方名义处理</w:t>
      </w:r>
      <w:r>
        <w:rPr>
          <w:rFonts w:hint="eastAsia" w:ascii="宋体" w:hAnsi="宋体" w:eastAsia="宋体" w:cs="宋体"/>
          <w:color w:val="000000"/>
          <w:sz w:val="24"/>
          <w:highlight w:val="none"/>
          <w:u w:val="single"/>
        </w:rPr>
        <w:t>（项目名称）【交易编号：       】</w:t>
      </w:r>
      <w:r>
        <w:rPr>
          <w:rFonts w:hint="eastAsia" w:ascii="宋体" w:hAnsi="宋体" w:eastAsia="宋体" w:cs="宋体"/>
          <w:color w:val="000000"/>
          <w:kern w:val="0"/>
          <w:sz w:val="24"/>
          <w:highlight w:val="none"/>
          <w:lang w:val="zh-CN"/>
        </w:rPr>
        <w:t>交易项目的一切事项，其法律后果由我方承担。</w:t>
      </w:r>
    </w:p>
    <w:p>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委托期限</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zh-CN"/>
        </w:rPr>
        <w:t>自</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日起至</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年</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月</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日止。</w:t>
      </w:r>
    </w:p>
    <w:p>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zh-CN"/>
        </w:rPr>
        <w:t>特此告知。</w:t>
      </w:r>
    </w:p>
    <w:p>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zh-CN"/>
        </w:rPr>
        <w:t xml:space="preserve">                                                 响应人名称(电子签名)：</w:t>
      </w:r>
    </w:p>
    <w:p>
      <w:pPr>
        <w:snapToGrid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签发日期：  年  月   日</w:t>
      </w:r>
    </w:p>
    <w:p>
      <w:pPr>
        <w:snapToGrid w:val="0"/>
        <w:spacing w:line="360" w:lineRule="auto"/>
        <w:rPr>
          <w:rFonts w:hint="eastAsia" w:ascii="宋体" w:hAnsi="宋体" w:eastAsia="宋体" w:cs="宋体"/>
          <w:color w:val="000000"/>
          <w:sz w:val="24"/>
          <w:highlight w:val="none"/>
        </w:rPr>
      </w:pPr>
    </w:p>
    <w:p>
      <w:pPr>
        <w:snapToGrid w:val="0"/>
        <w:spacing w:line="360" w:lineRule="auto"/>
        <w:rPr>
          <w:rFonts w:hint="eastAsia" w:ascii="宋体" w:hAnsi="宋体" w:eastAsia="宋体" w:cs="宋体"/>
          <w:color w:val="000000"/>
          <w:kern w:val="0"/>
          <w:sz w:val="24"/>
          <w:highlight w:val="none"/>
          <w:lang w:val="zh-CN"/>
        </w:rPr>
      </w:pPr>
      <w:r>
        <w:rPr>
          <w:rFonts w:hint="eastAsia" w:ascii="宋体" w:hAnsi="宋体" w:eastAsia="宋体" w:cs="宋体"/>
          <w:b/>
          <w:color w:val="000000"/>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kern w:val="0"/>
          <w:sz w:val="32"/>
          <w:szCs w:val="32"/>
          <w:highlight w:val="none"/>
          <w:lang w:val="zh-CN"/>
        </w:rPr>
        <w:t>法定代表人、单位负责人或自然人本人</w:t>
      </w:r>
      <w:r>
        <w:rPr>
          <w:rFonts w:hint="eastAsia" w:ascii="宋体" w:hAnsi="宋体" w:eastAsia="宋体" w:cs="宋体"/>
          <w:b/>
          <w:color w:val="000000"/>
          <w:sz w:val="30"/>
          <w:szCs w:val="30"/>
          <w:highlight w:val="none"/>
        </w:rPr>
        <w:t>的身份证明（适用于法定代表人、单位负责人或者自然人本人代表响应人参加响应）</w:t>
      </w:r>
    </w:p>
    <w:p>
      <w:pPr>
        <w:pStyle w:val="30"/>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身份证件扫描件：</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noWrap w:val="0"/>
            <w:vAlign w:val="top"/>
          </w:tcPr>
          <w:p>
            <w:pPr>
              <w:pStyle w:val="30"/>
              <w:adjustRightInd w:val="0"/>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正面：                                 反面：</w:t>
            </w:r>
          </w:p>
          <w:p>
            <w:pPr>
              <w:pStyle w:val="30"/>
              <w:adjustRightInd w:val="0"/>
              <w:spacing w:line="360" w:lineRule="auto"/>
              <w:rPr>
                <w:rFonts w:hint="eastAsia" w:ascii="宋体" w:hAnsi="宋体" w:eastAsia="宋体" w:cs="宋体"/>
                <w:bCs/>
                <w:color w:val="000000"/>
                <w:sz w:val="24"/>
                <w:highlight w:val="none"/>
              </w:rPr>
            </w:pPr>
          </w:p>
        </w:tc>
      </w:tr>
    </w:tbl>
    <w:p>
      <w:pPr>
        <w:snapToGrid w:val="0"/>
        <w:spacing w:line="360" w:lineRule="auto"/>
        <w:ind w:firstLine="576"/>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w:t>
      </w:r>
    </w:p>
    <w:p>
      <w:pPr>
        <w:snapToGrid w:val="0"/>
        <w:spacing w:line="360" w:lineRule="auto"/>
        <w:ind w:firstLine="576"/>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响应人名称(电子签名)：                              </w:t>
      </w:r>
    </w:p>
    <w:p>
      <w:pPr>
        <w:spacing w:line="360" w:lineRule="auto"/>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日期：  年  月  日</w:t>
      </w:r>
    </w:p>
    <w:p>
      <w:pPr>
        <w:jc w:val="center"/>
        <w:rPr>
          <w:rFonts w:hint="eastAsia" w:ascii="宋体" w:hAnsi="宋体" w:eastAsia="宋体" w:cs="宋体"/>
          <w:b/>
          <w:color w:val="000000"/>
          <w:kern w:val="0"/>
          <w:sz w:val="32"/>
          <w:szCs w:val="32"/>
          <w:highlight w:val="none"/>
        </w:rPr>
      </w:pPr>
    </w:p>
    <w:p>
      <w:pPr>
        <w:jc w:val="center"/>
        <w:rPr>
          <w:rFonts w:hint="eastAsia" w:ascii="宋体" w:hAnsi="宋体" w:eastAsia="宋体" w:cs="宋体"/>
          <w:b/>
          <w:color w:val="000000"/>
          <w:kern w:val="0"/>
          <w:sz w:val="32"/>
          <w:szCs w:val="32"/>
          <w:highlight w:val="none"/>
          <w:lang w:eastAsia="zh-CN"/>
        </w:rPr>
      </w:pPr>
      <w:r>
        <w:rPr>
          <w:rFonts w:hint="eastAsia" w:ascii="宋体" w:hAnsi="宋体" w:eastAsia="宋体" w:cs="宋体"/>
          <w:b/>
          <w:color w:val="000000"/>
          <w:kern w:val="0"/>
          <w:sz w:val="32"/>
          <w:szCs w:val="32"/>
          <w:highlight w:val="none"/>
        </w:rPr>
        <w:t>三、</w:t>
      </w:r>
      <w:r>
        <w:rPr>
          <w:rFonts w:hint="eastAsia" w:ascii="宋体" w:hAnsi="宋体" w:eastAsia="宋体" w:cs="宋体"/>
          <w:b/>
          <w:color w:val="000000"/>
          <w:kern w:val="0"/>
          <w:sz w:val="32"/>
          <w:szCs w:val="32"/>
          <w:highlight w:val="none"/>
          <w:lang w:eastAsia="zh-CN"/>
        </w:rPr>
        <w:t>营业执照</w:t>
      </w:r>
    </w:p>
    <w:p>
      <w:pPr>
        <w:jc w:val="center"/>
        <w:rPr>
          <w:rFonts w:hint="eastAsia" w:ascii="宋体" w:hAnsi="宋体" w:eastAsia="宋体" w:cs="宋体"/>
          <w:b/>
          <w:color w:val="000000"/>
          <w:kern w:val="0"/>
          <w:sz w:val="32"/>
          <w:szCs w:val="32"/>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noWrap w:val="0"/>
            <w:vAlign w:val="top"/>
          </w:tcPr>
          <w:p>
            <w:pPr>
              <w:pStyle w:val="30"/>
              <w:adjustRightInd w:val="0"/>
              <w:spacing w:line="360" w:lineRule="auto"/>
              <w:rPr>
                <w:rFonts w:hint="eastAsia" w:ascii="宋体" w:hAnsi="宋体" w:eastAsia="宋体" w:cs="宋体"/>
                <w:bCs/>
                <w:color w:val="000000"/>
                <w:sz w:val="24"/>
                <w:highlight w:val="none"/>
              </w:rPr>
            </w:pPr>
          </w:p>
        </w:tc>
      </w:tr>
    </w:tbl>
    <w:p>
      <w:pPr>
        <w:snapToGrid w:val="0"/>
        <w:spacing w:line="360" w:lineRule="auto"/>
        <w:ind w:firstLine="576"/>
        <w:jc w:val="center"/>
        <w:rPr>
          <w:rFonts w:hint="eastAsia" w:ascii="宋体" w:hAnsi="宋体" w:eastAsia="宋体" w:cs="宋体"/>
          <w:color w:val="000000"/>
          <w:kern w:val="0"/>
          <w:sz w:val="24"/>
          <w:highlight w:val="none"/>
          <w:lang w:val="zh-CN"/>
        </w:rPr>
      </w:pPr>
    </w:p>
    <w:p>
      <w:pPr>
        <w:snapToGrid w:val="0"/>
        <w:spacing w:line="360" w:lineRule="auto"/>
        <w:ind w:firstLine="576"/>
        <w:jc w:val="center"/>
        <w:rPr>
          <w:rFonts w:hint="eastAsia" w:ascii="宋体" w:hAnsi="宋体" w:eastAsia="宋体" w:cs="宋体"/>
          <w:color w:val="000000"/>
          <w:kern w:val="0"/>
          <w:sz w:val="24"/>
          <w:highlight w:val="none"/>
          <w:lang w:val="zh-CN"/>
        </w:rPr>
      </w:pPr>
    </w:p>
    <w:p>
      <w:pPr>
        <w:snapToGrid w:val="0"/>
        <w:spacing w:line="360" w:lineRule="auto"/>
        <w:ind w:firstLine="576"/>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响应人名称(电子签名)：                              </w:t>
      </w:r>
    </w:p>
    <w:p>
      <w:pPr>
        <w:spacing w:line="360" w:lineRule="auto"/>
        <w:jc w:val="center"/>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                   日期：  年  月  日</w:t>
      </w:r>
    </w:p>
    <w:p>
      <w:pPr>
        <w:jc w:val="center"/>
        <w:rPr>
          <w:rFonts w:hint="eastAsia" w:ascii="宋体" w:hAnsi="宋体" w:eastAsia="宋体" w:cs="宋体"/>
          <w:b/>
          <w:color w:val="000000"/>
          <w:kern w:val="0"/>
          <w:sz w:val="32"/>
          <w:szCs w:val="32"/>
          <w:highlight w:val="none"/>
        </w:rPr>
      </w:pPr>
    </w:p>
    <w:p>
      <w:pPr>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四、符合性审查资料</w:t>
      </w:r>
    </w:p>
    <w:p>
      <w:pPr>
        <w:jc w:val="center"/>
        <w:rPr>
          <w:rFonts w:hint="eastAsia" w:ascii="宋体" w:hAnsi="宋体" w:eastAsia="宋体" w:cs="宋体"/>
          <w:b/>
          <w:color w:val="000000"/>
          <w:kern w:val="0"/>
          <w:sz w:val="32"/>
          <w:szCs w:val="32"/>
          <w:highlight w:val="none"/>
        </w:rPr>
      </w:pPr>
    </w:p>
    <w:tbl>
      <w:tblPr>
        <w:tblStyle w:val="1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3976" w:type="dxa"/>
            <w:noWrap w:val="0"/>
            <w:vAlign w:val="center"/>
          </w:tcPr>
          <w:p>
            <w:pPr>
              <w:snapToGrid w:val="0"/>
              <w:spacing w:line="240" w:lineRule="atLeas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实质性要求</w:t>
            </w:r>
          </w:p>
        </w:tc>
        <w:tc>
          <w:tcPr>
            <w:tcW w:w="3566" w:type="dxa"/>
            <w:noWrap w:val="0"/>
            <w:vAlign w:val="center"/>
          </w:tcPr>
          <w:p>
            <w:pPr>
              <w:snapToGrid w:val="0"/>
              <w:spacing w:line="240" w:lineRule="atLeas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需要提供的符合性审查资料</w:t>
            </w:r>
          </w:p>
        </w:tc>
        <w:tc>
          <w:tcPr>
            <w:tcW w:w="1418" w:type="dxa"/>
            <w:noWrap w:val="0"/>
            <w:vAlign w:val="center"/>
          </w:tcPr>
          <w:p>
            <w:pPr>
              <w:snapToGrid w:val="0"/>
              <w:spacing w:line="240" w:lineRule="atLeas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响应文件中的</w:t>
            </w:r>
          </w:p>
          <w:p>
            <w:pPr>
              <w:snapToGrid w:val="0"/>
              <w:spacing w:line="240" w:lineRule="atLeas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3976"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响应文件按照公开竞争文件要求签署、盖章。</w:t>
            </w:r>
          </w:p>
        </w:tc>
        <w:tc>
          <w:tcPr>
            <w:tcW w:w="356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需要使用电子签名或者签字盖章的响应文件的组成部分</w:t>
            </w:r>
          </w:p>
        </w:tc>
        <w:tc>
          <w:tcPr>
            <w:tcW w:w="1418" w:type="dxa"/>
            <w:noWrap w:val="0"/>
            <w:vAlign w:val="center"/>
          </w:tcPr>
          <w:p>
            <w:pPr>
              <w:jc w:val="center"/>
              <w:rPr>
                <w:rFonts w:hint="eastAsia" w:ascii="宋体" w:hAnsi="宋体" w:eastAsia="宋体" w:cs="宋体"/>
                <w:color w:val="000000"/>
                <w:sz w:val="24"/>
                <w:highlight w:val="none"/>
              </w:rPr>
            </w:pPr>
          </w:p>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见响应文件</w:t>
            </w:r>
          </w:p>
          <w:p>
            <w:pPr>
              <w:jc w:val="center"/>
              <w:rPr>
                <w:rFonts w:hint="eastAsia" w:ascii="宋体" w:hAnsi="宋体" w:eastAsia="宋体" w:cs="宋体"/>
                <w:color w:val="000000"/>
                <w:highlight w:val="none"/>
              </w:rPr>
            </w:pPr>
            <w:r>
              <w:rPr>
                <w:rFonts w:hint="eastAsia" w:ascii="宋体" w:hAnsi="宋体" w:eastAsia="宋体" w:cs="宋体"/>
                <w:color w:val="000000"/>
                <w:sz w:val="24"/>
                <w:highlight w:val="none"/>
              </w:rPr>
              <w:t>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3976"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响应文件中承诺的交易有效期不少于公开竞争文件中载明的交易有效期。</w:t>
            </w:r>
          </w:p>
        </w:tc>
        <w:tc>
          <w:tcPr>
            <w:tcW w:w="356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交易函</w:t>
            </w:r>
          </w:p>
        </w:tc>
        <w:tc>
          <w:tcPr>
            <w:tcW w:w="1418"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sz w:val="24"/>
                <w:highlight w:val="none"/>
              </w:rPr>
              <w:t>见响应文件第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3976" w:type="dxa"/>
            <w:noWrap w:val="0"/>
            <w:vAlign w:val="center"/>
          </w:tcPr>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响应文件满足公开竞争文件的其它实质性要求。</w:t>
            </w:r>
          </w:p>
        </w:tc>
        <w:tc>
          <w:tcPr>
            <w:tcW w:w="3566" w:type="dxa"/>
            <w:noWrap w:val="0"/>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公开竞争文件其它实质性要求相应的材料（“▲” 系指实质性要求条款，公开竞争文件无其它实质性要求的，无需提供）</w:t>
            </w:r>
          </w:p>
        </w:tc>
        <w:tc>
          <w:tcPr>
            <w:tcW w:w="1418" w:type="dxa"/>
            <w:noWrap w:val="0"/>
            <w:vAlign w:val="center"/>
          </w:tcPr>
          <w:p>
            <w:pPr>
              <w:jc w:val="center"/>
              <w:rPr>
                <w:rFonts w:hint="eastAsia" w:ascii="宋体" w:hAnsi="宋体" w:eastAsia="宋体" w:cs="宋体"/>
                <w:color w:val="000000"/>
                <w:highlight w:val="none"/>
              </w:rPr>
            </w:pPr>
            <w:r>
              <w:rPr>
                <w:rFonts w:hint="eastAsia" w:ascii="宋体" w:hAnsi="宋体" w:eastAsia="宋体" w:cs="宋体"/>
                <w:color w:val="000000"/>
                <w:sz w:val="24"/>
                <w:highlight w:val="none"/>
              </w:rPr>
              <w:t>见响应文件第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页</w:t>
            </w:r>
          </w:p>
        </w:tc>
      </w:tr>
    </w:tbl>
    <w:p>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pPr>
        <w:jc w:val="center"/>
        <w:rPr>
          <w:rFonts w:hint="eastAsia" w:ascii="宋体" w:hAnsi="宋体" w:eastAsia="宋体" w:cs="宋体"/>
          <w:b/>
          <w:color w:val="000000"/>
          <w:kern w:val="0"/>
          <w:sz w:val="32"/>
          <w:szCs w:val="32"/>
          <w:highlight w:val="none"/>
        </w:rPr>
      </w:pPr>
    </w:p>
    <w:p>
      <w:pPr>
        <w:jc w:val="center"/>
        <w:rPr>
          <w:rFonts w:hint="eastAsia" w:ascii="宋体" w:hAnsi="宋体" w:eastAsia="宋体" w:cs="宋体"/>
          <w:b/>
          <w:color w:val="000000"/>
          <w:kern w:val="0"/>
          <w:sz w:val="32"/>
          <w:szCs w:val="32"/>
          <w:highlight w:val="none"/>
        </w:rPr>
      </w:pPr>
    </w:p>
    <w:p>
      <w:pPr>
        <w:rPr>
          <w:rFonts w:hint="eastAsia" w:ascii="宋体" w:hAnsi="宋体" w:eastAsia="宋体" w:cs="宋体"/>
          <w:b/>
          <w:color w:val="000000"/>
          <w:kern w:val="0"/>
          <w:sz w:val="32"/>
          <w:szCs w:val="32"/>
          <w:highlight w:val="none"/>
        </w:rPr>
      </w:pPr>
    </w:p>
    <w:p>
      <w:pPr>
        <w:jc w:val="center"/>
        <w:rPr>
          <w:rFonts w:hint="eastAsia" w:ascii="宋体" w:hAnsi="宋体" w:eastAsia="宋体" w:cs="宋体"/>
          <w:b/>
          <w:color w:val="000000"/>
          <w:kern w:val="0"/>
          <w:sz w:val="32"/>
          <w:szCs w:val="32"/>
          <w:highlight w:val="none"/>
        </w:rPr>
      </w:pPr>
    </w:p>
    <w:p>
      <w:pPr>
        <w:jc w:val="center"/>
        <w:rPr>
          <w:rFonts w:hint="eastAsia" w:ascii="宋体" w:hAnsi="宋体" w:eastAsia="宋体" w:cs="宋体"/>
          <w:color w:val="000000"/>
          <w:highlight w:val="none"/>
        </w:rPr>
      </w:pPr>
      <w:r>
        <w:rPr>
          <w:rFonts w:hint="eastAsia" w:ascii="宋体" w:hAnsi="宋体" w:eastAsia="宋体" w:cs="宋体"/>
          <w:b/>
          <w:color w:val="000000"/>
          <w:kern w:val="0"/>
          <w:sz w:val="32"/>
          <w:szCs w:val="32"/>
          <w:highlight w:val="none"/>
        </w:rPr>
        <w:t>五、评审标准相应的商务技术资料</w:t>
      </w:r>
    </w:p>
    <w:p>
      <w:pPr>
        <w:snapToGrid w:val="0"/>
        <w:spacing w:line="360" w:lineRule="auto"/>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（按公开竞争文件第四部分交易办法前附表中“响应文件中评审标准相应的商务技术资料目录”提供资料。）</w:t>
      </w:r>
    </w:p>
    <w:p>
      <w:pPr>
        <w:jc w:val="center"/>
        <w:rPr>
          <w:rFonts w:hint="eastAsia" w:ascii="宋体" w:hAnsi="宋体" w:eastAsia="宋体" w:cs="宋体"/>
          <w:b/>
          <w:color w:val="000000"/>
          <w:kern w:val="0"/>
          <w:sz w:val="32"/>
          <w:szCs w:val="32"/>
          <w:highlight w:val="none"/>
        </w:rPr>
      </w:pPr>
    </w:p>
    <w:p>
      <w:pPr>
        <w:jc w:val="center"/>
        <w:rPr>
          <w:rFonts w:hint="eastAsia" w:ascii="宋体" w:hAnsi="宋体" w:eastAsia="宋体" w:cs="宋体"/>
          <w:b/>
          <w:color w:val="000000"/>
          <w:kern w:val="0"/>
          <w:sz w:val="32"/>
          <w:szCs w:val="32"/>
          <w:highlight w:val="none"/>
        </w:rPr>
      </w:pPr>
    </w:p>
    <w:p>
      <w:pPr>
        <w:jc w:val="center"/>
        <w:rPr>
          <w:rFonts w:hint="eastAsia" w:ascii="宋体" w:hAnsi="宋体" w:eastAsia="宋体" w:cs="宋体"/>
          <w:b/>
          <w:color w:val="000000"/>
          <w:kern w:val="0"/>
          <w:sz w:val="32"/>
          <w:szCs w:val="32"/>
          <w:highlight w:val="none"/>
        </w:rPr>
      </w:pPr>
    </w:p>
    <w:p>
      <w:pPr>
        <w:jc w:val="center"/>
        <w:rPr>
          <w:rFonts w:hint="eastAsia" w:ascii="宋体" w:hAnsi="宋体" w:eastAsia="宋体" w:cs="宋体"/>
          <w:b/>
          <w:color w:val="000000"/>
          <w:kern w:val="0"/>
          <w:sz w:val="32"/>
          <w:szCs w:val="32"/>
          <w:highlight w:val="none"/>
        </w:rPr>
      </w:pPr>
    </w:p>
    <w:p>
      <w:pPr>
        <w:jc w:val="center"/>
        <w:rPr>
          <w:rFonts w:hint="eastAsia" w:ascii="宋体" w:hAnsi="宋体" w:eastAsia="宋体" w:cs="宋体"/>
          <w:b/>
          <w:color w:val="000000"/>
          <w:kern w:val="0"/>
          <w:sz w:val="32"/>
          <w:szCs w:val="32"/>
          <w:highlight w:val="none"/>
        </w:rPr>
      </w:pPr>
    </w:p>
    <w:p>
      <w:pPr>
        <w:pStyle w:val="8"/>
        <w:rPr>
          <w:rFonts w:hint="eastAsia" w:ascii="宋体" w:hAnsi="宋体" w:eastAsia="宋体" w:cs="宋体"/>
          <w:b/>
          <w:color w:val="000000"/>
          <w:kern w:val="0"/>
          <w:sz w:val="32"/>
          <w:szCs w:val="32"/>
          <w:highlight w:val="none"/>
        </w:rPr>
      </w:pPr>
    </w:p>
    <w:p>
      <w:pPr>
        <w:pStyle w:val="9"/>
        <w:rPr>
          <w:rFonts w:hint="eastAsia" w:ascii="宋体" w:hAnsi="宋体" w:eastAsia="宋体" w:cs="宋体"/>
          <w:color w:val="000000"/>
          <w:highlight w:val="none"/>
        </w:rPr>
      </w:pPr>
    </w:p>
    <w:p>
      <w:pPr>
        <w:jc w:val="center"/>
        <w:rPr>
          <w:rFonts w:hint="eastAsia" w:ascii="宋体" w:hAnsi="宋体" w:eastAsia="宋体" w:cs="宋体"/>
          <w:b/>
          <w:color w:val="000000"/>
          <w:kern w:val="0"/>
          <w:sz w:val="32"/>
          <w:szCs w:val="32"/>
          <w:highlight w:val="none"/>
        </w:rPr>
      </w:pPr>
    </w:p>
    <w:p>
      <w:pPr>
        <w:jc w:val="center"/>
        <w:rPr>
          <w:rFonts w:hint="eastAsia" w:ascii="宋体" w:hAnsi="宋体" w:eastAsia="宋体" w:cs="宋体"/>
          <w:b/>
          <w:color w:val="000000"/>
          <w:kern w:val="0"/>
          <w:sz w:val="32"/>
          <w:szCs w:val="32"/>
          <w:highlight w:val="none"/>
        </w:rPr>
      </w:pPr>
    </w:p>
    <w:p>
      <w:pPr>
        <w:jc w:val="center"/>
        <w:rPr>
          <w:rFonts w:hint="eastAsia" w:ascii="宋体" w:hAnsi="宋体" w:eastAsia="宋体" w:cs="宋体"/>
          <w:b/>
          <w:color w:val="000000"/>
          <w:kern w:val="0"/>
          <w:sz w:val="32"/>
          <w:szCs w:val="32"/>
          <w:highlight w:val="none"/>
        </w:rPr>
      </w:pPr>
    </w:p>
    <w:p>
      <w:pPr>
        <w:jc w:val="center"/>
        <w:rPr>
          <w:rFonts w:hint="eastAsia" w:ascii="宋体" w:hAnsi="宋体" w:eastAsia="宋体" w:cs="宋体"/>
          <w:b/>
          <w:color w:val="000000"/>
          <w:kern w:val="0"/>
          <w:sz w:val="32"/>
          <w:szCs w:val="32"/>
          <w:highlight w:val="none"/>
        </w:rPr>
      </w:pPr>
    </w:p>
    <w:p>
      <w:pPr>
        <w:spacing w:line="360" w:lineRule="auto"/>
        <w:ind w:right="420"/>
        <w:jc w:val="center"/>
        <w:rPr>
          <w:rFonts w:hint="eastAsia" w:ascii="宋体" w:hAnsi="宋体" w:eastAsia="宋体" w:cs="宋体"/>
          <w:b/>
          <w:color w:val="000000"/>
          <w:kern w:val="0"/>
          <w:sz w:val="32"/>
          <w:szCs w:val="32"/>
          <w:highlight w:val="none"/>
        </w:rPr>
      </w:pPr>
      <w:r>
        <w:rPr>
          <w:rFonts w:hint="eastAsia" w:ascii="宋体" w:hAnsi="宋体" w:eastAsia="宋体" w:cs="宋体"/>
          <w:b/>
          <w:color w:val="000000"/>
          <w:kern w:val="0"/>
          <w:sz w:val="32"/>
          <w:szCs w:val="32"/>
          <w:highlight w:val="none"/>
        </w:rPr>
        <w:t>六、商务技术偏离表</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序号</w:t>
            </w:r>
          </w:p>
        </w:tc>
        <w:tc>
          <w:tcPr>
            <w:tcW w:w="3683" w:type="dxa"/>
            <w:noWrap w:val="0"/>
            <w:vAlign w:val="top"/>
          </w:tcPr>
          <w:p>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公开竞争文件章节及具体内容</w:t>
            </w:r>
          </w:p>
        </w:tc>
        <w:tc>
          <w:tcPr>
            <w:tcW w:w="3546" w:type="dxa"/>
            <w:noWrap w:val="0"/>
            <w:vAlign w:val="top"/>
          </w:tcPr>
          <w:p>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响应文件章节及具体内容</w:t>
            </w:r>
          </w:p>
        </w:tc>
        <w:tc>
          <w:tcPr>
            <w:tcW w:w="1276" w:type="dxa"/>
            <w:noWrap w:val="0"/>
            <w:vAlign w:val="top"/>
          </w:tcPr>
          <w:p>
            <w:pPr>
              <w:jc w:val="center"/>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p>
        </w:tc>
        <w:tc>
          <w:tcPr>
            <w:tcW w:w="3683" w:type="dxa"/>
            <w:noWrap w:val="0"/>
            <w:vAlign w:val="top"/>
          </w:tcPr>
          <w:p>
            <w:pPr>
              <w:jc w:val="center"/>
              <w:rPr>
                <w:rFonts w:hint="eastAsia" w:ascii="宋体" w:hAnsi="宋体" w:eastAsia="宋体" w:cs="宋体"/>
                <w:b/>
                <w:color w:val="000000"/>
                <w:kern w:val="0"/>
                <w:sz w:val="32"/>
                <w:szCs w:val="32"/>
                <w:highlight w:val="none"/>
              </w:rPr>
            </w:pPr>
          </w:p>
        </w:tc>
        <w:tc>
          <w:tcPr>
            <w:tcW w:w="3546" w:type="dxa"/>
            <w:noWrap w:val="0"/>
            <w:vAlign w:val="top"/>
          </w:tcPr>
          <w:p>
            <w:pPr>
              <w:jc w:val="center"/>
              <w:rPr>
                <w:rFonts w:hint="eastAsia" w:ascii="宋体" w:hAnsi="宋体" w:eastAsia="宋体" w:cs="宋体"/>
                <w:b/>
                <w:color w:val="000000"/>
                <w:kern w:val="0"/>
                <w:sz w:val="32"/>
                <w:szCs w:val="32"/>
                <w:highlight w:val="none"/>
              </w:rPr>
            </w:pPr>
          </w:p>
        </w:tc>
        <w:tc>
          <w:tcPr>
            <w:tcW w:w="1276" w:type="dxa"/>
            <w:noWrap w:val="0"/>
            <w:vAlign w:val="top"/>
          </w:tcPr>
          <w:p>
            <w:pPr>
              <w:jc w:val="center"/>
              <w:rPr>
                <w:rFonts w:hint="eastAsia" w:ascii="宋体" w:hAnsi="宋体" w:eastAsia="宋体" w:cs="宋体"/>
                <w:b/>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p>
        </w:tc>
        <w:tc>
          <w:tcPr>
            <w:tcW w:w="3683" w:type="dxa"/>
            <w:noWrap w:val="0"/>
            <w:vAlign w:val="top"/>
          </w:tcPr>
          <w:p>
            <w:pPr>
              <w:jc w:val="center"/>
              <w:rPr>
                <w:rFonts w:hint="eastAsia" w:ascii="宋体" w:hAnsi="宋体" w:eastAsia="宋体" w:cs="宋体"/>
                <w:b/>
                <w:color w:val="000000"/>
                <w:kern w:val="0"/>
                <w:sz w:val="32"/>
                <w:szCs w:val="32"/>
                <w:highlight w:val="none"/>
              </w:rPr>
            </w:pPr>
          </w:p>
        </w:tc>
        <w:tc>
          <w:tcPr>
            <w:tcW w:w="3546" w:type="dxa"/>
            <w:noWrap w:val="0"/>
            <w:vAlign w:val="top"/>
          </w:tcPr>
          <w:p>
            <w:pPr>
              <w:jc w:val="center"/>
              <w:rPr>
                <w:rFonts w:hint="eastAsia" w:ascii="宋体" w:hAnsi="宋体" w:eastAsia="宋体" w:cs="宋体"/>
                <w:b/>
                <w:color w:val="000000"/>
                <w:kern w:val="0"/>
                <w:sz w:val="32"/>
                <w:szCs w:val="32"/>
                <w:highlight w:val="none"/>
              </w:rPr>
            </w:pPr>
          </w:p>
        </w:tc>
        <w:tc>
          <w:tcPr>
            <w:tcW w:w="1276" w:type="dxa"/>
            <w:noWrap w:val="0"/>
            <w:vAlign w:val="top"/>
          </w:tcPr>
          <w:p>
            <w:pPr>
              <w:jc w:val="center"/>
              <w:rPr>
                <w:rFonts w:hint="eastAsia" w:ascii="宋体" w:hAnsi="宋体" w:eastAsia="宋体" w:cs="宋体"/>
                <w:b/>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w:t>
            </w:r>
          </w:p>
        </w:tc>
        <w:tc>
          <w:tcPr>
            <w:tcW w:w="3683" w:type="dxa"/>
            <w:noWrap w:val="0"/>
            <w:vAlign w:val="top"/>
          </w:tcPr>
          <w:p>
            <w:pPr>
              <w:jc w:val="center"/>
              <w:rPr>
                <w:rFonts w:hint="eastAsia" w:ascii="宋体" w:hAnsi="宋体" w:eastAsia="宋体" w:cs="宋体"/>
                <w:b/>
                <w:color w:val="000000"/>
                <w:kern w:val="0"/>
                <w:sz w:val="32"/>
                <w:szCs w:val="32"/>
                <w:highlight w:val="none"/>
              </w:rPr>
            </w:pPr>
          </w:p>
        </w:tc>
        <w:tc>
          <w:tcPr>
            <w:tcW w:w="3546" w:type="dxa"/>
            <w:noWrap w:val="0"/>
            <w:vAlign w:val="top"/>
          </w:tcPr>
          <w:p>
            <w:pPr>
              <w:jc w:val="center"/>
              <w:rPr>
                <w:rFonts w:hint="eastAsia" w:ascii="宋体" w:hAnsi="宋体" w:eastAsia="宋体" w:cs="宋体"/>
                <w:b/>
                <w:color w:val="000000"/>
                <w:kern w:val="0"/>
                <w:sz w:val="32"/>
                <w:szCs w:val="32"/>
                <w:highlight w:val="none"/>
              </w:rPr>
            </w:pPr>
          </w:p>
        </w:tc>
        <w:tc>
          <w:tcPr>
            <w:tcW w:w="1276" w:type="dxa"/>
            <w:noWrap w:val="0"/>
            <w:vAlign w:val="top"/>
          </w:tcPr>
          <w:p>
            <w:pPr>
              <w:jc w:val="center"/>
              <w:rPr>
                <w:rFonts w:hint="eastAsia" w:ascii="宋体" w:hAnsi="宋体" w:eastAsia="宋体" w:cs="宋体"/>
                <w:b/>
                <w:color w:val="000000"/>
                <w:kern w:val="0"/>
                <w:sz w:val="32"/>
                <w:szCs w:val="32"/>
                <w:highlight w:val="none"/>
              </w:rPr>
            </w:pPr>
          </w:p>
        </w:tc>
      </w:tr>
    </w:tbl>
    <w:p>
      <w:pPr>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响应人保证：除商务技术偏离表列出的偏离外，响应人响应公开竞争文件的全部要求</w:t>
      </w:r>
    </w:p>
    <w:p>
      <w:pPr>
        <w:jc w:val="center"/>
        <w:rPr>
          <w:rFonts w:hint="eastAsia" w:ascii="宋体" w:hAnsi="宋体" w:eastAsia="宋体" w:cs="宋体"/>
          <w:b/>
          <w:color w:val="000000"/>
          <w:kern w:val="0"/>
          <w:sz w:val="32"/>
          <w:szCs w:val="32"/>
          <w:highlight w:val="none"/>
        </w:rPr>
      </w:pPr>
    </w:p>
    <w:p>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pPr>
        <w:jc w:val="center"/>
        <w:rPr>
          <w:rFonts w:hint="eastAsia" w:ascii="宋体" w:hAnsi="宋体" w:eastAsia="宋体" w:cs="宋体"/>
          <w:b/>
          <w:color w:val="000000"/>
          <w:kern w:val="0"/>
          <w:sz w:val="32"/>
          <w:szCs w:val="32"/>
          <w:highlight w:val="none"/>
        </w:rPr>
      </w:pPr>
    </w:p>
    <w:p>
      <w:pP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br w:type="page"/>
      </w:r>
    </w:p>
    <w:p>
      <w:pPr>
        <w:jc w:val="center"/>
        <w:rPr>
          <w:rFonts w:hint="eastAsia" w:ascii="宋体" w:hAnsi="宋体" w:eastAsia="宋体" w:cs="宋体"/>
          <w:b/>
          <w:color w:val="000000"/>
          <w:kern w:val="0"/>
          <w:sz w:val="32"/>
          <w:szCs w:val="32"/>
          <w:highlight w:val="none"/>
        </w:rPr>
      </w:pPr>
      <w:r>
        <w:rPr>
          <w:rFonts w:hint="eastAsia" w:ascii="宋体" w:hAnsi="宋体" w:eastAsia="宋体" w:cs="宋体"/>
          <w:b/>
          <w:bCs/>
          <w:color w:val="000000"/>
          <w:sz w:val="32"/>
          <w:szCs w:val="32"/>
          <w:highlight w:val="none"/>
        </w:rPr>
        <w:t>七</w:t>
      </w:r>
      <w:r>
        <w:rPr>
          <w:rFonts w:hint="eastAsia" w:ascii="宋体" w:hAnsi="宋体" w:eastAsia="宋体" w:cs="宋体"/>
          <w:b/>
          <w:color w:val="000000"/>
          <w:kern w:val="0"/>
          <w:sz w:val="32"/>
          <w:szCs w:val="32"/>
          <w:highlight w:val="none"/>
        </w:rPr>
        <w:t>、</w:t>
      </w:r>
      <w:r>
        <w:rPr>
          <w:rFonts w:hint="eastAsia" w:ascii="宋体" w:hAnsi="宋体" w:eastAsia="宋体" w:cs="宋体"/>
          <w:b/>
          <w:color w:val="000000"/>
          <w:kern w:val="0"/>
          <w:sz w:val="32"/>
          <w:szCs w:val="32"/>
          <w:highlight w:val="none"/>
          <w:lang w:val="zh-CN"/>
        </w:rPr>
        <w:t>响应人廉洁自律承诺书</w:t>
      </w:r>
    </w:p>
    <w:p>
      <w:pPr>
        <w:snapToGrid w:val="0"/>
        <w:spacing w:line="360" w:lineRule="auto"/>
        <w:rPr>
          <w:rFonts w:hint="eastAsia" w:ascii="宋体" w:hAnsi="宋体" w:eastAsia="宋体" w:cs="宋体"/>
          <w:color w:val="000000"/>
          <w:sz w:val="24"/>
          <w:highlight w:val="none"/>
        </w:rPr>
      </w:pPr>
    </w:p>
    <w:p>
      <w:pPr>
        <w:snapToGrid w:val="0"/>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u w:val="single"/>
        </w:rPr>
        <w:t>（交易发起人）、（代理机构）</w:t>
      </w:r>
      <w:r>
        <w:rPr>
          <w:rFonts w:hint="eastAsia" w:ascii="宋体" w:hAnsi="宋体" w:eastAsia="宋体" w:cs="宋体"/>
          <w:color w:val="000000"/>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我单位响应你</w:t>
      </w:r>
      <w:r>
        <w:rPr>
          <w:rFonts w:hint="eastAsia" w:ascii="宋体" w:hAnsi="宋体" w:eastAsia="宋体" w:cs="宋体"/>
          <w:color w:val="000000"/>
          <w:sz w:val="24"/>
          <w:highlight w:val="none"/>
        </w:rPr>
        <w:t>单位</w:t>
      </w:r>
      <w:r>
        <w:rPr>
          <w:rFonts w:hint="eastAsia" w:ascii="宋体" w:hAnsi="宋体" w:eastAsia="宋体" w:cs="宋体"/>
          <w:color w:val="000000"/>
          <w:kern w:val="0"/>
          <w:sz w:val="24"/>
          <w:highlight w:val="none"/>
          <w:lang w:val="zh-CN"/>
        </w:rPr>
        <w:t>项目</w:t>
      </w:r>
      <w:r>
        <w:rPr>
          <w:rFonts w:hint="eastAsia" w:ascii="宋体" w:hAnsi="宋体" w:eastAsia="宋体" w:cs="宋体"/>
          <w:color w:val="000000"/>
          <w:kern w:val="0"/>
          <w:sz w:val="24"/>
          <w:highlight w:val="none"/>
          <w:lang w:val="en-US" w:eastAsia="zh-CN"/>
        </w:rPr>
        <w:t>交易</w:t>
      </w:r>
      <w:r>
        <w:rPr>
          <w:rFonts w:hint="eastAsia" w:ascii="宋体" w:hAnsi="宋体" w:eastAsia="宋体" w:cs="宋体"/>
          <w:color w:val="000000"/>
          <w:kern w:val="0"/>
          <w:sz w:val="24"/>
          <w:highlight w:val="none"/>
          <w:lang w:val="zh-CN"/>
        </w:rPr>
        <w:t>要求参加</w:t>
      </w:r>
      <w:r>
        <w:rPr>
          <w:rFonts w:hint="eastAsia" w:ascii="宋体" w:hAnsi="宋体" w:eastAsia="宋体" w:cs="宋体"/>
          <w:color w:val="000000"/>
          <w:kern w:val="0"/>
          <w:sz w:val="24"/>
          <w:highlight w:val="none"/>
          <w:lang w:val="en-US" w:eastAsia="zh-CN"/>
        </w:rPr>
        <w:t>响应</w:t>
      </w:r>
      <w:r>
        <w:rPr>
          <w:rFonts w:hint="eastAsia" w:ascii="宋体" w:hAnsi="宋体" w:eastAsia="宋体" w:cs="宋体"/>
          <w:color w:val="000000"/>
          <w:kern w:val="0"/>
          <w:sz w:val="24"/>
          <w:highlight w:val="none"/>
          <w:lang w:val="zh-CN"/>
        </w:rPr>
        <w:t>。在这次响应过程中和</w:t>
      </w:r>
      <w:r>
        <w:rPr>
          <w:rFonts w:hint="eastAsia" w:ascii="宋体" w:hAnsi="宋体" w:eastAsia="宋体" w:cs="宋体"/>
          <w:color w:val="000000"/>
          <w:kern w:val="0"/>
          <w:sz w:val="24"/>
          <w:highlight w:val="none"/>
        </w:rPr>
        <w:t>成交</w:t>
      </w:r>
      <w:r>
        <w:rPr>
          <w:rFonts w:hint="eastAsia" w:ascii="宋体" w:hAnsi="宋体" w:eastAsia="宋体" w:cs="宋体"/>
          <w:color w:val="000000"/>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好处；</w:t>
      </w:r>
    </w:p>
    <w:p>
      <w:pPr>
        <w:autoSpaceDE w:val="0"/>
        <w:autoSpaceDN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如违反上述承诺，你</w:t>
      </w:r>
      <w:r>
        <w:rPr>
          <w:rFonts w:hint="eastAsia" w:ascii="宋体" w:hAnsi="宋体" w:eastAsia="宋体" w:cs="宋体"/>
          <w:color w:val="000000"/>
          <w:sz w:val="24"/>
          <w:highlight w:val="none"/>
        </w:rPr>
        <w:t>单位</w:t>
      </w:r>
      <w:r>
        <w:rPr>
          <w:rFonts w:hint="eastAsia" w:ascii="宋体" w:hAnsi="宋体" w:eastAsia="宋体" w:cs="宋体"/>
          <w:color w:val="000000"/>
          <w:kern w:val="0"/>
          <w:sz w:val="24"/>
          <w:highlight w:val="none"/>
          <w:lang w:val="zh-CN"/>
        </w:rPr>
        <w:t>有权立即取消我单位响应、</w:t>
      </w:r>
      <w:r>
        <w:rPr>
          <w:rFonts w:hint="eastAsia" w:ascii="宋体" w:hAnsi="宋体" w:eastAsia="宋体" w:cs="宋体"/>
          <w:color w:val="000000"/>
          <w:kern w:val="0"/>
          <w:sz w:val="24"/>
          <w:highlight w:val="none"/>
        </w:rPr>
        <w:t>成交</w:t>
      </w:r>
      <w:r>
        <w:rPr>
          <w:rFonts w:hint="eastAsia" w:ascii="宋体" w:hAnsi="宋体" w:eastAsia="宋体" w:cs="宋体"/>
          <w:color w:val="000000"/>
          <w:kern w:val="0"/>
          <w:sz w:val="24"/>
          <w:highlight w:val="none"/>
          <w:lang w:val="zh-CN"/>
        </w:rPr>
        <w:t>或在建项目的建设资格，有权拒绝我单位在一定时期内进入你</w:t>
      </w:r>
      <w:r>
        <w:rPr>
          <w:rFonts w:hint="eastAsia" w:ascii="宋体" w:hAnsi="宋体" w:eastAsia="宋体" w:cs="宋体"/>
          <w:color w:val="000000"/>
          <w:sz w:val="24"/>
          <w:highlight w:val="none"/>
        </w:rPr>
        <w:t>单位</w:t>
      </w:r>
      <w:r>
        <w:rPr>
          <w:rFonts w:hint="eastAsia" w:ascii="宋体" w:hAnsi="宋体" w:eastAsia="宋体" w:cs="宋体"/>
          <w:color w:val="000000"/>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000000"/>
          <w:kern w:val="0"/>
          <w:sz w:val="24"/>
          <w:highlight w:val="none"/>
          <w:lang w:val="zh-CN"/>
        </w:rPr>
      </w:pPr>
    </w:p>
    <w:p>
      <w:pPr>
        <w:autoSpaceDE w:val="0"/>
        <w:autoSpaceDN w:val="0"/>
        <w:spacing w:line="360" w:lineRule="auto"/>
        <w:ind w:left="2"/>
        <w:jc w:val="left"/>
        <w:rPr>
          <w:rFonts w:hint="eastAsia" w:ascii="宋体" w:hAnsi="宋体" w:eastAsia="宋体" w:cs="宋体"/>
          <w:color w:val="000000"/>
          <w:kern w:val="0"/>
          <w:sz w:val="24"/>
          <w:highlight w:val="none"/>
          <w:lang w:val="zh-CN"/>
        </w:rPr>
      </w:pPr>
    </w:p>
    <w:p>
      <w:pPr>
        <w:autoSpaceDE w:val="0"/>
        <w:autoSpaceDN w:val="0"/>
        <w:spacing w:line="360" w:lineRule="auto"/>
        <w:ind w:left="2"/>
        <w:jc w:val="left"/>
        <w:rPr>
          <w:rFonts w:hint="eastAsia" w:ascii="宋体" w:hAnsi="宋体" w:eastAsia="宋体" w:cs="宋体"/>
          <w:color w:val="000000"/>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响应人名称（</w:t>
      </w:r>
      <w:r>
        <w:rPr>
          <w:rFonts w:hint="eastAsia" w:ascii="宋体" w:hAnsi="宋体" w:eastAsia="宋体" w:cs="宋体"/>
          <w:color w:val="000000"/>
          <w:sz w:val="24"/>
          <w:highlight w:val="none"/>
        </w:rPr>
        <w:t>电子签名</w:t>
      </w:r>
      <w:r>
        <w:rPr>
          <w:rFonts w:hint="eastAsia" w:ascii="宋体" w:hAnsi="宋体" w:eastAsia="宋体" w:cs="宋体"/>
          <w:color w:val="000000"/>
          <w:kern w:val="0"/>
          <w:sz w:val="24"/>
          <w:highlight w:val="none"/>
          <w:lang w:val="zh-CN"/>
        </w:rPr>
        <w:t xml:space="preserve">）：                                                                                                                                                                                                               </w:t>
      </w:r>
    </w:p>
    <w:p>
      <w:pPr>
        <w:spacing w:line="360" w:lineRule="auto"/>
        <w:ind w:left="4620" w:leftChars="2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zh-CN"/>
        </w:rPr>
        <w:t xml:space="preserve">   年   月   日</w:t>
      </w:r>
    </w:p>
    <w:p>
      <w:pPr>
        <w:spacing w:line="360" w:lineRule="auto"/>
        <w:jc w:val="center"/>
        <w:rPr>
          <w:rFonts w:hint="eastAsia" w:ascii="宋体" w:hAnsi="宋体" w:eastAsia="宋体" w:cs="宋体"/>
          <w:b/>
          <w:bCs/>
          <w:color w:val="000000"/>
          <w:sz w:val="24"/>
          <w:highlight w:val="none"/>
        </w:rPr>
      </w:pPr>
    </w:p>
    <w:p>
      <w:pPr>
        <w:spacing w:line="360" w:lineRule="auto"/>
        <w:ind w:right="42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注：按本格式和要求提供。</w:t>
      </w:r>
    </w:p>
    <w:p>
      <w:pPr>
        <w:spacing w:line="240" w:lineRule="auto"/>
        <w:jc w:val="lef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br w:type="page"/>
      </w:r>
    </w:p>
    <w:p>
      <w:pPr>
        <w:spacing w:line="360" w:lineRule="auto"/>
        <w:jc w:val="center"/>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报价文件部分</w:t>
      </w:r>
    </w:p>
    <w:p>
      <w:pPr>
        <w:spacing w:line="360" w:lineRule="auto"/>
        <w:jc w:val="center"/>
        <w:outlineLvl w:val="0"/>
        <w:rPr>
          <w:rFonts w:hint="eastAsia" w:ascii="宋体" w:hAnsi="宋体" w:eastAsia="宋体" w:cs="宋体"/>
          <w:b/>
          <w:color w:val="000000"/>
          <w:kern w:val="0"/>
          <w:sz w:val="36"/>
          <w:szCs w:val="36"/>
          <w:highlight w:val="none"/>
        </w:rPr>
      </w:pPr>
      <w:r>
        <w:rPr>
          <w:rFonts w:hint="eastAsia" w:ascii="宋体" w:hAnsi="宋体" w:eastAsia="宋体" w:cs="宋体"/>
          <w:b/>
          <w:color w:val="000000"/>
          <w:kern w:val="0"/>
          <w:sz w:val="36"/>
          <w:szCs w:val="36"/>
          <w:highlight w:val="none"/>
        </w:rPr>
        <w:t>目录</w:t>
      </w:r>
    </w:p>
    <w:p>
      <w:pPr>
        <w:spacing w:line="360" w:lineRule="auto"/>
        <w:jc w:val="center"/>
        <w:outlineLvl w:val="0"/>
        <w:rPr>
          <w:rFonts w:hint="eastAsia" w:ascii="宋体" w:hAnsi="宋体" w:eastAsia="宋体" w:cs="宋体"/>
          <w:b/>
          <w:color w:val="000000"/>
          <w:kern w:val="0"/>
          <w:sz w:val="36"/>
          <w:szCs w:val="36"/>
          <w:highlight w:val="none"/>
        </w:rPr>
      </w:pP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（1）交易一览表（报价表）………………………………………………………（页码）</w:t>
      </w: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snapToGrid w:val="0"/>
        <w:spacing w:line="360" w:lineRule="auto"/>
        <w:ind w:right="480"/>
        <w:jc w:val="center"/>
        <w:rPr>
          <w:rFonts w:hint="eastAsia" w:ascii="宋体" w:hAnsi="宋体" w:eastAsia="宋体" w:cs="宋体"/>
          <w:b/>
          <w:color w:val="000000"/>
          <w:kern w:val="0"/>
          <w:sz w:val="32"/>
          <w:szCs w:val="32"/>
          <w:highlight w:val="none"/>
        </w:rPr>
      </w:pPr>
    </w:p>
    <w:p>
      <w:pPr>
        <w:pStyle w:val="32"/>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pgNumType w:fmt="numberInDash"/>
          <w:cols w:space="720" w:num="1"/>
          <w:titlePg/>
          <w:docGrid w:linePitch="312" w:charSpace="0"/>
        </w:sectPr>
      </w:pPr>
    </w:p>
    <w:p>
      <w:pPr>
        <w:pStyle w:val="32"/>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（交易发起人）、（代理机构）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按你方公开竞争文件要求，我们，本响应文件签字方，谨此向你方发出要约如下：如你方接受本</w:t>
      </w:r>
      <w:r>
        <w:rPr>
          <w:rFonts w:hint="eastAsia" w:ascii="宋体" w:hAnsi="宋体" w:eastAsia="宋体" w:cs="宋体"/>
          <w:color w:val="auto"/>
          <w:kern w:val="0"/>
          <w:sz w:val="24"/>
          <w:highlight w:val="none"/>
          <w:lang w:val="en-US" w:eastAsia="zh-CN"/>
        </w:rPr>
        <w:t>响应</w:t>
      </w:r>
      <w:r>
        <w:rPr>
          <w:rFonts w:hint="eastAsia" w:ascii="宋体" w:hAnsi="宋体" w:eastAsia="宋体" w:cs="宋体"/>
          <w:color w:val="auto"/>
          <w:kern w:val="0"/>
          <w:sz w:val="24"/>
          <w:highlight w:val="none"/>
          <w:lang w:val="zh-CN"/>
        </w:rPr>
        <w:t>，我方承诺按照如下交易一览表（报价表）的价格完成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en-US" w:eastAsia="zh-CN"/>
        </w:rPr>
        <w:t xml:space="preserve">                              </w:t>
      </w:r>
      <w:r>
        <w:rPr>
          <w:rFonts w:hint="eastAsia" w:ascii="宋体" w:hAnsi="宋体" w:eastAsia="宋体" w:cs="宋体"/>
          <w:b/>
          <w:color w:val="auto"/>
          <w:kern w:val="0"/>
          <w:sz w:val="24"/>
          <w:highlight w:val="none"/>
          <w:lang w:val="zh-CN"/>
        </w:rPr>
        <w:t>交易一览表（报价表）(单位均为人民币元)</w:t>
      </w:r>
    </w:p>
    <w:tbl>
      <w:tblPr>
        <w:tblStyle w:val="18"/>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3150"/>
        <w:gridCol w:w="1320"/>
        <w:gridCol w:w="1440"/>
        <w:gridCol w:w="1319"/>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名称</w:t>
            </w:r>
          </w:p>
        </w:tc>
        <w:tc>
          <w:tcPr>
            <w:tcW w:w="22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具体内容</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具体服务</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单价</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总价</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000000"/>
                <w:sz w:val="24"/>
              </w:rPr>
            </w:pPr>
          </w:p>
        </w:tc>
        <w:tc>
          <w:tcPr>
            <w:tcW w:w="22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47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响应</w:t>
            </w:r>
            <w:r>
              <w:rPr>
                <w:rFonts w:hint="eastAsia" w:ascii="宋体" w:hAnsi="宋体" w:eastAsia="宋体" w:cs="宋体"/>
                <w:b/>
                <w:color w:val="000000"/>
                <w:sz w:val="24"/>
              </w:rPr>
              <w:t>报价单价（小写）</w:t>
            </w:r>
          </w:p>
        </w:tc>
        <w:tc>
          <w:tcPr>
            <w:tcW w:w="609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47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响应</w:t>
            </w:r>
            <w:r>
              <w:rPr>
                <w:rFonts w:hint="eastAsia" w:ascii="宋体" w:hAnsi="宋体" w:eastAsia="宋体" w:cs="宋体"/>
                <w:b/>
                <w:color w:val="000000"/>
                <w:sz w:val="24"/>
              </w:rPr>
              <w:t>报价单价（大写）</w:t>
            </w:r>
          </w:p>
        </w:tc>
        <w:tc>
          <w:tcPr>
            <w:tcW w:w="609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rPr>
            </w:pPr>
          </w:p>
        </w:tc>
      </w:tr>
    </w:tbl>
    <w:p>
      <w:pPr>
        <w:snapToGrid w:val="0"/>
        <w:spacing w:line="360" w:lineRule="auto"/>
        <w:jc w:val="center"/>
        <w:rPr>
          <w:rFonts w:hint="eastAsia" w:ascii="宋体" w:hAnsi="宋体" w:eastAsia="宋体" w:cs="宋体"/>
          <w:b/>
          <w:color w:val="auto"/>
          <w:kern w:val="0"/>
          <w:sz w:val="24"/>
          <w:highlight w:val="none"/>
          <w:lang w:val="zh-CN"/>
        </w:rPr>
      </w:pPr>
    </w:p>
    <w:p>
      <w:pPr>
        <w:snapToGrid w:val="0"/>
        <w:spacing w:line="360" w:lineRule="auto"/>
        <w:ind w:left="480"/>
        <w:rPr>
          <w:rFonts w:hint="eastAsia" w:ascii="宋体" w:hAnsi="宋体" w:eastAsia="宋体" w:cs="宋体"/>
          <w:color w:val="000000"/>
          <w:kern w:val="0"/>
          <w:sz w:val="24"/>
          <w:highlight w:val="none"/>
          <w:lang w:val="zh-CN"/>
        </w:rPr>
      </w:pPr>
      <w:r>
        <w:rPr>
          <w:rFonts w:hint="eastAsia" w:ascii="宋体" w:hAnsi="宋体" w:eastAsia="宋体" w:cs="宋体"/>
          <w:b/>
          <w:color w:val="000000"/>
          <w:kern w:val="0"/>
          <w:sz w:val="24"/>
          <w:highlight w:val="none"/>
          <w:lang w:val="zh-CN"/>
        </w:rPr>
        <w:t>注：</w:t>
      </w:r>
    </w:p>
    <w:p>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1、响应人需按本表格式填写，不得自行更改。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交易发起人将以合同形式有偿取得货物或服务，不接受响应人给予的赠品、回扣或者与交易无关的其他商品、服务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响应文件含有交易发起人不能接受的附加条件的，交易无效</w:t>
      </w:r>
      <w:r>
        <w:rPr>
          <w:rFonts w:hint="eastAsia" w:ascii="宋体" w:hAnsi="宋体" w:eastAsia="宋体" w:cs="宋体"/>
          <w:b/>
          <w:color w:val="auto"/>
          <w:kern w:val="0"/>
          <w:sz w:val="24"/>
          <w:highlight w:val="none"/>
          <w:lang w:val="zh-CN"/>
        </w:rPr>
        <w:t>；交易内容未包含在《交易一览表（报价表）》名称栏中，响应人不能作出合理解释的，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响应文件含有交易发起人不能接受的附加条件的，交易无效。</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pacing w:line="360" w:lineRule="auto"/>
        <w:ind w:firstLine="480" w:firstLineChars="200"/>
        <w:rPr>
          <w:rFonts w:hint="eastAsia" w:ascii="宋体" w:hAnsi="宋体" w:eastAsia="宋体" w:cs="宋体"/>
          <w:b/>
          <w:color w:val="000000"/>
          <w:kern w:val="0"/>
          <w:sz w:val="24"/>
          <w:highlight w:val="none"/>
        </w:rPr>
      </w:pPr>
      <w:r>
        <w:rPr>
          <w:rFonts w:hint="eastAsia" w:ascii="宋体" w:hAnsi="宋体" w:eastAsia="宋体" w:cs="宋体"/>
          <w:color w:val="auto"/>
          <w:kern w:val="0"/>
          <w:sz w:val="24"/>
          <w:highlight w:val="none"/>
          <w:lang w:val="zh-CN"/>
        </w:rPr>
        <w:t>4、特别提示：代理机构将对项目名称和项目编号，成交响应人名称、地址和</w:t>
      </w:r>
      <w:r>
        <w:rPr>
          <w:rFonts w:hint="eastAsia" w:ascii="宋体" w:hAnsi="宋体" w:eastAsia="宋体" w:cs="宋体"/>
          <w:color w:val="auto"/>
          <w:kern w:val="0"/>
          <w:sz w:val="24"/>
          <w:highlight w:val="none"/>
        </w:rPr>
        <w:t>成交</w:t>
      </w:r>
      <w:r>
        <w:rPr>
          <w:rFonts w:hint="eastAsia" w:ascii="宋体" w:hAnsi="宋体" w:eastAsia="宋体" w:cs="宋体"/>
          <w:color w:val="auto"/>
          <w:kern w:val="0"/>
          <w:sz w:val="24"/>
          <w:highlight w:val="none"/>
          <w:lang w:val="zh-CN"/>
        </w:rPr>
        <w:t>金额等予以公示。</w:t>
      </w:r>
    </w:p>
    <w:p>
      <w:pPr>
        <w:autoSpaceDE w:val="0"/>
        <w:autoSpaceDN w:val="0"/>
        <w:spacing w:line="360" w:lineRule="auto"/>
        <w:ind w:left="2" w:leftChars="1" w:right="1120" w:firstLine="7680" w:firstLineChars="32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响应人名称（</w:t>
      </w:r>
      <w:r>
        <w:rPr>
          <w:rFonts w:hint="eastAsia" w:ascii="宋体" w:hAnsi="宋体" w:eastAsia="宋体" w:cs="宋体"/>
          <w:color w:val="000000"/>
          <w:sz w:val="24"/>
          <w:highlight w:val="none"/>
        </w:rPr>
        <w:t>电子签名</w:t>
      </w:r>
      <w:r>
        <w:rPr>
          <w:rFonts w:hint="eastAsia" w:ascii="宋体" w:hAnsi="宋体" w:eastAsia="宋体" w:cs="宋体"/>
          <w:color w:val="000000"/>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000000"/>
          <w:sz w:val="32"/>
          <w:szCs w:val="32"/>
          <w:highlight w:val="none"/>
        </w:rPr>
        <w:sectPr>
          <w:pgSz w:w="16838" w:h="11906" w:orient="landscape"/>
          <w:pgMar w:top="1418" w:right="1247" w:bottom="1418" w:left="1276" w:header="851" w:footer="992" w:gutter="0"/>
          <w:pgNumType w:fmt="numberInDash"/>
          <w:cols w:space="720" w:num="1"/>
          <w:titlePg/>
          <w:docGrid w:linePitch="312" w:charSpace="0"/>
        </w:sectPr>
      </w:pP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zh-CN"/>
        </w:rPr>
        <w:t xml:space="preserve">   年   月   日</w:t>
      </w:r>
    </w:p>
    <w:p>
      <w:pPr>
        <w:spacing w:line="360" w:lineRule="auto"/>
        <w:jc w:val="left"/>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附件1：</w:t>
      </w:r>
      <w:r>
        <w:rPr>
          <w:rFonts w:hint="eastAsia" w:ascii="宋体" w:hAnsi="宋体" w:eastAsia="宋体" w:cs="宋体"/>
          <w:b/>
          <w:color w:val="000000"/>
          <w:spacing w:val="6"/>
          <w:sz w:val="32"/>
          <w:szCs w:val="32"/>
          <w:highlight w:val="none"/>
          <w:lang w:val="zh-CN"/>
        </w:rPr>
        <w:t>异议</w:t>
      </w:r>
      <w:r>
        <w:rPr>
          <w:rFonts w:hint="eastAsia" w:ascii="宋体" w:hAnsi="宋体" w:eastAsia="宋体" w:cs="宋体"/>
          <w:b/>
          <w:color w:val="000000"/>
          <w:spacing w:val="6"/>
          <w:sz w:val="32"/>
          <w:szCs w:val="32"/>
          <w:highlight w:val="none"/>
        </w:rPr>
        <w:t>函范本及制作说明</w:t>
      </w:r>
    </w:p>
    <w:p>
      <w:pPr>
        <w:spacing w:line="360" w:lineRule="auto"/>
        <w:jc w:val="center"/>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异议函范本</w:t>
      </w:r>
    </w:p>
    <w:p>
      <w:pPr>
        <w:snapToGrid w:val="0"/>
        <w:spacing w:before="240" w:beforeLines="100"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一、异议响应人基本信息</w:t>
      </w:r>
    </w:p>
    <w:p>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异议响应人：</w:t>
      </w: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授权代表：</w:t>
      </w: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 xml:space="preserve"> </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地址： </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二、异议项目基本情况</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异议项目的名称：</w:t>
      </w: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异议项目的编号：</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包号：</w:t>
      </w: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交易发起人名称：</w:t>
      </w: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公开竞争文件获取日期：</w:t>
      </w: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三、异议事项具体内容</w:t>
      </w:r>
    </w:p>
    <w:p>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异议事项1：</w:t>
      </w: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事实依据：</w:t>
      </w: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法律依据：</w:t>
      </w: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u w:val="dotted"/>
        </w:rPr>
        <w:t xml:space="preserve">                                                     </w:t>
      </w:r>
    </w:p>
    <w:p>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异议事项2</w:t>
      </w:r>
    </w:p>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pPr>
        <w:snapToGrid w:val="0"/>
        <w:spacing w:line="360" w:lineRule="auto"/>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四、与异议事项相关的异议请求</w:t>
      </w:r>
    </w:p>
    <w:p>
      <w:pPr>
        <w:snapToGrid w:val="0"/>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请求：</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签字(签章)：                   公章：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日期：    </w:t>
      </w:r>
    </w:p>
    <w:p>
      <w:pPr>
        <w:spacing w:line="360" w:lineRule="auto"/>
        <w:jc w:val="center"/>
        <w:rPr>
          <w:rFonts w:hint="eastAsia" w:ascii="宋体" w:hAnsi="宋体" w:eastAsia="宋体" w:cs="宋体"/>
          <w:b/>
          <w:bCs/>
          <w:color w:val="000000"/>
          <w:sz w:val="24"/>
          <w:highlight w:val="none"/>
        </w:rPr>
      </w:pPr>
    </w:p>
    <w:p>
      <w:pPr>
        <w:spacing w:line="360" w:lineRule="auto"/>
        <w:rPr>
          <w:rFonts w:hint="eastAsia" w:ascii="宋体" w:hAnsi="宋体" w:eastAsia="宋体" w:cs="宋体"/>
          <w:b/>
          <w:color w:val="000000"/>
          <w:sz w:val="24"/>
          <w:highlight w:val="none"/>
        </w:rPr>
      </w:pPr>
    </w:p>
    <w:p>
      <w:pPr>
        <w:spacing w:line="360" w:lineRule="auto"/>
        <w:rPr>
          <w:rFonts w:hint="eastAsia" w:ascii="宋体" w:hAnsi="宋体" w:eastAsia="宋体" w:cs="宋体"/>
          <w:b/>
          <w:color w:val="000000"/>
          <w:sz w:val="24"/>
          <w:highlight w:val="none"/>
        </w:rPr>
      </w:pPr>
    </w:p>
    <w:p>
      <w:pPr>
        <w:spacing w:line="360" w:lineRule="auto"/>
        <w:rPr>
          <w:rFonts w:hint="eastAsia" w:ascii="宋体" w:hAnsi="宋体" w:eastAsia="宋体" w:cs="宋体"/>
          <w:b/>
          <w:color w:val="000000"/>
          <w:sz w:val="24"/>
          <w:highlight w:val="none"/>
        </w:rPr>
      </w:pP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异议函制作说明：</w:t>
      </w:r>
    </w:p>
    <w:p>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1.响应人提出异议时，应提交异议函和必要的证明材料。</w:t>
      </w:r>
    </w:p>
    <w:p>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2.异议响应人若委托代理人进行异议的，异议函应按要求列明“授权代表”的有关内容，并在附件中提交由异议</w:t>
      </w:r>
      <w:r>
        <w:rPr>
          <w:rFonts w:hint="eastAsia" w:ascii="宋体" w:hAnsi="宋体" w:eastAsia="宋体" w:cs="宋体"/>
          <w:color w:val="000000"/>
          <w:kern w:val="0"/>
          <w:sz w:val="24"/>
          <w:highlight w:val="none"/>
        </w:rPr>
        <w:t>响应人签署的授权委托书。授权委托书应载明代理人的姓名或者名称、代理事项、具体权限、期限和相关事项。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3.异议响应人若对项目的某一分包进行异议，异议函中应列明具体分包号。</w:t>
      </w:r>
    </w:p>
    <w:p>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4.异议函的异议事项应具体、明确，并有必要的事实依据和法律依据。</w:t>
      </w:r>
    </w:p>
    <w:p>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5.异议函的异议请求应与异议事项相关。</w:t>
      </w:r>
    </w:p>
    <w:p>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000000"/>
          <w:sz w:val="30"/>
          <w:szCs w:val="30"/>
          <w:highlight w:val="none"/>
        </w:rPr>
      </w:pPr>
    </w:p>
    <w:p>
      <w:pPr>
        <w:spacing w:line="360" w:lineRule="auto"/>
        <w:jc w:val="center"/>
        <w:rPr>
          <w:rFonts w:hint="eastAsia" w:ascii="宋体" w:hAnsi="宋体" w:eastAsia="宋体" w:cs="宋体"/>
          <w:b/>
          <w:color w:val="000000"/>
          <w:spacing w:val="6"/>
          <w:sz w:val="32"/>
          <w:szCs w:val="32"/>
          <w:highlight w:val="none"/>
        </w:rPr>
      </w:pPr>
    </w:p>
    <w:p>
      <w:pPr>
        <w:spacing w:line="360" w:lineRule="auto"/>
        <w:jc w:val="center"/>
        <w:rPr>
          <w:rFonts w:hint="eastAsia" w:ascii="宋体" w:hAnsi="宋体" w:eastAsia="宋体" w:cs="宋体"/>
          <w:b/>
          <w:color w:val="000000"/>
          <w:spacing w:val="6"/>
          <w:sz w:val="32"/>
          <w:szCs w:val="32"/>
          <w:highlight w:val="none"/>
        </w:rPr>
      </w:pPr>
    </w:p>
    <w:p>
      <w:pPr>
        <w:spacing w:line="360" w:lineRule="auto"/>
        <w:jc w:val="center"/>
        <w:rPr>
          <w:rFonts w:hint="eastAsia" w:ascii="宋体" w:hAnsi="宋体" w:eastAsia="宋体" w:cs="宋体"/>
          <w:b/>
          <w:color w:val="000000"/>
          <w:spacing w:val="6"/>
          <w:sz w:val="32"/>
          <w:szCs w:val="32"/>
          <w:highlight w:val="none"/>
        </w:rPr>
      </w:pPr>
    </w:p>
    <w:p>
      <w:pPr>
        <w:spacing w:line="360" w:lineRule="auto"/>
        <w:jc w:val="center"/>
        <w:rPr>
          <w:rFonts w:hint="eastAsia" w:ascii="宋体" w:hAnsi="宋体" w:eastAsia="宋体" w:cs="宋体"/>
          <w:b/>
          <w:color w:val="000000"/>
          <w:spacing w:val="6"/>
          <w:sz w:val="32"/>
          <w:szCs w:val="32"/>
          <w:highlight w:val="none"/>
        </w:rPr>
      </w:pPr>
    </w:p>
    <w:p>
      <w:pPr>
        <w:spacing w:line="360" w:lineRule="auto"/>
        <w:jc w:val="center"/>
        <w:rPr>
          <w:rFonts w:hint="eastAsia" w:ascii="宋体" w:hAnsi="宋体" w:eastAsia="宋体" w:cs="宋体"/>
          <w:b/>
          <w:color w:val="000000"/>
          <w:spacing w:val="6"/>
          <w:sz w:val="32"/>
          <w:szCs w:val="32"/>
          <w:highlight w:val="none"/>
        </w:rPr>
      </w:pPr>
    </w:p>
    <w:p>
      <w:pPr>
        <w:spacing w:line="360" w:lineRule="auto"/>
        <w:jc w:val="center"/>
        <w:rPr>
          <w:rFonts w:hint="eastAsia" w:ascii="宋体" w:hAnsi="宋体" w:eastAsia="宋体" w:cs="宋体"/>
          <w:b/>
          <w:color w:val="000000"/>
          <w:spacing w:val="6"/>
          <w:sz w:val="32"/>
          <w:szCs w:val="32"/>
          <w:highlight w:val="none"/>
        </w:rPr>
      </w:pPr>
    </w:p>
    <w:p>
      <w:pPr>
        <w:spacing w:line="360" w:lineRule="auto"/>
        <w:jc w:val="center"/>
        <w:rPr>
          <w:rFonts w:hint="eastAsia" w:ascii="宋体" w:hAnsi="宋体" w:eastAsia="宋体" w:cs="宋体"/>
          <w:b/>
          <w:color w:val="000000"/>
          <w:spacing w:val="6"/>
          <w:sz w:val="32"/>
          <w:szCs w:val="32"/>
          <w:highlight w:val="none"/>
        </w:rPr>
      </w:pPr>
    </w:p>
    <w:p>
      <w:pPr>
        <w:spacing w:line="360" w:lineRule="auto"/>
        <w:jc w:val="center"/>
        <w:rPr>
          <w:rFonts w:hint="eastAsia" w:ascii="宋体" w:hAnsi="宋体" w:eastAsia="宋体" w:cs="宋体"/>
          <w:b/>
          <w:color w:val="000000"/>
          <w:spacing w:val="6"/>
          <w:sz w:val="32"/>
          <w:szCs w:val="32"/>
          <w:highlight w:val="none"/>
        </w:rPr>
      </w:pPr>
    </w:p>
    <w:p>
      <w:pPr>
        <w:spacing w:line="360" w:lineRule="auto"/>
        <w:jc w:val="center"/>
        <w:rPr>
          <w:rFonts w:hint="eastAsia" w:ascii="宋体" w:hAnsi="宋体" w:eastAsia="宋体" w:cs="宋体"/>
          <w:b/>
          <w:color w:val="000000"/>
          <w:spacing w:val="6"/>
          <w:sz w:val="32"/>
          <w:szCs w:val="32"/>
          <w:highlight w:val="none"/>
        </w:rPr>
      </w:pPr>
    </w:p>
    <w:p>
      <w:pPr>
        <w:spacing w:line="360" w:lineRule="auto"/>
        <w:jc w:val="center"/>
        <w:rPr>
          <w:rFonts w:hint="eastAsia" w:ascii="宋体" w:hAnsi="宋体" w:eastAsia="宋体" w:cs="宋体"/>
          <w:b/>
          <w:color w:val="000000"/>
          <w:spacing w:val="6"/>
          <w:sz w:val="32"/>
          <w:szCs w:val="32"/>
          <w:highlight w:val="none"/>
        </w:rPr>
      </w:pPr>
    </w:p>
    <w:p>
      <w:pPr>
        <w:spacing w:line="360" w:lineRule="auto"/>
        <w:jc w:val="center"/>
        <w:rPr>
          <w:rFonts w:hint="eastAsia" w:ascii="宋体" w:hAnsi="宋体" w:eastAsia="宋体" w:cs="宋体"/>
          <w:b/>
          <w:color w:val="000000"/>
          <w:spacing w:val="6"/>
          <w:sz w:val="32"/>
          <w:szCs w:val="32"/>
          <w:highlight w:val="none"/>
        </w:rPr>
      </w:pPr>
    </w:p>
    <w:p>
      <w:pPr>
        <w:spacing w:line="360" w:lineRule="auto"/>
        <w:jc w:val="left"/>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附件2：投诉书范本及制作说明</w:t>
      </w:r>
    </w:p>
    <w:p>
      <w:pPr>
        <w:spacing w:line="360" w:lineRule="auto"/>
        <w:jc w:val="center"/>
        <w:rPr>
          <w:rFonts w:hint="eastAsia" w:ascii="宋体" w:hAnsi="宋体" w:eastAsia="宋体" w:cs="宋体"/>
          <w:b/>
          <w:color w:val="000000"/>
          <w:sz w:val="24"/>
          <w:highlight w:val="none"/>
        </w:rPr>
      </w:pPr>
    </w:p>
    <w:p>
      <w:pPr>
        <w:spacing w:line="360" w:lineRule="auto"/>
        <w:jc w:val="center"/>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投诉书范本</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一、投诉相关主体基本情况</w:t>
      </w:r>
    </w:p>
    <w:p>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投诉人：</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pPr>
        <w:tabs>
          <w:tab w:val="left" w:pos="6510"/>
        </w:tabs>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法定代表人/主要负责人：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 xml:space="preserve">  </w:t>
      </w:r>
    </w:p>
    <w:p>
      <w:pPr>
        <w:tabs>
          <w:tab w:val="left" w:pos="6510"/>
        </w:tabs>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授权代表：</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被投诉人1：</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联系人：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被投诉人2</w:t>
      </w:r>
    </w:p>
    <w:p>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相关响应人：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地     址：</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邮编：</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联系人：</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二、投诉项目基本情况</w:t>
      </w:r>
    </w:p>
    <w:p>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交易名称：</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交易编号：</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包号：</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交易发起人名称：</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u w:val="single"/>
        </w:rPr>
        <w:t xml:space="preserve">  </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代理机构名称：</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公开竞争文件公告:</w:t>
      </w:r>
      <w:r>
        <w:rPr>
          <w:rFonts w:hint="eastAsia" w:ascii="宋体" w:hAnsi="宋体" w:eastAsia="宋体" w:cs="宋体"/>
          <w:color w:val="000000"/>
          <w:sz w:val="24"/>
          <w:highlight w:val="none"/>
          <w:u w:val="dotted"/>
        </w:rPr>
        <w:t xml:space="preserve">是/否 </w:t>
      </w:r>
      <w:r>
        <w:rPr>
          <w:rFonts w:hint="eastAsia" w:ascii="宋体" w:hAnsi="宋体" w:eastAsia="宋体" w:cs="宋体"/>
          <w:color w:val="000000"/>
          <w:sz w:val="24"/>
          <w:highlight w:val="none"/>
        </w:rPr>
        <w:t>公告期限：</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成交结果公告:</w:t>
      </w:r>
      <w:r>
        <w:rPr>
          <w:rFonts w:hint="eastAsia" w:ascii="宋体" w:hAnsi="宋体" w:eastAsia="宋体" w:cs="宋体"/>
          <w:color w:val="000000"/>
          <w:sz w:val="24"/>
          <w:highlight w:val="none"/>
          <w:u w:val="dotted"/>
        </w:rPr>
        <w:t xml:space="preserve">是/否 </w:t>
      </w:r>
      <w:r>
        <w:rPr>
          <w:rFonts w:hint="eastAsia" w:ascii="宋体" w:hAnsi="宋体" w:eastAsia="宋体" w:cs="宋体"/>
          <w:color w:val="000000"/>
          <w:sz w:val="24"/>
          <w:highlight w:val="none"/>
        </w:rPr>
        <w:t>公告期限：</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三、异议基本情况</w:t>
      </w:r>
    </w:p>
    <w:p>
      <w:pPr>
        <w:spacing w:line="360" w:lineRule="auto"/>
        <w:ind w:firstLine="480" w:firstLineChars="200"/>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投诉人于</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日,向</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提出异议，异议事项为：</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 xml:space="preserve">  </w:t>
      </w:r>
    </w:p>
    <w:p>
      <w:pPr>
        <w:spacing w:line="360" w:lineRule="auto"/>
        <w:ind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u w:val="dotted"/>
        </w:rPr>
        <w:t>交易发起人/代理机构</w:t>
      </w:r>
      <w:r>
        <w:rPr>
          <w:rFonts w:hint="eastAsia" w:ascii="宋体" w:hAnsi="宋体" w:eastAsia="宋体" w:cs="宋体"/>
          <w:color w:val="000000"/>
          <w:sz w:val="24"/>
          <w:highlight w:val="none"/>
        </w:rPr>
        <w:t>于</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日,就异议事项作出了答复/没有在法定期限内作出答复。</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四、投诉事项具体内容</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投诉事项 1：</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事实依据：</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法律依据：</w:t>
      </w: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u w:val="dotted"/>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投诉事项2</w:t>
      </w:r>
    </w:p>
    <w:p>
      <w:pPr>
        <w:spacing w:line="360" w:lineRule="auto"/>
        <w:rPr>
          <w:rFonts w:hint="eastAsia" w:ascii="宋体" w:hAnsi="宋体" w:eastAsia="宋体" w:cs="宋体"/>
          <w:color w:val="000000"/>
          <w:sz w:val="24"/>
          <w:highlight w:val="none"/>
          <w:u w:val="dotted"/>
        </w:rPr>
      </w:pPr>
      <w:r>
        <w:rPr>
          <w:rFonts w:hint="eastAsia" w:ascii="宋体" w:hAnsi="宋体" w:eastAsia="宋体" w:cs="宋体"/>
          <w:color w:val="000000"/>
          <w:sz w:val="24"/>
          <w:highlight w:val="none"/>
        </w:rPr>
        <w:t>……</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五、与投诉事项相关的投诉请求</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请求：</w:t>
      </w:r>
      <w:r>
        <w:rPr>
          <w:rFonts w:hint="eastAsia" w:ascii="宋体" w:hAnsi="宋体" w:eastAsia="宋体" w:cs="宋体"/>
          <w:color w:val="000000"/>
          <w:sz w:val="24"/>
          <w:highlight w:val="none"/>
          <w:u w:val="dotted"/>
        </w:rPr>
        <w:t xml:space="preserve">                                              </w:t>
      </w:r>
      <w:r>
        <w:rPr>
          <w:rFonts w:hint="eastAsia" w:ascii="宋体" w:hAnsi="宋体" w:eastAsia="宋体" w:cs="宋体"/>
          <w:color w:val="000000"/>
          <w:sz w:val="24"/>
          <w:highlight w:val="none"/>
        </w:rPr>
        <w:t xml:space="preserve"> </w:t>
      </w:r>
    </w:p>
    <w:p>
      <w:pPr>
        <w:spacing w:line="360" w:lineRule="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签字(签章)：                   公章：                      </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日期：    </w:t>
      </w:r>
    </w:p>
    <w:p>
      <w:pPr>
        <w:spacing w:line="360" w:lineRule="auto"/>
        <w:rPr>
          <w:rFonts w:hint="eastAsia" w:ascii="宋体" w:hAnsi="宋体" w:eastAsia="宋体" w:cs="宋体"/>
          <w:b/>
          <w:color w:val="000000"/>
          <w:sz w:val="24"/>
          <w:highlight w:val="none"/>
        </w:rPr>
      </w:pPr>
    </w:p>
    <w:p>
      <w:pPr>
        <w:spacing w:line="360" w:lineRule="auto"/>
        <w:rPr>
          <w:rFonts w:hint="eastAsia" w:ascii="宋体" w:hAnsi="宋体" w:eastAsia="宋体" w:cs="宋体"/>
          <w:b/>
          <w:color w:val="000000"/>
          <w:sz w:val="24"/>
          <w:highlight w:val="none"/>
        </w:rPr>
      </w:pP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投诉书制作说明：</w:t>
      </w:r>
    </w:p>
    <w:p>
      <w:pPr>
        <w:widowControl/>
        <w:spacing w:line="360" w:lineRule="auto"/>
        <w:ind w:firstLine="480" w:firstLineChars="200"/>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2.投诉人若委托代理人进行投诉的，投诉书应按照要求列明“授权代表”的有关内容，并在附件中提交由</w:t>
      </w:r>
      <w:r>
        <w:rPr>
          <w:rFonts w:hint="eastAsia" w:ascii="宋体" w:hAnsi="宋体" w:eastAsia="宋体" w:cs="宋体"/>
          <w:color w:val="000000"/>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4.投诉书应简要列明异议事项，异议函、异议答复等作为附件材料提供。</w:t>
      </w:r>
    </w:p>
    <w:p>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jc w:val="left"/>
        <w:rPr>
          <w:rFonts w:hint="eastAsia" w:ascii="宋体" w:hAnsi="宋体" w:eastAsia="宋体" w:cs="宋体"/>
          <w:b/>
          <w:color w:val="000000"/>
          <w:spacing w:val="6"/>
          <w:sz w:val="32"/>
          <w:szCs w:val="32"/>
          <w:highlight w:val="none"/>
        </w:rPr>
      </w:pPr>
    </w:p>
    <w:p>
      <w:pPr>
        <w:autoSpaceDE w:val="0"/>
        <w:autoSpaceDN w:val="0"/>
        <w:jc w:val="left"/>
        <w:rPr>
          <w:rFonts w:hint="eastAsia" w:ascii="宋体" w:hAnsi="宋体" w:eastAsia="宋体" w:cs="宋体"/>
          <w:b/>
          <w:color w:val="000000"/>
          <w:spacing w:val="6"/>
          <w:sz w:val="32"/>
          <w:szCs w:val="32"/>
          <w:highlight w:val="none"/>
        </w:rPr>
      </w:pPr>
      <w:r>
        <w:rPr>
          <w:rFonts w:hint="eastAsia" w:ascii="宋体" w:hAnsi="宋体" w:eastAsia="宋体" w:cs="宋体"/>
          <w:b/>
          <w:color w:val="000000"/>
          <w:spacing w:val="6"/>
          <w:sz w:val="32"/>
          <w:szCs w:val="32"/>
          <w:highlight w:val="none"/>
        </w:rPr>
        <w:t>附件3：</w:t>
      </w:r>
    </w:p>
    <w:p>
      <w:pPr>
        <w:autoSpaceDE w:val="0"/>
        <w:autoSpaceDN w:val="0"/>
        <w:jc w:val="center"/>
        <w:rPr>
          <w:rFonts w:hint="eastAsia" w:ascii="宋体" w:hAnsi="宋体" w:eastAsia="宋体" w:cs="宋体"/>
          <w:b/>
          <w:bCs/>
          <w:color w:val="000000"/>
          <w:sz w:val="32"/>
          <w:szCs w:val="32"/>
          <w:highlight w:val="none"/>
        </w:rPr>
      </w:pPr>
    </w:p>
    <w:p>
      <w:pPr>
        <w:autoSpaceDE w:val="0"/>
        <w:autoSpaceDN w:val="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业务专用章使用说明函</w:t>
      </w:r>
    </w:p>
    <w:p>
      <w:pPr>
        <w:spacing w:line="360" w:lineRule="auto"/>
        <w:rPr>
          <w:rFonts w:hint="eastAsia" w:ascii="宋体" w:hAnsi="宋体" w:eastAsia="宋体" w:cs="宋体"/>
          <w:color w:val="000000"/>
          <w:sz w:val="24"/>
          <w:highlight w:val="none"/>
          <w:u w:val="single"/>
        </w:rPr>
      </w:pP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（交易发起人）、（代理机构）</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zh-CN"/>
        </w:rPr>
        <w:t>我方</w:t>
      </w:r>
      <w:r>
        <w:rPr>
          <w:rFonts w:hint="eastAsia" w:ascii="宋体" w:hAnsi="宋体" w:eastAsia="宋体" w:cs="宋体"/>
          <w:color w:val="000000"/>
          <w:kern w:val="0"/>
          <w:sz w:val="24"/>
          <w:highlight w:val="none"/>
          <w:u w:val="single"/>
          <w:lang w:val="zh-CN"/>
        </w:rPr>
        <w:t xml:space="preserve">                         </w:t>
      </w:r>
      <w:r>
        <w:rPr>
          <w:rFonts w:hint="eastAsia" w:ascii="宋体" w:hAnsi="宋体" w:eastAsia="宋体" w:cs="宋体"/>
          <w:color w:val="000000"/>
          <w:sz w:val="24"/>
          <w:highlight w:val="none"/>
        </w:rPr>
        <w:t>(响应人全称)是中华人民共和国依法登记注册的合法企业，</w:t>
      </w:r>
      <w:r>
        <w:rPr>
          <w:rFonts w:hint="eastAsia" w:ascii="宋体" w:hAnsi="宋体" w:eastAsia="宋体" w:cs="宋体"/>
          <w:bCs/>
          <w:color w:val="000000"/>
          <w:sz w:val="24"/>
          <w:highlight w:val="none"/>
        </w:rPr>
        <w:t>在参加</w:t>
      </w:r>
      <w:r>
        <w:rPr>
          <w:rFonts w:hint="eastAsia" w:ascii="宋体" w:hAnsi="宋体" w:eastAsia="宋体" w:cs="宋体"/>
          <w:color w:val="000000"/>
          <w:sz w:val="24"/>
          <w:highlight w:val="none"/>
        </w:rPr>
        <w:t>你方组织的</w:t>
      </w:r>
      <w:r>
        <w:rPr>
          <w:rFonts w:hint="eastAsia" w:ascii="宋体" w:hAnsi="宋体" w:eastAsia="宋体" w:cs="宋体"/>
          <w:color w:val="000000"/>
          <w:sz w:val="24"/>
          <w:highlight w:val="none"/>
          <w:u w:val="single"/>
        </w:rPr>
        <w:t>（项目名称）项目【交易编号：      ）】响应</w:t>
      </w:r>
      <w:r>
        <w:rPr>
          <w:rFonts w:hint="eastAsia" w:ascii="宋体" w:hAnsi="宋体" w:eastAsia="宋体" w:cs="宋体"/>
          <w:bCs/>
          <w:color w:val="000000"/>
          <w:sz w:val="24"/>
          <w:highlight w:val="none"/>
        </w:rPr>
        <w:t>活动中作如下说明：</w:t>
      </w:r>
      <w:r>
        <w:rPr>
          <w:rFonts w:hint="eastAsia" w:ascii="宋体" w:hAnsi="宋体" w:eastAsia="宋体" w:cs="宋体"/>
          <w:color w:val="000000"/>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特此说明。</w:t>
      </w:r>
    </w:p>
    <w:p>
      <w:pPr>
        <w:spacing w:line="360" w:lineRule="auto"/>
        <w:rPr>
          <w:rFonts w:hint="eastAsia" w:ascii="宋体" w:hAnsi="宋体" w:eastAsia="宋体" w:cs="宋体"/>
          <w:color w:val="000000"/>
          <w:sz w:val="24"/>
          <w:highlight w:val="none"/>
        </w:rPr>
      </w:pPr>
    </w:p>
    <w:p>
      <w:pPr>
        <w:spacing w:line="360" w:lineRule="auto"/>
        <w:ind w:right="480" w:firstLine="3840" w:firstLineChars="16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响应单位（法定名称章）：</w:t>
      </w:r>
    </w:p>
    <w:p>
      <w:pPr>
        <w:ind w:right="1440" w:firstLine="494"/>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日期：       年     月   日</w:t>
      </w:r>
    </w:p>
    <w:p>
      <w:pPr>
        <w:rPr>
          <w:rFonts w:hint="eastAsia" w:ascii="宋体" w:hAnsi="宋体" w:eastAsia="宋体" w:cs="宋体"/>
          <w:b/>
          <w:bCs/>
          <w:color w:val="000000"/>
          <w:sz w:val="24"/>
          <w:highlight w:val="none"/>
        </w:rPr>
      </w:pPr>
    </w:p>
    <w:p>
      <w:pPr>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附：</w:t>
      </w:r>
    </w:p>
    <w:p>
      <w:pPr>
        <w:spacing w:line="360" w:lineRule="auto"/>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响应</w:t>
      </w:r>
      <w:r>
        <w:rPr>
          <w:rFonts w:hint="eastAsia" w:ascii="宋体" w:hAnsi="宋体" w:eastAsia="宋体" w:cs="宋体"/>
          <w:b/>
          <w:bCs/>
          <w:color w:val="000000"/>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eastAsia="宋体" w:cs="宋体"/>
          <w:b/>
          <w:bCs/>
          <w:color w:val="000000"/>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LiWYOD4CAACJBAAADgAAAGRycy9lMm9Eb2MueG1srVTB&#10;jtMwEL0j8Q+W72za0HbZqOlq1WoR0gIrLXyA6ziNhe0xY7dp+RkkbnwEn4P4DSZOtnQXDnsgB8vj&#10;GT+/eTOT+eXeGrZTGDS4ko/PRpwpJ6HSblPyjx+uX7ziLEThKmHAqZIfVOCXi+fP5q0vVA4NmEoh&#10;IxAXitaXvInRF1kWZKOsCGfglSNnDWhFJBM3WYWiJXRrsnw0mmUtYOURpAqBTle9kw+I+BRAqGst&#10;1Qrk1ioXe1RURkRKKTTaB75IbOtayfi+roOKzJScMo1ppUdov+7WbDEXxQaFb7QcKIinUHiUkxXa&#10;0aNHqJWIgm1R/wVltUQIUMczCTbrE0mKUBbj0SNt7hrhVcqFpA7+KHr4f7Dy3e4Wma5KPuHMCUsF&#10;//X1+88f39ik06b1oaCQO3+LXXbB34D8FJiDZSPcRl0hQtsoURGjcRefPbjQGYGusnX7FiqCFtsI&#10;SaZ9jbYDJAHYPlXjcKyG2kcm6TCfTc4vplQoSb48n76cjafpDVHcX/cY4msFlnWbkiOVO8GL3U2I&#10;HR1R3Ick+mB0da2NSQZu1kuDbCeoNa7TN6CH0zDjWFvyi2k+TcgPfOEUYpS+f0FYHWlijLaUxmmQ&#10;cR0Plbp04HuvWK983K/3QxHWUB1ISIS+g2l+adMAfuGspe4tefi8Fag4M28cFeNiPJl07Z6MyfQ8&#10;JwNPPetTj3CSoEoeOeu3y9iPyNaj3jT00jgl7+CKCljrJG1HtWc1lJ06NCk+TFM3Aqd2ivrzB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mMR6bYAAAACgEAAA8AAAAAAAAAAQAgAAAAIgAAAGRy&#10;cy9kb3ducmV2LnhtbFBLAQIUABQAAAAIAIdO4kAuJZg4PgIAAIkEAAAOAAAAAAAAAAEAIAAAACcB&#10;AABkcnMvZTJvRG9jLnhtbFBLBQYAAAAABgAGAFkBAADX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000000"/>
          <w:sz w:val="24"/>
          <w:highlight w:val="none"/>
        </w:rPr>
        <w:t>单位法定名称章（印模）                响应单位“XX专用章”（印模）</w:t>
      </w:r>
    </w:p>
    <w:p>
      <w:pPr>
        <w:autoSpaceDE w:val="0"/>
        <w:autoSpaceDN w:val="0"/>
        <w:jc w:val="center"/>
        <w:rPr>
          <w:rFonts w:hint="eastAsia" w:ascii="宋体" w:hAnsi="宋体" w:eastAsia="宋体" w:cs="宋体"/>
          <w:b/>
          <w:color w:val="000000"/>
          <w:spacing w:val="6"/>
          <w:sz w:val="32"/>
          <w:szCs w:val="32"/>
          <w:highlight w:val="none"/>
        </w:rPr>
      </w:pPr>
    </w:p>
    <w:p>
      <w:pPr>
        <w:autoSpaceDE w:val="0"/>
        <w:autoSpaceDN w:val="0"/>
        <w:jc w:val="center"/>
        <w:rPr>
          <w:rFonts w:hint="eastAsia" w:ascii="宋体" w:hAnsi="宋体" w:eastAsia="宋体" w:cs="宋体"/>
          <w:b/>
          <w:color w:val="000000"/>
          <w:spacing w:val="6"/>
          <w:sz w:val="32"/>
          <w:szCs w:val="32"/>
          <w:highlight w:val="none"/>
        </w:rPr>
      </w:pPr>
    </w:p>
    <w:bookmarkEnd w:id="12"/>
    <w:bookmarkEnd w:id="13"/>
    <w:bookmarkEnd w:id="14"/>
    <w:p>
      <w:pPr>
        <w:autoSpaceDE w:val="0"/>
        <w:autoSpaceDN w:val="0"/>
        <w:jc w:val="both"/>
        <w:rPr>
          <w:rFonts w:hint="eastAsia" w:ascii="宋体" w:hAnsi="宋体" w:eastAsia="宋体" w:cs="宋体"/>
          <w:b/>
          <w:color w:val="000000"/>
          <w:spacing w:val="6"/>
          <w:sz w:val="32"/>
          <w:szCs w:val="32"/>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rPr>
      <w:t>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34CA0FB"/>
    <w:multiLevelType w:val="singleLevel"/>
    <w:tmpl w:val="434CA0FB"/>
    <w:lvl w:ilvl="0" w:tentative="0">
      <w:start w:val="1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NmQ3ZWJjYjk1OTgzNDU4NjlhYmVhYWJmM2I1ZTQifQ=="/>
    <w:docVar w:name="KSO_WPS_MARK_KEY" w:val="99a66bc8-8258-46e9-a3ce-2cb79fab6252"/>
  </w:docVars>
  <w:rsids>
    <w:rsidRoot w:val="2C9B0E5F"/>
    <w:rsid w:val="0057707B"/>
    <w:rsid w:val="00997C29"/>
    <w:rsid w:val="018D7F14"/>
    <w:rsid w:val="01AE5A1A"/>
    <w:rsid w:val="01C37100"/>
    <w:rsid w:val="02005B8D"/>
    <w:rsid w:val="02202390"/>
    <w:rsid w:val="02455EB9"/>
    <w:rsid w:val="025D30C7"/>
    <w:rsid w:val="02750329"/>
    <w:rsid w:val="02DA1694"/>
    <w:rsid w:val="02DF57A3"/>
    <w:rsid w:val="0314094B"/>
    <w:rsid w:val="03542A9E"/>
    <w:rsid w:val="03E00877"/>
    <w:rsid w:val="04286762"/>
    <w:rsid w:val="044E4479"/>
    <w:rsid w:val="04525D7B"/>
    <w:rsid w:val="049251C3"/>
    <w:rsid w:val="04952BD1"/>
    <w:rsid w:val="04CE150D"/>
    <w:rsid w:val="051F6D70"/>
    <w:rsid w:val="057A44C7"/>
    <w:rsid w:val="05C36D79"/>
    <w:rsid w:val="05F571C5"/>
    <w:rsid w:val="06253FFF"/>
    <w:rsid w:val="066E17CD"/>
    <w:rsid w:val="069E0C11"/>
    <w:rsid w:val="07247C28"/>
    <w:rsid w:val="07287E12"/>
    <w:rsid w:val="07972A1D"/>
    <w:rsid w:val="07FE0FC3"/>
    <w:rsid w:val="08792C87"/>
    <w:rsid w:val="088D794E"/>
    <w:rsid w:val="08BA4CE8"/>
    <w:rsid w:val="08C61729"/>
    <w:rsid w:val="08F33D56"/>
    <w:rsid w:val="09A240E0"/>
    <w:rsid w:val="09AC7F82"/>
    <w:rsid w:val="09BB1520"/>
    <w:rsid w:val="09CF776F"/>
    <w:rsid w:val="0A5B0423"/>
    <w:rsid w:val="0A7A0F52"/>
    <w:rsid w:val="0A9E6E9F"/>
    <w:rsid w:val="0ACE57B4"/>
    <w:rsid w:val="0AF12517"/>
    <w:rsid w:val="0AF571B0"/>
    <w:rsid w:val="0B064109"/>
    <w:rsid w:val="0B0D09D9"/>
    <w:rsid w:val="0B6A6821"/>
    <w:rsid w:val="0BDF79B0"/>
    <w:rsid w:val="0C027863"/>
    <w:rsid w:val="0C1E52E0"/>
    <w:rsid w:val="0C790A16"/>
    <w:rsid w:val="0C922464"/>
    <w:rsid w:val="0C9910B8"/>
    <w:rsid w:val="0CA566B6"/>
    <w:rsid w:val="0E6C4BE3"/>
    <w:rsid w:val="0F362BEE"/>
    <w:rsid w:val="0FCB1589"/>
    <w:rsid w:val="0FCF7645"/>
    <w:rsid w:val="0FFA4F07"/>
    <w:rsid w:val="0FFE195E"/>
    <w:rsid w:val="100F5919"/>
    <w:rsid w:val="10433815"/>
    <w:rsid w:val="11B20C52"/>
    <w:rsid w:val="11FF6EC5"/>
    <w:rsid w:val="121561FB"/>
    <w:rsid w:val="12237432"/>
    <w:rsid w:val="12435D4E"/>
    <w:rsid w:val="12617F82"/>
    <w:rsid w:val="12844019"/>
    <w:rsid w:val="12CD1B55"/>
    <w:rsid w:val="12E97BF1"/>
    <w:rsid w:val="12F9465F"/>
    <w:rsid w:val="133E461E"/>
    <w:rsid w:val="1363535C"/>
    <w:rsid w:val="14D643A7"/>
    <w:rsid w:val="14E80E38"/>
    <w:rsid w:val="14F4416E"/>
    <w:rsid w:val="158E0F5E"/>
    <w:rsid w:val="15E21DCB"/>
    <w:rsid w:val="15FE56B8"/>
    <w:rsid w:val="161F43DC"/>
    <w:rsid w:val="162F54F3"/>
    <w:rsid w:val="16492B46"/>
    <w:rsid w:val="1695469E"/>
    <w:rsid w:val="16D644D4"/>
    <w:rsid w:val="16D95729"/>
    <w:rsid w:val="16F05D79"/>
    <w:rsid w:val="17036DFC"/>
    <w:rsid w:val="170F26A3"/>
    <w:rsid w:val="17242B35"/>
    <w:rsid w:val="17512B32"/>
    <w:rsid w:val="178F7340"/>
    <w:rsid w:val="17C0133A"/>
    <w:rsid w:val="17CA1504"/>
    <w:rsid w:val="17DC2C7C"/>
    <w:rsid w:val="17E3442C"/>
    <w:rsid w:val="17E82471"/>
    <w:rsid w:val="1816180F"/>
    <w:rsid w:val="18CB5FB5"/>
    <w:rsid w:val="18F76602"/>
    <w:rsid w:val="19257F5C"/>
    <w:rsid w:val="19310437"/>
    <w:rsid w:val="194505FE"/>
    <w:rsid w:val="19727C40"/>
    <w:rsid w:val="19960A4C"/>
    <w:rsid w:val="19F86830"/>
    <w:rsid w:val="1A1F1017"/>
    <w:rsid w:val="1A9C57EF"/>
    <w:rsid w:val="1B4C02C0"/>
    <w:rsid w:val="1BBC6760"/>
    <w:rsid w:val="1BE113C5"/>
    <w:rsid w:val="1CAE0268"/>
    <w:rsid w:val="1CB97C5D"/>
    <w:rsid w:val="1CD31A7D"/>
    <w:rsid w:val="1D0B406D"/>
    <w:rsid w:val="1D3E4266"/>
    <w:rsid w:val="1D5E6186"/>
    <w:rsid w:val="1DA333A8"/>
    <w:rsid w:val="1DC27687"/>
    <w:rsid w:val="1E780B2E"/>
    <w:rsid w:val="1F204D21"/>
    <w:rsid w:val="1F470500"/>
    <w:rsid w:val="1F715A4E"/>
    <w:rsid w:val="1F840B39"/>
    <w:rsid w:val="1FBD4634"/>
    <w:rsid w:val="1FBF453A"/>
    <w:rsid w:val="1FF018E0"/>
    <w:rsid w:val="204900C2"/>
    <w:rsid w:val="20FD356C"/>
    <w:rsid w:val="2114169B"/>
    <w:rsid w:val="215073B0"/>
    <w:rsid w:val="21652E21"/>
    <w:rsid w:val="21706F90"/>
    <w:rsid w:val="21BF23F6"/>
    <w:rsid w:val="220B7BAF"/>
    <w:rsid w:val="22952445"/>
    <w:rsid w:val="22B10AB2"/>
    <w:rsid w:val="22BC3B0A"/>
    <w:rsid w:val="22DE4017"/>
    <w:rsid w:val="23300A47"/>
    <w:rsid w:val="2348141D"/>
    <w:rsid w:val="236D754B"/>
    <w:rsid w:val="23C6058D"/>
    <w:rsid w:val="23F0560A"/>
    <w:rsid w:val="24BB699A"/>
    <w:rsid w:val="255A23EE"/>
    <w:rsid w:val="263670E6"/>
    <w:rsid w:val="27206206"/>
    <w:rsid w:val="27843BC1"/>
    <w:rsid w:val="278D6764"/>
    <w:rsid w:val="27BF157B"/>
    <w:rsid w:val="28463A4A"/>
    <w:rsid w:val="297831B2"/>
    <w:rsid w:val="29A92623"/>
    <w:rsid w:val="29DA29FC"/>
    <w:rsid w:val="29DF0A0E"/>
    <w:rsid w:val="29F6324E"/>
    <w:rsid w:val="29FD7AF1"/>
    <w:rsid w:val="2A1211E5"/>
    <w:rsid w:val="2A53230F"/>
    <w:rsid w:val="2AF24BD9"/>
    <w:rsid w:val="2BAE2642"/>
    <w:rsid w:val="2BE70D6B"/>
    <w:rsid w:val="2C2D5059"/>
    <w:rsid w:val="2C897409"/>
    <w:rsid w:val="2C982725"/>
    <w:rsid w:val="2C9B0E5F"/>
    <w:rsid w:val="2CB9697F"/>
    <w:rsid w:val="2CE6483A"/>
    <w:rsid w:val="2D183D2A"/>
    <w:rsid w:val="2D65350D"/>
    <w:rsid w:val="2E0158BA"/>
    <w:rsid w:val="2E050962"/>
    <w:rsid w:val="2E250D28"/>
    <w:rsid w:val="2E355705"/>
    <w:rsid w:val="2E397D00"/>
    <w:rsid w:val="2E64667F"/>
    <w:rsid w:val="2E6D4422"/>
    <w:rsid w:val="2EB21E3A"/>
    <w:rsid w:val="2EB813E6"/>
    <w:rsid w:val="2F0672EF"/>
    <w:rsid w:val="2F365903"/>
    <w:rsid w:val="2F3F109E"/>
    <w:rsid w:val="2F5922B5"/>
    <w:rsid w:val="2F73704B"/>
    <w:rsid w:val="2F9257C7"/>
    <w:rsid w:val="2FA84FEB"/>
    <w:rsid w:val="30A471F6"/>
    <w:rsid w:val="312132A7"/>
    <w:rsid w:val="313A4F09"/>
    <w:rsid w:val="315103B7"/>
    <w:rsid w:val="3192063D"/>
    <w:rsid w:val="319451B3"/>
    <w:rsid w:val="32C46C6A"/>
    <w:rsid w:val="332C0730"/>
    <w:rsid w:val="338C0D05"/>
    <w:rsid w:val="34000F51"/>
    <w:rsid w:val="34164C19"/>
    <w:rsid w:val="341E2D11"/>
    <w:rsid w:val="34472033"/>
    <w:rsid w:val="344F152B"/>
    <w:rsid w:val="34580D8D"/>
    <w:rsid w:val="351110E2"/>
    <w:rsid w:val="35A63D7A"/>
    <w:rsid w:val="35D00DF7"/>
    <w:rsid w:val="36415C6C"/>
    <w:rsid w:val="371F5BA8"/>
    <w:rsid w:val="37CD3840"/>
    <w:rsid w:val="37F04274"/>
    <w:rsid w:val="383B3EA9"/>
    <w:rsid w:val="387E064C"/>
    <w:rsid w:val="38833E3E"/>
    <w:rsid w:val="38AF73EA"/>
    <w:rsid w:val="39324584"/>
    <w:rsid w:val="39641F82"/>
    <w:rsid w:val="397E76F3"/>
    <w:rsid w:val="39F07CBA"/>
    <w:rsid w:val="3A3E6C77"/>
    <w:rsid w:val="3AA61F44"/>
    <w:rsid w:val="3AE02F2B"/>
    <w:rsid w:val="3BC67E06"/>
    <w:rsid w:val="3BEC1192"/>
    <w:rsid w:val="3C2123AD"/>
    <w:rsid w:val="3C3B6EDE"/>
    <w:rsid w:val="3C764667"/>
    <w:rsid w:val="3C8C5DD5"/>
    <w:rsid w:val="3CC0413B"/>
    <w:rsid w:val="3D0A00AF"/>
    <w:rsid w:val="3D5E4936"/>
    <w:rsid w:val="3D662B0D"/>
    <w:rsid w:val="3D9F473C"/>
    <w:rsid w:val="3DCC38F6"/>
    <w:rsid w:val="3E6719E5"/>
    <w:rsid w:val="3F766905"/>
    <w:rsid w:val="3F776A9E"/>
    <w:rsid w:val="3F9335C1"/>
    <w:rsid w:val="405F1E76"/>
    <w:rsid w:val="4061721C"/>
    <w:rsid w:val="40842F0A"/>
    <w:rsid w:val="40DB1FF9"/>
    <w:rsid w:val="416B56C1"/>
    <w:rsid w:val="41943621"/>
    <w:rsid w:val="41B17712"/>
    <w:rsid w:val="41B85590"/>
    <w:rsid w:val="41C83A99"/>
    <w:rsid w:val="41D63C39"/>
    <w:rsid w:val="420B7071"/>
    <w:rsid w:val="42187DAE"/>
    <w:rsid w:val="42411DD3"/>
    <w:rsid w:val="42540CBB"/>
    <w:rsid w:val="425440AD"/>
    <w:rsid w:val="431E13F4"/>
    <w:rsid w:val="43492458"/>
    <w:rsid w:val="436D5BB0"/>
    <w:rsid w:val="43F720AB"/>
    <w:rsid w:val="447C49BA"/>
    <w:rsid w:val="44A81BC9"/>
    <w:rsid w:val="44C164DB"/>
    <w:rsid w:val="45525385"/>
    <w:rsid w:val="45720495"/>
    <w:rsid w:val="45D43029"/>
    <w:rsid w:val="45E24E06"/>
    <w:rsid w:val="460E4FE2"/>
    <w:rsid w:val="468A32FE"/>
    <w:rsid w:val="468B3539"/>
    <w:rsid w:val="46B02CAB"/>
    <w:rsid w:val="46E22739"/>
    <w:rsid w:val="46F111F8"/>
    <w:rsid w:val="47525B10"/>
    <w:rsid w:val="4796290E"/>
    <w:rsid w:val="48276769"/>
    <w:rsid w:val="48BB76E5"/>
    <w:rsid w:val="48D948BC"/>
    <w:rsid w:val="4903635B"/>
    <w:rsid w:val="49887B31"/>
    <w:rsid w:val="49D229CE"/>
    <w:rsid w:val="4A3B0C1C"/>
    <w:rsid w:val="4A7E435E"/>
    <w:rsid w:val="4BD7146C"/>
    <w:rsid w:val="4C0B2731"/>
    <w:rsid w:val="4C1D56C6"/>
    <w:rsid w:val="4C3F73EA"/>
    <w:rsid w:val="4D2C4545"/>
    <w:rsid w:val="4D404ED2"/>
    <w:rsid w:val="4D761E2D"/>
    <w:rsid w:val="4DD058AE"/>
    <w:rsid w:val="4DD41ED2"/>
    <w:rsid w:val="4E5E51CE"/>
    <w:rsid w:val="4EB40E5E"/>
    <w:rsid w:val="4ECE0172"/>
    <w:rsid w:val="4F772FFD"/>
    <w:rsid w:val="4F9667B6"/>
    <w:rsid w:val="4FB43D4E"/>
    <w:rsid w:val="50024746"/>
    <w:rsid w:val="504B0DCD"/>
    <w:rsid w:val="506643DA"/>
    <w:rsid w:val="50C82FBB"/>
    <w:rsid w:val="514A5B37"/>
    <w:rsid w:val="516A1CA8"/>
    <w:rsid w:val="51F409E5"/>
    <w:rsid w:val="52B35E29"/>
    <w:rsid w:val="52BA6856"/>
    <w:rsid w:val="52E32F03"/>
    <w:rsid w:val="53191BD8"/>
    <w:rsid w:val="53D77A4C"/>
    <w:rsid w:val="53EF4ED9"/>
    <w:rsid w:val="54035DC4"/>
    <w:rsid w:val="54717958"/>
    <w:rsid w:val="54C674FE"/>
    <w:rsid w:val="55DD6EED"/>
    <w:rsid w:val="56073F6A"/>
    <w:rsid w:val="560D603A"/>
    <w:rsid w:val="565D1FD4"/>
    <w:rsid w:val="56AA3022"/>
    <w:rsid w:val="56CB7DE4"/>
    <w:rsid w:val="570448D5"/>
    <w:rsid w:val="571809A2"/>
    <w:rsid w:val="57773B3A"/>
    <w:rsid w:val="57D04F5B"/>
    <w:rsid w:val="580738AF"/>
    <w:rsid w:val="583353AF"/>
    <w:rsid w:val="58537298"/>
    <w:rsid w:val="5872344E"/>
    <w:rsid w:val="58C1070B"/>
    <w:rsid w:val="5902152E"/>
    <w:rsid w:val="59684D1F"/>
    <w:rsid w:val="597F319C"/>
    <w:rsid w:val="5A225816"/>
    <w:rsid w:val="5A300A24"/>
    <w:rsid w:val="5A490A5A"/>
    <w:rsid w:val="5A9A264D"/>
    <w:rsid w:val="5AC643F3"/>
    <w:rsid w:val="5B7469C6"/>
    <w:rsid w:val="5C163158"/>
    <w:rsid w:val="5C1D0E58"/>
    <w:rsid w:val="5C3A1994"/>
    <w:rsid w:val="5C825CD6"/>
    <w:rsid w:val="5CAB38A1"/>
    <w:rsid w:val="5CDB00DA"/>
    <w:rsid w:val="5D6A0BBA"/>
    <w:rsid w:val="5D731EE5"/>
    <w:rsid w:val="5D7A42DF"/>
    <w:rsid w:val="5E2D6537"/>
    <w:rsid w:val="5EE55990"/>
    <w:rsid w:val="5F5D3021"/>
    <w:rsid w:val="5F7F2DC3"/>
    <w:rsid w:val="60817E65"/>
    <w:rsid w:val="61001CE1"/>
    <w:rsid w:val="611A0FF5"/>
    <w:rsid w:val="61514650"/>
    <w:rsid w:val="6199527C"/>
    <w:rsid w:val="626D6FAA"/>
    <w:rsid w:val="628B4C05"/>
    <w:rsid w:val="62A25746"/>
    <w:rsid w:val="62A414BE"/>
    <w:rsid w:val="62A65678"/>
    <w:rsid w:val="62CA07F9"/>
    <w:rsid w:val="62D376AD"/>
    <w:rsid w:val="632A40DA"/>
    <w:rsid w:val="633640E0"/>
    <w:rsid w:val="637F7835"/>
    <w:rsid w:val="639D5F0D"/>
    <w:rsid w:val="63C85796"/>
    <w:rsid w:val="63E63410"/>
    <w:rsid w:val="64204BDA"/>
    <w:rsid w:val="642F7E5E"/>
    <w:rsid w:val="647D1D6C"/>
    <w:rsid w:val="64835103"/>
    <w:rsid w:val="64B17EC2"/>
    <w:rsid w:val="64D3450D"/>
    <w:rsid w:val="64DF311C"/>
    <w:rsid w:val="656E5DB3"/>
    <w:rsid w:val="65A70826"/>
    <w:rsid w:val="65F3051C"/>
    <w:rsid w:val="66467E29"/>
    <w:rsid w:val="6678575B"/>
    <w:rsid w:val="66C71BFA"/>
    <w:rsid w:val="67846809"/>
    <w:rsid w:val="67CF628E"/>
    <w:rsid w:val="67E93528"/>
    <w:rsid w:val="689B153F"/>
    <w:rsid w:val="691E189E"/>
    <w:rsid w:val="69292FC1"/>
    <w:rsid w:val="694A03A6"/>
    <w:rsid w:val="69643755"/>
    <w:rsid w:val="697B2255"/>
    <w:rsid w:val="69894F6A"/>
    <w:rsid w:val="69CB2F9A"/>
    <w:rsid w:val="6A852778"/>
    <w:rsid w:val="6B0F149F"/>
    <w:rsid w:val="6B7E4BDF"/>
    <w:rsid w:val="6BDC5020"/>
    <w:rsid w:val="6C272092"/>
    <w:rsid w:val="6C3F7B62"/>
    <w:rsid w:val="6C4336D6"/>
    <w:rsid w:val="6C467142"/>
    <w:rsid w:val="6CC73939"/>
    <w:rsid w:val="6CD55773"/>
    <w:rsid w:val="6D344694"/>
    <w:rsid w:val="6D702D90"/>
    <w:rsid w:val="6D8E327A"/>
    <w:rsid w:val="6E0E1EE1"/>
    <w:rsid w:val="6E21632B"/>
    <w:rsid w:val="6E7531A8"/>
    <w:rsid w:val="6E7647D3"/>
    <w:rsid w:val="6EB21590"/>
    <w:rsid w:val="6ED36C87"/>
    <w:rsid w:val="6F0C0B51"/>
    <w:rsid w:val="6F2D6397"/>
    <w:rsid w:val="6FD36103"/>
    <w:rsid w:val="70171055"/>
    <w:rsid w:val="70B06A91"/>
    <w:rsid w:val="70F8440D"/>
    <w:rsid w:val="711517D9"/>
    <w:rsid w:val="71281C51"/>
    <w:rsid w:val="71706A0F"/>
    <w:rsid w:val="71F4319C"/>
    <w:rsid w:val="725620A9"/>
    <w:rsid w:val="72A912EE"/>
    <w:rsid w:val="730B3963"/>
    <w:rsid w:val="73393078"/>
    <w:rsid w:val="734463A5"/>
    <w:rsid w:val="735856B0"/>
    <w:rsid w:val="73C3376E"/>
    <w:rsid w:val="73F86908"/>
    <w:rsid w:val="7462249D"/>
    <w:rsid w:val="74E84635"/>
    <w:rsid w:val="74F52F29"/>
    <w:rsid w:val="75170451"/>
    <w:rsid w:val="75311F1E"/>
    <w:rsid w:val="759C1583"/>
    <w:rsid w:val="75DF4163"/>
    <w:rsid w:val="765C07A3"/>
    <w:rsid w:val="76602AE8"/>
    <w:rsid w:val="76880DEB"/>
    <w:rsid w:val="769E386F"/>
    <w:rsid w:val="76E07590"/>
    <w:rsid w:val="76E30944"/>
    <w:rsid w:val="77006AB7"/>
    <w:rsid w:val="7710363B"/>
    <w:rsid w:val="771C453A"/>
    <w:rsid w:val="77645D62"/>
    <w:rsid w:val="77735FAD"/>
    <w:rsid w:val="77901BB9"/>
    <w:rsid w:val="7836450F"/>
    <w:rsid w:val="7882126A"/>
    <w:rsid w:val="792157AA"/>
    <w:rsid w:val="792F630C"/>
    <w:rsid w:val="793D3FAC"/>
    <w:rsid w:val="797F0137"/>
    <w:rsid w:val="79BB5747"/>
    <w:rsid w:val="79ED127D"/>
    <w:rsid w:val="79FC1788"/>
    <w:rsid w:val="7A00555A"/>
    <w:rsid w:val="7A070B23"/>
    <w:rsid w:val="7A477A90"/>
    <w:rsid w:val="7A535A43"/>
    <w:rsid w:val="7A6B47D1"/>
    <w:rsid w:val="7AE6015A"/>
    <w:rsid w:val="7AFA5788"/>
    <w:rsid w:val="7AFE2227"/>
    <w:rsid w:val="7B160627"/>
    <w:rsid w:val="7B1E65BC"/>
    <w:rsid w:val="7B736C05"/>
    <w:rsid w:val="7CCC5441"/>
    <w:rsid w:val="7D26030E"/>
    <w:rsid w:val="7D5D2C42"/>
    <w:rsid w:val="7D823ED5"/>
    <w:rsid w:val="7D9341B1"/>
    <w:rsid w:val="7E216DC3"/>
    <w:rsid w:val="7E6B6EDC"/>
    <w:rsid w:val="7EA76919"/>
    <w:rsid w:val="7F0D1E11"/>
    <w:rsid w:val="7F5636E8"/>
    <w:rsid w:val="7FD86242"/>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0"/>
    <w:pPr>
      <w:jc w:val="left"/>
    </w:pPr>
  </w:style>
  <w:style w:type="paragraph" w:styleId="7">
    <w:name w:val="Body Text"/>
    <w:basedOn w:val="1"/>
    <w:next w:val="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9"/>
    <w:qFormat/>
    <w:uiPriority w:val="0"/>
    <w:pPr>
      <w:ind w:firstLine="420"/>
    </w:pPr>
    <w:rPr>
      <w:rFonts w:hAnsi="Calibri" w:cs="Times New Roman"/>
      <w:snapToGrid/>
      <w:szCs w:val="20"/>
    </w:rPr>
  </w:style>
  <w:style w:type="paragraph" w:styleId="9">
    <w:name w:val="toc 6"/>
    <w:basedOn w:val="1"/>
    <w:next w:val="1"/>
    <w:qFormat/>
    <w:uiPriority w:val="0"/>
    <w:pPr>
      <w:ind w:left="2100" w:leftChars="1000"/>
    </w:pPr>
  </w:style>
  <w:style w:type="paragraph" w:styleId="10">
    <w:name w:val="Body Text Indent"/>
    <w:basedOn w:val="1"/>
    <w:next w:val="5"/>
    <w:qFormat/>
    <w:uiPriority w:val="0"/>
    <w:pPr>
      <w:spacing w:line="480" w:lineRule="exact"/>
      <w:ind w:firstLine="480" w:firstLineChars="200"/>
    </w:pPr>
    <w:rPr>
      <w:rFonts w:ascii="宋体" w:hAnsi="宋体"/>
      <w:sz w:val="24"/>
    </w:rPr>
  </w:style>
  <w:style w:type="paragraph" w:styleId="11">
    <w:name w:val="Plain Text"/>
    <w:basedOn w:val="1"/>
    <w:qFormat/>
    <w:uiPriority w:val="0"/>
    <w:rPr>
      <w:rFonts w:ascii="宋体" w:hAnsi="Courier New" w:cs="Arial"/>
      <w:snapToGrid w:val="0"/>
      <w:szCs w:val="21"/>
    </w:rPr>
  </w:style>
  <w:style w:type="paragraph" w:styleId="12">
    <w:name w:val="Body Text Indent 2"/>
    <w:basedOn w:val="1"/>
    <w:qFormat/>
    <w:uiPriority w:val="0"/>
    <w:pPr>
      <w:spacing w:line="360" w:lineRule="auto"/>
      <w:ind w:firstLine="601"/>
      <w:textAlignment w:val="baseline"/>
    </w:pPr>
    <w:rPr>
      <w:rFonts w:ascii="宋体"/>
      <w:kern w:val="0"/>
      <w:sz w:val="28"/>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Normal (Web)"/>
    <w:basedOn w:val="1"/>
    <w:qFormat/>
    <w:uiPriority w:val="0"/>
    <w:rPr>
      <w:rFonts w:eastAsia="宋体" w:asciiTheme="minorAscii" w:hAnsiTheme="minorAscii"/>
      <w:sz w:val="24"/>
    </w:rPr>
  </w:style>
  <w:style w:type="paragraph" w:styleId="17">
    <w:name w:val="Body Text First Indent 2"/>
    <w:basedOn w:val="10"/>
    <w:next w:val="1"/>
    <w:qFormat/>
    <w:uiPriority w:val="99"/>
    <w:pPr>
      <w:spacing w:line="200" w:lineRule="atLeast"/>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rPr>
      <w:rFonts w:ascii="Arial" w:hAnsi="Arial" w:eastAsia="黑体" w:cs="Arial"/>
      <w:snapToGrid w:val="0"/>
      <w:kern w:val="0"/>
      <w:szCs w:val="21"/>
    </w:rPr>
  </w:style>
  <w:style w:type="paragraph" w:customStyle="1" w:styleId="22">
    <w:name w:val="标题 5（有编号）（绿盟科技）"/>
    <w:basedOn w:val="1"/>
    <w:next w:val="23"/>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23">
    <w:name w:val="正文（绿盟科技）"/>
    <w:next w:val="1"/>
    <w:qFormat/>
    <w:uiPriority w:val="0"/>
    <w:pPr>
      <w:spacing w:line="300" w:lineRule="auto"/>
    </w:pPr>
    <w:rPr>
      <w:rFonts w:ascii="Arial" w:hAnsi="Arial" w:eastAsia="宋体" w:cs="Times New Roman"/>
      <w:sz w:val="21"/>
      <w:szCs w:val="21"/>
      <w:lang w:val="en-US" w:eastAsia="zh-CN" w:bidi="ar-SA"/>
    </w:rPr>
  </w:style>
  <w:style w:type="paragraph" w:customStyle="1" w:styleId="24">
    <w:name w:val="[Normal]"/>
    <w:qFormat/>
    <w:uiPriority w:val="0"/>
    <w:rPr>
      <w:rFonts w:ascii="宋体" w:hAnsi="宋体" w:eastAsia="宋体" w:cs="Times New Roman"/>
      <w:sz w:val="24"/>
      <w:lang w:val="zh-CN" w:eastAsia="zh-CN" w:bidi="ar-SA"/>
    </w:rPr>
  </w:style>
  <w:style w:type="paragraph" w:customStyle="1" w:styleId="25">
    <w:name w:val="正文首行缩进1"/>
    <w:basedOn w:val="7"/>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正文2"/>
    <w:basedOn w:val="1"/>
    <w:qFormat/>
    <w:uiPriority w:val="0"/>
    <w:pPr>
      <w:spacing w:before="156" w:line="360" w:lineRule="auto"/>
      <w:ind w:firstLine="510" w:firstLineChars="200"/>
    </w:pPr>
    <w:rPr>
      <w:sz w:val="24"/>
      <w:szCs w:val="20"/>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9">
    <w:name w:val="List Paragraph"/>
    <w:basedOn w:val="1"/>
    <w:qFormat/>
    <w:uiPriority w:val="34"/>
    <w:pPr>
      <w:ind w:firstLine="420" w:firstLineChars="200"/>
    </w:pPr>
    <w:rPr>
      <w:rFonts w:ascii="宋体" w:hAnsi="宋体" w:cs="宋体"/>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样式1"/>
    <w:basedOn w:val="34"/>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4">
    <w:name w:val="标题一"/>
    <w:basedOn w:val="1"/>
    <w:qFormat/>
    <w:uiPriority w:val="0"/>
    <w:rPr>
      <w:sz w:val="28"/>
    </w:rPr>
  </w:style>
  <w:style w:type="paragraph" w:customStyle="1" w:styleId="3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
    <w:name w:val="null3"/>
    <w:hidden/>
    <w:qFormat/>
    <w:uiPriority w:val="0"/>
    <w:rPr>
      <w:rFonts w:hint="eastAsia" w:ascii="Calibri" w:hAnsi="Calibri" w:eastAsia="宋体" w:cs="黑体"/>
      <w:lang w:val="en-US" w:eastAsia="zh-CN" w:bidi="ar-SA"/>
    </w:rPr>
  </w:style>
  <w:style w:type="character" w:customStyle="1" w:styleId="37">
    <w:name w:val="15"/>
    <w:basedOn w:val="20"/>
    <w:qFormat/>
    <w:uiPriority w:val="0"/>
    <w:rPr>
      <w:rFonts w:hint="default" w:ascii="Arial" w:hAnsi="Arial" w:eastAsia="黑体" w:cs="Arial"/>
    </w:rPr>
  </w:style>
  <w:style w:type="character" w:customStyle="1" w:styleId="38">
    <w:name w:val="10"/>
    <w:basedOn w:val="20"/>
    <w:qFormat/>
    <w:uiPriority w:val="0"/>
    <w:rPr>
      <w:rFonts w:hint="default" w:ascii="Times New Roman" w:hAnsi="Times New Roman" w:cs="Times New Roman"/>
    </w:rPr>
  </w:style>
  <w:style w:type="paragraph" w:customStyle="1" w:styleId="39">
    <w:name w:val="*正文"/>
    <w:basedOn w:val="1"/>
    <w:qFormat/>
    <w:uiPriority w:val="0"/>
    <w:pPr>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21188</Words>
  <Characters>22521</Characters>
  <Lines>1</Lines>
  <Paragraphs>1</Paragraphs>
  <TotalTime>10</TotalTime>
  <ScaleCrop>false</ScaleCrop>
  <LinksUpToDate>false</LinksUpToDate>
  <CharactersWithSpaces>26547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2023-09-18T07:54:00Z</dcterms:created>
  <dc:creator>工作小田</dc:creator>
  <cp:lastModifiedBy>招标代理-省房地产</cp:lastModifiedBy>
  <cp:lastPrinted>2024-06-19T03:06:00Z</cp:lastPrinted>
  <dcterms:modified xsi:type="dcterms:W3CDTF">2024-08-30T06:28:51Z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1758DC5EE752450394B582C981E72A01_13</vt:lpwstr>
  </property>
</Properties>
</file>