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98C34">
      <w:pPr>
        <w:pStyle w:val="2"/>
      </w:pPr>
      <w:bookmarkStart w:id="0" w:name="_Toc4356"/>
      <w:bookmarkStart w:id="1" w:name="_Toc129714646"/>
      <w:bookmarkStart w:id="2" w:name="_Toc129714671"/>
      <w:bookmarkStart w:id="3" w:name="_Toc32174"/>
      <w:r>
        <w:drawing>
          <wp:inline distT="0" distB="0" distL="114300" distR="114300">
            <wp:extent cx="5896610" cy="8333105"/>
            <wp:effectExtent l="0" t="0" r="127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896610" cy="8333105"/>
                    </a:xfrm>
                    <a:prstGeom prst="rect">
                      <a:avLst/>
                    </a:prstGeom>
                    <a:noFill/>
                    <a:ln>
                      <a:noFill/>
                    </a:ln>
                  </pic:spPr>
                </pic:pic>
              </a:graphicData>
            </a:graphic>
          </wp:inline>
        </w:drawing>
      </w:r>
    </w:p>
    <w:p w14:paraId="28F6DB0A">
      <w:pPr>
        <w:pStyle w:val="2"/>
      </w:pPr>
    </w:p>
    <w:p w14:paraId="28FF1646">
      <w:pPr>
        <w:pStyle w:val="2"/>
        <w:rPr>
          <w:rStyle w:val="52"/>
          <w:rFonts w:cs="Arial"/>
          <w:b w:val="0"/>
          <w:snapToGrid w:val="0"/>
          <w:color w:val="auto"/>
          <w:kern w:val="0"/>
          <w:highlight w:val="none"/>
        </w:rPr>
      </w:pPr>
      <w:bookmarkStart w:id="56" w:name="_GoBack"/>
      <w:bookmarkEnd w:id="56"/>
      <w:r>
        <w:rPr>
          <w:rFonts w:hint="eastAsia" w:cs="宋体"/>
          <w:bCs/>
          <w:sz w:val="32"/>
          <w:szCs w:val="32"/>
          <w:highlight w:val="none"/>
        </w:rPr>
        <w:t>目  录</w:t>
      </w:r>
      <w:bookmarkEnd w:id="0"/>
      <w:bookmarkEnd w:id="1"/>
      <w:bookmarkEnd w:id="2"/>
      <w:bookmarkEnd w:id="3"/>
      <w:r>
        <w:rPr>
          <w:rStyle w:val="52"/>
          <w:rFonts w:hint="eastAsia" w:cs="Arial"/>
          <w:b w:val="0"/>
          <w:snapToGrid w:val="0"/>
          <w:color w:val="auto"/>
          <w:kern w:val="0"/>
          <w:highlight w:val="none"/>
        </w:rPr>
        <w:fldChar w:fldCharType="begin"/>
      </w:r>
      <w:r>
        <w:rPr>
          <w:rStyle w:val="52"/>
          <w:rFonts w:hint="eastAsia" w:cs="Arial"/>
          <w:b w:val="0"/>
          <w:snapToGrid w:val="0"/>
          <w:color w:val="auto"/>
          <w:kern w:val="0"/>
          <w:highlight w:val="none"/>
        </w:rPr>
        <w:instrText xml:space="preserve">TOC \o "1-1" \h \u </w:instrText>
      </w:r>
      <w:r>
        <w:rPr>
          <w:rStyle w:val="52"/>
          <w:rFonts w:hint="eastAsia" w:cs="Arial"/>
          <w:b w:val="0"/>
          <w:snapToGrid w:val="0"/>
          <w:color w:val="auto"/>
          <w:kern w:val="0"/>
          <w:highlight w:val="none"/>
        </w:rPr>
        <w:fldChar w:fldCharType="separate"/>
      </w:r>
    </w:p>
    <w:p w14:paraId="05FD9F77">
      <w:pPr>
        <w:pStyle w:val="33"/>
        <w:tabs>
          <w:tab w:val="right" w:leader="dot" w:pos="9345"/>
        </w:tabs>
        <w:spacing w:line="360" w:lineRule="auto"/>
        <w:rPr>
          <w:rFonts w:ascii="Times New Roman" w:hAnsi="Times New Roman" w:cs="Times New Roman"/>
          <w:snapToGrid/>
          <w:kern w:val="2"/>
          <w:sz w:val="28"/>
          <w:szCs w:val="28"/>
          <w:highlight w:val="none"/>
        </w:rPr>
      </w:pPr>
      <w:r>
        <w:rPr>
          <w:rStyle w:val="52"/>
          <w:rFonts w:ascii="Times New Roman" w:hAnsi="Times New Roman"/>
          <w:color w:val="auto"/>
          <w:sz w:val="28"/>
          <w:szCs w:val="28"/>
          <w:highlight w:val="none"/>
        </w:rPr>
        <w:fldChar w:fldCharType="begin"/>
      </w:r>
      <w:r>
        <w:rPr>
          <w:rStyle w:val="52"/>
          <w:rFonts w:ascii="Times New Roman" w:hAnsi="Times New Roman"/>
          <w:color w:val="auto"/>
          <w:sz w:val="28"/>
          <w:szCs w:val="28"/>
          <w:highlight w:val="none"/>
        </w:rPr>
        <w:instrText xml:space="preserve"> </w:instrText>
      </w:r>
      <w:r>
        <w:rPr>
          <w:rFonts w:ascii="Times New Roman" w:hAnsi="Times New Roman"/>
          <w:sz w:val="28"/>
          <w:szCs w:val="28"/>
          <w:highlight w:val="none"/>
        </w:rPr>
        <w:instrText xml:space="preserve">HYPERLINK \l "_Toc129714672"</w:instrText>
      </w:r>
      <w:r>
        <w:rPr>
          <w:rStyle w:val="52"/>
          <w:rFonts w:ascii="Times New Roman" w:hAnsi="Times New Roman"/>
          <w:color w:val="auto"/>
          <w:sz w:val="28"/>
          <w:szCs w:val="28"/>
          <w:highlight w:val="none"/>
        </w:rPr>
        <w:instrText xml:space="preserve"> </w:instrText>
      </w:r>
      <w:r>
        <w:rPr>
          <w:rStyle w:val="52"/>
          <w:rFonts w:ascii="Times New Roman" w:hAnsi="Times New Roman"/>
          <w:color w:val="auto"/>
          <w:sz w:val="28"/>
          <w:szCs w:val="28"/>
          <w:highlight w:val="none"/>
        </w:rPr>
        <w:fldChar w:fldCharType="separate"/>
      </w:r>
      <w:r>
        <w:rPr>
          <w:rStyle w:val="52"/>
          <w:rFonts w:ascii="Times New Roman" w:hAnsi="Times New Roman" w:cs="宋体"/>
          <w:b/>
          <w:bCs/>
          <w:color w:val="auto"/>
          <w:sz w:val="28"/>
          <w:szCs w:val="28"/>
          <w:highlight w:val="none"/>
        </w:rPr>
        <w:t xml:space="preserve">第一章 </w:t>
      </w:r>
      <w:r>
        <w:rPr>
          <w:rStyle w:val="52"/>
          <w:rFonts w:hint="eastAsia" w:ascii="Times New Roman" w:hAnsi="Times New Roman" w:cs="宋体"/>
          <w:b/>
          <w:bCs/>
          <w:color w:val="auto"/>
          <w:sz w:val="28"/>
          <w:szCs w:val="28"/>
          <w:highlight w:val="none"/>
        </w:rPr>
        <w:t>竞标采购邀请书</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_Toc129714672 \h </w:instrText>
      </w:r>
      <w:r>
        <w:rPr>
          <w:rFonts w:ascii="Times New Roman" w:hAnsi="Times New Roman"/>
          <w:sz w:val="28"/>
          <w:szCs w:val="28"/>
          <w:highlight w:val="none"/>
        </w:rPr>
        <w:fldChar w:fldCharType="separate"/>
      </w:r>
      <w:r>
        <w:rPr>
          <w:rFonts w:ascii="Times New Roman" w:hAnsi="Times New Roman"/>
          <w:sz w:val="28"/>
          <w:szCs w:val="28"/>
          <w:highlight w:val="none"/>
        </w:rPr>
        <w:t>1</w:t>
      </w:r>
      <w:r>
        <w:rPr>
          <w:rFonts w:ascii="Times New Roman" w:hAnsi="Times New Roman"/>
          <w:sz w:val="28"/>
          <w:szCs w:val="28"/>
          <w:highlight w:val="none"/>
        </w:rPr>
        <w:fldChar w:fldCharType="end"/>
      </w:r>
      <w:r>
        <w:rPr>
          <w:rStyle w:val="52"/>
          <w:rFonts w:ascii="Times New Roman" w:hAnsi="Times New Roman"/>
          <w:color w:val="auto"/>
          <w:sz w:val="28"/>
          <w:szCs w:val="28"/>
          <w:highlight w:val="none"/>
        </w:rPr>
        <w:fldChar w:fldCharType="end"/>
      </w:r>
    </w:p>
    <w:p w14:paraId="27F7B201">
      <w:pPr>
        <w:pStyle w:val="33"/>
        <w:tabs>
          <w:tab w:val="right" w:leader="dot" w:pos="9345"/>
        </w:tabs>
        <w:spacing w:line="360" w:lineRule="auto"/>
        <w:rPr>
          <w:rFonts w:ascii="Times New Roman" w:hAnsi="Times New Roman" w:cs="Times New Roman"/>
          <w:snapToGrid/>
          <w:kern w:val="2"/>
          <w:sz w:val="28"/>
          <w:szCs w:val="28"/>
          <w:highlight w:val="none"/>
        </w:rPr>
      </w:pPr>
      <w:r>
        <w:rPr>
          <w:rStyle w:val="52"/>
          <w:rFonts w:ascii="Times New Roman" w:hAnsi="Times New Roman"/>
          <w:color w:val="auto"/>
          <w:sz w:val="28"/>
          <w:szCs w:val="28"/>
          <w:highlight w:val="none"/>
        </w:rPr>
        <w:fldChar w:fldCharType="begin"/>
      </w:r>
      <w:r>
        <w:rPr>
          <w:rStyle w:val="52"/>
          <w:rFonts w:ascii="Times New Roman" w:hAnsi="Times New Roman"/>
          <w:color w:val="auto"/>
          <w:sz w:val="28"/>
          <w:szCs w:val="28"/>
          <w:highlight w:val="none"/>
        </w:rPr>
        <w:instrText xml:space="preserve"> </w:instrText>
      </w:r>
      <w:r>
        <w:rPr>
          <w:rFonts w:ascii="Times New Roman" w:hAnsi="Times New Roman"/>
          <w:sz w:val="28"/>
          <w:szCs w:val="28"/>
          <w:highlight w:val="none"/>
        </w:rPr>
        <w:instrText xml:space="preserve">HYPERLINK \l "_Toc129714673"</w:instrText>
      </w:r>
      <w:r>
        <w:rPr>
          <w:rStyle w:val="52"/>
          <w:rFonts w:ascii="Times New Roman" w:hAnsi="Times New Roman"/>
          <w:color w:val="auto"/>
          <w:sz w:val="28"/>
          <w:szCs w:val="28"/>
          <w:highlight w:val="none"/>
        </w:rPr>
        <w:instrText xml:space="preserve"> </w:instrText>
      </w:r>
      <w:r>
        <w:rPr>
          <w:rStyle w:val="52"/>
          <w:rFonts w:ascii="Times New Roman" w:hAnsi="Times New Roman"/>
          <w:color w:val="auto"/>
          <w:sz w:val="28"/>
          <w:szCs w:val="28"/>
          <w:highlight w:val="none"/>
        </w:rPr>
        <w:fldChar w:fldCharType="separate"/>
      </w:r>
      <w:r>
        <w:rPr>
          <w:rStyle w:val="52"/>
          <w:rFonts w:ascii="Times New Roman" w:hAnsi="Times New Roman" w:cs="宋体"/>
          <w:b/>
          <w:bCs/>
          <w:color w:val="auto"/>
          <w:sz w:val="28"/>
          <w:szCs w:val="28"/>
          <w:highlight w:val="none"/>
        </w:rPr>
        <w:t xml:space="preserve">第二章 </w:t>
      </w:r>
      <w:r>
        <w:rPr>
          <w:rStyle w:val="52"/>
          <w:rFonts w:hint="eastAsia" w:ascii="Times New Roman" w:hAnsi="Times New Roman" w:cs="宋体"/>
          <w:b/>
          <w:bCs/>
          <w:color w:val="auto"/>
          <w:sz w:val="28"/>
          <w:szCs w:val="28"/>
          <w:highlight w:val="none"/>
        </w:rPr>
        <w:t>响应</w:t>
      </w:r>
      <w:r>
        <w:rPr>
          <w:rStyle w:val="52"/>
          <w:rFonts w:ascii="Times New Roman" w:hAnsi="Times New Roman" w:cs="宋体"/>
          <w:b/>
          <w:bCs/>
          <w:color w:val="auto"/>
          <w:sz w:val="28"/>
          <w:szCs w:val="28"/>
          <w:highlight w:val="none"/>
        </w:rPr>
        <w:t>须知及前附表</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_Toc129714673 \h </w:instrText>
      </w:r>
      <w:r>
        <w:rPr>
          <w:rFonts w:ascii="Times New Roman" w:hAnsi="Times New Roman"/>
          <w:sz w:val="28"/>
          <w:szCs w:val="28"/>
          <w:highlight w:val="none"/>
        </w:rPr>
        <w:fldChar w:fldCharType="separate"/>
      </w:r>
      <w:r>
        <w:rPr>
          <w:rFonts w:ascii="Times New Roman" w:hAnsi="Times New Roman"/>
          <w:sz w:val="28"/>
          <w:szCs w:val="28"/>
          <w:highlight w:val="none"/>
        </w:rPr>
        <w:t>3</w:t>
      </w:r>
      <w:r>
        <w:rPr>
          <w:rFonts w:ascii="Times New Roman" w:hAnsi="Times New Roman"/>
          <w:sz w:val="28"/>
          <w:szCs w:val="28"/>
          <w:highlight w:val="none"/>
        </w:rPr>
        <w:fldChar w:fldCharType="end"/>
      </w:r>
      <w:r>
        <w:rPr>
          <w:rStyle w:val="52"/>
          <w:rFonts w:ascii="Times New Roman" w:hAnsi="Times New Roman"/>
          <w:color w:val="auto"/>
          <w:sz w:val="28"/>
          <w:szCs w:val="28"/>
          <w:highlight w:val="none"/>
        </w:rPr>
        <w:fldChar w:fldCharType="end"/>
      </w:r>
    </w:p>
    <w:p w14:paraId="71EBF037">
      <w:pPr>
        <w:pStyle w:val="33"/>
        <w:tabs>
          <w:tab w:val="right" w:leader="dot" w:pos="9345"/>
        </w:tabs>
        <w:spacing w:line="360" w:lineRule="auto"/>
        <w:rPr>
          <w:rFonts w:ascii="Times New Roman" w:hAnsi="Times New Roman" w:cs="Times New Roman"/>
          <w:snapToGrid/>
          <w:kern w:val="2"/>
          <w:sz w:val="28"/>
          <w:szCs w:val="28"/>
          <w:highlight w:val="none"/>
        </w:rPr>
      </w:pPr>
      <w:r>
        <w:rPr>
          <w:rStyle w:val="52"/>
          <w:rFonts w:ascii="Times New Roman" w:hAnsi="Times New Roman"/>
          <w:color w:val="auto"/>
          <w:sz w:val="28"/>
          <w:szCs w:val="28"/>
          <w:highlight w:val="none"/>
        </w:rPr>
        <w:fldChar w:fldCharType="begin"/>
      </w:r>
      <w:r>
        <w:rPr>
          <w:rStyle w:val="52"/>
          <w:rFonts w:ascii="Times New Roman" w:hAnsi="Times New Roman"/>
          <w:color w:val="auto"/>
          <w:sz w:val="28"/>
          <w:szCs w:val="28"/>
          <w:highlight w:val="none"/>
        </w:rPr>
        <w:instrText xml:space="preserve"> </w:instrText>
      </w:r>
      <w:r>
        <w:rPr>
          <w:rFonts w:ascii="Times New Roman" w:hAnsi="Times New Roman"/>
          <w:sz w:val="28"/>
          <w:szCs w:val="28"/>
          <w:highlight w:val="none"/>
        </w:rPr>
        <w:instrText xml:space="preserve">HYPERLINK \l "_Toc129714674"</w:instrText>
      </w:r>
      <w:r>
        <w:rPr>
          <w:rStyle w:val="52"/>
          <w:rFonts w:ascii="Times New Roman" w:hAnsi="Times New Roman"/>
          <w:color w:val="auto"/>
          <w:sz w:val="28"/>
          <w:szCs w:val="28"/>
          <w:highlight w:val="none"/>
        </w:rPr>
        <w:instrText xml:space="preserve"> </w:instrText>
      </w:r>
      <w:r>
        <w:rPr>
          <w:rStyle w:val="52"/>
          <w:rFonts w:ascii="Times New Roman" w:hAnsi="Times New Roman"/>
          <w:color w:val="auto"/>
          <w:sz w:val="28"/>
          <w:szCs w:val="28"/>
          <w:highlight w:val="none"/>
        </w:rPr>
        <w:fldChar w:fldCharType="separate"/>
      </w:r>
      <w:r>
        <w:rPr>
          <w:rStyle w:val="52"/>
          <w:rFonts w:ascii="Times New Roman" w:hAnsi="Times New Roman" w:cs="宋体"/>
          <w:b/>
          <w:bCs/>
          <w:color w:val="auto"/>
          <w:sz w:val="28"/>
          <w:szCs w:val="28"/>
          <w:highlight w:val="none"/>
        </w:rPr>
        <w:t xml:space="preserve">第三章 </w:t>
      </w:r>
      <w:r>
        <w:rPr>
          <w:rStyle w:val="52"/>
          <w:rFonts w:hint="eastAsia" w:ascii="Times New Roman" w:hAnsi="Times New Roman" w:cs="宋体"/>
          <w:b/>
          <w:bCs/>
          <w:color w:val="auto"/>
          <w:sz w:val="28"/>
          <w:szCs w:val="28"/>
          <w:highlight w:val="none"/>
        </w:rPr>
        <w:t>采购</w:t>
      </w:r>
      <w:r>
        <w:rPr>
          <w:rStyle w:val="52"/>
          <w:rFonts w:ascii="Times New Roman" w:hAnsi="Times New Roman" w:cs="宋体"/>
          <w:b/>
          <w:bCs/>
          <w:color w:val="auto"/>
          <w:sz w:val="28"/>
          <w:szCs w:val="28"/>
          <w:highlight w:val="none"/>
        </w:rPr>
        <w:t>内容及要求</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_Toc129714674 \h </w:instrText>
      </w:r>
      <w:r>
        <w:rPr>
          <w:rFonts w:ascii="Times New Roman" w:hAnsi="Times New Roman"/>
          <w:sz w:val="28"/>
          <w:szCs w:val="28"/>
          <w:highlight w:val="none"/>
        </w:rPr>
        <w:fldChar w:fldCharType="separate"/>
      </w:r>
      <w:r>
        <w:rPr>
          <w:rFonts w:ascii="Times New Roman" w:hAnsi="Times New Roman"/>
          <w:sz w:val="28"/>
          <w:szCs w:val="28"/>
          <w:highlight w:val="none"/>
        </w:rPr>
        <w:t>18</w:t>
      </w:r>
      <w:r>
        <w:rPr>
          <w:rFonts w:ascii="Times New Roman" w:hAnsi="Times New Roman"/>
          <w:sz w:val="28"/>
          <w:szCs w:val="28"/>
          <w:highlight w:val="none"/>
        </w:rPr>
        <w:fldChar w:fldCharType="end"/>
      </w:r>
      <w:r>
        <w:rPr>
          <w:rStyle w:val="52"/>
          <w:rFonts w:ascii="Times New Roman" w:hAnsi="Times New Roman"/>
          <w:color w:val="auto"/>
          <w:sz w:val="28"/>
          <w:szCs w:val="28"/>
          <w:highlight w:val="none"/>
        </w:rPr>
        <w:fldChar w:fldCharType="end"/>
      </w:r>
    </w:p>
    <w:p w14:paraId="193F990F">
      <w:pPr>
        <w:pStyle w:val="33"/>
        <w:tabs>
          <w:tab w:val="right" w:leader="dot" w:pos="9345"/>
        </w:tabs>
        <w:spacing w:line="360" w:lineRule="auto"/>
        <w:rPr>
          <w:rFonts w:ascii="Times New Roman" w:hAnsi="Times New Roman" w:cs="Times New Roman"/>
          <w:snapToGrid/>
          <w:kern w:val="2"/>
          <w:sz w:val="28"/>
          <w:szCs w:val="28"/>
          <w:highlight w:val="none"/>
        </w:rPr>
      </w:pPr>
      <w:r>
        <w:rPr>
          <w:rStyle w:val="52"/>
          <w:rFonts w:ascii="Times New Roman" w:hAnsi="Times New Roman"/>
          <w:color w:val="auto"/>
          <w:sz w:val="28"/>
          <w:szCs w:val="28"/>
          <w:highlight w:val="none"/>
        </w:rPr>
        <w:fldChar w:fldCharType="begin"/>
      </w:r>
      <w:r>
        <w:rPr>
          <w:rStyle w:val="52"/>
          <w:rFonts w:ascii="Times New Roman" w:hAnsi="Times New Roman"/>
          <w:color w:val="auto"/>
          <w:sz w:val="28"/>
          <w:szCs w:val="28"/>
          <w:highlight w:val="none"/>
        </w:rPr>
        <w:instrText xml:space="preserve"> </w:instrText>
      </w:r>
      <w:r>
        <w:rPr>
          <w:rFonts w:ascii="Times New Roman" w:hAnsi="Times New Roman"/>
          <w:sz w:val="28"/>
          <w:szCs w:val="28"/>
          <w:highlight w:val="none"/>
        </w:rPr>
        <w:instrText xml:space="preserve">HYPERLINK \l "_Toc129714675"</w:instrText>
      </w:r>
      <w:r>
        <w:rPr>
          <w:rStyle w:val="52"/>
          <w:rFonts w:ascii="Times New Roman" w:hAnsi="Times New Roman"/>
          <w:color w:val="auto"/>
          <w:sz w:val="28"/>
          <w:szCs w:val="28"/>
          <w:highlight w:val="none"/>
        </w:rPr>
        <w:instrText xml:space="preserve"> </w:instrText>
      </w:r>
      <w:r>
        <w:rPr>
          <w:rStyle w:val="52"/>
          <w:rFonts w:ascii="Times New Roman" w:hAnsi="Times New Roman"/>
          <w:color w:val="auto"/>
          <w:sz w:val="28"/>
          <w:szCs w:val="28"/>
          <w:highlight w:val="none"/>
        </w:rPr>
        <w:fldChar w:fldCharType="separate"/>
      </w:r>
      <w:r>
        <w:rPr>
          <w:rStyle w:val="52"/>
          <w:rFonts w:ascii="Times New Roman" w:hAnsi="Times New Roman" w:cs="宋体"/>
          <w:b/>
          <w:bCs/>
          <w:color w:val="auto"/>
          <w:sz w:val="28"/>
          <w:szCs w:val="28"/>
          <w:highlight w:val="none"/>
        </w:rPr>
        <w:t>第四章 合同主要条款</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_Toc129714675 \h </w:instrText>
      </w:r>
      <w:r>
        <w:rPr>
          <w:rFonts w:ascii="Times New Roman" w:hAnsi="Times New Roman"/>
          <w:sz w:val="28"/>
          <w:szCs w:val="28"/>
          <w:highlight w:val="none"/>
        </w:rPr>
        <w:fldChar w:fldCharType="separate"/>
      </w:r>
      <w:r>
        <w:rPr>
          <w:rFonts w:ascii="Times New Roman" w:hAnsi="Times New Roman"/>
          <w:sz w:val="28"/>
          <w:szCs w:val="28"/>
          <w:highlight w:val="none"/>
        </w:rPr>
        <w:t>18</w:t>
      </w:r>
      <w:r>
        <w:rPr>
          <w:rFonts w:ascii="Times New Roman" w:hAnsi="Times New Roman"/>
          <w:sz w:val="28"/>
          <w:szCs w:val="28"/>
          <w:highlight w:val="none"/>
        </w:rPr>
        <w:fldChar w:fldCharType="end"/>
      </w:r>
      <w:r>
        <w:rPr>
          <w:rStyle w:val="52"/>
          <w:rFonts w:ascii="Times New Roman" w:hAnsi="Times New Roman"/>
          <w:color w:val="auto"/>
          <w:sz w:val="28"/>
          <w:szCs w:val="28"/>
          <w:highlight w:val="none"/>
        </w:rPr>
        <w:fldChar w:fldCharType="end"/>
      </w:r>
    </w:p>
    <w:p w14:paraId="3537E86A">
      <w:pPr>
        <w:pStyle w:val="33"/>
        <w:tabs>
          <w:tab w:val="right" w:leader="dot" w:pos="9345"/>
        </w:tabs>
        <w:spacing w:line="360" w:lineRule="auto"/>
        <w:rPr>
          <w:rFonts w:ascii="Times New Roman" w:hAnsi="Times New Roman" w:cs="Times New Roman"/>
          <w:snapToGrid/>
          <w:kern w:val="2"/>
          <w:sz w:val="28"/>
          <w:szCs w:val="28"/>
          <w:highlight w:val="none"/>
        </w:rPr>
      </w:pPr>
      <w:r>
        <w:rPr>
          <w:rStyle w:val="52"/>
          <w:rFonts w:ascii="Times New Roman" w:hAnsi="Times New Roman"/>
          <w:color w:val="auto"/>
          <w:sz w:val="28"/>
          <w:szCs w:val="28"/>
          <w:highlight w:val="none"/>
        </w:rPr>
        <w:fldChar w:fldCharType="begin"/>
      </w:r>
      <w:r>
        <w:rPr>
          <w:rStyle w:val="52"/>
          <w:rFonts w:ascii="Times New Roman" w:hAnsi="Times New Roman"/>
          <w:color w:val="auto"/>
          <w:sz w:val="28"/>
          <w:szCs w:val="28"/>
          <w:highlight w:val="none"/>
        </w:rPr>
        <w:instrText xml:space="preserve"> </w:instrText>
      </w:r>
      <w:r>
        <w:rPr>
          <w:rFonts w:ascii="Times New Roman" w:hAnsi="Times New Roman"/>
          <w:sz w:val="28"/>
          <w:szCs w:val="28"/>
          <w:highlight w:val="none"/>
        </w:rPr>
        <w:instrText xml:space="preserve">HYPERLINK \l "_Toc129714676"</w:instrText>
      </w:r>
      <w:r>
        <w:rPr>
          <w:rStyle w:val="52"/>
          <w:rFonts w:ascii="Times New Roman" w:hAnsi="Times New Roman"/>
          <w:color w:val="auto"/>
          <w:sz w:val="28"/>
          <w:szCs w:val="28"/>
          <w:highlight w:val="none"/>
        </w:rPr>
        <w:instrText xml:space="preserve"> </w:instrText>
      </w:r>
      <w:r>
        <w:rPr>
          <w:rStyle w:val="52"/>
          <w:rFonts w:ascii="Times New Roman" w:hAnsi="Times New Roman"/>
          <w:color w:val="auto"/>
          <w:sz w:val="28"/>
          <w:szCs w:val="28"/>
          <w:highlight w:val="none"/>
        </w:rPr>
        <w:fldChar w:fldCharType="separate"/>
      </w:r>
      <w:r>
        <w:rPr>
          <w:rStyle w:val="52"/>
          <w:rFonts w:ascii="Times New Roman" w:hAnsi="Times New Roman"/>
          <w:b/>
          <w:color w:val="auto"/>
          <w:sz w:val="28"/>
          <w:szCs w:val="28"/>
          <w:highlight w:val="none"/>
        </w:rPr>
        <w:t>第五章 评标办法</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_Toc129714676 \h </w:instrText>
      </w:r>
      <w:r>
        <w:rPr>
          <w:rFonts w:ascii="Times New Roman" w:hAnsi="Times New Roman"/>
          <w:sz w:val="28"/>
          <w:szCs w:val="28"/>
          <w:highlight w:val="none"/>
        </w:rPr>
        <w:fldChar w:fldCharType="separate"/>
      </w:r>
      <w:r>
        <w:rPr>
          <w:rFonts w:ascii="Times New Roman" w:hAnsi="Times New Roman"/>
          <w:sz w:val="28"/>
          <w:szCs w:val="28"/>
          <w:highlight w:val="none"/>
        </w:rPr>
        <w:t>31</w:t>
      </w:r>
      <w:r>
        <w:rPr>
          <w:rFonts w:ascii="Times New Roman" w:hAnsi="Times New Roman"/>
          <w:sz w:val="28"/>
          <w:szCs w:val="28"/>
          <w:highlight w:val="none"/>
        </w:rPr>
        <w:fldChar w:fldCharType="end"/>
      </w:r>
      <w:r>
        <w:rPr>
          <w:rStyle w:val="52"/>
          <w:rFonts w:ascii="Times New Roman" w:hAnsi="Times New Roman"/>
          <w:color w:val="auto"/>
          <w:sz w:val="28"/>
          <w:szCs w:val="28"/>
          <w:highlight w:val="none"/>
        </w:rPr>
        <w:fldChar w:fldCharType="end"/>
      </w:r>
    </w:p>
    <w:p w14:paraId="752C51A4">
      <w:pPr>
        <w:pStyle w:val="33"/>
        <w:tabs>
          <w:tab w:val="right" w:leader="dot" w:pos="9345"/>
        </w:tabs>
        <w:spacing w:line="360" w:lineRule="auto"/>
        <w:rPr>
          <w:rFonts w:ascii="Times New Roman" w:hAnsi="Times New Roman" w:cs="Times New Roman"/>
          <w:snapToGrid/>
          <w:kern w:val="2"/>
          <w:sz w:val="28"/>
          <w:szCs w:val="28"/>
          <w:highlight w:val="none"/>
        </w:rPr>
      </w:pPr>
      <w:r>
        <w:rPr>
          <w:rStyle w:val="52"/>
          <w:rFonts w:ascii="Times New Roman" w:hAnsi="Times New Roman"/>
          <w:color w:val="auto"/>
          <w:sz w:val="28"/>
          <w:szCs w:val="28"/>
          <w:highlight w:val="none"/>
        </w:rPr>
        <w:fldChar w:fldCharType="begin"/>
      </w:r>
      <w:r>
        <w:rPr>
          <w:rStyle w:val="52"/>
          <w:rFonts w:ascii="Times New Roman" w:hAnsi="Times New Roman"/>
          <w:color w:val="auto"/>
          <w:sz w:val="28"/>
          <w:szCs w:val="28"/>
          <w:highlight w:val="none"/>
        </w:rPr>
        <w:instrText xml:space="preserve"> </w:instrText>
      </w:r>
      <w:r>
        <w:rPr>
          <w:rFonts w:ascii="Times New Roman" w:hAnsi="Times New Roman"/>
          <w:sz w:val="28"/>
          <w:szCs w:val="28"/>
          <w:highlight w:val="none"/>
        </w:rPr>
        <w:instrText xml:space="preserve">HYPERLINK \l "_Toc129714677"</w:instrText>
      </w:r>
      <w:r>
        <w:rPr>
          <w:rStyle w:val="52"/>
          <w:rFonts w:ascii="Times New Roman" w:hAnsi="Times New Roman"/>
          <w:color w:val="auto"/>
          <w:sz w:val="28"/>
          <w:szCs w:val="28"/>
          <w:highlight w:val="none"/>
        </w:rPr>
        <w:instrText xml:space="preserve"> </w:instrText>
      </w:r>
      <w:r>
        <w:rPr>
          <w:rStyle w:val="52"/>
          <w:rFonts w:ascii="Times New Roman" w:hAnsi="Times New Roman"/>
          <w:color w:val="auto"/>
          <w:sz w:val="28"/>
          <w:szCs w:val="28"/>
          <w:highlight w:val="none"/>
        </w:rPr>
        <w:fldChar w:fldCharType="separate"/>
      </w:r>
      <w:r>
        <w:rPr>
          <w:rStyle w:val="52"/>
          <w:rFonts w:ascii="Times New Roman" w:hAnsi="Times New Roman"/>
          <w:b/>
          <w:color w:val="auto"/>
          <w:sz w:val="28"/>
          <w:szCs w:val="28"/>
          <w:highlight w:val="none"/>
        </w:rPr>
        <w:t xml:space="preserve">第六章 </w:t>
      </w:r>
      <w:r>
        <w:rPr>
          <w:rStyle w:val="52"/>
          <w:rFonts w:hint="eastAsia" w:ascii="Times New Roman" w:hAnsi="Times New Roman"/>
          <w:b/>
          <w:color w:val="auto"/>
          <w:sz w:val="28"/>
          <w:szCs w:val="28"/>
          <w:highlight w:val="none"/>
        </w:rPr>
        <w:t>响应文件</w:t>
      </w:r>
      <w:r>
        <w:rPr>
          <w:rStyle w:val="52"/>
          <w:rFonts w:ascii="Times New Roman" w:hAnsi="Times New Roman"/>
          <w:b/>
          <w:color w:val="auto"/>
          <w:sz w:val="28"/>
          <w:szCs w:val="28"/>
          <w:highlight w:val="none"/>
        </w:rPr>
        <w:t>格式</w:t>
      </w:r>
      <w:r>
        <w:rPr>
          <w:rFonts w:ascii="Times New Roman" w:hAnsi="Times New Roman"/>
          <w:sz w:val="28"/>
          <w:szCs w:val="28"/>
          <w:highlight w:val="none"/>
        </w:rPr>
        <w:tab/>
      </w:r>
      <w:r>
        <w:rPr>
          <w:rFonts w:ascii="Times New Roman" w:hAnsi="Times New Roman"/>
          <w:sz w:val="28"/>
          <w:szCs w:val="28"/>
          <w:highlight w:val="none"/>
        </w:rPr>
        <w:fldChar w:fldCharType="begin"/>
      </w:r>
      <w:r>
        <w:rPr>
          <w:rFonts w:ascii="Times New Roman" w:hAnsi="Times New Roman"/>
          <w:sz w:val="28"/>
          <w:szCs w:val="28"/>
          <w:highlight w:val="none"/>
        </w:rPr>
        <w:instrText xml:space="preserve"> PAGEREF _Toc129714677 \h </w:instrText>
      </w:r>
      <w:r>
        <w:rPr>
          <w:rFonts w:ascii="Times New Roman" w:hAnsi="Times New Roman"/>
          <w:sz w:val="28"/>
          <w:szCs w:val="28"/>
          <w:highlight w:val="none"/>
        </w:rPr>
        <w:fldChar w:fldCharType="separate"/>
      </w:r>
      <w:r>
        <w:rPr>
          <w:rFonts w:ascii="Times New Roman" w:hAnsi="Times New Roman"/>
          <w:sz w:val="28"/>
          <w:szCs w:val="28"/>
          <w:highlight w:val="none"/>
        </w:rPr>
        <w:t>40</w:t>
      </w:r>
      <w:r>
        <w:rPr>
          <w:rFonts w:ascii="Times New Roman" w:hAnsi="Times New Roman"/>
          <w:sz w:val="28"/>
          <w:szCs w:val="28"/>
          <w:highlight w:val="none"/>
        </w:rPr>
        <w:fldChar w:fldCharType="end"/>
      </w:r>
      <w:r>
        <w:rPr>
          <w:rStyle w:val="52"/>
          <w:rFonts w:ascii="Times New Roman" w:hAnsi="Times New Roman"/>
          <w:color w:val="auto"/>
          <w:sz w:val="28"/>
          <w:szCs w:val="28"/>
          <w:highlight w:val="none"/>
        </w:rPr>
        <w:fldChar w:fldCharType="end"/>
      </w:r>
    </w:p>
    <w:p w14:paraId="433E6811">
      <w:pPr>
        <w:spacing w:before="240" w:beforeLines="100" w:after="120" w:afterLines="50" w:line="360" w:lineRule="auto"/>
        <w:jc w:val="center"/>
        <w:rPr>
          <w:rFonts w:hint="eastAsia" w:cs="宋体"/>
          <w:sz w:val="28"/>
          <w:szCs w:val="28"/>
          <w:highlight w:val="none"/>
        </w:rPr>
        <w:sectPr>
          <w:footerReference r:id="rId6" w:type="first"/>
          <w:headerReference r:id="rId3" w:type="default"/>
          <w:footerReference r:id="rId4" w:type="default"/>
          <w:footerReference r:id="rId5" w:type="even"/>
          <w:pgSz w:w="11907" w:h="16840"/>
          <w:pgMar w:top="1134" w:right="1134" w:bottom="1418" w:left="1418" w:header="737" w:footer="907" w:gutter="0"/>
          <w:cols w:space="720" w:num="1"/>
          <w:docGrid w:linePitch="312" w:charSpace="0"/>
        </w:sectPr>
      </w:pPr>
      <w:r>
        <w:rPr>
          <w:rFonts w:hint="eastAsia" w:cs="宋体"/>
          <w:sz w:val="28"/>
          <w:szCs w:val="28"/>
          <w:highlight w:val="none"/>
        </w:rPr>
        <w:fldChar w:fldCharType="end"/>
      </w:r>
    </w:p>
    <w:p w14:paraId="78981834">
      <w:pPr>
        <w:spacing w:before="240" w:beforeLines="100" w:after="120" w:afterLines="50" w:line="360" w:lineRule="auto"/>
        <w:jc w:val="center"/>
        <w:outlineLvl w:val="0"/>
        <w:rPr>
          <w:rFonts w:cs="宋体"/>
          <w:b/>
          <w:bCs/>
          <w:sz w:val="36"/>
          <w:szCs w:val="36"/>
          <w:highlight w:val="none"/>
        </w:rPr>
      </w:pPr>
      <w:bookmarkStart w:id="4" w:name="_Toc129714672"/>
      <w:r>
        <w:rPr>
          <w:rFonts w:hint="eastAsia" w:cs="宋体"/>
          <w:b/>
          <w:bCs/>
          <w:sz w:val="36"/>
          <w:szCs w:val="36"/>
          <w:highlight w:val="none"/>
        </w:rPr>
        <w:t xml:space="preserve">第一章 </w:t>
      </w:r>
      <w:bookmarkEnd w:id="4"/>
      <w:r>
        <w:rPr>
          <w:rFonts w:hint="eastAsia" w:cs="宋体"/>
          <w:b/>
          <w:bCs/>
          <w:sz w:val="36"/>
          <w:szCs w:val="36"/>
          <w:highlight w:val="none"/>
        </w:rPr>
        <w:t>竞标采购邀请书</w:t>
      </w:r>
    </w:p>
    <w:p w14:paraId="5877BADA">
      <w:pPr>
        <w:spacing w:line="360" w:lineRule="auto"/>
        <w:rPr>
          <w:rFonts w:hint="eastAsia"/>
          <w:kern w:val="1"/>
          <w:highlight w:val="none"/>
        </w:rPr>
      </w:pPr>
      <w:r>
        <w:rPr>
          <w:rFonts w:hint="eastAsia" w:ascii="黑体" w:hAnsi="黑体" w:eastAsia="黑体" w:cs="宋体"/>
          <w:b/>
          <w:kern w:val="1"/>
          <w:sz w:val="32"/>
          <w:szCs w:val="32"/>
          <w:highlight w:val="none"/>
          <w:u w:val="single"/>
        </w:rPr>
        <w:t xml:space="preserve">                        </w:t>
      </w:r>
      <w:r>
        <w:rPr>
          <w:rFonts w:hint="eastAsia" w:ascii="黑体" w:hAnsi="黑体" w:eastAsia="黑体" w:cs="宋体"/>
          <w:b/>
          <w:kern w:val="1"/>
          <w:sz w:val="32"/>
          <w:szCs w:val="32"/>
          <w:highlight w:val="none"/>
        </w:rPr>
        <w:t>：</w:t>
      </w:r>
    </w:p>
    <w:p w14:paraId="51931F68">
      <w:pPr>
        <w:spacing w:line="360" w:lineRule="auto"/>
        <w:ind w:firstLine="420" w:firstLineChars="200"/>
        <w:rPr>
          <w:rFonts w:hint="eastAsia" w:ascii="Times New Roman" w:hAnsi="Times New Roman" w:eastAsia="宋体" w:cs="宋体"/>
          <w:szCs w:val="21"/>
          <w:highlight w:val="none"/>
          <w:lang w:eastAsia="zh-CN"/>
        </w:rPr>
      </w:pPr>
      <w:r>
        <w:rPr>
          <w:rFonts w:hint="eastAsia" w:cs="宋体"/>
          <w:color w:val="auto"/>
          <w:szCs w:val="21"/>
          <w:highlight w:val="none"/>
          <w:u w:val="single"/>
        </w:rPr>
        <w:t>浙江省成套工程有限公司</w:t>
      </w:r>
      <w:r>
        <w:rPr>
          <w:rFonts w:hint="eastAsia" w:cs="宋体"/>
          <w:color w:val="auto"/>
          <w:szCs w:val="21"/>
          <w:highlight w:val="none"/>
        </w:rPr>
        <w:t>受</w:t>
      </w:r>
      <w:r>
        <w:rPr>
          <w:rFonts w:hint="eastAsia" w:cs="宋体"/>
          <w:szCs w:val="21"/>
          <w:highlight w:val="none"/>
          <w:u w:val="single"/>
          <w:lang w:eastAsia="zh-CN"/>
        </w:rPr>
        <w:t>杭州市交通工程集团有限公司</w:t>
      </w:r>
      <w:r>
        <w:rPr>
          <w:rFonts w:hint="eastAsia" w:cs="宋体"/>
          <w:color w:val="auto"/>
          <w:szCs w:val="21"/>
          <w:highlight w:val="none"/>
        </w:rPr>
        <w:t>委托，对</w:t>
      </w:r>
      <w:r>
        <w:rPr>
          <w:rFonts w:hint="eastAsia" w:cs="宋体"/>
          <w:color w:val="auto"/>
          <w:szCs w:val="21"/>
          <w:highlight w:val="none"/>
          <w:u w:val="single"/>
          <w:lang w:val="en-US" w:eastAsia="zh-CN"/>
        </w:rPr>
        <w:t>两案专项法律服务采购（邀请竞价）</w:t>
      </w:r>
      <w:r>
        <w:rPr>
          <w:rFonts w:hint="eastAsia" w:cs="宋体"/>
          <w:szCs w:val="21"/>
          <w:highlight w:val="none"/>
        </w:rPr>
        <w:t>（下称本项目）</w:t>
      </w:r>
      <w:r>
        <w:rPr>
          <w:rFonts w:hint="eastAsia" w:cs="宋体"/>
          <w:szCs w:val="21"/>
          <w:highlight w:val="none"/>
          <w:lang w:val="en-US" w:eastAsia="zh-CN"/>
        </w:rPr>
        <w:t>进行邀请竞标采购</w:t>
      </w:r>
      <w:r>
        <w:rPr>
          <w:rFonts w:hint="eastAsia" w:ascii="Times New Roman" w:hAnsi="Times New Roman" w:eastAsia="宋体" w:cs="宋体"/>
          <w:szCs w:val="21"/>
          <w:highlight w:val="none"/>
          <w:lang w:eastAsia="zh-CN"/>
        </w:rPr>
        <w:t>。项目已具备招标条件，现邀请贵单位参加本项目</w:t>
      </w:r>
      <w:r>
        <w:rPr>
          <w:rFonts w:hint="eastAsia" w:ascii="Times New Roman" w:hAnsi="Times New Roman" w:eastAsia="宋体" w:cs="宋体"/>
          <w:szCs w:val="21"/>
          <w:highlight w:val="none"/>
          <w:lang w:val="en-US" w:eastAsia="zh-CN"/>
        </w:rPr>
        <w:t>投</w:t>
      </w:r>
      <w:r>
        <w:rPr>
          <w:rFonts w:hint="eastAsia" w:ascii="Times New Roman" w:hAnsi="Times New Roman" w:eastAsia="宋体" w:cs="宋体"/>
          <w:szCs w:val="21"/>
          <w:highlight w:val="none"/>
          <w:lang w:eastAsia="zh-CN"/>
        </w:rPr>
        <w:t>标。</w:t>
      </w:r>
    </w:p>
    <w:p w14:paraId="01960513">
      <w:pPr>
        <w:spacing w:line="360" w:lineRule="auto"/>
        <w:ind w:firstLine="422" w:firstLineChars="200"/>
        <w:rPr>
          <w:rFonts w:hint="eastAsia" w:ascii="Times New Roman" w:hAnsi="Times New Roman" w:eastAsia="宋体" w:cs="宋体"/>
          <w:b/>
          <w:bCs/>
          <w:szCs w:val="21"/>
          <w:highlight w:val="none"/>
        </w:rPr>
      </w:pPr>
      <w:r>
        <w:rPr>
          <w:rFonts w:hint="eastAsia" w:ascii="Times New Roman" w:hAnsi="Times New Roman" w:eastAsia="宋体" w:cs="宋体"/>
          <w:b/>
          <w:bCs/>
          <w:szCs w:val="21"/>
          <w:highlight w:val="none"/>
          <w:lang w:val="en-US" w:eastAsia="zh-CN"/>
        </w:rPr>
        <w:t>一．</w:t>
      </w:r>
      <w:r>
        <w:rPr>
          <w:rFonts w:hint="eastAsia" w:ascii="Times New Roman" w:hAnsi="Times New Roman" w:eastAsia="宋体" w:cs="宋体"/>
          <w:b/>
          <w:bCs/>
          <w:szCs w:val="21"/>
          <w:highlight w:val="none"/>
        </w:rPr>
        <w:t>采购编号：JT-XM-C-2024-0370</w:t>
      </w:r>
    </w:p>
    <w:p w14:paraId="41E80928">
      <w:pPr>
        <w:spacing w:line="360" w:lineRule="auto"/>
        <w:ind w:firstLine="422" w:firstLineChars="200"/>
        <w:rPr>
          <w:rFonts w:hint="eastAsia" w:ascii="Times New Roman" w:hAnsi="Times New Roman" w:eastAsia="宋体" w:cs="宋体"/>
          <w:b/>
          <w:bCs/>
          <w:szCs w:val="21"/>
          <w:highlight w:val="none"/>
          <w:lang w:val="en-US" w:eastAsia="zh-CN"/>
        </w:rPr>
      </w:pPr>
      <w:r>
        <w:rPr>
          <w:rFonts w:hint="eastAsia" w:ascii="Times New Roman" w:hAnsi="Times New Roman" w:eastAsia="宋体" w:cs="宋体"/>
          <w:b/>
          <w:bCs/>
          <w:szCs w:val="21"/>
          <w:highlight w:val="none"/>
          <w:lang w:val="en-US" w:eastAsia="zh-CN"/>
        </w:rPr>
        <w:t>二.项目名称：两案专项法律服务采购（邀请竞价）</w:t>
      </w:r>
    </w:p>
    <w:p w14:paraId="1392ADDE">
      <w:pPr>
        <w:spacing w:line="360" w:lineRule="auto"/>
        <w:ind w:firstLine="422" w:firstLineChars="200"/>
        <w:rPr>
          <w:rFonts w:hint="eastAsia" w:cs="宋体"/>
          <w:szCs w:val="21"/>
          <w:highlight w:val="none"/>
        </w:rPr>
      </w:pPr>
      <w:r>
        <w:rPr>
          <w:rFonts w:hint="eastAsia" w:cs="宋体"/>
          <w:b/>
          <w:bCs/>
          <w:szCs w:val="21"/>
          <w:highlight w:val="none"/>
          <w:lang w:val="en-US" w:eastAsia="zh-CN"/>
        </w:rPr>
        <w:t>三</w:t>
      </w:r>
      <w:r>
        <w:rPr>
          <w:rFonts w:hint="eastAsia" w:cs="宋体"/>
          <w:b/>
          <w:bCs/>
          <w:szCs w:val="21"/>
          <w:highlight w:val="none"/>
        </w:rPr>
        <w:t>.采购内容：</w:t>
      </w:r>
      <w:r>
        <w:rPr>
          <w:rFonts w:hint="eastAsia" w:cs="宋体"/>
          <w:szCs w:val="21"/>
          <w:highlight w:val="none"/>
        </w:rPr>
        <w:t>具体详见采购文件“第三章  采购内容及要求”</w:t>
      </w:r>
    </w:p>
    <w:tbl>
      <w:tblPr>
        <w:tblStyle w:val="45"/>
        <w:tblW w:w="91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4253"/>
        <w:gridCol w:w="894"/>
        <w:gridCol w:w="3051"/>
      </w:tblGrid>
      <w:tr w14:paraId="6ED1B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969" w:type="dxa"/>
            <w:tcBorders>
              <w:top w:val="single" w:color="auto" w:sz="4" w:space="0"/>
              <w:left w:val="single" w:color="auto" w:sz="4" w:space="0"/>
              <w:right w:val="single" w:color="auto" w:sz="4" w:space="0"/>
            </w:tcBorders>
            <w:noWrap w:val="0"/>
            <w:vAlign w:val="center"/>
          </w:tcPr>
          <w:p w14:paraId="18BCB02C">
            <w:pPr>
              <w:keepNext w:val="0"/>
              <w:keepLines w:val="0"/>
              <w:widowControl/>
              <w:suppressLineNumbers w:val="0"/>
              <w:spacing w:before="0" w:beforeAutospacing="0" w:after="0" w:afterAutospacing="0" w:line="360" w:lineRule="exact"/>
              <w:ind w:left="0" w:right="0"/>
              <w:jc w:val="center"/>
              <w:rPr>
                <w:rFonts w:hint="eastAsia" w:ascii="宋体" w:hAnsi="宋体" w:eastAsia="等线" w:cs="宋体"/>
                <w:b/>
                <w:bCs/>
                <w:kern w:val="0"/>
                <w:szCs w:val="21"/>
                <w:highlight w:val="none"/>
              </w:rPr>
            </w:pPr>
            <w:r>
              <w:rPr>
                <w:rFonts w:hint="eastAsia" w:ascii="宋体" w:hAnsi="宋体" w:eastAsia="等线" w:cs="宋体"/>
                <w:b/>
                <w:bCs/>
                <w:kern w:val="0"/>
                <w:szCs w:val="21"/>
                <w:highlight w:val="none"/>
              </w:rPr>
              <w:t>序号</w:t>
            </w:r>
          </w:p>
        </w:tc>
        <w:tc>
          <w:tcPr>
            <w:tcW w:w="4253" w:type="dxa"/>
            <w:tcBorders>
              <w:top w:val="single" w:color="auto" w:sz="4" w:space="0"/>
              <w:left w:val="single" w:color="auto" w:sz="4" w:space="0"/>
              <w:right w:val="single" w:color="auto" w:sz="4" w:space="0"/>
            </w:tcBorders>
            <w:noWrap w:val="0"/>
            <w:vAlign w:val="center"/>
          </w:tcPr>
          <w:p w14:paraId="2CA8E456">
            <w:pPr>
              <w:keepNext w:val="0"/>
              <w:keepLines w:val="0"/>
              <w:widowControl/>
              <w:suppressLineNumbers w:val="0"/>
              <w:spacing w:before="0" w:beforeAutospacing="0" w:after="0" w:afterAutospacing="0" w:line="360" w:lineRule="exact"/>
              <w:ind w:left="0" w:right="0"/>
              <w:jc w:val="center"/>
              <w:rPr>
                <w:rFonts w:hint="eastAsia" w:ascii="宋体" w:hAnsi="宋体" w:eastAsia="等线" w:cs="宋体"/>
                <w:b/>
                <w:bCs/>
                <w:kern w:val="0"/>
                <w:szCs w:val="21"/>
                <w:highlight w:val="none"/>
              </w:rPr>
            </w:pPr>
            <w:r>
              <w:rPr>
                <w:rFonts w:hint="eastAsia" w:ascii="宋体" w:hAnsi="宋体" w:eastAsia="等线" w:cs="宋体"/>
                <w:b/>
                <w:bCs/>
                <w:kern w:val="0"/>
                <w:szCs w:val="21"/>
                <w:highlight w:val="none"/>
              </w:rPr>
              <w:t>采购内容</w:t>
            </w:r>
          </w:p>
        </w:tc>
        <w:tc>
          <w:tcPr>
            <w:tcW w:w="894" w:type="dxa"/>
            <w:tcBorders>
              <w:top w:val="single" w:color="auto" w:sz="4" w:space="0"/>
              <w:left w:val="single" w:color="auto" w:sz="4" w:space="0"/>
              <w:right w:val="single" w:color="auto" w:sz="4" w:space="0"/>
            </w:tcBorders>
            <w:noWrap w:val="0"/>
            <w:vAlign w:val="center"/>
          </w:tcPr>
          <w:p w14:paraId="3F1763B4">
            <w:pPr>
              <w:keepNext w:val="0"/>
              <w:keepLines w:val="0"/>
              <w:widowControl/>
              <w:suppressLineNumbers w:val="0"/>
              <w:spacing w:before="0" w:beforeAutospacing="0" w:after="0" w:afterAutospacing="0" w:line="360" w:lineRule="exact"/>
              <w:ind w:left="0" w:right="0"/>
              <w:jc w:val="center"/>
              <w:rPr>
                <w:rFonts w:hint="eastAsia" w:ascii="宋体" w:hAnsi="宋体" w:eastAsia="等线" w:cs="宋体"/>
                <w:b/>
                <w:bCs/>
                <w:kern w:val="0"/>
                <w:szCs w:val="21"/>
                <w:highlight w:val="none"/>
              </w:rPr>
            </w:pPr>
            <w:r>
              <w:rPr>
                <w:rFonts w:hint="eastAsia" w:ascii="宋体" w:hAnsi="宋体" w:eastAsia="等线" w:cs="宋体"/>
                <w:b/>
                <w:bCs/>
                <w:kern w:val="0"/>
                <w:szCs w:val="21"/>
                <w:highlight w:val="none"/>
              </w:rPr>
              <w:t>数量</w:t>
            </w:r>
          </w:p>
        </w:tc>
        <w:tc>
          <w:tcPr>
            <w:tcW w:w="3051" w:type="dxa"/>
            <w:tcBorders>
              <w:top w:val="single" w:color="auto" w:sz="4" w:space="0"/>
              <w:left w:val="single" w:color="auto" w:sz="4" w:space="0"/>
              <w:right w:val="single" w:color="auto" w:sz="4" w:space="0"/>
            </w:tcBorders>
            <w:noWrap w:val="0"/>
            <w:vAlign w:val="center"/>
          </w:tcPr>
          <w:p w14:paraId="6C7A5EE1">
            <w:pPr>
              <w:keepNext w:val="0"/>
              <w:keepLines w:val="0"/>
              <w:widowControl/>
              <w:suppressLineNumbers w:val="0"/>
              <w:spacing w:before="0" w:beforeAutospacing="0" w:after="0" w:afterAutospacing="0" w:line="360" w:lineRule="exact"/>
              <w:ind w:left="0" w:right="0"/>
              <w:jc w:val="center"/>
              <w:rPr>
                <w:rFonts w:hint="eastAsia" w:ascii="宋体" w:hAnsi="宋体" w:eastAsia="等线" w:cs="宋体"/>
                <w:b/>
                <w:bCs/>
                <w:kern w:val="0"/>
                <w:szCs w:val="21"/>
                <w:highlight w:val="none"/>
              </w:rPr>
            </w:pPr>
            <w:r>
              <w:rPr>
                <w:rFonts w:hint="eastAsia" w:ascii="宋体" w:hAnsi="宋体" w:eastAsia="等线" w:cs="宋体"/>
                <w:b/>
                <w:bCs/>
                <w:kern w:val="0"/>
                <w:szCs w:val="21"/>
                <w:highlight w:val="none"/>
              </w:rPr>
              <w:t>最高限价（元）</w:t>
            </w:r>
          </w:p>
        </w:tc>
      </w:tr>
      <w:tr w14:paraId="096E2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1" w:hRule="exac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5F537004">
            <w:pPr>
              <w:keepNext w:val="0"/>
              <w:keepLines w:val="0"/>
              <w:widowControl/>
              <w:suppressLineNumbers w:val="0"/>
              <w:spacing w:before="0" w:beforeAutospacing="0" w:after="0" w:afterAutospacing="0" w:line="360" w:lineRule="exact"/>
              <w:ind w:left="0" w:right="0"/>
              <w:jc w:val="center"/>
              <w:rPr>
                <w:rFonts w:hint="eastAsia" w:ascii="宋体" w:hAnsi="宋体" w:eastAsia="等线" w:cs="宋体"/>
                <w:bCs/>
                <w:kern w:val="0"/>
                <w:szCs w:val="21"/>
                <w:highlight w:val="none"/>
              </w:rPr>
            </w:pPr>
            <w:r>
              <w:rPr>
                <w:rFonts w:hint="eastAsia" w:ascii="宋体" w:hAnsi="宋体" w:eastAsia="等线" w:cs="宋体"/>
                <w:bCs/>
                <w:kern w:val="0"/>
                <w:szCs w:val="21"/>
                <w:highlight w:val="none"/>
              </w:rPr>
              <w:t>1</w:t>
            </w:r>
          </w:p>
        </w:tc>
        <w:tc>
          <w:tcPr>
            <w:tcW w:w="4253" w:type="dxa"/>
            <w:tcBorders>
              <w:top w:val="single" w:color="auto" w:sz="4" w:space="0"/>
              <w:left w:val="single" w:color="auto" w:sz="4" w:space="0"/>
              <w:bottom w:val="single" w:color="auto" w:sz="4" w:space="0"/>
              <w:right w:val="single" w:color="auto" w:sz="4" w:space="0"/>
            </w:tcBorders>
            <w:noWrap w:val="0"/>
            <w:vAlign w:val="center"/>
          </w:tcPr>
          <w:p w14:paraId="26E8891A">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bCs/>
                <w:kern w:val="0"/>
                <w:szCs w:val="21"/>
                <w:highlight w:val="none"/>
                <w:lang w:eastAsia="zh-CN"/>
              </w:rPr>
            </w:pPr>
            <w:r>
              <w:rPr>
                <w:rFonts w:hint="eastAsia" w:ascii="宋体" w:hAnsi="宋体" w:eastAsia="宋体" w:cs="宋体"/>
                <w:szCs w:val="21"/>
                <w:highlight w:val="none"/>
                <w:lang w:eastAsia="zh-CN"/>
              </w:rPr>
              <w:t>两案专项法律服务采购（邀请竞价）</w:t>
            </w:r>
          </w:p>
        </w:tc>
        <w:tc>
          <w:tcPr>
            <w:tcW w:w="894" w:type="dxa"/>
            <w:tcBorders>
              <w:top w:val="single" w:color="auto" w:sz="4" w:space="0"/>
              <w:left w:val="single" w:color="auto" w:sz="4" w:space="0"/>
              <w:bottom w:val="single" w:color="auto" w:sz="4" w:space="0"/>
              <w:right w:val="single" w:color="auto" w:sz="4" w:space="0"/>
            </w:tcBorders>
            <w:noWrap w:val="0"/>
            <w:vAlign w:val="center"/>
          </w:tcPr>
          <w:p w14:paraId="467700D2">
            <w:pPr>
              <w:keepNext w:val="0"/>
              <w:keepLines w:val="0"/>
              <w:widowControl/>
              <w:suppressLineNumbers w:val="0"/>
              <w:spacing w:before="0" w:beforeAutospacing="0" w:after="0" w:afterAutospacing="0" w:line="360" w:lineRule="exact"/>
              <w:ind w:left="0" w:right="0"/>
              <w:jc w:val="center"/>
              <w:rPr>
                <w:rFonts w:hint="eastAsia" w:ascii="宋体" w:hAnsi="宋体" w:eastAsia="等线" w:cs="宋体"/>
                <w:bCs/>
                <w:kern w:val="0"/>
                <w:szCs w:val="21"/>
                <w:highlight w:val="none"/>
              </w:rPr>
            </w:pPr>
            <w:r>
              <w:rPr>
                <w:rFonts w:hint="eastAsia" w:ascii="宋体" w:hAnsi="宋体" w:eastAsia="等线" w:cs="宋体"/>
                <w:bCs/>
                <w:kern w:val="0"/>
                <w:szCs w:val="21"/>
                <w:highlight w:val="none"/>
              </w:rPr>
              <w:t>1项</w:t>
            </w:r>
          </w:p>
        </w:tc>
        <w:tc>
          <w:tcPr>
            <w:tcW w:w="3051" w:type="dxa"/>
            <w:tcBorders>
              <w:top w:val="single" w:color="auto" w:sz="4" w:space="0"/>
              <w:left w:val="single" w:color="auto" w:sz="4" w:space="0"/>
              <w:bottom w:val="single" w:color="auto" w:sz="4" w:space="0"/>
              <w:right w:val="single" w:color="auto" w:sz="4" w:space="0"/>
            </w:tcBorders>
            <w:noWrap w:val="0"/>
            <w:vAlign w:val="center"/>
          </w:tcPr>
          <w:p w14:paraId="414125A5">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58万元</w:t>
            </w:r>
          </w:p>
        </w:tc>
      </w:tr>
    </w:tbl>
    <w:p w14:paraId="3565889B">
      <w:pPr>
        <w:spacing w:line="360" w:lineRule="auto"/>
        <w:ind w:firstLine="422" w:firstLineChars="200"/>
        <w:rPr>
          <w:rFonts w:hint="eastAsia" w:eastAsia="宋体" w:cs="宋体"/>
          <w:szCs w:val="21"/>
          <w:highlight w:val="none"/>
          <w:lang w:eastAsia="zh-CN"/>
        </w:rPr>
      </w:pPr>
      <w:r>
        <w:rPr>
          <w:rFonts w:hint="eastAsia" w:cs="宋体"/>
          <w:b/>
          <w:bCs/>
          <w:szCs w:val="21"/>
          <w:highlight w:val="none"/>
        </w:rPr>
        <w:t>四.采购代理：</w:t>
      </w:r>
      <w:r>
        <w:rPr>
          <w:rFonts w:hint="eastAsia" w:cs="宋体"/>
          <w:szCs w:val="21"/>
          <w:highlight w:val="none"/>
          <w:u w:val="single"/>
          <w:lang w:eastAsia="zh-CN"/>
        </w:rPr>
        <w:t>浙江省成套工程有限公司</w:t>
      </w:r>
    </w:p>
    <w:p w14:paraId="2D19B7A8">
      <w:pPr>
        <w:spacing w:line="360" w:lineRule="auto"/>
        <w:ind w:firstLine="422" w:firstLineChars="200"/>
        <w:rPr>
          <w:rFonts w:hint="eastAsia" w:cs="宋体"/>
          <w:b/>
          <w:bCs/>
          <w:szCs w:val="21"/>
          <w:highlight w:val="none"/>
        </w:rPr>
      </w:pPr>
      <w:r>
        <w:rPr>
          <w:rFonts w:hint="eastAsia" w:cs="宋体"/>
          <w:b/>
          <w:bCs/>
          <w:szCs w:val="21"/>
          <w:highlight w:val="none"/>
        </w:rPr>
        <w:t>五.供应商资格条件：</w:t>
      </w:r>
    </w:p>
    <w:p w14:paraId="4C10635D">
      <w:pPr>
        <w:spacing w:line="360" w:lineRule="auto"/>
        <w:ind w:firstLine="420" w:firstLineChars="200"/>
        <w:rPr>
          <w:rFonts w:hint="eastAsia" w:ascii="宋体" w:hAnsi="宋体" w:eastAsia="宋体" w:cs="宋体"/>
          <w:color w:val="auto"/>
          <w:sz w:val="21"/>
          <w:szCs w:val="21"/>
          <w:highlight w:val="none"/>
          <w:lang w:val="zh-CN"/>
        </w:rPr>
      </w:pPr>
      <w:r>
        <w:rPr>
          <w:rFonts w:hint="eastAsia" w:cs="宋体"/>
          <w:szCs w:val="21"/>
          <w:highlight w:val="none"/>
          <w:lang w:bidi="ar"/>
        </w:rPr>
        <w:t>1、</w:t>
      </w:r>
      <w:r>
        <w:rPr>
          <w:rFonts w:hint="eastAsia" w:ascii="宋体" w:hAnsi="宋体" w:eastAsia="宋体" w:cs="宋体"/>
          <w:color w:val="auto"/>
          <w:sz w:val="21"/>
          <w:szCs w:val="21"/>
          <w:highlight w:val="none"/>
          <w:lang w:val="zh-CN"/>
        </w:rPr>
        <w:t>投标人须为司法行政部门批准成立的律师事务所（或分所）并取得执业许可证(需提供执业许可证</w:t>
      </w:r>
      <w:r>
        <w:rPr>
          <w:rFonts w:hint="eastAsia" w:ascii="宋体" w:hAnsi="宋体" w:eastAsia="宋体" w:cs="宋体"/>
          <w:color w:val="auto"/>
          <w:sz w:val="21"/>
          <w:szCs w:val="21"/>
          <w:highlight w:val="none"/>
          <w:lang w:val="zh-CN" w:eastAsia="zh-CN"/>
        </w:rPr>
        <w:t>扫描</w:t>
      </w:r>
      <w:r>
        <w:rPr>
          <w:rFonts w:hint="eastAsia" w:ascii="宋体" w:hAnsi="宋体" w:eastAsia="宋体" w:cs="宋体"/>
          <w:color w:val="auto"/>
          <w:sz w:val="21"/>
          <w:szCs w:val="21"/>
          <w:highlight w:val="none"/>
          <w:lang w:val="zh-CN"/>
        </w:rPr>
        <w:t>件）；</w:t>
      </w:r>
    </w:p>
    <w:p w14:paraId="01DD0E6E">
      <w:pPr>
        <w:spacing w:line="360" w:lineRule="auto"/>
        <w:ind w:firstLine="420" w:firstLineChars="200"/>
        <w:rPr>
          <w:rFonts w:hint="eastAsia" w:cs="宋体"/>
          <w:szCs w:val="21"/>
          <w:highlight w:val="none"/>
          <w:lang w:bidi="ar"/>
        </w:rPr>
      </w:pPr>
      <w:r>
        <w:rPr>
          <w:rFonts w:hint="eastAsia" w:cs="宋体"/>
          <w:szCs w:val="21"/>
          <w:highlight w:val="none"/>
          <w:lang w:bidi="ar"/>
        </w:rPr>
        <w:t>2、与采购人存在利害关系可能影响采购公正性的单位，不得参加本项目投标。单位负责人为同一人或者存在控股、管理关系的不同单位，不得同时参加本项目投标；</w:t>
      </w:r>
    </w:p>
    <w:p w14:paraId="21AEA409">
      <w:pPr>
        <w:spacing w:line="360" w:lineRule="auto"/>
        <w:ind w:firstLine="420" w:firstLineChars="200"/>
        <w:rPr>
          <w:rFonts w:hint="eastAsia" w:cs="宋体"/>
          <w:szCs w:val="21"/>
          <w:highlight w:val="none"/>
          <w:lang w:bidi="ar"/>
        </w:rPr>
      </w:pPr>
      <w:r>
        <w:rPr>
          <w:rFonts w:hint="eastAsia" w:cs="宋体"/>
          <w:szCs w:val="21"/>
          <w:highlight w:val="none"/>
          <w:lang w:bidi="ar"/>
        </w:rPr>
        <w:t>3、供应商未被列入失信被执行人名单、重大税收违法案件当事人名单、政府采购严重违法失信行为记录名单，信用信息以信用中国网（www.creditchina.gov.cn）、中国政府采购网（www.ccgp.gov.cn）公布为准。</w:t>
      </w:r>
      <w:r>
        <w:rPr>
          <w:rFonts w:hint="eastAsia" w:cs="宋体"/>
          <w:b/>
          <w:bCs/>
          <w:szCs w:val="21"/>
          <w:highlight w:val="none"/>
          <w:lang w:bidi="ar"/>
        </w:rPr>
        <w:t>（证明材料：信用中国、中国政府采购网网页截图加盖公章）</w:t>
      </w:r>
      <w:r>
        <w:rPr>
          <w:rFonts w:hint="eastAsia" w:cs="宋体"/>
          <w:szCs w:val="21"/>
          <w:highlight w:val="none"/>
          <w:lang w:bidi="ar"/>
        </w:rPr>
        <w:t>；</w:t>
      </w:r>
    </w:p>
    <w:p w14:paraId="216DD6AE">
      <w:pPr>
        <w:spacing w:line="360" w:lineRule="auto"/>
        <w:ind w:firstLine="420" w:firstLineChars="200"/>
        <w:rPr>
          <w:rFonts w:hint="eastAsia" w:ascii="宋体" w:hAnsi="宋体" w:cs="宋体"/>
          <w:szCs w:val="21"/>
          <w:highlight w:val="none"/>
        </w:rPr>
      </w:pPr>
      <w:r>
        <w:rPr>
          <w:rFonts w:hint="eastAsia" w:cs="宋体"/>
          <w:szCs w:val="21"/>
          <w:highlight w:val="none"/>
          <w:lang w:bidi="ar"/>
        </w:rPr>
        <w:t>4、本项目不接受联合体投标。</w:t>
      </w:r>
    </w:p>
    <w:p w14:paraId="3B8ED9EE">
      <w:pPr>
        <w:spacing w:line="360" w:lineRule="auto"/>
        <w:ind w:firstLine="422" w:firstLineChars="200"/>
        <w:rPr>
          <w:rFonts w:hint="eastAsia" w:cs="宋体"/>
          <w:b/>
          <w:bCs/>
          <w:szCs w:val="21"/>
          <w:highlight w:val="none"/>
        </w:rPr>
      </w:pPr>
      <w:r>
        <w:rPr>
          <w:rFonts w:hint="eastAsia" w:cs="宋体"/>
          <w:b/>
          <w:bCs/>
          <w:szCs w:val="21"/>
          <w:highlight w:val="none"/>
        </w:rPr>
        <w:t>六.采购文件获取：</w:t>
      </w:r>
    </w:p>
    <w:p w14:paraId="60D6E87F">
      <w:pPr>
        <w:spacing w:line="360" w:lineRule="auto"/>
        <w:ind w:firstLine="420" w:firstLineChars="200"/>
        <w:rPr>
          <w:szCs w:val="21"/>
          <w:highlight w:val="none"/>
        </w:rPr>
      </w:pPr>
      <w:r>
        <w:rPr>
          <w:szCs w:val="21"/>
          <w:highlight w:val="none"/>
        </w:rPr>
        <w:t>1</w:t>
      </w:r>
      <w:r>
        <w:rPr>
          <w:rFonts w:hint="eastAsia"/>
          <w:szCs w:val="21"/>
          <w:highlight w:val="none"/>
        </w:rPr>
        <w:t>.</w:t>
      </w:r>
      <w:r>
        <w:rPr>
          <w:rFonts w:hint="eastAsia" w:cs="宋体"/>
          <w:szCs w:val="21"/>
          <w:highlight w:val="none"/>
        </w:rPr>
        <w:t>时间：</w:t>
      </w:r>
      <w:r>
        <w:rPr>
          <w:rFonts w:hint="eastAsia" w:cs="宋体"/>
          <w:color w:val="auto"/>
          <w:szCs w:val="21"/>
          <w:highlight w:val="none"/>
        </w:rPr>
        <w:t>公告发布时间 至 投标截止时间</w:t>
      </w:r>
    </w:p>
    <w:p w14:paraId="1F4EE945">
      <w:pPr>
        <w:pStyle w:val="18"/>
        <w:snapToGrid w:val="0"/>
        <w:spacing w:line="360" w:lineRule="auto"/>
        <w:ind w:left="0" w:leftChars="0" w:firstLine="420" w:firstLineChars="200"/>
        <w:rPr>
          <w:rFonts w:hint="eastAsia"/>
          <w:sz w:val="21"/>
          <w:szCs w:val="21"/>
          <w:highlight w:val="none"/>
        </w:rPr>
      </w:pPr>
      <w:r>
        <w:rPr>
          <w:rFonts w:hint="eastAsia"/>
          <w:sz w:val="21"/>
          <w:szCs w:val="21"/>
          <w:highlight w:val="none"/>
        </w:rPr>
        <w:t>2.地点（网址）：</w:t>
      </w:r>
      <w:r>
        <w:rPr>
          <w:rFonts w:hint="eastAsia" w:cs="Arial"/>
          <w:sz w:val="21"/>
          <w:szCs w:val="21"/>
          <w:highlight w:val="none"/>
        </w:rPr>
        <w:t>杭州交投集中采购平台（http://cg.zjhzjtjt.com/）</w:t>
      </w:r>
      <w:r>
        <w:rPr>
          <w:rFonts w:hint="eastAsia"/>
          <w:sz w:val="21"/>
          <w:szCs w:val="21"/>
          <w:highlight w:val="none"/>
        </w:rPr>
        <w:t>；</w:t>
      </w:r>
    </w:p>
    <w:p w14:paraId="5C55884B">
      <w:pPr>
        <w:pStyle w:val="25"/>
        <w:adjustRightInd w:val="0"/>
        <w:snapToGrid w:val="0"/>
        <w:spacing w:line="360" w:lineRule="auto"/>
        <w:ind w:firstLine="420" w:firstLineChars="200"/>
        <w:rPr>
          <w:rFonts w:hint="eastAsia" w:ascii="Times New Roman" w:hAnsi="Times New Roman"/>
          <w:szCs w:val="21"/>
          <w:highlight w:val="none"/>
        </w:rPr>
      </w:pPr>
      <w:r>
        <w:rPr>
          <w:rFonts w:hint="eastAsia" w:ascii="Times New Roman" w:hAnsi="Times New Roman"/>
          <w:szCs w:val="21"/>
          <w:highlight w:val="none"/>
        </w:rPr>
        <w:t>3.方式：</w:t>
      </w:r>
      <w:r>
        <w:rPr>
          <w:rFonts w:hint="eastAsia" w:ascii="Times New Roman" w:hAnsi="Times New Roman"/>
          <w:szCs w:val="21"/>
          <w:highlight w:val="none"/>
        </w:rPr>
        <w:fldChar w:fldCharType="begin"/>
      </w:r>
      <w:r>
        <w:rPr>
          <w:rFonts w:hint="eastAsia" w:ascii="Times New Roman" w:hAnsi="Times New Roman"/>
          <w:szCs w:val="21"/>
          <w:highlight w:val="none"/>
        </w:rPr>
        <w:instrText xml:space="preserve"> HYPERLINK "mailto:供应商登陆杭州交投集中采购平台，在线申请获取采购文件（进入\“项目采购\”应用，在获取采购文件菜单中选择项目，申请获取采购文件，并将\“获取采购文件须提供的资料\”扫描件发送至2726985282@qq.com。经审核通过后，下载采购文件。未提交获取采购文件资料的，将不予审核。" </w:instrText>
      </w:r>
      <w:r>
        <w:rPr>
          <w:rFonts w:hint="eastAsia" w:ascii="Times New Roman" w:hAnsi="Times New Roman"/>
          <w:szCs w:val="21"/>
          <w:highlight w:val="none"/>
        </w:rPr>
        <w:fldChar w:fldCharType="separate"/>
      </w:r>
      <w:r>
        <w:rPr>
          <w:rStyle w:val="52"/>
          <w:rFonts w:hint="eastAsia" w:ascii="Times New Roman" w:hAnsi="Times New Roman"/>
          <w:color w:val="auto"/>
          <w:szCs w:val="21"/>
          <w:highlight w:val="none"/>
        </w:rPr>
        <w:t>供应商登陆</w:t>
      </w:r>
      <w:r>
        <w:rPr>
          <w:rStyle w:val="52"/>
          <w:rFonts w:hint="eastAsia" w:ascii="Times New Roman" w:hAnsi="Times New Roman" w:cs="Arial"/>
          <w:color w:val="auto"/>
          <w:szCs w:val="21"/>
          <w:highlight w:val="none"/>
        </w:rPr>
        <w:t>杭州交投集中采购平台</w:t>
      </w:r>
      <w:r>
        <w:rPr>
          <w:rStyle w:val="52"/>
          <w:rFonts w:hint="eastAsia" w:ascii="Times New Roman" w:hAnsi="Times New Roman"/>
          <w:color w:val="auto"/>
          <w:szCs w:val="21"/>
          <w:highlight w:val="none"/>
        </w:rPr>
        <w:t>，在线申请获取采购文件（进入“项目采购”应用，在获取采购文件菜单中选择项目，申请获取采购文件</w:t>
      </w:r>
      <w:r>
        <w:rPr>
          <w:rStyle w:val="52"/>
          <w:rFonts w:hint="eastAsia" w:ascii="Times New Roman" w:hAnsi="Times New Roman"/>
          <w:b/>
          <w:bCs/>
          <w:color w:val="auto"/>
          <w:szCs w:val="21"/>
          <w:highlight w:val="none"/>
        </w:rPr>
        <w:t>，</w:t>
      </w:r>
      <w:r>
        <w:rPr>
          <w:rStyle w:val="52"/>
          <w:rFonts w:hint="eastAsia" w:ascii="Times New Roman" w:hAnsi="Times New Roman"/>
          <w:color w:val="auto"/>
          <w:szCs w:val="21"/>
          <w:highlight w:val="none"/>
        </w:rPr>
        <w:t>经审核通过后，下载采购文件。</w:t>
      </w:r>
      <w:r>
        <w:rPr>
          <w:rFonts w:hint="eastAsia" w:ascii="Times New Roman" w:hAnsi="Times New Roman"/>
          <w:szCs w:val="21"/>
          <w:highlight w:val="none"/>
        </w:rPr>
        <w:fldChar w:fldCharType="end"/>
      </w:r>
    </w:p>
    <w:p w14:paraId="5D5757DE">
      <w:pPr>
        <w:spacing w:line="360" w:lineRule="auto"/>
        <w:ind w:firstLine="420" w:firstLineChars="200"/>
        <w:rPr>
          <w:rFonts w:hint="eastAsia" w:cs="宋体"/>
          <w:szCs w:val="21"/>
          <w:highlight w:val="none"/>
        </w:rPr>
      </w:pPr>
      <w:r>
        <w:rPr>
          <w:rFonts w:hint="eastAsia" w:cs="宋体"/>
          <w:szCs w:val="21"/>
          <w:highlight w:val="none"/>
        </w:rPr>
        <w:t>4.响应</w:t>
      </w:r>
      <w:r>
        <w:rPr>
          <w:rFonts w:hint="eastAsia"/>
          <w:szCs w:val="21"/>
          <w:highlight w:val="none"/>
        </w:rPr>
        <w:t>供应商对采购文件有疑问的，通过“电子交易平台”提交。提交疑问截止日为</w:t>
      </w:r>
      <w:r>
        <w:rPr>
          <w:rFonts w:hint="eastAsia"/>
          <w:szCs w:val="21"/>
          <w:highlight w:val="none"/>
          <w:u w:val="single"/>
        </w:rPr>
        <w:t>2024</w:t>
      </w:r>
      <w:r>
        <w:rPr>
          <w:rFonts w:hint="eastAsia"/>
          <w:szCs w:val="21"/>
          <w:highlight w:val="none"/>
        </w:rPr>
        <w:t>年</w:t>
      </w:r>
      <w:r>
        <w:rPr>
          <w:rFonts w:hint="eastAsia"/>
          <w:szCs w:val="21"/>
          <w:highlight w:val="none"/>
          <w:u w:val="single"/>
          <w:lang w:val="en-US" w:eastAsia="zh-CN"/>
        </w:rPr>
        <w:t>12</w:t>
      </w:r>
      <w:r>
        <w:rPr>
          <w:rFonts w:hint="eastAsia"/>
          <w:szCs w:val="21"/>
          <w:highlight w:val="none"/>
        </w:rPr>
        <w:t>月</w:t>
      </w:r>
      <w:r>
        <w:rPr>
          <w:rFonts w:hint="eastAsia"/>
          <w:szCs w:val="21"/>
          <w:highlight w:val="none"/>
          <w:u w:val="single"/>
          <w:lang w:val="en-US" w:eastAsia="zh-CN"/>
        </w:rPr>
        <w:t>19</w:t>
      </w:r>
      <w:r>
        <w:rPr>
          <w:rFonts w:hint="eastAsia"/>
          <w:szCs w:val="21"/>
          <w:highlight w:val="none"/>
        </w:rPr>
        <w:t>日</w:t>
      </w:r>
      <w:r>
        <w:rPr>
          <w:rFonts w:hint="eastAsia"/>
          <w:szCs w:val="21"/>
          <w:highlight w:val="none"/>
          <w:u w:val="single"/>
        </w:rPr>
        <w:t>17</w:t>
      </w:r>
      <w:r>
        <w:rPr>
          <w:rFonts w:hint="eastAsia"/>
          <w:szCs w:val="21"/>
          <w:highlight w:val="none"/>
        </w:rPr>
        <w:t>时</w:t>
      </w:r>
      <w:r>
        <w:rPr>
          <w:rFonts w:hint="eastAsia"/>
          <w:szCs w:val="21"/>
          <w:highlight w:val="none"/>
          <w:u w:val="single"/>
        </w:rPr>
        <w:t>00</w:t>
      </w:r>
      <w:r>
        <w:rPr>
          <w:rFonts w:hint="eastAsia"/>
          <w:szCs w:val="21"/>
          <w:highlight w:val="none"/>
        </w:rPr>
        <w:t>分。采购单位将于</w:t>
      </w:r>
      <w:r>
        <w:rPr>
          <w:rFonts w:hint="eastAsia"/>
          <w:szCs w:val="21"/>
          <w:highlight w:val="none"/>
          <w:u w:val="single"/>
        </w:rPr>
        <w:t>2024</w:t>
      </w:r>
      <w:r>
        <w:rPr>
          <w:rFonts w:hint="eastAsia"/>
          <w:szCs w:val="21"/>
          <w:highlight w:val="none"/>
        </w:rPr>
        <w:t>年</w:t>
      </w:r>
      <w:r>
        <w:rPr>
          <w:rFonts w:hint="eastAsia"/>
          <w:szCs w:val="21"/>
          <w:highlight w:val="none"/>
          <w:u w:val="single"/>
          <w:lang w:val="en-US" w:eastAsia="zh-CN"/>
        </w:rPr>
        <w:t>12</w:t>
      </w:r>
      <w:r>
        <w:rPr>
          <w:rFonts w:hint="eastAsia"/>
          <w:szCs w:val="21"/>
          <w:highlight w:val="none"/>
        </w:rPr>
        <w:t>月</w:t>
      </w:r>
      <w:r>
        <w:rPr>
          <w:rFonts w:hint="eastAsia"/>
          <w:szCs w:val="21"/>
          <w:highlight w:val="none"/>
          <w:u w:val="single"/>
          <w:lang w:val="en-US" w:eastAsia="zh-CN"/>
        </w:rPr>
        <w:t>20</w:t>
      </w:r>
      <w:r>
        <w:rPr>
          <w:rFonts w:hint="eastAsia"/>
          <w:szCs w:val="21"/>
          <w:highlight w:val="none"/>
        </w:rPr>
        <w:t>日</w:t>
      </w:r>
      <w:r>
        <w:rPr>
          <w:rFonts w:hint="eastAsia"/>
          <w:szCs w:val="21"/>
          <w:highlight w:val="none"/>
          <w:u w:val="single"/>
        </w:rPr>
        <w:t>17</w:t>
      </w:r>
      <w:r>
        <w:rPr>
          <w:rFonts w:hint="eastAsia"/>
          <w:szCs w:val="21"/>
          <w:highlight w:val="none"/>
        </w:rPr>
        <w:t>时</w:t>
      </w:r>
      <w:r>
        <w:rPr>
          <w:rFonts w:hint="eastAsia"/>
          <w:szCs w:val="21"/>
          <w:highlight w:val="none"/>
          <w:u w:val="single"/>
        </w:rPr>
        <w:t>00</w:t>
      </w:r>
      <w:r>
        <w:rPr>
          <w:rFonts w:hint="eastAsia"/>
          <w:szCs w:val="21"/>
          <w:highlight w:val="none"/>
        </w:rPr>
        <w:t>分前在网上发布澄清。</w:t>
      </w:r>
      <w:r>
        <w:rPr>
          <w:rFonts w:hint="eastAsia" w:cs="宋体"/>
          <w:szCs w:val="21"/>
          <w:highlight w:val="none"/>
        </w:rPr>
        <w:t>响应</w:t>
      </w:r>
      <w:r>
        <w:rPr>
          <w:rFonts w:hint="eastAsia"/>
          <w:szCs w:val="21"/>
          <w:highlight w:val="none"/>
        </w:rPr>
        <w:t>供应商应自行关注“电子交易平台”，采购单位不再一一通知。因供应商自身贻误行为导致成交失败的，责任自负。</w:t>
      </w:r>
    </w:p>
    <w:p w14:paraId="1052348C">
      <w:pPr>
        <w:spacing w:line="360" w:lineRule="auto"/>
        <w:ind w:firstLine="422" w:firstLineChars="200"/>
        <w:rPr>
          <w:rFonts w:hint="eastAsia" w:cs="宋体"/>
          <w:szCs w:val="21"/>
          <w:highlight w:val="none"/>
        </w:rPr>
      </w:pPr>
      <w:r>
        <w:rPr>
          <w:rFonts w:hint="eastAsia" w:cs="宋体"/>
          <w:b/>
          <w:bCs/>
          <w:szCs w:val="21"/>
          <w:highlight w:val="none"/>
        </w:rPr>
        <w:t>八.投标截止时间：</w:t>
      </w:r>
      <w:r>
        <w:rPr>
          <w:rFonts w:hint="eastAsia" w:cs="宋体"/>
          <w:szCs w:val="21"/>
          <w:highlight w:val="none"/>
          <w:u w:val="single"/>
        </w:rPr>
        <w:t>2024</w:t>
      </w:r>
      <w:r>
        <w:rPr>
          <w:rFonts w:hint="eastAsia" w:cs="宋体"/>
          <w:szCs w:val="21"/>
          <w:highlight w:val="none"/>
        </w:rPr>
        <w:t>年</w:t>
      </w:r>
      <w:r>
        <w:rPr>
          <w:rFonts w:hint="eastAsia" w:cs="宋体"/>
          <w:szCs w:val="21"/>
          <w:highlight w:val="none"/>
          <w:u w:val="single"/>
          <w:lang w:val="en-US" w:eastAsia="zh-CN"/>
        </w:rPr>
        <w:t>12</w:t>
      </w:r>
      <w:r>
        <w:rPr>
          <w:rFonts w:hint="eastAsia" w:cs="宋体"/>
          <w:szCs w:val="21"/>
          <w:highlight w:val="none"/>
        </w:rPr>
        <w:t>月</w:t>
      </w:r>
      <w:r>
        <w:rPr>
          <w:rFonts w:hint="eastAsia" w:cs="宋体"/>
          <w:szCs w:val="21"/>
          <w:highlight w:val="none"/>
          <w:u w:val="single"/>
          <w:lang w:val="en-US" w:eastAsia="zh-CN"/>
        </w:rPr>
        <w:t>26</w:t>
      </w:r>
      <w:r>
        <w:rPr>
          <w:rFonts w:hint="eastAsia" w:cs="宋体"/>
          <w:szCs w:val="21"/>
          <w:highlight w:val="none"/>
        </w:rPr>
        <w:t>日</w:t>
      </w:r>
      <w:r>
        <w:rPr>
          <w:rFonts w:hint="eastAsia" w:cs="宋体"/>
          <w:szCs w:val="21"/>
          <w:highlight w:val="none"/>
          <w:u w:val="single"/>
          <w:lang w:val="en-US" w:eastAsia="zh-CN"/>
        </w:rPr>
        <w:t>10</w:t>
      </w:r>
      <w:r>
        <w:rPr>
          <w:rFonts w:hint="eastAsia" w:cs="宋体"/>
          <w:szCs w:val="21"/>
          <w:highlight w:val="none"/>
        </w:rPr>
        <w:t>时</w:t>
      </w:r>
      <w:r>
        <w:rPr>
          <w:rFonts w:hint="eastAsia" w:cs="宋体"/>
          <w:szCs w:val="21"/>
          <w:highlight w:val="none"/>
          <w:u w:val="single"/>
        </w:rPr>
        <w:t xml:space="preserve"> </w:t>
      </w:r>
      <w:r>
        <w:rPr>
          <w:rFonts w:hint="eastAsia" w:cs="宋体"/>
          <w:szCs w:val="21"/>
          <w:highlight w:val="none"/>
          <w:u w:val="single"/>
          <w:lang w:val="en-US" w:eastAsia="zh-CN"/>
        </w:rPr>
        <w:t>0</w:t>
      </w:r>
      <w:r>
        <w:rPr>
          <w:rFonts w:hint="eastAsia" w:cs="宋体"/>
          <w:szCs w:val="21"/>
          <w:highlight w:val="none"/>
          <w:u w:val="single"/>
        </w:rPr>
        <w:t xml:space="preserve">0 </w:t>
      </w:r>
      <w:r>
        <w:rPr>
          <w:rFonts w:hint="eastAsia" w:cs="宋体"/>
          <w:szCs w:val="21"/>
          <w:highlight w:val="none"/>
        </w:rPr>
        <w:t>分（北京时间）</w:t>
      </w:r>
    </w:p>
    <w:p w14:paraId="14227A9F">
      <w:pPr>
        <w:snapToGrid w:val="0"/>
        <w:spacing w:line="360" w:lineRule="auto"/>
        <w:ind w:right="-21" w:rightChars="-10" w:firstLine="422" w:firstLineChars="200"/>
        <w:rPr>
          <w:rFonts w:hint="eastAsia" w:cs="宋体"/>
          <w:szCs w:val="21"/>
          <w:highlight w:val="none"/>
        </w:rPr>
      </w:pPr>
      <w:r>
        <w:rPr>
          <w:rFonts w:hint="eastAsia" w:cs="宋体"/>
          <w:b/>
          <w:bCs/>
          <w:szCs w:val="21"/>
          <w:highlight w:val="none"/>
        </w:rPr>
        <w:t>九</w:t>
      </w:r>
      <w:bookmarkStart w:id="5" w:name="_Toc248215368"/>
      <w:bookmarkStart w:id="6" w:name="_Toc250967068"/>
      <w:bookmarkStart w:id="7" w:name="_Toc248058806"/>
      <w:bookmarkStart w:id="8" w:name="_Toc248228501"/>
      <w:bookmarkStart w:id="9" w:name="_Toc248212179"/>
      <w:bookmarkStart w:id="10" w:name="_Toc248227187"/>
      <w:r>
        <w:rPr>
          <w:rFonts w:hint="eastAsia" w:cs="宋体"/>
          <w:b/>
          <w:bCs/>
          <w:szCs w:val="21"/>
          <w:highlight w:val="none"/>
        </w:rPr>
        <w:t>.</w:t>
      </w:r>
      <w:r>
        <w:rPr>
          <w:rFonts w:hint="eastAsia"/>
          <w:b/>
          <w:bCs/>
          <w:szCs w:val="21"/>
          <w:highlight w:val="none"/>
        </w:rPr>
        <w:t>投标地点：</w:t>
      </w:r>
      <w:bookmarkEnd w:id="5"/>
      <w:bookmarkEnd w:id="6"/>
      <w:bookmarkEnd w:id="7"/>
      <w:bookmarkEnd w:id="8"/>
      <w:bookmarkEnd w:id="9"/>
      <w:bookmarkEnd w:id="10"/>
      <w:r>
        <w:rPr>
          <w:rFonts w:hint="eastAsia"/>
          <w:szCs w:val="21"/>
          <w:highlight w:val="none"/>
        </w:rPr>
        <w:t>通过“杭州交投集中采购平台”实行在线投标响应</w:t>
      </w:r>
    </w:p>
    <w:p w14:paraId="6D13633D">
      <w:pPr>
        <w:spacing w:line="360" w:lineRule="auto"/>
        <w:ind w:firstLine="422" w:firstLineChars="200"/>
        <w:rPr>
          <w:rFonts w:hint="eastAsia" w:cs="宋体"/>
          <w:szCs w:val="21"/>
          <w:highlight w:val="none"/>
        </w:rPr>
      </w:pPr>
      <w:r>
        <w:rPr>
          <w:rFonts w:hint="eastAsia" w:cs="宋体"/>
          <w:b/>
          <w:bCs/>
          <w:szCs w:val="21"/>
          <w:highlight w:val="none"/>
        </w:rPr>
        <w:t>十.开标时间：</w:t>
      </w:r>
      <w:r>
        <w:rPr>
          <w:rFonts w:hint="eastAsia" w:cs="宋体"/>
          <w:szCs w:val="21"/>
          <w:highlight w:val="none"/>
          <w:u w:val="single"/>
        </w:rPr>
        <w:t>2024</w:t>
      </w:r>
      <w:r>
        <w:rPr>
          <w:rFonts w:hint="eastAsia" w:cs="宋体"/>
          <w:szCs w:val="21"/>
          <w:highlight w:val="none"/>
        </w:rPr>
        <w:t>年</w:t>
      </w:r>
      <w:r>
        <w:rPr>
          <w:rFonts w:hint="eastAsia" w:cs="宋体"/>
          <w:szCs w:val="21"/>
          <w:highlight w:val="none"/>
          <w:u w:val="single"/>
          <w:lang w:val="en-US" w:eastAsia="zh-CN"/>
        </w:rPr>
        <w:t>12</w:t>
      </w:r>
      <w:r>
        <w:rPr>
          <w:rFonts w:hint="eastAsia" w:cs="宋体"/>
          <w:szCs w:val="21"/>
          <w:highlight w:val="none"/>
        </w:rPr>
        <w:t>月</w:t>
      </w:r>
      <w:r>
        <w:rPr>
          <w:rFonts w:hint="eastAsia" w:cs="宋体"/>
          <w:szCs w:val="21"/>
          <w:highlight w:val="none"/>
          <w:u w:val="single"/>
          <w:lang w:val="en-US" w:eastAsia="zh-CN"/>
        </w:rPr>
        <w:t>26</w:t>
      </w:r>
      <w:r>
        <w:rPr>
          <w:rFonts w:hint="eastAsia" w:cs="宋体"/>
          <w:szCs w:val="21"/>
          <w:highlight w:val="none"/>
        </w:rPr>
        <w:t>日</w:t>
      </w:r>
      <w:r>
        <w:rPr>
          <w:rFonts w:hint="eastAsia" w:cs="宋体"/>
          <w:szCs w:val="21"/>
          <w:highlight w:val="none"/>
          <w:u w:val="single"/>
          <w:lang w:val="en-US" w:eastAsia="zh-CN"/>
        </w:rPr>
        <w:t>10</w:t>
      </w:r>
      <w:r>
        <w:rPr>
          <w:rFonts w:hint="eastAsia" w:cs="宋体"/>
          <w:szCs w:val="21"/>
          <w:highlight w:val="none"/>
        </w:rPr>
        <w:t>时</w:t>
      </w:r>
      <w:r>
        <w:rPr>
          <w:rFonts w:hint="eastAsia" w:cs="宋体"/>
          <w:szCs w:val="21"/>
          <w:highlight w:val="none"/>
          <w:u w:val="single"/>
        </w:rPr>
        <w:t xml:space="preserve"> </w:t>
      </w:r>
      <w:r>
        <w:rPr>
          <w:rFonts w:hint="eastAsia" w:cs="宋体"/>
          <w:szCs w:val="21"/>
          <w:highlight w:val="none"/>
          <w:u w:val="single"/>
          <w:lang w:val="en-US" w:eastAsia="zh-CN"/>
        </w:rPr>
        <w:t>0</w:t>
      </w:r>
      <w:r>
        <w:rPr>
          <w:rFonts w:hint="eastAsia" w:cs="宋体"/>
          <w:szCs w:val="21"/>
          <w:highlight w:val="none"/>
          <w:u w:val="single"/>
        </w:rPr>
        <w:t xml:space="preserve">0 </w:t>
      </w:r>
      <w:r>
        <w:rPr>
          <w:rFonts w:hint="eastAsia" w:cs="宋体"/>
          <w:szCs w:val="21"/>
          <w:highlight w:val="none"/>
        </w:rPr>
        <w:t>分（北京时间）</w:t>
      </w:r>
    </w:p>
    <w:p w14:paraId="7137DC0E">
      <w:pPr>
        <w:spacing w:line="360" w:lineRule="auto"/>
        <w:ind w:right="-21" w:rightChars="-10" w:firstLine="422" w:firstLineChars="200"/>
        <w:rPr>
          <w:rFonts w:hint="eastAsia"/>
          <w:szCs w:val="21"/>
          <w:highlight w:val="none"/>
        </w:rPr>
      </w:pPr>
      <w:r>
        <w:rPr>
          <w:rFonts w:hint="eastAsia" w:cs="宋体"/>
          <w:b/>
          <w:bCs/>
          <w:szCs w:val="21"/>
          <w:highlight w:val="none"/>
        </w:rPr>
        <w:t>十一.开标地点：</w:t>
      </w:r>
      <w:r>
        <w:rPr>
          <w:rFonts w:hint="eastAsia"/>
          <w:szCs w:val="21"/>
          <w:highlight w:val="none"/>
        </w:rPr>
        <w:t>通过“杭州交投集中采购平台”进行在线评标</w:t>
      </w:r>
    </w:p>
    <w:p w14:paraId="34EDD44D">
      <w:pPr>
        <w:pStyle w:val="25"/>
        <w:spacing w:line="360" w:lineRule="auto"/>
        <w:ind w:firstLine="422" w:firstLineChars="200"/>
        <w:rPr>
          <w:rFonts w:ascii="Times New Roman" w:hAnsi="Times New Roman" w:cs="宋体"/>
          <w:bCs/>
          <w:szCs w:val="21"/>
          <w:highlight w:val="none"/>
        </w:rPr>
      </w:pPr>
      <w:r>
        <w:rPr>
          <w:rFonts w:hint="eastAsia" w:ascii="Times New Roman" w:hAnsi="Times New Roman" w:cs="宋体"/>
          <w:b/>
          <w:bCs/>
          <w:szCs w:val="21"/>
          <w:highlight w:val="none"/>
        </w:rPr>
        <w:t>十二.响应保证金缴纳：</w:t>
      </w:r>
      <w:r>
        <w:rPr>
          <w:rFonts w:hint="eastAsia" w:ascii="Times New Roman" w:hAnsi="Times New Roman" w:cs="宋体"/>
          <w:bCs/>
          <w:szCs w:val="21"/>
          <w:highlight w:val="none"/>
        </w:rPr>
        <w:t>本项目不需要缴纳投标保证金。</w:t>
      </w:r>
    </w:p>
    <w:p w14:paraId="003939AF">
      <w:pPr>
        <w:spacing w:line="360" w:lineRule="auto"/>
        <w:ind w:firstLine="422" w:firstLineChars="200"/>
        <w:rPr>
          <w:rFonts w:hint="eastAsia" w:cs="Arial"/>
          <w:b/>
          <w:szCs w:val="21"/>
          <w:highlight w:val="none"/>
          <w:u w:val="single"/>
        </w:rPr>
      </w:pPr>
      <w:r>
        <w:rPr>
          <w:rFonts w:hint="eastAsia"/>
          <w:b/>
          <w:szCs w:val="21"/>
          <w:highlight w:val="none"/>
        </w:rPr>
        <w:t>十三.在线投标响应（电子投标）说明：</w:t>
      </w:r>
    </w:p>
    <w:p w14:paraId="50AA358B">
      <w:pPr>
        <w:spacing w:line="360" w:lineRule="auto"/>
        <w:ind w:firstLine="420" w:firstLineChars="200"/>
        <w:rPr>
          <w:rFonts w:hint="eastAsia" w:cs="Arial"/>
          <w:bCs/>
          <w:szCs w:val="21"/>
          <w:highlight w:val="none"/>
        </w:rPr>
      </w:pPr>
      <w:r>
        <w:rPr>
          <w:rFonts w:hint="eastAsia" w:cs="Arial"/>
          <w:bCs/>
          <w:szCs w:val="21"/>
          <w:highlight w:val="none"/>
          <w:u w:val="single"/>
        </w:rPr>
        <w:t>1.供应商注册：供应商如需参与本项目，应为杭州交投集中采购平台注册供应商。本项目通过“杭州交投集中采购平台”实行在线投标响应（电子投标），供应商应先安装“电子投标客户端”，并按照本采购文件和“杭州交投集中采购平台”的要求，通过“电子投标客户端”编制并加密投标响应文件。供应商未按规定加密的投标响应文件，“杭州交投集中采购平台”将予以拒收</w:t>
      </w:r>
      <w:r>
        <w:rPr>
          <w:rFonts w:hint="eastAsia" w:cs="Arial"/>
          <w:bCs/>
          <w:szCs w:val="21"/>
          <w:highlight w:val="none"/>
        </w:rPr>
        <w:t>。</w:t>
      </w:r>
    </w:p>
    <w:p w14:paraId="1679DB6D">
      <w:pPr>
        <w:spacing w:line="360" w:lineRule="auto"/>
        <w:ind w:firstLine="420" w:firstLineChars="200"/>
        <w:rPr>
          <w:rFonts w:hint="eastAsia" w:cs="Arial"/>
          <w:bCs/>
          <w:szCs w:val="21"/>
          <w:highlight w:val="none"/>
        </w:rPr>
      </w:pPr>
      <w:r>
        <w:rPr>
          <w:rFonts w:hint="eastAsia" w:cs="Arial"/>
          <w:bCs/>
          <w:szCs w:val="21"/>
          <w:highlight w:val="none"/>
        </w:rPr>
        <w:t>“电子投标客户端”请自行前往“杭州交投集中采购平台-帮助中心-帮助文档”进行下载；电子投标具体操作流程详见《供应商操作手册》；通过“杭州交投集中采购平台”参与在线投标时如遇平台技术问题详询客服热线95763。</w:t>
      </w:r>
    </w:p>
    <w:p w14:paraId="6E45FE15">
      <w:pPr>
        <w:spacing w:line="360" w:lineRule="auto"/>
        <w:ind w:firstLine="420" w:firstLineChars="200"/>
        <w:rPr>
          <w:rFonts w:hint="eastAsia" w:cs="Arial"/>
          <w:bCs/>
          <w:szCs w:val="21"/>
          <w:highlight w:val="none"/>
        </w:rPr>
      </w:pPr>
      <w:r>
        <w:rPr>
          <w:rFonts w:hint="eastAsia" w:cs="Arial"/>
          <w:bCs/>
          <w:szCs w:val="21"/>
          <w:highlight w:val="none"/>
        </w:rPr>
        <w:t>2.</w:t>
      </w:r>
      <w:r>
        <w:rPr>
          <w:rFonts w:hint="eastAsia" w:cs="Arial"/>
          <w:bCs/>
          <w:szCs w:val="21"/>
          <w:highlight w:val="none"/>
          <w:u w:val="single"/>
        </w:rPr>
        <w:t>为确保网上操作合法、有效和安全，投标供应商应当在投标截止时间前完成在“杭州交投集中采购平台”的身份认证，确保在电子投标过程中能够对相关数据电文进行加密和使用电子签章</w:t>
      </w:r>
      <w:r>
        <w:rPr>
          <w:rFonts w:hint="eastAsia" w:cs="Arial"/>
          <w:bCs/>
          <w:szCs w:val="21"/>
          <w:highlight w:val="none"/>
        </w:rPr>
        <w:t>。使用“电子投标客户端”需要提前申领CA数字证书，申领流程请自行前往“杭州交投集中采购平台</w:t>
      </w:r>
      <w:r>
        <w:rPr>
          <w:rFonts w:hint="eastAsia" w:cs="Arial"/>
          <w:bCs/>
          <w:szCs w:val="21"/>
          <w:highlight w:val="none"/>
          <w:lang w:val="zh-CN"/>
        </w:rPr>
        <w:t>-CA管理-CA证书申领-CA驱动和申领流程</w:t>
      </w:r>
      <w:r>
        <w:rPr>
          <w:rFonts w:hint="eastAsia" w:cs="Arial"/>
          <w:bCs/>
          <w:szCs w:val="21"/>
          <w:highlight w:val="none"/>
        </w:rPr>
        <w:t>”进行查阅；</w:t>
      </w:r>
    </w:p>
    <w:p w14:paraId="10B9A228">
      <w:pPr>
        <w:spacing w:line="360" w:lineRule="auto"/>
        <w:ind w:firstLine="420" w:firstLineChars="200"/>
        <w:rPr>
          <w:rFonts w:hint="eastAsia" w:cs="Arial"/>
          <w:bCs/>
          <w:szCs w:val="21"/>
          <w:highlight w:val="none"/>
        </w:rPr>
      </w:pPr>
      <w:r>
        <w:rPr>
          <w:rFonts w:hint="eastAsia" w:cs="Arial"/>
          <w:bCs/>
          <w:szCs w:val="21"/>
          <w:highlight w:val="none"/>
        </w:rPr>
        <w:t>3.</w:t>
      </w:r>
      <w:r>
        <w:rPr>
          <w:rFonts w:hint="eastAsia" w:cs="Arial"/>
          <w:bCs/>
          <w:szCs w:val="21"/>
          <w:highlight w:val="none"/>
          <w:u w:val="single"/>
        </w:rPr>
        <w:t>投标供应商应当在投标截止时间前，将生成的“电子加密投标响应文件”上传递交至“杭州交投集中采购平台”。投标截止时间以后上传递交的投标响应文件将被“杭州交投集中采购平台”拒收。</w:t>
      </w:r>
    </w:p>
    <w:p w14:paraId="0ADC6303">
      <w:pPr>
        <w:spacing w:line="360" w:lineRule="auto"/>
        <w:ind w:firstLine="420" w:firstLineChars="200"/>
        <w:rPr>
          <w:rFonts w:hint="eastAsia" w:cs="Arial"/>
          <w:bCs/>
          <w:szCs w:val="21"/>
          <w:highlight w:val="none"/>
          <w:u w:val="single"/>
        </w:rPr>
      </w:pPr>
      <w:r>
        <w:rPr>
          <w:rFonts w:hint="eastAsia" w:cs="Arial"/>
          <w:bCs/>
          <w:szCs w:val="21"/>
          <w:highlight w:val="none"/>
        </w:rPr>
        <w:t>4.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备份投标响应文件递交邮箱为：</w:t>
      </w:r>
      <w:r>
        <w:rPr>
          <w:rFonts w:hint="eastAsia" w:cs="Arial"/>
          <w:bCs/>
          <w:szCs w:val="21"/>
          <w:highlight w:val="none"/>
          <w:u w:val="single"/>
        </w:rPr>
        <w:fldChar w:fldCharType="begin"/>
      </w:r>
      <w:r>
        <w:rPr>
          <w:rFonts w:hint="eastAsia" w:cs="Arial"/>
          <w:bCs/>
          <w:szCs w:val="21"/>
          <w:highlight w:val="none"/>
          <w:u w:val="single"/>
        </w:rPr>
        <w:instrText xml:space="preserve"> HYPERLINK "mailto:2726985282@qq.com。" </w:instrText>
      </w:r>
      <w:r>
        <w:rPr>
          <w:rFonts w:hint="eastAsia" w:cs="Arial"/>
          <w:bCs/>
          <w:szCs w:val="21"/>
          <w:highlight w:val="none"/>
          <w:u w:val="single"/>
        </w:rPr>
        <w:fldChar w:fldCharType="separate"/>
      </w:r>
      <w:r>
        <w:rPr>
          <w:rStyle w:val="52"/>
          <w:rFonts w:hint="eastAsia" w:cs="Arial"/>
          <w:bCs/>
          <w:color w:val="auto"/>
          <w:szCs w:val="21"/>
          <w:highlight w:val="none"/>
          <w:lang w:eastAsia="zh-CN"/>
        </w:rPr>
        <w:t>380071769</w:t>
      </w:r>
      <w:r>
        <w:rPr>
          <w:rStyle w:val="52"/>
          <w:rFonts w:hint="eastAsia" w:cs="Arial"/>
          <w:bCs/>
          <w:color w:val="auto"/>
          <w:szCs w:val="21"/>
          <w:highlight w:val="none"/>
        </w:rPr>
        <w:t>@qq.com。</w:t>
      </w:r>
      <w:r>
        <w:rPr>
          <w:rFonts w:hint="eastAsia" w:cs="Arial"/>
          <w:bCs/>
          <w:szCs w:val="21"/>
          <w:highlight w:val="none"/>
          <w:u w:val="single"/>
        </w:rPr>
        <w:fldChar w:fldCharType="end"/>
      </w:r>
    </w:p>
    <w:p w14:paraId="4BBD328C">
      <w:pPr>
        <w:widowControl/>
        <w:adjustRightInd w:val="0"/>
        <w:snapToGrid w:val="0"/>
        <w:spacing w:line="360" w:lineRule="auto"/>
        <w:ind w:firstLine="420" w:firstLineChars="200"/>
        <w:jc w:val="left"/>
        <w:rPr>
          <w:rFonts w:hint="eastAsia" w:cs="宋体"/>
          <w:kern w:val="0"/>
          <w:szCs w:val="21"/>
          <w:highlight w:val="none"/>
        </w:rPr>
      </w:pPr>
      <w:r>
        <w:rPr>
          <w:rFonts w:hint="eastAsia"/>
          <w:highlight w:val="none"/>
        </w:rPr>
        <w:t>十四．</w:t>
      </w:r>
      <w:r>
        <w:rPr>
          <w:rFonts w:hint="eastAsia" w:cs="宋体"/>
          <w:kern w:val="0"/>
          <w:szCs w:val="21"/>
          <w:highlight w:val="none"/>
        </w:rPr>
        <w:t>发布公告的媒介</w:t>
      </w:r>
    </w:p>
    <w:p w14:paraId="13CA2878">
      <w:pPr>
        <w:widowControl/>
        <w:adjustRightInd w:val="0"/>
        <w:snapToGrid w:val="0"/>
        <w:spacing w:line="360" w:lineRule="auto"/>
        <w:ind w:firstLine="420" w:firstLineChars="200"/>
        <w:rPr>
          <w:highlight w:val="none"/>
        </w:rPr>
      </w:pPr>
      <w:r>
        <w:rPr>
          <w:rFonts w:hint="eastAsia" w:cs="宋体"/>
          <w:snapToGrid w:val="0"/>
          <w:kern w:val="0"/>
          <w:szCs w:val="21"/>
          <w:highlight w:val="none"/>
        </w:rPr>
        <w:t>本项目相关公告在杭州交投集中采购平台（cg.zjhzjtjt.com/）发布，如公告内容不一致的以杭州交投集中采购平台发布的信息为准。</w:t>
      </w:r>
    </w:p>
    <w:p w14:paraId="3F087448">
      <w:pPr>
        <w:spacing w:line="360" w:lineRule="auto"/>
        <w:ind w:firstLine="420" w:firstLineChars="200"/>
        <w:rPr>
          <w:rFonts w:hint="eastAsia" w:cs="宋体"/>
          <w:szCs w:val="21"/>
          <w:highlight w:val="none"/>
        </w:rPr>
      </w:pPr>
      <w:r>
        <w:rPr>
          <w:rFonts w:hint="eastAsia" w:cs="宋体"/>
          <w:szCs w:val="21"/>
          <w:highlight w:val="none"/>
        </w:rPr>
        <w:t>十五.联系方式：</w:t>
      </w:r>
    </w:p>
    <w:p w14:paraId="67C6B810">
      <w:pPr>
        <w:pStyle w:val="25"/>
        <w:spacing w:line="360" w:lineRule="auto"/>
        <w:ind w:firstLine="420"/>
        <w:jc w:val="left"/>
        <w:rPr>
          <w:rFonts w:hint="eastAsia" w:ascii="Times New Roman" w:hAnsi="Times New Roman" w:eastAsia="宋体" w:cs="宋体"/>
          <w:szCs w:val="21"/>
          <w:highlight w:val="none"/>
          <w:lang w:eastAsia="zh-CN"/>
        </w:rPr>
      </w:pPr>
      <w:r>
        <w:rPr>
          <w:rFonts w:hint="eastAsia" w:ascii="Times New Roman" w:hAnsi="Times New Roman" w:cs="宋体"/>
          <w:b/>
          <w:bCs/>
          <w:szCs w:val="21"/>
          <w:highlight w:val="none"/>
        </w:rPr>
        <w:t>采购单位：</w:t>
      </w:r>
      <w:r>
        <w:rPr>
          <w:rFonts w:hint="eastAsia" w:ascii="Times New Roman" w:hAnsi="Times New Roman" w:cs="宋体"/>
          <w:b/>
          <w:szCs w:val="21"/>
          <w:highlight w:val="none"/>
        </w:rPr>
        <w:t xml:space="preserve"> </w:t>
      </w:r>
      <w:r>
        <w:rPr>
          <w:rFonts w:hint="eastAsia" w:ascii="Times New Roman" w:hAnsi="Times New Roman" w:cs="宋体"/>
          <w:b/>
          <w:szCs w:val="21"/>
          <w:highlight w:val="none"/>
          <w:lang w:eastAsia="zh-CN"/>
        </w:rPr>
        <w:t>杭州市交通工程集团有限公司</w:t>
      </w:r>
    </w:p>
    <w:p w14:paraId="0089C9FD">
      <w:pPr>
        <w:pStyle w:val="25"/>
        <w:spacing w:line="360" w:lineRule="auto"/>
        <w:ind w:firstLine="420"/>
        <w:jc w:val="left"/>
        <w:rPr>
          <w:rFonts w:ascii="Times New Roman" w:hAnsi="Times New Roman" w:cs="宋体"/>
          <w:bCs/>
          <w:szCs w:val="21"/>
          <w:highlight w:val="none"/>
        </w:rPr>
      </w:pPr>
      <w:r>
        <w:rPr>
          <w:rFonts w:hint="eastAsia" w:ascii="Times New Roman" w:hAnsi="Times New Roman" w:cs="宋体"/>
          <w:bCs/>
          <w:szCs w:val="21"/>
          <w:highlight w:val="none"/>
        </w:rPr>
        <w:t xml:space="preserve">地    址： </w:t>
      </w:r>
      <w:r>
        <w:rPr>
          <w:rFonts w:hint="eastAsia" w:hAnsi="宋体" w:cs="宋体"/>
          <w:color w:val="auto"/>
          <w:highlight w:val="none"/>
        </w:rPr>
        <w:t>杭州市西湖区枫桦东路68号</w:t>
      </w:r>
    </w:p>
    <w:p w14:paraId="66E3B04E">
      <w:pPr>
        <w:pStyle w:val="25"/>
        <w:spacing w:line="360" w:lineRule="auto"/>
        <w:ind w:firstLine="420"/>
        <w:jc w:val="left"/>
        <w:rPr>
          <w:rFonts w:hint="default" w:ascii="Times New Roman" w:hAnsi="Times New Roman" w:cs="宋体"/>
          <w:bCs/>
          <w:szCs w:val="21"/>
          <w:highlight w:val="none"/>
          <w:lang w:val="en-US"/>
        </w:rPr>
      </w:pPr>
      <w:r>
        <w:rPr>
          <w:rFonts w:hint="eastAsia" w:ascii="Times New Roman" w:hAnsi="Times New Roman" w:cs="宋体"/>
          <w:bCs/>
          <w:szCs w:val="21"/>
          <w:highlight w:val="none"/>
        </w:rPr>
        <w:t xml:space="preserve">联 系 人： </w:t>
      </w:r>
      <w:r>
        <w:rPr>
          <w:rFonts w:hint="eastAsia" w:ascii="Times New Roman" w:hAnsi="Times New Roman" w:cs="宋体"/>
          <w:bCs/>
          <w:szCs w:val="21"/>
          <w:highlight w:val="none"/>
          <w:lang w:val="en-US" w:eastAsia="zh-CN"/>
        </w:rPr>
        <w:t>董工</w:t>
      </w:r>
    </w:p>
    <w:p w14:paraId="038BAABF">
      <w:pPr>
        <w:pStyle w:val="25"/>
        <w:spacing w:line="360" w:lineRule="auto"/>
        <w:ind w:firstLine="420"/>
        <w:jc w:val="left"/>
        <w:rPr>
          <w:rFonts w:hint="eastAsia" w:ascii="Times New Roman" w:hAnsi="Times New Roman" w:cs="宋体"/>
          <w:bCs/>
          <w:szCs w:val="21"/>
          <w:highlight w:val="none"/>
        </w:rPr>
      </w:pPr>
      <w:r>
        <w:rPr>
          <w:rFonts w:hint="eastAsia" w:ascii="Times New Roman" w:hAnsi="Times New Roman" w:cs="宋体"/>
          <w:bCs/>
          <w:szCs w:val="21"/>
          <w:highlight w:val="none"/>
        </w:rPr>
        <w:t>联系电话：</w:t>
      </w:r>
      <w:r>
        <w:rPr>
          <w:rFonts w:hint="eastAsia" w:ascii="Times New Roman" w:hAnsi="Times New Roman" w:cs="宋体"/>
          <w:bCs/>
          <w:szCs w:val="21"/>
          <w:highlight w:val="none"/>
          <w:lang w:val="en-US" w:eastAsia="zh-CN"/>
        </w:rPr>
        <w:t xml:space="preserve"> 0571-87997856</w:t>
      </w:r>
    </w:p>
    <w:p w14:paraId="412E8568">
      <w:pPr>
        <w:pStyle w:val="25"/>
        <w:spacing w:line="360" w:lineRule="auto"/>
        <w:ind w:firstLine="420"/>
        <w:jc w:val="left"/>
        <w:rPr>
          <w:rFonts w:hint="eastAsia" w:ascii="Times New Roman" w:hAnsi="Times New Roman" w:eastAsia="宋体" w:cs="宋体"/>
          <w:bCs/>
          <w:szCs w:val="21"/>
          <w:highlight w:val="none"/>
          <w:lang w:eastAsia="zh-CN"/>
        </w:rPr>
      </w:pPr>
      <w:r>
        <w:rPr>
          <w:rFonts w:hint="eastAsia" w:ascii="Times New Roman" w:hAnsi="Times New Roman" w:cs="宋体"/>
          <w:b/>
          <w:bCs/>
          <w:szCs w:val="21"/>
          <w:highlight w:val="none"/>
        </w:rPr>
        <w:t xml:space="preserve">采购代理机构： </w:t>
      </w:r>
      <w:r>
        <w:rPr>
          <w:rFonts w:hint="eastAsia" w:ascii="Times New Roman" w:hAnsi="Times New Roman" w:cs="宋体"/>
          <w:b/>
          <w:bCs/>
          <w:szCs w:val="21"/>
          <w:highlight w:val="none"/>
          <w:lang w:eastAsia="zh-CN"/>
        </w:rPr>
        <w:t>浙江省成套工程有限公司</w:t>
      </w:r>
    </w:p>
    <w:p w14:paraId="52114F25">
      <w:pPr>
        <w:pStyle w:val="25"/>
        <w:spacing w:line="360" w:lineRule="auto"/>
        <w:ind w:right="23" w:rightChars="11" w:firstLine="420"/>
        <w:jc w:val="left"/>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地    址： 杭州市西湖区古墩路701号紫金广场A座15楼1509室</w:t>
      </w:r>
    </w:p>
    <w:p w14:paraId="511AD8D7">
      <w:pPr>
        <w:pStyle w:val="25"/>
        <w:spacing w:line="360" w:lineRule="auto"/>
        <w:ind w:right="23" w:rightChars="11" w:firstLine="420"/>
        <w:jc w:val="left"/>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联 系 人（询问）：翁祖晨</w:t>
      </w:r>
    </w:p>
    <w:p w14:paraId="72DF3D98">
      <w:pPr>
        <w:pStyle w:val="25"/>
        <w:spacing w:line="360" w:lineRule="auto"/>
        <w:ind w:right="23" w:rightChars="11" w:firstLine="420"/>
        <w:jc w:val="left"/>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联系电话（询问）：0571-88555386 、18067901175</w:t>
      </w:r>
    </w:p>
    <w:p w14:paraId="60C363EB">
      <w:pPr>
        <w:pStyle w:val="25"/>
        <w:spacing w:line="360" w:lineRule="auto"/>
        <w:ind w:right="23" w:rightChars="11" w:firstLine="420"/>
        <w:jc w:val="left"/>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质疑联系人： 温从俊</w:t>
      </w:r>
    </w:p>
    <w:p w14:paraId="0AAA5788">
      <w:pPr>
        <w:pStyle w:val="25"/>
        <w:spacing w:line="360" w:lineRule="auto"/>
        <w:ind w:right="23" w:rightChars="11" w:firstLine="420"/>
        <w:jc w:val="left"/>
        <w:rPr>
          <w:rFonts w:hint="eastAsia" w:ascii="Times New Roman" w:hAnsi="Times New Roman" w:cs="宋体"/>
          <w:b/>
          <w:bCs/>
          <w:color w:val="auto"/>
          <w:sz w:val="36"/>
          <w:szCs w:val="36"/>
          <w:highlight w:val="none"/>
        </w:rPr>
      </w:pPr>
      <w:r>
        <w:rPr>
          <w:rFonts w:hint="eastAsia" w:ascii="Times New Roman" w:hAnsi="Times New Roman" w:cs="宋体"/>
          <w:bCs/>
          <w:color w:val="auto"/>
          <w:szCs w:val="21"/>
          <w:highlight w:val="none"/>
        </w:rPr>
        <w:t xml:space="preserve">质疑联系方式： </w:t>
      </w:r>
      <w:r>
        <w:rPr>
          <w:rFonts w:ascii="Times New Roman" w:hAnsi="Times New Roman" w:cs="宋体"/>
          <w:bCs/>
          <w:color w:val="auto"/>
          <w:szCs w:val="21"/>
          <w:highlight w:val="none"/>
        </w:rPr>
        <w:t>0571-88555386</w:t>
      </w:r>
    </w:p>
    <w:p w14:paraId="3E2300A3">
      <w:pPr>
        <w:spacing w:before="240" w:beforeLines="100" w:after="120" w:afterLines="50" w:line="360" w:lineRule="auto"/>
        <w:jc w:val="center"/>
        <w:outlineLvl w:val="0"/>
        <w:rPr>
          <w:rFonts w:hint="eastAsia" w:cs="宋体"/>
          <w:b/>
          <w:bCs/>
          <w:sz w:val="22"/>
          <w:szCs w:val="22"/>
          <w:highlight w:val="none"/>
        </w:rPr>
      </w:pPr>
      <w:bookmarkStart w:id="11" w:name="_Toc21547"/>
      <w:bookmarkStart w:id="12" w:name="_Toc11740"/>
      <w:bookmarkStart w:id="13" w:name="_Toc129714673"/>
      <w:r>
        <w:rPr>
          <w:rFonts w:hint="eastAsia" w:cs="宋体"/>
          <w:szCs w:val="21"/>
          <w:highlight w:val="none"/>
        </w:rPr>
        <w:t xml:space="preserve">                                            </w:t>
      </w:r>
      <w:r>
        <w:rPr>
          <w:rFonts w:hint="eastAsia" w:cs="宋体"/>
          <w:szCs w:val="21"/>
          <w:highlight w:val="none"/>
        </w:rPr>
        <w:br w:type="page"/>
      </w:r>
      <w:r>
        <w:rPr>
          <w:rFonts w:hint="eastAsia" w:cs="宋体"/>
          <w:b/>
          <w:bCs/>
          <w:sz w:val="36"/>
          <w:szCs w:val="36"/>
          <w:highlight w:val="none"/>
        </w:rPr>
        <w:t xml:space="preserve">第二章  </w:t>
      </w:r>
      <w:bookmarkEnd w:id="11"/>
      <w:bookmarkEnd w:id="12"/>
      <w:bookmarkEnd w:id="13"/>
      <w:bookmarkStart w:id="14" w:name="_Toc495977854"/>
      <w:r>
        <w:rPr>
          <w:rFonts w:hint="eastAsia" w:cs="宋体"/>
          <w:b/>
          <w:bCs/>
          <w:sz w:val="36"/>
          <w:szCs w:val="36"/>
          <w:highlight w:val="none"/>
        </w:rPr>
        <w:t>响应须知及前附表</w:t>
      </w:r>
    </w:p>
    <w:p w14:paraId="0A4540B6">
      <w:pPr>
        <w:spacing w:before="120" w:beforeLines="50" w:line="360" w:lineRule="auto"/>
        <w:jc w:val="center"/>
        <w:outlineLvl w:val="0"/>
        <w:rPr>
          <w:rFonts w:hint="eastAsia" w:cs="宋体"/>
          <w:b/>
          <w:bCs/>
          <w:sz w:val="32"/>
          <w:szCs w:val="36"/>
          <w:highlight w:val="none"/>
        </w:rPr>
      </w:pPr>
      <w:r>
        <w:rPr>
          <w:rFonts w:hint="eastAsia" w:cs="宋体"/>
          <w:b/>
          <w:bCs/>
          <w:sz w:val="32"/>
          <w:szCs w:val="36"/>
          <w:highlight w:val="none"/>
        </w:rPr>
        <w:t>一、响应须知前附表</w:t>
      </w:r>
    </w:p>
    <w:tbl>
      <w:tblPr>
        <w:tblStyle w:val="45"/>
        <w:tblW w:w="99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67"/>
        <w:gridCol w:w="2139"/>
        <w:gridCol w:w="7161"/>
      </w:tblGrid>
      <w:tr w14:paraId="77679C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7" w:type="dxa"/>
            <w:shd w:val="clear" w:color="auto" w:fill="FFFFFF"/>
            <w:noWrap w:val="0"/>
            <w:vAlign w:val="center"/>
          </w:tcPr>
          <w:p w14:paraId="60A13B64">
            <w:pPr>
              <w:keepNext w:val="0"/>
              <w:keepLines w:val="0"/>
              <w:suppressLineNumbers w:val="0"/>
              <w:snapToGrid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2139" w:type="dxa"/>
            <w:shd w:val="clear" w:color="auto" w:fill="FFFFFF"/>
            <w:noWrap w:val="0"/>
            <w:vAlign w:val="center"/>
          </w:tcPr>
          <w:p w14:paraId="7660290D">
            <w:pPr>
              <w:keepNext w:val="0"/>
              <w:keepLines w:val="0"/>
              <w:suppressLineNumbers w:val="0"/>
              <w:snapToGrid w:val="0"/>
              <w:spacing w:before="0" w:beforeAutospacing="0" w:after="0" w:afterAutospacing="0"/>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项  目</w:t>
            </w:r>
          </w:p>
        </w:tc>
        <w:tc>
          <w:tcPr>
            <w:tcW w:w="7161" w:type="dxa"/>
            <w:shd w:val="clear" w:color="auto" w:fill="FFFFFF"/>
            <w:noWrap w:val="0"/>
            <w:vAlign w:val="center"/>
          </w:tcPr>
          <w:p w14:paraId="7F3840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sz w:val="24"/>
                <w:highlight w:val="none"/>
              </w:rPr>
            </w:pPr>
            <w:r>
              <w:rPr>
                <w:rFonts w:hint="eastAsia" w:ascii="宋体" w:hAnsi="宋体" w:eastAsia="宋体" w:cs="宋体"/>
                <w:b/>
                <w:bCs/>
                <w:sz w:val="24"/>
                <w:highlight w:val="none"/>
              </w:rPr>
              <w:t>内  容</w:t>
            </w:r>
          </w:p>
        </w:tc>
      </w:tr>
      <w:tr w14:paraId="5008E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05A5D624">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2139" w:type="dxa"/>
            <w:shd w:val="clear" w:color="auto" w:fill="FFFFFF"/>
            <w:noWrap w:val="0"/>
            <w:vAlign w:val="center"/>
          </w:tcPr>
          <w:p w14:paraId="65F1E875">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采购内容</w:t>
            </w:r>
          </w:p>
        </w:tc>
        <w:tc>
          <w:tcPr>
            <w:tcW w:w="7161" w:type="dxa"/>
            <w:shd w:val="clear" w:color="auto" w:fill="FFFFFF"/>
            <w:noWrap w:val="0"/>
            <w:vAlign w:val="center"/>
          </w:tcPr>
          <w:p w14:paraId="4B4A99CF">
            <w:pPr>
              <w:pStyle w:val="120"/>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bCs/>
                <w:snapToGrid w:val="0"/>
                <w:sz w:val="24"/>
                <w:szCs w:val="24"/>
                <w:highlight w:val="none"/>
              </w:rPr>
              <w:t xml:space="preserve"> 详见竞标采购邀请书</w:t>
            </w:r>
          </w:p>
        </w:tc>
      </w:tr>
      <w:tr w14:paraId="15ED3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67" w:type="dxa"/>
            <w:shd w:val="clear" w:color="auto" w:fill="FFFFFF"/>
            <w:noWrap w:val="0"/>
            <w:vAlign w:val="center"/>
          </w:tcPr>
          <w:p w14:paraId="36A93BA3">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2139" w:type="dxa"/>
            <w:shd w:val="clear" w:color="auto" w:fill="FFFFFF"/>
            <w:noWrap w:val="0"/>
            <w:vAlign w:val="center"/>
          </w:tcPr>
          <w:p w14:paraId="16019C78">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项目实施地点</w:t>
            </w:r>
          </w:p>
        </w:tc>
        <w:tc>
          <w:tcPr>
            <w:tcW w:w="7161" w:type="dxa"/>
            <w:shd w:val="clear" w:color="auto" w:fill="FFFFFF"/>
            <w:noWrap w:val="0"/>
            <w:vAlign w:val="center"/>
          </w:tcPr>
          <w:p w14:paraId="64EF926C">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 xml:space="preserve"> 浙江省杭州市</w:t>
            </w:r>
          </w:p>
        </w:tc>
      </w:tr>
      <w:tr w14:paraId="0D510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667" w:type="dxa"/>
            <w:shd w:val="clear" w:color="auto" w:fill="FFFFFF"/>
            <w:noWrap w:val="0"/>
            <w:vAlign w:val="center"/>
          </w:tcPr>
          <w:p w14:paraId="287FC5E9">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2139" w:type="dxa"/>
            <w:shd w:val="clear" w:color="auto" w:fill="FFFFFF"/>
            <w:noWrap w:val="0"/>
            <w:vAlign w:val="center"/>
          </w:tcPr>
          <w:p w14:paraId="4D6AA8DB">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资金来源</w:t>
            </w:r>
          </w:p>
        </w:tc>
        <w:tc>
          <w:tcPr>
            <w:tcW w:w="7161" w:type="dxa"/>
            <w:shd w:val="clear" w:color="auto" w:fill="FFFFFF"/>
            <w:noWrap w:val="0"/>
            <w:vAlign w:val="center"/>
          </w:tcPr>
          <w:p w14:paraId="5DCE1512">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 xml:space="preserve"> 自筹</w:t>
            </w:r>
          </w:p>
        </w:tc>
      </w:tr>
      <w:tr w14:paraId="19517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7" w:type="dxa"/>
            <w:shd w:val="clear" w:color="auto" w:fill="FFFFFF"/>
            <w:noWrap w:val="0"/>
            <w:vAlign w:val="center"/>
          </w:tcPr>
          <w:p w14:paraId="43D037D4">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2139" w:type="dxa"/>
            <w:shd w:val="clear" w:color="auto" w:fill="FFFFFF"/>
            <w:noWrap w:val="0"/>
            <w:vAlign w:val="center"/>
          </w:tcPr>
          <w:p w14:paraId="721B6D3A">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供应商资格条件</w:t>
            </w:r>
          </w:p>
        </w:tc>
        <w:tc>
          <w:tcPr>
            <w:tcW w:w="7161" w:type="dxa"/>
            <w:shd w:val="clear" w:color="auto" w:fill="FFFFFF"/>
            <w:noWrap w:val="0"/>
            <w:vAlign w:val="center"/>
          </w:tcPr>
          <w:p w14:paraId="3AD48DBE">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详见第一部分</w:t>
            </w:r>
            <w:r>
              <w:rPr>
                <w:rFonts w:hint="eastAsia" w:ascii="宋体" w:hAnsi="宋体" w:eastAsia="宋体" w:cs="宋体"/>
                <w:bCs/>
                <w:snapToGrid w:val="0"/>
                <w:sz w:val="24"/>
                <w:highlight w:val="none"/>
              </w:rPr>
              <w:t>竞标采购邀请书</w:t>
            </w:r>
            <w:r>
              <w:rPr>
                <w:rFonts w:hint="eastAsia" w:ascii="宋体" w:hAnsi="宋体" w:eastAsia="宋体" w:cs="宋体"/>
                <w:sz w:val="24"/>
                <w:highlight w:val="none"/>
              </w:rPr>
              <w:t>中“五、供应商资格条件”。</w:t>
            </w:r>
          </w:p>
        </w:tc>
      </w:tr>
      <w:tr w14:paraId="4B09C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4" w:hRule="atLeast"/>
          <w:jc w:val="center"/>
        </w:trPr>
        <w:tc>
          <w:tcPr>
            <w:tcW w:w="667" w:type="dxa"/>
            <w:shd w:val="clear" w:color="auto" w:fill="FFFFFF"/>
            <w:noWrap w:val="0"/>
            <w:vAlign w:val="center"/>
          </w:tcPr>
          <w:p w14:paraId="7ECDBDDD">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2139" w:type="dxa"/>
            <w:shd w:val="clear" w:color="auto" w:fill="FFFFFF"/>
            <w:noWrap w:val="0"/>
            <w:vAlign w:val="center"/>
          </w:tcPr>
          <w:p w14:paraId="2127BA6D">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响应保证金</w:t>
            </w:r>
          </w:p>
        </w:tc>
        <w:tc>
          <w:tcPr>
            <w:tcW w:w="7161" w:type="dxa"/>
            <w:shd w:val="clear" w:color="auto" w:fill="FFFFFF"/>
            <w:noWrap w:val="0"/>
            <w:vAlign w:val="center"/>
          </w:tcPr>
          <w:p w14:paraId="3792454C">
            <w:pPr>
              <w:pStyle w:val="25"/>
              <w:keepNext w:val="0"/>
              <w:keepLines w:val="0"/>
              <w:suppressLineNumbers w:val="0"/>
              <w:spacing w:before="0" w:beforeAutospacing="0" w:after="0" w:afterAutospacing="0" w:line="360" w:lineRule="auto"/>
              <w:ind w:left="0" w:right="0"/>
              <w:rPr>
                <w:rFonts w:hint="default" w:hAnsi="宋体" w:eastAsia="宋体" w:cs="宋体"/>
                <w:bCs/>
                <w:sz w:val="24"/>
                <w:szCs w:val="24"/>
                <w:highlight w:val="none"/>
              </w:rPr>
            </w:pPr>
            <w:r>
              <w:rPr>
                <w:rFonts w:hint="eastAsia" w:hAnsi="宋体" w:eastAsia="宋体" w:cs="宋体"/>
                <w:sz w:val="24"/>
                <w:szCs w:val="24"/>
                <w:highlight w:val="none"/>
              </w:rPr>
              <w:t>响应保证金缴纳：</w:t>
            </w:r>
            <w:r>
              <w:rPr>
                <w:rFonts w:hint="eastAsia" w:hAnsi="宋体" w:eastAsia="宋体" w:cs="宋体"/>
                <w:b/>
                <w:bCs/>
                <w:sz w:val="24"/>
                <w:szCs w:val="24"/>
                <w:highlight w:val="none"/>
              </w:rPr>
              <w:t>本项目不需要缴纳</w:t>
            </w:r>
            <w:r>
              <w:rPr>
                <w:rFonts w:hint="eastAsia" w:hAnsi="宋体" w:eastAsia="宋体" w:cs="宋体"/>
                <w:b/>
                <w:bCs/>
                <w:sz w:val="24"/>
                <w:szCs w:val="24"/>
                <w:highlight w:val="none"/>
                <w:lang w:val="en-US" w:eastAsia="zh-CN"/>
              </w:rPr>
              <w:t>响应</w:t>
            </w:r>
            <w:r>
              <w:rPr>
                <w:rFonts w:hint="eastAsia" w:hAnsi="宋体" w:eastAsia="宋体" w:cs="宋体"/>
                <w:b/>
                <w:bCs/>
                <w:sz w:val="24"/>
                <w:szCs w:val="24"/>
                <w:highlight w:val="none"/>
              </w:rPr>
              <w:t>保证金</w:t>
            </w:r>
            <w:r>
              <w:rPr>
                <w:rFonts w:hint="eastAsia" w:hAnsi="宋体" w:eastAsia="宋体" w:cs="宋体"/>
                <w:bCs/>
                <w:sz w:val="24"/>
                <w:szCs w:val="24"/>
                <w:highlight w:val="none"/>
              </w:rPr>
              <w:t>。</w:t>
            </w:r>
          </w:p>
          <w:p w14:paraId="1BB75488">
            <w:pPr>
              <w:pStyle w:val="25"/>
              <w:keepNext w:val="0"/>
              <w:keepLines w:val="0"/>
              <w:suppressLineNumbers w:val="0"/>
              <w:spacing w:before="0" w:beforeAutospacing="0" w:after="0" w:afterAutospacing="0" w:line="360" w:lineRule="auto"/>
              <w:ind w:left="0" w:right="0"/>
              <w:rPr>
                <w:rFonts w:hint="eastAsia" w:hAnsi="宋体" w:eastAsia="宋体" w:cs="宋体"/>
                <w:bCs/>
                <w:sz w:val="24"/>
                <w:szCs w:val="24"/>
                <w:highlight w:val="none"/>
              </w:rPr>
            </w:pPr>
            <w:r>
              <w:rPr>
                <w:rFonts w:hint="eastAsia" w:hAnsi="宋体" w:eastAsia="宋体" w:cs="宋体"/>
                <w:bCs/>
                <w:sz w:val="24"/>
                <w:szCs w:val="24"/>
                <w:highlight w:val="none"/>
              </w:rPr>
              <w:t>交纳投标保证金的具体要求如下：</w:t>
            </w:r>
          </w:p>
          <w:p w14:paraId="5F7D3ED1">
            <w:pPr>
              <w:pStyle w:val="25"/>
              <w:keepNext w:val="0"/>
              <w:keepLines w:val="0"/>
              <w:suppressLineNumbers w:val="0"/>
              <w:spacing w:before="0" w:beforeAutospacing="0" w:after="0" w:afterAutospacing="0" w:line="360" w:lineRule="auto"/>
              <w:ind w:left="0" w:right="0"/>
              <w:rPr>
                <w:rFonts w:hint="eastAsia" w:hAnsi="宋体" w:eastAsia="宋体" w:cs="宋体"/>
                <w:bCs/>
                <w:sz w:val="24"/>
                <w:szCs w:val="24"/>
                <w:highlight w:val="none"/>
              </w:rPr>
            </w:pPr>
            <w:r>
              <w:rPr>
                <w:rFonts w:hint="eastAsia" w:hAnsi="宋体" w:eastAsia="宋体" w:cs="宋体"/>
                <w:bCs/>
                <w:sz w:val="24"/>
                <w:szCs w:val="24"/>
                <w:highlight w:val="none"/>
              </w:rPr>
              <w:t>（1）投标保证金：人民币</w:t>
            </w:r>
            <w:r>
              <w:rPr>
                <w:rFonts w:hint="eastAsia" w:hAnsi="宋体" w:eastAsia="宋体" w:cs="宋体"/>
                <w:bCs/>
                <w:sz w:val="24"/>
                <w:szCs w:val="24"/>
                <w:highlight w:val="none"/>
                <w:u w:val="single"/>
              </w:rPr>
              <w:t xml:space="preserve"> /  </w:t>
            </w:r>
            <w:r>
              <w:rPr>
                <w:rFonts w:hint="eastAsia" w:hAnsi="宋体" w:eastAsia="宋体" w:cs="宋体"/>
                <w:bCs/>
                <w:sz w:val="24"/>
                <w:szCs w:val="24"/>
                <w:highlight w:val="none"/>
              </w:rPr>
              <w:t>元</w:t>
            </w:r>
          </w:p>
          <w:p w14:paraId="428612D4">
            <w:pPr>
              <w:pStyle w:val="25"/>
              <w:keepNext w:val="0"/>
              <w:keepLines w:val="0"/>
              <w:suppressLineNumbers w:val="0"/>
              <w:spacing w:before="0" w:beforeAutospacing="0" w:after="0" w:afterAutospacing="0" w:line="360" w:lineRule="auto"/>
              <w:ind w:left="0" w:right="0"/>
              <w:rPr>
                <w:rFonts w:hint="eastAsia" w:hAnsi="宋体" w:eastAsia="宋体" w:cs="宋体"/>
                <w:bCs/>
                <w:sz w:val="24"/>
                <w:szCs w:val="24"/>
                <w:highlight w:val="none"/>
              </w:rPr>
            </w:pPr>
            <w:r>
              <w:rPr>
                <w:rFonts w:hint="eastAsia" w:hAnsi="宋体" w:eastAsia="宋体" w:cs="宋体"/>
                <w:bCs/>
                <w:sz w:val="24"/>
                <w:szCs w:val="24"/>
                <w:highlight w:val="none"/>
              </w:rPr>
              <w:t>（2）交纳期限：投标截止时间前。</w:t>
            </w:r>
          </w:p>
          <w:p w14:paraId="34D8703B">
            <w:pPr>
              <w:pStyle w:val="25"/>
              <w:keepNext w:val="0"/>
              <w:keepLines w:val="0"/>
              <w:suppressLineNumbers w:val="0"/>
              <w:spacing w:before="0" w:beforeAutospacing="0" w:after="0" w:afterAutospacing="0" w:line="360" w:lineRule="auto"/>
              <w:ind w:left="0" w:right="0"/>
              <w:rPr>
                <w:rFonts w:hint="eastAsia" w:hAnsi="宋体" w:eastAsia="宋体" w:cs="等线"/>
                <w:sz w:val="24"/>
                <w:szCs w:val="24"/>
                <w:highlight w:val="none"/>
              </w:rPr>
            </w:pPr>
            <w:r>
              <w:rPr>
                <w:rFonts w:hint="eastAsia" w:hAnsi="宋体" w:eastAsia="宋体" w:cs="宋体"/>
                <w:bCs/>
                <w:sz w:val="24"/>
                <w:szCs w:val="24"/>
                <w:highlight w:val="none"/>
              </w:rPr>
              <w:t>（3）保证金缴纳流程：供应商登录“http://cg.zjhzjtjt.com/"，在【金融服务】-【我的项目】中找到本项目，获取唯一的保证金虚拟账户信息。请按照采购文件要求从企业对公账户缴纳保证金至该虚拟账户。</w:t>
            </w:r>
            <w:r>
              <w:rPr>
                <w:rFonts w:hint="eastAsia" w:hAnsi="宋体" w:eastAsia="宋体" w:cs="宋体"/>
                <w:sz w:val="24"/>
                <w:szCs w:val="24"/>
                <w:highlight w:val="none"/>
              </w:rPr>
              <w:t>供应商每个项目的保证金虚拟账户是唯一的，即同一个项目的不同供应商虚拟账户信息不一样。同一供应商不同项目的虚拟账户信息也不一样，请勿泄露虚拟账户信息，注意不要打错。</w:t>
            </w:r>
          </w:p>
        </w:tc>
      </w:tr>
      <w:tr w14:paraId="61FDC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5" w:hRule="atLeast"/>
          <w:jc w:val="center"/>
        </w:trPr>
        <w:tc>
          <w:tcPr>
            <w:tcW w:w="667" w:type="dxa"/>
            <w:shd w:val="clear" w:color="auto" w:fill="FFFFFF"/>
            <w:noWrap w:val="0"/>
            <w:vAlign w:val="center"/>
          </w:tcPr>
          <w:p w14:paraId="3C2AC8EE">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2139" w:type="dxa"/>
            <w:shd w:val="clear" w:color="auto" w:fill="FFFFFF"/>
            <w:noWrap w:val="0"/>
            <w:vAlign w:val="center"/>
          </w:tcPr>
          <w:p w14:paraId="22D439FE">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履约担保</w:t>
            </w:r>
          </w:p>
        </w:tc>
        <w:tc>
          <w:tcPr>
            <w:tcW w:w="7161" w:type="dxa"/>
            <w:shd w:val="clear" w:color="auto" w:fill="FFFFFF"/>
            <w:noWrap w:val="0"/>
            <w:vAlign w:val="center"/>
          </w:tcPr>
          <w:p w14:paraId="612F1498">
            <w:pPr>
              <w:keepNext w:val="0"/>
              <w:keepLines w:val="0"/>
              <w:suppressLineNumbers w:val="0"/>
              <w:adjustRightInd w:val="0"/>
              <w:snapToGrid w:val="0"/>
              <w:spacing w:before="0" w:beforeAutospacing="0" w:after="0" w:afterAutospacing="0" w:line="360" w:lineRule="auto"/>
              <w:ind w:left="19" w:leftChars="9" w:right="-109" w:rightChars="-52" w:firstLine="24" w:firstLineChars="10"/>
              <w:rPr>
                <w:rFonts w:hint="eastAsia" w:ascii="宋体" w:hAnsi="宋体" w:eastAsia="宋体" w:cs="等线"/>
                <w:sz w:val="24"/>
                <w:highlight w:val="none"/>
              </w:rPr>
            </w:pPr>
            <w:r>
              <w:rPr>
                <w:rFonts w:hint="eastAsia" w:ascii="宋体" w:hAnsi="宋体" w:eastAsia="宋体" w:cs="宋体"/>
                <w:sz w:val="24"/>
                <w:highlight w:val="none"/>
              </w:rPr>
              <w:t>□有，履约担保金额：</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，□银行汇票或□转账支票或□银行转账或□银行保函；若采用</w:t>
            </w:r>
            <w:r>
              <w:rPr>
                <w:rFonts w:hint="eastAsia" w:ascii="宋体" w:hAnsi="宋体" w:eastAsia="宋体" w:cs="等线"/>
                <w:sz w:val="24"/>
                <w:highlight w:val="none"/>
              </w:rPr>
              <w:t>银行保函应由国有或股份制商业银行县（区、市）级及以上银行出具，所需的费用由中标人承担，中标人应保证银行保函有效。</w:t>
            </w:r>
          </w:p>
          <w:p w14:paraId="1A07D57F">
            <w:pPr>
              <w:keepNext w:val="0"/>
              <w:keepLines w:val="0"/>
              <w:suppressLineNumbers w:val="0"/>
              <w:adjustRightInd w:val="0"/>
              <w:snapToGrid w:val="0"/>
              <w:spacing w:before="0" w:beforeAutospacing="0" w:after="0" w:afterAutospacing="0" w:line="360" w:lineRule="auto"/>
              <w:ind w:left="19" w:leftChars="9" w:right="-109" w:rightChars="-52" w:firstLine="24" w:firstLineChars="10"/>
              <w:rPr>
                <w:rFonts w:hint="eastAsia" w:ascii="宋体" w:hAnsi="宋体" w:eastAsia="宋体" w:cs="宋体"/>
                <w:b/>
                <w:sz w:val="24"/>
                <w:highlight w:val="none"/>
              </w:rPr>
            </w:pPr>
            <w:r>
              <w:rPr>
                <w:rFonts w:hint="eastAsia" w:ascii="宋体" w:hAnsi="宋体" w:eastAsia="宋体" w:cs="宋体"/>
                <w:sz w:val="24"/>
                <w:highlight w:val="none"/>
              </w:rPr>
              <w:t>合同签订后的</w:t>
            </w:r>
            <w:r>
              <w:rPr>
                <w:rFonts w:hint="eastAsia" w:ascii="宋体" w:hAnsi="宋体" w:eastAsia="宋体" w:cs="宋体"/>
                <w:sz w:val="24"/>
                <w:highlight w:val="none"/>
                <w:u w:val="single"/>
              </w:rPr>
              <w:t>5日历天</w:t>
            </w:r>
            <w:r>
              <w:rPr>
                <w:rFonts w:hint="eastAsia" w:ascii="宋体" w:hAnsi="宋体" w:eastAsia="宋体" w:cs="宋体"/>
                <w:sz w:val="24"/>
                <w:highlight w:val="none"/>
              </w:rPr>
              <w:t>内向采购单位缴纳履约保证金,若中标人拒交履约保证金的，采购单位将取消其中标资格，并不予退还其响应保证金。履约保证金退还时间：合同履约完毕，扣除中标人违约时所需支付的违约金后采购人30日历日内无息退还。</w:t>
            </w:r>
          </w:p>
          <w:p w14:paraId="751A5769">
            <w:pPr>
              <w:keepNext w:val="0"/>
              <w:keepLines w:val="0"/>
              <w:suppressLineNumbers w:val="0"/>
              <w:adjustRightInd w:val="0"/>
              <w:spacing w:before="0" w:beforeAutospacing="0" w:after="0" w:afterAutospacing="0" w:line="360" w:lineRule="auto"/>
              <w:ind w:left="19" w:leftChars="9" w:right="-109" w:rightChars="-52" w:firstLine="24" w:firstLineChars="10"/>
              <w:rPr>
                <w:rFonts w:hint="eastAsia" w:ascii="宋体" w:hAnsi="宋体" w:eastAsia="宋体" w:cs="宋体"/>
                <w:sz w:val="24"/>
                <w:highlight w:val="none"/>
              </w:rPr>
            </w:pPr>
            <w:r>
              <w:rPr>
                <w:rFonts w:hint="eastAsia" w:ascii="MS Gothic" w:hAnsi="MS Gothic" w:eastAsia="MS Gothic" w:cs="MS Gothic"/>
                <w:sz w:val="24"/>
                <w:highlight w:val="none"/>
              </w:rPr>
              <w:t>☑</w:t>
            </w:r>
            <w:r>
              <w:rPr>
                <w:rFonts w:hint="eastAsia" w:ascii="宋体" w:hAnsi="宋体" w:eastAsia="宋体" w:cs="宋体"/>
                <w:sz w:val="24"/>
                <w:highlight w:val="none"/>
              </w:rPr>
              <w:t>没有。</w:t>
            </w:r>
          </w:p>
        </w:tc>
      </w:tr>
      <w:tr w14:paraId="4EDF2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1753C63E">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2139" w:type="dxa"/>
            <w:shd w:val="clear" w:color="auto" w:fill="FFFFFF"/>
            <w:noWrap w:val="0"/>
            <w:vAlign w:val="center"/>
          </w:tcPr>
          <w:p w14:paraId="7E3A1765">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是否接受</w:t>
            </w:r>
          </w:p>
          <w:p w14:paraId="7E083120">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联合体投标</w:t>
            </w:r>
          </w:p>
        </w:tc>
        <w:tc>
          <w:tcPr>
            <w:tcW w:w="7161" w:type="dxa"/>
            <w:shd w:val="clear" w:color="auto" w:fill="FFFFFF"/>
            <w:noWrap w:val="0"/>
            <w:vAlign w:val="center"/>
          </w:tcPr>
          <w:p w14:paraId="4AB9C06E">
            <w:pPr>
              <w:keepNext w:val="0"/>
              <w:keepLines w:val="0"/>
              <w:suppressLineNumbers w:val="0"/>
              <w:spacing w:before="48" w:beforeLines="20" w:beforeAutospacing="0" w:after="48" w:afterLines="20" w:afterAutospacing="0" w:line="360" w:lineRule="auto"/>
              <w:ind w:left="0" w:right="281" w:rightChars="134"/>
              <w:rPr>
                <w:rFonts w:hint="eastAsia" w:ascii="宋体" w:hAnsi="宋体" w:eastAsia="宋体" w:cs="宋体"/>
                <w:sz w:val="24"/>
                <w:highlight w:val="none"/>
              </w:rPr>
            </w:pPr>
            <w:r>
              <w:rPr>
                <w:rFonts w:hint="eastAsia" w:ascii="宋体" w:hAnsi="宋体" w:eastAsia="宋体" w:cs="宋体"/>
                <w:sz w:val="24"/>
                <w:highlight w:val="none"/>
              </w:rPr>
              <w:t xml:space="preserve">□接受。 </w:t>
            </w:r>
          </w:p>
          <w:p w14:paraId="59BB5334">
            <w:pPr>
              <w:keepNext w:val="0"/>
              <w:keepLines w:val="0"/>
              <w:suppressLineNumbers w:val="0"/>
              <w:spacing w:before="48" w:beforeLines="20" w:beforeAutospacing="0" w:after="48" w:afterLines="20" w:afterAutospacing="0" w:line="360" w:lineRule="auto"/>
              <w:ind w:left="0" w:right="281" w:rightChars="134"/>
              <w:rPr>
                <w:rFonts w:hint="eastAsia" w:ascii="宋体" w:hAnsi="宋体" w:eastAsia="宋体" w:cs="宋体"/>
                <w:sz w:val="24"/>
                <w:highlight w:val="none"/>
              </w:rPr>
            </w:pPr>
            <w:r>
              <w:rPr>
                <w:rFonts w:hint="eastAsia" w:ascii="MS Gothic" w:hAnsi="MS Gothic" w:eastAsia="MS Gothic" w:cs="MS Gothic"/>
                <w:sz w:val="24"/>
                <w:highlight w:val="none"/>
              </w:rPr>
              <w:t>☑</w:t>
            </w:r>
            <w:r>
              <w:rPr>
                <w:rFonts w:hint="eastAsia" w:ascii="宋体" w:hAnsi="宋体" w:eastAsia="宋体" w:cs="宋体"/>
                <w:sz w:val="24"/>
                <w:highlight w:val="none"/>
              </w:rPr>
              <w:t>不接受</w:t>
            </w:r>
          </w:p>
        </w:tc>
      </w:tr>
      <w:tr w14:paraId="5834D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39F77D4E">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2139" w:type="dxa"/>
            <w:shd w:val="clear" w:color="auto" w:fill="FFFFFF"/>
            <w:noWrap w:val="0"/>
            <w:vAlign w:val="center"/>
          </w:tcPr>
          <w:p w14:paraId="5DEED5E7">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质量保证金</w:t>
            </w:r>
          </w:p>
        </w:tc>
        <w:tc>
          <w:tcPr>
            <w:tcW w:w="7161" w:type="dxa"/>
            <w:shd w:val="clear" w:color="auto" w:fill="FFFFFF"/>
            <w:noWrap w:val="0"/>
            <w:vAlign w:val="center"/>
          </w:tcPr>
          <w:p w14:paraId="37D3E916">
            <w:pPr>
              <w:keepNext w:val="0"/>
              <w:keepLines w:val="0"/>
              <w:suppressLineNumbers w:val="0"/>
              <w:spacing w:before="0" w:beforeAutospacing="0" w:after="0" w:afterAutospacing="0" w:line="360" w:lineRule="auto"/>
              <w:ind w:left="0" w:right="-109" w:rightChars="-52"/>
              <w:rPr>
                <w:rFonts w:hint="eastAsia" w:ascii="宋体" w:hAnsi="宋体" w:eastAsia="宋体" w:cs="宋体"/>
                <w:sz w:val="24"/>
                <w:highlight w:val="none"/>
              </w:rPr>
            </w:pPr>
            <w:r>
              <w:rPr>
                <w:rFonts w:hint="eastAsia" w:ascii="宋体" w:hAnsi="宋体" w:eastAsia="宋体" w:cs="宋体"/>
                <w:sz w:val="24"/>
                <w:highlight w:val="none"/>
              </w:rPr>
              <w:t>□有，合同总价</w:t>
            </w:r>
            <w:r>
              <w:rPr>
                <w:rFonts w:hint="eastAsia" w:ascii="宋体" w:hAnsi="宋体" w:eastAsia="宋体" w:cs="宋体"/>
                <w:sz w:val="24"/>
                <w:highlight w:val="none"/>
                <w:u w:val="single"/>
              </w:rPr>
              <w:t xml:space="preserve"> 1.5%</w:t>
            </w:r>
          </w:p>
          <w:p w14:paraId="2057FEAC">
            <w:pPr>
              <w:keepNext w:val="0"/>
              <w:keepLines w:val="0"/>
              <w:suppressLineNumbers w:val="0"/>
              <w:spacing w:before="48" w:beforeLines="20" w:beforeAutospacing="0" w:after="48" w:afterLines="20" w:afterAutospacing="0" w:line="360" w:lineRule="auto"/>
              <w:ind w:left="0" w:right="281" w:rightChars="134"/>
              <w:rPr>
                <w:rFonts w:hint="eastAsia" w:ascii="宋体" w:hAnsi="宋体" w:eastAsia="宋体" w:cs="宋体"/>
                <w:sz w:val="24"/>
                <w:highlight w:val="none"/>
              </w:rPr>
            </w:pPr>
            <w:r>
              <w:rPr>
                <w:rFonts w:hint="eastAsia" w:ascii="MS Gothic" w:hAnsi="MS Gothic" w:eastAsia="MS Gothic" w:cs="MS Gothic"/>
                <w:sz w:val="24"/>
                <w:highlight w:val="none"/>
              </w:rPr>
              <w:t>☑</w:t>
            </w:r>
            <w:r>
              <w:rPr>
                <w:rFonts w:hint="eastAsia" w:ascii="宋体" w:hAnsi="宋体" w:eastAsia="宋体" w:cs="宋体"/>
                <w:sz w:val="24"/>
                <w:highlight w:val="none"/>
              </w:rPr>
              <w:t>没有</w:t>
            </w:r>
          </w:p>
        </w:tc>
      </w:tr>
      <w:tr w14:paraId="386A2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360" w:hRule="atLeast"/>
          <w:jc w:val="center"/>
        </w:trPr>
        <w:tc>
          <w:tcPr>
            <w:tcW w:w="667" w:type="dxa"/>
            <w:shd w:val="clear" w:color="auto" w:fill="FFFFFF"/>
            <w:noWrap w:val="0"/>
            <w:vAlign w:val="center"/>
          </w:tcPr>
          <w:p w14:paraId="2EF4740B">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tc>
        <w:tc>
          <w:tcPr>
            <w:tcW w:w="2139" w:type="dxa"/>
            <w:shd w:val="clear" w:color="auto" w:fill="FFFFFF"/>
            <w:noWrap w:val="0"/>
            <w:vAlign w:val="center"/>
          </w:tcPr>
          <w:p w14:paraId="37BD0CB1">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现场勘探</w:t>
            </w:r>
          </w:p>
        </w:tc>
        <w:tc>
          <w:tcPr>
            <w:tcW w:w="7161" w:type="dxa"/>
            <w:shd w:val="clear" w:color="auto" w:fill="FFFFFF"/>
            <w:noWrap w:val="0"/>
            <w:vAlign w:val="center"/>
          </w:tcPr>
          <w:p w14:paraId="34CC1D68">
            <w:pPr>
              <w:keepNext w:val="0"/>
              <w:keepLines w:val="0"/>
              <w:suppressLineNumbers w:val="0"/>
              <w:spacing w:before="0" w:beforeAutospacing="0" w:after="0" w:afterAutospacing="0" w:line="360" w:lineRule="exact"/>
              <w:ind w:left="0" w:right="0"/>
              <w:rPr>
                <w:rFonts w:hint="eastAsia" w:ascii="宋体" w:hAnsi="宋体" w:eastAsia="宋体" w:cs="宋体"/>
                <w:sz w:val="24"/>
                <w:highlight w:val="none"/>
              </w:rPr>
            </w:pPr>
            <w:r>
              <w:rPr>
                <w:rFonts w:hint="eastAsia" w:ascii="宋体" w:hAnsi="宋体" w:eastAsia="宋体" w:cs="宋体"/>
                <w:sz w:val="24"/>
                <w:highlight w:val="none"/>
              </w:rPr>
              <w:t>□组织，时间为</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前，逾期不予安排。联系人：</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14:paraId="79721E85">
            <w:pPr>
              <w:keepNext w:val="0"/>
              <w:keepLines w:val="0"/>
              <w:suppressLineNumbers w:val="0"/>
              <w:spacing w:before="0" w:beforeAutospacing="0" w:after="0" w:afterAutospacing="0" w:line="360" w:lineRule="exact"/>
              <w:ind w:left="0" w:right="0"/>
              <w:rPr>
                <w:rFonts w:hint="eastAsia" w:ascii="宋体" w:hAnsi="宋体" w:eastAsia="宋体" w:cs="宋体"/>
                <w:sz w:val="24"/>
                <w:highlight w:val="none"/>
              </w:rPr>
            </w:pPr>
            <w:r>
              <w:rPr>
                <w:rFonts w:hint="eastAsia" w:ascii="MS Gothic" w:hAnsi="MS Gothic" w:eastAsia="MS Gothic" w:cs="MS Gothic"/>
                <w:sz w:val="24"/>
                <w:highlight w:val="none"/>
              </w:rPr>
              <w:t>☑</w:t>
            </w:r>
            <w:r>
              <w:rPr>
                <w:rFonts w:hint="eastAsia" w:ascii="宋体" w:hAnsi="宋体" w:eastAsia="宋体" w:cs="宋体"/>
                <w:sz w:val="24"/>
                <w:highlight w:val="none"/>
              </w:rPr>
              <w:t>不组织</w:t>
            </w:r>
          </w:p>
          <w:p w14:paraId="39F91015">
            <w:pPr>
              <w:keepNext w:val="0"/>
              <w:keepLines w:val="0"/>
              <w:suppressLineNumbers w:val="0"/>
              <w:spacing w:before="0" w:beforeAutospacing="0" w:after="0" w:afterAutospacing="0" w:line="360" w:lineRule="exact"/>
              <w:ind w:left="0" w:right="0"/>
              <w:rPr>
                <w:rFonts w:hint="eastAsia" w:ascii="宋体" w:hAnsi="宋体" w:eastAsia="宋体" w:cs="宋体"/>
                <w:sz w:val="24"/>
                <w:highlight w:val="none"/>
                <w:lang w:eastAsia="zh-CN"/>
              </w:rPr>
            </w:pPr>
            <w:r>
              <w:rPr>
                <w:rFonts w:hint="eastAsia" w:ascii="宋体" w:hAnsi="宋体" w:eastAsia="宋体" w:cs="宋体"/>
                <w:sz w:val="24"/>
                <w:highlight w:val="none"/>
              </w:rPr>
              <w:t>需要进一步了解案件详情的，可以联系发包人</w:t>
            </w:r>
            <w:r>
              <w:rPr>
                <w:rFonts w:hint="eastAsia" w:ascii="宋体" w:hAnsi="宋体" w:cs="宋体"/>
                <w:sz w:val="24"/>
                <w:highlight w:val="none"/>
                <w:lang w:eastAsia="zh-CN"/>
              </w:rPr>
              <w:t>。</w:t>
            </w:r>
          </w:p>
          <w:p w14:paraId="73F61E35">
            <w:pPr>
              <w:keepNext w:val="0"/>
              <w:keepLines w:val="0"/>
              <w:suppressLineNumbers w:val="0"/>
              <w:spacing w:before="0" w:beforeAutospacing="0" w:after="0" w:afterAutospacing="0" w:line="360" w:lineRule="exact"/>
              <w:ind w:left="0" w:right="0"/>
              <w:rPr>
                <w:rFonts w:hint="eastAsia" w:ascii="宋体" w:hAnsi="宋体" w:eastAsia="宋体" w:cs="宋体"/>
                <w:sz w:val="24"/>
                <w:highlight w:val="none"/>
                <w:lang w:val="en-US"/>
              </w:rPr>
            </w:pPr>
            <w:r>
              <w:rPr>
                <w:rFonts w:hint="eastAsia" w:ascii="宋体" w:hAnsi="宋体" w:eastAsia="宋体" w:cs="宋体"/>
                <w:sz w:val="24"/>
                <w:highlight w:val="none"/>
              </w:rPr>
              <w:t xml:space="preserve">联 系 人： </w:t>
            </w:r>
            <w:r>
              <w:rPr>
                <w:rFonts w:hint="eastAsia" w:ascii="宋体" w:hAnsi="宋体" w:eastAsia="宋体" w:cs="宋体"/>
                <w:sz w:val="24"/>
                <w:highlight w:val="none"/>
                <w:lang w:val="en-US" w:eastAsia="zh-CN"/>
              </w:rPr>
              <w:t>董工</w:t>
            </w:r>
          </w:p>
          <w:p w14:paraId="4AC4AB5B">
            <w:pPr>
              <w:keepNext w:val="0"/>
              <w:keepLines w:val="0"/>
              <w:suppressLineNumbers w:val="0"/>
              <w:spacing w:before="0" w:beforeAutospacing="0" w:after="0" w:afterAutospacing="0" w:line="360" w:lineRule="exact"/>
              <w:ind w:left="0" w:right="0"/>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 xml:space="preserve"> 0571-87997856</w:t>
            </w:r>
          </w:p>
        </w:tc>
      </w:tr>
      <w:tr w14:paraId="07309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3" w:hRule="atLeast"/>
          <w:jc w:val="center"/>
        </w:trPr>
        <w:tc>
          <w:tcPr>
            <w:tcW w:w="667" w:type="dxa"/>
            <w:shd w:val="clear" w:color="auto" w:fill="FFFFFF"/>
            <w:noWrap w:val="0"/>
            <w:vAlign w:val="center"/>
          </w:tcPr>
          <w:p w14:paraId="249BD2EB">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10</w:t>
            </w:r>
          </w:p>
        </w:tc>
        <w:tc>
          <w:tcPr>
            <w:tcW w:w="2139" w:type="dxa"/>
            <w:shd w:val="clear" w:color="auto" w:fill="FFFFFF"/>
            <w:noWrap w:val="0"/>
            <w:vAlign w:val="center"/>
          </w:tcPr>
          <w:p w14:paraId="134A034C">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7161" w:type="dxa"/>
            <w:shd w:val="clear" w:color="auto" w:fill="FFFFFF"/>
            <w:noWrap w:val="0"/>
            <w:vAlign w:val="center"/>
          </w:tcPr>
          <w:p w14:paraId="68E171D4">
            <w:pPr>
              <w:keepNext w:val="0"/>
              <w:keepLines w:val="0"/>
              <w:suppressLineNumbers w:val="0"/>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highlight w:val="none"/>
              </w:rPr>
              <w:t>从投标截止日起90天内有效。</w:t>
            </w:r>
          </w:p>
        </w:tc>
      </w:tr>
      <w:tr w14:paraId="5C629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7" w:type="dxa"/>
            <w:shd w:val="clear" w:color="auto" w:fill="FFFFFF"/>
            <w:noWrap w:val="0"/>
            <w:vAlign w:val="center"/>
          </w:tcPr>
          <w:p w14:paraId="09FA7068">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11</w:t>
            </w:r>
          </w:p>
        </w:tc>
        <w:tc>
          <w:tcPr>
            <w:tcW w:w="2139" w:type="dxa"/>
            <w:shd w:val="clear" w:color="auto" w:fill="FFFFFF"/>
            <w:noWrap w:val="0"/>
            <w:vAlign w:val="center"/>
          </w:tcPr>
          <w:p w14:paraId="02709222">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等线"/>
                <w:sz w:val="24"/>
                <w:highlight w:val="none"/>
              </w:rPr>
              <w:t>服务期</w:t>
            </w:r>
          </w:p>
        </w:tc>
        <w:tc>
          <w:tcPr>
            <w:tcW w:w="7161" w:type="dxa"/>
            <w:shd w:val="clear" w:color="auto" w:fill="FFFFFF"/>
            <w:noWrap w:val="0"/>
            <w:vAlign w:val="center"/>
          </w:tcPr>
          <w:p w14:paraId="4435D9FE">
            <w:pPr>
              <w:pStyle w:val="120"/>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自代理开始之日起，直至项目诉讼程序完毕为止</w:t>
            </w:r>
            <w:r>
              <w:rPr>
                <w:rFonts w:hint="eastAsia" w:ascii="宋体" w:hAnsi="宋体" w:eastAsia="宋体" w:cs="宋体"/>
                <w:sz w:val="24"/>
                <w:szCs w:val="24"/>
                <w:highlight w:val="none"/>
                <w:lang w:eastAsia="zh-CN"/>
              </w:rPr>
              <w:t>。</w:t>
            </w:r>
          </w:p>
        </w:tc>
      </w:tr>
      <w:tr w14:paraId="43EAE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6ECEECD3">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12</w:t>
            </w:r>
          </w:p>
        </w:tc>
        <w:tc>
          <w:tcPr>
            <w:tcW w:w="2139" w:type="dxa"/>
            <w:shd w:val="clear" w:color="auto" w:fill="FFFFFF"/>
            <w:noWrap w:val="0"/>
            <w:vAlign w:val="center"/>
          </w:tcPr>
          <w:p w14:paraId="00DA4CCA">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质量标准</w:t>
            </w:r>
          </w:p>
        </w:tc>
        <w:tc>
          <w:tcPr>
            <w:tcW w:w="7161" w:type="dxa"/>
            <w:shd w:val="clear" w:color="auto" w:fill="FFFFFF"/>
            <w:noWrap w:val="0"/>
            <w:vAlign w:val="center"/>
          </w:tcPr>
          <w:p w14:paraId="4B854F38">
            <w:pPr>
              <w:pStyle w:val="120"/>
              <w:keepNext w:val="0"/>
              <w:keepLines w:val="0"/>
              <w:suppressLineNumbers w:val="0"/>
              <w:spacing w:before="0" w:beforeAutospacing="0" w:after="0" w:afterAutospacing="0" w:line="360" w:lineRule="auto"/>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14414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26B704B0">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13</w:t>
            </w:r>
          </w:p>
        </w:tc>
        <w:tc>
          <w:tcPr>
            <w:tcW w:w="2139" w:type="dxa"/>
            <w:shd w:val="clear" w:color="auto" w:fill="FFFFFF"/>
            <w:noWrap w:val="0"/>
            <w:vAlign w:val="center"/>
          </w:tcPr>
          <w:p w14:paraId="19B658E1">
            <w:pPr>
              <w:keepNext w:val="0"/>
              <w:keepLines w:val="0"/>
              <w:suppressLineNumbers w:val="0"/>
              <w:snapToGrid w:val="0"/>
              <w:spacing w:before="0" w:beforeAutospacing="0" w:after="0" w:afterAutospacing="0"/>
              <w:ind w:left="0" w:right="0"/>
              <w:jc w:val="center"/>
              <w:rPr>
                <w:rFonts w:hint="eastAsia" w:ascii="宋体" w:hAnsi="宋体" w:eastAsia="宋体" w:cs="等线"/>
                <w:sz w:val="24"/>
                <w:highlight w:val="none"/>
              </w:rPr>
            </w:pPr>
            <w:r>
              <w:rPr>
                <w:rFonts w:hint="eastAsia" w:ascii="宋体" w:hAnsi="宋体" w:eastAsia="宋体" w:cs="等线"/>
                <w:sz w:val="24"/>
                <w:highlight w:val="none"/>
              </w:rPr>
              <w:t>响应文件份数</w:t>
            </w:r>
          </w:p>
        </w:tc>
        <w:tc>
          <w:tcPr>
            <w:tcW w:w="7161" w:type="dxa"/>
            <w:shd w:val="clear" w:color="auto" w:fill="FFFFFF"/>
            <w:noWrap w:val="0"/>
            <w:vAlign w:val="center"/>
          </w:tcPr>
          <w:p w14:paraId="67EFA13C">
            <w:pPr>
              <w:keepNext w:val="0"/>
              <w:keepLines w:val="0"/>
              <w:suppressLineNumbers w:val="0"/>
              <w:snapToGrid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等线"/>
                <w:sz w:val="24"/>
                <w:highlight w:val="none"/>
              </w:rPr>
              <w:t>本项目实行网上投标，供应商应准备以下响应文件：</w:t>
            </w:r>
          </w:p>
          <w:p w14:paraId="20C20F7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等线"/>
                <w:sz w:val="24"/>
                <w:highlight w:val="none"/>
              </w:rPr>
              <w:t>（1）供应商于“电子投标客户端”上提供电子加密响应文件。</w:t>
            </w:r>
          </w:p>
          <w:p w14:paraId="5059D30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等线"/>
                <w:sz w:val="24"/>
                <w:highlight w:val="none"/>
              </w:rPr>
              <w:t>“电子加密响应文件”是指通过“电子投标客户端”完成响应文件编制后生成并加密的数据电文形式的响应文件（后缀格式为.jmbs）</w:t>
            </w:r>
          </w:p>
          <w:p w14:paraId="72E646EF">
            <w:pPr>
              <w:keepNext w:val="0"/>
              <w:keepLines w:val="0"/>
              <w:numPr>
                <w:ilvl w:val="0"/>
                <w:numId w:val="4"/>
              </w:numPr>
              <w:suppressLineNumbers w:val="0"/>
              <w:adjustRightInd w:val="0"/>
              <w:snapToGrid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等线"/>
                <w:sz w:val="24"/>
                <w:highlight w:val="none"/>
              </w:rPr>
              <w:t>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w:t>
            </w:r>
          </w:p>
          <w:p w14:paraId="2EE69782">
            <w:pPr>
              <w:keepNext w:val="0"/>
              <w:keepLines w:val="0"/>
              <w:numPr>
                <w:ilvl w:val="0"/>
                <w:numId w:val="4"/>
              </w:numPr>
              <w:suppressLineNumbers w:val="0"/>
              <w:adjustRightInd w:val="0"/>
              <w:snapToGrid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等线"/>
                <w:sz w:val="24"/>
                <w:highlight w:val="none"/>
              </w:rPr>
              <w:t>中标单位在中标后需向采购单位提供纸质投标文件一正三副。</w:t>
            </w:r>
          </w:p>
        </w:tc>
      </w:tr>
      <w:tr w14:paraId="709E8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5D22CBF9">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14</w:t>
            </w:r>
          </w:p>
        </w:tc>
        <w:tc>
          <w:tcPr>
            <w:tcW w:w="2139" w:type="dxa"/>
            <w:shd w:val="clear" w:color="auto" w:fill="FFFFFF"/>
            <w:noWrap w:val="0"/>
            <w:vAlign w:val="center"/>
          </w:tcPr>
          <w:p w14:paraId="39D08D63">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采购单位书面澄清或修改的时间</w:t>
            </w:r>
          </w:p>
        </w:tc>
        <w:tc>
          <w:tcPr>
            <w:tcW w:w="7161" w:type="dxa"/>
            <w:shd w:val="clear" w:color="auto" w:fill="FFFFFF"/>
            <w:noWrap w:val="0"/>
            <w:vAlign w:val="center"/>
          </w:tcPr>
          <w:p w14:paraId="38D2499E">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采购文件的澄清将以书面形式发给所有购买采购文件的供应商，但不指明澄清问题的来源。如果澄清发出的时间距投标截止时间不足</w:t>
            </w:r>
            <w:r>
              <w:rPr>
                <w:rFonts w:hint="eastAsia" w:ascii="宋体" w:hAnsi="宋体" w:eastAsia="宋体" w:cs="宋体"/>
                <w:sz w:val="24"/>
                <w:highlight w:val="none"/>
                <w:u w:val="single"/>
              </w:rPr>
              <w:t>3天</w:t>
            </w:r>
            <w:r>
              <w:rPr>
                <w:rFonts w:hint="eastAsia" w:ascii="宋体" w:hAnsi="宋体" w:eastAsia="宋体" w:cs="宋体"/>
                <w:sz w:val="24"/>
                <w:highlight w:val="none"/>
              </w:rPr>
              <w:t>，相应延长投标截止时间。采购文件修改的内容可能影响到响应文件编制的，采购单位将在投标截止时间</w:t>
            </w:r>
            <w:r>
              <w:rPr>
                <w:rFonts w:hint="eastAsia" w:ascii="宋体" w:hAnsi="宋体" w:eastAsia="宋体" w:cs="宋体"/>
                <w:sz w:val="24"/>
                <w:highlight w:val="none"/>
                <w:u w:val="single"/>
              </w:rPr>
              <w:t>3天</w:t>
            </w:r>
            <w:r>
              <w:rPr>
                <w:rFonts w:hint="eastAsia" w:ascii="宋体" w:hAnsi="宋体" w:eastAsia="宋体" w:cs="宋体"/>
                <w:sz w:val="24"/>
                <w:highlight w:val="none"/>
              </w:rPr>
              <w:t>前以书面形式发布。</w:t>
            </w:r>
          </w:p>
        </w:tc>
      </w:tr>
      <w:tr w14:paraId="6AAF6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66D995DA">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15</w:t>
            </w:r>
          </w:p>
        </w:tc>
        <w:tc>
          <w:tcPr>
            <w:tcW w:w="2139" w:type="dxa"/>
            <w:shd w:val="clear" w:color="auto" w:fill="FFFFFF"/>
            <w:noWrap w:val="0"/>
            <w:vAlign w:val="center"/>
          </w:tcPr>
          <w:p w14:paraId="40DFF59A">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采购答疑</w:t>
            </w:r>
          </w:p>
        </w:tc>
        <w:tc>
          <w:tcPr>
            <w:tcW w:w="7161" w:type="dxa"/>
            <w:shd w:val="clear" w:color="auto" w:fill="FFFFFF"/>
            <w:noWrap w:val="0"/>
            <w:vAlign w:val="center"/>
          </w:tcPr>
          <w:p w14:paraId="1B9B9CE6">
            <w:pPr>
              <w:keepNext w:val="0"/>
              <w:keepLines w:val="0"/>
              <w:suppressLineNumbers w:val="0"/>
              <w:spacing w:before="0" w:beforeAutospacing="0" w:after="0" w:afterAutospacing="0" w:line="360" w:lineRule="auto"/>
              <w:ind w:left="480" w:right="0" w:hanging="480" w:hangingChars="200"/>
              <w:jc w:val="left"/>
              <w:rPr>
                <w:rFonts w:hint="eastAsia" w:ascii="宋体" w:hAnsi="宋体" w:eastAsia="宋体" w:cs="宋体"/>
                <w:sz w:val="24"/>
                <w:highlight w:val="none"/>
              </w:rPr>
            </w:pPr>
            <w:r>
              <w:rPr>
                <w:rFonts w:hint="eastAsia" w:ascii="宋体" w:hAnsi="宋体" w:eastAsia="宋体" w:cs="宋体"/>
                <w:sz w:val="24"/>
                <w:highlight w:val="none"/>
              </w:rPr>
              <w:t>各供应商如对采购文件有疑问，请将书面材料加盖公章于</w:t>
            </w:r>
            <w:r>
              <w:rPr>
                <w:rFonts w:hint="eastAsia" w:ascii="宋体" w:hAnsi="宋体" w:eastAsia="宋体" w:cs="宋体"/>
                <w:sz w:val="24"/>
                <w:highlight w:val="none"/>
                <w:u w:val="single"/>
              </w:rPr>
              <w:t>2024</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12</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19</w:t>
            </w:r>
            <w:r>
              <w:rPr>
                <w:rFonts w:hint="eastAsia" w:ascii="宋体" w:hAnsi="宋体" w:eastAsia="宋体" w:cs="宋体"/>
                <w:sz w:val="24"/>
                <w:highlight w:val="none"/>
              </w:rPr>
              <w:t>日</w:t>
            </w:r>
            <w:r>
              <w:rPr>
                <w:rFonts w:hint="eastAsia" w:ascii="宋体" w:hAnsi="宋体" w:eastAsia="宋体" w:cs="宋体"/>
                <w:sz w:val="24"/>
                <w:highlight w:val="none"/>
                <w:u w:val="single"/>
              </w:rPr>
              <w:t>17</w:t>
            </w:r>
            <w:r>
              <w:rPr>
                <w:rFonts w:hint="eastAsia" w:ascii="宋体" w:hAnsi="宋体" w:eastAsia="宋体" w:cs="宋体"/>
                <w:sz w:val="24"/>
                <w:highlight w:val="none"/>
              </w:rPr>
              <w:t>时</w:t>
            </w:r>
            <w:r>
              <w:rPr>
                <w:rFonts w:hint="eastAsia" w:ascii="宋体" w:hAnsi="宋体" w:eastAsia="宋体" w:cs="宋体"/>
                <w:sz w:val="24"/>
                <w:highlight w:val="none"/>
                <w:u w:val="single"/>
              </w:rPr>
              <w:t>00</w:t>
            </w:r>
            <w:r>
              <w:rPr>
                <w:rFonts w:hint="eastAsia" w:ascii="宋体" w:hAnsi="宋体" w:eastAsia="宋体" w:cs="宋体"/>
                <w:sz w:val="24"/>
                <w:highlight w:val="none"/>
              </w:rPr>
              <w:t>分前将疑问的电子版扫描件发送至代理机构邮箱：</w:t>
            </w:r>
            <w:r>
              <w:rPr>
                <w:rFonts w:hint="eastAsia" w:ascii="宋体" w:hAnsi="宋体" w:eastAsia="宋体" w:cs="宋体"/>
                <w:sz w:val="24"/>
                <w:highlight w:val="none"/>
                <w:u w:val="single"/>
                <w:lang w:eastAsia="zh-CN"/>
              </w:rPr>
              <w:t>380071769</w:t>
            </w:r>
            <w:r>
              <w:rPr>
                <w:rFonts w:hint="eastAsia" w:ascii="宋体" w:hAnsi="宋体" w:eastAsia="宋体" w:cs="宋体"/>
                <w:sz w:val="24"/>
                <w:highlight w:val="none"/>
                <w:u w:val="single"/>
              </w:rPr>
              <w:t>@qq.com</w:t>
            </w:r>
            <w:r>
              <w:rPr>
                <w:rFonts w:hint="eastAsia" w:ascii="宋体" w:hAnsi="宋体" w:eastAsia="宋体" w:cs="宋体"/>
                <w:sz w:val="24"/>
                <w:highlight w:val="none"/>
              </w:rPr>
              <w:t>，采购单位仅对供应商提出的合理疑问进行答复。</w:t>
            </w:r>
          </w:p>
        </w:tc>
      </w:tr>
      <w:tr w14:paraId="4D669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1E14B4C6">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16</w:t>
            </w:r>
          </w:p>
        </w:tc>
        <w:tc>
          <w:tcPr>
            <w:tcW w:w="2139" w:type="dxa"/>
            <w:shd w:val="clear" w:color="auto" w:fill="FFFFFF"/>
            <w:noWrap w:val="0"/>
            <w:vAlign w:val="center"/>
          </w:tcPr>
          <w:p w14:paraId="52197A93">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响应文件的上传和递交</w:t>
            </w:r>
          </w:p>
        </w:tc>
        <w:tc>
          <w:tcPr>
            <w:tcW w:w="7161" w:type="dxa"/>
            <w:shd w:val="clear" w:color="auto" w:fill="FFFFFF"/>
            <w:noWrap w:val="0"/>
            <w:vAlign w:val="center"/>
          </w:tcPr>
          <w:p w14:paraId="1C6AA699">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1.供应商注册：供应商如需参与本项目，应为杭州交投集中采购平台注册供应商。本项目通过“杭州交投集中采购平台”实行在线投标响应（电子投标），供应商应先安装“电子投标客户端”，并按照本采购文件和“杭州交投集中采购平台”的要求，通过“电子投标客户端”编制并加密投标响应文件。供应商未按规定加密的投标响应文件，“杭州交投集中采购平台”将予以拒收。</w:t>
            </w:r>
          </w:p>
          <w:p w14:paraId="7A8C6086">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2.投标供应商应当在投标截止时间前，将生成的“电子加密投标响应文件”上传递交至“杭州交投集中采购平台”。投标截止时间以后上传递交的投标响应文件将被“杭州交投集中采购平台”拒收。</w:t>
            </w:r>
          </w:p>
          <w:p w14:paraId="2143D2F2">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3.通过“杭州交投集中采购平台”上传递交的“电子加密投标响应文件”无法按时解密，投标供应商需及时递交备份投标响应文件，以备份投标响应文件为依据，否则视为投标响应文件撤回。投标供应商仅递交备份投标响应文件的，投标无效。</w:t>
            </w:r>
          </w:p>
        </w:tc>
      </w:tr>
      <w:tr w14:paraId="782C2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7" w:type="dxa"/>
            <w:shd w:val="clear" w:color="auto" w:fill="FFFFFF"/>
            <w:noWrap w:val="0"/>
            <w:vAlign w:val="center"/>
          </w:tcPr>
          <w:p w14:paraId="58F7F845">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17</w:t>
            </w:r>
          </w:p>
        </w:tc>
        <w:tc>
          <w:tcPr>
            <w:tcW w:w="2139" w:type="dxa"/>
            <w:shd w:val="clear" w:color="auto" w:fill="FFFFFF"/>
            <w:noWrap w:val="0"/>
            <w:vAlign w:val="center"/>
          </w:tcPr>
          <w:p w14:paraId="33F27434">
            <w:pPr>
              <w:keepNext w:val="0"/>
              <w:keepLines w:val="0"/>
              <w:suppressLineNumbers w:val="0"/>
              <w:snapToGrid w:val="0"/>
              <w:spacing w:before="0" w:beforeAutospacing="0" w:after="0" w:afterAutospacing="0"/>
              <w:ind w:left="0" w:right="0"/>
              <w:jc w:val="center"/>
              <w:rPr>
                <w:rFonts w:hint="default" w:ascii="宋体" w:hAnsi="宋体" w:eastAsia="宋体" w:cs="宋体"/>
                <w:sz w:val="24"/>
                <w:highlight w:val="none"/>
              </w:rPr>
            </w:pPr>
            <w:r>
              <w:rPr>
                <w:rFonts w:hint="eastAsia" w:ascii="宋体" w:hAnsi="宋体" w:eastAsia="宋体" w:cs="宋体"/>
                <w:sz w:val="24"/>
                <w:highlight w:val="none"/>
              </w:rPr>
              <w:t>投标截止时间</w:t>
            </w:r>
          </w:p>
        </w:tc>
        <w:tc>
          <w:tcPr>
            <w:tcW w:w="7161" w:type="dxa"/>
            <w:shd w:val="clear" w:color="auto" w:fill="FFFFFF"/>
            <w:noWrap w:val="0"/>
            <w:vAlign w:val="center"/>
          </w:tcPr>
          <w:p w14:paraId="5E6CEE51">
            <w:pPr>
              <w:keepNext w:val="0"/>
              <w:keepLines w:val="0"/>
              <w:suppressLineNumbers w:val="0"/>
              <w:adjustRightInd w:val="0"/>
              <w:snapToGrid w:val="0"/>
              <w:spacing w:before="0" w:beforeAutospacing="0" w:after="0" w:afterAutospacing="0" w:line="320" w:lineRule="exact"/>
              <w:ind w:left="17" w:right="0" w:hanging="16" w:hangingChars="7"/>
              <w:rPr>
                <w:rFonts w:hint="eastAsia" w:ascii="宋体" w:hAnsi="宋体" w:eastAsia="宋体" w:cs="宋体"/>
                <w:sz w:val="24"/>
                <w:highlight w:val="none"/>
              </w:rPr>
            </w:pPr>
            <w:r>
              <w:rPr>
                <w:rFonts w:hint="eastAsia" w:ascii="宋体" w:hAnsi="宋体" w:eastAsia="宋体" w:cs="宋体"/>
                <w:kern w:val="0"/>
                <w:sz w:val="24"/>
                <w:highlight w:val="none"/>
              </w:rPr>
              <w:t>2024年</w:t>
            </w:r>
            <w:r>
              <w:rPr>
                <w:rFonts w:hint="eastAsia" w:ascii="宋体" w:hAnsi="宋体" w:eastAsia="宋体" w:cs="宋体"/>
                <w:kern w:val="0"/>
                <w:sz w:val="24"/>
                <w:highlight w:val="none"/>
                <w:lang w:val="en-US" w:eastAsia="zh-CN"/>
              </w:rPr>
              <w:t>12</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26</w:t>
            </w:r>
            <w:r>
              <w:rPr>
                <w:rFonts w:hint="eastAsia" w:ascii="宋体" w:hAnsi="宋体" w:eastAsia="宋体" w:cs="宋体"/>
                <w:kern w:val="0"/>
                <w:sz w:val="24"/>
                <w:highlight w:val="none"/>
              </w:rPr>
              <w:t>日</w:t>
            </w:r>
            <w:r>
              <w:rPr>
                <w:rFonts w:hint="eastAsia" w:ascii="宋体" w:hAnsi="宋体" w:eastAsia="宋体" w:cs="宋体"/>
                <w:kern w:val="0"/>
                <w:sz w:val="24"/>
                <w:highlight w:val="none"/>
                <w:lang w:val="en-US" w:eastAsia="zh-CN"/>
              </w:rPr>
              <w:t>10</w:t>
            </w:r>
            <w:r>
              <w:rPr>
                <w:rFonts w:hint="eastAsia" w:ascii="宋体" w:hAnsi="宋体" w:eastAsia="宋体" w:cs="宋体"/>
                <w:kern w:val="0"/>
                <w:sz w:val="24"/>
                <w:highlight w:val="none"/>
              </w:rPr>
              <w:t xml:space="preserve">时 </w:t>
            </w:r>
            <w:r>
              <w:rPr>
                <w:rFonts w:hint="eastAsia" w:ascii="宋体" w:hAnsi="宋体" w:eastAsia="宋体" w:cs="宋体"/>
                <w:kern w:val="0"/>
                <w:sz w:val="24"/>
                <w:highlight w:val="none"/>
                <w:lang w:val="en-US" w:eastAsia="zh-CN"/>
              </w:rPr>
              <w:t>0</w:t>
            </w:r>
            <w:r>
              <w:rPr>
                <w:rFonts w:hint="eastAsia" w:ascii="宋体" w:hAnsi="宋体" w:eastAsia="宋体" w:cs="宋体"/>
                <w:kern w:val="0"/>
                <w:sz w:val="24"/>
                <w:highlight w:val="none"/>
              </w:rPr>
              <w:t>0 分</w:t>
            </w:r>
          </w:p>
        </w:tc>
      </w:tr>
      <w:tr w14:paraId="09AB70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49255548">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18</w:t>
            </w:r>
          </w:p>
        </w:tc>
        <w:tc>
          <w:tcPr>
            <w:tcW w:w="2139" w:type="dxa"/>
            <w:shd w:val="clear" w:color="auto" w:fill="FFFFFF"/>
            <w:noWrap w:val="0"/>
            <w:vAlign w:val="center"/>
          </w:tcPr>
          <w:p w14:paraId="0A5A04D0">
            <w:pPr>
              <w:keepNext w:val="0"/>
              <w:keepLines w:val="0"/>
              <w:suppressLineNumbers w:val="0"/>
              <w:snapToGrid w:val="0"/>
              <w:spacing w:before="0" w:beforeAutospacing="0" w:after="0" w:afterAutospacing="0"/>
              <w:ind w:left="0" w:right="0"/>
              <w:jc w:val="center"/>
              <w:rPr>
                <w:rFonts w:hint="eastAsia" w:ascii="宋体" w:hAnsi="宋体" w:eastAsia="宋体" w:cs="等线"/>
                <w:sz w:val="24"/>
                <w:highlight w:val="none"/>
              </w:rPr>
            </w:pPr>
            <w:r>
              <w:rPr>
                <w:rFonts w:hint="eastAsia" w:ascii="宋体" w:hAnsi="宋体" w:eastAsia="宋体" w:cs="等线"/>
                <w:sz w:val="24"/>
                <w:highlight w:val="none"/>
              </w:rPr>
              <w:t>开标程序</w:t>
            </w:r>
          </w:p>
        </w:tc>
        <w:tc>
          <w:tcPr>
            <w:tcW w:w="7161" w:type="dxa"/>
            <w:shd w:val="clear" w:color="auto" w:fill="FFFFFF"/>
            <w:noWrap w:val="0"/>
            <w:vAlign w:val="center"/>
          </w:tcPr>
          <w:p w14:paraId="27849D92">
            <w:pPr>
              <w:keepNext w:val="0"/>
              <w:keepLines w:val="0"/>
              <w:suppressLineNumbers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等线"/>
                <w:sz w:val="24"/>
                <w:highlight w:val="none"/>
              </w:rPr>
              <w:t>1.采购代理机构开启解密流程，供应商应在</w:t>
            </w:r>
            <w:r>
              <w:rPr>
                <w:rFonts w:hint="eastAsia" w:ascii="宋体" w:hAnsi="宋体" w:eastAsia="宋体" w:cs="等线"/>
                <w:sz w:val="24"/>
                <w:highlight w:val="none"/>
                <w:u w:val="single"/>
              </w:rPr>
              <w:t>30</w:t>
            </w:r>
            <w:r>
              <w:rPr>
                <w:rFonts w:hint="eastAsia" w:ascii="宋体" w:hAnsi="宋体" w:eastAsia="宋体" w:cs="等线"/>
                <w:sz w:val="24"/>
                <w:highlight w:val="none"/>
              </w:rPr>
              <w:t>分钟内完成解密。供应商在规定的时间内都已完成解密，则系统自动结束解密；供应商超过解密</w:t>
            </w:r>
            <w:r>
              <w:rPr>
                <w:rFonts w:hint="eastAsia" w:ascii="宋体" w:hAnsi="宋体" w:eastAsia="宋体" w:cs="宋体"/>
                <w:sz w:val="24"/>
                <w:highlight w:val="none"/>
              </w:rPr>
              <w:t>时限</w:t>
            </w:r>
            <w:r>
              <w:rPr>
                <w:rFonts w:hint="eastAsia" w:ascii="宋体" w:hAnsi="宋体" w:eastAsia="宋体" w:cs="等线"/>
                <w:sz w:val="24"/>
                <w:highlight w:val="none"/>
              </w:rPr>
              <w:t>，默认自动放弃；</w:t>
            </w:r>
          </w:p>
          <w:p w14:paraId="755C6093">
            <w:pPr>
              <w:keepNext w:val="0"/>
              <w:keepLines w:val="0"/>
              <w:suppressLineNumbers w:val="0"/>
              <w:adjustRightInd w:val="0"/>
              <w:snapToGrid w:val="0"/>
              <w:spacing w:before="0" w:beforeAutospacing="0" w:after="0" w:afterAutospacing="0" w:line="360" w:lineRule="auto"/>
              <w:ind w:left="17" w:right="0" w:hanging="16" w:hangingChars="7"/>
              <w:rPr>
                <w:rFonts w:hint="eastAsia" w:ascii="宋体" w:hAnsi="宋体" w:eastAsia="宋体" w:cs="等线"/>
                <w:sz w:val="24"/>
                <w:highlight w:val="none"/>
              </w:rPr>
            </w:pPr>
            <w:r>
              <w:rPr>
                <w:rFonts w:hint="eastAsia" w:ascii="宋体" w:hAnsi="宋体" w:eastAsia="宋体" w:cs="等线"/>
                <w:sz w:val="24"/>
                <w:highlight w:val="none"/>
              </w:rPr>
              <w:t>2.解密不成功时，如投标供应商已按规定递交了“备份响应文件”的，采购代理机构对备份响应文件上传解密；</w:t>
            </w:r>
          </w:p>
          <w:p w14:paraId="2A55649B">
            <w:pPr>
              <w:keepNext w:val="0"/>
              <w:keepLines w:val="0"/>
              <w:suppressLineNumbers w:val="0"/>
              <w:adjustRightInd w:val="0"/>
              <w:snapToGrid w:val="0"/>
              <w:spacing w:before="0" w:beforeAutospacing="0" w:after="0" w:afterAutospacing="0" w:line="360" w:lineRule="auto"/>
              <w:ind w:left="17" w:right="0" w:hanging="16" w:hangingChars="7"/>
              <w:rPr>
                <w:rFonts w:hint="eastAsia" w:ascii="宋体" w:hAnsi="宋体" w:eastAsia="宋体" w:cs="等线"/>
                <w:sz w:val="24"/>
                <w:highlight w:val="none"/>
              </w:rPr>
            </w:pPr>
            <w:r>
              <w:rPr>
                <w:rFonts w:hint="eastAsia" w:ascii="宋体" w:hAnsi="宋体" w:eastAsia="宋体" w:cs="等线"/>
                <w:sz w:val="24"/>
                <w:highlight w:val="none"/>
              </w:rPr>
              <w:t>3.采购代理机构开启标书成功后进入开评标流程。</w:t>
            </w:r>
          </w:p>
          <w:p w14:paraId="556E62AC">
            <w:pPr>
              <w:pStyle w:val="18"/>
              <w:keepNext w:val="0"/>
              <w:keepLines w:val="0"/>
              <w:suppressLineNumbers w:val="0"/>
              <w:spacing w:before="0" w:beforeAutospacing="0" w:after="0" w:afterAutospacing="0" w:line="360" w:lineRule="auto"/>
              <w:ind w:left="0" w:leftChars="0" w:right="0"/>
              <w:rPr>
                <w:rFonts w:hint="eastAsia" w:ascii="宋体" w:hAnsi="宋体" w:eastAsia="宋体" w:cs="等线"/>
                <w:sz w:val="24"/>
                <w:highlight w:val="none"/>
              </w:rPr>
            </w:pPr>
            <w:r>
              <w:rPr>
                <w:rFonts w:hint="eastAsia" w:ascii="宋体" w:hAnsi="宋体" w:eastAsia="宋体" w:cs="等线"/>
                <w:sz w:val="24"/>
                <w:highlight w:val="none"/>
              </w:rPr>
              <w:t>4.当电子评标无法正常进行时，即转为线下评标。</w:t>
            </w:r>
          </w:p>
        </w:tc>
      </w:tr>
      <w:tr w14:paraId="5D93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1" w:hRule="atLeast"/>
          <w:jc w:val="center"/>
        </w:trPr>
        <w:tc>
          <w:tcPr>
            <w:tcW w:w="667" w:type="dxa"/>
            <w:shd w:val="clear" w:color="auto" w:fill="FFFFFF"/>
            <w:noWrap w:val="0"/>
            <w:vAlign w:val="center"/>
          </w:tcPr>
          <w:p w14:paraId="704412B9">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19</w:t>
            </w:r>
          </w:p>
        </w:tc>
        <w:tc>
          <w:tcPr>
            <w:tcW w:w="2139" w:type="dxa"/>
            <w:shd w:val="clear" w:color="auto" w:fill="FFFFFF"/>
            <w:noWrap w:val="0"/>
            <w:vAlign w:val="center"/>
          </w:tcPr>
          <w:p w14:paraId="117BC8B4">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评标委员会</w:t>
            </w:r>
          </w:p>
        </w:tc>
        <w:tc>
          <w:tcPr>
            <w:tcW w:w="7161" w:type="dxa"/>
            <w:shd w:val="clear" w:color="auto" w:fill="FFFFFF"/>
            <w:noWrap w:val="0"/>
            <w:vAlign w:val="center"/>
          </w:tcPr>
          <w:p w14:paraId="4FE84B3A">
            <w:pPr>
              <w:keepNext w:val="0"/>
              <w:keepLines w:val="0"/>
              <w:suppressLineNumbers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宋体"/>
                <w:sz w:val="24"/>
                <w:highlight w:val="none"/>
              </w:rPr>
              <w:t>评标委员会由采购单位依法组建，人数为3人及以上单数,其中采购单位代表不超过三分之一。</w:t>
            </w:r>
          </w:p>
        </w:tc>
      </w:tr>
      <w:tr w14:paraId="4E95B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67" w:type="dxa"/>
            <w:shd w:val="clear" w:color="auto" w:fill="FFFFFF"/>
            <w:noWrap w:val="0"/>
            <w:vAlign w:val="center"/>
          </w:tcPr>
          <w:p w14:paraId="077F9861">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20</w:t>
            </w:r>
          </w:p>
        </w:tc>
        <w:tc>
          <w:tcPr>
            <w:tcW w:w="2139" w:type="dxa"/>
            <w:shd w:val="clear" w:color="auto" w:fill="FFFFFF"/>
            <w:noWrap w:val="0"/>
            <w:vAlign w:val="center"/>
          </w:tcPr>
          <w:p w14:paraId="419C3C40">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是否述标</w:t>
            </w:r>
          </w:p>
        </w:tc>
        <w:tc>
          <w:tcPr>
            <w:tcW w:w="7161" w:type="dxa"/>
            <w:shd w:val="clear" w:color="auto" w:fill="FFFFFF"/>
            <w:noWrap w:val="0"/>
            <w:vAlign w:val="center"/>
          </w:tcPr>
          <w:p w14:paraId="095BC5D9">
            <w:pPr>
              <w:keepNext w:val="0"/>
              <w:keepLines w:val="0"/>
              <w:suppressLineNumbers w:val="0"/>
              <w:snapToGrid w:val="0"/>
              <w:spacing w:before="48" w:beforeLines="20" w:beforeAutospacing="0" w:after="48" w:afterLines="20" w:afterAutospacing="0" w:line="360" w:lineRule="auto"/>
              <w:ind w:left="0" w:right="281" w:rightChars="134"/>
              <w:rPr>
                <w:rFonts w:hint="eastAsia" w:ascii="宋体" w:hAnsi="宋体" w:eastAsia="宋体" w:cs="宋体"/>
                <w:sz w:val="24"/>
                <w:highlight w:val="none"/>
              </w:rPr>
            </w:pPr>
            <w:r>
              <w:rPr>
                <w:rFonts w:hint="eastAsia" w:ascii="MS Gothic" w:hAnsi="MS Gothic" w:eastAsia="MS Gothic" w:cs="MS Gothic"/>
                <w:sz w:val="24"/>
                <w:highlight w:val="none"/>
              </w:rPr>
              <w:t>☑</w:t>
            </w:r>
            <w:r>
              <w:rPr>
                <w:rFonts w:hint="eastAsia" w:ascii="宋体" w:hAnsi="宋体" w:eastAsia="宋体" w:cs="宋体"/>
                <w:sz w:val="24"/>
                <w:highlight w:val="none"/>
              </w:rPr>
              <w:t>否。</w:t>
            </w:r>
          </w:p>
          <w:p w14:paraId="00E15D12">
            <w:pPr>
              <w:keepNext w:val="0"/>
              <w:keepLines w:val="0"/>
              <w:suppressLineNumbers w:val="0"/>
              <w:snapToGrid w:val="0"/>
              <w:spacing w:before="0" w:beforeAutospacing="0" w:after="0" w:afterAutospacing="0" w:line="360" w:lineRule="auto"/>
              <w:ind w:left="0" w:right="-109" w:rightChars="-52" w:firstLine="24" w:firstLineChars="10"/>
              <w:rPr>
                <w:rFonts w:hint="eastAsia" w:ascii="宋体" w:hAnsi="宋体" w:eastAsia="宋体" w:cs="宋体"/>
                <w:sz w:val="24"/>
                <w:highlight w:val="none"/>
              </w:rPr>
            </w:pPr>
            <w:r>
              <w:rPr>
                <w:rFonts w:hint="eastAsia" w:ascii="宋体" w:hAnsi="宋体" w:eastAsia="宋体" w:cs="宋体"/>
                <w:sz w:val="24"/>
                <w:highlight w:val="none"/>
              </w:rPr>
              <w:t>□是：</w:t>
            </w:r>
          </w:p>
          <w:p w14:paraId="44F3FD3C">
            <w:pPr>
              <w:pStyle w:val="19"/>
              <w:keepNext w:val="0"/>
              <w:keepLines w:val="0"/>
              <w:suppressLineNumbers w:val="0"/>
              <w:spacing w:before="0" w:beforeAutospacing="0" w:after="0" w:afterAutospacing="0" w:line="360" w:lineRule="auto"/>
              <w:ind w:left="199" w:leftChars="95" w:right="0" w:firstLine="0" w:firstLineChars="0"/>
              <w:rPr>
                <w:rFonts w:hint="eastAsia" w:ascii="宋体" w:hAnsi="宋体" w:eastAsia="宋体" w:cs="宋体"/>
                <w:sz w:val="24"/>
                <w:highlight w:val="none"/>
              </w:rPr>
            </w:pPr>
            <w:r>
              <w:rPr>
                <w:rFonts w:hint="eastAsia" w:ascii="宋体" w:hAnsi="宋体" w:eastAsia="宋体" w:cs="宋体"/>
                <w:sz w:val="24"/>
                <w:highlight w:val="none"/>
              </w:rPr>
              <w:t>在评标期间，将被安排</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分钟的述标和</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分钟的答疑时间，供应商必须由拟派□项目负责人□项目组成员进行述标和答疑。</w:t>
            </w:r>
          </w:p>
        </w:tc>
      </w:tr>
      <w:tr w14:paraId="37667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7" w:type="dxa"/>
            <w:shd w:val="clear" w:color="auto" w:fill="FFFFFF"/>
            <w:noWrap w:val="0"/>
            <w:vAlign w:val="center"/>
          </w:tcPr>
          <w:p w14:paraId="43597690">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21</w:t>
            </w:r>
          </w:p>
        </w:tc>
        <w:tc>
          <w:tcPr>
            <w:tcW w:w="2139" w:type="dxa"/>
            <w:shd w:val="clear" w:color="auto" w:fill="FFFFFF"/>
            <w:noWrap w:val="0"/>
            <w:vAlign w:val="center"/>
          </w:tcPr>
          <w:p w14:paraId="40CCB633">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评标办法</w:t>
            </w:r>
          </w:p>
        </w:tc>
        <w:tc>
          <w:tcPr>
            <w:tcW w:w="7161" w:type="dxa"/>
            <w:shd w:val="clear" w:color="auto" w:fill="FFFFFF"/>
            <w:noWrap w:val="0"/>
            <w:vAlign w:val="center"/>
          </w:tcPr>
          <w:p w14:paraId="52B81BF2">
            <w:pPr>
              <w:keepNext w:val="0"/>
              <w:keepLines w:val="0"/>
              <w:suppressLineNumbers w:val="0"/>
              <w:spacing w:before="0" w:beforeAutospacing="0" w:after="0" w:afterAutospacing="0"/>
              <w:ind w:left="0" w:right="-109" w:rightChars="-52" w:firstLine="24" w:firstLineChars="10"/>
              <w:rPr>
                <w:rFonts w:hint="eastAsia" w:ascii="宋体" w:hAnsi="宋体" w:eastAsia="宋体" w:cs="宋体"/>
                <w:sz w:val="24"/>
                <w:highlight w:val="none"/>
              </w:rPr>
            </w:pPr>
            <w:r>
              <w:rPr>
                <w:rFonts w:hint="eastAsia" w:ascii="MS Gothic" w:hAnsi="MS Gothic" w:eastAsia="MS Gothic" w:cs="MS Gothic"/>
                <w:sz w:val="24"/>
                <w:highlight w:val="none"/>
              </w:rPr>
              <w:t>☑</w:t>
            </w:r>
            <w:r>
              <w:rPr>
                <w:rFonts w:hint="eastAsia" w:ascii="宋体" w:hAnsi="宋体" w:eastAsia="宋体" w:cs="宋体"/>
                <w:sz w:val="24"/>
                <w:highlight w:val="none"/>
              </w:rPr>
              <w:t xml:space="preserve">综合评分法；□最低价中标法； </w:t>
            </w:r>
          </w:p>
        </w:tc>
      </w:tr>
      <w:tr w14:paraId="318162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2" w:hRule="atLeast"/>
          <w:jc w:val="center"/>
        </w:trPr>
        <w:tc>
          <w:tcPr>
            <w:tcW w:w="667" w:type="dxa"/>
            <w:shd w:val="clear" w:color="auto" w:fill="FFFFFF"/>
            <w:noWrap w:val="0"/>
            <w:vAlign w:val="center"/>
          </w:tcPr>
          <w:p w14:paraId="540D970E">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22</w:t>
            </w:r>
          </w:p>
        </w:tc>
        <w:tc>
          <w:tcPr>
            <w:tcW w:w="2139" w:type="dxa"/>
            <w:shd w:val="clear" w:color="auto" w:fill="FFFFFF"/>
            <w:noWrap w:val="0"/>
            <w:vAlign w:val="center"/>
          </w:tcPr>
          <w:p w14:paraId="6E7FDA1E">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最高限价</w:t>
            </w:r>
          </w:p>
        </w:tc>
        <w:tc>
          <w:tcPr>
            <w:tcW w:w="7161" w:type="dxa"/>
            <w:shd w:val="clear" w:color="auto" w:fill="FFFFFF"/>
            <w:noWrap w:val="0"/>
            <w:vAlign w:val="center"/>
          </w:tcPr>
          <w:p w14:paraId="011504B0">
            <w:pPr>
              <w:pStyle w:val="7"/>
              <w:keepNext w:val="0"/>
              <w:keepLines w:val="0"/>
              <w:numPr>
                <w:ilvl w:val="0"/>
                <w:numId w:val="5"/>
              </w:numPr>
              <w:suppressLineNumbers w:val="0"/>
              <w:spacing w:before="0" w:beforeAutospacing="0" w:after="0" w:afterAutospacing="0" w:line="360" w:lineRule="auto"/>
              <w:ind w:left="0" w:right="0"/>
              <w:rPr>
                <w:rFonts w:hint="eastAsia" w:ascii="宋体" w:hAnsi="宋体" w:eastAsia="等线" w:cs="宋体"/>
                <w:szCs w:val="21"/>
                <w:highlight w:val="none"/>
              </w:rPr>
            </w:pPr>
            <w:r>
              <w:rPr>
                <w:rFonts w:hint="eastAsia" w:ascii="宋体" w:hAnsi="宋体" w:eastAsia="等线" w:cs="宋体"/>
                <w:szCs w:val="21"/>
                <w:highlight w:val="none"/>
              </w:rPr>
              <w:t>报价结构应包含基础费用及风险代理费，基础费用</w:t>
            </w:r>
            <w:r>
              <w:rPr>
                <w:rFonts w:hint="eastAsia" w:ascii="宋体" w:hAnsi="宋体" w:eastAsia="等线" w:cs="宋体"/>
                <w:szCs w:val="21"/>
                <w:highlight w:val="none"/>
                <w:lang w:val="en-US" w:eastAsia="zh-CN"/>
              </w:rPr>
              <w:t>案件一不超过32万，案件二不超过2.8万，合计</w:t>
            </w:r>
            <w:r>
              <w:rPr>
                <w:rFonts w:hint="eastAsia" w:ascii="宋体" w:hAnsi="宋体" w:eastAsia="等线" w:cs="宋体"/>
                <w:szCs w:val="21"/>
                <w:highlight w:val="none"/>
              </w:rPr>
              <w:t>不超过</w:t>
            </w:r>
            <w:r>
              <w:rPr>
                <w:rFonts w:hint="eastAsia" w:ascii="宋体" w:hAnsi="宋体" w:eastAsia="等线" w:cs="宋体"/>
                <w:szCs w:val="21"/>
                <w:highlight w:val="none"/>
                <w:lang w:val="en-US" w:eastAsia="zh-CN"/>
              </w:rPr>
              <w:t>34.8</w:t>
            </w:r>
            <w:r>
              <w:rPr>
                <w:rFonts w:hint="eastAsia" w:ascii="宋体" w:hAnsi="宋体" w:eastAsia="等线" w:cs="宋体"/>
                <w:szCs w:val="21"/>
                <w:highlight w:val="none"/>
              </w:rPr>
              <w:t>万元，风险费率不超过</w:t>
            </w:r>
            <w:r>
              <w:rPr>
                <w:rFonts w:hint="eastAsia" w:ascii="宋体" w:hAnsi="宋体" w:eastAsia="等线" w:cs="宋体"/>
                <w:szCs w:val="21"/>
                <w:highlight w:val="none"/>
                <w:lang w:val="en-US" w:eastAsia="zh-CN"/>
              </w:rPr>
              <w:t>10</w:t>
            </w:r>
            <w:r>
              <w:rPr>
                <w:rFonts w:hint="eastAsia" w:ascii="宋体" w:hAnsi="宋体" w:eastAsia="等线" w:cs="宋体"/>
                <w:szCs w:val="21"/>
                <w:highlight w:val="none"/>
              </w:rPr>
              <w:t>‰</w:t>
            </w:r>
            <w:r>
              <w:rPr>
                <w:rFonts w:hint="eastAsia" w:ascii="宋体" w:hAnsi="宋体" w:eastAsia="等线" w:cs="宋体"/>
                <w:szCs w:val="21"/>
                <w:highlight w:val="none"/>
                <w:lang w:val="en-US" w:eastAsia="zh-CN"/>
              </w:rPr>
              <w:t>且案件一不超过20万，案件二不超过3.2万合计</w:t>
            </w:r>
            <w:r>
              <w:rPr>
                <w:rFonts w:hint="eastAsia" w:ascii="宋体" w:hAnsi="宋体" w:eastAsia="等线" w:cs="宋体"/>
                <w:szCs w:val="21"/>
                <w:highlight w:val="none"/>
              </w:rPr>
              <w:t>不超过</w:t>
            </w:r>
            <w:r>
              <w:rPr>
                <w:rFonts w:hint="eastAsia" w:ascii="宋体" w:hAnsi="宋体" w:eastAsia="等线" w:cs="宋体"/>
                <w:szCs w:val="21"/>
                <w:highlight w:val="none"/>
                <w:lang w:val="en-US" w:eastAsia="zh-CN"/>
              </w:rPr>
              <w:t>23.2</w:t>
            </w:r>
            <w:r>
              <w:rPr>
                <w:rFonts w:hint="eastAsia" w:ascii="宋体" w:hAnsi="宋体" w:eastAsia="等线" w:cs="宋体"/>
                <w:szCs w:val="21"/>
                <w:highlight w:val="none"/>
              </w:rPr>
              <w:t>万元，全部总额（基础费用+风险代理费）不超过</w:t>
            </w:r>
            <w:r>
              <w:rPr>
                <w:rFonts w:hint="eastAsia" w:ascii="宋体" w:hAnsi="宋体" w:eastAsia="等线" w:cs="宋体"/>
                <w:szCs w:val="21"/>
                <w:highlight w:val="none"/>
                <w:lang w:val="en-US" w:eastAsia="zh-CN"/>
              </w:rPr>
              <w:t>58</w:t>
            </w:r>
            <w:r>
              <w:rPr>
                <w:rFonts w:hint="eastAsia" w:ascii="宋体" w:hAnsi="宋体" w:eastAsia="等线" w:cs="宋体"/>
                <w:szCs w:val="21"/>
                <w:highlight w:val="none"/>
              </w:rPr>
              <w:t>万元。</w:t>
            </w:r>
          </w:p>
          <w:p w14:paraId="24B5F80F">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报价超过最高限价的按无效标处理。</w:t>
            </w:r>
          </w:p>
        </w:tc>
      </w:tr>
      <w:tr w14:paraId="6BDCE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7" w:type="dxa"/>
            <w:shd w:val="clear" w:color="auto" w:fill="FFFFFF"/>
            <w:noWrap w:val="0"/>
            <w:vAlign w:val="center"/>
          </w:tcPr>
          <w:p w14:paraId="343AB11B">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23</w:t>
            </w:r>
          </w:p>
        </w:tc>
        <w:tc>
          <w:tcPr>
            <w:tcW w:w="2139" w:type="dxa"/>
            <w:shd w:val="clear" w:color="auto" w:fill="FFFFFF"/>
            <w:noWrap w:val="0"/>
            <w:vAlign w:val="center"/>
          </w:tcPr>
          <w:p w14:paraId="21D15103">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公告网站</w:t>
            </w:r>
          </w:p>
        </w:tc>
        <w:tc>
          <w:tcPr>
            <w:tcW w:w="7161" w:type="dxa"/>
            <w:shd w:val="clear" w:color="auto" w:fill="FFFFFF"/>
            <w:noWrap w:val="0"/>
            <w:vAlign w:val="center"/>
          </w:tcPr>
          <w:p w14:paraId="73F08ABC">
            <w:pPr>
              <w:keepNext w:val="0"/>
              <w:keepLines w:val="0"/>
              <w:suppressLineNumbers w:val="0"/>
              <w:spacing w:before="0" w:beforeAutospacing="0" w:after="0" w:afterAutospacing="0" w:line="360" w:lineRule="auto"/>
              <w:ind w:left="0" w:right="0"/>
              <w:jc w:val="left"/>
              <w:rPr>
                <w:rFonts w:hint="eastAsia" w:ascii="宋体" w:hAnsi="宋体" w:eastAsia="宋体" w:cs="宋体"/>
                <w:sz w:val="24"/>
                <w:highlight w:val="none"/>
              </w:rPr>
            </w:pPr>
            <w:r>
              <w:rPr>
                <w:rFonts w:hint="eastAsia" w:ascii="宋体" w:hAnsi="宋体" w:eastAsia="宋体" w:cs="等线"/>
                <w:sz w:val="24"/>
                <w:highlight w:val="none"/>
                <w:u w:val="single"/>
              </w:rPr>
              <w:t>杭州交投集中采购平台（cg.zjhzjtjt.com/）</w:t>
            </w:r>
          </w:p>
        </w:tc>
      </w:tr>
      <w:tr w14:paraId="3913B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6" w:hRule="atLeast"/>
          <w:jc w:val="center"/>
        </w:trPr>
        <w:tc>
          <w:tcPr>
            <w:tcW w:w="667" w:type="dxa"/>
            <w:shd w:val="clear" w:color="auto" w:fill="FFFFFF"/>
            <w:noWrap w:val="0"/>
            <w:vAlign w:val="center"/>
          </w:tcPr>
          <w:p w14:paraId="47A09886">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24</w:t>
            </w:r>
          </w:p>
        </w:tc>
        <w:tc>
          <w:tcPr>
            <w:tcW w:w="2139" w:type="dxa"/>
            <w:shd w:val="clear" w:color="auto" w:fill="FFFFFF"/>
            <w:noWrap w:val="0"/>
            <w:vAlign w:val="center"/>
          </w:tcPr>
          <w:p w14:paraId="1B316CDD">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中标候选人数</w:t>
            </w:r>
          </w:p>
        </w:tc>
        <w:tc>
          <w:tcPr>
            <w:tcW w:w="7161" w:type="dxa"/>
            <w:shd w:val="clear" w:color="auto" w:fill="FFFFFF"/>
            <w:noWrap w:val="0"/>
            <w:vAlign w:val="center"/>
          </w:tcPr>
          <w:p w14:paraId="30BEFB25">
            <w:pPr>
              <w:keepNext w:val="0"/>
              <w:keepLines w:val="0"/>
              <w:suppressLineNumbers w:val="0"/>
              <w:spacing w:before="0" w:beforeAutospacing="0" w:after="0" w:afterAutospacing="0"/>
              <w:ind w:left="0" w:right="-109" w:rightChars="-52" w:firstLine="24" w:firstLineChars="10"/>
              <w:rPr>
                <w:rFonts w:hint="eastAsia" w:ascii="宋体" w:hAnsi="宋体" w:eastAsia="宋体" w:cs="宋体"/>
                <w:sz w:val="24"/>
                <w:highlight w:val="none"/>
              </w:rPr>
            </w:pPr>
            <w:r>
              <w:rPr>
                <w:rFonts w:hint="eastAsia" w:ascii="宋体" w:hAnsi="宋体" w:eastAsia="宋体" w:cs="宋体"/>
                <w:sz w:val="24"/>
                <w:highlight w:val="none"/>
              </w:rPr>
              <w:t>评标委员会推荐的中标候选人数：</w:t>
            </w:r>
            <w:r>
              <w:rPr>
                <w:rFonts w:hint="eastAsia" w:ascii="宋体" w:hAnsi="宋体" w:eastAsia="宋体" w:cs="宋体"/>
                <w:sz w:val="24"/>
                <w:highlight w:val="none"/>
                <w:u w:val="single"/>
              </w:rPr>
              <w:t>1</w:t>
            </w:r>
          </w:p>
        </w:tc>
      </w:tr>
      <w:tr w14:paraId="34CD3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2DBFA026">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25</w:t>
            </w:r>
          </w:p>
        </w:tc>
        <w:tc>
          <w:tcPr>
            <w:tcW w:w="2139" w:type="dxa"/>
            <w:shd w:val="clear" w:color="auto" w:fill="FFFFFF"/>
            <w:noWrap w:val="0"/>
            <w:vAlign w:val="center"/>
          </w:tcPr>
          <w:p w14:paraId="5507E8DC">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采购代理服务费</w:t>
            </w:r>
          </w:p>
        </w:tc>
        <w:tc>
          <w:tcPr>
            <w:tcW w:w="7161" w:type="dxa"/>
            <w:shd w:val="clear" w:color="auto" w:fill="FFFFFF"/>
            <w:noWrap w:val="0"/>
            <w:vAlign w:val="center"/>
          </w:tcPr>
          <w:p w14:paraId="0FA3F7DC">
            <w:pPr>
              <w:keepNext w:val="0"/>
              <w:keepLines w:val="0"/>
              <w:suppressLineNumbers w:val="0"/>
              <w:spacing w:before="0" w:beforeAutospacing="0" w:after="0" w:afterAutospacing="0" w:line="360" w:lineRule="auto"/>
              <w:ind w:left="0" w:right="0"/>
              <w:rPr>
                <w:rFonts w:hint="eastAsia" w:ascii="宋体" w:hAnsi="宋体" w:eastAsia="宋体" w:cs="等线"/>
                <w:sz w:val="24"/>
                <w:highlight w:val="none"/>
              </w:rPr>
            </w:pPr>
            <w:r>
              <w:rPr>
                <w:rFonts w:hint="eastAsia" w:ascii="宋体" w:hAnsi="宋体" w:eastAsia="宋体" w:cs="等线"/>
                <w:sz w:val="24"/>
                <w:highlight w:val="none"/>
              </w:rPr>
              <w:t>采购代理服务费由</w:t>
            </w:r>
            <w:r>
              <w:rPr>
                <w:rFonts w:hint="eastAsia" w:ascii="宋体" w:hAnsi="宋体" w:eastAsia="宋体" w:cs="等线"/>
                <w:sz w:val="24"/>
                <w:highlight w:val="none"/>
                <w:lang w:eastAsia="zh-CN"/>
              </w:rPr>
              <w:t>☑</w:t>
            </w:r>
            <w:r>
              <w:rPr>
                <w:rFonts w:hint="eastAsia" w:ascii="宋体" w:hAnsi="宋体" w:eastAsia="宋体" w:cs="等线"/>
                <w:sz w:val="24"/>
                <w:highlight w:val="none"/>
              </w:rPr>
              <w:t>中标人</w:t>
            </w:r>
            <w:r>
              <w:rPr>
                <w:rFonts w:hint="eastAsia" w:ascii="MS Gothic" w:hAnsi="MS Gothic" w:eastAsia="宋体" w:cs="MS Gothic"/>
                <w:sz w:val="24"/>
                <w:highlight w:val="none"/>
                <w:lang w:eastAsia="zh-CN"/>
              </w:rPr>
              <w:t>□</w:t>
            </w:r>
            <w:r>
              <w:rPr>
                <w:rFonts w:hint="eastAsia" w:ascii="宋体" w:hAnsi="宋体" w:eastAsia="宋体" w:cs="等线"/>
                <w:sz w:val="24"/>
                <w:highlight w:val="none"/>
              </w:rPr>
              <w:t>采购单位支付。</w:t>
            </w:r>
          </w:p>
          <w:p w14:paraId="0C69200F">
            <w:pPr>
              <w:keepNext w:val="0"/>
              <w:keepLines w:val="0"/>
              <w:suppressLineNumbers w:val="0"/>
              <w:spacing w:before="0" w:beforeAutospacing="0" w:after="0" w:afterAutospacing="0" w:line="360" w:lineRule="auto"/>
              <w:ind w:left="0" w:right="0"/>
              <w:rPr>
                <w:rFonts w:hint="eastAsia" w:ascii="宋体" w:hAnsi="宋体" w:eastAsia="宋体" w:cs="Times New Roman"/>
                <w:sz w:val="24"/>
                <w:highlight w:val="none"/>
              </w:rPr>
            </w:pPr>
            <w:r>
              <w:rPr>
                <w:rFonts w:hint="eastAsia" w:ascii="宋体" w:hAnsi="宋体" w:eastAsia="宋体" w:cs="Times New Roman"/>
                <w:sz w:val="24"/>
                <w:highlight w:val="none"/>
              </w:rPr>
              <w:t>（1）采购代理服务收费标准以预算价为计算基数，按国家计委计价格（2002）1980号《招标代理服务收费管理暂行办法》及国家发改委发改价格（2011）534 号文件规定计取。</w:t>
            </w:r>
          </w:p>
          <w:p w14:paraId="29C69AF6">
            <w:pPr>
              <w:keepNext w:val="0"/>
              <w:keepLines w:val="0"/>
              <w:suppressLineNumbers w:val="0"/>
              <w:spacing w:before="0" w:beforeAutospacing="0" w:after="0" w:afterAutospacing="0" w:line="360" w:lineRule="auto"/>
              <w:ind w:left="0" w:right="0"/>
              <w:rPr>
                <w:rFonts w:hint="eastAsia" w:ascii="等线" w:hAnsi="等线" w:eastAsia="等线" w:cs="等线"/>
                <w:highlight w:val="none"/>
              </w:rPr>
            </w:pPr>
            <w:r>
              <w:rPr>
                <w:rFonts w:hint="eastAsia" w:ascii="宋体" w:hAnsi="宋体" w:eastAsia="宋体" w:cs="Times New Roman"/>
                <w:sz w:val="24"/>
                <w:highlight w:val="none"/>
              </w:rPr>
              <w:t>（2）代理报酬的支付时间：招标代理服务费用由中标人收到通知书前，一次性支付给招标代理。</w:t>
            </w:r>
          </w:p>
        </w:tc>
      </w:tr>
      <w:tr w14:paraId="2DB27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2C3A6936">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26</w:t>
            </w:r>
          </w:p>
        </w:tc>
        <w:tc>
          <w:tcPr>
            <w:tcW w:w="2139" w:type="dxa"/>
            <w:shd w:val="clear" w:color="auto" w:fill="FFFFFF"/>
            <w:noWrap w:val="0"/>
            <w:vAlign w:val="center"/>
          </w:tcPr>
          <w:p w14:paraId="07A38581">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质疑、投诉</w:t>
            </w:r>
          </w:p>
        </w:tc>
        <w:tc>
          <w:tcPr>
            <w:tcW w:w="7161" w:type="dxa"/>
            <w:shd w:val="clear" w:color="auto" w:fill="FFFFFF"/>
            <w:noWrap w:val="0"/>
            <w:vAlign w:val="center"/>
          </w:tcPr>
          <w:p w14:paraId="490F8223">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1.供应商质疑</w:t>
            </w:r>
          </w:p>
          <w:p w14:paraId="1005E9F6">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供应商认为采购文件、采购过程和中标结果使自己的权益受到损害的，可以在知道其权益受到损害之日起七个工作日内，以书面形式向采购代理机构提出质疑。</w:t>
            </w:r>
          </w:p>
          <w:p w14:paraId="28DF5580">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2.对</w:t>
            </w:r>
            <w:r>
              <w:rPr>
                <w:rFonts w:hint="eastAsia" w:ascii="宋体" w:hAnsi="宋体" w:eastAsia="宋体" w:cs="宋体"/>
                <w:bCs/>
                <w:snapToGrid w:val="0"/>
                <w:sz w:val="24"/>
                <w:highlight w:val="none"/>
              </w:rPr>
              <w:t>竞标采购邀请书</w:t>
            </w:r>
            <w:r>
              <w:rPr>
                <w:rFonts w:hint="eastAsia" w:ascii="宋体" w:hAnsi="宋体" w:eastAsia="宋体" w:cs="宋体"/>
                <w:sz w:val="24"/>
                <w:highlight w:val="none"/>
              </w:rPr>
              <w:t>信息（含供应商资格条件）提出质疑的，质疑期限自</w:t>
            </w:r>
            <w:r>
              <w:rPr>
                <w:rFonts w:hint="eastAsia" w:ascii="宋体" w:hAnsi="宋体" w:eastAsia="宋体" w:cs="宋体"/>
                <w:bCs/>
                <w:snapToGrid w:val="0"/>
                <w:sz w:val="24"/>
                <w:highlight w:val="none"/>
              </w:rPr>
              <w:t>竞标采购邀请书</w:t>
            </w:r>
            <w:r>
              <w:rPr>
                <w:rFonts w:hint="eastAsia" w:ascii="宋体" w:hAnsi="宋体" w:eastAsia="宋体" w:cs="宋体"/>
                <w:sz w:val="24"/>
                <w:highlight w:val="none"/>
              </w:rPr>
              <w:t>发布之日起计算。</w:t>
            </w:r>
          </w:p>
          <w:p w14:paraId="3B1608FD">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3.对采购结果提出质疑的，质疑期限自采购结果公告（包括公示、预公告、结果变更公告等）之日起计算。</w:t>
            </w:r>
          </w:p>
          <w:p w14:paraId="3D9FD449">
            <w:pPr>
              <w:keepNext w:val="0"/>
              <w:keepLines w:val="0"/>
              <w:numPr>
                <w:ilvl w:val="0"/>
                <w:numId w:val="6"/>
              </w:numPr>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供应商提交质疑书需一式三份，由法定代表人签字（或盖章）并加盖单位公章，质疑书至少应包括下列主要内容：</w:t>
            </w:r>
          </w:p>
          <w:p w14:paraId="115AA678">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（1）质疑人的名称、地址、邮政编码、联系人、联系电话，以及被质疑人名称及联系方式。</w:t>
            </w:r>
          </w:p>
          <w:p w14:paraId="6FF56FF9">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 xml:space="preserve">（2）被质疑采购项目名称、编号及采购内容。                                                                                                                                                                                                                                                                                                                                                                                                                                                                                                                                                                                                                                                                                                                                                                                                                                                                                                                                                                                                                                                                                </w:t>
            </w:r>
          </w:p>
          <w:p w14:paraId="2B4FED26">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（3）具体的质疑事项及事实依据。</w:t>
            </w:r>
          </w:p>
          <w:p w14:paraId="082E3851">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（4）认为自己合法权益受到损害或可能受到损害的相关证据材料。</w:t>
            </w:r>
          </w:p>
          <w:p w14:paraId="71AAEE9B">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（5）提出质疑的日期。</w:t>
            </w:r>
          </w:p>
          <w:p w14:paraId="6A0163AF">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3.采购代理机构应当在收到供应商的书面质疑后七个工作日内作出答复，并以书面形式通知质疑供应商和其他与质疑处理结果有利害关系的采购当事人，但答复的内容不得涉及商业秘密。</w:t>
            </w:r>
          </w:p>
          <w:p w14:paraId="2CD629C5">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4.投诉</w:t>
            </w:r>
          </w:p>
          <w:p w14:paraId="61DD1E58">
            <w:pPr>
              <w:keepNext w:val="0"/>
              <w:keepLines w:val="0"/>
              <w:suppressLineNumbers w:val="0"/>
              <w:spacing w:before="0" w:beforeAutospacing="0" w:after="0" w:afterAutospacing="0" w:line="360" w:lineRule="auto"/>
              <w:ind w:left="0" w:right="0"/>
              <w:rPr>
                <w:rFonts w:hint="eastAsia" w:ascii="宋体" w:hAnsi="宋体" w:eastAsia="宋体" w:cs="宋体"/>
                <w:sz w:val="24"/>
                <w:highlight w:val="none"/>
              </w:rPr>
            </w:pPr>
            <w:r>
              <w:rPr>
                <w:rFonts w:hint="eastAsia" w:ascii="宋体" w:hAnsi="宋体" w:eastAsia="宋体" w:cs="宋体"/>
                <w:sz w:val="24"/>
                <w:highlight w:val="none"/>
              </w:rPr>
              <w:t>供应商对采购代理机构的答复不满意或者采购代理机构未在规定的时间内作出答复的，可以在答复期满后十五个工作日内向同级采购监管部门提出投诉。</w:t>
            </w:r>
          </w:p>
        </w:tc>
      </w:tr>
      <w:tr w14:paraId="7CE8D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1E095080">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27</w:t>
            </w:r>
          </w:p>
        </w:tc>
        <w:tc>
          <w:tcPr>
            <w:tcW w:w="2139" w:type="dxa"/>
            <w:shd w:val="clear" w:color="auto" w:fill="FFFFFF"/>
            <w:noWrap w:val="0"/>
            <w:vAlign w:val="center"/>
          </w:tcPr>
          <w:p w14:paraId="226F3751">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z w:val="24"/>
                <w:highlight w:val="none"/>
              </w:rPr>
              <w:t>注意事项</w:t>
            </w:r>
          </w:p>
        </w:tc>
        <w:tc>
          <w:tcPr>
            <w:tcW w:w="7161" w:type="dxa"/>
            <w:shd w:val="clear" w:color="auto" w:fill="FFFFFF"/>
            <w:noWrap w:val="0"/>
            <w:vAlign w:val="center"/>
          </w:tcPr>
          <w:p w14:paraId="342D4F68">
            <w:pPr>
              <w:keepNext w:val="0"/>
              <w:keepLines w:val="0"/>
              <w:suppressLineNumbers w:val="0"/>
              <w:spacing w:before="0" w:beforeAutospacing="0" w:after="0" w:afterAutospacing="0" w:line="420" w:lineRule="exact"/>
              <w:ind w:left="0" w:right="0"/>
              <w:rPr>
                <w:rFonts w:hint="eastAsia" w:ascii="宋体" w:hAnsi="宋体" w:eastAsia="宋体" w:cs="等线"/>
                <w:sz w:val="24"/>
                <w:highlight w:val="none"/>
              </w:rPr>
            </w:pPr>
            <w:r>
              <w:rPr>
                <w:rFonts w:hint="eastAsia" w:ascii="宋体" w:hAnsi="宋体" w:eastAsia="宋体" w:cs="等线"/>
                <w:sz w:val="24"/>
                <w:highlight w:val="none"/>
              </w:rPr>
              <w:t>1.供应商须知具体内容如与本前附表不一致的，以本前附表为准。</w:t>
            </w:r>
          </w:p>
          <w:p w14:paraId="5ACD01F9">
            <w:pPr>
              <w:keepNext w:val="0"/>
              <w:keepLines w:val="0"/>
              <w:suppressLineNumbers w:val="0"/>
              <w:spacing w:before="0" w:beforeAutospacing="0" w:after="0" w:afterAutospacing="0" w:line="420" w:lineRule="exact"/>
              <w:ind w:left="0" w:right="0"/>
              <w:rPr>
                <w:rFonts w:hint="eastAsia" w:ascii="宋体" w:hAnsi="宋体" w:eastAsia="宋体" w:cs="等线"/>
                <w:sz w:val="24"/>
                <w:highlight w:val="none"/>
              </w:rPr>
            </w:pPr>
            <w:r>
              <w:rPr>
                <w:rFonts w:hint="eastAsia" w:ascii="宋体" w:hAnsi="宋体" w:eastAsia="宋体" w:cs="等线"/>
                <w:sz w:val="24"/>
                <w:highlight w:val="none"/>
              </w:rPr>
              <w:t>2.响应文件编制时需根据采购文件资格要求和评分细则提供资料，并与响应文件目录或索引对应。</w:t>
            </w:r>
          </w:p>
          <w:p w14:paraId="5F19E8A9">
            <w:pPr>
              <w:keepNext w:val="0"/>
              <w:keepLines w:val="0"/>
              <w:suppressLineNumbers w:val="0"/>
              <w:spacing w:before="0" w:beforeAutospacing="0" w:after="0" w:afterAutospacing="0" w:line="420" w:lineRule="exact"/>
              <w:ind w:left="0" w:right="0"/>
              <w:rPr>
                <w:rFonts w:hint="eastAsia" w:ascii="宋体" w:hAnsi="宋体" w:eastAsia="宋体" w:cs="等线"/>
                <w:sz w:val="24"/>
                <w:highlight w:val="none"/>
              </w:rPr>
            </w:pPr>
            <w:r>
              <w:rPr>
                <w:rFonts w:hint="eastAsia" w:ascii="宋体" w:hAnsi="宋体" w:eastAsia="宋体" w:cs="等线"/>
                <w:sz w:val="24"/>
                <w:highlight w:val="none"/>
              </w:rPr>
              <w:t>3.本采购文件所述的“加盖供应商公章”指的是加盖供应商法定名称章，本次采购不接受加盖投标专用章.合同专用章等企业专用章的投标。</w:t>
            </w:r>
          </w:p>
          <w:p w14:paraId="0AB32D19">
            <w:pPr>
              <w:keepNext w:val="0"/>
              <w:keepLines w:val="0"/>
              <w:suppressLineNumbers w:val="0"/>
              <w:spacing w:before="0" w:beforeAutospacing="0" w:after="0" w:afterAutospacing="0" w:line="420" w:lineRule="exact"/>
              <w:ind w:left="0" w:right="0"/>
              <w:rPr>
                <w:rFonts w:hint="eastAsia" w:ascii="宋体" w:hAnsi="宋体" w:eastAsia="宋体" w:cs="等线"/>
                <w:sz w:val="24"/>
                <w:highlight w:val="none"/>
              </w:rPr>
            </w:pPr>
            <w:r>
              <w:rPr>
                <w:rFonts w:hint="eastAsia" w:ascii="宋体" w:hAnsi="宋体" w:eastAsia="宋体" w:cs="等线"/>
                <w:sz w:val="24"/>
                <w:highlight w:val="none"/>
              </w:rPr>
              <w:t>4特别提示：</w:t>
            </w:r>
          </w:p>
          <w:p w14:paraId="4B16133D">
            <w:pPr>
              <w:keepNext w:val="0"/>
              <w:keepLines w:val="0"/>
              <w:suppressLineNumbers w:val="0"/>
              <w:spacing w:before="0" w:beforeAutospacing="0" w:after="0" w:afterAutospacing="0" w:line="420" w:lineRule="exact"/>
              <w:ind w:left="0" w:right="0"/>
              <w:rPr>
                <w:rFonts w:hint="eastAsia" w:ascii="宋体" w:hAnsi="宋体" w:eastAsia="宋体" w:cs="等线"/>
                <w:sz w:val="24"/>
                <w:highlight w:val="none"/>
              </w:rPr>
            </w:pPr>
            <w:r>
              <w:rPr>
                <w:rFonts w:hint="eastAsia" w:ascii="宋体" w:hAnsi="宋体" w:eastAsia="宋体" w:cs="等线"/>
                <w:sz w:val="24"/>
                <w:highlight w:val="none"/>
              </w:rPr>
              <w:t>4.1评标中，评标委员会若发现供应商的响应文件明显缺乏竞争性而可能涉嫌与其他供应商围标串标时，评标委员会将重点审核供应商之间的股权关系及各响应文件之间的形式、编排、内容等问题，一旦发现供应商以他人的名义投标、串通投标、以行贿手段谋取中标或者以其他弄虚作假方式投标的，应当否决该供应商的投标。出现上述情形时，不管最终是否界定为无效投标，评标委员会应在评标报告中如实记录相关情形及最终的认定结果。</w:t>
            </w:r>
          </w:p>
          <w:p w14:paraId="388AF8EC">
            <w:pPr>
              <w:keepNext w:val="0"/>
              <w:keepLines w:val="0"/>
              <w:suppressLineNumbers w:val="0"/>
              <w:spacing w:before="0" w:beforeAutospacing="0" w:after="0" w:afterAutospacing="0" w:line="420" w:lineRule="exact"/>
              <w:ind w:left="0" w:right="0"/>
              <w:rPr>
                <w:rFonts w:hint="eastAsia" w:ascii="宋体" w:hAnsi="宋体" w:eastAsia="宋体" w:cs="等线"/>
                <w:sz w:val="24"/>
                <w:highlight w:val="none"/>
              </w:rPr>
            </w:pPr>
            <w:r>
              <w:rPr>
                <w:rFonts w:hint="eastAsia" w:ascii="宋体" w:hAnsi="宋体" w:eastAsia="宋体" w:cs="等线"/>
                <w:sz w:val="24"/>
                <w:highlight w:val="none"/>
              </w:rPr>
              <w:t>4.2如供应商对采购文件中商务技术部分选择性提供资料，可能存在被评标委认定为有围标串标嫌疑的风险。</w:t>
            </w:r>
          </w:p>
          <w:p w14:paraId="65EA1F06">
            <w:pPr>
              <w:keepNext w:val="0"/>
              <w:keepLines w:val="0"/>
              <w:suppressLineNumbers w:val="0"/>
              <w:spacing w:before="0" w:beforeAutospacing="0" w:after="0" w:afterAutospacing="0" w:line="420" w:lineRule="exact"/>
              <w:ind w:left="0" w:right="0"/>
              <w:rPr>
                <w:rFonts w:hint="eastAsia" w:ascii="宋体" w:hAnsi="宋体" w:eastAsia="宋体" w:cs="等线"/>
                <w:sz w:val="24"/>
                <w:highlight w:val="none"/>
              </w:rPr>
            </w:pPr>
            <w:r>
              <w:rPr>
                <w:rFonts w:hint="eastAsia" w:ascii="宋体" w:hAnsi="宋体" w:eastAsia="宋体" w:cs="等线"/>
                <w:sz w:val="24"/>
                <w:highlight w:val="none"/>
              </w:rPr>
              <w:t>5.其他</w:t>
            </w:r>
          </w:p>
          <w:p w14:paraId="5B378735">
            <w:pPr>
              <w:keepNext w:val="0"/>
              <w:keepLines w:val="0"/>
              <w:suppressLineNumbers w:val="0"/>
              <w:spacing w:before="0" w:beforeAutospacing="0" w:after="0" w:afterAutospacing="0" w:line="420" w:lineRule="exact"/>
              <w:ind w:left="0" w:right="0"/>
              <w:rPr>
                <w:rFonts w:hint="eastAsia" w:ascii="宋体" w:hAnsi="宋体" w:eastAsia="宋体" w:cs="等线"/>
                <w:b/>
                <w:sz w:val="24"/>
                <w:highlight w:val="none"/>
              </w:rPr>
            </w:pPr>
            <w:r>
              <w:rPr>
                <w:rFonts w:hint="eastAsia" w:ascii="宋体" w:hAnsi="宋体" w:eastAsia="宋体" w:cs="等线"/>
                <w:b/>
                <w:sz w:val="24"/>
                <w:highlight w:val="none"/>
              </w:rPr>
              <w:t>1）与采购单位存在利害关系可能影响采购公正性的法人.其他组织或者个人，不得参加投标。</w:t>
            </w:r>
          </w:p>
          <w:p w14:paraId="04C5A3E4">
            <w:pPr>
              <w:keepNext w:val="0"/>
              <w:keepLines w:val="0"/>
              <w:suppressLineNumbers w:val="0"/>
              <w:spacing w:before="0" w:beforeAutospacing="0" w:after="0" w:afterAutospacing="0" w:line="420" w:lineRule="exact"/>
              <w:ind w:left="0" w:right="0"/>
              <w:rPr>
                <w:rFonts w:hint="eastAsia" w:ascii="宋体" w:hAnsi="宋体" w:eastAsia="宋体" w:cs="等线"/>
                <w:b/>
                <w:sz w:val="24"/>
                <w:highlight w:val="none"/>
              </w:rPr>
            </w:pPr>
            <w:r>
              <w:rPr>
                <w:rFonts w:hint="eastAsia" w:ascii="宋体" w:hAnsi="宋体" w:eastAsia="宋体" w:cs="等线"/>
                <w:b/>
                <w:sz w:val="24"/>
                <w:highlight w:val="none"/>
              </w:rPr>
              <w:t>2）单位负责人为同一人或者存在直接控股管理关系的不同单位，不得同时参加本采购项目投标。</w:t>
            </w:r>
          </w:p>
          <w:p w14:paraId="006315E8">
            <w:pPr>
              <w:keepNext w:val="0"/>
              <w:keepLines w:val="0"/>
              <w:suppressLineNumbers w:val="0"/>
              <w:spacing w:before="0" w:beforeAutospacing="0" w:after="0" w:afterAutospacing="0" w:line="420" w:lineRule="exact"/>
              <w:ind w:left="0" w:right="0"/>
              <w:rPr>
                <w:rFonts w:hint="eastAsia" w:ascii="宋体" w:hAnsi="宋体" w:eastAsia="宋体" w:cs="等线"/>
                <w:b/>
                <w:sz w:val="24"/>
                <w:highlight w:val="none"/>
              </w:rPr>
            </w:pPr>
            <w:r>
              <w:rPr>
                <w:rFonts w:hint="eastAsia" w:ascii="宋体" w:hAnsi="宋体" w:eastAsia="宋体" w:cs="等线"/>
                <w:b/>
                <w:sz w:val="24"/>
                <w:highlight w:val="none"/>
              </w:rPr>
              <w:t>3）违反以上两款规定的，相关投标均无效。</w:t>
            </w:r>
          </w:p>
          <w:p w14:paraId="73DDFC93">
            <w:pPr>
              <w:keepNext w:val="0"/>
              <w:keepLines w:val="0"/>
              <w:suppressLineNumbers w:val="0"/>
              <w:spacing w:before="0" w:beforeAutospacing="0" w:after="0" w:afterAutospacing="0" w:line="420" w:lineRule="exact"/>
              <w:ind w:left="0" w:right="0"/>
              <w:rPr>
                <w:rFonts w:hint="eastAsia" w:ascii="等线" w:hAnsi="等线" w:eastAsia="等线" w:cs="等线"/>
                <w:highlight w:val="none"/>
              </w:rPr>
            </w:pPr>
            <w:r>
              <w:rPr>
                <w:rFonts w:hint="eastAsia" w:ascii="宋体" w:hAnsi="宋体" w:eastAsia="宋体" w:cs="等线"/>
                <w:b/>
                <w:sz w:val="24"/>
                <w:highlight w:val="none"/>
              </w:rPr>
              <w:t>6.本采购文件由采购单位负责解释。</w:t>
            </w:r>
          </w:p>
        </w:tc>
      </w:tr>
      <w:tr w14:paraId="32F30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7" w:type="dxa"/>
            <w:shd w:val="clear" w:color="auto" w:fill="FFFFFF"/>
            <w:noWrap w:val="0"/>
            <w:vAlign w:val="center"/>
          </w:tcPr>
          <w:p w14:paraId="2A2F8C12">
            <w:pPr>
              <w:pStyle w:val="85"/>
              <w:keepNext w:val="0"/>
              <w:keepLines w:val="0"/>
              <w:suppressLineNumbers w:val="0"/>
              <w:snapToGrid w:val="0"/>
              <w:spacing w:before="0" w:beforeAutospacing="0" w:after="0" w:afterAutospacing="0"/>
              <w:ind w:left="0" w:right="0" w:firstLine="0" w:firstLineChars="0"/>
              <w:jc w:val="center"/>
              <w:rPr>
                <w:rFonts w:hint="eastAsia" w:ascii="宋体" w:hAnsi="宋体" w:eastAsia="宋体" w:cs="宋体"/>
                <w:bCs/>
                <w:sz w:val="24"/>
                <w:szCs w:val="24"/>
                <w:highlight w:val="none"/>
              </w:rPr>
            </w:pPr>
            <w:r>
              <w:rPr>
                <w:rFonts w:hint="eastAsia" w:ascii="宋体" w:hAnsi="宋体" w:eastAsia="宋体" w:cs="宋体"/>
                <w:snapToGrid w:val="0"/>
                <w:kern w:val="0"/>
                <w:szCs w:val="21"/>
                <w:highlight w:val="none"/>
              </w:rPr>
              <w:t>28</w:t>
            </w:r>
          </w:p>
        </w:tc>
        <w:tc>
          <w:tcPr>
            <w:tcW w:w="2139" w:type="dxa"/>
            <w:shd w:val="clear" w:color="auto" w:fill="FFFFFF"/>
            <w:noWrap w:val="0"/>
            <w:vAlign w:val="center"/>
          </w:tcPr>
          <w:p w14:paraId="11C7612F">
            <w:pPr>
              <w:keepNext w:val="0"/>
              <w:keepLines w:val="0"/>
              <w:suppressLineNumbers w:val="0"/>
              <w:snapToGrid w:val="0"/>
              <w:spacing w:before="0" w:beforeAutospacing="0" w:after="0" w:afterAutospacing="0"/>
              <w:ind w:left="0" w:right="0"/>
              <w:jc w:val="center"/>
              <w:rPr>
                <w:rFonts w:hint="eastAsia" w:ascii="宋体" w:hAnsi="宋体" w:eastAsia="宋体" w:cs="宋体"/>
                <w:sz w:val="24"/>
                <w:highlight w:val="none"/>
              </w:rPr>
            </w:pPr>
            <w:r>
              <w:rPr>
                <w:rFonts w:hint="eastAsia" w:ascii="宋体" w:hAnsi="宋体" w:eastAsia="宋体" w:cs="宋体"/>
                <w:snapToGrid w:val="0"/>
                <w:kern w:val="0"/>
                <w:szCs w:val="21"/>
                <w:highlight w:val="none"/>
              </w:rPr>
              <w:t>其他</w:t>
            </w:r>
          </w:p>
        </w:tc>
        <w:tc>
          <w:tcPr>
            <w:tcW w:w="7161" w:type="dxa"/>
            <w:shd w:val="clear" w:color="auto" w:fill="FFFFFF"/>
            <w:noWrap w:val="0"/>
            <w:vAlign w:val="center"/>
          </w:tcPr>
          <w:p w14:paraId="3143AE37">
            <w:pPr>
              <w:keepNext w:val="0"/>
              <w:keepLines w:val="0"/>
              <w:widowControl/>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等线"/>
                <w:sz w:val="24"/>
                <w:highlight w:val="none"/>
              </w:rPr>
            </w:pPr>
            <w:r>
              <w:rPr>
                <w:rFonts w:hint="eastAsia" w:ascii="宋体" w:hAnsi="宋体" w:eastAsia="宋体" w:cs="等线"/>
                <w:sz w:val="24"/>
                <w:highlight w:val="none"/>
              </w:rPr>
              <w:t>1.请投标人仔细阅读本招标文件，其中带“▲”标记的条款为实质性内容，投标人须对带“▲”标记的条款作出实质性响应。“★”的条款内容为重要性条款。</w:t>
            </w:r>
          </w:p>
        </w:tc>
      </w:tr>
    </w:tbl>
    <w:p w14:paraId="53CAC7D2">
      <w:pPr>
        <w:spacing w:after="120" w:afterLines="50" w:line="360" w:lineRule="auto"/>
        <w:jc w:val="center"/>
        <w:rPr>
          <w:rFonts w:cs="宋体"/>
          <w:b/>
          <w:bCs/>
          <w:sz w:val="28"/>
          <w:szCs w:val="28"/>
          <w:highlight w:val="none"/>
        </w:rPr>
      </w:pPr>
      <w:r>
        <w:rPr>
          <w:rFonts w:hint="eastAsia" w:cs="宋体"/>
          <w:b/>
          <w:bCs/>
          <w:sz w:val="30"/>
          <w:highlight w:val="none"/>
        </w:rPr>
        <w:br w:type="page"/>
      </w:r>
      <w:r>
        <w:rPr>
          <w:rFonts w:hint="eastAsia" w:cs="宋体"/>
          <w:b/>
          <w:bCs/>
          <w:sz w:val="32"/>
          <w:szCs w:val="28"/>
          <w:highlight w:val="none"/>
        </w:rPr>
        <w:t>二、</w:t>
      </w:r>
      <w:r>
        <w:rPr>
          <w:rFonts w:hint="eastAsia" w:cs="宋体"/>
          <w:b/>
          <w:sz w:val="32"/>
          <w:szCs w:val="32"/>
          <w:highlight w:val="none"/>
        </w:rPr>
        <w:t>响应须知</w:t>
      </w:r>
    </w:p>
    <w:p w14:paraId="2566F707">
      <w:pPr>
        <w:pStyle w:val="3"/>
        <w:spacing w:beforeLines="0" w:after="120"/>
        <w:rPr>
          <w:rFonts w:hint="eastAsia" w:ascii="Times New Roman" w:hAnsi="Times New Roman" w:cs="宋体"/>
          <w:bCs/>
          <w:sz w:val="30"/>
          <w:szCs w:val="30"/>
          <w:highlight w:val="none"/>
        </w:rPr>
      </w:pPr>
      <w:bookmarkStart w:id="15" w:name="_Toc3158"/>
      <w:bookmarkStart w:id="16" w:name="_Toc6473"/>
      <w:r>
        <w:rPr>
          <w:rFonts w:hint="eastAsia" w:ascii="Times New Roman" w:hAnsi="Times New Roman" w:cs="宋体"/>
          <w:bCs/>
          <w:sz w:val="30"/>
          <w:szCs w:val="30"/>
          <w:highlight w:val="none"/>
        </w:rPr>
        <w:t>（一）总则</w:t>
      </w:r>
      <w:bookmarkEnd w:id="14"/>
      <w:bookmarkEnd w:id="15"/>
      <w:bookmarkEnd w:id="16"/>
    </w:p>
    <w:p w14:paraId="442E2307">
      <w:pPr>
        <w:snapToGrid w:val="0"/>
        <w:spacing w:line="360" w:lineRule="auto"/>
        <w:ind w:firstLine="422" w:firstLineChars="200"/>
        <w:rPr>
          <w:rFonts w:hint="eastAsia" w:cs="宋体"/>
          <w:b/>
          <w:szCs w:val="21"/>
          <w:highlight w:val="none"/>
        </w:rPr>
      </w:pPr>
      <w:r>
        <w:rPr>
          <w:rFonts w:hint="eastAsia" w:cs="宋体"/>
          <w:b/>
          <w:szCs w:val="21"/>
          <w:highlight w:val="none"/>
        </w:rPr>
        <w:t>1.适用范围</w:t>
      </w:r>
    </w:p>
    <w:p w14:paraId="34162551">
      <w:pPr>
        <w:snapToGrid w:val="0"/>
        <w:spacing w:line="360" w:lineRule="auto"/>
        <w:ind w:firstLine="420" w:firstLineChars="200"/>
        <w:rPr>
          <w:rFonts w:hint="eastAsia" w:cs="宋体"/>
          <w:szCs w:val="21"/>
          <w:highlight w:val="none"/>
        </w:rPr>
      </w:pPr>
      <w:r>
        <w:rPr>
          <w:rFonts w:hint="eastAsia" w:cs="宋体"/>
          <w:szCs w:val="21"/>
          <w:highlight w:val="none"/>
        </w:rPr>
        <w:t>本采购文件仅适用于本次采购所叙述的</w:t>
      </w:r>
      <w:r>
        <w:rPr>
          <w:rFonts w:hint="eastAsia" w:cs="宋体"/>
          <w:szCs w:val="21"/>
          <w:highlight w:val="none"/>
          <w:lang w:eastAsia="zh-CN"/>
        </w:rPr>
        <w:t>两案专项法律服务采购（邀请竞价）</w:t>
      </w:r>
      <w:r>
        <w:rPr>
          <w:rFonts w:hint="eastAsia" w:cs="宋体"/>
          <w:szCs w:val="21"/>
          <w:highlight w:val="none"/>
        </w:rPr>
        <w:t>。</w:t>
      </w:r>
    </w:p>
    <w:p w14:paraId="222CBBB4">
      <w:pPr>
        <w:snapToGrid w:val="0"/>
        <w:spacing w:line="360" w:lineRule="auto"/>
        <w:ind w:firstLine="422" w:firstLineChars="200"/>
        <w:rPr>
          <w:rFonts w:hint="eastAsia" w:cs="宋体"/>
          <w:b/>
          <w:szCs w:val="21"/>
          <w:highlight w:val="none"/>
        </w:rPr>
      </w:pPr>
      <w:r>
        <w:rPr>
          <w:rFonts w:hint="eastAsia" w:cs="宋体"/>
          <w:b/>
          <w:szCs w:val="21"/>
          <w:highlight w:val="none"/>
        </w:rPr>
        <w:t>2.项目概况</w:t>
      </w:r>
    </w:p>
    <w:p w14:paraId="68A98ECB">
      <w:pPr>
        <w:spacing w:line="336" w:lineRule="auto"/>
        <w:ind w:firstLine="420" w:firstLineChars="200"/>
        <w:rPr>
          <w:rFonts w:hint="eastAsia" w:ascii="宋体" w:hAnsi="宋体" w:cs="宋体"/>
          <w:szCs w:val="21"/>
          <w:highlight w:val="none"/>
          <w:lang w:eastAsia="zh-Hans"/>
        </w:rPr>
      </w:pPr>
      <w:r>
        <w:rPr>
          <w:rFonts w:hint="eastAsia" w:ascii="宋体" w:hAnsi="宋体" w:cs="宋体"/>
          <w:color w:val="000000"/>
          <w:szCs w:val="21"/>
          <w:highlight w:val="none"/>
          <w:lang w:eastAsia="zh-Hans"/>
        </w:rPr>
        <w:t>案件基本情况：</w:t>
      </w:r>
      <w:r>
        <w:rPr>
          <w:rFonts w:hint="eastAsia" w:ascii="宋体" w:hAnsi="宋体" w:cs="宋体"/>
          <w:color w:val="000000"/>
          <w:szCs w:val="21"/>
          <w:highlight w:val="none"/>
          <w:lang w:val="en-US" w:eastAsia="zh-CN"/>
        </w:rPr>
        <w:t>案件一为：杭州市交工集团与某某建设工程施工</w:t>
      </w:r>
      <w:r>
        <w:rPr>
          <w:rFonts w:hint="eastAsia" w:ascii="宋体" w:hAnsi="宋体" w:cs="宋体"/>
          <w:color w:val="000000"/>
          <w:szCs w:val="21"/>
          <w:highlight w:val="none"/>
          <w:lang w:eastAsia="zh-Hans"/>
        </w:rPr>
        <w:t>合同纠纷一案的一审、二审、执行阶段的诉讼法律事务</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案件二为：杭州市交工集团与某某建设工程施工</w:t>
      </w:r>
      <w:r>
        <w:rPr>
          <w:rFonts w:hint="eastAsia" w:ascii="宋体" w:hAnsi="宋体" w:cs="宋体"/>
          <w:color w:val="000000"/>
          <w:szCs w:val="21"/>
          <w:highlight w:val="none"/>
          <w:lang w:eastAsia="zh-Hans"/>
        </w:rPr>
        <w:t>合同纠纷一案的一审、二审、执行阶段的诉讼法律事务</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根据专属管辖上述案件均在浙江省内法院管辖</w:t>
      </w:r>
      <w:r>
        <w:rPr>
          <w:rFonts w:hint="eastAsia" w:ascii="宋体" w:hAnsi="宋体" w:cs="宋体"/>
          <w:color w:val="000000"/>
          <w:szCs w:val="21"/>
          <w:highlight w:val="none"/>
          <w:lang w:eastAsia="zh-Hans"/>
        </w:rPr>
        <w:t>。本次涉诉金额</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案件一</w:t>
      </w:r>
      <w:r>
        <w:rPr>
          <w:rFonts w:hint="eastAsia" w:ascii="宋体" w:hAnsi="宋体" w:cs="宋体"/>
          <w:color w:val="000000"/>
          <w:szCs w:val="21"/>
          <w:highlight w:val="none"/>
          <w:lang w:eastAsia="zh-Hans"/>
        </w:rPr>
        <w:t>为本金金额</w:t>
      </w:r>
      <w:r>
        <w:rPr>
          <w:rFonts w:hint="eastAsia" w:ascii="宋体" w:hAnsi="宋体" w:cs="宋体"/>
          <w:color w:val="000000"/>
          <w:szCs w:val="21"/>
          <w:highlight w:val="none"/>
          <w:lang w:val="en-US" w:eastAsia="zh-CN"/>
        </w:rPr>
        <w:t>暂定2500万元、案件二</w:t>
      </w:r>
      <w:r>
        <w:rPr>
          <w:rFonts w:hint="eastAsia" w:ascii="宋体" w:hAnsi="宋体" w:cs="宋体"/>
          <w:color w:val="000000"/>
          <w:szCs w:val="21"/>
          <w:highlight w:val="none"/>
          <w:lang w:eastAsia="zh-Hans"/>
        </w:rPr>
        <w:t>本金金额</w:t>
      </w:r>
      <w:r>
        <w:rPr>
          <w:rFonts w:hint="eastAsia" w:ascii="宋体" w:hAnsi="宋体" w:cs="宋体"/>
          <w:color w:val="000000"/>
          <w:szCs w:val="21"/>
          <w:highlight w:val="none"/>
          <w:lang w:val="en-US" w:eastAsia="zh-CN"/>
        </w:rPr>
        <w:t>暂定235万元</w:t>
      </w:r>
      <w:r>
        <w:rPr>
          <w:rFonts w:hint="eastAsia" w:ascii="宋体" w:hAnsi="宋体" w:cs="宋体"/>
          <w:color w:val="000000"/>
          <w:szCs w:val="21"/>
          <w:highlight w:val="none"/>
          <w:lang w:eastAsia="zh-Hans"/>
        </w:rPr>
        <w:t>及</w:t>
      </w:r>
      <w:r>
        <w:rPr>
          <w:rFonts w:hint="eastAsia" w:ascii="宋体" w:hAnsi="宋体" w:cs="宋体"/>
          <w:color w:val="000000"/>
          <w:szCs w:val="21"/>
          <w:highlight w:val="none"/>
          <w:lang w:val="en-US" w:eastAsia="zh-CN"/>
        </w:rPr>
        <w:t>两案中的相关利息</w:t>
      </w:r>
      <w:r>
        <w:rPr>
          <w:rFonts w:hint="eastAsia" w:ascii="宋体" w:hAnsi="宋体" w:cs="宋体"/>
          <w:color w:val="000000"/>
          <w:szCs w:val="21"/>
          <w:highlight w:val="none"/>
          <w:lang w:eastAsia="zh-Hans"/>
        </w:rPr>
        <w:t>、违约金等。</w:t>
      </w:r>
      <w:r>
        <w:rPr>
          <w:rFonts w:hint="eastAsia" w:ascii="宋体" w:hAnsi="宋体" w:cs="宋体"/>
          <w:color w:val="000000"/>
          <w:szCs w:val="21"/>
          <w:highlight w:val="none"/>
        </w:rPr>
        <w:t>期间招标人与相关人员多次沟通，至今仍无实质性结果，故决定走法律途径，通过本次招标选择中标人进行案件代理。</w:t>
      </w:r>
    </w:p>
    <w:p w14:paraId="34E457E8">
      <w:pPr>
        <w:spacing w:line="336" w:lineRule="auto"/>
        <w:ind w:firstLine="420" w:firstLineChars="200"/>
        <w:rPr>
          <w:rFonts w:ascii="宋体" w:hAnsi="宋体" w:cs="宋体"/>
          <w:szCs w:val="21"/>
          <w:highlight w:val="none"/>
        </w:rPr>
      </w:pPr>
      <w:r>
        <w:rPr>
          <w:rFonts w:hint="eastAsia" w:ascii="宋体" w:hAnsi="宋体" w:cs="宋体"/>
          <w:szCs w:val="21"/>
          <w:highlight w:val="none"/>
          <w:lang w:eastAsia="zh-Hans"/>
        </w:rPr>
        <w:t>服务阶段：</w:t>
      </w:r>
      <w:r>
        <w:rPr>
          <w:rFonts w:hint="eastAsia" w:ascii="宋体" w:hAnsi="宋体" w:cs="宋体"/>
          <w:szCs w:val="21"/>
          <w:highlight w:val="none"/>
          <w:lang w:val="en-US" w:eastAsia="zh-CN"/>
        </w:rPr>
        <w:t>提供两案件</w:t>
      </w:r>
      <w:r>
        <w:rPr>
          <w:rFonts w:hint="eastAsia" w:ascii="宋体" w:hAnsi="宋体" w:cs="仿宋"/>
          <w:szCs w:val="21"/>
          <w:highlight w:val="none"/>
        </w:rPr>
        <w:t>法律诉讼</w:t>
      </w:r>
      <w:r>
        <w:rPr>
          <w:rFonts w:hint="eastAsia" w:ascii="宋体" w:hAnsi="宋体" w:cs="宋体"/>
          <w:szCs w:val="21"/>
          <w:highlight w:val="none"/>
          <w:lang w:eastAsia="zh-Hans"/>
        </w:rPr>
        <w:t>全流程服务</w:t>
      </w:r>
      <w:r>
        <w:rPr>
          <w:rFonts w:hint="eastAsia" w:ascii="宋体" w:hAnsi="宋体" w:cs="宋体"/>
          <w:szCs w:val="21"/>
          <w:highlight w:val="none"/>
          <w:lang w:val="en-US" w:eastAsia="zh-CN"/>
        </w:rPr>
        <w:t>及相关配套法律事务与咨询业务</w:t>
      </w:r>
      <w:r>
        <w:rPr>
          <w:rFonts w:hint="eastAsia" w:ascii="宋体" w:hAnsi="宋体" w:cs="宋体"/>
          <w:szCs w:val="21"/>
          <w:highlight w:val="none"/>
          <w:lang w:eastAsia="zh-Hans"/>
        </w:rPr>
        <w:t>。</w:t>
      </w:r>
      <w:r>
        <w:rPr>
          <w:rFonts w:hint="eastAsia" w:ascii="宋体" w:hAnsi="宋体" w:cs="宋体"/>
          <w:szCs w:val="21"/>
          <w:highlight w:val="none"/>
        </w:rPr>
        <w:t xml:space="preserve"> 具体详见第三章 采购内容及要求。</w:t>
      </w:r>
    </w:p>
    <w:p w14:paraId="4E4A23F0">
      <w:pPr>
        <w:snapToGrid w:val="0"/>
        <w:spacing w:line="360" w:lineRule="auto"/>
        <w:ind w:firstLine="422" w:firstLineChars="200"/>
        <w:rPr>
          <w:rFonts w:hint="eastAsia" w:cs="宋体"/>
          <w:b/>
          <w:szCs w:val="21"/>
          <w:highlight w:val="none"/>
        </w:rPr>
      </w:pPr>
      <w:r>
        <w:rPr>
          <w:rFonts w:hint="eastAsia" w:cs="宋体"/>
          <w:b/>
          <w:szCs w:val="21"/>
          <w:highlight w:val="none"/>
        </w:rPr>
        <w:t>3.定义</w:t>
      </w:r>
    </w:p>
    <w:p w14:paraId="0E6DA909">
      <w:pPr>
        <w:snapToGrid w:val="0"/>
        <w:spacing w:line="360" w:lineRule="auto"/>
        <w:ind w:firstLine="420" w:firstLineChars="200"/>
        <w:rPr>
          <w:rFonts w:hint="eastAsia" w:cs="宋体"/>
          <w:szCs w:val="21"/>
          <w:highlight w:val="none"/>
        </w:rPr>
      </w:pPr>
      <w:r>
        <w:rPr>
          <w:rFonts w:hint="eastAsia" w:cs="宋体"/>
          <w:szCs w:val="21"/>
          <w:highlight w:val="none"/>
        </w:rPr>
        <w:t>3.1“采购单位”系指</w:t>
      </w:r>
      <w:r>
        <w:rPr>
          <w:rFonts w:hint="eastAsia" w:cs="宋体"/>
          <w:szCs w:val="21"/>
          <w:highlight w:val="none"/>
          <w:u w:val="single"/>
          <w:lang w:eastAsia="zh-CN"/>
        </w:rPr>
        <w:t>杭州市交通工程集团有限公司</w:t>
      </w:r>
      <w:r>
        <w:rPr>
          <w:rFonts w:hint="eastAsia" w:cs="宋体"/>
          <w:szCs w:val="21"/>
          <w:highlight w:val="none"/>
        </w:rPr>
        <w:t>。</w:t>
      </w:r>
    </w:p>
    <w:p w14:paraId="48DD5F5F">
      <w:pPr>
        <w:snapToGrid w:val="0"/>
        <w:spacing w:line="360" w:lineRule="auto"/>
        <w:ind w:firstLine="420" w:firstLineChars="200"/>
        <w:rPr>
          <w:rFonts w:cs="宋体"/>
          <w:szCs w:val="21"/>
          <w:highlight w:val="none"/>
          <w:u w:val="single"/>
        </w:rPr>
      </w:pPr>
      <w:r>
        <w:rPr>
          <w:rFonts w:hint="eastAsia" w:cs="宋体"/>
          <w:szCs w:val="21"/>
          <w:highlight w:val="none"/>
        </w:rPr>
        <w:t>3.2“采购代理机构”系指受采购单位委托组织本次采购的</w:t>
      </w:r>
      <w:r>
        <w:rPr>
          <w:rFonts w:hint="eastAsia" w:cs="宋体"/>
          <w:szCs w:val="21"/>
          <w:highlight w:val="none"/>
          <w:u w:val="single"/>
          <w:lang w:eastAsia="zh-CN"/>
        </w:rPr>
        <w:t>浙江省成套工程有限公司</w:t>
      </w:r>
      <w:r>
        <w:rPr>
          <w:rFonts w:hint="eastAsia" w:cs="宋体"/>
          <w:szCs w:val="21"/>
          <w:highlight w:val="none"/>
        </w:rPr>
        <w:t>。</w:t>
      </w:r>
    </w:p>
    <w:p w14:paraId="42718042">
      <w:pPr>
        <w:snapToGrid w:val="0"/>
        <w:spacing w:line="360" w:lineRule="auto"/>
        <w:ind w:firstLine="420" w:firstLineChars="200"/>
        <w:rPr>
          <w:rFonts w:hint="eastAsia" w:cs="宋体"/>
          <w:szCs w:val="21"/>
          <w:highlight w:val="none"/>
        </w:rPr>
      </w:pPr>
      <w:r>
        <w:rPr>
          <w:rFonts w:hint="eastAsia" w:cs="宋体"/>
          <w:szCs w:val="21"/>
          <w:highlight w:val="none"/>
        </w:rPr>
        <w:t>3.3“供应商”系指响应本次采购、参加本次投标竞争的法人或者其他组织。</w:t>
      </w:r>
    </w:p>
    <w:p w14:paraId="11B33095">
      <w:pPr>
        <w:snapToGrid w:val="0"/>
        <w:spacing w:line="360" w:lineRule="auto"/>
        <w:ind w:firstLine="420" w:firstLineChars="200"/>
        <w:rPr>
          <w:rFonts w:hint="eastAsia" w:cs="宋体"/>
          <w:szCs w:val="21"/>
          <w:highlight w:val="none"/>
        </w:rPr>
      </w:pPr>
      <w:r>
        <w:rPr>
          <w:rFonts w:hint="eastAsia" w:cs="宋体"/>
          <w:szCs w:val="21"/>
          <w:highlight w:val="none"/>
        </w:rPr>
        <w:t>3.4“供应商代表”系指全权代表供应商参加本次投标活动并签署响应文件的人，如果供应商代表不是供应商的法定代表人，须持有《法定代表人授权书》。</w:t>
      </w:r>
    </w:p>
    <w:p w14:paraId="6AC1A454">
      <w:pPr>
        <w:snapToGrid w:val="0"/>
        <w:spacing w:line="360" w:lineRule="auto"/>
        <w:ind w:firstLine="420" w:firstLineChars="200"/>
        <w:rPr>
          <w:rFonts w:hint="eastAsia" w:cs="宋体"/>
          <w:szCs w:val="21"/>
          <w:highlight w:val="none"/>
        </w:rPr>
      </w:pPr>
      <w:r>
        <w:rPr>
          <w:rFonts w:hint="eastAsia" w:cs="宋体"/>
          <w:szCs w:val="21"/>
          <w:highlight w:val="none"/>
        </w:rPr>
        <w:t>3.5“货物”系指供应商按采购文件规定，须向采购单位提供的一切产品及其它有关技术资料和材料。</w:t>
      </w:r>
    </w:p>
    <w:p w14:paraId="158C09F2">
      <w:pPr>
        <w:snapToGrid w:val="0"/>
        <w:spacing w:line="360" w:lineRule="auto"/>
        <w:ind w:firstLine="420" w:firstLineChars="200"/>
        <w:rPr>
          <w:rFonts w:hint="eastAsia" w:cs="宋体"/>
          <w:szCs w:val="21"/>
          <w:highlight w:val="none"/>
        </w:rPr>
      </w:pPr>
      <w:r>
        <w:rPr>
          <w:rFonts w:hint="eastAsia" w:cs="宋体"/>
          <w:szCs w:val="21"/>
          <w:highlight w:val="none"/>
        </w:rPr>
        <w:t>3.6“服务”系指采购文件规定供应商为完成全部合同义务须承担的服务以及其他类似的义务。</w:t>
      </w:r>
    </w:p>
    <w:p w14:paraId="4E9D1907">
      <w:pPr>
        <w:snapToGrid w:val="0"/>
        <w:spacing w:line="360" w:lineRule="auto"/>
        <w:ind w:firstLine="422" w:firstLineChars="200"/>
        <w:rPr>
          <w:rFonts w:hint="eastAsia" w:cs="宋体"/>
          <w:b/>
          <w:szCs w:val="21"/>
          <w:highlight w:val="none"/>
        </w:rPr>
      </w:pPr>
      <w:r>
        <w:rPr>
          <w:rFonts w:hint="eastAsia" w:cs="宋体"/>
          <w:b/>
          <w:szCs w:val="21"/>
          <w:highlight w:val="none"/>
        </w:rPr>
        <w:t>4.投标费用</w:t>
      </w:r>
    </w:p>
    <w:p w14:paraId="7167B8CC">
      <w:pPr>
        <w:snapToGrid w:val="0"/>
        <w:spacing w:line="360" w:lineRule="auto"/>
        <w:ind w:firstLine="420" w:firstLineChars="200"/>
        <w:rPr>
          <w:rFonts w:hint="eastAsia" w:cs="宋体"/>
          <w:szCs w:val="21"/>
          <w:highlight w:val="none"/>
        </w:rPr>
      </w:pPr>
      <w:r>
        <w:rPr>
          <w:rFonts w:hint="eastAsia" w:cs="宋体"/>
          <w:szCs w:val="21"/>
          <w:highlight w:val="none"/>
        </w:rPr>
        <w:t>供应商应承担所有与编写和提交响应文件有关的费用，不论投标的结果如何，采购单位和采购代理机构在任何情况下均无义务和责任承担这些费用。</w:t>
      </w:r>
    </w:p>
    <w:p w14:paraId="0C143B9A">
      <w:pPr>
        <w:pStyle w:val="3"/>
        <w:spacing w:before="480" w:after="120"/>
        <w:rPr>
          <w:rFonts w:hint="eastAsia" w:ascii="Times New Roman" w:hAnsi="Times New Roman" w:cs="宋体"/>
          <w:bCs/>
          <w:sz w:val="30"/>
          <w:szCs w:val="30"/>
          <w:highlight w:val="none"/>
        </w:rPr>
      </w:pPr>
      <w:bookmarkStart w:id="17" w:name="_Toc495977855"/>
      <w:bookmarkStart w:id="18" w:name="_Toc25208"/>
      <w:bookmarkStart w:id="19" w:name="_Toc22048"/>
      <w:r>
        <w:rPr>
          <w:rFonts w:hint="eastAsia" w:ascii="Times New Roman" w:hAnsi="Times New Roman" w:cs="宋体"/>
          <w:bCs/>
          <w:sz w:val="30"/>
          <w:szCs w:val="30"/>
          <w:highlight w:val="none"/>
        </w:rPr>
        <w:t>（二）采购文件</w:t>
      </w:r>
      <w:bookmarkEnd w:id="17"/>
      <w:r>
        <w:rPr>
          <w:rFonts w:hint="eastAsia" w:ascii="Times New Roman" w:hAnsi="Times New Roman" w:cs="宋体"/>
          <w:bCs/>
          <w:sz w:val="30"/>
          <w:szCs w:val="30"/>
          <w:highlight w:val="none"/>
        </w:rPr>
        <w:t>说明</w:t>
      </w:r>
      <w:bookmarkEnd w:id="18"/>
      <w:bookmarkEnd w:id="19"/>
    </w:p>
    <w:p w14:paraId="4C75EDE1">
      <w:pPr>
        <w:snapToGrid w:val="0"/>
        <w:spacing w:line="360" w:lineRule="auto"/>
        <w:ind w:firstLine="422" w:firstLineChars="200"/>
        <w:rPr>
          <w:rFonts w:hint="eastAsia" w:cs="宋体"/>
          <w:b/>
          <w:szCs w:val="21"/>
          <w:highlight w:val="none"/>
        </w:rPr>
      </w:pPr>
      <w:r>
        <w:rPr>
          <w:rFonts w:hint="eastAsia" w:cs="宋体"/>
          <w:b/>
          <w:szCs w:val="21"/>
          <w:highlight w:val="none"/>
        </w:rPr>
        <w:t>5.采购文件构成</w:t>
      </w:r>
      <w:bookmarkStart w:id="20" w:name="_Hlt509038174"/>
      <w:bookmarkEnd w:id="20"/>
    </w:p>
    <w:p w14:paraId="18D7513B">
      <w:pPr>
        <w:snapToGrid w:val="0"/>
        <w:spacing w:line="360" w:lineRule="auto"/>
        <w:ind w:firstLine="420" w:firstLineChars="200"/>
        <w:rPr>
          <w:rFonts w:hint="eastAsia" w:cs="宋体"/>
          <w:bCs/>
          <w:szCs w:val="21"/>
          <w:highlight w:val="none"/>
        </w:rPr>
      </w:pPr>
      <w:r>
        <w:rPr>
          <w:rFonts w:hint="eastAsia" w:cs="宋体"/>
          <w:szCs w:val="21"/>
          <w:highlight w:val="none"/>
        </w:rPr>
        <w:t>5.1</w:t>
      </w:r>
      <w:r>
        <w:rPr>
          <w:rFonts w:hint="eastAsia" w:cs="宋体"/>
          <w:bCs/>
          <w:szCs w:val="21"/>
          <w:highlight w:val="none"/>
        </w:rPr>
        <w:t>“采购文件”由下述部分组成：</w:t>
      </w:r>
    </w:p>
    <w:p w14:paraId="47709D4B">
      <w:pPr>
        <w:snapToGrid w:val="0"/>
        <w:spacing w:line="360" w:lineRule="auto"/>
        <w:ind w:firstLine="420" w:firstLineChars="200"/>
        <w:rPr>
          <w:rFonts w:hint="eastAsia" w:cs="宋体"/>
          <w:bCs/>
          <w:szCs w:val="21"/>
          <w:highlight w:val="none"/>
        </w:rPr>
      </w:pPr>
      <w:r>
        <w:rPr>
          <w:rFonts w:hint="eastAsia" w:cs="宋体"/>
          <w:bCs/>
          <w:szCs w:val="21"/>
          <w:highlight w:val="none"/>
        </w:rPr>
        <w:t>第一章   竞标采购邀请书</w:t>
      </w:r>
    </w:p>
    <w:p w14:paraId="38F4C679">
      <w:pPr>
        <w:snapToGrid w:val="0"/>
        <w:spacing w:line="360" w:lineRule="auto"/>
        <w:ind w:firstLine="420" w:firstLineChars="200"/>
        <w:rPr>
          <w:rFonts w:hint="eastAsia" w:cs="宋体"/>
          <w:bCs/>
          <w:szCs w:val="21"/>
          <w:highlight w:val="none"/>
        </w:rPr>
      </w:pPr>
      <w:r>
        <w:rPr>
          <w:rFonts w:hint="eastAsia" w:cs="宋体"/>
          <w:bCs/>
          <w:szCs w:val="21"/>
          <w:highlight w:val="none"/>
        </w:rPr>
        <w:t>第二章   响应须知及前附表</w:t>
      </w:r>
    </w:p>
    <w:p w14:paraId="272CA261">
      <w:pPr>
        <w:snapToGrid w:val="0"/>
        <w:spacing w:line="360" w:lineRule="auto"/>
        <w:ind w:firstLine="420" w:firstLineChars="200"/>
        <w:rPr>
          <w:rFonts w:hint="eastAsia" w:cs="宋体"/>
          <w:bCs/>
          <w:szCs w:val="21"/>
          <w:highlight w:val="none"/>
        </w:rPr>
      </w:pPr>
      <w:r>
        <w:rPr>
          <w:rFonts w:hint="eastAsia" w:cs="宋体"/>
          <w:bCs/>
          <w:szCs w:val="21"/>
          <w:highlight w:val="none"/>
        </w:rPr>
        <w:t>第三章   采购内容及要求</w:t>
      </w:r>
    </w:p>
    <w:p w14:paraId="1192E771">
      <w:pPr>
        <w:snapToGrid w:val="0"/>
        <w:spacing w:line="360" w:lineRule="auto"/>
        <w:ind w:firstLine="420" w:firstLineChars="200"/>
        <w:rPr>
          <w:rFonts w:hint="eastAsia" w:cs="宋体"/>
          <w:bCs/>
          <w:szCs w:val="21"/>
          <w:highlight w:val="none"/>
        </w:rPr>
      </w:pPr>
      <w:r>
        <w:rPr>
          <w:rFonts w:hint="eastAsia" w:cs="宋体"/>
          <w:bCs/>
          <w:szCs w:val="21"/>
          <w:highlight w:val="none"/>
        </w:rPr>
        <w:t>第四章   合同主要条款</w:t>
      </w:r>
    </w:p>
    <w:p w14:paraId="0BE29475">
      <w:pPr>
        <w:snapToGrid w:val="0"/>
        <w:spacing w:line="360" w:lineRule="auto"/>
        <w:ind w:firstLine="420" w:firstLineChars="200"/>
        <w:rPr>
          <w:rFonts w:hint="eastAsia" w:cs="宋体"/>
          <w:bCs/>
          <w:szCs w:val="21"/>
          <w:highlight w:val="none"/>
        </w:rPr>
      </w:pPr>
      <w:r>
        <w:rPr>
          <w:rFonts w:hint="eastAsia" w:cs="宋体"/>
          <w:bCs/>
          <w:szCs w:val="21"/>
          <w:highlight w:val="none"/>
        </w:rPr>
        <w:t>第五章   评标办法</w:t>
      </w:r>
    </w:p>
    <w:p w14:paraId="3FB3FD11">
      <w:pPr>
        <w:snapToGrid w:val="0"/>
        <w:spacing w:line="360" w:lineRule="auto"/>
        <w:ind w:firstLine="420" w:firstLineChars="200"/>
        <w:rPr>
          <w:rFonts w:hint="eastAsia" w:cs="宋体"/>
          <w:bCs/>
          <w:szCs w:val="21"/>
          <w:highlight w:val="none"/>
        </w:rPr>
      </w:pPr>
      <w:r>
        <w:rPr>
          <w:rFonts w:hint="eastAsia" w:cs="宋体"/>
          <w:bCs/>
          <w:szCs w:val="21"/>
          <w:highlight w:val="none"/>
        </w:rPr>
        <w:t>第六章   响应文件格式</w:t>
      </w:r>
    </w:p>
    <w:p w14:paraId="3B31DFBC">
      <w:pPr>
        <w:snapToGrid w:val="0"/>
        <w:spacing w:line="360" w:lineRule="auto"/>
        <w:ind w:firstLine="420" w:firstLineChars="200"/>
        <w:rPr>
          <w:rFonts w:hint="eastAsia" w:cs="宋体"/>
          <w:bCs/>
          <w:szCs w:val="21"/>
          <w:highlight w:val="none"/>
        </w:rPr>
      </w:pPr>
      <w:r>
        <w:rPr>
          <w:rFonts w:hint="eastAsia" w:cs="宋体"/>
          <w:bCs/>
          <w:szCs w:val="21"/>
          <w:highlight w:val="none"/>
        </w:rPr>
        <w:t>5.2供应商应认真审阅采购文件所有的内容，如果供应商的响应文件不符合采购文件要求，责任由供应商自负。</w:t>
      </w:r>
    </w:p>
    <w:p w14:paraId="3F440E63">
      <w:pPr>
        <w:snapToGrid w:val="0"/>
        <w:spacing w:line="360" w:lineRule="auto"/>
        <w:ind w:firstLine="422" w:firstLineChars="200"/>
        <w:rPr>
          <w:rFonts w:hint="eastAsia" w:cs="宋体"/>
          <w:b/>
          <w:szCs w:val="21"/>
          <w:highlight w:val="none"/>
        </w:rPr>
      </w:pPr>
      <w:r>
        <w:rPr>
          <w:rFonts w:hint="eastAsia" w:cs="宋体"/>
          <w:b/>
          <w:szCs w:val="21"/>
          <w:highlight w:val="none"/>
        </w:rPr>
        <w:t>6.采购文件的澄清</w:t>
      </w:r>
    </w:p>
    <w:p w14:paraId="69CD83D3">
      <w:pPr>
        <w:snapToGrid w:val="0"/>
        <w:spacing w:line="360" w:lineRule="auto"/>
        <w:ind w:firstLine="420" w:firstLineChars="200"/>
        <w:rPr>
          <w:rFonts w:hint="eastAsia" w:cs="宋体"/>
          <w:bCs/>
          <w:szCs w:val="21"/>
          <w:highlight w:val="none"/>
        </w:rPr>
      </w:pPr>
      <w:r>
        <w:rPr>
          <w:rFonts w:hint="eastAsia" w:cs="宋体"/>
          <w:bCs/>
          <w:szCs w:val="21"/>
          <w:highlight w:val="none"/>
        </w:rPr>
        <w:t>6.1供应商对采购文件如有疑问，可在规定的截止时间前，以书面形式（包括信函或传真（须加盖公章），下同）向采购代理机构反馈意见。</w:t>
      </w:r>
    </w:p>
    <w:p w14:paraId="544EEF4A">
      <w:pPr>
        <w:snapToGrid w:val="0"/>
        <w:spacing w:line="360" w:lineRule="auto"/>
        <w:ind w:firstLine="420" w:firstLineChars="200"/>
        <w:rPr>
          <w:rFonts w:hint="eastAsia" w:cs="宋体"/>
          <w:bCs/>
          <w:szCs w:val="21"/>
          <w:highlight w:val="none"/>
        </w:rPr>
      </w:pPr>
      <w:r>
        <w:rPr>
          <w:rFonts w:hint="eastAsia" w:cs="宋体"/>
          <w:bCs/>
          <w:szCs w:val="21"/>
          <w:highlight w:val="none"/>
        </w:rPr>
        <w:t>6.2对于供应商提出的问题，代理机构或采购单位将视情况采用适当方式在规定时间前以书面形式予以答复，并将不标明查询来源的书面答复发给已购买采购文件的每一供应商，此答复文件将构成采购文件的一部分，对供应商有约束力。</w:t>
      </w:r>
    </w:p>
    <w:p w14:paraId="78EDCFD2">
      <w:pPr>
        <w:snapToGrid w:val="0"/>
        <w:spacing w:line="360" w:lineRule="auto"/>
        <w:ind w:firstLine="422" w:firstLineChars="200"/>
        <w:rPr>
          <w:rFonts w:hint="eastAsia" w:cs="宋体"/>
          <w:b/>
          <w:szCs w:val="21"/>
          <w:highlight w:val="none"/>
        </w:rPr>
      </w:pPr>
      <w:r>
        <w:rPr>
          <w:rFonts w:hint="eastAsia" w:cs="宋体"/>
          <w:b/>
          <w:szCs w:val="21"/>
          <w:highlight w:val="none"/>
        </w:rPr>
        <w:t>7.采购文件的修改</w:t>
      </w:r>
    </w:p>
    <w:p w14:paraId="62F83FB6">
      <w:pPr>
        <w:snapToGrid w:val="0"/>
        <w:spacing w:line="360" w:lineRule="auto"/>
        <w:ind w:firstLine="420" w:firstLineChars="200"/>
        <w:rPr>
          <w:rFonts w:hint="eastAsia" w:cs="宋体"/>
          <w:bCs/>
          <w:szCs w:val="21"/>
          <w:highlight w:val="none"/>
        </w:rPr>
      </w:pPr>
      <w:r>
        <w:rPr>
          <w:rFonts w:hint="eastAsia" w:cs="宋体"/>
          <w:bCs/>
          <w:szCs w:val="21"/>
          <w:highlight w:val="none"/>
        </w:rPr>
        <w:t>7.1采购文件发出后，在提交响应文件截止时间3日前，采购单位可对采购文件进行必要的修改。</w:t>
      </w:r>
    </w:p>
    <w:p w14:paraId="26201B4A">
      <w:pPr>
        <w:snapToGrid w:val="0"/>
        <w:spacing w:line="360" w:lineRule="auto"/>
        <w:ind w:firstLine="420" w:firstLineChars="200"/>
        <w:rPr>
          <w:rFonts w:hint="eastAsia" w:cs="宋体"/>
          <w:bCs/>
          <w:szCs w:val="21"/>
          <w:highlight w:val="none"/>
        </w:rPr>
      </w:pPr>
      <w:r>
        <w:rPr>
          <w:rFonts w:hint="eastAsia" w:cs="宋体"/>
          <w:bCs/>
          <w:szCs w:val="21"/>
          <w:highlight w:val="none"/>
        </w:rPr>
        <w:t>7.2采购单位可主动地或依据供应商要求澄清的问题而修改采购文件，并以书面形式通知所有购买采购文件的每一供应商，供应商在收到该通知后应立即以发送扫描件或传真的形式予以确认。</w:t>
      </w:r>
    </w:p>
    <w:p w14:paraId="58A8AEE7">
      <w:pPr>
        <w:snapToGrid w:val="0"/>
        <w:spacing w:line="360" w:lineRule="auto"/>
        <w:ind w:firstLine="420" w:firstLineChars="200"/>
        <w:rPr>
          <w:rFonts w:hint="eastAsia" w:cs="宋体"/>
          <w:bCs/>
          <w:szCs w:val="21"/>
          <w:highlight w:val="none"/>
        </w:rPr>
      </w:pPr>
      <w:r>
        <w:rPr>
          <w:rFonts w:hint="eastAsia" w:cs="宋体"/>
          <w:bCs/>
          <w:szCs w:val="21"/>
          <w:highlight w:val="none"/>
        </w:rPr>
        <w:t>7.3为使供应商在准备响应文件时有合理的时间考虑采购文件的修改，采购单位可酌情推迟投标截止时间和开标时间，并以书面形式通知已购买采购文件的每一供应商。</w:t>
      </w:r>
    </w:p>
    <w:p w14:paraId="2162C303">
      <w:pPr>
        <w:snapToGrid w:val="0"/>
        <w:spacing w:line="360" w:lineRule="auto"/>
        <w:ind w:firstLine="420" w:firstLineChars="200"/>
        <w:rPr>
          <w:rFonts w:hint="eastAsia" w:cs="宋体"/>
          <w:bCs/>
          <w:szCs w:val="21"/>
          <w:highlight w:val="none"/>
        </w:rPr>
      </w:pPr>
      <w:r>
        <w:rPr>
          <w:rFonts w:hint="eastAsia" w:cs="宋体"/>
          <w:bCs/>
          <w:szCs w:val="21"/>
          <w:highlight w:val="none"/>
        </w:rPr>
        <w:t>7.4采购文件的修改书将构成采购文件的一部分，对供应商有约束力。</w:t>
      </w:r>
    </w:p>
    <w:p w14:paraId="0E89A439">
      <w:pPr>
        <w:snapToGrid w:val="0"/>
        <w:spacing w:line="360" w:lineRule="auto"/>
        <w:ind w:firstLine="420" w:firstLineChars="200"/>
        <w:rPr>
          <w:rFonts w:hint="eastAsia" w:cs="宋体"/>
          <w:bCs/>
          <w:szCs w:val="21"/>
          <w:highlight w:val="none"/>
        </w:rPr>
      </w:pPr>
      <w:r>
        <w:rPr>
          <w:rFonts w:hint="eastAsia" w:cs="宋体"/>
          <w:bCs/>
          <w:szCs w:val="21"/>
          <w:highlight w:val="none"/>
        </w:rPr>
        <w:t>7.5采购文件及采购文件的修改、澄清之间就同一内容相互矛盾的，以最后发出的加盖公章的书面文件为准。</w:t>
      </w:r>
    </w:p>
    <w:p w14:paraId="4FE9A0BC">
      <w:pPr>
        <w:pStyle w:val="3"/>
        <w:spacing w:before="480" w:after="120"/>
        <w:rPr>
          <w:rFonts w:hint="eastAsia" w:ascii="Times New Roman" w:hAnsi="Times New Roman" w:cs="宋体"/>
          <w:bCs/>
          <w:sz w:val="30"/>
          <w:szCs w:val="30"/>
          <w:highlight w:val="none"/>
        </w:rPr>
      </w:pPr>
      <w:bookmarkStart w:id="21" w:name="_Toc3278"/>
      <w:bookmarkStart w:id="22" w:name="_Toc5110"/>
      <w:r>
        <w:rPr>
          <w:rFonts w:hint="eastAsia" w:ascii="Times New Roman" w:hAnsi="Times New Roman" w:cs="宋体"/>
          <w:bCs/>
          <w:sz w:val="30"/>
          <w:szCs w:val="30"/>
          <w:highlight w:val="none"/>
        </w:rPr>
        <w:t>（三）响应文件的编制</w:t>
      </w:r>
      <w:bookmarkEnd w:id="21"/>
      <w:bookmarkEnd w:id="22"/>
    </w:p>
    <w:p w14:paraId="35D38B0E">
      <w:pPr>
        <w:snapToGrid w:val="0"/>
        <w:spacing w:line="360" w:lineRule="auto"/>
        <w:ind w:firstLine="422" w:firstLineChars="200"/>
        <w:rPr>
          <w:rFonts w:hint="eastAsia" w:cs="宋体"/>
          <w:b/>
          <w:szCs w:val="21"/>
          <w:highlight w:val="none"/>
        </w:rPr>
      </w:pPr>
      <w:bookmarkStart w:id="23" w:name="_Toc52592037"/>
      <w:bookmarkStart w:id="24" w:name="_Toc24336358"/>
      <w:r>
        <w:rPr>
          <w:rFonts w:hint="eastAsia" w:cs="宋体"/>
          <w:b/>
          <w:szCs w:val="21"/>
          <w:highlight w:val="none"/>
        </w:rPr>
        <w:t>8.投标要求</w:t>
      </w:r>
      <w:bookmarkEnd w:id="23"/>
      <w:bookmarkEnd w:id="24"/>
    </w:p>
    <w:p w14:paraId="6A91A669">
      <w:pPr>
        <w:snapToGrid w:val="0"/>
        <w:spacing w:line="360" w:lineRule="auto"/>
        <w:ind w:firstLine="420" w:firstLineChars="200"/>
        <w:rPr>
          <w:rFonts w:hint="eastAsia" w:cs="宋体"/>
          <w:szCs w:val="21"/>
          <w:highlight w:val="none"/>
        </w:rPr>
      </w:pPr>
      <w:r>
        <w:rPr>
          <w:rFonts w:hint="eastAsia" w:cs="宋体"/>
          <w:szCs w:val="21"/>
          <w:highlight w:val="none"/>
        </w:rPr>
        <w:t>8.1供应商应仔细阅读采购文件的所有内容，按采购文件的要求编制响应文件，并保证所提供的全部资料的真实性，以使其投标对采购文件实质性要求作出完全响应，否则，其投标可能被拒绝。任何对采购文件的忽略或误解不能作为响应文件没有完全响应采购文件的有效理由。</w:t>
      </w:r>
    </w:p>
    <w:p w14:paraId="61B9A080">
      <w:pPr>
        <w:snapToGrid w:val="0"/>
        <w:spacing w:line="360" w:lineRule="auto"/>
        <w:ind w:firstLine="422" w:firstLineChars="200"/>
        <w:rPr>
          <w:rFonts w:hint="eastAsia" w:cs="宋体"/>
          <w:b/>
          <w:bCs/>
          <w:szCs w:val="21"/>
          <w:highlight w:val="none"/>
        </w:rPr>
      </w:pPr>
      <w:r>
        <w:rPr>
          <w:rFonts w:hint="eastAsia" w:cs="宋体"/>
          <w:b/>
          <w:bCs/>
          <w:szCs w:val="21"/>
          <w:highlight w:val="none"/>
        </w:rPr>
        <w:t>9.响应文件的语言和计量单位</w:t>
      </w:r>
    </w:p>
    <w:p w14:paraId="45B716F1">
      <w:pPr>
        <w:snapToGrid w:val="0"/>
        <w:spacing w:line="360" w:lineRule="auto"/>
        <w:ind w:firstLine="420" w:firstLineChars="200"/>
        <w:rPr>
          <w:rFonts w:hint="eastAsia" w:cs="宋体"/>
          <w:szCs w:val="21"/>
          <w:highlight w:val="none"/>
        </w:rPr>
      </w:pPr>
      <w:r>
        <w:rPr>
          <w:rFonts w:hint="eastAsia" w:cs="宋体"/>
          <w:szCs w:val="21"/>
          <w:highlight w:val="none"/>
        </w:rPr>
        <w:t>9.1响应文件和与投标有关的所有文件均应使用汉语。供应商可以提交用其他语言印制的资料，但与投标实质性内容有关的段落必须译成中文，在有差异和矛盾时以中文为准。</w:t>
      </w:r>
    </w:p>
    <w:p w14:paraId="01D4D0EF">
      <w:pPr>
        <w:snapToGrid w:val="0"/>
        <w:spacing w:line="360" w:lineRule="auto"/>
        <w:ind w:firstLine="420" w:firstLineChars="200"/>
        <w:rPr>
          <w:rFonts w:hint="eastAsia" w:cs="宋体"/>
          <w:b/>
          <w:szCs w:val="21"/>
          <w:highlight w:val="none"/>
        </w:rPr>
      </w:pPr>
      <w:r>
        <w:rPr>
          <w:rFonts w:hint="eastAsia" w:cs="宋体"/>
          <w:szCs w:val="21"/>
          <w:highlight w:val="none"/>
        </w:rPr>
        <w:t>9.2除在技术规格中另有规定外，响应文件使用的度量衡单位，均采用中华人民共和国法定计量单位。</w:t>
      </w:r>
    </w:p>
    <w:p w14:paraId="06964AD6">
      <w:pPr>
        <w:snapToGrid w:val="0"/>
        <w:spacing w:line="360" w:lineRule="auto"/>
        <w:ind w:firstLine="422" w:firstLineChars="200"/>
        <w:rPr>
          <w:rFonts w:hint="eastAsia" w:cs="宋体"/>
          <w:b/>
          <w:szCs w:val="21"/>
          <w:highlight w:val="none"/>
        </w:rPr>
      </w:pPr>
      <w:r>
        <w:rPr>
          <w:rFonts w:cs="宋体"/>
          <w:b/>
          <w:szCs w:val="21"/>
          <w:highlight w:val="none"/>
        </w:rPr>
        <w:br w:type="page"/>
      </w:r>
      <w:r>
        <w:rPr>
          <w:rFonts w:hint="eastAsia" w:cs="宋体"/>
          <w:b/>
          <w:szCs w:val="21"/>
          <w:highlight w:val="none"/>
        </w:rPr>
        <w:t>10.响应文件的构成</w:t>
      </w:r>
    </w:p>
    <w:p w14:paraId="48ED900F">
      <w:pPr>
        <w:snapToGrid w:val="0"/>
        <w:spacing w:line="360" w:lineRule="auto"/>
        <w:ind w:firstLine="422" w:firstLineChars="200"/>
        <w:rPr>
          <w:rFonts w:hint="eastAsia" w:cs="宋体"/>
          <w:b/>
          <w:szCs w:val="21"/>
          <w:highlight w:val="none"/>
        </w:rPr>
      </w:pPr>
      <w:r>
        <w:rPr>
          <w:rFonts w:hint="eastAsia" w:cs="宋体"/>
          <w:b/>
          <w:szCs w:val="21"/>
          <w:highlight w:val="none"/>
        </w:rPr>
        <w:t>响应文件由资格文件、商务技术文件、报价文件三部分组成，响应文件编制时需根据采购文件资格要求及评分细则提供资料，并与响应文件目录或索引对应。</w:t>
      </w:r>
    </w:p>
    <w:p w14:paraId="2D39C2E0">
      <w:pPr>
        <w:snapToGrid w:val="0"/>
        <w:spacing w:line="360" w:lineRule="auto"/>
        <w:ind w:firstLine="420"/>
        <w:rPr>
          <w:b/>
          <w:bCs/>
          <w:szCs w:val="21"/>
          <w:highlight w:val="none"/>
        </w:rPr>
      </w:pPr>
      <w:r>
        <w:rPr>
          <w:rFonts w:hint="eastAsia"/>
          <w:b/>
          <w:bCs/>
          <w:szCs w:val="21"/>
          <w:highlight w:val="none"/>
        </w:rPr>
        <w:t>10.1 资格文件</w:t>
      </w:r>
    </w:p>
    <w:p w14:paraId="2A6A3E7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（1）营业执照（或者事业单位法人证书、社会团体法人登记证书、其他组织登记证明文件）；</w:t>
      </w:r>
    </w:p>
    <w:p w14:paraId="6813958D">
      <w:pPr>
        <w:snapToGrid w:val="0"/>
        <w:spacing w:line="360" w:lineRule="auto"/>
        <w:ind w:firstLine="420"/>
        <w:rPr>
          <w:rFonts w:hint="eastAsia"/>
          <w:szCs w:val="21"/>
          <w:highlight w:val="none"/>
        </w:rPr>
      </w:pPr>
      <w:r>
        <w:rPr>
          <w:rFonts w:hint="eastAsia"/>
          <w:szCs w:val="21"/>
          <w:highlight w:val="none"/>
        </w:rPr>
        <w:t>（2）法定代表人身份证明或附有法定代表人和授权代表身份证明的授权委托书</w:t>
      </w:r>
    </w:p>
    <w:p w14:paraId="7399F9D1">
      <w:pPr>
        <w:snapToGrid w:val="0"/>
        <w:spacing w:line="360" w:lineRule="auto"/>
        <w:ind w:firstLine="420"/>
        <w:rPr>
          <w:rFonts w:hint="eastAsia"/>
          <w:szCs w:val="21"/>
          <w:highlight w:val="none"/>
        </w:rPr>
      </w:pPr>
      <w:r>
        <w:rPr>
          <w:rFonts w:hint="eastAsia"/>
          <w:szCs w:val="21"/>
          <w:highlight w:val="none"/>
        </w:rPr>
        <w:t>（3）投标声明书</w:t>
      </w:r>
    </w:p>
    <w:p w14:paraId="464C40C1">
      <w:pPr>
        <w:snapToGrid w:val="0"/>
        <w:spacing w:line="360" w:lineRule="auto"/>
        <w:ind w:firstLine="420"/>
        <w:rPr>
          <w:rFonts w:hint="eastAsia"/>
          <w:szCs w:val="21"/>
          <w:highlight w:val="none"/>
        </w:rPr>
      </w:pPr>
      <w:r>
        <w:rPr>
          <w:rFonts w:hint="eastAsia"/>
          <w:szCs w:val="21"/>
          <w:highlight w:val="none"/>
        </w:rPr>
        <w:t>（4）本项目的特定资格要求</w:t>
      </w:r>
    </w:p>
    <w:p w14:paraId="76BDC4AA">
      <w:pPr>
        <w:snapToGrid w:val="0"/>
        <w:spacing w:line="360" w:lineRule="auto"/>
        <w:ind w:firstLine="420"/>
        <w:rPr>
          <w:b/>
          <w:bCs/>
          <w:szCs w:val="21"/>
          <w:highlight w:val="none"/>
        </w:rPr>
      </w:pPr>
      <w:r>
        <w:rPr>
          <w:rFonts w:hint="eastAsia"/>
          <w:b/>
          <w:bCs/>
          <w:szCs w:val="21"/>
          <w:highlight w:val="none"/>
        </w:rPr>
        <w:t>10.2 商务技术文件</w:t>
      </w:r>
    </w:p>
    <w:p w14:paraId="6B3A67AA">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（1）评分索引表（根据评分内容自拟）</w:t>
      </w:r>
    </w:p>
    <w:p w14:paraId="48EEF9E8">
      <w:pPr>
        <w:pStyle w:val="81"/>
        <w:spacing w:line="360" w:lineRule="auto"/>
        <w:ind w:firstLine="420" w:firstLineChars="200"/>
        <w:rPr>
          <w:rFonts w:hint="eastAsia" w:ascii="宋体" w:hAnsi="宋体"/>
          <w:highlight w:val="none"/>
        </w:rPr>
      </w:pPr>
      <w:r>
        <w:rPr>
          <w:rFonts w:hint="eastAsia" w:ascii="宋体" w:hAnsi="宋体"/>
          <w:highlight w:val="none"/>
        </w:rPr>
        <w:t>（2）供应商情况表</w:t>
      </w:r>
    </w:p>
    <w:p w14:paraId="45D9ED6B">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（3）供应商类似项目业绩汇总表</w:t>
      </w:r>
    </w:p>
    <w:p w14:paraId="3414A0FB">
      <w:pPr>
        <w:pStyle w:val="81"/>
        <w:spacing w:line="360" w:lineRule="auto"/>
        <w:ind w:firstLine="420" w:firstLineChars="200"/>
        <w:rPr>
          <w:rFonts w:hint="eastAsia"/>
          <w:highlight w:val="none"/>
        </w:rPr>
      </w:pPr>
      <w:r>
        <w:rPr>
          <w:rFonts w:hint="eastAsia" w:ascii="宋体" w:hAnsi="宋体"/>
          <w:highlight w:val="none"/>
        </w:rPr>
        <w:t>（4）</w:t>
      </w:r>
      <w:r>
        <w:rPr>
          <w:rFonts w:hint="eastAsia"/>
          <w:highlight w:val="none"/>
        </w:rPr>
        <w:t>技术方案</w:t>
      </w:r>
    </w:p>
    <w:p w14:paraId="30D28E5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（5）供应商满足商务技术评分的其他材料</w:t>
      </w:r>
    </w:p>
    <w:p w14:paraId="071FCC07">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w:t>
      </w:r>
      <w:r>
        <w:rPr>
          <w:rFonts w:ascii="宋体" w:hAnsi="宋体" w:cs="宋体"/>
          <w:sz w:val="24"/>
          <w:highlight w:val="none"/>
        </w:rPr>
        <w:t>供应商</w:t>
      </w:r>
      <w:r>
        <w:rPr>
          <w:rFonts w:hint="eastAsia" w:ascii="宋体" w:hAnsi="宋体" w:cs="宋体"/>
          <w:szCs w:val="21"/>
          <w:highlight w:val="none"/>
        </w:rPr>
        <w:t>认为需要说明的其他文件等。</w:t>
      </w:r>
    </w:p>
    <w:p w14:paraId="7CC16160">
      <w:pPr>
        <w:spacing w:line="360" w:lineRule="auto"/>
        <w:ind w:firstLine="420"/>
        <w:rPr>
          <w:rFonts w:ascii="宋体" w:hAnsi="宋体"/>
          <w:b/>
          <w:szCs w:val="21"/>
          <w:highlight w:val="none"/>
        </w:rPr>
      </w:pPr>
      <w:r>
        <w:rPr>
          <w:rFonts w:hint="eastAsia" w:ascii="宋体" w:hAnsi="宋体"/>
          <w:b/>
          <w:szCs w:val="21"/>
          <w:highlight w:val="none"/>
        </w:rPr>
        <w:t>10.3 报价文件</w:t>
      </w:r>
    </w:p>
    <w:p w14:paraId="5BC54081">
      <w:pPr>
        <w:spacing w:line="360" w:lineRule="auto"/>
        <w:ind w:firstLine="420" w:firstLineChars="200"/>
        <w:rPr>
          <w:rFonts w:ascii="宋体" w:hAnsi="宋体"/>
          <w:szCs w:val="21"/>
          <w:highlight w:val="none"/>
        </w:rPr>
      </w:pPr>
      <w:r>
        <w:rPr>
          <w:rFonts w:hint="eastAsia" w:ascii="宋体" w:hAnsi="宋体"/>
          <w:szCs w:val="21"/>
          <w:highlight w:val="none"/>
        </w:rPr>
        <w:t>（1）投标函（格式见附件）</w:t>
      </w:r>
    </w:p>
    <w:p w14:paraId="1D938048">
      <w:pPr>
        <w:spacing w:line="360" w:lineRule="auto"/>
        <w:ind w:firstLine="420" w:firstLineChars="200"/>
        <w:rPr>
          <w:rFonts w:hint="eastAsia" w:ascii="宋体" w:hAnsi="宋体"/>
          <w:szCs w:val="21"/>
          <w:highlight w:val="none"/>
        </w:rPr>
      </w:pPr>
      <w:r>
        <w:rPr>
          <w:rFonts w:hint="eastAsia" w:ascii="宋体" w:hAnsi="宋体"/>
          <w:szCs w:val="21"/>
          <w:highlight w:val="none"/>
        </w:rPr>
        <w:t>（2）开标一览表（格式见附件）</w:t>
      </w:r>
    </w:p>
    <w:p w14:paraId="106BA63B">
      <w:pPr>
        <w:tabs>
          <w:tab w:val="left" w:pos="5025"/>
        </w:tabs>
        <w:spacing w:line="360" w:lineRule="auto"/>
        <w:ind w:firstLine="420" w:firstLineChars="200"/>
        <w:rPr>
          <w:rFonts w:hint="eastAsia" w:ascii="宋体" w:hAnsi="宋体"/>
          <w:szCs w:val="21"/>
          <w:highlight w:val="none"/>
        </w:rPr>
      </w:pPr>
      <w:r>
        <w:rPr>
          <w:rFonts w:hint="eastAsia" w:ascii="宋体" w:hAnsi="宋体"/>
          <w:szCs w:val="21"/>
          <w:highlight w:val="none"/>
        </w:rPr>
        <w:t>（3）供应商需要说明的其他文件和说明</w:t>
      </w:r>
    </w:p>
    <w:p w14:paraId="1C4E8377">
      <w:pPr>
        <w:snapToGrid w:val="0"/>
        <w:spacing w:line="360" w:lineRule="auto"/>
        <w:ind w:firstLine="422" w:firstLineChars="200"/>
        <w:jc w:val="left"/>
        <w:rPr>
          <w:rFonts w:hint="eastAsia" w:cs="宋体"/>
          <w:b/>
          <w:szCs w:val="21"/>
          <w:highlight w:val="none"/>
          <w:u w:val="single"/>
        </w:rPr>
      </w:pPr>
      <w:r>
        <w:rPr>
          <w:rFonts w:hint="eastAsia" w:cs="宋体"/>
          <w:b/>
          <w:szCs w:val="21"/>
          <w:highlight w:val="none"/>
        </w:rPr>
        <w:t>以上所需的各种证书、证明、营业执照若系复印件，需在复印件上盖上有效的公章。</w:t>
      </w:r>
    </w:p>
    <w:p w14:paraId="5AF0860B">
      <w:pPr>
        <w:snapToGrid w:val="0"/>
        <w:spacing w:line="360" w:lineRule="auto"/>
        <w:ind w:firstLine="422" w:firstLineChars="200"/>
        <w:rPr>
          <w:rFonts w:hint="eastAsia" w:cs="宋体"/>
          <w:b/>
          <w:szCs w:val="21"/>
          <w:highlight w:val="none"/>
        </w:rPr>
      </w:pPr>
      <w:r>
        <w:rPr>
          <w:rFonts w:hint="eastAsia" w:cs="宋体"/>
          <w:b/>
          <w:szCs w:val="21"/>
          <w:highlight w:val="none"/>
        </w:rPr>
        <w:t>11.响应文件格式</w:t>
      </w:r>
    </w:p>
    <w:p w14:paraId="29335FDE">
      <w:pPr>
        <w:snapToGrid w:val="0"/>
        <w:spacing w:line="360" w:lineRule="auto"/>
        <w:ind w:firstLine="420" w:firstLineChars="200"/>
        <w:rPr>
          <w:rFonts w:hint="eastAsia" w:cs="宋体"/>
          <w:szCs w:val="21"/>
          <w:highlight w:val="none"/>
        </w:rPr>
      </w:pPr>
      <w:r>
        <w:rPr>
          <w:rFonts w:hint="eastAsia" w:cs="宋体"/>
          <w:szCs w:val="21"/>
          <w:highlight w:val="none"/>
        </w:rPr>
        <w:t>11.1供应商应按照采购文件中所提出的格式、内容编写分块上传。供应商可以根据需要增加说明或描述性文字。</w:t>
      </w:r>
    </w:p>
    <w:p w14:paraId="21B3B428">
      <w:pPr>
        <w:snapToGrid w:val="0"/>
        <w:spacing w:line="360" w:lineRule="auto"/>
        <w:ind w:firstLine="420" w:firstLineChars="200"/>
        <w:rPr>
          <w:rFonts w:hint="eastAsia" w:cs="宋体"/>
          <w:szCs w:val="21"/>
          <w:highlight w:val="none"/>
        </w:rPr>
      </w:pPr>
      <w:r>
        <w:rPr>
          <w:rFonts w:hint="eastAsia" w:cs="宋体"/>
          <w:szCs w:val="21"/>
          <w:highlight w:val="none"/>
        </w:rPr>
        <w:t>11.2投标函为在开标仪式上唱标的内容，供应商需按格式填写，统一规范，不得自行增减内容。</w:t>
      </w:r>
    </w:p>
    <w:p w14:paraId="09F2C141">
      <w:pPr>
        <w:snapToGrid w:val="0"/>
        <w:spacing w:line="360" w:lineRule="auto"/>
        <w:ind w:firstLine="420" w:firstLineChars="200"/>
        <w:rPr>
          <w:rFonts w:hint="eastAsia" w:cs="宋体"/>
          <w:szCs w:val="21"/>
          <w:highlight w:val="none"/>
        </w:rPr>
      </w:pPr>
      <w:r>
        <w:rPr>
          <w:rFonts w:hint="eastAsia" w:cs="宋体"/>
          <w:szCs w:val="21"/>
          <w:highlight w:val="none"/>
        </w:rPr>
        <w:t>11.3供应商需按本项目要求的投标内容详细编制说明材料。</w:t>
      </w:r>
    </w:p>
    <w:p w14:paraId="6EB8C0D5">
      <w:pPr>
        <w:snapToGrid w:val="0"/>
        <w:spacing w:line="360" w:lineRule="auto"/>
        <w:ind w:firstLine="422" w:firstLineChars="200"/>
        <w:rPr>
          <w:rFonts w:hint="eastAsia" w:cs="宋体"/>
          <w:b/>
          <w:szCs w:val="21"/>
          <w:highlight w:val="none"/>
        </w:rPr>
      </w:pPr>
      <w:r>
        <w:rPr>
          <w:rFonts w:hint="eastAsia" w:cs="宋体"/>
          <w:b/>
          <w:szCs w:val="21"/>
          <w:highlight w:val="none"/>
        </w:rPr>
        <w:t>12.投标报价</w:t>
      </w:r>
    </w:p>
    <w:p w14:paraId="648B5AAB">
      <w:pPr>
        <w:spacing w:line="360" w:lineRule="auto"/>
        <w:ind w:firstLine="420" w:firstLineChars="200"/>
        <w:rPr>
          <w:rFonts w:hint="eastAsia" w:cs="宋体"/>
          <w:szCs w:val="21"/>
          <w:highlight w:val="none"/>
        </w:rPr>
      </w:pPr>
      <w:r>
        <w:rPr>
          <w:rFonts w:hint="eastAsia" w:cs="宋体"/>
          <w:szCs w:val="21"/>
          <w:highlight w:val="none"/>
        </w:rPr>
        <w:t>12.1供应商应该用人民币投标</w:t>
      </w:r>
      <w:r>
        <w:rPr>
          <w:rFonts w:hint="eastAsia"/>
          <w:szCs w:val="21"/>
          <w:highlight w:val="none"/>
        </w:rPr>
        <w:t>单价和总价报价，单位为元，不保留小数。供应商应在投标书的开标一览表上写明投标服务的单价和投标总价，如总价与单价计算的总价有误，以单价为准计算总价。须包括完成采购服务工作所需的一切费用。</w:t>
      </w:r>
      <w:r>
        <w:rPr>
          <w:rFonts w:hint="eastAsia"/>
          <w:b/>
          <w:bCs/>
          <w:szCs w:val="21"/>
          <w:highlight w:val="none"/>
        </w:rPr>
        <w:t>供应商所报的投标总价，不论任何原因，在该合同执行过程中是固定的。供应商在投标报价时应充分考虑上述原则。</w:t>
      </w:r>
    </w:p>
    <w:p w14:paraId="1F919B58">
      <w:pPr>
        <w:snapToGrid w:val="0"/>
        <w:spacing w:line="360" w:lineRule="auto"/>
        <w:ind w:firstLine="422" w:firstLineChars="200"/>
        <w:rPr>
          <w:rFonts w:hint="eastAsia"/>
          <w:b/>
          <w:szCs w:val="21"/>
          <w:highlight w:val="none"/>
        </w:rPr>
      </w:pPr>
      <w:r>
        <w:rPr>
          <w:rFonts w:hint="eastAsia" w:cs="宋体"/>
          <w:b/>
          <w:szCs w:val="21"/>
          <w:highlight w:val="none"/>
        </w:rPr>
        <w:t>12.2</w:t>
      </w:r>
      <w:r>
        <w:rPr>
          <w:rFonts w:hint="eastAsia"/>
          <w:b/>
          <w:szCs w:val="21"/>
          <w:highlight w:val="none"/>
        </w:rPr>
        <w:t>供应商报价不得高于最高限价，否则将被拒绝。</w:t>
      </w:r>
    </w:p>
    <w:p w14:paraId="62D72104">
      <w:pPr>
        <w:snapToGrid w:val="0"/>
        <w:spacing w:line="360" w:lineRule="auto"/>
        <w:ind w:firstLine="422" w:firstLineChars="200"/>
        <w:rPr>
          <w:rFonts w:hint="eastAsia" w:cs="宋体"/>
          <w:b/>
          <w:szCs w:val="21"/>
          <w:highlight w:val="none"/>
        </w:rPr>
      </w:pPr>
      <w:r>
        <w:rPr>
          <w:rFonts w:hint="eastAsia" w:cs="宋体"/>
          <w:b/>
          <w:szCs w:val="21"/>
          <w:highlight w:val="none"/>
        </w:rPr>
        <w:t>13.投标有效期</w:t>
      </w:r>
    </w:p>
    <w:p w14:paraId="17A77D08">
      <w:pPr>
        <w:snapToGrid w:val="0"/>
        <w:spacing w:line="360" w:lineRule="auto"/>
        <w:ind w:firstLine="420" w:firstLineChars="200"/>
        <w:rPr>
          <w:rFonts w:hint="eastAsia" w:cs="宋体"/>
          <w:szCs w:val="21"/>
          <w:highlight w:val="none"/>
        </w:rPr>
      </w:pPr>
      <w:r>
        <w:rPr>
          <w:rFonts w:hint="eastAsia" w:cs="宋体"/>
          <w:szCs w:val="21"/>
          <w:highlight w:val="none"/>
        </w:rPr>
        <w:t>13.1投标有效期见本须知前附表第10项所规定的期限，在此期限内，凡符合本采购文件要求的响应文件均保持有效。</w:t>
      </w:r>
    </w:p>
    <w:p w14:paraId="22F3D71A">
      <w:pPr>
        <w:snapToGrid w:val="0"/>
        <w:spacing w:line="360" w:lineRule="auto"/>
        <w:ind w:firstLine="420" w:firstLineChars="200"/>
        <w:rPr>
          <w:rFonts w:hint="eastAsia" w:cs="宋体"/>
          <w:szCs w:val="21"/>
          <w:highlight w:val="none"/>
        </w:rPr>
      </w:pPr>
      <w:r>
        <w:rPr>
          <w:rFonts w:hint="eastAsia" w:cs="宋体"/>
          <w:szCs w:val="21"/>
          <w:highlight w:val="none"/>
        </w:rPr>
        <w:t>13.2在特殊情况下，采购单位在原定投标有效期内，可以根据需要以书面形式向供应商提出延长投标有效期的要求，对此要求供应商须以书面形式予以答复。供应商可以拒绝采购单位这种要求，而并收回响应保证金。同意延长投标有效期的供应商既不能要求也不允许修改其响应文件，但需要相应的延长响应保证金的有效期，在延长的投标有效期内本须知关于响应保证金的退还与不退还的规定仍然适用。</w:t>
      </w:r>
    </w:p>
    <w:p w14:paraId="631091BF">
      <w:pPr>
        <w:snapToGrid w:val="0"/>
        <w:spacing w:line="360" w:lineRule="auto"/>
        <w:ind w:firstLine="422" w:firstLineChars="200"/>
        <w:rPr>
          <w:rFonts w:hint="eastAsia" w:cs="宋体"/>
          <w:b/>
          <w:szCs w:val="21"/>
          <w:highlight w:val="none"/>
        </w:rPr>
      </w:pPr>
      <w:r>
        <w:rPr>
          <w:rFonts w:hint="eastAsia" w:cs="宋体"/>
          <w:b/>
          <w:szCs w:val="21"/>
          <w:highlight w:val="none"/>
        </w:rPr>
        <w:t>14.响应保证金（本项目不适用）</w:t>
      </w:r>
    </w:p>
    <w:p w14:paraId="17378B06">
      <w:pPr>
        <w:snapToGrid w:val="0"/>
        <w:spacing w:line="360" w:lineRule="auto"/>
        <w:ind w:firstLine="420" w:firstLineChars="200"/>
        <w:rPr>
          <w:rFonts w:hint="eastAsia" w:cs="宋体"/>
          <w:szCs w:val="21"/>
          <w:highlight w:val="none"/>
        </w:rPr>
      </w:pPr>
      <w:r>
        <w:rPr>
          <w:rFonts w:hint="eastAsia" w:cs="宋体"/>
          <w:szCs w:val="21"/>
          <w:highlight w:val="none"/>
        </w:rPr>
        <w:t>14.1供应商应在提交响应文件的同时，按本须知前附表第5项所规定的方式.数额提交响应保证金，并作为其响应文件的一部分。</w:t>
      </w:r>
    </w:p>
    <w:p w14:paraId="7A888990">
      <w:pPr>
        <w:snapToGrid w:val="0"/>
        <w:spacing w:line="360" w:lineRule="auto"/>
        <w:ind w:firstLine="420" w:firstLineChars="200"/>
        <w:rPr>
          <w:rFonts w:hint="eastAsia" w:cs="宋体"/>
          <w:szCs w:val="21"/>
          <w:highlight w:val="none"/>
        </w:rPr>
      </w:pPr>
      <w:r>
        <w:rPr>
          <w:rFonts w:hint="eastAsia" w:cs="宋体"/>
          <w:szCs w:val="21"/>
          <w:highlight w:val="none"/>
        </w:rPr>
        <w:t>14.2对于未能按要求提交响应保证金的投标，采购单位将视为不响应采购文件而予以拒绝。</w:t>
      </w:r>
    </w:p>
    <w:p w14:paraId="24EAD33A">
      <w:pPr>
        <w:snapToGrid w:val="0"/>
        <w:spacing w:line="360" w:lineRule="auto"/>
        <w:ind w:firstLine="420" w:firstLineChars="200"/>
        <w:rPr>
          <w:rFonts w:hint="eastAsia" w:cs="宋体"/>
          <w:szCs w:val="21"/>
          <w:highlight w:val="none"/>
        </w:rPr>
      </w:pPr>
      <w:r>
        <w:rPr>
          <w:rFonts w:hint="eastAsia" w:cs="宋体"/>
          <w:szCs w:val="21"/>
          <w:highlight w:val="none"/>
        </w:rPr>
        <w:t>14.3除采购文件规定不予退还保证金的情形外，自中标通知书发出后5日内退还未中标供应商的响应保证金（含银行同期存款利息）；中标人的响应保证金，自合同签订完成后的5日内退还（含银行同期存款利息）。</w:t>
      </w:r>
    </w:p>
    <w:p w14:paraId="324F047F">
      <w:pPr>
        <w:snapToGrid w:val="0"/>
        <w:spacing w:line="360" w:lineRule="auto"/>
        <w:ind w:firstLine="420" w:firstLineChars="200"/>
        <w:rPr>
          <w:rFonts w:hint="eastAsia" w:cs="宋体"/>
          <w:szCs w:val="21"/>
          <w:highlight w:val="none"/>
        </w:rPr>
      </w:pPr>
      <w:r>
        <w:rPr>
          <w:rFonts w:hint="eastAsia" w:cs="宋体"/>
          <w:szCs w:val="21"/>
          <w:highlight w:val="none"/>
        </w:rPr>
        <w:t>14.4如供应商发生下列情况之一时，响应保证金将不予退还：</w:t>
      </w:r>
    </w:p>
    <w:p w14:paraId="68259C26">
      <w:pPr>
        <w:snapToGrid w:val="0"/>
        <w:spacing w:line="360" w:lineRule="auto"/>
        <w:ind w:firstLine="420" w:firstLineChars="200"/>
        <w:rPr>
          <w:rFonts w:hint="eastAsia" w:cs="宋体"/>
          <w:szCs w:val="21"/>
          <w:highlight w:val="none"/>
        </w:rPr>
      </w:pPr>
      <w:r>
        <w:rPr>
          <w:rFonts w:hint="eastAsia" w:cs="宋体"/>
          <w:szCs w:val="21"/>
          <w:highlight w:val="none"/>
        </w:rPr>
        <w:t>（1）供应商在投标有效期内撤回其响应文件的；</w:t>
      </w:r>
    </w:p>
    <w:p w14:paraId="65BCCCC7">
      <w:pPr>
        <w:snapToGrid w:val="0"/>
        <w:spacing w:line="360" w:lineRule="auto"/>
        <w:ind w:firstLine="420" w:firstLineChars="200"/>
        <w:rPr>
          <w:rFonts w:hint="eastAsia" w:cs="宋体"/>
          <w:szCs w:val="21"/>
          <w:highlight w:val="none"/>
        </w:rPr>
      </w:pPr>
      <w:r>
        <w:rPr>
          <w:rFonts w:hint="eastAsia" w:cs="宋体"/>
          <w:szCs w:val="21"/>
          <w:highlight w:val="none"/>
        </w:rPr>
        <w:t>（2）供应商拒绝接受响应文件中已确认的承诺或条款；</w:t>
      </w:r>
    </w:p>
    <w:p w14:paraId="50605049">
      <w:pPr>
        <w:snapToGrid w:val="0"/>
        <w:spacing w:line="360" w:lineRule="auto"/>
        <w:ind w:firstLine="420" w:firstLineChars="200"/>
        <w:rPr>
          <w:rFonts w:hint="eastAsia" w:cs="宋体"/>
          <w:szCs w:val="21"/>
          <w:highlight w:val="none"/>
        </w:rPr>
      </w:pPr>
      <w:r>
        <w:rPr>
          <w:rFonts w:hint="eastAsia" w:cs="宋体"/>
          <w:szCs w:val="21"/>
          <w:highlight w:val="none"/>
        </w:rPr>
        <w:t>（3）中标人未能在规定期限内签订合同协议；</w:t>
      </w:r>
    </w:p>
    <w:p w14:paraId="670BFC7B">
      <w:pPr>
        <w:snapToGrid w:val="0"/>
        <w:spacing w:line="360" w:lineRule="auto"/>
        <w:ind w:firstLine="420" w:firstLineChars="200"/>
        <w:rPr>
          <w:rFonts w:hint="eastAsia" w:cs="宋体"/>
          <w:szCs w:val="21"/>
          <w:highlight w:val="none"/>
        </w:rPr>
      </w:pPr>
      <w:r>
        <w:rPr>
          <w:rFonts w:hint="eastAsia" w:cs="宋体"/>
          <w:szCs w:val="21"/>
          <w:highlight w:val="none"/>
        </w:rPr>
        <w:t>（4）以他人名义投标或者以其他方式弄虚作假，骗取中标的；</w:t>
      </w:r>
    </w:p>
    <w:p w14:paraId="77F6CB55">
      <w:pPr>
        <w:snapToGrid w:val="0"/>
        <w:spacing w:line="360" w:lineRule="auto"/>
        <w:ind w:firstLine="420" w:firstLineChars="200"/>
        <w:rPr>
          <w:rFonts w:hint="eastAsia" w:cs="宋体"/>
          <w:szCs w:val="21"/>
          <w:highlight w:val="none"/>
        </w:rPr>
      </w:pPr>
      <w:r>
        <w:rPr>
          <w:rFonts w:hint="eastAsia" w:cs="宋体"/>
          <w:szCs w:val="21"/>
          <w:highlight w:val="none"/>
        </w:rPr>
        <w:t>（5）供应商与采购单位.其他供应商或者采购代理机构恶意串通的。</w:t>
      </w:r>
    </w:p>
    <w:p w14:paraId="5D398716">
      <w:pPr>
        <w:spacing w:line="360" w:lineRule="auto"/>
        <w:ind w:firstLine="422" w:firstLineChars="200"/>
        <w:rPr>
          <w:rFonts w:hint="eastAsia"/>
          <w:b/>
          <w:bCs/>
          <w:szCs w:val="21"/>
          <w:highlight w:val="none"/>
        </w:rPr>
      </w:pPr>
      <w:r>
        <w:rPr>
          <w:rFonts w:hint="eastAsia"/>
          <w:b/>
          <w:bCs/>
          <w:szCs w:val="21"/>
          <w:highlight w:val="none"/>
        </w:rPr>
        <w:t>15.响应文件的式样和签署</w:t>
      </w:r>
    </w:p>
    <w:p w14:paraId="60F9B2B9">
      <w:pPr>
        <w:spacing w:line="360" w:lineRule="auto"/>
        <w:ind w:firstLine="422" w:firstLineChars="200"/>
        <w:rPr>
          <w:rFonts w:hint="eastAsia"/>
          <w:b/>
          <w:bCs/>
          <w:szCs w:val="21"/>
          <w:highlight w:val="none"/>
        </w:rPr>
      </w:pPr>
      <w:r>
        <w:rPr>
          <w:rFonts w:hint="eastAsia"/>
          <w:b/>
          <w:bCs/>
          <w:szCs w:val="21"/>
          <w:highlight w:val="none"/>
        </w:rPr>
        <w:t>15.1本项目实行网上响应。</w:t>
      </w:r>
    </w:p>
    <w:p w14:paraId="0477C5BE">
      <w:pPr>
        <w:spacing w:line="360" w:lineRule="auto"/>
        <w:ind w:firstLine="422" w:firstLineChars="200"/>
        <w:rPr>
          <w:rFonts w:hint="eastAsia"/>
          <w:b/>
          <w:bCs/>
          <w:szCs w:val="21"/>
          <w:highlight w:val="none"/>
        </w:rPr>
      </w:pPr>
      <w:r>
        <w:rPr>
          <w:rFonts w:hint="eastAsia"/>
          <w:b/>
          <w:bCs/>
          <w:szCs w:val="21"/>
          <w:highlight w:val="none"/>
        </w:rPr>
        <w:t>15.2 供应商应准备以下几种形式的响应文件：电子加密响应文件、以介质存储的数据电文形式的备份响应文件。</w:t>
      </w:r>
    </w:p>
    <w:p w14:paraId="6AD08429">
      <w:pPr>
        <w:spacing w:line="360" w:lineRule="auto"/>
        <w:ind w:firstLine="422" w:firstLineChars="200"/>
        <w:rPr>
          <w:rFonts w:hint="eastAsia"/>
          <w:b/>
          <w:bCs/>
          <w:szCs w:val="21"/>
          <w:highlight w:val="none"/>
        </w:rPr>
      </w:pPr>
      <w:r>
        <w:rPr>
          <w:rFonts w:hint="eastAsia"/>
          <w:b/>
          <w:bCs/>
          <w:szCs w:val="21"/>
          <w:highlight w:val="none"/>
        </w:rPr>
        <w:t>响应文件均由资质文件.报价文件.商务技术文件组成。</w:t>
      </w:r>
    </w:p>
    <w:p w14:paraId="5DE2D21A">
      <w:pPr>
        <w:spacing w:line="360" w:lineRule="auto"/>
        <w:ind w:firstLine="422" w:firstLineChars="200"/>
        <w:rPr>
          <w:rFonts w:hint="eastAsia"/>
          <w:b/>
          <w:bCs/>
          <w:szCs w:val="21"/>
          <w:highlight w:val="none"/>
        </w:rPr>
      </w:pPr>
      <w:r>
        <w:rPr>
          <w:rFonts w:hint="eastAsia"/>
          <w:b/>
          <w:bCs/>
          <w:szCs w:val="21"/>
          <w:highlight w:val="none"/>
        </w:rPr>
        <w:t>（1）“电子加密响应文件”是指通过“电子投标客户端”完成响应文件编制后生成并加密的数据电文形式的响应文件（后缀格式为.jmbs）。</w:t>
      </w:r>
    </w:p>
    <w:p w14:paraId="24FDED36">
      <w:pPr>
        <w:spacing w:line="360" w:lineRule="auto"/>
        <w:ind w:firstLine="422" w:firstLineChars="200"/>
        <w:rPr>
          <w:rFonts w:hint="eastAsia"/>
          <w:b/>
          <w:bCs/>
          <w:szCs w:val="21"/>
          <w:highlight w:val="none"/>
        </w:rPr>
      </w:pPr>
      <w:r>
        <w:rPr>
          <w:rFonts w:hint="eastAsia"/>
          <w:b/>
          <w:bCs/>
          <w:szCs w:val="21"/>
          <w:highlight w:val="none"/>
        </w:rPr>
        <w:t>（2）“备份响应文件”是指与“电子加密响应文件”同时生成的数据电文形式的电子文件（备份响应文件，用于供应商电子加密响应文件解密异常时应急使用），其他方式编制的备份响应文件视为无效备份响应文件。</w:t>
      </w:r>
      <w:r>
        <w:rPr>
          <w:rFonts w:ascii="宋体" w:hAnsi="宋体" w:cs="宋体"/>
          <w:b/>
          <w:szCs w:val="21"/>
          <w:highlight w:val="none"/>
        </w:rPr>
        <w:t>但采购人、采购代理机构不强制或变相强制</w:t>
      </w:r>
      <w:r>
        <w:rPr>
          <w:rFonts w:hint="eastAsia" w:ascii="宋体" w:hAnsi="宋体" w:cs="宋体"/>
          <w:b/>
          <w:szCs w:val="21"/>
          <w:highlight w:val="none"/>
        </w:rPr>
        <w:t>供应商</w:t>
      </w:r>
      <w:r>
        <w:rPr>
          <w:rFonts w:ascii="宋体" w:hAnsi="宋体" w:cs="宋体"/>
          <w:b/>
          <w:szCs w:val="21"/>
          <w:highlight w:val="none"/>
        </w:rPr>
        <w:t>提交备份投标文件。</w:t>
      </w:r>
    </w:p>
    <w:p w14:paraId="57F51804">
      <w:pPr>
        <w:spacing w:line="360" w:lineRule="auto"/>
        <w:ind w:firstLine="422" w:firstLineChars="200"/>
        <w:rPr>
          <w:b/>
          <w:bCs/>
          <w:szCs w:val="21"/>
          <w:highlight w:val="none"/>
        </w:rPr>
      </w:pPr>
      <w:r>
        <w:rPr>
          <w:rFonts w:hint="eastAsia"/>
          <w:b/>
          <w:bCs/>
          <w:szCs w:val="21"/>
          <w:highlight w:val="none"/>
        </w:rPr>
        <w:t>15.3响应文件须按照采购文件要求加盖供应商公章（除此之外的投标专用章.合同章等均视为无效）.法定代表人或其委托代理人签字或盖章。</w:t>
      </w:r>
    </w:p>
    <w:p w14:paraId="08061F39">
      <w:pPr>
        <w:spacing w:line="360" w:lineRule="auto"/>
        <w:ind w:firstLine="422" w:firstLineChars="200"/>
        <w:rPr>
          <w:rFonts w:hint="eastAsia"/>
          <w:b/>
          <w:bCs/>
          <w:szCs w:val="21"/>
          <w:highlight w:val="none"/>
        </w:rPr>
      </w:pPr>
      <w:r>
        <w:rPr>
          <w:rFonts w:hint="eastAsia"/>
          <w:b/>
          <w:bCs/>
          <w:szCs w:val="21"/>
          <w:highlight w:val="none"/>
        </w:rPr>
        <w:t>15.4供应商应根据杭州交投集中采购平台操作手册及本采购文件规定编制电子响应文件并进行关联定位，以便评标委员会在评标时，点击评分项，可直接定位到该评分项内容。</w:t>
      </w:r>
    </w:p>
    <w:p w14:paraId="43DB1DC3">
      <w:pPr>
        <w:spacing w:line="360" w:lineRule="auto"/>
        <w:ind w:firstLine="422" w:firstLineChars="200"/>
        <w:rPr>
          <w:rFonts w:hint="eastAsia"/>
          <w:b/>
          <w:bCs/>
          <w:szCs w:val="21"/>
          <w:highlight w:val="none"/>
        </w:rPr>
      </w:pPr>
      <w:r>
        <w:rPr>
          <w:rFonts w:hint="eastAsia"/>
          <w:b/>
          <w:bCs/>
          <w:szCs w:val="21"/>
          <w:highlight w:val="none"/>
        </w:rPr>
        <w:t>如对采购文件的某项要求，供应商的投标响应文件未能提供相应的内容与其对应，则评标委员会在评审时会提示供应商未对此项采购要求提供相应内容。由此产生的评分影响由供应商自行承担。</w:t>
      </w:r>
    </w:p>
    <w:p w14:paraId="03A570A6">
      <w:pPr>
        <w:spacing w:line="360" w:lineRule="auto"/>
        <w:ind w:firstLine="422" w:firstLineChars="200"/>
        <w:rPr>
          <w:rFonts w:hint="eastAsia" w:cs="宋体"/>
          <w:b/>
          <w:bCs/>
          <w:szCs w:val="21"/>
          <w:highlight w:val="none"/>
        </w:rPr>
      </w:pPr>
      <w:r>
        <w:rPr>
          <w:rFonts w:hint="eastAsia"/>
          <w:b/>
          <w:bCs/>
          <w:szCs w:val="21"/>
          <w:highlight w:val="none"/>
        </w:rPr>
        <w:t>15.5</w:t>
      </w:r>
      <w:r>
        <w:rPr>
          <w:b/>
          <w:bCs/>
          <w:szCs w:val="21"/>
          <w:highlight w:val="none"/>
        </w:rPr>
        <w:t>除</w:t>
      </w:r>
      <w:r>
        <w:rPr>
          <w:rFonts w:hint="eastAsia"/>
          <w:b/>
          <w:bCs/>
          <w:szCs w:val="21"/>
          <w:highlight w:val="none"/>
        </w:rPr>
        <w:t>供应商</w:t>
      </w:r>
      <w:r>
        <w:rPr>
          <w:b/>
          <w:bCs/>
          <w:szCs w:val="21"/>
          <w:highlight w:val="none"/>
        </w:rPr>
        <w:t>对错误处须修改外，全套</w:t>
      </w:r>
      <w:r>
        <w:rPr>
          <w:rFonts w:hint="eastAsia"/>
          <w:b/>
          <w:bCs/>
          <w:szCs w:val="21"/>
          <w:highlight w:val="none"/>
        </w:rPr>
        <w:t>响应文件</w:t>
      </w:r>
      <w:r>
        <w:rPr>
          <w:b/>
          <w:bCs/>
          <w:szCs w:val="21"/>
          <w:highlight w:val="none"/>
        </w:rPr>
        <w:t>应无涂改或行间插字和增删。如有修改，修改处应由</w:t>
      </w:r>
      <w:r>
        <w:rPr>
          <w:rFonts w:hint="eastAsia"/>
          <w:b/>
          <w:bCs/>
          <w:szCs w:val="21"/>
          <w:highlight w:val="none"/>
        </w:rPr>
        <w:t>供应商</w:t>
      </w:r>
      <w:r>
        <w:rPr>
          <w:b/>
          <w:bCs/>
          <w:szCs w:val="21"/>
          <w:highlight w:val="none"/>
        </w:rPr>
        <w:t>加盖</w:t>
      </w:r>
      <w:r>
        <w:rPr>
          <w:rFonts w:hint="eastAsia"/>
          <w:b/>
          <w:bCs/>
          <w:szCs w:val="21"/>
          <w:highlight w:val="none"/>
        </w:rPr>
        <w:t>供应商</w:t>
      </w:r>
      <w:r>
        <w:rPr>
          <w:b/>
          <w:bCs/>
          <w:szCs w:val="21"/>
          <w:highlight w:val="none"/>
        </w:rPr>
        <w:t>的印章或由</w:t>
      </w:r>
      <w:r>
        <w:rPr>
          <w:rFonts w:hint="eastAsia"/>
          <w:b/>
          <w:bCs/>
          <w:szCs w:val="21"/>
          <w:highlight w:val="none"/>
        </w:rPr>
        <w:t>响应文件</w:t>
      </w:r>
      <w:r>
        <w:rPr>
          <w:b/>
          <w:bCs/>
          <w:szCs w:val="21"/>
          <w:highlight w:val="none"/>
        </w:rPr>
        <w:t>签字人签字或盖章。</w:t>
      </w:r>
    </w:p>
    <w:p w14:paraId="78E33929">
      <w:pPr>
        <w:pStyle w:val="3"/>
        <w:spacing w:before="480" w:after="120"/>
        <w:rPr>
          <w:rFonts w:hint="eastAsia" w:ascii="Times New Roman" w:hAnsi="Times New Roman" w:cs="宋体"/>
          <w:bCs/>
          <w:sz w:val="30"/>
          <w:szCs w:val="30"/>
          <w:highlight w:val="none"/>
        </w:rPr>
      </w:pPr>
      <w:bookmarkStart w:id="25" w:name="_Toc495977857"/>
      <w:bookmarkStart w:id="26" w:name="_Toc17227"/>
      <w:bookmarkStart w:id="27" w:name="_Toc29331"/>
      <w:r>
        <w:rPr>
          <w:rFonts w:hint="eastAsia" w:ascii="Times New Roman" w:hAnsi="Times New Roman" w:cs="宋体"/>
          <w:bCs/>
          <w:sz w:val="30"/>
          <w:szCs w:val="30"/>
          <w:highlight w:val="none"/>
        </w:rPr>
        <w:t>（四）响应文件的递交</w:t>
      </w:r>
      <w:bookmarkEnd w:id="25"/>
      <w:bookmarkEnd w:id="26"/>
      <w:bookmarkEnd w:id="27"/>
    </w:p>
    <w:p w14:paraId="74D29838">
      <w:pPr>
        <w:snapToGrid w:val="0"/>
        <w:spacing w:line="360" w:lineRule="auto"/>
        <w:ind w:firstLine="422" w:firstLineChars="200"/>
        <w:rPr>
          <w:b/>
          <w:szCs w:val="21"/>
          <w:highlight w:val="none"/>
        </w:rPr>
      </w:pPr>
      <w:r>
        <w:rPr>
          <w:rFonts w:hint="eastAsia" w:cs="宋体"/>
          <w:b/>
          <w:szCs w:val="21"/>
          <w:highlight w:val="none"/>
        </w:rPr>
        <w:t>16.</w:t>
      </w:r>
      <w:r>
        <w:rPr>
          <w:rFonts w:hint="eastAsia"/>
          <w:b/>
          <w:szCs w:val="21"/>
          <w:highlight w:val="none"/>
        </w:rPr>
        <w:t>响应文件</w:t>
      </w:r>
      <w:r>
        <w:rPr>
          <w:b/>
          <w:szCs w:val="21"/>
          <w:highlight w:val="none"/>
        </w:rPr>
        <w:t>的</w:t>
      </w:r>
      <w:r>
        <w:rPr>
          <w:rFonts w:hint="eastAsia"/>
          <w:b/>
          <w:szCs w:val="21"/>
          <w:highlight w:val="none"/>
        </w:rPr>
        <w:t>提交、补充、修改、撤回</w:t>
      </w:r>
    </w:p>
    <w:p w14:paraId="6F9EA8E6">
      <w:pPr>
        <w:adjustRightInd w:val="0"/>
        <w:snapToGrid w:val="0"/>
        <w:spacing w:line="360" w:lineRule="auto"/>
        <w:ind w:firstLine="420" w:firstLineChars="200"/>
        <w:jc w:val="left"/>
        <w:rPr>
          <w:rFonts w:hint="eastAsia"/>
          <w:szCs w:val="21"/>
          <w:highlight w:val="none"/>
        </w:rPr>
      </w:pPr>
      <w:r>
        <w:rPr>
          <w:rFonts w:hint="eastAsia"/>
          <w:szCs w:val="21"/>
          <w:highlight w:val="none"/>
        </w:rPr>
        <w:t>16.1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D8EEF9">
      <w:pPr>
        <w:adjustRightInd w:val="0"/>
        <w:snapToGrid w:val="0"/>
        <w:spacing w:line="360" w:lineRule="auto"/>
        <w:ind w:firstLine="420" w:firstLineChars="200"/>
        <w:jc w:val="left"/>
        <w:rPr>
          <w:rFonts w:hint="eastAsia"/>
          <w:szCs w:val="21"/>
          <w:highlight w:val="none"/>
        </w:rPr>
      </w:pPr>
      <w:r>
        <w:rPr>
          <w:rFonts w:hint="eastAsia"/>
          <w:szCs w:val="21"/>
          <w:highlight w:val="none"/>
        </w:rPr>
        <w:t>16.2电子交易平台收到投标文件，将妥善保存并即时向供应商发出确认回执通知。在投标截止时间前，除供应商补充、修改或者撤回投标文件外，任何单位和个人不得解密或提取投标文件。</w:t>
      </w:r>
    </w:p>
    <w:p w14:paraId="40B39540">
      <w:pPr>
        <w:adjustRightInd w:val="0"/>
        <w:snapToGrid w:val="0"/>
        <w:spacing w:line="360" w:lineRule="auto"/>
        <w:ind w:firstLine="420" w:firstLineChars="200"/>
        <w:jc w:val="left"/>
        <w:rPr>
          <w:szCs w:val="21"/>
          <w:highlight w:val="none"/>
        </w:rPr>
      </w:pPr>
      <w:r>
        <w:rPr>
          <w:rFonts w:hint="eastAsia"/>
          <w:szCs w:val="21"/>
          <w:highlight w:val="none"/>
        </w:rPr>
        <w:t>16.3采购人、采购代理机构可以视情况延长投标文件提交的截止时间。在上述情况下，采购代理机构与供应商以前在投标截止期方面的全部权利、责任和义务，将适用于延长至新的投标截止期。</w:t>
      </w:r>
    </w:p>
    <w:p w14:paraId="2801BC8E">
      <w:pPr>
        <w:adjustRightInd w:val="0"/>
        <w:snapToGrid w:val="0"/>
        <w:spacing w:line="360" w:lineRule="auto"/>
        <w:ind w:firstLine="420" w:firstLineChars="200"/>
        <w:jc w:val="left"/>
        <w:rPr>
          <w:rFonts w:hint="eastAsia"/>
          <w:szCs w:val="21"/>
          <w:highlight w:val="none"/>
        </w:rPr>
      </w:pPr>
      <w:r>
        <w:rPr>
          <w:rFonts w:hint="eastAsia"/>
          <w:szCs w:val="21"/>
          <w:highlight w:val="none"/>
        </w:rPr>
        <w:t xml:space="preserve">16.4 </w:t>
      </w:r>
      <w:r>
        <w:rPr>
          <w:rFonts w:hint="eastAsia" w:ascii="宋体" w:hAnsi="宋体" w:cs="宋体"/>
          <w:bCs/>
          <w:szCs w:val="21"/>
          <w:highlight w:val="none"/>
        </w:rPr>
        <w:t>供应商</w:t>
      </w:r>
      <w:r>
        <w:rPr>
          <w:rFonts w:ascii="宋体" w:hAnsi="宋体" w:cs="宋体"/>
          <w:bCs/>
          <w:szCs w:val="21"/>
          <w:highlight w:val="none"/>
        </w:rPr>
        <w:t>在电子交易平台传输递交投标文件后，还可以</w:t>
      </w:r>
      <w:r>
        <w:rPr>
          <w:rFonts w:hint="eastAsia" w:ascii="宋体" w:hAnsi="宋体" w:cs="宋体"/>
          <w:bCs/>
          <w:szCs w:val="21"/>
          <w:highlight w:val="none"/>
        </w:rPr>
        <w:t>递交</w:t>
      </w:r>
      <w:r>
        <w:rPr>
          <w:rFonts w:hint="eastAsia"/>
          <w:szCs w:val="21"/>
          <w:highlight w:val="none"/>
        </w:rPr>
        <w:t>备份响应文件（后缀格式为.bfbs）一份，在投标截止时间前以压缩包形式加密发送至邮箱</w:t>
      </w:r>
      <w:r>
        <w:rPr>
          <w:rFonts w:hint="eastAsia"/>
          <w:szCs w:val="21"/>
          <w:highlight w:val="none"/>
          <w:lang w:eastAsia="zh-CN"/>
        </w:rPr>
        <w:t>380071769</w:t>
      </w:r>
      <w:r>
        <w:rPr>
          <w:rFonts w:hint="eastAsia"/>
          <w:szCs w:val="21"/>
          <w:highlight w:val="none"/>
        </w:rPr>
        <w:t>@qq.com。文件名称命名为单位简称+项目名称。</w:t>
      </w:r>
    </w:p>
    <w:p w14:paraId="24080910">
      <w:pPr>
        <w:adjustRightInd w:val="0"/>
        <w:snapToGrid w:val="0"/>
        <w:spacing w:line="360" w:lineRule="auto"/>
        <w:ind w:firstLine="422" w:firstLineChars="200"/>
        <w:jc w:val="left"/>
        <w:rPr>
          <w:b/>
          <w:bCs/>
          <w:snapToGrid w:val="0"/>
          <w:kern w:val="0"/>
          <w:szCs w:val="21"/>
          <w:highlight w:val="none"/>
        </w:rPr>
      </w:pPr>
      <w:r>
        <w:rPr>
          <w:rFonts w:hint="eastAsia" w:cs="宋体"/>
          <w:b/>
          <w:bCs/>
          <w:snapToGrid w:val="0"/>
          <w:kern w:val="0"/>
          <w:szCs w:val="21"/>
          <w:highlight w:val="none"/>
        </w:rPr>
        <w:t>▲</w:t>
      </w:r>
      <w:r>
        <w:rPr>
          <w:b/>
          <w:bCs/>
          <w:snapToGrid w:val="0"/>
          <w:kern w:val="0"/>
          <w:szCs w:val="21"/>
          <w:highlight w:val="none"/>
        </w:rPr>
        <w:t>仅提供备份响应文件的，投标无效。</w:t>
      </w:r>
    </w:p>
    <w:p w14:paraId="22887D39">
      <w:pPr>
        <w:adjustRightInd w:val="0"/>
        <w:snapToGrid w:val="0"/>
        <w:spacing w:line="360" w:lineRule="auto"/>
        <w:ind w:firstLine="422" w:firstLineChars="200"/>
        <w:jc w:val="left"/>
        <w:rPr>
          <w:b/>
          <w:bCs/>
          <w:snapToGrid w:val="0"/>
          <w:kern w:val="0"/>
          <w:szCs w:val="21"/>
          <w:highlight w:val="none"/>
        </w:rPr>
      </w:pPr>
      <w:r>
        <w:rPr>
          <w:rFonts w:hint="eastAsia" w:cs="宋体"/>
          <w:b/>
          <w:bCs/>
          <w:snapToGrid w:val="0"/>
          <w:kern w:val="0"/>
          <w:szCs w:val="21"/>
          <w:highlight w:val="none"/>
        </w:rPr>
        <w:t>▲</w:t>
      </w:r>
      <w:r>
        <w:rPr>
          <w:rFonts w:hint="eastAsia"/>
          <w:b/>
          <w:bCs/>
          <w:snapToGrid w:val="0"/>
          <w:kern w:val="0"/>
          <w:szCs w:val="21"/>
          <w:highlight w:val="none"/>
        </w:rPr>
        <w:t>不</w:t>
      </w:r>
      <w:r>
        <w:rPr>
          <w:b/>
          <w:bCs/>
          <w:snapToGrid w:val="0"/>
          <w:kern w:val="0"/>
          <w:szCs w:val="21"/>
          <w:highlight w:val="none"/>
        </w:rPr>
        <w:t>提供备份响应文件，造成项目开评标活动无法进行下去的，投标无效，相关风险由供应商自行承担。</w:t>
      </w:r>
    </w:p>
    <w:p w14:paraId="386D0B17">
      <w:pPr>
        <w:adjustRightInd w:val="0"/>
        <w:snapToGrid w:val="0"/>
        <w:spacing w:line="360" w:lineRule="auto"/>
        <w:ind w:firstLine="422" w:firstLineChars="200"/>
        <w:jc w:val="left"/>
        <w:rPr>
          <w:rFonts w:hint="eastAsia" w:cs="宋体"/>
          <w:szCs w:val="21"/>
          <w:highlight w:val="none"/>
        </w:rPr>
      </w:pPr>
      <w:r>
        <w:rPr>
          <w:rFonts w:hint="eastAsia" w:cs="宋体"/>
          <w:b/>
          <w:szCs w:val="21"/>
          <w:highlight w:val="none"/>
        </w:rPr>
        <w:t>17.响应文件的提交</w:t>
      </w:r>
    </w:p>
    <w:p w14:paraId="5A122DB6">
      <w:pPr>
        <w:snapToGrid w:val="0"/>
        <w:spacing w:line="360" w:lineRule="auto"/>
        <w:ind w:firstLine="420" w:firstLineChars="200"/>
        <w:rPr>
          <w:rFonts w:hint="eastAsia" w:cs="宋体"/>
          <w:szCs w:val="21"/>
          <w:highlight w:val="none"/>
        </w:rPr>
      </w:pPr>
      <w:r>
        <w:rPr>
          <w:rFonts w:hint="eastAsia" w:cs="宋体"/>
          <w:szCs w:val="21"/>
          <w:highlight w:val="none"/>
        </w:rPr>
        <w:t>供应商应按本须知前附表第16项所规定的地点，于截止时间前提交响应文件。</w:t>
      </w:r>
    </w:p>
    <w:p w14:paraId="40BFBCFC">
      <w:pPr>
        <w:snapToGrid w:val="0"/>
        <w:spacing w:line="360" w:lineRule="auto"/>
        <w:ind w:firstLine="422" w:firstLineChars="200"/>
        <w:rPr>
          <w:rFonts w:hint="eastAsia" w:cs="宋体"/>
          <w:szCs w:val="21"/>
          <w:highlight w:val="none"/>
        </w:rPr>
      </w:pPr>
      <w:r>
        <w:rPr>
          <w:rFonts w:hint="eastAsia" w:cs="宋体"/>
          <w:b/>
          <w:szCs w:val="21"/>
          <w:highlight w:val="none"/>
        </w:rPr>
        <w:t>18.响应文件提交的截止时间</w:t>
      </w:r>
    </w:p>
    <w:p w14:paraId="44C9E700">
      <w:pPr>
        <w:snapToGrid w:val="0"/>
        <w:spacing w:line="360" w:lineRule="auto"/>
        <w:ind w:firstLine="420" w:firstLineChars="200"/>
        <w:rPr>
          <w:rFonts w:hint="eastAsia" w:cs="宋体"/>
          <w:szCs w:val="21"/>
          <w:highlight w:val="none"/>
        </w:rPr>
      </w:pPr>
      <w:r>
        <w:rPr>
          <w:rFonts w:hint="eastAsia" w:cs="宋体"/>
          <w:szCs w:val="21"/>
          <w:highlight w:val="none"/>
        </w:rPr>
        <w:t>18.1响应文件的截止时间见本须知前附表第17项规定。</w:t>
      </w:r>
    </w:p>
    <w:p w14:paraId="5C44AC10">
      <w:pPr>
        <w:snapToGrid w:val="0"/>
        <w:spacing w:line="360" w:lineRule="auto"/>
        <w:ind w:firstLine="420"/>
        <w:rPr>
          <w:rFonts w:hint="eastAsia" w:cs="宋体"/>
          <w:szCs w:val="21"/>
          <w:highlight w:val="none"/>
        </w:rPr>
      </w:pPr>
      <w:r>
        <w:rPr>
          <w:rFonts w:hint="eastAsia" w:cs="宋体"/>
          <w:szCs w:val="21"/>
          <w:highlight w:val="none"/>
        </w:rPr>
        <w:t>18.2因采购文件的修改推迟投标截止时间时，则按采购单位修改通知规定的时间递交。</w:t>
      </w:r>
    </w:p>
    <w:p w14:paraId="3CB4CB32">
      <w:pPr>
        <w:snapToGrid w:val="0"/>
        <w:spacing w:line="360" w:lineRule="auto"/>
        <w:ind w:firstLine="420"/>
        <w:rPr>
          <w:rFonts w:hint="eastAsia" w:cs="宋体"/>
          <w:b/>
          <w:szCs w:val="21"/>
          <w:highlight w:val="none"/>
        </w:rPr>
      </w:pPr>
      <w:r>
        <w:rPr>
          <w:rFonts w:hint="eastAsia" w:cs="宋体"/>
          <w:b/>
          <w:szCs w:val="21"/>
          <w:highlight w:val="none"/>
        </w:rPr>
        <w:t>19.迟交的响应文件</w:t>
      </w:r>
    </w:p>
    <w:p w14:paraId="7896F392">
      <w:pPr>
        <w:snapToGrid w:val="0"/>
        <w:spacing w:line="360" w:lineRule="auto"/>
        <w:ind w:firstLine="420"/>
        <w:rPr>
          <w:rFonts w:hint="eastAsia" w:cs="宋体"/>
          <w:szCs w:val="21"/>
          <w:highlight w:val="none"/>
        </w:rPr>
      </w:pPr>
      <w:r>
        <w:rPr>
          <w:rFonts w:hint="eastAsia" w:cs="宋体"/>
          <w:szCs w:val="21"/>
          <w:highlight w:val="none"/>
        </w:rPr>
        <w:t>采购单位在本须知第17条规定的投标截止时间以后收到的响应文件，将被拒绝并退回给供应商。</w:t>
      </w:r>
    </w:p>
    <w:p w14:paraId="179DA4EA">
      <w:pPr>
        <w:snapToGrid w:val="0"/>
        <w:spacing w:line="360" w:lineRule="auto"/>
        <w:ind w:firstLine="420"/>
        <w:rPr>
          <w:rFonts w:hint="eastAsia" w:cs="宋体"/>
          <w:b/>
          <w:szCs w:val="21"/>
          <w:highlight w:val="none"/>
        </w:rPr>
      </w:pPr>
      <w:r>
        <w:rPr>
          <w:rFonts w:hint="eastAsia" w:cs="宋体"/>
          <w:b/>
          <w:szCs w:val="21"/>
          <w:highlight w:val="none"/>
        </w:rPr>
        <w:t>20.响应文件的补充、修改与撤回</w:t>
      </w:r>
    </w:p>
    <w:p w14:paraId="39214DBA">
      <w:pPr>
        <w:snapToGrid w:val="0"/>
        <w:spacing w:line="360" w:lineRule="auto"/>
        <w:ind w:firstLine="420"/>
        <w:rPr>
          <w:rFonts w:hint="eastAsia" w:cs="宋体"/>
          <w:szCs w:val="21"/>
          <w:highlight w:val="none"/>
        </w:rPr>
      </w:pPr>
      <w:r>
        <w:rPr>
          <w:rFonts w:hint="eastAsia" w:cs="宋体"/>
          <w:szCs w:val="21"/>
          <w:highlight w:val="none"/>
        </w:rPr>
        <w:t>20.1供应商在提交响应文件以后，在规定的投标截止时间之前，可以书面形式补充修改或撤回已提交的响应文件，并以书面形式通知采购单位。补充、修改的内容为响应文件的组成部分。</w:t>
      </w:r>
    </w:p>
    <w:p w14:paraId="40C8F109">
      <w:pPr>
        <w:snapToGrid w:val="0"/>
        <w:spacing w:line="360" w:lineRule="auto"/>
        <w:ind w:firstLine="420"/>
        <w:rPr>
          <w:snapToGrid w:val="0"/>
          <w:kern w:val="0"/>
          <w:szCs w:val="21"/>
          <w:highlight w:val="none"/>
        </w:rPr>
      </w:pPr>
      <w:r>
        <w:rPr>
          <w:rFonts w:hint="eastAsia" w:cs="宋体"/>
          <w:szCs w:val="21"/>
          <w:highlight w:val="none"/>
        </w:rPr>
        <w:t>20.2</w:t>
      </w:r>
      <w:r>
        <w:rPr>
          <w:rFonts w:cs="Arial"/>
          <w:szCs w:val="21"/>
          <w:highlight w:val="none"/>
        </w:rPr>
        <w:t>在投标截止时间至投标有效期满之前，</w:t>
      </w:r>
      <w:r>
        <w:rPr>
          <w:rFonts w:hint="eastAsia" w:cs="Arial"/>
          <w:szCs w:val="21"/>
          <w:highlight w:val="none"/>
        </w:rPr>
        <w:t>供应商</w:t>
      </w:r>
      <w:r>
        <w:rPr>
          <w:rFonts w:cs="Arial"/>
          <w:szCs w:val="21"/>
          <w:highlight w:val="none"/>
        </w:rPr>
        <w:t>不得撤回其</w:t>
      </w:r>
      <w:r>
        <w:rPr>
          <w:rFonts w:hint="eastAsia" w:cs="Arial"/>
          <w:szCs w:val="21"/>
          <w:highlight w:val="none"/>
        </w:rPr>
        <w:t>响应文件</w:t>
      </w:r>
      <w:r>
        <w:rPr>
          <w:rFonts w:cs="Arial"/>
          <w:szCs w:val="21"/>
          <w:highlight w:val="none"/>
        </w:rPr>
        <w:t>，否则其</w:t>
      </w:r>
      <w:r>
        <w:rPr>
          <w:rFonts w:hint="eastAsia" w:cs="Arial"/>
          <w:szCs w:val="21"/>
          <w:highlight w:val="none"/>
        </w:rPr>
        <w:t>响应保证金</w:t>
      </w:r>
      <w:r>
        <w:rPr>
          <w:rFonts w:cs="Arial"/>
          <w:szCs w:val="21"/>
          <w:highlight w:val="none"/>
        </w:rPr>
        <w:t>将</w:t>
      </w:r>
      <w:r>
        <w:rPr>
          <w:rFonts w:hint="eastAsia" w:cs="Arial"/>
          <w:szCs w:val="21"/>
          <w:highlight w:val="none"/>
        </w:rPr>
        <w:t>不予退还</w:t>
      </w:r>
      <w:r>
        <w:rPr>
          <w:rFonts w:cs="Arial"/>
          <w:szCs w:val="21"/>
          <w:highlight w:val="none"/>
        </w:rPr>
        <w:t>。</w:t>
      </w:r>
      <w:r>
        <w:rPr>
          <w:snapToGrid w:val="0"/>
          <w:kern w:val="0"/>
          <w:szCs w:val="21"/>
          <w:highlight w:val="none"/>
        </w:rPr>
        <w:t>供应商应当在投标截止时间前完成</w:t>
      </w:r>
      <w:r>
        <w:rPr>
          <w:rFonts w:hint="eastAsia"/>
          <w:snapToGrid w:val="0"/>
          <w:kern w:val="0"/>
          <w:szCs w:val="21"/>
          <w:highlight w:val="none"/>
        </w:rPr>
        <w:t>投标</w:t>
      </w:r>
      <w:r>
        <w:rPr>
          <w:snapToGrid w:val="0"/>
          <w:kern w:val="0"/>
          <w:szCs w:val="21"/>
          <w:highlight w:val="none"/>
        </w:rPr>
        <w:t>响应文件的上传</w:t>
      </w:r>
      <w:r>
        <w:rPr>
          <w:rFonts w:hint="eastAsia"/>
          <w:snapToGrid w:val="0"/>
          <w:kern w:val="0"/>
          <w:szCs w:val="21"/>
          <w:highlight w:val="none"/>
        </w:rPr>
        <w:t>、</w:t>
      </w:r>
      <w:r>
        <w:rPr>
          <w:snapToGrid w:val="0"/>
          <w:kern w:val="0"/>
          <w:szCs w:val="21"/>
          <w:highlight w:val="none"/>
        </w:rPr>
        <w:t>递交，并可以补充</w:t>
      </w:r>
      <w:r>
        <w:rPr>
          <w:rFonts w:hint="eastAsia"/>
          <w:snapToGrid w:val="0"/>
          <w:kern w:val="0"/>
          <w:szCs w:val="21"/>
          <w:highlight w:val="none"/>
        </w:rPr>
        <w:t>、</w:t>
      </w:r>
      <w:r>
        <w:rPr>
          <w:snapToGrid w:val="0"/>
          <w:kern w:val="0"/>
          <w:szCs w:val="21"/>
          <w:highlight w:val="none"/>
        </w:rPr>
        <w:t>修改或者撤回</w:t>
      </w:r>
      <w:r>
        <w:rPr>
          <w:rFonts w:hint="eastAsia"/>
          <w:snapToGrid w:val="0"/>
          <w:kern w:val="0"/>
          <w:szCs w:val="21"/>
          <w:highlight w:val="none"/>
        </w:rPr>
        <w:t>投标</w:t>
      </w:r>
      <w:r>
        <w:rPr>
          <w:snapToGrid w:val="0"/>
          <w:kern w:val="0"/>
          <w:szCs w:val="21"/>
          <w:highlight w:val="none"/>
        </w:rPr>
        <w:t>响应文件。补充或者修改</w:t>
      </w:r>
      <w:r>
        <w:rPr>
          <w:rFonts w:hint="eastAsia"/>
          <w:snapToGrid w:val="0"/>
          <w:kern w:val="0"/>
          <w:szCs w:val="21"/>
          <w:highlight w:val="none"/>
        </w:rPr>
        <w:t>投标</w:t>
      </w:r>
      <w:r>
        <w:rPr>
          <w:snapToGrid w:val="0"/>
          <w:kern w:val="0"/>
          <w:szCs w:val="21"/>
          <w:highlight w:val="none"/>
        </w:rPr>
        <w:t>响应文件的，应当先行撤回原文件，补充</w:t>
      </w:r>
      <w:r>
        <w:rPr>
          <w:rFonts w:hint="eastAsia"/>
          <w:snapToGrid w:val="0"/>
          <w:kern w:val="0"/>
          <w:szCs w:val="21"/>
          <w:highlight w:val="none"/>
        </w:rPr>
        <w:t>、</w:t>
      </w:r>
      <w:r>
        <w:rPr>
          <w:snapToGrid w:val="0"/>
          <w:kern w:val="0"/>
          <w:szCs w:val="21"/>
          <w:highlight w:val="none"/>
        </w:rPr>
        <w:t>修改后重新上传</w:t>
      </w:r>
      <w:r>
        <w:rPr>
          <w:rFonts w:hint="eastAsia"/>
          <w:snapToGrid w:val="0"/>
          <w:kern w:val="0"/>
          <w:szCs w:val="21"/>
          <w:highlight w:val="none"/>
        </w:rPr>
        <w:t>、</w:t>
      </w:r>
      <w:r>
        <w:rPr>
          <w:snapToGrid w:val="0"/>
          <w:kern w:val="0"/>
          <w:szCs w:val="21"/>
          <w:highlight w:val="none"/>
        </w:rPr>
        <w:t>递交。投标截止时间前未完成上传</w:t>
      </w:r>
      <w:r>
        <w:rPr>
          <w:rFonts w:hint="eastAsia"/>
          <w:snapToGrid w:val="0"/>
          <w:kern w:val="0"/>
          <w:szCs w:val="21"/>
          <w:highlight w:val="none"/>
        </w:rPr>
        <w:t>、</w:t>
      </w:r>
      <w:r>
        <w:rPr>
          <w:snapToGrid w:val="0"/>
          <w:kern w:val="0"/>
          <w:szCs w:val="21"/>
          <w:highlight w:val="none"/>
        </w:rPr>
        <w:t>递交的，视为撤回</w:t>
      </w:r>
      <w:r>
        <w:rPr>
          <w:rFonts w:hint="eastAsia"/>
          <w:snapToGrid w:val="0"/>
          <w:kern w:val="0"/>
          <w:szCs w:val="21"/>
          <w:highlight w:val="none"/>
        </w:rPr>
        <w:t>投标</w:t>
      </w:r>
      <w:r>
        <w:rPr>
          <w:snapToGrid w:val="0"/>
          <w:kern w:val="0"/>
          <w:szCs w:val="21"/>
          <w:highlight w:val="none"/>
        </w:rPr>
        <w:t>响应文件。</w:t>
      </w:r>
      <w:r>
        <w:rPr>
          <w:rFonts w:hint="eastAsia"/>
          <w:snapToGrid w:val="0"/>
          <w:kern w:val="0"/>
          <w:szCs w:val="21"/>
          <w:highlight w:val="none"/>
        </w:rPr>
        <w:t>投标</w:t>
      </w:r>
      <w:r>
        <w:rPr>
          <w:snapToGrid w:val="0"/>
          <w:kern w:val="0"/>
          <w:szCs w:val="21"/>
          <w:highlight w:val="none"/>
        </w:rPr>
        <w:t>响应截止时间后递交的</w:t>
      </w:r>
      <w:r>
        <w:rPr>
          <w:rFonts w:hint="eastAsia"/>
          <w:snapToGrid w:val="0"/>
          <w:kern w:val="0"/>
          <w:szCs w:val="21"/>
          <w:highlight w:val="none"/>
        </w:rPr>
        <w:t>投标</w:t>
      </w:r>
      <w:r>
        <w:rPr>
          <w:snapToGrid w:val="0"/>
          <w:kern w:val="0"/>
          <w:szCs w:val="21"/>
          <w:highlight w:val="none"/>
        </w:rPr>
        <w:t>响应文件，“</w:t>
      </w:r>
      <w:r>
        <w:rPr>
          <w:rFonts w:hint="eastAsia"/>
          <w:snapToGrid w:val="0"/>
          <w:kern w:val="0"/>
          <w:szCs w:val="21"/>
          <w:highlight w:val="none"/>
        </w:rPr>
        <w:t>杭州交投集中采购平台</w:t>
      </w:r>
      <w:r>
        <w:rPr>
          <w:snapToGrid w:val="0"/>
          <w:kern w:val="0"/>
          <w:szCs w:val="21"/>
          <w:highlight w:val="none"/>
        </w:rPr>
        <w:t>”将予以拒收。</w:t>
      </w:r>
    </w:p>
    <w:p w14:paraId="1A34B3CD">
      <w:pPr>
        <w:snapToGrid w:val="0"/>
        <w:spacing w:line="360" w:lineRule="auto"/>
        <w:ind w:firstLine="420"/>
        <w:rPr>
          <w:rFonts w:hint="eastAsia" w:cs="宋体"/>
          <w:szCs w:val="21"/>
          <w:highlight w:val="none"/>
        </w:rPr>
      </w:pPr>
      <w:r>
        <w:rPr>
          <w:rFonts w:hint="eastAsia" w:cs="宋体"/>
          <w:szCs w:val="21"/>
          <w:highlight w:val="none"/>
        </w:rPr>
        <w:t>20.3在投标截止时间之后，供应商不得补充、修改响应文件。</w:t>
      </w:r>
    </w:p>
    <w:p w14:paraId="211FFDDC">
      <w:pPr>
        <w:snapToGrid w:val="0"/>
        <w:spacing w:line="360" w:lineRule="auto"/>
        <w:ind w:firstLine="420"/>
        <w:rPr>
          <w:rFonts w:hint="eastAsia" w:cs="宋体"/>
          <w:szCs w:val="21"/>
          <w:highlight w:val="none"/>
        </w:rPr>
      </w:pPr>
      <w:r>
        <w:rPr>
          <w:rFonts w:hint="eastAsia" w:cs="宋体"/>
          <w:szCs w:val="21"/>
          <w:highlight w:val="none"/>
        </w:rPr>
        <w:t>20.4在投标截止时间至投标有效期满之前，供应商不得撤回其响应文件，否则其响应保证金将不予退还。</w:t>
      </w:r>
    </w:p>
    <w:p w14:paraId="592446FE">
      <w:pPr>
        <w:snapToGrid w:val="0"/>
        <w:spacing w:line="360" w:lineRule="auto"/>
        <w:ind w:firstLine="420"/>
        <w:rPr>
          <w:rFonts w:hint="eastAsia" w:cs="宋体"/>
          <w:b/>
          <w:szCs w:val="21"/>
          <w:highlight w:val="none"/>
        </w:rPr>
      </w:pPr>
      <w:r>
        <w:rPr>
          <w:rFonts w:hint="eastAsia" w:cs="宋体"/>
          <w:b/>
          <w:szCs w:val="21"/>
          <w:highlight w:val="none"/>
        </w:rPr>
        <w:t>21.响应文件有下列情形之一的，采购单位不予受理：</w:t>
      </w:r>
    </w:p>
    <w:p w14:paraId="08588F33">
      <w:pPr>
        <w:snapToGrid w:val="0"/>
        <w:spacing w:line="360" w:lineRule="auto"/>
        <w:ind w:firstLine="420"/>
        <w:rPr>
          <w:rFonts w:hint="eastAsia" w:cs="宋体"/>
          <w:szCs w:val="21"/>
          <w:highlight w:val="none"/>
        </w:rPr>
      </w:pPr>
      <w:r>
        <w:rPr>
          <w:rFonts w:hint="eastAsia" w:cs="宋体"/>
          <w:szCs w:val="21"/>
          <w:highlight w:val="none"/>
        </w:rPr>
        <w:t>21.1逾期递交或者未按要求在网上递交响应文件的；</w:t>
      </w:r>
    </w:p>
    <w:p w14:paraId="4D7F02CC">
      <w:pPr>
        <w:snapToGrid w:val="0"/>
        <w:spacing w:line="360" w:lineRule="auto"/>
        <w:ind w:firstLine="420"/>
        <w:rPr>
          <w:rFonts w:hint="eastAsia" w:cs="宋体"/>
          <w:szCs w:val="21"/>
          <w:highlight w:val="none"/>
        </w:rPr>
      </w:pPr>
      <w:r>
        <w:rPr>
          <w:rFonts w:hint="eastAsia" w:cs="宋体"/>
          <w:szCs w:val="21"/>
          <w:highlight w:val="none"/>
        </w:rPr>
        <w:t>21.2未办理投标报名手续的。</w:t>
      </w:r>
    </w:p>
    <w:p w14:paraId="50406826">
      <w:pPr>
        <w:pStyle w:val="3"/>
        <w:spacing w:before="480" w:after="120"/>
        <w:rPr>
          <w:rFonts w:hint="eastAsia" w:ascii="Times New Roman" w:hAnsi="Times New Roman" w:cs="宋体"/>
          <w:bCs/>
          <w:sz w:val="30"/>
          <w:szCs w:val="30"/>
          <w:highlight w:val="none"/>
        </w:rPr>
      </w:pPr>
      <w:bookmarkStart w:id="28" w:name="_Toc495977858"/>
      <w:bookmarkStart w:id="29" w:name="_Toc3145"/>
      <w:bookmarkStart w:id="30" w:name="_Toc28371"/>
      <w:r>
        <w:rPr>
          <w:rFonts w:hint="eastAsia" w:ascii="Times New Roman" w:hAnsi="Times New Roman" w:cs="宋体"/>
          <w:bCs/>
          <w:sz w:val="30"/>
          <w:szCs w:val="30"/>
          <w:highlight w:val="none"/>
        </w:rPr>
        <w:t>（五）开标</w:t>
      </w:r>
      <w:bookmarkEnd w:id="28"/>
      <w:bookmarkEnd w:id="29"/>
      <w:bookmarkEnd w:id="30"/>
    </w:p>
    <w:p w14:paraId="64AA51D5">
      <w:pPr>
        <w:snapToGrid w:val="0"/>
        <w:spacing w:line="360" w:lineRule="auto"/>
        <w:ind w:firstLine="422" w:firstLineChars="200"/>
        <w:rPr>
          <w:rFonts w:hint="eastAsia"/>
          <w:b/>
          <w:szCs w:val="21"/>
          <w:highlight w:val="none"/>
        </w:rPr>
      </w:pPr>
      <w:r>
        <w:rPr>
          <w:rFonts w:hint="eastAsia" w:cs="宋体"/>
          <w:b/>
          <w:szCs w:val="21"/>
          <w:highlight w:val="none"/>
        </w:rPr>
        <w:t>22.</w:t>
      </w:r>
      <w:r>
        <w:rPr>
          <w:b/>
          <w:szCs w:val="21"/>
          <w:highlight w:val="none"/>
        </w:rPr>
        <w:t>开标</w:t>
      </w:r>
    </w:p>
    <w:p w14:paraId="31A3EC2E">
      <w:pPr>
        <w:pStyle w:val="135"/>
        <w:spacing w:line="360" w:lineRule="auto"/>
        <w:ind w:firstLine="412"/>
        <w:outlineLvl w:val="9"/>
        <w:rPr>
          <w:rFonts w:hint="eastAsia" w:cs="Arial"/>
          <w:sz w:val="21"/>
          <w:szCs w:val="21"/>
          <w:highlight w:val="none"/>
        </w:rPr>
      </w:pPr>
      <w:bookmarkStart w:id="31" w:name="_Toc12736"/>
      <w:r>
        <w:rPr>
          <w:rFonts w:hint="eastAsia" w:cs="Arial"/>
          <w:sz w:val="21"/>
          <w:szCs w:val="21"/>
          <w:highlight w:val="none"/>
        </w:rPr>
        <w:t>采购代理机构将按照采购文件规定的时间通过杭州交投集中采购平台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bookmarkEnd w:id="31"/>
    </w:p>
    <w:p w14:paraId="605CC744">
      <w:pPr>
        <w:spacing w:line="360" w:lineRule="auto"/>
        <w:ind w:firstLine="422" w:firstLineChars="200"/>
        <w:rPr>
          <w:rFonts w:hint="eastAsia" w:cs="Arial"/>
          <w:b/>
          <w:szCs w:val="21"/>
          <w:highlight w:val="none"/>
        </w:rPr>
      </w:pPr>
      <w:r>
        <w:rPr>
          <w:rFonts w:hint="eastAsia" w:cs="Arial"/>
          <w:b/>
          <w:szCs w:val="21"/>
          <w:highlight w:val="none"/>
        </w:rPr>
        <w:t>至投标截止时间，递交响应文件的供应商少于三个的，采购单位将停止开标，重新组织采购。</w:t>
      </w:r>
    </w:p>
    <w:p w14:paraId="1C349E95">
      <w:pPr>
        <w:spacing w:line="360" w:lineRule="auto"/>
        <w:ind w:firstLine="422" w:firstLineChars="200"/>
        <w:rPr>
          <w:b/>
          <w:szCs w:val="21"/>
          <w:highlight w:val="none"/>
        </w:rPr>
      </w:pPr>
      <w:r>
        <w:rPr>
          <w:rFonts w:hint="eastAsia" w:cs="Arial"/>
          <w:b/>
          <w:szCs w:val="21"/>
          <w:highlight w:val="none"/>
        </w:rPr>
        <w:t>23.</w:t>
      </w:r>
      <w:r>
        <w:rPr>
          <w:b/>
          <w:szCs w:val="21"/>
          <w:highlight w:val="none"/>
        </w:rPr>
        <w:t>开标程序</w:t>
      </w:r>
    </w:p>
    <w:p w14:paraId="3DAC269B">
      <w:pPr>
        <w:adjustRightInd w:val="0"/>
        <w:snapToGrid w:val="0"/>
        <w:spacing w:line="360" w:lineRule="auto"/>
        <w:ind w:firstLine="420" w:firstLineChars="200"/>
        <w:jc w:val="left"/>
        <w:rPr>
          <w:rFonts w:hint="eastAsia" w:cs="宋体"/>
          <w:szCs w:val="21"/>
          <w:highlight w:val="none"/>
        </w:rPr>
      </w:pPr>
      <w:r>
        <w:rPr>
          <w:rFonts w:hint="eastAsia" w:cs="宋体"/>
          <w:szCs w:val="21"/>
          <w:highlight w:val="none"/>
        </w:rPr>
        <w:t>（1）向各供应商发出电子加密响应文件【开始解密】通知，由供应商按采购文件规定的时间内自行进行响应文件解密。供应商在规定的时间内无法完成已递交的“电子加密响应文件”解密的，如已按规定递交了备份响应文件的，将由采购组织机构按“杭州交投集中采购平台”操作规范将备份响应文件上传至“杭州交投集中采购平台”，上传成功后，“电子加密响应文件”自动失效；</w:t>
      </w:r>
    </w:p>
    <w:p w14:paraId="0053FBFB">
      <w:pPr>
        <w:adjustRightInd w:val="0"/>
        <w:snapToGrid w:val="0"/>
        <w:spacing w:line="360" w:lineRule="auto"/>
        <w:ind w:firstLine="420" w:firstLineChars="200"/>
        <w:jc w:val="left"/>
        <w:rPr>
          <w:rFonts w:hint="eastAsia" w:cs="宋体"/>
          <w:szCs w:val="21"/>
          <w:highlight w:val="none"/>
        </w:rPr>
      </w:pPr>
      <w:r>
        <w:rPr>
          <w:rFonts w:hint="eastAsia" w:cs="宋体"/>
          <w:szCs w:val="21"/>
          <w:highlight w:val="none"/>
        </w:rPr>
        <w:t>（2）响应文件解密结束，开启响应文件，代理机构点击“开启签字时段”，供应商对开标纪录进行在线签字确认（不予确认的应说明理由，否则视为无异议）；</w:t>
      </w:r>
    </w:p>
    <w:p w14:paraId="301DB160">
      <w:pPr>
        <w:adjustRightInd w:val="0"/>
        <w:snapToGrid w:val="0"/>
        <w:spacing w:line="360" w:lineRule="auto"/>
        <w:ind w:firstLine="420" w:firstLineChars="200"/>
        <w:jc w:val="left"/>
        <w:rPr>
          <w:rFonts w:hint="eastAsia" w:cs="宋体"/>
          <w:szCs w:val="21"/>
          <w:highlight w:val="none"/>
        </w:rPr>
      </w:pPr>
      <w:r>
        <w:rPr>
          <w:rFonts w:hint="eastAsia" w:cs="宋体"/>
          <w:szCs w:val="21"/>
          <w:highlight w:val="none"/>
        </w:rPr>
        <w:t>（3）进行资格审查、符合性审查、商务技术评审、报价评审等各项评审；</w:t>
      </w:r>
    </w:p>
    <w:p w14:paraId="404381DD">
      <w:pPr>
        <w:adjustRightInd w:val="0"/>
        <w:snapToGrid w:val="0"/>
        <w:spacing w:line="360" w:lineRule="auto"/>
        <w:ind w:firstLine="420" w:firstLineChars="200"/>
        <w:jc w:val="left"/>
        <w:rPr>
          <w:rFonts w:hint="eastAsia" w:cs="宋体"/>
          <w:szCs w:val="21"/>
          <w:highlight w:val="none"/>
        </w:rPr>
      </w:pPr>
      <w:r>
        <w:rPr>
          <w:rFonts w:hint="eastAsia" w:cs="宋体"/>
          <w:szCs w:val="21"/>
          <w:highlight w:val="none"/>
        </w:rPr>
        <w:t>（4）评审结束后，在线公布中标（成交）候选供应商名单，及采购单位最终确定中标或成交供应商名单的时间和公告方式等。</w:t>
      </w:r>
    </w:p>
    <w:p w14:paraId="12326B46">
      <w:pPr>
        <w:adjustRightInd w:val="0"/>
        <w:snapToGrid w:val="0"/>
        <w:spacing w:line="360" w:lineRule="auto"/>
        <w:ind w:firstLine="420" w:firstLineChars="200"/>
        <w:jc w:val="left"/>
        <w:rPr>
          <w:rFonts w:hint="eastAsia" w:cs="宋体"/>
          <w:szCs w:val="21"/>
          <w:highlight w:val="none"/>
        </w:rPr>
      </w:pPr>
      <w:r>
        <w:rPr>
          <w:rFonts w:hint="eastAsia" w:cs="宋体"/>
          <w:szCs w:val="21"/>
          <w:highlight w:val="none"/>
        </w:rPr>
        <w:t>（5）如遇“杭州交投集中采购平台”电子化开标或评审程序调整的，或者系统提供数据电文交互功能的，按其规定执行。</w:t>
      </w:r>
    </w:p>
    <w:p w14:paraId="26B7F8A2">
      <w:pPr>
        <w:tabs>
          <w:tab w:val="left" w:pos="600"/>
        </w:tabs>
        <w:spacing w:line="360" w:lineRule="auto"/>
        <w:ind w:left="51" w:firstLine="422" w:firstLineChars="200"/>
        <w:rPr>
          <w:rFonts w:hint="eastAsia" w:cs="宋体"/>
          <w:b/>
          <w:bCs/>
          <w:szCs w:val="21"/>
          <w:highlight w:val="none"/>
        </w:rPr>
      </w:pPr>
      <w:r>
        <w:rPr>
          <w:rFonts w:hint="eastAsia"/>
          <w:b/>
          <w:szCs w:val="21"/>
          <w:highlight w:val="none"/>
        </w:rPr>
        <w:t>（6）投标</w:t>
      </w:r>
      <w:r>
        <w:rPr>
          <w:b/>
          <w:szCs w:val="21"/>
          <w:highlight w:val="none"/>
        </w:rPr>
        <w:t>响应文件中投标函内容与开标一览表内容不一致的，以开标一览表为准。</w:t>
      </w:r>
    </w:p>
    <w:p w14:paraId="148C60EC">
      <w:pPr>
        <w:pStyle w:val="3"/>
        <w:spacing w:before="480" w:after="120"/>
        <w:rPr>
          <w:rFonts w:hint="eastAsia" w:ascii="Times New Roman" w:hAnsi="Times New Roman" w:cs="宋体"/>
          <w:bCs/>
          <w:sz w:val="30"/>
          <w:szCs w:val="30"/>
          <w:highlight w:val="none"/>
        </w:rPr>
      </w:pPr>
      <w:bookmarkStart w:id="32" w:name="_Toc1312"/>
      <w:bookmarkStart w:id="33" w:name="_Toc20604"/>
      <w:r>
        <w:rPr>
          <w:rFonts w:hint="eastAsia" w:ascii="Times New Roman" w:hAnsi="Times New Roman" w:cs="宋体"/>
          <w:bCs/>
          <w:sz w:val="30"/>
          <w:szCs w:val="30"/>
          <w:highlight w:val="none"/>
        </w:rPr>
        <w:t>（六）评标</w:t>
      </w:r>
      <w:bookmarkEnd w:id="32"/>
      <w:bookmarkEnd w:id="33"/>
    </w:p>
    <w:p w14:paraId="7B0835BB">
      <w:pPr>
        <w:spacing w:line="360" w:lineRule="auto"/>
        <w:ind w:firstLine="422" w:firstLineChars="200"/>
        <w:rPr>
          <w:rFonts w:hint="eastAsia" w:cs="宋体"/>
          <w:b/>
          <w:szCs w:val="21"/>
          <w:highlight w:val="none"/>
        </w:rPr>
      </w:pPr>
      <w:r>
        <w:rPr>
          <w:rFonts w:hint="eastAsia" w:cs="宋体"/>
          <w:b/>
          <w:szCs w:val="21"/>
          <w:highlight w:val="none"/>
        </w:rPr>
        <w:t>24.评标委员会与评标</w:t>
      </w:r>
    </w:p>
    <w:p w14:paraId="5E049ECC">
      <w:pPr>
        <w:spacing w:line="360" w:lineRule="auto"/>
        <w:ind w:firstLine="420" w:firstLineChars="200"/>
        <w:rPr>
          <w:rFonts w:hint="eastAsia" w:cs="宋体"/>
          <w:szCs w:val="21"/>
          <w:highlight w:val="none"/>
        </w:rPr>
      </w:pPr>
      <w:r>
        <w:rPr>
          <w:rFonts w:hint="eastAsia" w:cs="宋体"/>
          <w:szCs w:val="21"/>
          <w:highlight w:val="none"/>
        </w:rPr>
        <w:t>24.1评标委员会由采购单位依法组建，负责评标活动。</w:t>
      </w:r>
    </w:p>
    <w:p w14:paraId="44BE4916">
      <w:pPr>
        <w:spacing w:line="360" w:lineRule="auto"/>
        <w:ind w:firstLine="420" w:firstLineChars="200"/>
        <w:rPr>
          <w:rFonts w:hint="eastAsia" w:cs="宋体"/>
          <w:szCs w:val="21"/>
          <w:highlight w:val="none"/>
        </w:rPr>
      </w:pPr>
      <w:r>
        <w:rPr>
          <w:rFonts w:hint="eastAsia" w:cs="宋体"/>
          <w:szCs w:val="21"/>
          <w:highlight w:val="none"/>
        </w:rPr>
        <w:t>24.2评标采用保密方式进行。</w:t>
      </w:r>
    </w:p>
    <w:p w14:paraId="2909F13E">
      <w:pPr>
        <w:spacing w:line="360" w:lineRule="auto"/>
        <w:ind w:firstLine="422" w:firstLineChars="200"/>
        <w:rPr>
          <w:rFonts w:hint="eastAsia" w:cs="宋体"/>
          <w:b/>
          <w:szCs w:val="21"/>
          <w:highlight w:val="none"/>
        </w:rPr>
      </w:pPr>
      <w:r>
        <w:rPr>
          <w:rFonts w:hint="eastAsia" w:cs="宋体"/>
          <w:b/>
          <w:szCs w:val="21"/>
          <w:highlight w:val="none"/>
        </w:rPr>
        <w:t>25.评标过程的保密</w:t>
      </w:r>
    </w:p>
    <w:p w14:paraId="6B608239">
      <w:pPr>
        <w:spacing w:line="360" w:lineRule="auto"/>
        <w:ind w:firstLine="420" w:firstLineChars="200"/>
        <w:rPr>
          <w:rFonts w:hint="eastAsia" w:cs="宋体"/>
          <w:szCs w:val="21"/>
          <w:highlight w:val="none"/>
        </w:rPr>
      </w:pPr>
      <w:r>
        <w:rPr>
          <w:rFonts w:hint="eastAsia" w:cs="宋体"/>
          <w:szCs w:val="21"/>
          <w:highlight w:val="none"/>
        </w:rPr>
        <w:t>25.1开标后，直至授予中标人合同为止，凡属于对响应文件的审查.澄清.评价和比较的有关资料以及候选中标人的推荐情况，与评标有关的其他任何情况均严格保密</w:t>
      </w:r>
    </w:p>
    <w:p w14:paraId="6DAC716A">
      <w:pPr>
        <w:spacing w:line="360" w:lineRule="auto"/>
        <w:ind w:firstLine="420" w:firstLineChars="200"/>
        <w:rPr>
          <w:rFonts w:hint="eastAsia" w:cs="宋体"/>
          <w:szCs w:val="21"/>
          <w:highlight w:val="none"/>
        </w:rPr>
      </w:pPr>
      <w:r>
        <w:rPr>
          <w:rFonts w:hint="eastAsia" w:cs="宋体"/>
          <w:szCs w:val="21"/>
          <w:highlight w:val="none"/>
        </w:rPr>
        <w:t>25.2在响应文件的评审和比较.候选中标人推荐以及授予合同的过程中，供应商向采购单位和评标委员会施加影响的任何行为，都将会导致其投标被拒绝。</w:t>
      </w:r>
    </w:p>
    <w:p w14:paraId="2D245B53">
      <w:pPr>
        <w:spacing w:line="360" w:lineRule="auto"/>
        <w:ind w:firstLine="420" w:firstLineChars="200"/>
        <w:rPr>
          <w:rFonts w:hint="eastAsia" w:cs="宋体"/>
          <w:szCs w:val="21"/>
          <w:highlight w:val="none"/>
        </w:rPr>
      </w:pPr>
      <w:r>
        <w:rPr>
          <w:rFonts w:hint="eastAsia" w:cs="宋体"/>
          <w:szCs w:val="21"/>
          <w:highlight w:val="none"/>
        </w:rPr>
        <w:t>25.3中标人确定后，采购单位不对未中标人就评标过程以及未能中标原因作出任何解释。未中标人不得向评标委员会组成人员或其他有关人员索问评标过程的情况和材料。</w:t>
      </w:r>
    </w:p>
    <w:p w14:paraId="485C16C0">
      <w:pPr>
        <w:spacing w:line="360" w:lineRule="auto"/>
        <w:ind w:firstLine="422" w:firstLineChars="200"/>
        <w:rPr>
          <w:rFonts w:hint="eastAsia" w:cs="宋体"/>
          <w:szCs w:val="21"/>
          <w:highlight w:val="none"/>
        </w:rPr>
      </w:pPr>
      <w:r>
        <w:rPr>
          <w:rFonts w:hint="eastAsia" w:cs="宋体"/>
          <w:b/>
          <w:szCs w:val="21"/>
          <w:highlight w:val="none"/>
        </w:rPr>
        <w:t>26.响应文件的澄清</w:t>
      </w:r>
    </w:p>
    <w:p w14:paraId="33CF0FFB">
      <w:pPr>
        <w:spacing w:line="360" w:lineRule="auto"/>
        <w:ind w:firstLine="480"/>
        <w:rPr>
          <w:rFonts w:hint="eastAsia" w:cs="宋体"/>
          <w:szCs w:val="21"/>
          <w:highlight w:val="none"/>
        </w:rPr>
      </w:pPr>
      <w:r>
        <w:rPr>
          <w:rFonts w:hint="eastAsia" w:cs="宋体"/>
          <w:szCs w:val="21"/>
          <w:highlight w:val="none"/>
        </w:rPr>
        <w:t>为有助于响应文件的审查.评价和比较，评标委员会可以书面形式要求供应商对响应文件含义不明确的内容作必要的澄清或说明，供应商应采用书面形式进行澄清或说明，但不得超出响应文件的范围或改变响应文件的实质性内容。</w:t>
      </w:r>
    </w:p>
    <w:p w14:paraId="08735BCD">
      <w:pPr>
        <w:spacing w:line="360" w:lineRule="auto"/>
        <w:ind w:firstLine="422" w:firstLineChars="200"/>
        <w:rPr>
          <w:rFonts w:hint="eastAsia" w:cs="宋体"/>
          <w:b/>
          <w:bCs/>
          <w:szCs w:val="21"/>
          <w:highlight w:val="none"/>
        </w:rPr>
      </w:pPr>
      <w:r>
        <w:rPr>
          <w:rFonts w:hint="eastAsia" w:cs="宋体"/>
          <w:b/>
          <w:bCs/>
          <w:szCs w:val="21"/>
          <w:highlight w:val="none"/>
        </w:rPr>
        <w:t>供应商提供过的行贿行为记录证明格式、形式不符合要求的，可在评标现场澄清补正。</w:t>
      </w:r>
    </w:p>
    <w:p w14:paraId="3604575B">
      <w:pPr>
        <w:spacing w:line="360" w:lineRule="auto"/>
        <w:ind w:firstLine="422" w:firstLineChars="200"/>
        <w:rPr>
          <w:rFonts w:hint="eastAsia" w:cs="宋体"/>
          <w:szCs w:val="21"/>
          <w:highlight w:val="none"/>
        </w:rPr>
      </w:pPr>
      <w:r>
        <w:rPr>
          <w:rFonts w:hint="eastAsia" w:cs="宋体"/>
          <w:b/>
          <w:szCs w:val="21"/>
          <w:highlight w:val="none"/>
        </w:rPr>
        <w:t>27.响应文件的初步评审</w:t>
      </w:r>
    </w:p>
    <w:p w14:paraId="7EA08A03">
      <w:pPr>
        <w:spacing w:line="360" w:lineRule="auto"/>
        <w:rPr>
          <w:rFonts w:hint="eastAsia" w:cs="宋体"/>
          <w:szCs w:val="21"/>
          <w:highlight w:val="none"/>
        </w:rPr>
      </w:pPr>
      <w:r>
        <w:rPr>
          <w:rFonts w:hint="eastAsia" w:cs="宋体"/>
          <w:szCs w:val="21"/>
          <w:highlight w:val="none"/>
        </w:rPr>
        <w:t xml:space="preserve">    27.1开标后，评标委员会首先对供应商的响应文件进行符合性审查，符合性审查未通过的响应文件不进入后续评审。</w:t>
      </w:r>
    </w:p>
    <w:p w14:paraId="22C4E5F3">
      <w:pPr>
        <w:spacing w:line="360" w:lineRule="auto"/>
        <w:ind w:firstLine="420" w:firstLineChars="200"/>
        <w:rPr>
          <w:rFonts w:hint="eastAsia" w:cs="宋体"/>
          <w:szCs w:val="21"/>
          <w:highlight w:val="none"/>
        </w:rPr>
      </w:pPr>
      <w:r>
        <w:rPr>
          <w:rFonts w:hint="eastAsia" w:cs="宋体"/>
          <w:szCs w:val="21"/>
          <w:highlight w:val="none"/>
        </w:rPr>
        <w:t>27.2评标委员会将评定每份响应文件是否在实质上响应了采购文件的要求。所谓实质上响应，是指响应文件应与采购文件的所有实质性条款、条件和要求相符，无显著差异或保留，或者对合同中约定的采购单位的权利和供应商的义务方面造成重大的限制，纠正这些显著差异或保留将会对其他实质上响应采购文件要求的响应文件的供应商的竞争地位产生不公正的影响。</w:t>
      </w:r>
    </w:p>
    <w:p w14:paraId="4F268E9E">
      <w:pPr>
        <w:spacing w:line="360" w:lineRule="auto"/>
        <w:ind w:firstLine="420" w:firstLineChars="200"/>
        <w:rPr>
          <w:rFonts w:hint="eastAsia" w:cs="宋体"/>
          <w:szCs w:val="21"/>
          <w:highlight w:val="none"/>
        </w:rPr>
      </w:pPr>
      <w:r>
        <w:rPr>
          <w:rFonts w:hint="eastAsia" w:cs="宋体"/>
          <w:szCs w:val="21"/>
          <w:highlight w:val="none"/>
        </w:rPr>
        <w:t xml:space="preserve">27.3如果响应文件实质上不响应采购文件的各项要求，评标委员会将予以拒绝，并且不允许供应商通过修改或撤销其不符合要求的差异或保留，使之成为具有响应性的投标。        </w:t>
      </w:r>
    </w:p>
    <w:p w14:paraId="4F208EA3">
      <w:pPr>
        <w:spacing w:line="360" w:lineRule="auto"/>
        <w:ind w:firstLine="422" w:firstLineChars="200"/>
        <w:rPr>
          <w:rFonts w:hint="eastAsia" w:cs="宋体"/>
          <w:szCs w:val="21"/>
          <w:highlight w:val="none"/>
        </w:rPr>
      </w:pPr>
      <w:r>
        <w:rPr>
          <w:rFonts w:hint="eastAsia" w:cs="宋体"/>
          <w:b/>
          <w:szCs w:val="21"/>
          <w:highlight w:val="none"/>
        </w:rPr>
        <w:t>28.响应文件计算错误的修正</w:t>
      </w:r>
    </w:p>
    <w:p w14:paraId="3F47A62E">
      <w:pPr>
        <w:spacing w:line="360" w:lineRule="auto"/>
        <w:ind w:left="142"/>
        <w:rPr>
          <w:rFonts w:hint="eastAsia" w:cs="宋体"/>
          <w:szCs w:val="21"/>
          <w:highlight w:val="none"/>
        </w:rPr>
      </w:pPr>
      <w:r>
        <w:rPr>
          <w:rFonts w:hint="eastAsia" w:cs="宋体"/>
          <w:szCs w:val="21"/>
          <w:highlight w:val="none"/>
        </w:rPr>
        <w:t xml:space="preserve">   28.1评标委员会将对确定为实质上响应采购文件要求的响应文件进行校核，看其是否有计算或表达上的错误，修正错误的原则如下：</w:t>
      </w:r>
    </w:p>
    <w:p w14:paraId="72317EA2">
      <w:pPr>
        <w:spacing w:line="360" w:lineRule="auto"/>
        <w:ind w:left="142"/>
        <w:rPr>
          <w:rFonts w:hint="eastAsia" w:cs="宋体"/>
          <w:szCs w:val="21"/>
          <w:highlight w:val="none"/>
        </w:rPr>
      </w:pPr>
      <w:r>
        <w:rPr>
          <w:rFonts w:hint="eastAsia" w:cs="宋体"/>
          <w:szCs w:val="21"/>
          <w:highlight w:val="none"/>
        </w:rPr>
        <w:t xml:space="preserve">  （1）正本与副本不一致时，以正本为准；</w:t>
      </w:r>
    </w:p>
    <w:p w14:paraId="55772AE0">
      <w:pPr>
        <w:spacing w:line="360" w:lineRule="auto"/>
        <w:ind w:left="142"/>
        <w:rPr>
          <w:rFonts w:hint="eastAsia" w:cs="宋体"/>
          <w:szCs w:val="21"/>
          <w:highlight w:val="none"/>
        </w:rPr>
      </w:pPr>
      <w:r>
        <w:rPr>
          <w:rFonts w:hint="eastAsia" w:cs="宋体"/>
          <w:szCs w:val="21"/>
          <w:highlight w:val="none"/>
        </w:rPr>
        <w:t xml:space="preserve">  （2）如果数字表示的金额和用文字表示的金额不一致时，一律以文字表示的金额为准。</w:t>
      </w:r>
    </w:p>
    <w:p w14:paraId="35DF7105">
      <w:pPr>
        <w:spacing w:line="360" w:lineRule="auto"/>
        <w:ind w:left="142"/>
        <w:rPr>
          <w:rFonts w:hint="eastAsia" w:cs="宋体"/>
          <w:szCs w:val="21"/>
          <w:highlight w:val="none"/>
        </w:rPr>
      </w:pPr>
      <w:r>
        <w:rPr>
          <w:rFonts w:hint="eastAsia" w:cs="宋体"/>
          <w:szCs w:val="21"/>
          <w:highlight w:val="none"/>
        </w:rPr>
        <w:t xml:space="preserve">  （3）当单价与数量的乘积与合价不一致时，以单价为准，除非评标委员会认为单价有明显的小数点错误，此时应以标出的合价为准，并修改单价。</w:t>
      </w:r>
    </w:p>
    <w:p w14:paraId="5320A6DF">
      <w:pPr>
        <w:spacing w:line="360" w:lineRule="auto"/>
        <w:ind w:left="142" w:firstLine="420" w:firstLineChars="200"/>
        <w:rPr>
          <w:rFonts w:hint="eastAsia" w:cs="宋体"/>
          <w:szCs w:val="21"/>
          <w:highlight w:val="none"/>
        </w:rPr>
      </w:pPr>
      <w:r>
        <w:rPr>
          <w:rFonts w:hint="eastAsia" w:cs="宋体"/>
          <w:szCs w:val="21"/>
          <w:highlight w:val="none"/>
        </w:rPr>
        <w:t>按上述修正错误的原则及方法由评标委员会调整或修正响应文件的投标报价，供应商同意后，调整后的投标报价为参与评标的最终报价，并对供应商起约束作用。如果供应商不接受修正后的报价，则其投标将被拒绝，按</w:t>
      </w:r>
      <w:r>
        <w:rPr>
          <w:rFonts w:hint="eastAsia" w:cs="宋体"/>
          <w:szCs w:val="21"/>
          <w:highlight w:val="none"/>
          <w:lang w:eastAsia="zh-CN"/>
        </w:rPr>
        <w:t>无效标</w:t>
      </w:r>
      <w:r>
        <w:rPr>
          <w:rFonts w:hint="eastAsia" w:cs="宋体"/>
          <w:szCs w:val="21"/>
          <w:highlight w:val="none"/>
        </w:rPr>
        <w:t>处理，并且其响应保证金也将不予退还，并不影响评标工作。</w:t>
      </w:r>
    </w:p>
    <w:p w14:paraId="2063DDE8">
      <w:pPr>
        <w:spacing w:line="360" w:lineRule="auto"/>
        <w:ind w:left="142" w:firstLine="422" w:firstLineChars="200"/>
        <w:rPr>
          <w:rFonts w:hint="eastAsia" w:cs="宋体"/>
          <w:b/>
          <w:szCs w:val="21"/>
          <w:highlight w:val="none"/>
        </w:rPr>
      </w:pPr>
      <w:r>
        <w:rPr>
          <w:rFonts w:hint="eastAsia" w:cs="宋体"/>
          <w:b/>
          <w:szCs w:val="21"/>
          <w:highlight w:val="none"/>
        </w:rPr>
        <w:t>29.响应文件的评审、比较和否决</w:t>
      </w:r>
    </w:p>
    <w:p w14:paraId="516E7EB3">
      <w:pPr>
        <w:spacing w:line="360" w:lineRule="auto"/>
        <w:ind w:left="142" w:firstLine="420" w:firstLineChars="200"/>
        <w:rPr>
          <w:rFonts w:hint="eastAsia" w:cs="宋体"/>
          <w:szCs w:val="21"/>
          <w:highlight w:val="none"/>
        </w:rPr>
      </w:pPr>
      <w:r>
        <w:rPr>
          <w:rFonts w:hint="eastAsia" w:cs="宋体"/>
          <w:szCs w:val="21"/>
          <w:highlight w:val="none"/>
        </w:rPr>
        <w:t>29.1评标委员会将按照本须知规定，仅对在实质上响应采购文件要求的响应文件进行评估和比较。</w:t>
      </w:r>
    </w:p>
    <w:p w14:paraId="36B30826">
      <w:pPr>
        <w:spacing w:line="360" w:lineRule="auto"/>
        <w:ind w:left="142" w:firstLine="420" w:firstLineChars="200"/>
        <w:rPr>
          <w:rFonts w:hint="eastAsia" w:cs="宋体"/>
          <w:szCs w:val="21"/>
          <w:highlight w:val="none"/>
        </w:rPr>
      </w:pPr>
      <w:r>
        <w:rPr>
          <w:rFonts w:hint="eastAsia" w:cs="宋体"/>
          <w:szCs w:val="21"/>
          <w:highlight w:val="none"/>
        </w:rPr>
        <w:t>29.2在评审过程中，评标委员会可以书面形式要求供应商就响应文件中含义不明确的内容进行书面说明并提供相关材料。</w:t>
      </w:r>
    </w:p>
    <w:p w14:paraId="3379D358">
      <w:pPr>
        <w:spacing w:line="360" w:lineRule="auto"/>
        <w:ind w:left="142" w:firstLine="420" w:firstLineChars="200"/>
        <w:rPr>
          <w:rFonts w:hint="eastAsia" w:cs="宋体"/>
          <w:b/>
          <w:szCs w:val="21"/>
          <w:highlight w:val="none"/>
        </w:rPr>
      </w:pPr>
      <w:r>
        <w:rPr>
          <w:rFonts w:hint="eastAsia" w:cs="宋体"/>
          <w:szCs w:val="21"/>
          <w:highlight w:val="none"/>
        </w:rPr>
        <w:t>29.3评标委员会依据本采购文件第五章载明的评标办法的规定，对响应文件进行评审和比较，向采购单位提出书面评标报告，标明供应商综合得分排列顺序。</w:t>
      </w:r>
    </w:p>
    <w:p w14:paraId="70E12EC4">
      <w:pPr>
        <w:pStyle w:val="3"/>
        <w:spacing w:before="480" w:after="120"/>
        <w:rPr>
          <w:rFonts w:hint="eastAsia" w:ascii="Times New Roman" w:hAnsi="Times New Roman" w:cs="宋体"/>
          <w:bCs/>
          <w:sz w:val="30"/>
          <w:szCs w:val="30"/>
          <w:highlight w:val="none"/>
        </w:rPr>
      </w:pPr>
      <w:bookmarkStart w:id="34" w:name="_Toc3127"/>
      <w:bookmarkStart w:id="35" w:name="_Toc5014"/>
      <w:r>
        <w:rPr>
          <w:rFonts w:hint="eastAsia" w:ascii="Times New Roman" w:hAnsi="Times New Roman" w:cs="宋体"/>
          <w:bCs/>
          <w:sz w:val="30"/>
          <w:szCs w:val="30"/>
          <w:highlight w:val="none"/>
        </w:rPr>
        <w:t>（七）合同授予</w:t>
      </w:r>
      <w:bookmarkEnd w:id="34"/>
      <w:bookmarkEnd w:id="35"/>
    </w:p>
    <w:p w14:paraId="38571043">
      <w:pPr>
        <w:snapToGrid w:val="0"/>
        <w:spacing w:line="360" w:lineRule="auto"/>
        <w:ind w:right="-21" w:rightChars="-10" w:firstLine="422" w:firstLineChars="200"/>
        <w:rPr>
          <w:rFonts w:hint="eastAsia" w:cs="宋体"/>
          <w:b/>
          <w:szCs w:val="21"/>
          <w:highlight w:val="none"/>
        </w:rPr>
      </w:pPr>
      <w:bookmarkStart w:id="36" w:name="_Toc383676709"/>
      <w:bookmarkStart w:id="37" w:name="_Toc445411487"/>
      <w:bookmarkStart w:id="38" w:name="_Toc334780913"/>
      <w:r>
        <w:rPr>
          <w:rFonts w:hint="eastAsia" w:cs="宋体"/>
          <w:b/>
          <w:szCs w:val="21"/>
          <w:highlight w:val="none"/>
        </w:rPr>
        <w:t>30.资格最终审查</w:t>
      </w:r>
    </w:p>
    <w:p w14:paraId="662F0CBC">
      <w:pPr>
        <w:snapToGrid w:val="0"/>
        <w:spacing w:line="360" w:lineRule="auto"/>
        <w:ind w:right="-21" w:rightChars="-10" w:firstLine="480"/>
        <w:rPr>
          <w:rFonts w:hint="eastAsia" w:cs="宋体"/>
          <w:szCs w:val="21"/>
          <w:highlight w:val="none"/>
        </w:rPr>
      </w:pPr>
      <w:r>
        <w:rPr>
          <w:rFonts w:hint="eastAsia" w:cs="宋体"/>
          <w:szCs w:val="21"/>
          <w:highlight w:val="none"/>
        </w:rPr>
        <w:t>采购单位将审查中标人的资质、服务能力及信誉，确定其是否能圆满地履行合同。</w:t>
      </w:r>
    </w:p>
    <w:p w14:paraId="42059E74">
      <w:pPr>
        <w:snapToGrid w:val="0"/>
        <w:spacing w:line="360" w:lineRule="auto"/>
        <w:ind w:right="-21" w:rightChars="-10" w:firstLine="480"/>
        <w:rPr>
          <w:rFonts w:hint="eastAsia" w:cs="宋体"/>
          <w:b/>
          <w:szCs w:val="21"/>
          <w:highlight w:val="none"/>
        </w:rPr>
      </w:pPr>
      <w:r>
        <w:rPr>
          <w:rFonts w:hint="eastAsia" w:cs="宋体"/>
          <w:b/>
          <w:szCs w:val="21"/>
          <w:highlight w:val="none"/>
        </w:rPr>
        <w:t>31.接受和拒绝任何或所有投标的权利</w:t>
      </w:r>
    </w:p>
    <w:p w14:paraId="73F9FF6A">
      <w:pPr>
        <w:spacing w:line="360" w:lineRule="auto"/>
        <w:ind w:right="-21" w:rightChars="-10" w:firstLine="420" w:firstLineChars="200"/>
        <w:rPr>
          <w:rFonts w:hint="eastAsia" w:cs="宋体"/>
          <w:szCs w:val="21"/>
          <w:highlight w:val="none"/>
        </w:rPr>
      </w:pPr>
      <w:r>
        <w:rPr>
          <w:rFonts w:hint="eastAsia" w:cs="宋体"/>
          <w:szCs w:val="21"/>
          <w:highlight w:val="none"/>
        </w:rPr>
        <w:t>为维护国家利益，采购单位在授予合同之前仍有选择或拒绝任何或全部投标的权利，并对所采取的行为不作任何解释。</w:t>
      </w:r>
    </w:p>
    <w:p w14:paraId="0F0E0618">
      <w:pPr>
        <w:spacing w:line="360" w:lineRule="auto"/>
        <w:ind w:right="-21" w:rightChars="-10" w:firstLine="422" w:firstLineChars="200"/>
        <w:rPr>
          <w:rFonts w:hint="eastAsia" w:cs="宋体"/>
          <w:b/>
          <w:szCs w:val="21"/>
          <w:highlight w:val="none"/>
        </w:rPr>
      </w:pPr>
      <w:r>
        <w:rPr>
          <w:rFonts w:hint="eastAsia" w:cs="宋体"/>
          <w:b/>
          <w:szCs w:val="21"/>
          <w:highlight w:val="none"/>
        </w:rPr>
        <w:t>32.中标通知书</w:t>
      </w:r>
    </w:p>
    <w:p w14:paraId="3CB9A36A">
      <w:pPr>
        <w:spacing w:line="360" w:lineRule="auto"/>
        <w:ind w:right="-21" w:rightChars="-10" w:firstLine="480"/>
        <w:rPr>
          <w:rFonts w:hint="eastAsia" w:cs="宋体"/>
          <w:szCs w:val="21"/>
          <w:highlight w:val="none"/>
        </w:rPr>
      </w:pPr>
      <w:r>
        <w:rPr>
          <w:rFonts w:hint="eastAsia" w:cs="宋体"/>
          <w:szCs w:val="21"/>
          <w:highlight w:val="none"/>
        </w:rPr>
        <w:t>32.1评标结束30日内，采购代理机构将以书面形式发出《中标通知书》，但发出时间不超过投标有效期。《中标通知书》一经发出即发生法律效力。</w:t>
      </w:r>
    </w:p>
    <w:p w14:paraId="3ABDFF5E">
      <w:pPr>
        <w:spacing w:line="360" w:lineRule="auto"/>
        <w:ind w:right="-21" w:rightChars="-10" w:firstLine="420"/>
        <w:rPr>
          <w:rFonts w:hint="eastAsia" w:cs="宋体"/>
          <w:szCs w:val="21"/>
          <w:highlight w:val="none"/>
        </w:rPr>
      </w:pPr>
      <w:r>
        <w:rPr>
          <w:rFonts w:hint="eastAsia" w:cs="宋体"/>
          <w:szCs w:val="21"/>
          <w:highlight w:val="none"/>
        </w:rPr>
        <w:t>32.2 《中标通知书》将作为签订中标协议的依据。</w:t>
      </w:r>
    </w:p>
    <w:p w14:paraId="728C49AA">
      <w:pPr>
        <w:spacing w:line="360" w:lineRule="auto"/>
        <w:ind w:right="-21" w:rightChars="-10" w:firstLine="420"/>
        <w:rPr>
          <w:rFonts w:hint="eastAsia" w:cs="宋体"/>
          <w:b/>
          <w:szCs w:val="21"/>
          <w:highlight w:val="none"/>
        </w:rPr>
      </w:pPr>
      <w:r>
        <w:rPr>
          <w:rFonts w:hint="eastAsia" w:cs="宋体"/>
          <w:b/>
          <w:szCs w:val="21"/>
          <w:highlight w:val="none"/>
        </w:rPr>
        <w:t>33.授予中标协议时变更数量的权力</w:t>
      </w:r>
    </w:p>
    <w:p w14:paraId="7D7D5894">
      <w:pPr>
        <w:spacing w:line="360" w:lineRule="auto"/>
        <w:ind w:firstLine="420" w:firstLineChars="200"/>
        <w:rPr>
          <w:rFonts w:hint="eastAsia" w:cs="宋体"/>
          <w:szCs w:val="21"/>
          <w:highlight w:val="none"/>
        </w:rPr>
      </w:pPr>
      <w:r>
        <w:rPr>
          <w:rFonts w:hint="eastAsia" w:cs="宋体"/>
          <w:szCs w:val="21"/>
          <w:highlight w:val="none"/>
        </w:rPr>
        <w:t>业主单位在授予子合同时有权对“采购内容及要求”中的数量和服务予以增加或减少。</w:t>
      </w:r>
    </w:p>
    <w:p w14:paraId="3DC2BE6E">
      <w:pPr>
        <w:spacing w:line="360" w:lineRule="auto"/>
        <w:ind w:firstLine="422" w:firstLineChars="200"/>
        <w:rPr>
          <w:rFonts w:hint="eastAsia" w:cs="宋体"/>
          <w:b/>
          <w:szCs w:val="21"/>
          <w:highlight w:val="none"/>
        </w:rPr>
      </w:pPr>
      <w:r>
        <w:rPr>
          <w:rFonts w:hint="eastAsia" w:cs="宋体"/>
          <w:b/>
          <w:szCs w:val="21"/>
          <w:highlight w:val="none"/>
        </w:rPr>
        <w:t>34.签订合同（协议）</w:t>
      </w:r>
    </w:p>
    <w:p w14:paraId="6754536C">
      <w:pPr>
        <w:spacing w:line="360" w:lineRule="auto"/>
        <w:ind w:right="-21" w:rightChars="-10"/>
        <w:rPr>
          <w:rFonts w:hint="eastAsia" w:cs="宋体"/>
          <w:szCs w:val="21"/>
          <w:highlight w:val="none"/>
        </w:rPr>
      </w:pPr>
      <w:r>
        <w:rPr>
          <w:rFonts w:hint="eastAsia" w:cs="宋体"/>
          <w:szCs w:val="21"/>
          <w:highlight w:val="none"/>
        </w:rPr>
        <w:t xml:space="preserve">    34.1采购单位和中标人应当自中标通知书发出之日起三十日内签订</w:t>
      </w:r>
      <w:r>
        <w:rPr>
          <w:rFonts w:hint="eastAsia" w:cs="宋体"/>
          <w:bCs/>
          <w:szCs w:val="21"/>
          <w:highlight w:val="none"/>
        </w:rPr>
        <w:t>合同（协议）</w:t>
      </w:r>
      <w:r>
        <w:rPr>
          <w:rFonts w:hint="eastAsia" w:cs="宋体"/>
          <w:szCs w:val="21"/>
          <w:highlight w:val="none"/>
        </w:rPr>
        <w:t>。</w:t>
      </w:r>
    </w:p>
    <w:p w14:paraId="0B2B20FC">
      <w:pPr>
        <w:spacing w:line="360" w:lineRule="auto"/>
        <w:ind w:right="-21" w:rightChars="-10" w:firstLine="420"/>
        <w:rPr>
          <w:rFonts w:hint="eastAsia" w:cs="宋体"/>
          <w:szCs w:val="21"/>
          <w:highlight w:val="none"/>
        </w:rPr>
      </w:pPr>
      <w:r>
        <w:rPr>
          <w:rFonts w:hint="eastAsia" w:cs="宋体"/>
          <w:szCs w:val="21"/>
          <w:highlight w:val="none"/>
        </w:rPr>
        <w:t>34.2采购文件、中标人的响应文件及其澄清文件等，均为签订</w:t>
      </w:r>
      <w:r>
        <w:rPr>
          <w:rFonts w:hint="eastAsia" w:cs="宋体"/>
          <w:bCs/>
          <w:szCs w:val="21"/>
          <w:highlight w:val="none"/>
        </w:rPr>
        <w:t>合同（协议）</w:t>
      </w:r>
      <w:r>
        <w:rPr>
          <w:rFonts w:hint="eastAsia" w:cs="宋体"/>
          <w:szCs w:val="21"/>
          <w:highlight w:val="none"/>
        </w:rPr>
        <w:t>的依据。</w:t>
      </w:r>
    </w:p>
    <w:p w14:paraId="1D057449">
      <w:pPr>
        <w:spacing w:line="360" w:lineRule="auto"/>
        <w:ind w:right="-21" w:rightChars="-10" w:firstLine="420"/>
        <w:rPr>
          <w:rFonts w:hint="eastAsia" w:cs="宋体"/>
          <w:szCs w:val="21"/>
          <w:highlight w:val="none"/>
        </w:rPr>
      </w:pPr>
      <w:r>
        <w:rPr>
          <w:rFonts w:hint="eastAsia" w:cs="宋体"/>
          <w:szCs w:val="21"/>
          <w:highlight w:val="none"/>
        </w:rPr>
        <w:t>34.3中标人不遵守采购文件或响应文件的要约、承诺，擅自修改报价或在中标通知书发出后30天内，借故拖延、拒签协议的，采购单位将不予退还响应保证金，同时取消该中标人的中标权，并将依法另选其它供应商中标或重新组织采购。</w:t>
      </w:r>
    </w:p>
    <w:p w14:paraId="19E27877">
      <w:pPr>
        <w:snapToGrid w:val="0"/>
        <w:spacing w:line="360" w:lineRule="auto"/>
        <w:ind w:right="-21" w:rightChars="-10" w:firstLine="480"/>
        <w:rPr>
          <w:rFonts w:hint="eastAsia" w:cs="宋体"/>
          <w:szCs w:val="21"/>
          <w:highlight w:val="none"/>
        </w:rPr>
      </w:pPr>
      <w:r>
        <w:rPr>
          <w:rFonts w:hint="eastAsia" w:cs="宋体"/>
          <w:szCs w:val="21"/>
          <w:highlight w:val="none"/>
        </w:rPr>
        <w:t>34.4签订</w:t>
      </w:r>
      <w:r>
        <w:rPr>
          <w:rFonts w:hint="eastAsia" w:cs="宋体"/>
          <w:bCs/>
          <w:szCs w:val="21"/>
          <w:highlight w:val="none"/>
        </w:rPr>
        <w:t>合同（协议）</w:t>
      </w:r>
      <w:r>
        <w:rPr>
          <w:rFonts w:hint="eastAsia" w:cs="宋体"/>
          <w:szCs w:val="21"/>
          <w:highlight w:val="none"/>
        </w:rPr>
        <w:t>后即为采购结束。</w:t>
      </w:r>
    </w:p>
    <w:p w14:paraId="6D3AEEFE">
      <w:pPr>
        <w:snapToGrid w:val="0"/>
        <w:spacing w:line="360" w:lineRule="auto"/>
        <w:ind w:right="-21" w:rightChars="-10" w:firstLine="480"/>
        <w:rPr>
          <w:rFonts w:hint="eastAsia" w:cs="宋体"/>
          <w:b/>
          <w:szCs w:val="21"/>
          <w:highlight w:val="none"/>
        </w:rPr>
      </w:pPr>
      <w:r>
        <w:rPr>
          <w:rFonts w:hint="eastAsia" w:cs="宋体"/>
          <w:b/>
          <w:szCs w:val="21"/>
          <w:highlight w:val="none"/>
        </w:rPr>
        <w:t>35.履约担保（</w:t>
      </w:r>
      <w:r>
        <w:rPr>
          <w:rFonts w:hint="eastAsia" w:cs="宋体"/>
          <w:b/>
          <w:szCs w:val="21"/>
          <w:highlight w:val="none"/>
          <w:u w:val="single"/>
        </w:rPr>
        <w:t>见投标须知前附表第6项</w:t>
      </w:r>
      <w:r>
        <w:rPr>
          <w:rFonts w:hint="eastAsia" w:cs="宋体"/>
          <w:b/>
          <w:szCs w:val="21"/>
          <w:highlight w:val="none"/>
        </w:rPr>
        <w:t>）</w:t>
      </w:r>
    </w:p>
    <w:p w14:paraId="2AC1094E">
      <w:pPr>
        <w:spacing w:line="360" w:lineRule="auto"/>
        <w:ind w:firstLine="422" w:firstLineChars="200"/>
        <w:rPr>
          <w:rFonts w:hint="eastAsia"/>
          <w:b/>
          <w:szCs w:val="21"/>
          <w:highlight w:val="none"/>
        </w:rPr>
      </w:pPr>
      <w:r>
        <w:rPr>
          <w:b/>
          <w:szCs w:val="21"/>
          <w:highlight w:val="none"/>
        </w:rPr>
        <w:t>3</w:t>
      </w:r>
      <w:r>
        <w:rPr>
          <w:rFonts w:hint="eastAsia"/>
          <w:b/>
          <w:szCs w:val="21"/>
          <w:highlight w:val="none"/>
        </w:rPr>
        <w:t>6、采购</w:t>
      </w:r>
      <w:r>
        <w:rPr>
          <w:b/>
          <w:szCs w:val="21"/>
          <w:highlight w:val="none"/>
        </w:rPr>
        <w:t>代理服务费：</w:t>
      </w:r>
      <w:r>
        <w:rPr>
          <w:rFonts w:hint="eastAsia"/>
          <w:szCs w:val="21"/>
          <w:highlight w:val="none"/>
        </w:rPr>
        <w:t>由</w:t>
      </w:r>
      <w:r>
        <w:rPr>
          <w:rFonts w:hint="eastAsia"/>
          <w:szCs w:val="21"/>
          <w:highlight w:val="none"/>
          <w:lang w:eastAsia="zh-CN"/>
        </w:rPr>
        <w:t>☑</w:t>
      </w:r>
      <w:r>
        <w:rPr>
          <w:rFonts w:hint="eastAsia"/>
          <w:szCs w:val="21"/>
          <w:highlight w:val="none"/>
        </w:rPr>
        <w:t>中标人</w:t>
      </w:r>
      <w:r>
        <w:rPr>
          <w:rFonts w:hint="eastAsia"/>
          <w:szCs w:val="21"/>
          <w:highlight w:val="none"/>
          <w:lang w:eastAsia="zh-CN"/>
        </w:rPr>
        <w:t>□</w:t>
      </w:r>
      <w:r>
        <w:rPr>
          <w:rFonts w:hint="eastAsia"/>
          <w:szCs w:val="21"/>
          <w:highlight w:val="none"/>
        </w:rPr>
        <w:t>采购单位支付。</w:t>
      </w:r>
      <w:bookmarkEnd w:id="36"/>
      <w:bookmarkEnd w:id="37"/>
      <w:bookmarkEnd w:id="38"/>
    </w:p>
    <w:p w14:paraId="76E5A1E0">
      <w:pPr>
        <w:spacing w:before="240" w:beforeLines="100" w:after="120" w:afterLines="50" w:line="360" w:lineRule="auto"/>
        <w:jc w:val="center"/>
        <w:outlineLvl w:val="0"/>
        <w:rPr>
          <w:rFonts w:cs="宋体"/>
          <w:b/>
          <w:bCs/>
          <w:sz w:val="32"/>
          <w:szCs w:val="32"/>
          <w:highlight w:val="none"/>
        </w:rPr>
      </w:pPr>
      <w:bookmarkStart w:id="39" w:name="_Toc11122"/>
      <w:bookmarkStart w:id="40" w:name="_Toc19215"/>
      <w:bookmarkStart w:id="41" w:name="_Toc129714674"/>
      <w:r>
        <w:rPr>
          <w:rFonts w:cs="宋体"/>
          <w:b/>
          <w:bCs/>
          <w:sz w:val="32"/>
          <w:szCs w:val="32"/>
          <w:highlight w:val="none"/>
        </w:rPr>
        <w:br w:type="page"/>
      </w:r>
      <w:r>
        <w:rPr>
          <w:rFonts w:hint="eastAsia" w:cs="宋体"/>
          <w:b/>
          <w:bCs/>
          <w:sz w:val="32"/>
          <w:szCs w:val="32"/>
          <w:highlight w:val="none"/>
        </w:rPr>
        <w:t>第三章  采购内容及要求</w:t>
      </w:r>
      <w:bookmarkEnd w:id="39"/>
      <w:bookmarkEnd w:id="40"/>
      <w:bookmarkEnd w:id="41"/>
    </w:p>
    <w:p w14:paraId="294A3FC9">
      <w:pPr>
        <w:snapToGrid w:val="0"/>
        <w:spacing w:line="360" w:lineRule="auto"/>
        <w:jc w:val="center"/>
        <w:rPr>
          <w:rFonts w:ascii="宋体" w:hAnsi="宋体" w:cs="宋体"/>
          <w:szCs w:val="21"/>
          <w:highlight w:val="none"/>
        </w:rPr>
      </w:pPr>
      <w:bookmarkStart w:id="42" w:name="_Toc6366"/>
      <w:bookmarkStart w:id="43" w:name="_Toc15321"/>
      <w:bookmarkStart w:id="44" w:name="_Toc129714675"/>
      <w:r>
        <w:rPr>
          <w:rFonts w:hint="eastAsia" w:ascii="宋体" w:hAnsi="宋体" w:cs="宋体"/>
          <w:szCs w:val="21"/>
          <w:highlight w:val="none"/>
        </w:rPr>
        <w:t>属于实质性要求条款的，请用符号“▲”标明，否则属于非实质性要求。</w:t>
      </w:r>
    </w:p>
    <w:p w14:paraId="6CE8EA82">
      <w:pPr>
        <w:numPr>
          <w:ilvl w:val="0"/>
          <w:numId w:val="7"/>
        </w:numPr>
        <w:spacing w:line="360" w:lineRule="auto"/>
        <w:jc w:val="center"/>
        <w:rPr>
          <w:rFonts w:ascii="宋体" w:hAnsi="宋体" w:cs="宋体"/>
          <w:b/>
          <w:szCs w:val="21"/>
          <w:highlight w:val="none"/>
        </w:rPr>
      </w:pPr>
      <w:r>
        <w:rPr>
          <w:rFonts w:hint="eastAsia" w:ascii="宋体" w:hAnsi="宋体" w:cs="宋体"/>
          <w:b/>
          <w:szCs w:val="21"/>
          <w:highlight w:val="none"/>
        </w:rPr>
        <w:t>交易一览表</w:t>
      </w:r>
    </w:p>
    <w:tbl>
      <w:tblPr>
        <w:tblStyle w:val="45"/>
        <w:tblW w:w="9370" w:type="dxa"/>
        <w:jc w:val="center"/>
        <w:tblLayout w:type="fixed"/>
        <w:tblCellMar>
          <w:top w:w="0" w:type="dxa"/>
          <w:left w:w="0" w:type="dxa"/>
          <w:bottom w:w="0" w:type="dxa"/>
          <w:right w:w="0" w:type="dxa"/>
        </w:tblCellMar>
      </w:tblPr>
      <w:tblGrid>
        <w:gridCol w:w="732"/>
        <w:gridCol w:w="4499"/>
        <w:gridCol w:w="1812"/>
        <w:gridCol w:w="781"/>
        <w:gridCol w:w="773"/>
        <w:gridCol w:w="773"/>
      </w:tblGrid>
      <w:tr w14:paraId="3C59E2DF">
        <w:tblPrEx>
          <w:tblCellMar>
            <w:top w:w="0" w:type="dxa"/>
            <w:left w:w="0" w:type="dxa"/>
            <w:bottom w:w="0" w:type="dxa"/>
            <w:right w:w="0" w:type="dxa"/>
          </w:tblCellMar>
        </w:tblPrEx>
        <w:trPr>
          <w:cantSplit/>
          <w:trHeight w:val="699" w:hRule="atLeast"/>
          <w:jc w:val="center"/>
        </w:trPr>
        <w:tc>
          <w:tcPr>
            <w:tcW w:w="7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0B0969">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等线" w:cs="宋体"/>
                <w:szCs w:val="21"/>
                <w:highlight w:val="none"/>
                <w:lang w:val="en-US" w:eastAsia="zh-CN"/>
              </w:rPr>
              <w:t>序号</w:t>
            </w:r>
          </w:p>
        </w:tc>
        <w:tc>
          <w:tcPr>
            <w:tcW w:w="44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EFC721">
            <w:pPr>
              <w:keepNext w:val="0"/>
              <w:keepLines w:val="0"/>
              <w:suppressLineNumbers w:val="0"/>
              <w:spacing w:before="0" w:beforeAutospacing="0" w:after="0" w:afterAutospacing="0"/>
              <w:ind w:left="0" w:right="0"/>
              <w:jc w:val="center"/>
              <w:rPr>
                <w:rFonts w:hint="eastAsia" w:ascii="宋体" w:hAnsi="宋体" w:eastAsia="等线" w:cs="宋体"/>
                <w:szCs w:val="21"/>
                <w:highlight w:val="none"/>
              </w:rPr>
            </w:pPr>
            <w:r>
              <w:rPr>
                <w:rFonts w:hint="eastAsia" w:ascii="宋体" w:hAnsi="宋体" w:eastAsia="等线" w:cs="宋体"/>
                <w:szCs w:val="21"/>
                <w:highlight w:val="none"/>
              </w:rPr>
              <w:t>名称</w:t>
            </w:r>
          </w:p>
        </w:tc>
        <w:tc>
          <w:tcPr>
            <w:tcW w:w="18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6C4DCF">
            <w:pPr>
              <w:keepNext w:val="0"/>
              <w:keepLines w:val="0"/>
              <w:suppressLineNumbers w:val="0"/>
              <w:spacing w:before="0" w:beforeAutospacing="0" w:after="0" w:afterAutospacing="0"/>
              <w:ind w:left="0" w:right="0"/>
              <w:jc w:val="center"/>
              <w:rPr>
                <w:rFonts w:hint="eastAsia" w:ascii="宋体" w:hAnsi="宋体" w:eastAsia="等线" w:cs="宋体"/>
                <w:szCs w:val="21"/>
                <w:highlight w:val="none"/>
              </w:rPr>
            </w:pPr>
            <w:r>
              <w:rPr>
                <w:rFonts w:hint="eastAsia" w:ascii="宋体" w:hAnsi="宋体" w:eastAsia="等线" w:cs="宋体"/>
                <w:szCs w:val="21"/>
                <w:highlight w:val="none"/>
              </w:rPr>
              <w:t>具体服务要求</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B147B9">
            <w:pPr>
              <w:keepNext w:val="0"/>
              <w:keepLines w:val="0"/>
              <w:suppressLineNumbers w:val="0"/>
              <w:spacing w:before="0" w:beforeAutospacing="0" w:after="0" w:afterAutospacing="0"/>
              <w:ind w:left="0" w:right="0"/>
              <w:jc w:val="center"/>
              <w:rPr>
                <w:rFonts w:hint="eastAsia" w:ascii="宋体" w:hAnsi="宋体" w:eastAsia="等线" w:cs="宋体"/>
                <w:szCs w:val="21"/>
                <w:highlight w:val="none"/>
              </w:rPr>
            </w:pPr>
            <w:r>
              <w:rPr>
                <w:rFonts w:hint="eastAsia" w:ascii="宋体" w:hAnsi="宋体" w:eastAsia="等线" w:cs="宋体"/>
                <w:szCs w:val="21"/>
                <w:highlight w:val="none"/>
              </w:rPr>
              <w:t>单位</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AE7D0E">
            <w:pPr>
              <w:keepNext w:val="0"/>
              <w:keepLines w:val="0"/>
              <w:suppressLineNumbers w:val="0"/>
              <w:spacing w:before="0" w:beforeAutospacing="0" w:after="0" w:afterAutospacing="0"/>
              <w:ind w:left="0" w:right="0"/>
              <w:jc w:val="center"/>
              <w:rPr>
                <w:rFonts w:hint="eastAsia" w:ascii="宋体" w:hAnsi="宋体" w:eastAsia="等线" w:cs="宋体"/>
                <w:szCs w:val="21"/>
                <w:highlight w:val="none"/>
              </w:rPr>
            </w:pPr>
            <w:r>
              <w:rPr>
                <w:rFonts w:hint="eastAsia" w:ascii="宋体" w:hAnsi="宋体" w:eastAsia="等线" w:cs="宋体"/>
                <w:szCs w:val="21"/>
                <w:highlight w:val="none"/>
              </w:rPr>
              <w:t>数量</w:t>
            </w:r>
          </w:p>
        </w:tc>
        <w:tc>
          <w:tcPr>
            <w:tcW w:w="773" w:type="dxa"/>
            <w:tcBorders>
              <w:top w:val="single" w:color="auto" w:sz="4" w:space="0"/>
              <w:left w:val="nil"/>
              <w:bottom w:val="single" w:color="auto" w:sz="4" w:space="0"/>
              <w:right w:val="single" w:color="auto" w:sz="4" w:space="0"/>
            </w:tcBorders>
            <w:noWrap w:val="0"/>
            <w:vAlign w:val="center"/>
          </w:tcPr>
          <w:p w14:paraId="4F6405A9">
            <w:pPr>
              <w:keepNext w:val="0"/>
              <w:keepLines w:val="0"/>
              <w:suppressLineNumbers w:val="0"/>
              <w:spacing w:before="0" w:beforeAutospacing="0" w:after="0" w:afterAutospacing="0"/>
              <w:ind w:left="0" w:right="0"/>
              <w:jc w:val="center"/>
              <w:rPr>
                <w:rFonts w:hint="eastAsia" w:ascii="宋体" w:hAnsi="宋体" w:eastAsia="等线" w:cs="宋体"/>
                <w:szCs w:val="21"/>
                <w:highlight w:val="none"/>
              </w:rPr>
            </w:pPr>
            <w:r>
              <w:rPr>
                <w:rFonts w:hint="eastAsia" w:ascii="宋体" w:hAnsi="宋体" w:eastAsia="等线" w:cs="宋体"/>
                <w:szCs w:val="21"/>
                <w:highlight w:val="none"/>
              </w:rPr>
              <w:t>备注</w:t>
            </w:r>
          </w:p>
        </w:tc>
      </w:tr>
      <w:tr w14:paraId="79603026">
        <w:tblPrEx>
          <w:tblCellMar>
            <w:top w:w="0" w:type="dxa"/>
            <w:left w:w="0" w:type="dxa"/>
            <w:bottom w:w="0" w:type="dxa"/>
            <w:right w:w="0" w:type="dxa"/>
          </w:tblCellMar>
        </w:tblPrEx>
        <w:trPr>
          <w:cantSplit/>
          <w:trHeight w:val="735" w:hRule="atLeast"/>
          <w:jc w:val="center"/>
        </w:trPr>
        <w:tc>
          <w:tcPr>
            <w:tcW w:w="73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DC116C">
            <w:pPr>
              <w:keepNext w:val="0"/>
              <w:keepLines w:val="0"/>
              <w:suppressLineNumbers w:val="0"/>
              <w:spacing w:before="0" w:beforeAutospacing="0" w:after="0" w:afterAutospacing="0"/>
              <w:ind w:left="0" w:right="0"/>
              <w:jc w:val="center"/>
              <w:rPr>
                <w:rFonts w:hint="eastAsia" w:ascii="宋体" w:hAnsi="宋体" w:eastAsia="等线" w:cs="宋体"/>
                <w:color w:val="000000"/>
                <w:szCs w:val="21"/>
                <w:highlight w:val="none"/>
              </w:rPr>
            </w:pPr>
            <w:r>
              <w:rPr>
                <w:rFonts w:hint="eastAsia" w:ascii="宋体" w:hAnsi="宋体" w:eastAsia="等线" w:cs="宋体"/>
                <w:color w:val="000000"/>
                <w:szCs w:val="21"/>
                <w:highlight w:val="none"/>
              </w:rPr>
              <w:t>1</w:t>
            </w:r>
          </w:p>
        </w:tc>
        <w:tc>
          <w:tcPr>
            <w:tcW w:w="44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DE7FD10">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szCs w:val="21"/>
                <w:highlight w:val="none"/>
                <w:lang w:val="en-US" w:eastAsia="zh-CN"/>
              </w:rPr>
            </w:pPr>
            <w:r>
              <w:rPr>
                <w:rFonts w:hint="eastAsia" w:ascii="宋体" w:hAnsi="宋体" w:eastAsia="等线" w:cs="宋体"/>
                <w:color w:val="000000"/>
                <w:szCs w:val="21"/>
                <w:highlight w:val="none"/>
                <w:lang w:val="en-US" w:eastAsia="zh-CN"/>
              </w:rPr>
              <w:t>两案专项法律服务采购（邀请竞价）</w:t>
            </w:r>
          </w:p>
        </w:tc>
        <w:tc>
          <w:tcPr>
            <w:tcW w:w="181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1143494">
            <w:pPr>
              <w:keepNext w:val="0"/>
              <w:keepLines w:val="0"/>
              <w:suppressLineNumbers w:val="0"/>
              <w:spacing w:before="0" w:beforeAutospacing="0" w:after="0" w:afterAutospacing="0"/>
              <w:ind w:left="0" w:right="0"/>
              <w:jc w:val="center"/>
              <w:rPr>
                <w:rFonts w:hint="eastAsia" w:ascii="宋体" w:hAnsi="宋体" w:eastAsia="等线" w:cs="宋体"/>
                <w:color w:val="000000"/>
                <w:szCs w:val="21"/>
                <w:highlight w:val="none"/>
              </w:rPr>
            </w:pPr>
            <w:r>
              <w:rPr>
                <w:rFonts w:hint="eastAsia" w:ascii="宋体" w:hAnsi="宋体" w:eastAsia="等线" w:cs="宋体"/>
                <w:color w:val="000000"/>
                <w:szCs w:val="21"/>
                <w:highlight w:val="none"/>
              </w:rPr>
              <w:t>详见交易需求</w:t>
            </w:r>
          </w:p>
        </w:tc>
        <w:tc>
          <w:tcPr>
            <w:tcW w:w="78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12F60F">
            <w:pPr>
              <w:keepNext w:val="0"/>
              <w:keepLines w:val="0"/>
              <w:suppressLineNumbers w:val="0"/>
              <w:spacing w:before="0" w:beforeAutospacing="0" w:after="0" w:afterAutospacing="0"/>
              <w:ind w:left="0" w:right="0"/>
              <w:jc w:val="center"/>
              <w:rPr>
                <w:rFonts w:hint="eastAsia" w:ascii="宋体" w:hAnsi="宋体" w:eastAsia="等线" w:cs="宋体"/>
                <w:color w:val="000000"/>
                <w:szCs w:val="21"/>
                <w:highlight w:val="none"/>
              </w:rPr>
            </w:pPr>
            <w:r>
              <w:rPr>
                <w:rFonts w:hint="eastAsia" w:ascii="宋体" w:hAnsi="宋体" w:eastAsia="等线" w:cs="宋体"/>
                <w:color w:val="000000"/>
                <w:szCs w:val="21"/>
                <w:highlight w:val="none"/>
              </w:rPr>
              <w:t>项</w:t>
            </w:r>
          </w:p>
        </w:tc>
        <w:tc>
          <w:tcPr>
            <w:tcW w:w="77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BE10B70">
            <w:pPr>
              <w:keepNext w:val="0"/>
              <w:keepLines w:val="0"/>
              <w:suppressLineNumbers w:val="0"/>
              <w:spacing w:before="0" w:beforeAutospacing="0" w:after="0" w:afterAutospacing="0"/>
              <w:ind w:left="0" w:right="0"/>
              <w:jc w:val="center"/>
              <w:rPr>
                <w:rFonts w:hint="eastAsia" w:ascii="宋体" w:hAnsi="宋体" w:eastAsia="等线" w:cs="宋体"/>
                <w:color w:val="000000"/>
                <w:szCs w:val="21"/>
                <w:highlight w:val="none"/>
              </w:rPr>
            </w:pPr>
            <w:r>
              <w:rPr>
                <w:rFonts w:hint="eastAsia" w:ascii="宋体" w:hAnsi="宋体" w:eastAsia="等线" w:cs="宋体"/>
                <w:color w:val="000000"/>
                <w:szCs w:val="21"/>
                <w:highlight w:val="none"/>
              </w:rPr>
              <w:t>1</w:t>
            </w:r>
          </w:p>
        </w:tc>
        <w:tc>
          <w:tcPr>
            <w:tcW w:w="773" w:type="dxa"/>
            <w:tcBorders>
              <w:top w:val="single" w:color="auto" w:sz="4" w:space="0"/>
              <w:left w:val="nil"/>
              <w:bottom w:val="single" w:color="auto" w:sz="4" w:space="0"/>
              <w:right w:val="single" w:color="auto" w:sz="4" w:space="0"/>
            </w:tcBorders>
            <w:noWrap w:val="0"/>
            <w:vAlign w:val="center"/>
          </w:tcPr>
          <w:p w14:paraId="47995B63">
            <w:pPr>
              <w:keepNext w:val="0"/>
              <w:keepLines w:val="0"/>
              <w:suppressLineNumbers w:val="0"/>
              <w:spacing w:before="0" w:beforeAutospacing="0" w:after="0" w:afterAutospacing="0"/>
              <w:ind w:left="0" w:right="0"/>
              <w:rPr>
                <w:rFonts w:hint="eastAsia" w:ascii="宋体" w:hAnsi="宋体" w:eastAsia="等线" w:cs="宋体"/>
                <w:color w:val="000000"/>
                <w:szCs w:val="21"/>
                <w:highlight w:val="none"/>
              </w:rPr>
            </w:pPr>
          </w:p>
        </w:tc>
      </w:tr>
    </w:tbl>
    <w:p w14:paraId="0EC82D85">
      <w:pPr>
        <w:spacing w:line="360" w:lineRule="auto"/>
        <w:jc w:val="center"/>
        <w:rPr>
          <w:rFonts w:ascii="宋体" w:hAnsi="宋体" w:cs="宋体"/>
          <w:b/>
          <w:color w:val="000000"/>
          <w:szCs w:val="21"/>
          <w:highlight w:val="none"/>
        </w:rPr>
      </w:pPr>
    </w:p>
    <w:p w14:paraId="7F9AF12E">
      <w:pPr>
        <w:spacing w:line="360" w:lineRule="auto"/>
        <w:jc w:val="center"/>
        <w:rPr>
          <w:rFonts w:hint="eastAsia" w:ascii="宋体" w:hAnsi="宋体" w:cs="宋体"/>
          <w:color w:val="000000"/>
          <w:szCs w:val="21"/>
          <w:highlight w:val="none"/>
          <w:lang w:eastAsia="zh-Hans"/>
        </w:rPr>
      </w:pPr>
      <w:r>
        <w:rPr>
          <w:rFonts w:hint="eastAsia" w:ascii="宋体" w:hAnsi="宋体" w:cs="宋体"/>
          <w:b/>
          <w:color w:val="000000"/>
          <w:szCs w:val="21"/>
          <w:highlight w:val="none"/>
        </w:rPr>
        <w:t>二、交易需求</w:t>
      </w:r>
    </w:p>
    <w:p w14:paraId="7424538C">
      <w:pPr>
        <w:spacing w:line="336" w:lineRule="auto"/>
        <w:ind w:firstLine="422" w:firstLineChars="200"/>
        <w:rPr>
          <w:rFonts w:hint="eastAsia" w:ascii="宋体" w:hAnsi="宋体" w:cs="宋体"/>
          <w:b/>
          <w:bCs/>
          <w:color w:val="000000"/>
          <w:szCs w:val="21"/>
          <w:highlight w:val="none"/>
          <w:lang w:eastAsia="zh-Hans"/>
        </w:rPr>
      </w:pPr>
      <w:r>
        <w:rPr>
          <w:rFonts w:hint="eastAsia" w:ascii="宋体" w:hAnsi="宋体" w:cs="宋体"/>
          <w:b/>
          <w:bCs/>
          <w:color w:val="000000"/>
          <w:szCs w:val="21"/>
          <w:highlight w:val="none"/>
          <w:lang w:eastAsia="zh-Hans"/>
        </w:rPr>
        <w:t>1、采购内容</w:t>
      </w: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Hans"/>
        </w:rPr>
        <w:t xml:space="preserve"> </w:t>
      </w:r>
    </w:p>
    <w:p w14:paraId="594BD83C">
      <w:pPr>
        <w:spacing w:line="336" w:lineRule="auto"/>
        <w:ind w:firstLine="420" w:firstLineChars="200"/>
        <w:rPr>
          <w:rFonts w:hint="eastAsia" w:ascii="宋体" w:hAnsi="宋体" w:cs="宋体"/>
          <w:color w:val="000000"/>
          <w:szCs w:val="21"/>
          <w:highlight w:val="none"/>
          <w:lang w:eastAsia="zh-Hans"/>
        </w:rPr>
      </w:pPr>
      <w:r>
        <w:rPr>
          <w:rFonts w:hint="eastAsia" w:ascii="宋体" w:hAnsi="宋体" w:cs="宋体"/>
          <w:color w:val="000000"/>
          <w:szCs w:val="21"/>
          <w:highlight w:val="none"/>
          <w:lang w:eastAsia="zh-Hans"/>
        </w:rPr>
        <w:t xml:space="preserve">民商事诉讼案件代理法律服务，代理律师需在提供的服务团队名单中确定。 </w:t>
      </w:r>
    </w:p>
    <w:p w14:paraId="05B1ED47">
      <w:pPr>
        <w:spacing w:line="336" w:lineRule="auto"/>
        <w:ind w:firstLine="420" w:firstLineChars="200"/>
        <w:rPr>
          <w:rFonts w:hint="eastAsia" w:ascii="宋体" w:hAnsi="宋体" w:cs="宋体"/>
          <w:szCs w:val="21"/>
          <w:highlight w:val="none"/>
          <w:lang w:eastAsia="zh-Hans"/>
        </w:rPr>
      </w:pPr>
      <w:r>
        <w:rPr>
          <w:rFonts w:hint="eastAsia" w:ascii="宋体" w:hAnsi="宋体" w:cs="宋体"/>
          <w:color w:val="000000"/>
          <w:szCs w:val="21"/>
          <w:highlight w:val="none"/>
          <w:lang w:eastAsia="zh-Hans"/>
        </w:rPr>
        <w:t>案件基本情况：</w:t>
      </w:r>
      <w:r>
        <w:rPr>
          <w:rFonts w:hint="eastAsia" w:ascii="宋体" w:hAnsi="宋体" w:cs="宋体"/>
          <w:color w:val="000000"/>
          <w:szCs w:val="21"/>
          <w:highlight w:val="none"/>
          <w:lang w:val="en-US" w:eastAsia="zh-CN"/>
        </w:rPr>
        <w:t>案件一为：杭州市交工集团与某某建设工程施工</w:t>
      </w:r>
      <w:r>
        <w:rPr>
          <w:rFonts w:hint="eastAsia" w:ascii="宋体" w:hAnsi="宋体" w:cs="宋体"/>
          <w:color w:val="000000"/>
          <w:szCs w:val="21"/>
          <w:highlight w:val="none"/>
          <w:lang w:eastAsia="zh-Hans"/>
        </w:rPr>
        <w:t>合同纠纷一案的一审、二审、执行阶段的诉讼法律事务</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案件二为：杭州市交工集团与某某建设工程施工</w:t>
      </w:r>
      <w:r>
        <w:rPr>
          <w:rFonts w:hint="eastAsia" w:ascii="宋体" w:hAnsi="宋体" w:cs="宋体"/>
          <w:color w:val="000000"/>
          <w:szCs w:val="21"/>
          <w:highlight w:val="none"/>
          <w:lang w:eastAsia="zh-Hans"/>
        </w:rPr>
        <w:t>合同纠纷一案的一审、二审、执行阶段的诉讼法律事务</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根据专属管辖上述案件均在浙江省内法院管辖</w:t>
      </w:r>
      <w:r>
        <w:rPr>
          <w:rFonts w:hint="eastAsia" w:ascii="宋体" w:hAnsi="宋体" w:cs="宋体"/>
          <w:color w:val="000000"/>
          <w:szCs w:val="21"/>
          <w:highlight w:val="none"/>
          <w:lang w:eastAsia="zh-Hans"/>
        </w:rPr>
        <w:t>。本次涉诉金额</w:t>
      </w:r>
      <w:r>
        <w:rPr>
          <w:rFonts w:hint="eastAsia" w:ascii="宋体" w:hAnsi="宋体" w:cs="宋体"/>
          <w:color w:val="000000"/>
          <w:szCs w:val="21"/>
          <w:highlight w:val="none"/>
          <w:lang w:val="en-US" w:eastAsia="zh-CN"/>
        </w:rPr>
        <w:t>案件一</w:t>
      </w:r>
      <w:r>
        <w:rPr>
          <w:rFonts w:hint="eastAsia" w:ascii="宋体" w:hAnsi="宋体" w:cs="宋体"/>
          <w:color w:val="000000"/>
          <w:szCs w:val="21"/>
          <w:highlight w:val="none"/>
          <w:lang w:eastAsia="zh-Hans"/>
        </w:rPr>
        <w:t>为本金金额</w:t>
      </w:r>
      <w:r>
        <w:rPr>
          <w:rFonts w:hint="eastAsia" w:ascii="宋体" w:hAnsi="宋体" w:cs="宋体"/>
          <w:color w:val="000000"/>
          <w:szCs w:val="21"/>
          <w:highlight w:val="none"/>
          <w:lang w:val="en-US" w:eastAsia="zh-CN"/>
        </w:rPr>
        <w:t>暂定2500万元，案件二</w:t>
      </w:r>
      <w:r>
        <w:rPr>
          <w:rFonts w:hint="eastAsia" w:ascii="宋体" w:hAnsi="宋体" w:cs="宋体"/>
          <w:color w:val="000000"/>
          <w:szCs w:val="21"/>
          <w:highlight w:val="none"/>
          <w:lang w:eastAsia="zh-Hans"/>
        </w:rPr>
        <w:t>本金金额</w:t>
      </w:r>
      <w:r>
        <w:rPr>
          <w:rFonts w:hint="eastAsia" w:ascii="宋体" w:hAnsi="宋体" w:cs="宋体"/>
          <w:color w:val="000000"/>
          <w:szCs w:val="21"/>
          <w:highlight w:val="none"/>
          <w:lang w:val="en-US" w:eastAsia="zh-CN"/>
        </w:rPr>
        <w:t>暂定235万元</w:t>
      </w:r>
      <w:r>
        <w:rPr>
          <w:rFonts w:hint="eastAsia" w:ascii="宋体" w:hAnsi="宋体" w:cs="宋体"/>
          <w:color w:val="000000"/>
          <w:szCs w:val="21"/>
          <w:highlight w:val="none"/>
          <w:lang w:eastAsia="zh-Hans"/>
        </w:rPr>
        <w:t>及</w:t>
      </w:r>
      <w:r>
        <w:rPr>
          <w:rFonts w:hint="eastAsia" w:ascii="宋体" w:hAnsi="宋体" w:cs="宋体"/>
          <w:color w:val="000000"/>
          <w:szCs w:val="21"/>
          <w:highlight w:val="none"/>
          <w:lang w:val="en-US" w:eastAsia="zh-CN"/>
        </w:rPr>
        <w:t>两案</w:t>
      </w:r>
      <w:r>
        <w:rPr>
          <w:rFonts w:hint="eastAsia" w:ascii="宋体" w:hAnsi="宋体" w:cs="宋体"/>
          <w:color w:val="000000"/>
          <w:szCs w:val="21"/>
          <w:highlight w:val="none"/>
          <w:lang w:eastAsia="zh-Hans"/>
        </w:rPr>
        <w:t>相应年化收益、违约金等。</w:t>
      </w:r>
      <w:r>
        <w:rPr>
          <w:rFonts w:hint="eastAsia" w:ascii="宋体" w:hAnsi="宋体" w:cs="宋体"/>
          <w:color w:val="000000"/>
          <w:szCs w:val="21"/>
          <w:highlight w:val="none"/>
        </w:rPr>
        <w:t>期间招标人与相关人员多次沟通，至今仍无实质性结果，故决定走法律途径，通过本次招标选择中标人进行案件代理。</w:t>
      </w:r>
    </w:p>
    <w:p w14:paraId="09695211">
      <w:pPr>
        <w:spacing w:line="336" w:lineRule="auto"/>
        <w:ind w:firstLine="420" w:firstLineChars="200"/>
        <w:rPr>
          <w:rFonts w:hint="eastAsia" w:ascii="宋体" w:hAnsi="宋体" w:cs="宋体"/>
          <w:szCs w:val="21"/>
          <w:highlight w:val="none"/>
        </w:rPr>
      </w:pPr>
      <w:r>
        <w:rPr>
          <w:rFonts w:hint="eastAsia" w:ascii="宋体" w:hAnsi="宋体" w:cs="宋体"/>
          <w:szCs w:val="21"/>
          <w:highlight w:val="none"/>
          <w:lang w:eastAsia="zh-Hans"/>
        </w:rPr>
        <w:t>服务阶段：</w:t>
      </w:r>
      <w:r>
        <w:rPr>
          <w:rFonts w:hint="eastAsia" w:ascii="宋体" w:hAnsi="宋体" w:cs="宋体"/>
          <w:szCs w:val="21"/>
          <w:highlight w:val="none"/>
          <w:lang w:val="en-US" w:eastAsia="zh-CN"/>
        </w:rPr>
        <w:t>提供两案件</w:t>
      </w:r>
      <w:r>
        <w:rPr>
          <w:rFonts w:hint="eastAsia" w:ascii="宋体" w:hAnsi="宋体" w:cs="仿宋"/>
          <w:szCs w:val="21"/>
          <w:highlight w:val="none"/>
        </w:rPr>
        <w:t>法律诉讼</w:t>
      </w:r>
      <w:r>
        <w:rPr>
          <w:rFonts w:hint="eastAsia" w:ascii="宋体" w:hAnsi="宋体" w:cs="宋体"/>
          <w:szCs w:val="21"/>
          <w:highlight w:val="none"/>
          <w:lang w:eastAsia="zh-Hans"/>
        </w:rPr>
        <w:t>全流程服务</w:t>
      </w:r>
      <w:r>
        <w:rPr>
          <w:rFonts w:hint="eastAsia" w:ascii="宋体" w:hAnsi="宋体" w:cs="宋体"/>
          <w:szCs w:val="21"/>
          <w:highlight w:val="none"/>
          <w:lang w:val="en-US" w:eastAsia="zh-CN"/>
        </w:rPr>
        <w:t>及相关配套法律事务与咨询业务</w:t>
      </w:r>
      <w:r>
        <w:rPr>
          <w:rFonts w:hint="eastAsia" w:ascii="宋体" w:hAnsi="宋体" w:cs="宋体"/>
          <w:szCs w:val="21"/>
          <w:highlight w:val="none"/>
          <w:lang w:eastAsia="zh-Hans"/>
        </w:rPr>
        <w:t>。</w:t>
      </w:r>
      <w:r>
        <w:rPr>
          <w:rFonts w:hint="eastAsia" w:ascii="宋体" w:hAnsi="宋体" w:cs="宋体"/>
          <w:szCs w:val="21"/>
          <w:highlight w:val="none"/>
        </w:rPr>
        <w:t xml:space="preserve"> </w:t>
      </w:r>
    </w:p>
    <w:p w14:paraId="40F7D798">
      <w:pPr>
        <w:spacing w:line="336" w:lineRule="auto"/>
        <w:ind w:firstLine="422" w:firstLineChars="200"/>
        <w:rPr>
          <w:rFonts w:hint="eastAsia" w:ascii="宋体" w:hAnsi="宋体" w:cs="宋体"/>
          <w:b/>
          <w:bCs/>
          <w:szCs w:val="21"/>
          <w:highlight w:val="none"/>
        </w:rPr>
      </w:pPr>
      <w:r>
        <w:rPr>
          <w:rFonts w:hint="eastAsia" w:ascii="宋体" w:hAnsi="宋体" w:cs="宋体"/>
          <w:b/>
          <w:bCs/>
          <w:szCs w:val="21"/>
          <w:highlight w:val="none"/>
          <w:lang w:eastAsia="zh-Hans"/>
        </w:rPr>
        <w:t>2、服务响应时间及人员要求</w:t>
      </w:r>
      <w:r>
        <w:rPr>
          <w:rFonts w:hint="eastAsia" w:ascii="宋体" w:hAnsi="宋体" w:cs="宋体"/>
          <w:b/>
          <w:bCs/>
          <w:szCs w:val="21"/>
          <w:highlight w:val="none"/>
        </w:rPr>
        <w:t>：</w:t>
      </w:r>
    </w:p>
    <w:p w14:paraId="06C31525">
      <w:pPr>
        <w:spacing w:line="336" w:lineRule="auto"/>
        <w:ind w:firstLine="420" w:firstLineChars="200"/>
        <w:rPr>
          <w:rFonts w:hint="eastAsia" w:ascii="宋体" w:hAnsi="宋体" w:cs="宋体"/>
          <w:szCs w:val="21"/>
          <w:highlight w:val="none"/>
        </w:rPr>
      </w:pPr>
      <w:r>
        <w:rPr>
          <w:rFonts w:hint="eastAsia" w:ascii="宋体" w:hAnsi="宋体" w:cs="宋体"/>
          <w:szCs w:val="21"/>
          <w:highlight w:val="none"/>
          <w:lang w:eastAsia="zh-Hans"/>
        </w:rPr>
        <w:t xml:space="preserve">2.1 </w:t>
      </w:r>
      <w:r>
        <w:rPr>
          <w:rFonts w:hint="eastAsia" w:ascii="宋体" w:hAnsi="宋体" w:cs="宋体"/>
          <w:szCs w:val="21"/>
          <w:highlight w:val="none"/>
        </w:rPr>
        <w:t>投标人</w:t>
      </w:r>
      <w:r>
        <w:rPr>
          <w:rFonts w:hint="eastAsia" w:ascii="宋体" w:hAnsi="宋体" w:cs="宋体"/>
          <w:szCs w:val="21"/>
          <w:highlight w:val="none"/>
          <w:lang w:eastAsia="zh-Hans"/>
        </w:rPr>
        <w:t>具有代理政府</w:t>
      </w:r>
      <w:r>
        <w:rPr>
          <w:rFonts w:hint="eastAsia" w:ascii="宋体" w:hAnsi="宋体" w:cs="宋体"/>
          <w:szCs w:val="21"/>
          <w:highlight w:val="none"/>
        </w:rPr>
        <w:t>或</w:t>
      </w:r>
      <w:r>
        <w:rPr>
          <w:rFonts w:hint="eastAsia" w:ascii="宋体" w:hAnsi="宋体" w:cs="宋体"/>
          <w:szCs w:val="21"/>
          <w:highlight w:val="none"/>
          <w:lang w:eastAsia="zh-Hans"/>
        </w:rPr>
        <w:t>国企</w:t>
      </w:r>
      <w:r>
        <w:rPr>
          <w:rFonts w:hint="eastAsia" w:ascii="宋体" w:hAnsi="宋体" w:cs="宋体"/>
          <w:szCs w:val="21"/>
          <w:highlight w:val="none"/>
        </w:rPr>
        <w:t>或国企子公司或金融机构</w:t>
      </w:r>
      <w:r>
        <w:rPr>
          <w:rFonts w:hint="eastAsia" w:ascii="宋体" w:hAnsi="宋体" w:cs="宋体"/>
          <w:szCs w:val="21"/>
          <w:highlight w:val="none"/>
          <w:lang w:eastAsia="zh-Hans"/>
        </w:rPr>
        <w:t>诉讼</w:t>
      </w:r>
      <w:r>
        <w:rPr>
          <w:rFonts w:hint="eastAsia" w:ascii="宋体" w:hAnsi="宋体" w:cs="宋体"/>
          <w:szCs w:val="21"/>
          <w:highlight w:val="none"/>
        </w:rPr>
        <w:t>/仲裁</w:t>
      </w:r>
      <w:r>
        <w:rPr>
          <w:rFonts w:hint="eastAsia" w:ascii="宋体" w:hAnsi="宋体" w:cs="宋体"/>
          <w:szCs w:val="21"/>
          <w:highlight w:val="none"/>
          <w:lang w:eastAsia="zh-Hans"/>
        </w:rPr>
        <w:t>案件相关经验</w:t>
      </w:r>
      <w:r>
        <w:rPr>
          <w:rFonts w:hint="eastAsia" w:ascii="宋体" w:hAnsi="宋体" w:cs="宋体"/>
          <w:szCs w:val="21"/>
          <w:highlight w:val="none"/>
          <w:lang w:eastAsia="zh-CN"/>
        </w:rPr>
        <w:t>，</w:t>
      </w:r>
      <w:r>
        <w:rPr>
          <w:rFonts w:hint="eastAsia" w:ascii="宋体" w:hAnsi="宋体" w:cs="宋体"/>
          <w:szCs w:val="21"/>
          <w:highlight w:val="none"/>
          <w:lang w:val="en-US" w:eastAsia="zh-CN"/>
        </w:rPr>
        <w:t>过往办理建设工程施工合同纠纷案件不少于10件且至少处理过1件（含本数）以上案涉金额在3000万以上的纠纷</w:t>
      </w:r>
      <w:r>
        <w:rPr>
          <w:rFonts w:hint="eastAsia" w:ascii="宋体" w:hAnsi="宋体" w:cs="宋体"/>
          <w:szCs w:val="21"/>
          <w:highlight w:val="none"/>
        </w:rPr>
        <w:t>。</w:t>
      </w:r>
    </w:p>
    <w:p w14:paraId="15E16360">
      <w:pPr>
        <w:spacing w:line="336" w:lineRule="auto"/>
        <w:ind w:firstLine="420" w:firstLineChars="200"/>
        <w:rPr>
          <w:rFonts w:hint="eastAsia" w:ascii="宋体" w:hAnsi="宋体" w:cs="宋体"/>
          <w:szCs w:val="21"/>
          <w:highlight w:val="none"/>
        </w:rPr>
      </w:pPr>
      <w:r>
        <w:rPr>
          <w:rFonts w:hint="eastAsia" w:ascii="宋体" w:hAnsi="宋体" w:cs="宋体"/>
          <w:szCs w:val="21"/>
          <w:highlight w:val="none"/>
          <w:lang w:eastAsia="zh-Hans"/>
        </w:rPr>
        <w:t xml:space="preserve">2.2 </w:t>
      </w:r>
      <w:r>
        <w:rPr>
          <w:rFonts w:hint="eastAsia" w:ascii="宋体" w:hAnsi="宋体" w:cs="宋体"/>
          <w:szCs w:val="21"/>
          <w:highlight w:val="none"/>
        </w:rPr>
        <w:t>投标人</w:t>
      </w:r>
      <w:r>
        <w:rPr>
          <w:rFonts w:hint="eastAsia" w:ascii="宋体" w:hAnsi="宋体" w:cs="宋体"/>
          <w:szCs w:val="21"/>
          <w:highlight w:val="none"/>
          <w:lang w:eastAsia="zh-Hans"/>
        </w:rPr>
        <w:t>需要在收到业主任务后根据任务类型匹配相应专业法律人员在1小时内响应，并根据委托事项随时报告工作进度。投入本项目人员不得少于</w:t>
      </w:r>
      <w:r>
        <w:rPr>
          <w:rFonts w:hint="eastAsia" w:ascii="宋体" w:hAnsi="宋体" w:cs="宋体"/>
          <w:szCs w:val="21"/>
          <w:highlight w:val="none"/>
        </w:rPr>
        <w:t>2</w:t>
      </w:r>
      <w:r>
        <w:rPr>
          <w:rFonts w:hint="eastAsia" w:ascii="宋体" w:hAnsi="宋体" w:cs="宋体"/>
          <w:szCs w:val="21"/>
          <w:highlight w:val="none"/>
          <w:lang w:eastAsia="zh-Hans"/>
        </w:rPr>
        <w:t>人</w:t>
      </w:r>
      <w:r>
        <w:rPr>
          <w:rFonts w:hint="eastAsia" w:ascii="宋体" w:hAnsi="宋体" w:cs="宋体"/>
          <w:szCs w:val="21"/>
          <w:highlight w:val="none"/>
        </w:rPr>
        <w:t>（含2名代理律师）</w:t>
      </w:r>
      <w:r>
        <w:rPr>
          <w:rFonts w:hint="eastAsia" w:ascii="宋体" w:hAnsi="宋体" w:cs="宋体"/>
          <w:szCs w:val="21"/>
          <w:highlight w:val="none"/>
          <w:lang w:eastAsia="zh-Hans"/>
        </w:rPr>
        <w:t>，律师执业年限</w:t>
      </w:r>
      <w:r>
        <w:rPr>
          <w:rFonts w:hint="eastAsia" w:ascii="宋体" w:hAnsi="宋体" w:cs="宋体"/>
          <w:szCs w:val="21"/>
          <w:highlight w:val="none"/>
          <w:lang w:val="en-US" w:eastAsia="zh-CN"/>
        </w:rPr>
        <w:t>或先前从事于包括但不限于公安、检察院、法院、政府机构法制部门从事法律工作的年限，合计</w:t>
      </w:r>
      <w:r>
        <w:rPr>
          <w:rFonts w:hint="eastAsia" w:ascii="宋体" w:hAnsi="宋体" w:cs="宋体"/>
          <w:szCs w:val="21"/>
          <w:highlight w:val="none"/>
          <w:lang w:eastAsia="zh-Hans"/>
        </w:rPr>
        <w:t>不得低</w:t>
      </w:r>
      <w:r>
        <w:rPr>
          <w:rFonts w:hint="eastAsia" w:ascii="宋体" w:hAnsi="宋体" w:cs="宋体"/>
          <w:szCs w:val="21"/>
          <w:highlight w:val="none"/>
        </w:rPr>
        <w:t>于</w:t>
      </w:r>
      <w:r>
        <w:rPr>
          <w:rFonts w:hint="eastAsia" w:ascii="宋体" w:hAnsi="宋体" w:cs="宋体"/>
          <w:szCs w:val="21"/>
          <w:highlight w:val="none"/>
          <w:lang w:val="en-US" w:eastAsia="zh-CN"/>
        </w:rPr>
        <w:t>8</w:t>
      </w:r>
      <w:r>
        <w:rPr>
          <w:rFonts w:hint="eastAsia" w:ascii="宋体" w:hAnsi="宋体" w:cs="宋体"/>
          <w:szCs w:val="21"/>
          <w:highlight w:val="none"/>
          <w:lang w:eastAsia="zh-Hans"/>
        </w:rPr>
        <w:t>年</w:t>
      </w:r>
      <w:r>
        <w:rPr>
          <w:rFonts w:hint="eastAsia" w:ascii="宋体" w:hAnsi="宋体" w:cs="宋体"/>
          <w:szCs w:val="21"/>
          <w:highlight w:val="none"/>
        </w:rPr>
        <w:t>。</w:t>
      </w:r>
    </w:p>
    <w:p w14:paraId="6D9E0B68">
      <w:pPr>
        <w:spacing w:line="336" w:lineRule="auto"/>
        <w:ind w:firstLine="420" w:firstLineChars="200"/>
        <w:rPr>
          <w:rFonts w:hint="eastAsia" w:ascii="宋体" w:hAnsi="宋体" w:cs="宋体"/>
          <w:szCs w:val="21"/>
          <w:highlight w:val="none"/>
          <w:lang w:eastAsia="zh-Hans"/>
        </w:rPr>
      </w:pPr>
      <w:r>
        <w:rPr>
          <w:rFonts w:hint="eastAsia" w:ascii="宋体" w:hAnsi="宋体" w:cs="宋体"/>
          <w:szCs w:val="21"/>
          <w:highlight w:val="none"/>
          <w:lang w:eastAsia="zh-Hans"/>
        </w:rPr>
        <w:t xml:space="preserve">2.3 </w:t>
      </w:r>
      <w:r>
        <w:rPr>
          <w:rFonts w:hint="eastAsia" w:ascii="宋体" w:hAnsi="宋体" w:cs="宋体"/>
          <w:szCs w:val="21"/>
          <w:highlight w:val="none"/>
        </w:rPr>
        <w:t>投标人</w:t>
      </w:r>
      <w:r>
        <w:rPr>
          <w:rFonts w:hint="eastAsia" w:ascii="宋体" w:hAnsi="宋体" w:cs="宋体"/>
          <w:szCs w:val="21"/>
          <w:highlight w:val="none"/>
          <w:lang w:eastAsia="zh-Hans"/>
        </w:rPr>
        <w:t>人员应勤勉尽责地完成委托事项，维护业主的合法权益</w:t>
      </w:r>
      <w:r>
        <w:rPr>
          <w:rFonts w:hint="eastAsia" w:ascii="宋体" w:hAnsi="宋体" w:cs="宋体"/>
          <w:szCs w:val="21"/>
          <w:highlight w:val="none"/>
          <w:lang w:eastAsia="zh-CN"/>
        </w:rPr>
        <w:t>，</w:t>
      </w:r>
      <w:r>
        <w:rPr>
          <w:rFonts w:hint="eastAsia" w:ascii="宋体" w:hAnsi="宋体" w:cs="宋体"/>
          <w:szCs w:val="21"/>
          <w:highlight w:val="none"/>
          <w:lang w:val="en-US" w:eastAsia="zh-CN"/>
        </w:rPr>
        <w:t>在案件处理过程中应当及时将与案件有关信息披露给业主，供业主决策</w:t>
      </w:r>
      <w:r>
        <w:rPr>
          <w:rFonts w:hint="eastAsia" w:ascii="宋体" w:hAnsi="宋体" w:cs="宋体"/>
          <w:szCs w:val="21"/>
          <w:highlight w:val="none"/>
          <w:lang w:eastAsia="zh-Hans"/>
        </w:rPr>
        <w:t xml:space="preserve">。 </w:t>
      </w:r>
    </w:p>
    <w:p w14:paraId="2D73C07E">
      <w:pPr>
        <w:spacing w:line="336" w:lineRule="auto"/>
        <w:ind w:firstLine="420" w:firstLineChars="200"/>
        <w:rPr>
          <w:rFonts w:hint="eastAsia" w:ascii="宋体" w:hAnsi="宋体" w:cs="宋体"/>
          <w:szCs w:val="21"/>
          <w:highlight w:val="none"/>
        </w:rPr>
      </w:pPr>
      <w:r>
        <w:rPr>
          <w:rFonts w:hint="eastAsia" w:ascii="宋体" w:hAnsi="宋体" w:cs="宋体"/>
          <w:szCs w:val="21"/>
          <w:highlight w:val="none"/>
          <w:lang w:eastAsia="zh-Hans"/>
        </w:rPr>
        <w:t>2.4 在涉及业主的对抗性案件或交易活动中，未经业主同意，法律服务机构不得担任与业主具有法律上利益冲突的另一方的法律顾问或代理人</w:t>
      </w:r>
      <w:r>
        <w:rPr>
          <w:rFonts w:hint="eastAsia" w:ascii="宋体" w:hAnsi="宋体" w:cs="宋体"/>
          <w:szCs w:val="21"/>
          <w:highlight w:val="none"/>
        </w:rPr>
        <w:t>。</w:t>
      </w:r>
    </w:p>
    <w:p w14:paraId="040F9564">
      <w:pPr>
        <w:spacing w:line="336" w:lineRule="auto"/>
        <w:ind w:firstLine="420" w:firstLineChars="200"/>
        <w:rPr>
          <w:rFonts w:hint="eastAsia" w:ascii="宋体" w:hAnsi="宋体" w:cs="宋体"/>
          <w:szCs w:val="21"/>
          <w:highlight w:val="none"/>
        </w:rPr>
      </w:pPr>
      <w:r>
        <w:rPr>
          <w:rFonts w:hint="eastAsia" w:ascii="宋体" w:hAnsi="宋体" w:cs="宋体"/>
          <w:szCs w:val="21"/>
          <w:highlight w:val="none"/>
          <w:lang w:eastAsia="zh-Hans"/>
        </w:rPr>
        <w:t xml:space="preserve">2.5 </w:t>
      </w:r>
      <w:r>
        <w:rPr>
          <w:rFonts w:hint="eastAsia" w:ascii="宋体" w:hAnsi="宋体" w:cs="宋体"/>
          <w:szCs w:val="21"/>
          <w:highlight w:val="none"/>
        </w:rPr>
        <w:t>投标人</w:t>
      </w:r>
      <w:r>
        <w:rPr>
          <w:rFonts w:hint="eastAsia" w:ascii="宋体" w:hAnsi="宋体" w:cs="宋体"/>
          <w:szCs w:val="21"/>
          <w:highlight w:val="none"/>
          <w:lang w:eastAsia="zh-Hans"/>
        </w:rPr>
        <w:t>对业主业务应当单独建档，保存完整的工作记录，对涉及业主的原始凭证、法律文书等应当妥善保管，完成委托事项后及时归还</w:t>
      </w:r>
      <w:r>
        <w:rPr>
          <w:rFonts w:hint="eastAsia" w:ascii="宋体" w:hAnsi="宋体" w:cs="宋体"/>
          <w:szCs w:val="21"/>
          <w:highlight w:val="none"/>
        </w:rPr>
        <w:t>。</w:t>
      </w:r>
    </w:p>
    <w:p w14:paraId="2FDF2BDF">
      <w:pPr>
        <w:spacing w:line="336" w:lineRule="auto"/>
        <w:ind w:firstLine="420" w:firstLineChars="200"/>
        <w:rPr>
          <w:rFonts w:hint="eastAsia" w:ascii="宋体" w:hAnsi="宋体" w:cs="宋体"/>
          <w:szCs w:val="21"/>
          <w:highlight w:val="none"/>
          <w:lang w:eastAsia="zh-Hans"/>
        </w:rPr>
      </w:pPr>
      <w:r>
        <w:rPr>
          <w:rFonts w:hint="eastAsia" w:ascii="宋体" w:hAnsi="宋体" w:cs="宋体"/>
          <w:szCs w:val="21"/>
          <w:highlight w:val="none"/>
          <w:lang w:eastAsia="zh-Hans"/>
        </w:rPr>
        <w:t xml:space="preserve">2.6 </w:t>
      </w:r>
      <w:r>
        <w:rPr>
          <w:rFonts w:hint="eastAsia" w:ascii="宋体" w:hAnsi="宋体" w:cs="宋体"/>
          <w:szCs w:val="21"/>
          <w:highlight w:val="none"/>
        </w:rPr>
        <w:t>投标人</w:t>
      </w:r>
      <w:r>
        <w:rPr>
          <w:rFonts w:hint="eastAsia" w:ascii="宋体" w:hAnsi="宋体" w:cs="宋体"/>
          <w:szCs w:val="21"/>
          <w:highlight w:val="none"/>
          <w:lang w:eastAsia="zh-Hans"/>
        </w:rPr>
        <w:t xml:space="preserve">的工作时间和工作地点应根据业主所需实际法律服务内容的不同与业主具体协商或随时联系约定。 </w:t>
      </w:r>
    </w:p>
    <w:p w14:paraId="0BC28E7E">
      <w:pPr>
        <w:spacing w:line="336" w:lineRule="auto"/>
        <w:ind w:firstLine="420" w:firstLineChars="200"/>
        <w:rPr>
          <w:rFonts w:hint="eastAsia" w:ascii="宋体" w:hAnsi="宋体" w:cs="宋体"/>
          <w:szCs w:val="21"/>
          <w:highlight w:val="none"/>
          <w:lang w:eastAsia="zh-Hans"/>
        </w:rPr>
      </w:pPr>
      <w:r>
        <w:rPr>
          <w:rFonts w:hint="eastAsia" w:ascii="宋体" w:hAnsi="宋体" w:cs="宋体"/>
          <w:szCs w:val="21"/>
          <w:highlight w:val="none"/>
          <w:lang w:eastAsia="zh-Hans"/>
        </w:rPr>
        <w:t>2.7 今后业务受托人必须为本项目</w:t>
      </w:r>
      <w:r>
        <w:rPr>
          <w:rFonts w:hint="eastAsia" w:ascii="宋体" w:hAnsi="宋体" w:cs="宋体"/>
          <w:szCs w:val="21"/>
          <w:highlight w:val="none"/>
        </w:rPr>
        <w:t>投标文件</w:t>
      </w:r>
      <w:r>
        <w:rPr>
          <w:rFonts w:hint="eastAsia" w:ascii="宋体" w:hAnsi="宋体" w:cs="宋体"/>
          <w:szCs w:val="21"/>
          <w:highlight w:val="none"/>
          <w:lang w:eastAsia="zh-Hans"/>
        </w:rPr>
        <w:t>中服务团队列表中的成员，未经业主同意，不得转代理。</w:t>
      </w:r>
    </w:p>
    <w:p w14:paraId="1E6D3F69">
      <w:pPr>
        <w:spacing w:line="336" w:lineRule="auto"/>
        <w:ind w:firstLine="420" w:firstLineChars="200"/>
        <w:rPr>
          <w:rFonts w:hint="eastAsia" w:ascii="宋体" w:hAnsi="宋体" w:cs="宋体"/>
          <w:color w:val="000000"/>
          <w:szCs w:val="21"/>
          <w:highlight w:val="none"/>
          <w:lang w:eastAsia="zh-Hans"/>
        </w:rPr>
      </w:pPr>
      <w:r>
        <w:rPr>
          <w:rFonts w:hint="eastAsia" w:ascii="宋体" w:hAnsi="宋体" w:cs="宋体"/>
          <w:szCs w:val="21"/>
          <w:highlight w:val="none"/>
          <w:lang w:eastAsia="zh-Hans"/>
        </w:rPr>
        <w:t xml:space="preserve">2.8 </w:t>
      </w:r>
      <w:r>
        <w:rPr>
          <w:rFonts w:hint="eastAsia" w:ascii="宋体" w:hAnsi="宋体" w:cs="宋体"/>
          <w:szCs w:val="21"/>
          <w:highlight w:val="none"/>
        </w:rPr>
        <w:t>投标人</w:t>
      </w:r>
      <w:r>
        <w:rPr>
          <w:rFonts w:hint="eastAsia" w:ascii="宋体" w:hAnsi="宋体" w:cs="宋体"/>
          <w:szCs w:val="21"/>
          <w:highlight w:val="none"/>
          <w:lang w:eastAsia="zh-Hans"/>
        </w:rPr>
        <w:t>对其获知的业主商业秘密和与本项目有关的非公开的信息、资料负有保密责任，非由法律规</w:t>
      </w:r>
      <w:r>
        <w:rPr>
          <w:rFonts w:hint="eastAsia" w:ascii="宋体" w:hAnsi="宋体" w:cs="宋体"/>
          <w:color w:val="000000"/>
          <w:szCs w:val="21"/>
          <w:highlight w:val="none"/>
          <w:lang w:eastAsia="zh-Hans"/>
        </w:rPr>
        <w:t>定或者业主同意，不得向任何第三方披露。</w:t>
      </w:r>
    </w:p>
    <w:p w14:paraId="4C70BAC0">
      <w:pPr>
        <w:spacing w:line="336" w:lineRule="auto"/>
        <w:ind w:firstLine="422" w:firstLineChars="200"/>
        <w:rPr>
          <w:rFonts w:hint="eastAsia" w:ascii="宋体" w:hAnsi="宋体" w:cs="宋体"/>
          <w:color w:val="000000"/>
          <w:szCs w:val="21"/>
          <w:highlight w:val="none"/>
          <w:lang w:eastAsia="zh-Hans"/>
        </w:rPr>
      </w:pPr>
      <w:r>
        <w:rPr>
          <w:rFonts w:hint="eastAsia" w:ascii="宋体" w:hAnsi="宋体" w:cs="宋体"/>
          <w:b/>
          <w:bCs/>
          <w:color w:val="000000"/>
          <w:szCs w:val="21"/>
          <w:highlight w:val="none"/>
        </w:rPr>
        <w:t>3</w:t>
      </w:r>
      <w:r>
        <w:rPr>
          <w:rFonts w:hint="eastAsia" w:ascii="宋体" w:hAnsi="宋体" w:cs="宋体"/>
          <w:b/>
          <w:bCs/>
          <w:color w:val="000000"/>
          <w:szCs w:val="21"/>
          <w:highlight w:val="none"/>
          <w:lang w:eastAsia="zh-Hans"/>
        </w:rPr>
        <w:t>、</w:t>
      </w:r>
      <w:r>
        <w:rPr>
          <w:rFonts w:hint="eastAsia" w:ascii="宋体" w:hAnsi="宋体" w:cs="宋体"/>
          <w:b/>
          <w:bCs/>
          <w:color w:val="000000"/>
          <w:szCs w:val="21"/>
          <w:highlight w:val="none"/>
        </w:rPr>
        <w:t>具体</w:t>
      </w:r>
      <w:r>
        <w:rPr>
          <w:rFonts w:hint="eastAsia" w:ascii="宋体" w:hAnsi="宋体" w:cs="宋体"/>
          <w:b/>
          <w:bCs/>
          <w:color w:val="000000"/>
          <w:szCs w:val="21"/>
          <w:highlight w:val="none"/>
          <w:lang w:eastAsia="zh-Hans"/>
        </w:rPr>
        <w:t>服务时间节点要求完成相应工作</w:t>
      </w: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Hans"/>
        </w:rPr>
        <w:t xml:space="preserve"> </w:t>
      </w:r>
      <w:r>
        <w:rPr>
          <w:rFonts w:hint="eastAsia" w:ascii="宋体" w:hAnsi="宋体" w:cs="宋体"/>
          <w:color w:val="000000"/>
          <w:szCs w:val="21"/>
          <w:highlight w:val="none"/>
          <w:lang w:eastAsia="zh-Hans"/>
        </w:rPr>
        <w:t xml:space="preserve">            </w:t>
      </w:r>
    </w:p>
    <w:p w14:paraId="21397A2E">
      <w:pPr>
        <w:spacing w:line="336" w:lineRule="auto"/>
        <w:ind w:firstLine="420" w:firstLineChars="200"/>
        <w:rPr>
          <w:rFonts w:hint="eastAsia" w:ascii="宋体" w:hAnsi="宋体" w:cs="宋体"/>
          <w:szCs w:val="21"/>
          <w:highlight w:val="none"/>
          <w:lang w:eastAsia="zh-Hans"/>
        </w:rPr>
      </w:pPr>
      <w:r>
        <w:rPr>
          <w:rFonts w:hint="eastAsia" w:ascii="宋体" w:hAnsi="宋体" w:cs="宋体"/>
          <w:szCs w:val="21"/>
          <w:highlight w:val="none"/>
          <w:lang w:eastAsia="zh-Hans"/>
        </w:rPr>
        <w:t>诉讼服务方案包括案前准备阶段、立案保全阶段、审理阶段、执行阶段，分阶段对案件推进进行管理。</w:t>
      </w:r>
    </w:p>
    <w:p w14:paraId="1A840CBA">
      <w:pPr>
        <w:spacing w:line="360" w:lineRule="auto"/>
        <w:ind w:firstLine="420" w:firstLineChars="200"/>
        <w:rPr>
          <w:rFonts w:hint="eastAsia" w:ascii="宋体" w:hAnsi="宋体" w:cs="宋体"/>
          <w:b/>
          <w:bCs/>
          <w:color w:val="000000"/>
          <w:szCs w:val="21"/>
          <w:highlight w:val="none"/>
        </w:rPr>
      </w:pPr>
      <w:r>
        <w:rPr>
          <w:rFonts w:hint="eastAsia" w:ascii="宋体" w:hAnsi="宋体" w:cs="宋体"/>
          <w:szCs w:val="21"/>
          <w:highlight w:val="none"/>
        </w:rPr>
        <w:t>▲</w:t>
      </w:r>
      <w:r>
        <w:rPr>
          <w:rFonts w:hint="eastAsia" w:ascii="宋体" w:hAnsi="宋体" w:cs="宋体"/>
          <w:b/>
          <w:bCs/>
          <w:color w:val="000000"/>
          <w:szCs w:val="21"/>
          <w:highlight w:val="none"/>
        </w:rPr>
        <w:t>4</w:t>
      </w:r>
      <w:r>
        <w:rPr>
          <w:rFonts w:hint="eastAsia" w:ascii="宋体" w:hAnsi="宋体" w:cs="宋体"/>
          <w:b/>
          <w:bCs/>
          <w:color w:val="000000"/>
          <w:szCs w:val="21"/>
          <w:highlight w:val="none"/>
          <w:lang w:eastAsia="zh-Hans"/>
        </w:rPr>
        <w:t>、</w:t>
      </w:r>
      <w:r>
        <w:rPr>
          <w:rFonts w:hint="eastAsia" w:ascii="宋体" w:hAnsi="宋体" w:cs="宋体"/>
          <w:b/>
          <w:bCs/>
          <w:color w:val="000000"/>
          <w:szCs w:val="21"/>
          <w:highlight w:val="none"/>
        </w:rPr>
        <w:t>付款方式：</w:t>
      </w:r>
    </w:p>
    <w:p w14:paraId="7EB2D950">
      <w:pPr>
        <w:pStyle w:val="7"/>
        <w:spacing w:line="360" w:lineRule="auto"/>
        <w:rPr>
          <w:rFonts w:hint="eastAsia" w:ascii="宋体" w:hAnsi="宋体" w:cs="宋体"/>
          <w:szCs w:val="21"/>
          <w:highlight w:val="none"/>
        </w:rPr>
      </w:pPr>
      <w:r>
        <w:rPr>
          <w:rFonts w:hint="eastAsia" w:ascii="宋体" w:hAnsi="宋体" w:cs="宋体"/>
          <w:szCs w:val="21"/>
          <w:highlight w:val="none"/>
        </w:rPr>
        <w:t>1、律师费基础费支付方式为分</w:t>
      </w:r>
      <w:r>
        <w:rPr>
          <w:rFonts w:hint="eastAsia" w:ascii="宋体" w:hAnsi="宋体" w:cs="宋体"/>
          <w:szCs w:val="21"/>
          <w:highlight w:val="none"/>
          <w:lang w:val="en-US" w:eastAsia="zh-CN"/>
        </w:rPr>
        <w:t>案件、分</w:t>
      </w:r>
      <w:r>
        <w:rPr>
          <w:rFonts w:hint="eastAsia" w:ascii="宋体" w:hAnsi="宋体" w:cs="宋体"/>
          <w:szCs w:val="21"/>
          <w:highlight w:val="none"/>
        </w:rPr>
        <w:t>阶段付费：</w:t>
      </w:r>
    </w:p>
    <w:p w14:paraId="795DB47F">
      <w:pPr>
        <w:pStyle w:val="7"/>
        <w:spacing w:line="360" w:lineRule="auto"/>
        <w:rPr>
          <w:rFonts w:hint="eastAsia" w:ascii="宋体" w:hAnsi="宋体" w:cs="宋体"/>
          <w:szCs w:val="21"/>
          <w:highlight w:val="none"/>
        </w:rPr>
      </w:pPr>
      <w:r>
        <w:rPr>
          <w:rFonts w:hint="eastAsia" w:ascii="宋体" w:hAnsi="宋体" w:cs="宋体"/>
          <w:szCs w:val="21"/>
          <w:highlight w:val="none"/>
          <w:lang w:val="en-US" w:eastAsia="zh-CN"/>
        </w:rPr>
        <w:t>案件一：</w:t>
      </w:r>
      <w:r>
        <w:rPr>
          <w:rFonts w:hint="eastAsia" w:ascii="宋体" w:hAnsi="宋体" w:cs="宋体"/>
          <w:szCs w:val="21"/>
          <w:highlight w:val="none"/>
        </w:rPr>
        <w:t>①委托合同签署后支付基础费用的20%；②一审立案及财产保全（如需）后支付基础费用的30%；③判决或调解或其他结案裁定生效后支付基础费用的30%；④执行阶段终结（如相对方按司法文书内容已履行，案件未启动执行程序的或经执行终本、其他执行结案方式等）后支付基础费用的20%。</w:t>
      </w:r>
    </w:p>
    <w:p w14:paraId="2850A5B1">
      <w:pPr>
        <w:pStyle w:val="7"/>
        <w:spacing w:line="360" w:lineRule="auto"/>
        <w:ind w:left="0" w:leftChars="0"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    案件二：</w:t>
      </w:r>
      <w:r>
        <w:rPr>
          <w:rFonts w:hint="eastAsia" w:ascii="宋体" w:hAnsi="宋体" w:cs="宋体"/>
          <w:szCs w:val="21"/>
          <w:highlight w:val="none"/>
        </w:rPr>
        <w:t>①一审立案及财产保全（如需）后支付基础费用的</w:t>
      </w:r>
      <w:r>
        <w:rPr>
          <w:rFonts w:hint="eastAsia" w:ascii="宋体" w:hAnsi="宋体" w:cs="宋体"/>
          <w:szCs w:val="21"/>
          <w:highlight w:val="none"/>
          <w:lang w:val="en-US" w:eastAsia="zh-CN"/>
        </w:rPr>
        <w:t>5</w:t>
      </w:r>
      <w:r>
        <w:rPr>
          <w:rFonts w:hint="eastAsia" w:ascii="宋体" w:hAnsi="宋体" w:cs="宋体"/>
          <w:szCs w:val="21"/>
          <w:highlight w:val="none"/>
        </w:rPr>
        <w:t>0%；②判决或调解或其他结案裁定生效后支付基础费用的30%；③执行阶段终结（如相对方按司法文书内容已履行，案件未启动执行程序的或经执行终本、其他执行结案方式等）后支付基础费用的20%。</w:t>
      </w:r>
    </w:p>
    <w:p w14:paraId="3D0C3ECE">
      <w:pPr>
        <w:pStyle w:val="7"/>
        <w:numPr>
          <w:ilvl w:val="0"/>
          <w:numId w:val="0"/>
        </w:numPr>
        <w:spacing w:line="360" w:lineRule="auto"/>
        <w:ind w:firstLine="0" w:firstLineChars="0"/>
        <w:rPr>
          <w:rFonts w:hint="eastAsia" w:ascii="宋体" w:hAnsi="宋体" w:cs="宋体"/>
          <w:szCs w:val="21"/>
          <w:highlight w:val="none"/>
        </w:rPr>
      </w:pPr>
      <w:r>
        <w:rPr>
          <w:rFonts w:hint="eastAsia" w:ascii="宋体" w:hAnsi="宋体" w:cs="宋体"/>
          <w:szCs w:val="21"/>
          <w:highlight w:val="none"/>
          <w:lang w:val="en-US" w:eastAsia="zh-CN"/>
        </w:rPr>
        <w:t>2、案件一，</w:t>
      </w:r>
      <w:r>
        <w:rPr>
          <w:rFonts w:hint="eastAsia" w:ascii="宋体" w:hAnsi="宋体" w:cs="宋体"/>
          <w:szCs w:val="21"/>
          <w:highlight w:val="none"/>
        </w:rPr>
        <w:t>因任何情形未诉讼立案的，上述②至④阶段费用不再支付；因未执行立案的，④阶段费用不再支付（相对方按司法文书内容已履行的除外）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案件二，</w:t>
      </w:r>
      <w:r>
        <w:rPr>
          <w:rFonts w:hint="eastAsia" w:ascii="宋体" w:hAnsi="宋体" w:cs="宋体"/>
          <w:szCs w:val="21"/>
          <w:highlight w:val="none"/>
        </w:rPr>
        <w:t>因任何情形未诉讼立案的，①至③阶段费用不再支付。</w:t>
      </w:r>
    </w:p>
    <w:p w14:paraId="3CD629F9">
      <w:pPr>
        <w:pStyle w:val="7"/>
        <w:numPr>
          <w:ilvl w:val="0"/>
          <w:numId w:val="0"/>
        </w:numPr>
        <w:spacing w:line="360" w:lineRule="auto"/>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报价文件中报价结构应包含基础费用及风险代理费，基础费用</w:t>
      </w:r>
      <w:r>
        <w:rPr>
          <w:rFonts w:hint="eastAsia" w:ascii="宋体" w:hAnsi="宋体" w:cs="宋体"/>
          <w:szCs w:val="21"/>
          <w:highlight w:val="none"/>
          <w:lang w:val="en-US" w:eastAsia="zh-CN"/>
        </w:rPr>
        <w:t>案件一不超过32万，案件二不超过2.8万，合计</w:t>
      </w:r>
      <w:r>
        <w:rPr>
          <w:rFonts w:hint="eastAsia" w:ascii="宋体" w:hAnsi="宋体" w:cs="宋体"/>
          <w:szCs w:val="21"/>
          <w:highlight w:val="none"/>
        </w:rPr>
        <w:t>不超过</w:t>
      </w:r>
      <w:r>
        <w:rPr>
          <w:rFonts w:hint="eastAsia" w:ascii="宋体" w:hAnsi="宋体" w:cs="宋体"/>
          <w:szCs w:val="21"/>
          <w:highlight w:val="none"/>
          <w:lang w:val="en-US" w:eastAsia="zh-CN"/>
        </w:rPr>
        <w:t>34.8</w:t>
      </w:r>
      <w:r>
        <w:rPr>
          <w:rFonts w:hint="eastAsia" w:ascii="宋体" w:hAnsi="宋体" w:cs="宋体"/>
          <w:szCs w:val="21"/>
          <w:highlight w:val="none"/>
        </w:rPr>
        <w:t>万元，风险费率不超过</w:t>
      </w:r>
      <w:r>
        <w:rPr>
          <w:rFonts w:hint="eastAsia" w:ascii="宋体" w:hAnsi="宋体" w:cs="宋体"/>
          <w:szCs w:val="21"/>
          <w:highlight w:val="none"/>
          <w:lang w:val="en-US" w:eastAsia="zh-CN"/>
        </w:rPr>
        <w:t>10</w:t>
      </w:r>
      <w:r>
        <w:rPr>
          <w:rFonts w:hint="eastAsia" w:ascii="宋体" w:hAnsi="宋体" w:cs="宋体"/>
          <w:szCs w:val="21"/>
          <w:highlight w:val="none"/>
        </w:rPr>
        <w:t>‰</w:t>
      </w:r>
      <w:r>
        <w:rPr>
          <w:rFonts w:hint="eastAsia" w:ascii="宋体" w:hAnsi="宋体" w:cs="宋体"/>
          <w:szCs w:val="21"/>
          <w:highlight w:val="none"/>
          <w:lang w:val="en-US" w:eastAsia="zh-CN"/>
        </w:rPr>
        <w:t>且案件一不超过20万，案件二不超过3.2万合计</w:t>
      </w:r>
      <w:r>
        <w:rPr>
          <w:rFonts w:hint="eastAsia" w:ascii="宋体" w:hAnsi="宋体" w:cs="宋体"/>
          <w:szCs w:val="21"/>
          <w:highlight w:val="none"/>
        </w:rPr>
        <w:t>不超过</w:t>
      </w:r>
      <w:r>
        <w:rPr>
          <w:rFonts w:hint="eastAsia" w:ascii="宋体" w:hAnsi="宋体" w:cs="宋体"/>
          <w:szCs w:val="21"/>
          <w:highlight w:val="none"/>
          <w:lang w:val="en-US" w:eastAsia="zh-CN"/>
        </w:rPr>
        <w:t>23.2</w:t>
      </w:r>
      <w:r>
        <w:rPr>
          <w:rFonts w:hint="eastAsia" w:ascii="宋体" w:hAnsi="宋体" w:cs="宋体"/>
          <w:szCs w:val="21"/>
          <w:highlight w:val="none"/>
        </w:rPr>
        <w:t>万元，全部总额（基础费用+风险代理费）不超过</w:t>
      </w:r>
      <w:r>
        <w:rPr>
          <w:rFonts w:hint="eastAsia" w:ascii="宋体" w:hAnsi="宋体" w:cs="宋体"/>
          <w:szCs w:val="21"/>
          <w:highlight w:val="none"/>
          <w:lang w:val="en-US" w:eastAsia="zh-CN"/>
        </w:rPr>
        <w:t>58</w:t>
      </w:r>
      <w:r>
        <w:rPr>
          <w:rFonts w:hint="eastAsia" w:ascii="宋体" w:hAnsi="宋体" w:cs="宋体"/>
          <w:szCs w:val="21"/>
          <w:highlight w:val="none"/>
        </w:rPr>
        <w:t>万元。</w:t>
      </w:r>
    </w:p>
    <w:p w14:paraId="36B46746">
      <w:pPr>
        <w:pStyle w:val="7"/>
        <w:spacing w:line="360" w:lineRule="auto"/>
        <w:rPr>
          <w:rFonts w:ascii="宋体" w:hAnsi="宋体" w:cs="宋体"/>
          <w:szCs w:val="21"/>
          <w:highlight w:val="none"/>
        </w:rPr>
      </w:pPr>
      <w:r>
        <w:rPr>
          <w:rFonts w:hint="eastAsia" w:ascii="宋体" w:hAnsi="宋体" w:cs="宋体"/>
          <w:szCs w:val="21"/>
          <w:highlight w:val="none"/>
        </w:rPr>
        <w:t>其中，合计报价总额（基础费用+风险代理费）、基础费用、风险代理费均将作为综合评分依据之一。风险费率指依据实际回款金额乘以的比例。</w:t>
      </w:r>
    </w:p>
    <w:p w14:paraId="504A0F17">
      <w:pPr>
        <w:spacing w:line="360" w:lineRule="auto"/>
        <w:ind w:firstLine="420" w:firstLineChars="200"/>
        <w:rPr>
          <w:rFonts w:hint="eastAsia" w:ascii="宋体" w:hAnsi="宋体" w:cs="宋体"/>
          <w:color w:val="000000"/>
          <w:szCs w:val="21"/>
          <w:highlight w:val="none"/>
          <w:lang w:eastAsia="zh-Hans"/>
        </w:rPr>
      </w:pPr>
      <w:r>
        <w:rPr>
          <w:rFonts w:hint="eastAsia" w:ascii="宋体" w:hAnsi="宋体" w:cs="宋体"/>
          <w:szCs w:val="21"/>
          <w:highlight w:val="none"/>
        </w:rPr>
        <w:t>投标方同意风险代理费在诉讼立案后由招标方视被告回款情况支付，风险代理费具体支付标准及依据以最终签订的委托合同内容为准。</w:t>
      </w:r>
    </w:p>
    <w:p w14:paraId="74C7F263">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▲5、投标书须包括但不限于以下内容：</w:t>
      </w:r>
    </w:p>
    <w:p w14:paraId="34030253">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1、律师事务所对于本案代理将要采取的具体清收方案等策略。</w:t>
      </w:r>
    </w:p>
    <w:p w14:paraId="30603856">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2、服务价格：律师事务所承接本项目所需收取的费用，包括服务内容，并明确包括的费用项目和除外的费用项目（若有）。该项目中包含的案件为多件，需分别明确各案件的费用及封顶总价。</w:t>
      </w:r>
    </w:p>
    <w:p w14:paraId="2B03C062">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总报价包含差旅费等因处理委托事项所发生的全部费用。</w:t>
      </w:r>
    </w:p>
    <w:p w14:paraId="171896B4">
      <w:pPr>
        <w:adjustRightInd w:val="0"/>
        <w:snapToGrid w:val="0"/>
        <w:spacing w:line="360" w:lineRule="auto"/>
        <w:ind w:firstLine="555"/>
        <w:rPr>
          <w:rFonts w:hint="eastAsia" w:ascii="宋体" w:hAnsi="宋体" w:cs="宋体"/>
          <w:szCs w:val="21"/>
          <w:highlight w:val="none"/>
        </w:rPr>
      </w:pPr>
      <w:r>
        <w:rPr>
          <w:rFonts w:hint="eastAsia" w:ascii="宋体" w:hAnsi="宋体" w:cs="宋体"/>
          <w:szCs w:val="21"/>
          <w:highlight w:val="none"/>
        </w:rPr>
        <w:t>3、进度控制及</w:t>
      </w:r>
      <w:bookmarkStart w:id="45" w:name="_Hlk101195259"/>
      <w:r>
        <w:rPr>
          <w:rFonts w:hint="eastAsia" w:ascii="宋体" w:hAnsi="宋体" w:cs="宋体"/>
          <w:szCs w:val="21"/>
          <w:highlight w:val="none"/>
        </w:rPr>
        <w:t>保密、非关联方承诺</w:t>
      </w:r>
      <w:bookmarkEnd w:id="45"/>
      <w:r>
        <w:rPr>
          <w:rFonts w:hint="eastAsia" w:ascii="宋体" w:hAnsi="宋体" w:cs="宋体"/>
          <w:szCs w:val="21"/>
          <w:highlight w:val="none"/>
        </w:rPr>
        <w:t>。</w:t>
      </w:r>
    </w:p>
    <w:p w14:paraId="444EAEF8">
      <w:pPr>
        <w:spacing w:line="336" w:lineRule="auto"/>
        <w:ind w:firstLine="420" w:firstLineChars="200"/>
        <w:rPr>
          <w:rFonts w:ascii="宋体" w:hAnsi="宋体" w:cs="宋体"/>
          <w:b/>
          <w:szCs w:val="21"/>
          <w:highlight w:val="none"/>
        </w:rPr>
      </w:pPr>
      <w:r>
        <w:rPr>
          <w:rFonts w:hint="eastAsia" w:ascii="宋体" w:hAnsi="宋体" w:cs="宋体"/>
          <w:szCs w:val="21"/>
          <w:highlight w:val="none"/>
        </w:rPr>
        <w:t>注：公开竞争文件中打▲内容为实质性要求，不允许有负偏离，否则将以涉及无效响应条款作无效响应。</w:t>
      </w:r>
    </w:p>
    <w:p w14:paraId="57FC4DB8">
      <w:pPr>
        <w:spacing w:line="360" w:lineRule="auto"/>
        <w:ind w:firstLine="480" w:firstLineChars="200"/>
        <w:rPr>
          <w:rFonts w:hint="eastAsia" w:ascii="宋体" w:hAnsi="宋体" w:cs="宋体"/>
          <w:kern w:val="0"/>
          <w:sz w:val="24"/>
          <w:highlight w:val="none"/>
        </w:rPr>
      </w:pPr>
    </w:p>
    <w:p w14:paraId="75D662D8">
      <w:pPr>
        <w:jc w:val="center"/>
        <w:rPr>
          <w:rFonts w:hint="default"/>
          <w:b/>
          <w:bCs/>
          <w:sz w:val="44"/>
          <w:szCs w:val="44"/>
          <w:highlight w:val="none"/>
          <w:lang w:val="en-US" w:eastAsia="zh-CN"/>
        </w:rPr>
      </w:pPr>
      <w:r>
        <w:rPr>
          <w:rFonts w:cs="宋体"/>
          <w:b/>
          <w:bCs/>
          <w:sz w:val="36"/>
          <w:szCs w:val="36"/>
          <w:highlight w:val="none"/>
        </w:rPr>
        <w:br w:type="page"/>
      </w:r>
      <w:r>
        <w:rPr>
          <w:rFonts w:hint="eastAsia"/>
          <w:b/>
          <w:bCs/>
          <w:sz w:val="44"/>
          <w:szCs w:val="44"/>
          <w:highlight w:val="none"/>
          <w:lang w:val="en-US" w:eastAsia="zh-CN"/>
        </w:rPr>
        <w:t>案情信息概述</w:t>
      </w:r>
    </w:p>
    <w:p w14:paraId="68719B30">
      <w:pPr>
        <w:jc w:val="both"/>
        <w:rPr>
          <w:rFonts w:hint="default"/>
          <w:b/>
          <w:bCs/>
          <w:sz w:val="32"/>
          <w:szCs w:val="32"/>
          <w:highlight w:val="none"/>
          <w:lang w:val="en-US" w:eastAsia="zh-CN"/>
        </w:rPr>
      </w:pPr>
      <w:r>
        <w:rPr>
          <w:rFonts w:hint="eastAsia"/>
          <w:b/>
          <w:bCs/>
          <w:sz w:val="32"/>
          <w:szCs w:val="32"/>
          <w:highlight w:val="none"/>
          <w:lang w:val="en-US" w:eastAsia="zh-CN"/>
        </w:rPr>
        <w:t>案件一：</w:t>
      </w:r>
    </w:p>
    <w:p w14:paraId="2E797447">
      <w:pPr>
        <w:jc w:val="both"/>
        <w:rPr>
          <w:rFonts w:hint="eastAsia"/>
          <w:b w:val="0"/>
          <w:bCs w:val="0"/>
          <w:sz w:val="28"/>
          <w:szCs w:val="28"/>
          <w:highlight w:val="none"/>
          <w:lang w:val="en-US" w:eastAsia="zh-CN"/>
        </w:rPr>
      </w:pPr>
      <w:r>
        <w:rPr>
          <w:rFonts w:hint="eastAsia"/>
          <w:b/>
          <w:bCs/>
          <w:sz w:val="32"/>
          <w:szCs w:val="32"/>
          <w:highlight w:val="none"/>
          <w:lang w:val="en-US" w:eastAsia="zh-CN"/>
        </w:rPr>
        <w:t xml:space="preserve">  </w:t>
      </w:r>
      <w:r>
        <w:rPr>
          <w:rFonts w:hint="eastAsia"/>
          <w:b/>
          <w:bCs/>
          <w:sz w:val="28"/>
          <w:szCs w:val="28"/>
          <w:highlight w:val="none"/>
          <w:lang w:val="en-US" w:eastAsia="zh-CN"/>
        </w:rPr>
        <w:t xml:space="preserve">   </w:t>
      </w:r>
      <w:r>
        <w:rPr>
          <w:rFonts w:hint="eastAsia"/>
          <w:b w:val="0"/>
          <w:bCs w:val="0"/>
          <w:sz w:val="28"/>
          <w:szCs w:val="28"/>
          <w:highlight w:val="none"/>
          <w:lang w:val="en-US" w:eastAsia="zh-CN"/>
        </w:rPr>
        <w:t>2017年我司与A公司组建联合体与指挥部（以下简称：政府方）签订《ppp项目合同》，合同约定总投资万元，建设期年，运营期10年，项目开工后3年，政府方以服务费的形式，分十年支付已移交的项目，之后，在项目建设期联合体双方做了多轮补充约定，其中约定“我司垫资的本息应当优先在政府回购款中予以支付”，A公司又组建B项目公司，由B公司将《ppp项目合同》施工任务发包给我司，双方签订《施工承包合同》，现项目已完工，政府已陆续支付回购款9000万元，据统计，政府方往期回购款：2020.12支付6000万（提前支付）、2021.7支付66万元（提前支付）、2021.10支付1400万（提前支付）、2022.1支付500万（正常回购），截至目前尚欠工程款2000余万，其次为工程顺利进行，施工过程中，我司垫资解决必要资金支付，目前尚欠垫资款2000余万。财务部应收账款数据显示（我司应收计量款114589462元，A公司已支付87754318.70元，</w:t>
      </w:r>
      <w:r>
        <w:rPr>
          <w:rFonts w:hint="eastAsia"/>
          <w:b w:val="0"/>
          <w:bCs w:val="0"/>
          <w:sz w:val="28"/>
          <w:szCs w:val="28"/>
          <w:highlight w:val="none"/>
          <w:u w:val="single"/>
          <w:lang w:val="en-US" w:eastAsia="zh-CN"/>
        </w:rPr>
        <w:t>未支付21124907.30元</w:t>
      </w:r>
      <w:r>
        <w:rPr>
          <w:rFonts w:hint="eastAsia"/>
          <w:b w:val="0"/>
          <w:bCs w:val="0"/>
          <w:sz w:val="28"/>
          <w:szCs w:val="28"/>
          <w:highlight w:val="none"/>
          <w:lang w:val="en-US" w:eastAsia="zh-CN"/>
        </w:rPr>
        <w:t>（其中的462万回购款至今未支付，被A公司挪用），保留金5710237元，合计26835145.3元；2023年末利息合计4684485.74元，</w:t>
      </w:r>
      <w:r>
        <w:rPr>
          <w:rFonts w:hint="eastAsia"/>
          <w:b/>
          <w:bCs/>
          <w:sz w:val="28"/>
          <w:szCs w:val="28"/>
          <w:highlight w:val="none"/>
          <w:u w:val="single"/>
          <w:lang w:val="en-US" w:eastAsia="zh-CN"/>
        </w:rPr>
        <w:t>以上合计约3152万元</w:t>
      </w:r>
      <w:r>
        <w:rPr>
          <w:rFonts w:hint="eastAsia"/>
          <w:b w:val="0"/>
          <w:bCs w:val="0"/>
          <w:sz w:val="28"/>
          <w:szCs w:val="28"/>
          <w:highlight w:val="none"/>
          <w:lang w:val="en-US" w:eastAsia="zh-CN"/>
        </w:rPr>
        <w:t>），另，我司要求查阅项目公司监管账户流水，银行未予以配合。</w:t>
      </w:r>
    </w:p>
    <w:p w14:paraId="58D38CE0">
      <w:pPr>
        <w:jc w:val="both"/>
        <w:rPr>
          <w:rFonts w:hint="eastAsia"/>
          <w:b w:val="0"/>
          <w:bCs w:val="0"/>
          <w:sz w:val="28"/>
          <w:szCs w:val="28"/>
          <w:highlight w:val="none"/>
          <w:lang w:val="en-US" w:eastAsia="zh-CN"/>
        </w:rPr>
      </w:pPr>
    </w:p>
    <w:p w14:paraId="57C4C2B7">
      <w:pPr>
        <w:jc w:val="both"/>
        <w:rPr>
          <w:rFonts w:hint="eastAsia"/>
          <w:b w:val="0"/>
          <w:bCs w:val="0"/>
          <w:sz w:val="28"/>
          <w:szCs w:val="28"/>
          <w:highlight w:val="none"/>
          <w:lang w:val="en-US" w:eastAsia="zh-CN"/>
        </w:rPr>
      </w:pPr>
      <w:r>
        <w:rPr>
          <w:rFonts w:hint="eastAsia"/>
          <w:b w:val="0"/>
          <w:bCs w:val="0"/>
          <w:sz w:val="28"/>
          <w:szCs w:val="28"/>
          <w:highlight w:val="none"/>
          <w:lang w:val="en-US" w:eastAsia="zh-CN"/>
        </w:rPr>
        <w:t xml:space="preserve"> </w:t>
      </w:r>
    </w:p>
    <w:p w14:paraId="216A4AB0">
      <w:pPr>
        <w:jc w:val="both"/>
        <w:rPr>
          <w:rFonts w:hint="eastAsia"/>
          <w:b w:val="0"/>
          <w:bCs w:val="0"/>
          <w:sz w:val="28"/>
          <w:szCs w:val="28"/>
          <w:highlight w:val="none"/>
          <w:lang w:val="en-US" w:eastAsia="zh-CN"/>
        </w:rPr>
      </w:pPr>
    </w:p>
    <w:p w14:paraId="6BE4BBC2">
      <w:pPr>
        <w:jc w:val="both"/>
        <w:rPr>
          <w:rFonts w:hint="eastAsia"/>
          <w:b/>
          <w:bCs/>
          <w:sz w:val="32"/>
          <w:szCs w:val="32"/>
          <w:highlight w:val="none"/>
          <w:lang w:val="en-US" w:eastAsia="zh-CN"/>
        </w:rPr>
      </w:pPr>
      <w:r>
        <w:rPr>
          <w:rFonts w:hint="eastAsia"/>
          <w:b/>
          <w:bCs/>
          <w:sz w:val="32"/>
          <w:szCs w:val="32"/>
          <w:highlight w:val="none"/>
          <w:lang w:val="en-US" w:eastAsia="zh-CN"/>
        </w:rPr>
        <w:t>案件二：</w:t>
      </w:r>
    </w:p>
    <w:p w14:paraId="26A2F1D6">
      <w:pPr>
        <w:ind w:firstLine="640"/>
        <w:jc w:val="both"/>
        <w:rPr>
          <w:rFonts w:hint="eastAsia"/>
          <w:b w:val="0"/>
          <w:bCs w:val="0"/>
          <w:sz w:val="28"/>
          <w:szCs w:val="28"/>
          <w:highlight w:val="none"/>
          <w:lang w:val="en-US" w:eastAsia="zh-CN"/>
        </w:rPr>
      </w:pPr>
      <w:r>
        <w:rPr>
          <w:rFonts w:hint="eastAsia"/>
          <w:b w:val="0"/>
          <w:bCs w:val="0"/>
          <w:sz w:val="28"/>
          <w:szCs w:val="28"/>
          <w:highlight w:val="none"/>
          <w:lang w:val="en-US" w:eastAsia="zh-CN"/>
        </w:rPr>
        <w:t>2010年8月我司中标某省道改建工程，后由A公司负责实施，项目2017年通过交工验收，2022年通过竣工验收，缺陷责任期内，发生挡墙坍塌，产生修复工程 19万（未付），桥隧竣工外观质量缺陷修复费用25万（我司已付），项目复审报告显示项目造价核减191余万元。</w:t>
      </w:r>
    </w:p>
    <w:p w14:paraId="4580F983">
      <w:pPr>
        <w:ind w:firstLine="640"/>
        <w:jc w:val="both"/>
        <w:rPr>
          <w:rFonts w:hint="eastAsia"/>
          <w:b w:val="0"/>
          <w:bCs w:val="0"/>
          <w:sz w:val="28"/>
          <w:szCs w:val="28"/>
          <w:highlight w:val="none"/>
          <w:lang w:val="en-US" w:eastAsia="zh-CN"/>
        </w:rPr>
      </w:pPr>
    </w:p>
    <w:p w14:paraId="2C649D15">
      <w:pPr>
        <w:ind w:firstLine="640"/>
        <w:jc w:val="both"/>
        <w:rPr>
          <w:rFonts w:hint="eastAsia"/>
          <w:b w:val="0"/>
          <w:bCs w:val="0"/>
          <w:sz w:val="28"/>
          <w:szCs w:val="28"/>
          <w:highlight w:val="none"/>
          <w:lang w:val="en-US" w:eastAsia="zh-CN"/>
        </w:rPr>
      </w:pPr>
    </w:p>
    <w:p w14:paraId="4CBFB11E">
      <w:pPr>
        <w:jc w:val="both"/>
        <w:rPr>
          <w:rFonts w:hint="eastAsia"/>
          <w:b w:val="0"/>
          <w:bCs w:val="0"/>
          <w:sz w:val="28"/>
          <w:szCs w:val="28"/>
          <w:highlight w:val="none"/>
          <w:lang w:val="en-US" w:eastAsia="zh-CN"/>
        </w:rPr>
      </w:pPr>
      <w:r>
        <w:rPr>
          <w:rFonts w:hint="eastAsia"/>
          <w:b/>
          <w:bCs/>
          <w:sz w:val="32"/>
          <w:szCs w:val="32"/>
          <w:highlight w:val="none"/>
          <w:lang w:val="en-US" w:eastAsia="zh-CN"/>
        </w:rPr>
        <w:t>问</w:t>
      </w:r>
      <w:r>
        <w:rPr>
          <w:rFonts w:hint="eastAsia"/>
          <w:b w:val="0"/>
          <w:bCs w:val="0"/>
          <w:sz w:val="28"/>
          <w:szCs w:val="28"/>
          <w:highlight w:val="none"/>
          <w:lang w:val="en-US" w:eastAsia="zh-CN"/>
        </w:rPr>
        <w:t>：</w:t>
      </w:r>
    </w:p>
    <w:p w14:paraId="1768D51C">
      <w:pPr>
        <w:ind w:firstLine="840" w:firstLineChars="300"/>
        <w:jc w:val="both"/>
        <w:rPr>
          <w:rFonts w:hint="eastAsia"/>
          <w:b w:val="0"/>
          <w:bCs w:val="0"/>
          <w:sz w:val="28"/>
          <w:szCs w:val="28"/>
          <w:highlight w:val="none"/>
          <w:lang w:val="en-US" w:eastAsia="zh-CN"/>
        </w:rPr>
      </w:pPr>
    </w:p>
    <w:p w14:paraId="06A7EFCE">
      <w:pPr>
        <w:numPr>
          <w:ilvl w:val="0"/>
          <w:numId w:val="8"/>
        </w:numPr>
        <w:ind w:firstLine="840" w:firstLineChars="300"/>
        <w:jc w:val="both"/>
        <w:rPr>
          <w:rFonts w:hint="eastAsia"/>
          <w:b w:val="0"/>
          <w:bCs w:val="0"/>
          <w:sz w:val="28"/>
          <w:szCs w:val="28"/>
          <w:highlight w:val="none"/>
          <w:lang w:val="en-US" w:eastAsia="zh-CN"/>
        </w:rPr>
      </w:pPr>
      <w:r>
        <w:rPr>
          <w:rFonts w:hint="eastAsia"/>
          <w:b w:val="0"/>
          <w:bCs w:val="0"/>
          <w:sz w:val="28"/>
          <w:szCs w:val="28"/>
          <w:highlight w:val="none"/>
          <w:lang w:val="en-US" w:eastAsia="zh-CN"/>
        </w:rPr>
        <w:t>我司是否有权立即讨回上述案件一、二的资金？请投标人分别对两案做可行性研究与风险评估（应包含预估代理后回款数额）。</w:t>
      </w:r>
    </w:p>
    <w:p w14:paraId="7FDD8E30">
      <w:pPr>
        <w:numPr>
          <w:ilvl w:val="0"/>
          <w:numId w:val="8"/>
        </w:numPr>
        <w:ind w:firstLine="840" w:firstLineChars="300"/>
        <w:jc w:val="both"/>
        <w:rPr>
          <w:rFonts w:hint="default"/>
          <w:b w:val="0"/>
          <w:bCs w:val="0"/>
          <w:sz w:val="28"/>
          <w:szCs w:val="28"/>
          <w:highlight w:val="none"/>
          <w:lang w:val="en-US" w:eastAsia="zh-CN"/>
        </w:rPr>
      </w:pPr>
      <w:r>
        <w:rPr>
          <w:rFonts w:hint="eastAsia"/>
          <w:b w:val="0"/>
          <w:bCs w:val="0"/>
          <w:sz w:val="28"/>
          <w:szCs w:val="28"/>
          <w:highlight w:val="none"/>
          <w:lang w:val="en-US" w:eastAsia="zh-CN"/>
        </w:rPr>
        <w:t>案件一，拖欠的垫资款与工程款，你觉得以哪项起诉更为贴切？案件二，三笔款项应当由谁支付，我司是否有权向A公司或其他主体追偿？</w:t>
      </w:r>
    </w:p>
    <w:p w14:paraId="26A23758">
      <w:pPr>
        <w:spacing w:before="240" w:beforeLines="100" w:after="120" w:afterLines="50" w:line="360" w:lineRule="auto"/>
        <w:jc w:val="center"/>
        <w:outlineLvl w:val="0"/>
        <w:rPr>
          <w:rFonts w:hint="eastAsia" w:cs="宋体"/>
          <w:b/>
          <w:bCs/>
          <w:sz w:val="36"/>
          <w:szCs w:val="36"/>
          <w:highlight w:val="none"/>
        </w:rPr>
      </w:pPr>
      <w:r>
        <w:rPr>
          <w:rFonts w:cs="宋体"/>
          <w:b/>
          <w:bCs/>
          <w:sz w:val="36"/>
          <w:szCs w:val="36"/>
          <w:highlight w:val="none"/>
        </w:rPr>
        <w:br w:type="page"/>
      </w:r>
      <w:r>
        <w:rPr>
          <w:rFonts w:hint="eastAsia" w:cs="宋体"/>
          <w:b/>
          <w:bCs/>
          <w:sz w:val="36"/>
          <w:szCs w:val="36"/>
          <w:highlight w:val="none"/>
        </w:rPr>
        <w:t>第四章  合同主要条款</w:t>
      </w:r>
      <w:bookmarkEnd w:id="42"/>
      <w:bookmarkEnd w:id="43"/>
      <w:bookmarkEnd w:id="44"/>
    </w:p>
    <w:p w14:paraId="57DEABBC">
      <w:pPr>
        <w:spacing w:before="240" w:beforeLines="100" w:after="120" w:afterLines="50" w:line="360" w:lineRule="auto"/>
        <w:jc w:val="center"/>
        <w:outlineLvl w:val="0"/>
        <w:rPr>
          <w:rFonts w:hint="eastAsia" w:cs="宋体"/>
          <w:b/>
          <w:bCs/>
          <w:color w:val="auto"/>
          <w:sz w:val="24"/>
          <w:szCs w:val="36"/>
          <w:highlight w:val="none"/>
        </w:rPr>
      </w:pPr>
      <w:r>
        <w:rPr>
          <w:rFonts w:hint="eastAsia" w:cs="宋体"/>
          <w:b/>
          <w:bCs/>
          <w:color w:val="auto"/>
          <w:sz w:val="24"/>
          <w:szCs w:val="36"/>
          <w:highlight w:val="none"/>
        </w:rPr>
        <w:t>（以中标后最终签订合同为准）</w:t>
      </w:r>
    </w:p>
    <w:p w14:paraId="586DB8A9">
      <w:pPr>
        <w:snapToGrid w:val="0"/>
        <w:spacing w:before="156" w:beforeLines="50" w:line="420" w:lineRule="exact"/>
        <w:jc w:val="left"/>
        <w:rPr>
          <w:rFonts w:hint="eastAsia" w:ascii="宋体" w:hAnsi="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color w:val="auto"/>
          <w:sz w:val="21"/>
          <w:szCs w:val="21"/>
          <w:highlight w:val="none"/>
        </w:rPr>
        <w:t>委托人（甲方）：</w:t>
      </w:r>
    </w:p>
    <w:p w14:paraId="32F0BB64">
      <w:pPr>
        <w:snapToGrid w:val="0"/>
        <w:spacing w:before="156" w:beforeLines="50" w:line="420" w:lineRule="exact"/>
        <w:jc w:val="left"/>
        <w:rPr>
          <w:rFonts w:hint="eastAsia" w:ascii="宋体" w:hAnsi="宋体"/>
          <w:color w:val="auto"/>
          <w:sz w:val="21"/>
          <w:szCs w:val="21"/>
          <w:highlight w:val="none"/>
        </w:rPr>
      </w:pPr>
      <w:r>
        <w:rPr>
          <w:rFonts w:hint="eastAsia" w:ascii="宋体" w:hAnsi="宋体"/>
          <w:color w:val="auto"/>
          <w:sz w:val="21"/>
          <w:szCs w:val="21"/>
          <w:highlight w:val="none"/>
        </w:rPr>
        <w:t xml:space="preserve">联系地址：    </w:t>
      </w:r>
    </w:p>
    <w:p w14:paraId="4C062A07">
      <w:pPr>
        <w:snapToGrid w:val="0"/>
        <w:spacing w:before="156" w:beforeLines="50" w:line="420" w:lineRule="exact"/>
        <w:jc w:val="left"/>
        <w:rPr>
          <w:rFonts w:hint="eastAsia" w:ascii="宋体" w:hAnsi="宋体"/>
          <w:color w:val="auto"/>
          <w:sz w:val="21"/>
          <w:szCs w:val="21"/>
          <w:highlight w:val="none"/>
        </w:rPr>
      </w:pPr>
      <w:r>
        <w:rPr>
          <w:rFonts w:hint="eastAsia" w:ascii="宋体" w:hAnsi="宋体"/>
          <w:color w:val="auto"/>
          <w:sz w:val="21"/>
          <w:szCs w:val="21"/>
          <w:highlight w:val="none"/>
        </w:rPr>
        <w:t xml:space="preserve">法定代表人： </w:t>
      </w:r>
    </w:p>
    <w:p w14:paraId="04782A43">
      <w:pPr>
        <w:snapToGrid w:val="0"/>
        <w:spacing w:before="156" w:beforeLines="50" w:line="420" w:lineRule="exact"/>
        <w:jc w:val="left"/>
        <w:rPr>
          <w:rFonts w:hint="eastAsia" w:ascii="宋体" w:hAnsi="宋体"/>
          <w:color w:val="auto"/>
          <w:sz w:val="21"/>
          <w:szCs w:val="21"/>
          <w:highlight w:val="none"/>
          <w:u w:val="single"/>
        </w:rPr>
      </w:pPr>
      <w:r>
        <w:rPr>
          <w:rFonts w:hint="eastAsia" w:ascii="宋体" w:hAnsi="宋体"/>
          <w:color w:val="auto"/>
          <w:sz w:val="21"/>
          <w:szCs w:val="21"/>
          <w:highlight w:val="none"/>
        </w:rPr>
        <w:t xml:space="preserve">邮编：  </w:t>
      </w:r>
    </w:p>
    <w:p w14:paraId="75B8537C">
      <w:pPr>
        <w:snapToGrid w:val="0"/>
        <w:spacing w:before="156" w:beforeLines="50" w:line="420" w:lineRule="exact"/>
        <w:jc w:val="left"/>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电子邮件：</w:t>
      </w:r>
      <w:r>
        <w:rPr>
          <w:rFonts w:hint="eastAsia" w:ascii="宋体" w:hAnsi="宋体"/>
          <w:color w:val="auto"/>
          <w:sz w:val="21"/>
          <w:szCs w:val="21"/>
          <w:highlight w:val="none"/>
          <w:u w:val="single"/>
        </w:rPr>
        <w:t xml:space="preserve">                          </w:t>
      </w:r>
    </w:p>
    <w:p w14:paraId="1111E57A">
      <w:pPr>
        <w:snapToGrid w:val="0"/>
        <w:spacing w:before="156" w:beforeLines="50" w:line="420" w:lineRule="exact"/>
        <w:jc w:val="left"/>
        <w:rPr>
          <w:rFonts w:hint="eastAsia" w:ascii="宋体" w:hAnsi="宋体"/>
          <w:color w:val="auto"/>
          <w:sz w:val="21"/>
          <w:szCs w:val="21"/>
          <w:highlight w:val="none"/>
        </w:rPr>
      </w:pPr>
      <w:r>
        <w:rPr>
          <w:rFonts w:ascii="宋体" w:hAnsi="宋体"/>
          <w:color w:val="auto"/>
          <w:sz w:val="21"/>
          <w:szCs w:val="21"/>
          <w:highlight w:val="none"/>
        </w:rPr>
        <w:br w:type="textWrapping"/>
      </w:r>
      <w:r>
        <w:rPr>
          <w:rFonts w:hint="eastAsia" w:ascii="宋体" w:hAnsi="宋体"/>
          <w:color w:val="auto"/>
          <w:sz w:val="21"/>
          <w:szCs w:val="21"/>
          <w:highlight w:val="none"/>
        </w:rPr>
        <w:t xml:space="preserve">受托人（乙方）： </w:t>
      </w:r>
      <w:r>
        <w:rPr>
          <w:rFonts w:ascii="宋体" w:hAnsi="宋体"/>
          <w:color w:val="auto"/>
          <w:sz w:val="21"/>
          <w:szCs w:val="21"/>
          <w:highlight w:val="none"/>
        </w:rPr>
        <w:br w:type="textWrapping"/>
      </w:r>
      <w:r>
        <w:rPr>
          <w:rFonts w:hint="eastAsia" w:ascii="宋体" w:hAnsi="宋体"/>
          <w:color w:val="auto"/>
          <w:sz w:val="21"/>
          <w:szCs w:val="21"/>
          <w:highlight w:val="none"/>
        </w:rPr>
        <w:t xml:space="preserve">联系地址： </w:t>
      </w:r>
    </w:p>
    <w:p w14:paraId="6BB2A3B2">
      <w:pPr>
        <w:snapToGrid w:val="0"/>
        <w:spacing w:before="156" w:beforeLines="50" w:line="420" w:lineRule="exact"/>
        <w:jc w:val="left"/>
        <w:rPr>
          <w:rFonts w:hint="eastAsia" w:ascii="宋体" w:hAnsi="宋体"/>
          <w:color w:val="auto"/>
          <w:sz w:val="21"/>
          <w:szCs w:val="21"/>
          <w:highlight w:val="none"/>
          <w:u w:val="single"/>
        </w:rPr>
      </w:pPr>
      <w:r>
        <w:rPr>
          <w:rFonts w:hint="eastAsia" w:ascii="宋体" w:hAnsi="宋体"/>
          <w:color w:val="auto"/>
          <w:sz w:val="21"/>
          <w:szCs w:val="21"/>
          <w:highlight w:val="none"/>
        </w:rPr>
        <w:t>法定代表人：</w:t>
      </w:r>
      <w:r>
        <w:rPr>
          <w:rFonts w:ascii="宋体" w:hAnsi="宋体"/>
          <w:color w:val="auto"/>
          <w:sz w:val="21"/>
          <w:szCs w:val="21"/>
          <w:highlight w:val="none"/>
        </w:rPr>
        <w:br w:type="textWrapping"/>
      </w:r>
      <w:r>
        <w:rPr>
          <w:rFonts w:hint="eastAsia" w:ascii="宋体" w:hAnsi="宋体"/>
          <w:color w:val="auto"/>
          <w:sz w:val="21"/>
          <w:szCs w:val="21"/>
          <w:highlight w:val="none"/>
        </w:rPr>
        <w:t>邮编：       电话：</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07A9F8A2">
      <w:pPr>
        <w:snapToGrid w:val="0"/>
        <w:spacing w:before="156" w:beforeLines="50" w:line="420" w:lineRule="exact"/>
        <w:rPr>
          <w:rFonts w:hint="eastAsia" w:ascii="宋体" w:hAnsi="宋体"/>
          <w:color w:val="auto"/>
          <w:sz w:val="21"/>
          <w:szCs w:val="21"/>
          <w:highlight w:val="none"/>
          <w:u w:val="single"/>
        </w:rPr>
      </w:pPr>
      <w:r>
        <w:rPr>
          <w:rFonts w:hint="eastAsia" w:ascii="宋体" w:hAnsi="宋体"/>
          <w:color w:val="auto"/>
          <w:sz w:val="21"/>
          <w:szCs w:val="21"/>
          <w:highlight w:val="none"/>
        </w:rPr>
        <w:t>联系人：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电子邮件：</w:t>
      </w:r>
      <w:r>
        <w:rPr>
          <w:rFonts w:hint="eastAsia" w:ascii="宋体" w:hAnsi="宋体"/>
          <w:color w:val="auto"/>
          <w:sz w:val="21"/>
          <w:szCs w:val="21"/>
          <w:highlight w:val="none"/>
          <w:u w:val="single"/>
        </w:rPr>
        <w:t xml:space="preserve">                        </w:t>
      </w:r>
    </w:p>
    <w:p w14:paraId="13890315">
      <w:pPr>
        <w:snapToGrid w:val="0"/>
        <w:spacing w:before="156" w:beforeLines="50" w:line="420" w:lineRule="exact"/>
        <w:ind w:firstLine="420" w:firstLineChars="200"/>
        <w:rPr>
          <w:rFonts w:hint="eastAsia" w:ascii="宋体" w:hAnsi="宋体"/>
          <w:b/>
          <w:color w:val="auto"/>
          <w:sz w:val="21"/>
          <w:szCs w:val="21"/>
          <w:highlight w:val="none"/>
        </w:rPr>
      </w:pPr>
      <w:r>
        <w:rPr>
          <w:rFonts w:hint="eastAsia" w:ascii="宋体" w:hAnsi="宋体"/>
          <w:bCs/>
          <w:color w:val="auto"/>
          <w:sz w:val="21"/>
          <w:szCs w:val="21"/>
          <w:highlight w:val="none"/>
        </w:rPr>
        <w:t>甲方通过《</w:t>
      </w:r>
      <w:r>
        <w:rPr>
          <w:rFonts w:hint="eastAsia" w:ascii="宋体" w:hAnsi="宋体"/>
          <w:bCs/>
          <w:color w:val="auto"/>
          <w:sz w:val="21"/>
          <w:szCs w:val="21"/>
          <w:highlight w:val="none"/>
          <w:u w:val="single"/>
          <w:lang w:val="en-US" w:eastAsia="zh-CN"/>
        </w:rPr>
        <w:t>项目名称</w:t>
      </w:r>
      <w:r>
        <w:rPr>
          <w:rFonts w:hint="eastAsia" w:ascii="宋体" w:hAnsi="宋体"/>
          <w:bCs/>
          <w:color w:val="auto"/>
          <w:sz w:val="21"/>
          <w:szCs w:val="21"/>
          <w:highlight w:val="none"/>
        </w:rPr>
        <w:t>》</w:t>
      </w:r>
      <w:r>
        <w:rPr>
          <w:rFonts w:hint="eastAsia" w:ascii="宋体" w:hAnsi="宋体"/>
          <w:bCs/>
          <w:color w:val="auto"/>
          <w:sz w:val="21"/>
          <w:szCs w:val="21"/>
          <w:highlight w:val="none"/>
          <w:u w:val="single"/>
        </w:rPr>
        <w:t>的【</w:t>
      </w:r>
      <w:r>
        <w:rPr>
          <w:rFonts w:hint="eastAsia" w:ascii="宋体" w:hAnsi="宋体"/>
          <w:bCs/>
          <w:color w:val="auto"/>
          <w:sz w:val="21"/>
          <w:szCs w:val="21"/>
          <w:highlight w:val="none"/>
          <w:u w:val="single"/>
          <w:lang w:val="en-US" w:eastAsia="zh-CN"/>
        </w:rPr>
        <w:t>公开竞标</w:t>
      </w:r>
      <w:r>
        <w:rPr>
          <w:rFonts w:hint="eastAsia" w:ascii="宋体" w:hAnsi="宋体"/>
          <w:bCs/>
          <w:color w:val="auto"/>
          <w:sz w:val="21"/>
          <w:szCs w:val="21"/>
          <w:highlight w:val="none"/>
          <w:u w:val="single"/>
        </w:rPr>
        <w:t>】</w:t>
      </w:r>
      <w:r>
        <w:rPr>
          <w:rFonts w:hint="eastAsia" w:ascii="宋体" w:hAnsi="宋体"/>
          <w:bCs/>
          <w:color w:val="auto"/>
          <w:sz w:val="21"/>
          <w:szCs w:val="21"/>
          <w:highlight w:val="none"/>
        </w:rPr>
        <w:t>，已接受</w:t>
      </w:r>
      <w:r>
        <w:rPr>
          <w:rFonts w:hint="eastAsia" w:ascii="宋体" w:hAnsi="宋体"/>
          <w:bCs/>
          <w:color w:val="auto"/>
          <w:sz w:val="21"/>
          <w:szCs w:val="21"/>
          <w:highlight w:val="none"/>
          <w:u w:val="single"/>
        </w:rPr>
        <w:t xml:space="preserve">            </w:t>
      </w:r>
      <w:r>
        <w:rPr>
          <w:rFonts w:hint="eastAsia" w:ascii="宋体" w:hAnsi="宋体"/>
          <w:bCs/>
          <w:color w:val="auto"/>
          <w:sz w:val="21"/>
          <w:szCs w:val="21"/>
          <w:highlight w:val="none"/>
        </w:rPr>
        <w:t>（中标人名称，以下简称“乙方”）对该项目的投标，并确定其为中标人。</w:t>
      </w:r>
    </w:p>
    <w:p w14:paraId="4AAA00DA">
      <w:pPr>
        <w:snapToGrid w:val="0"/>
        <w:spacing w:before="156" w:beforeLines="50" w:line="420" w:lineRule="exact"/>
        <w:ind w:firstLine="480"/>
        <w:rPr>
          <w:rFonts w:hint="eastAsia" w:ascii="宋体" w:hAnsi="宋体"/>
          <w:b/>
          <w:color w:val="auto"/>
          <w:sz w:val="21"/>
          <w:szCs w:val="21"/>
          <w:highlight w:val="none"/>
        </w:rPr>
      </w:pPr>
      <w:r>
        <w:rPr>
          <w:rFonts w:hint="eastAsia" w:ascii="宋体" w:hAnsi="宋体"/>
          <w:b/>
          <w:color w:val="auto"/>
          <w:sz w:val="21"/>
          <w:szCs w:val="21"/>
          <w:highlight w:val="none"/>
        </w:rPr>
        <w:t>现双方基于前述招投标活动，签订如下合同：</w:t>
      </w:r>
    </w:p>
    <w:p w14:paraId="23487DEA">
      <w:pPr>
        <w:snapToGrid w:val="0"/>
        <w:spacing w:before="156" w:beforeLines="50" w:line="360" w:lineRule="auto"/>
        <w:jc w:val="left"/>
        <w:rPr>
          <w:rFonts w:hint="eastAsia" w:ascii="宋体" w:hAnsi="宋体"/>
          <w:color w:val="auto"/>
          <w:sz w:val="21"/>
          <w:szCs w:val="21"/>
          <w:highlight w:val="none"/>
          <w:u w:val="single"/>
        </w:rPr>
      </w:pPr>
      <w:r>
        <w:rPr>
          <w:rFonts w:hint="eastAsia" w:ascii="宋体" w:hAnsi="宋体"/>
          <w:b/>
          <w:color w:val="auto"/>
          <w:sz w:val="21"/>
          <w:szCs w:val="21"/>
          <w:highlight w:val="none"/>
        </w:rPr>
        <w:t xml:space="preserve">    1、法律服务范围</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甲方委托乙方处理下列法律事务：</w:t>
      </w:r>
      <w:r>
        <w:rPr>
          <w:rFonts w:ascii="宋体" w:hAnsi="宋体"/>
          <w:color w:val="auto"/>
          <w:sz w:val="21"/>
          <w:szCs w:val="21"/>
          <w:highlight w:val="none"/>
        </w:rPr>
        <w:br w:type="textWrapping"/>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为甲方咨询的关于</w:t>
      </w:r>
      <w:r>
        <w:rPr>
          <w:rFonts w:hint="eastAsia" w:ascii="宋体" w:hAnsi="宋体"/>
          <w:color w:val="auto"/>
          <w:sz w:val="21"/>
          <w:szCs w:val="21"/>
          <w:highlight w:val="none"/>
          <w:u w:val="single"/>
          <w:lang w:val="en-US" w:eastAsia="zh-CN"/>
        </w:rPr>
        <w:t>两案专项法律服务</w:t>
      </w:r>
      <w:r>
        <w:rPr>
          <w:rFonts w:hint="eastAsia" w:ascii="宋体" w:hAnsi="宋体"/>
          <w:color w:val="auto"/>
          <w:sz w:val="21"/>
          <w:szCs w:val="21"/>
          <w:highlight w:val="none"/>
          <w:u w:val="single"/>
        </w:rPr>
        <w:t>相关事宜（以下简称“本事务” ）提供非诉讼以及诉讼法律服务，具体包含：</w:t>
      </w:r>
    </w:p>
    <w:p w14:paraId="05942847">
      <w:pPr>
        <w:numPr>
          <w:ilvl w:val="0"/>
          <w:numId w:val="9"/>
        </w:numPr>
        <w:snapToGrid w:val="0"/>
        <w:spacing w:before="156" w:beforeLines="50" w:line="360" w:lineRule="auto"/>
        <w:ind w:firstLine="480"/>
        <w:jc w:val="left"/>
        <w:rPr>
          <w:rFonts w:hint="eastAsia" w:ascii="宋体" w:hAnsi="宋体"/>
          <w:color w:val="auto"/>
          <w:sz w:val="21"/>
          <w:szCs w:val="21"/>
          <w:highlight w:val="none"/>
          <w:u w:val="single"/>
        </w:rPr>
      </w:pPr>
      <w:r>
        <w:rPr>
          <w:rFonts w:hint="eastAsia" w:ascii="宋体" w:hAnsi="宋体"/>
          <w:color w:val="auto"/>
          <w:sz w:val="21"/>
          <w:szCs w:val="21"/>
          <w:highlight w:val="none"/>
          <w:u w:val="single"/>
        </w:rPr>
        <w:t>【非诉讼服务】为甲方提供法律服务（包括但不限于出具详细分析和处理方案、根据具体方式出具相关法律意见书、起草/审查/修改相关交易文件、参与谈判、签发律师函等）。</w:t>
      </w:r>
    </w:p>
    <w:p w14:paraId="7E403B88">
      <w:pPr>
        <w:numPr>
          <w:ilvl w:val="0"/>
          <w:numId w:val="9"/>
        </w:numPr>
        <w:snapToGrid w:val="0"/>
        <w:spacing w:before="156" w:beforeLines="50" w:line="360" w:lineRule="auto"/>
        <w:ind w:firstLine="480"/>
        <w:jc w:val="left"/>
        <w:rPr>
          <w:rFonts w:ascii="宋体" w:hAnsi="宋体"/>
          <w:color w:val="auto"/>
          <w:sz w:val="21"/>
          <w:szCs w:val="21"/>
          <w:highlight w:val="none"/>
          <w:u w:val="single"/>
        </w:rPr>
      </w:pPr>
      <w:r>
        <w:rPr>
          <w:rFonts w:hint="eastAsia" w:ascii="宋体" w:hAnsi="宋体"/>
          <w:color w:val="auto"/>
          <w:sz w:val="21"/>
          <w:szCs w:val="21"/>
          <w:highlight w:val="none"/>
          <w:u w:val="single"/>
        </w:rPr>
        <w:t>【诉讼/仲裁代理服务】若甲方拟通过诉讼/仲裁方式解决甲方问题的，则代理与此相关的全部诉讼/仲裁案件，即包括所有案件的一</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二</w:t>
      </w:r>
      <w:r>
        <w:rPr>
          <w:rFonts w:hint="eastAsia" w:ascii="宋体" w:hAnsi="宋体"/>
          <w:color w:val="auto"/>
          <w:sz w:val="21"/>
          <w:szCs w:val="21"/>
          <w:highlight w:val="none"/>
          <w:u w:val="single"/>
        </w:rPr>
        <w:t>审</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执行阶段</w:t>
      </w:r>
      <w:r>
        <w:rPr>
          <w:rFonts w:hint="eastAsia" w:ascii="宋体" w:hAnsi="宋体"/>
          <w:color w:val="auto"/>
          <w:sz w:val="21"/>
          <w:szCs w:val="21"/>
          <w:highlight w:val="none"/>
          <w:u w:val="single"/>
        </w:rPr>
        <w:t>代理。</w:t>
      </w:r>
    </w:p>
    <w:p w14:paraId="2E07B1FB">
      <w:pPr>
        <w:snapToGrid w:val="0"/>
        <w:spacing w:before="156" w:beforeLines="50" w:line="360" w:lineRule="auto"/>
        <w:jc w:val="left"/>
        <w:rPr>
          <w:rFonts w:hint="eastAsia" w:ascii="宋体" w:hAnsi="宋体"/>
          <w:b/>
          <w:color w:val="auto"/>
          <w:sz w:val="21"/>
          <w:szCs w:val="21"/>
          <w:highlight w:val="none"/>
        </w:rPr>
      </w:pPr>
      <w:r>
        <w:rPr>
          <w:rFonts w:hint="eastAsia" w:ascii="宋体" w:hAnsi="宋体"/>
          <w:b/>
          <w:color w:val="auto"/>
          <w:sz w:val="21"/>
          <w:szCs w:val="21"/>
          <w:highlight w:val="none"/>
        </w:rPr>
        <w:t xml:space="preserve">    2、委托权限</w:t>
      </w:r>
    </w:p>
    <w:p w14:paraId="29E1FFDE">
      <w:pPr>
        <w:snapToGrid w:val="0"/>
        <w:spacing w:before="156" w:beforeLines="50" w:line="360" w:lineRule="auto"/>
        <w:ind w:firstLine="480"/>
        <w:jc w:val="left"/>
        <w:rPr>
          <w:rFonts w:hint="eastAsia" w:ascii="宋体" w:hAnsi="宋体"/>
          <w:color w:val="auto"/>
          <w:sz w:val="21"/>
          <w:szCs w:val="21"/>
          <w:highlight w:val="none"/>
        </w:rPr>
      </w:pPr>
      <w:r>
        <w:rPr>
          <w:rFonts w:hint="eastAsia" w:ascii="宋体" w:hAnsi="宋体"/>
          <w:color w:val="auto"/>
          <w:sz w:val="21"/>
          <w:szCs w:val="21"/>
          <w:highlight w:val="none"/>
        </w:rPr>
        <w:t>在非诉讼事务服务过程，甲方对乙方的授权为一般非诉讼代理，即乙方需根据甲方的具体要求提供相关法律服务、与相关方进行谈判/沟通等；</w:t>
      </w:r>
    </w:p>
    <w:p w14:paraId="31EFE2EC">
      <w:pPr>
        <w:snapToGrid w:val="0"/>
        <w:spacing w:before="156" w:beforeLines="50" w:line="360" w:lineRule="auto"/>
        <w:ind w:firstLine="480"/>
        <w:jc w:val="left"/>
        <w:rPr>
          <w:rFonts w:hint="eastAsia" w:ascii="宋体" w:hAnsi="宋体"/>
          <w:color w:val="auto"/>
          <w:sz w:val="21"/>
          <w:szCs w:val="21"/>
          <w:highlight w:val="none"/>
        </w:rPr>
      </w:pPr>
      <w:r>
        <w:rPr>
          <w:rFonts w:hint="eastAsia" w:ascii="宋体" w:hAnsi="宋体"/>
          <w:color w:val="auto"/>
          <w:sz w:val="21"/>
          <w:szCs w:val="21"/>
          <w:highlight w:val="none"/>
        </w:rPr>
        <w:t>在诉讼案件代理过程中，甲方对乙方的授权为特别授权，即乙方可代为提出、承认、放弃、变更诉讼/仲裁请求，进行和解，或者上诉的特别授权诉讼/仲裁代理。</w:t>
      </w:r>
    </w:p>
    <w:p w14:paraId="0935A924">
      <w:pPr>
        <w:snapToGrid w:val="0"/>
        <w:spacing w:before="156" w:beforeLines="50" w:line="360" w:lineRule="auto"/>
        <w:ind w:firstLine="422" w:firstLineChars="200"/>
        <w:jc w:val="left"/>
        <w:rPr>
          <w:rFonts w:hint="eastAsia" w:ascii="宋体" w:hAnsi="宋体"/>
          <w:color w:val="auto"/>
          <w:sz w:val="21"/>
          <w:szCs w:val="21"/>
          <w:highlight w:val="none"/>
        </w:rPr>
      </w:pPr>
      <w:r>
        <w:rPr>
          <w:rFonts w:hint="eastAsia" w:ascii="宋体" w:hAnsi="宋体"/>
          <w:b/>
          <w:color w:val="auto"/>
          <w:sz w:val="21"/>
          <w:szCs w:val="21"/>
          <w:highlight w:val="none"/>
        </w:rPr>
        <w:t>3、服务律师</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&lt;1&gt;乙方接受甲方的委托，指派</w:t>
      </w:r>
      <w:r>
        <w:rPr>
          <w:rFonts w:hint="eastAsia" w:ascii="宋体" w:hAnsi="宋体"/>
          <w:color w:val="auto"/>
          <w:sz w:val="21"/>
          <w:szCs w:val="21"/>
          <w:highlight w:val="none"/>
          <w:u w:val="single"/>
        </w:rPr>
        <w:t xml:space="preserve">      、     、      、      </w:t>
      </w:r>
      <w:r>
        <w:rPr>
          <w:rFonts w:hint="eastAsia" w:ascii="宋体" w:hAnsi="宋体"/>
          <w:color w:val="auto"/>
          <w:sz w:val="21"/>
          <w:szCs w:val="21"/>
          <w:highlight w:val="none"/>
        </w:rPr>
        <w:t>律师为本事务的服务律师（以下简称“律师”），其中</w:t>
      </w:r>
      <w:r>
        <w:rPr>
          <w:rFonts w:hint="eastAsia" w:ascii="宋体" w:hAnsi="宋体"/>
          <w:color w:val="auto"/>
          <w:sz w:val="21"/>
          <w:szCs w:val="21"/>
          <w:highlight w:val="none"/>
          <w:u w:val="single"/>
        </w:rPr>
        <w:t xml:space="preserve">      律师为非诉讼和诉讼服务的主办律师，必须全程参与所有法律服务</w:t>
      </w:r>
      <w:r>
        <w:rPr>
          <w:rFonts w:hint="eastAsia" w:ascii="宋体" w:hAnsi="宋体"/>
          <w:color w:val="auto"/>
          <w:sz w:val="21"/>
          <w:szCs w:val="21"/>
          <w:highlight w:val="none"/>
        </w:rPr>
        <w:t>。</w:t>
      </w:r>
    </w:p>
    <w:p w14:paraId="15D5FB90">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&lt;2&gt;甲方同意乙方及其所指派的律师在认为必要时可将本事务的部分工作交由乙方的其他律师协助完成。</w:t>
      </w:r>
    </w:p>
    <w:p w14:paraId="57FD5180">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 xml:space="preserve"> &lt;3&gt;本合同履行过程中，若主办律师因合理原因（包括但不限于正常调动、离职、时间冲突、回避、身体状况等）无法继续或暂时不能主办本事务时，乙方应及时告知甲方并由合同双方协商另行指派其他合适的律师接替；甲方不同意其他律师接替的，视为甲方解除合同，本合同终止履行。</w:t>
      </w:r>
    </w:p>
    <w:p w14:paraId="2D95298C">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4、律师费</w:t>
      </w:r>
    </w:p>
    <w:p w14:paraId="261EF0AC">
      <w:pPr>
        <w:snapToGrid w:val="0"/>
        <w:spacing w:before="156" w:beforeLines="50" w:line="42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本合同项下法律服务的律师费总计为人民币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元（大写：人民币        ），其中，</w:t>
      </w:r>
    </w:p>
    <w:p w14:paraId="65A24E64">
      <w:pPr>
        <w:snapToGrid w:val="0"/>
        <w:spacing w:before="156" w:beforeLines="50" w:line="420" w:lineRule="exact"/>
        <w:ind w:firstLine="420" w:firstLineChars="200"/>
        <w:jc w:val="left"/>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案件一</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3"/>
        <w:gridCol w:w="4351"/>
      </w:tblGrid>
      <w:tr w14:paraId="2D59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81" w:type="pct"/>
            <w:noWrap w:val="0"/>
            <w:vAlign w:val="center"/>
          </w:tcPr>
          <w:p w14:paraId="4EE1E20D">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leftChars="0" w:right="0" w:firstLine="0" w:firstLineChars="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宋体"/>
                <w:color w:val="000000"/>
                <w:sz w:val="21"/>
                <w:szCs w:val="21"/>
                <w:highlight w:val="none"/>
              </w:rPr>
              <w:t>基础费</w:t>
            </w:r>
          </w:p>
        </w:tc>
        <w:tc>
          <w:tcPr>
            <w:tcW w:w="1250" w:type="pct"/>
            <w:noWrap w:val="0"/>
            <w:vAlign w:val="center"/>
          </w:tcPr>
          <w:p w14:paraId="1BAB33B6">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r>
      <w:tr w14:paraId="5FEC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81" w:type="pct"/>
            <w:noWrap w:val="0"/>
            <w:vAlign w:val="center"/>
          </w:tcPr>
          <w:p w14:paraId="6BA9335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宋体"/>
                <w:color w:val="000000"/>
                <w:sz w:val="21"/>
                <w:szCs w:val="21"/>
                <w:highlight w:val="none"/>
              </w:rPr>
              <w:t>后续风险费</w:t>
            </w:r>
            <w:r>
              <w:rPr>
                <w:rFonts w:hint="eastAsia" w:ascii="宋体" w:hAnsi="宋体" w:eastAsia="宋体" w:cs="宋体"/>
                <w:color w:val="000000"/>
                <w:sz w:val="21"/>
                <w:szCs w:val="21"/>
                <w:highlight w:val="none"/>
                <w:lang w:val="en-US" w:eastAsia="zh-CN"/>
              </w:rPr>
              <w:t>收费比例</w:t>
            </w:r>
          </w:p>
        </w:tc>
        <w:tc>
          <w:tcPr>
            <w:tcW w:w="1250" w:type="pct"/>
            <w:noWrap w:val="0"/>
            <w:vAlign w:val="center"/>
          </w:tcPr>
          <w:p w14:paraId="0CC0807F">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w:t>
            </w:r>
          </w:p>
        </w:tc>
      </w:tr>
      <w:tr w14:paraId="7089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pct"/>
            <w:noWrap w:val="0"/>
            <w:vAlign w:val="center"/>
          </w:tcPr>
          <w:p w14:paraId="4591D04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leftChars="0" w:right="0" w:firstLine="0" w:firstLineChars="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宋体"/>
                <w:color w:val="000000"/>
                <w:sz w:val="21"/>
                <w:szCs w:val="21"/>
                <w:highlight w:val="none"/>
              </w:rPr>
              <w:t>风险费</w:t>
            </w:r>
            <w:r>
              <w:rPr>
                <w:rFonts w:hint="eastAsia" w:ascii="宋体" w:hAnsi="宋体" w:eastAsia="宋体" w:cs="宋体"/>
                <w:color w:val="000000"/>
                <w:sz w:val="21"/>
                <w:szCs w:val="21"/>
                <w:highlight w:val="none"/>
                <w:lang w:val="en-US" w:eastAsia="zh-CN"/>
              </w:rPr>
              <w:t>上限</w:t>
            </w:r>
          </w:p>
        </w:tc>
        <w:tc>
          <w:tcPr>
            <w:tcW w:w="1250" w:type="pct"/>
            <w:noWrap w:val="0"/>
            <w:vAlign w:val="center"/>
          </w:tcPr>
          <w:p w14:paraId="0C1B92E9">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r>
      <w:tr w14:paraId="2A8A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pct"/>
            <w:noWrap w:val="0"/>
            <w:vAlign w:val="center"/>
          </w:tcPr>
          <w:p w14:paraId="3FD8DD55">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收费总额上限</w:t>
            </w:r>
          </w:p>
        </w:tc>
        <w:tc>
          <w:tcPr>
            <w:tcW w:w="1250" w:type="pct"/>
            <w:noWrap w:val="0"/>
            <w:vAlign w:val="center"/>
          </w:tcPr>
          <w:p w14:paraId="0816455D">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210" w:firstLineChars="100"/>
              <w:jc w:val="left"/>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r>
    </w:tbl>
    <w:p w14:paraId="5300B3A5">
      <w:pPr>
        <w:snapToGrid w:val="0"/>
        <w:spacing w:before="156" w:beforeLines="50" w:line="4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案件二</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3"/>
        <w:gridCol w:w="4351"/>
      </w:tblGrid>
      <w:tr w14:paraId="29C7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81" w:type="pct"/>
            <w:noWrap w:val="0"/>
            <w:vAlign w:val="center"/>
          </w:tcPr>
          <w:p w14:paraId="5DAEC72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leftChars="0" w:right="0" w:firstLine="0" w:firstLineChars="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宋体"/>
                <w:color w:val="000000"/>
                <w:sz w:val="21"/>
                <w:szCs w:val="21"/>
                <w:highlight w:val="none"/>
              </w:rPr>
              <w:t>基础费</w:t>
            </w:r>
          </w:p>
        </w:tc>
        <w:tc>
          <w:tcPr>
            <w:tcW w:w="1250" w:type="pct"/>
            <w:noWrap w:val="0"/>
            <w:vAlign w:val="center"/>
          </w:tcPr>
          <w:p w14:paraId="35E2D019">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r>
      <w:tr w14:paraId="0790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81" w:type="pct"/>
            <w:noWrap w:val="0"/>
            <w:vAlign w:val="center"/>
          </w:tcPr>
          <w:p w14:paraId="029049E1">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宋体"/>
                <w:color w:val="000000"/>
                <w:sz w:val="21"/>
                <w:szCs w:val="21"/>
                <w:highlight w:val="none"/>
              </w:rPr>
              <w:t>后续风险费</w:t>
            </w:r>
            <w:r>
              <w:rPr>
                <w:rFonts w:hint="eastAsia" w:ascii="宋体" w:hAnsi="宋体" w:eastAsia="宋体" w:cs="宋体"/>
                <w:color w:val="000000"/>
                <w:sz w:val="21"/>
                <w:szCs w:val="21"/>
                <w:highlight w:val="none"/>
                <w:lang w:val="en-US" w:eastAsia="zh-CN"/>
              </w:rPr>
              <w:t>收费比例</w:t>
            </w:r>
          </w:p>
        </w:tc>
        <w:tc>
          <w:tcPr>
            <w:tcW w:w="1250" w:type="pct"/>
            <w:noWrap w:val="0"/>
            <w:vAlign w:val="center"/>
          </w:tcPr>
          <w:p w14:paraId="61AD4A9B">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w:t>
            </w:r>
          </w:p>
        </w:tc>
      </w:tr>
      <w:tr w14:paraId="4EC1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pct"/>
            <w:noWrap w:val="0"/>
            <w:vAlign w:val="center"/>
          </w:tcPr>
          <w:p w14:paraId="6A1C374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leftChars="0" w:right="0" w:firstLine="0" w:firstLineChars="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宋体"/>
                <w:color w:val="000000"/>
                <w:sz w:val="21"/>
                <w:szCs w:val="21"/>
                <w:highlight w:val="none"/>
              </w:rPr>
              <w:t>风险费</w:t>
            </w:r>
            <w:r>
              <w:rPr>
                <w:rFonts w:hint="eastAsia" w:ascii="宋体" w:hAnsi="宋体" w:eastAsia="宋体" w:cs="宋体"/>
                <w:color w:val="000000"/>
                <w:sz w:val="21"/>
                <w:szCs w:val="21"/>
                <w:highlight w:val="none"/>
                <w:lang w:val="en-US" w:eastAsia="zh-CN"/>
              </w:rPr>
              <w:t>上限</w:t>
            </w:r>
          </w:p>
        </w:tc>
        <w:tc>
          <w:tcPr>
            <w:tcW w:w="1250" w:type="pct"/>
            <w:noWrap w:val="0"/>
            <w:vAlign w:val="center"/>
          </w:tcPr>
          <w:p w14:paraId="19C66D02">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r>
      <w:tr w14:paraId="1364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pct"/>
            <w:noWrap w:val="0"/>
            <w:vAlign w:val="center"/>
          </w:tcPr>
          <w:p w14:paraId="4C25611A">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宋体"/>
                <w:color w:val="000000"/>
                <w:sz w:val="21"/>
                <w:szCs w:val="21"/>
                <w:highlight w:val="none"/>
                <w:lang w:val="en-US" w:eastAsia="zh-CN"/>
              </w:rPr>
              <w:t>收费总额上限</w:t>
            </w:r>
          </w:p>
        </w:tc>
        <w:tc>
          <w:tcPr>
            <w:tcW w:w="1250" w:type="pct"/>
            <w:noWrap w:val="0"/>
            <w:vAlign w:val="center"/>
          </w:tcPr>
          <w:p w14:paraId="11EDADC4">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210" w:firstLineChars="100"/>
              <w:jc w:val="left"/>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r>
    </w:tbl>
    <w:p w14:paraId="39D64D46">
      <w:pPr>
        <w:snapToGrid w:val="0"/>
        <w:spacing w:before="156" w:beforeLines="50" w:line="420" w:lineRule="exact"/>
        <w:ind w:firstLine="420" w:firstLineChars="200"/>
        <w:jc w:val="left"/>
        <w:rPr>
          <w:rFonts w:hint="eastAsia" w:ascii="宋体" w:hAnsi="宋体"/>
          <w:color w:val="auto"/>
          <w:sz w:val="21"/>
          <w:szCs w:val="21"/>
          <w:highlight w:val="none"/>
        </w:rPr>
      </w:pPr>
      <w:r>
        <w:rPr>
          <w:rFonts w:hint="eastAsia" w:ascii="宋体" w:hAnsi="宋体" w:cs="宋体"/>
          <w:color w:val="auto"/>
          <w:sz w:val="21"/>
          <w:szCs w:val="21"/>
          <w:highlight w:val="none"/>
        </w:rPr>
        <w:t>因</w:t>
      </w:r>
      <w:r>
        <w:rPr>
          <w:rFonts w:hint="eastAsia" w:ascii="宋体" w:hAnsi="宋体"/>
          <w:color w:val="auto"/>
          <w:sz w:val="21"/>
          <w:szCs w:val="21"/>
          <w:highlight w:val="none"/>
        </w:rPr>
        <w:t>提供本合同所述的法律服务所发生的交通费（限杭州市范围内）、文印费、通讯费等，均包含在前述律师费中。</w:t>
      </w:r>
    </w:p>
    <w:p w14:paraId="41F0F133">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5、其它费用</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双方商定审计、评估、鉴定、公证、查档、诉讼/仲裁案件受理、财产保全、保险等相关费用以及杭州市外的差旅费用等与本事务有关的费用开支由甲方负担，且</w:t>
      </w:r>
      <w:r>
        <w:rPr>
          <w:rFonts w:hint="eastAsia" w:ascii="宋体" w:hAnsi="宋体"/>
          <w:b/>
          <w:color w:val="auto"/>
          <w:sz w:val="21"/>
          <w:szCs w:val="21"/>
          <w:highlight w:val="none"/>
        </w:rPr>
        <w:t>未包含</w:t>
      </w:r>
      <w:r>
        <w:rPr>
          <w:rFonts w:hint="eastAsia" w:ascii="宋体" w:hAnsi="宋体"/>
          <w:color w:val="auto"/>
          <w:sz w:val="21"/>
          <w:szCs w:val="21"/>
          <w:highlight w:val="none"/>
        </w:rPr>
        <w:t>在本合同第4条的律师费中。</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6、律师费的支付与结算</w:t>
      </w:r>
    </w:p>
    <w:p w14:paraId="02FC7DA0">
      <w:pPr>
        <w:spacing w:line="360" w:lineRule="auto"/>
        <w:ind w:firstLine="420" w:firstLineChars="200"/>
        <w:rPr>
          <w:rFonts w:hint="eastAsia" w:ascii="宋体" w:hAnsi="宋体"/>
          <w:bCs/>
          <w:color w:val="auto"/>
          <w:sz w:val="21"/>
          <w:szCs w:val="21"/>
          <w:highlight w:val="none"/>
        </w:rPr>
      </w:pPr>
      <w:r>
        <w:rPr>
          <w:rFonts w:hint="eastAsia" w:ascii="宋体" w:hAnsi="宋体"/>
          <w:color w:val="auto"/>
          <w:sz w:val="21"/>
          <w:szCs w:val="21"/>
          <w:highlight w:val="none"/>
        </w:rPr>
        <w:t>本合同第4条所约定的律师费，甲方按照以下方式支付：</w:t>
      </w:r>
    </w:p>
    <w:p w14:paraId="6C6941DF">
      <w:pPr>
        <w:pStyle w:val="7"/>
        <w:spacing w:line="360" w:lineRule="auto"/>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1、律师费基础费支付方式为分阶段付费：</w:t>
      </w:r>
    </w:p>
    <w:p w14:paraId="2252C23D">
      <w:pPr>
        <w:pStyle w:val="7"/>
        <w:spacing w:line="360" w:lineRule="auto"/>
        <w:rPr>
          <w:rFonts w:hint="eastAsia" w:ascii="宋体" w:hAnsi="宋体" w:cs="宋体"/>
          <w:szCs w:val="21"/>
          <w:highlight w:val="none"/>
        </w:rPr>
      </w:pPr>
      <w:r>
        <w:rPr>
          <w:rFonts w:hint="eastAsia" w:ascii="宋体" w:hAnsi="宋体" w:cs="宋体"/>
          <w:szCs w:val="21"/>
          <w:highlight w:val="none"/>
          <w:lang w:val="en-US" w:eastAsia="zh-CN"/>
        </w:rPr>
        <w:t>案件一：</w:t>
      </w:r>
      <w:r>
        <w:rPr>
          <w:rFonts w:hint="eastAsia" w:ascii="宋体" w:hAnsi="宋体" w:cs="宋体"/>
          <w:szCs w:val="21"/>
          <w:highlight w:val="none"/>
        </w:rPr>
        <w:t>①委托合同签署后支付基础费用的20%；②一审立案及财产保全（如需）后支付基础费用的30%；③判决或调解或其他结案裁定生效后支付基础费用的30%；④执行阶段终结（如相对方按司法文书内容已履行，案件未启动执行程序的或经执行终本、其他执行结案方式等）后支付基础费用的20%。</w:t>
      </w:r>
    </w:p>
    <w:p w14:paraId="5AE68C51">
      <w:pPr>
        <w:pStyle w:val="7"/>
        <w:spacing w:line="360" w:lineRule="auto"/>
        <w:ind w:left="0" w:leftChars="0" w:firstLine="0" w:firstLineChars="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    案件二：</w:t>
      </w:r>
      <w:r>
        <w:rPr>
          <w:rFonts w:hint="eastAsia" w:ascii="宋体" w:hAnsi="宋体" w:cs="宋体"/>
          <w:szCs w:val="21"/>
          <w:highlight w:val="none"/>
        </w:rPr>
        <w:t>①一审立案及财产保全（如需）后支付基础费用的</w:t>
      </w:r>
      <w:r>
        <w:rPr>
          <w:rFonts w:hint="eastAsia" w:ascii="宋体" w:hAnsi="宋体" w:cs="宋体"/>
          <w:szCs w:val="21"/>
          <w:highlight w:val="none"/>
          <w:lang w:val="en-US" w:eastAsia="zh-CN"/>
        </w:rPr>
        <w:t>5</w:t>
      </w:r>
      <w:r>
        <w:rPr>
          <w:rFonts w:hint="eastAsia" w:ascii="宋体" w:hAnsi="宋体" w:cs="宋体"/>
          <w:szCs w:val="21"/>
          <w:highlight w:val="none"/>
        </w:rPr>
        <w:t>0%；②判决或调解或其他结案裁定生效后支付基础费用的30%；③执行阶段终结（如相对方按司法文书内容已履行，案件未启动执行程序的或经执行终本、其他执行结案方式等）后支付基础费用的20%。</w:t>
      </w:r>
    </w:p>
    <w:p w14:paraId="03146229">
      <w:pPr>
        <w:pStyle w:val="7"/>
        <w:numPr>
          <w:ilvl w:val="0"/>
          <w:numId w:val="0"/>
        </w:numPr>
        <w:spacing w:line="360" w:lineRule="auto"/>
        <w:rPr>
          <w:rFonts w:hint="eastAsia" w:ascii="宋体" w:hAnsi="宋体" w:cs="宋体"/>
          <w:szCs w:val="21"/>
          <w:highlight w:val="none"/>
        </w:rPr>
      </w:pPr>
      <w:r>
        <w:rPr>
          <w:rFonts w:hint="eastAsia" w:ascii="宋体" w:hAnsi="宋体" w:cs="宋体"/>
          <w:szCs w:val="21"/>
          <w:highlight w:val="none"/>
          <w:lang w:val="en-US" w:eastAsia="zh-CN"/>
        </w:rPr>
        <w:t>案件一，</w:t>
      </w:r>
      <w:r>
        <w:rPr>
          <w:rFonts w:hint="eastAsia" w:ascii="宋体" w:hAnsi="宋体" w:cs="宋体"/>
          <w:szCs w:val="21"/>
          <w:highlight w:val="none"/>
        </w:rPr>
        <w:t>因任何情形未诉讼立案的，上述②至④阶段费用不再支付；因未执行立案的，④阶段费用不再支付（相对方按司法文书内容已履行的除外）</w:t>
      </w:r>
      <w:r>
        <w:rPr>
          <w:rFonts w:hint="eastAsia" w:ascii="宋体" w:hAnsi="宋体" w:cs="宋体"/>
          <w:szCs w:val="21"/>
          <w:highlight w:val="none"/>
          <w:lang w:eastAsia="zh-CN"/>
        </w:rPr>
        <w:t>。</w:t>
      </w:r>
      <w:r>
        <w:rPr>
          <w:rFonts w:hint="eastAsia" w:ascii="宋体" w:hAnsi="宋体" w:cs="宋体"/>
          <w:szCs w:val="21"/>
          <w:highlight w:val="none"/>
          <w:lang w:val="en-US" w:eastAsia="zh-CN"/>
        </w:rPr>
        <w:t>案件二，</w:t>
      </w:r>
      <w:r>
        <w:rPr>
          <w:rFonts w:hint="eastAsia" w:ascii="宋体" w:hAnsi="宋体" w:cs="宋体"/>
          <w:szCs w:val="21"/>
          <w:highlight w:val="none"/>
        </w:rPr>
        <w:t>因任何情形未诉讼立案的，①至③阶段费用不再支付。</w:t>
      </w:r>
    </w:p>
    <w:p w14:paraId="6E0A466F">
      <w:pPr>
        <w:pStyle w:val="7"/>
        <w:spacing w:line="360" w:lineRule="auto"/>
        <w:rPr>
          <w:rFonts w:hint="eastAsia" w:ascii="宋体" w:hAnsi="宋体" w:cs="宋体"/>
          <w:szCs w:val="21"/>
          <w:highlight w:val="none"/>
        </w:rPr>
      </w:pPr>
      <w:r>
        <w:rPr>
          <w:rFonts w:hint="eastAsia" w:ascii="宋体" w:hAnsi="宋体" w:cs="宋体"/>
          <w:szCs w:val="21"/>
          <w:highlight w:val="none"/>
          <w:lang w:val="en-US" w:eastAsia="zh-CN"/>
        </w:rPr>
        <w:t>6.2</w:t>
      </w:r>
      <w:r>
        <w:rPr>
          <w:rFonts w:hint="eastAsia" w:ascii="宋体" w:hAnsi="宋体" w:cs="宋体"/>
          <w:szCs w:val="21"/>
          <w:highlight w:val="none"/>
        </w:rPr>
        <w:t>、律师费</w:t>
      </w:r>
      <w:r>
        <w:rPr>
          <w:rFonts w:hint="eastAsia" w:ascii="宋体" w:hAnsi="宋体" w:eastAsia="宋体" w:cs="宋体"/>
          <w:color w:val="000000"/>
          <w:sz w:val="21"/>
          <w:szCs w:val="21"/>
          <w:highlight w:val="none"/>
        </w:rPr>
        <w:t>风险费</w:t>
      </w:r>
      <w:r>
        <w:rPr>
          <w:rFonts w:hint="eastAsia" w:ascii="宋体" w:hAnsi="宋体" w:cs="宋体"/>
          <w:szCs w:val="21"/>
          <w:highlight w:val="none"/>
        </w:rPr>
        <w:t>支付方式为分阶段付费：</w:t>
      </w:r>
    </w:p>
    <w:p w14:paraId="309894B0">
      <w:pPr>
        <w:pStyle w:val="7"/>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实际回款金额</w:t>
      </w:r>
      <w:r>
        <w:rPr>
          <w:rFonts w:hint="eastAsia" w:ascii="宋体" w:hAnsi="宋体" w:cs="宋体"/>
          <w:szCs w:val="21"/>
          <w:highlight w:val="none"/>
          <w:lang w:val="en-US" w:eastAsia="zh-CN"/>
        </w:rPr>
        <w:t>到账后14个工作日甲方按约定比例向乙方支付。</w:t>
      </w:r>
    </w:p>
    <w:p w14:paraId="2C2F9D61">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7、其他费用的支付与结算</w:t>
      </w:r>
    </w:p>
    <w:p w14:paraId="5E2996B7">
      <w:pPr>
        <w:snapToGrid w:val="0"/>
        <w:spacing w:before="156" w:beforeLines="50" w:line="420" w:lineRule="exact"/>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本合同第5条所约定的其他费用实际发生时由律师通知甲方后甲方直接支付，或在紧急情况下由乙方垫支后甲方立即按实单独结算给乙方。</w:t>
      </w:r>
    </w:p>
    <w:p w14:paraId="03DBB30A">
      <w:pPr>
        <w:snapToGrid w:val="0"/>
        <w:spacing w:before="156" w:beforeLines="50" w:line="360" w:lineRule="auto"/>
        <w:ind w:firstLine="422" w:firstLineChars="200"/>
        <w:jc w:val="left"/>
        <w:rPr>
          <w:rFonts w:hint="eastAsia" w:ascii="宋体" w:hAnsi="宋体"/>
          <w:color w:val="auto"/>
          <w:sz w:val="21"/>
          <w:szCs w:val="21"/>
          <w:highlight w:val="none"/>
        </w:rPr>
      </w:pPr>
      <w:r>
        <w:rPr>
          <w:rFonts w:hint="eastAsia" w:ascii="宋体" w:hAnsi="宋体"/>
          <w:b/>
          <w:color w:val="auto"/>
          <w:sz w:val="21"/>
          <w:szCs w:val="21"/>
          <w:highlight w:val="none"/>
        </w:rPr>
        <w:t>8、发票</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每次支付合同款前，乙方需先向甲方提供等额合法发票（增值税专用发票），若乙方未及时提供发票，甲方有权延迟付款，且无需承担违约责任。</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9、乙方及律师的义务</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&lt;1&gt;律师必须遵守职业道德和执业纪律；</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&lt;2&gt;律师应当勤勉尽职，依法在本合同约定范围内维护甲方的最大利益；</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&lt;3&gt;律师应当及时向甲方报告有关本事务的进展情况；</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&lt;4&gt;律师无权超越甲方授权行事。如果确有需要，应当由甲方另行给予明确的授权；</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&lt;5&gt;律师无权在本合同约定的律师费和其他费用以外再要求客户支付任何其他款项；</w:t>
      </w:r>
    </w:p>
    <w:p w14:paraId="741ED313">
      <w:pPr>
        <w:snapToGrid w:val="0"/>
        <w:spacing w:before="156" w:beforeLines="50" w:line="360" w:lineRule="auto"/>
        <w:ind w:firstLine="420" w:firstLineChars="200"/>
        <w:jc w:val="left"/>
        <w:rPr>
          <w:rFonts w:hint="eastAsia" w:ascii="宋体" w:hAnsi="宋体"/>
          <w:b/>
          <w:color w:val="auto"/>
          <w:sz w:val="21"/>
          <w:szCs w:val="21"/>
          <w:highlight w:val="none"/>
        </w:rPr>
      </w:pPr>
      <w:r>
        <w:rPr>
          <w:rFonts w:hint="eastAsia" w:ascii="宋体" w:hAnsi="宋体"/>
          <w:color w:val="auto"/>
          <w:sz w:val="21"/>
          <w:szCs w:val="21"/>
          <w:highlight w:val="none"/>
        </w:rPr>
        <w:t>&lt;6&gt;乙方或律师变更联系信息的，应当及时通知甲方；</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&lt;7&gt;乙方和律师对甲方负有保密义务。</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10、甲方的义务</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&lt;1&gt;与乙方和律师诚实合作，向乙方和律师如实提供与本事务有关的资料、证据，如实陈述与本事务有关的情况；</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&lt;2&gt;如与本事务有关的情况和事实发生变化，应及时告知乙方或律师；</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&lt;3&gt;如变更联系信息，应当及时通知乙方和律师；</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&lt;4&gt;按照约定支付律师费和其它费用；</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&lt;5&gt;向乙方和律师提出的要求不应与法律以及律师职业道德和执业纪律的规定相冲突。</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11、证据和财物</w:t>
      </w:r>
    </w:p>
    <w:p w14:paraId="10F1603C">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1&gt;乙方和律师在提供法律服务的过程中取得的由甲方提供的证据材料原件或原物，所有权属于甲方，本事务完成后甲方要求返还的，除已依法提交法院或仲裁机构且已由其归卷的外，应由律师归还甲方。重要证据材料的原件或原物甲方不愿交由法院或仲裁机构收取归卷的，须在提供证据时向律师作出书面特别声明并经律师签字承诺。</w:t>
      </w:r>
    </w:p>
    <w:p w14:paraId="06206490">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&lt;2&gt;乙方和律师因代理案件执行所得或其它受托代收所得的财物，所有权属于甲方，应由乙方和律师在合理时间内移交甲方。</w:t>
      </w:r>
    </w:p>
    <w:p w14:paraId="1F9981E2">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12、保管和留置</w:t>
      </w:r>
    </w:p>
    <w:p w14:paraId="127D872E">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双方特别约定：本合同第11条所述的证据和财物，若有下列情形之一的，则视为甲方委托乙方代为保管，本条内容即视为保管合同内容，双方保管合同关系以下列情形之一的发生为条件而生效；保管期限不超过60天。</w:t>
      </w:r>
    </w:p>
    <w:p w14:paraId="7F2CB584">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&lt;1&gt;甲方未要求归还证据原件、原物的；</w:t>
      </w:r>
    </w:p>
    <w:p w14:paraId="1B8D2135">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&lt;2&gt;乙方通知移交财物，甲方拒绝接受或者未予响应的；或者虽予响应但一直未来领取的；或者因甲方变更联系信息未通知乙方致使无法移交或不便移交的；</w:t>
      </w:r>
    </w:p>
    <w:p w14:paraId="258DBA4C">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乙方代为保管证据或财物期间，认为必要时可自行决定将该证据或财物移送公证机关提存，所产生的各种费用由甲方承担。</w:t>
      </w:r>
    </w:p>
    <w:p w14:paraId="6EF14A03">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保管期限届满（自乙方书面明示可移交之日起计）后，乙方对所保管的证据和财物可作任意处分而不再负任何责任。但所保管的财物是人民币现款的，应在甲方于任何时候主张权利时，归还本金金额，不计利息。</w:t>
      </w:r>
    </w:p>
    <w:p w14:paraId="2C0935F8">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乙方因保管（含提存）所产生的各种合理费用，甲方未予清偿的，乙方有权对所保管的财物进行留置处理；也可直接以所保管财物中的现款抵付。</w:t>
      </w:r>
    </w:p>
    <w:p w14:paraId="4E96A5C5">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13、保密</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&lt;1&gt;乙方和律师对于甲方的商业秘密或个人隐私，应当保守秘密，在未征得甲方同意的情况下，不得向第三方泄露，但法定或约定应向司法机关或仲裁机构提供的除外。</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&lt;2&gt;客户有特殊保密要求的，应当另行签订保密协议，以保密协议的约定为准。</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14、利益冲突</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15、其他法律事务</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乙方和律师均无权利和义务代理甲方处理本合同约定的法律服务范围以外的其它法律事务。甲方如确需乙方和律师提供有关其他法律事务的服务的，应当与乙方签订补充协议或另行签订法律服务委托合同。</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16、完成受托事务</w:t>
      </w:r>
    </w:p>
    <w:p w14:paraId="6919CCED">
      <w:pPr>
        <w:tabs>
          <w:tab w:val="left" w:pos="392"/>
        </w:tabs>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A、</w:t>
      </w:r>
      <w:r>
        <w:rPr>
          <w:rFonts w:hint="eastAsia" w:ascii="宋体" w:hAnsi="宋体"/>
          <w:color w:val="auto"/>
          <w:sz w:val="21"/>
          <w:szCs w:val="21"/>
          <w:highlight w:val="none"/>
          <w:lang w:val="en-US" w:eastAsia="zh-CN"/>
        </w:rPr>
        <w:t>对本合同项下的</w:t>
      </w:r>
      <w:r>
        <w:rPr>
          <w:rFonts w:hint="eastAsia" w:ascii="宋体" w:hAnsi="宋体"/>
          <w:color w:val="auto"/>
          <w:sz w:val="21"/>
          <w:szCs w:val="21"/>
          <w:highlight w:val="none"/>
        </w:rPr>
        <w:t>诉讼/仲裁/执行代理</w:t>
      </w:r>
      <w:r>
        <w:rPr>
          <w:rFonts w:hint="eastAsia" w:ascii="宋体" w:hAnsi="宋体"/>
          <w:color w:val="auto"/>
          <w:sz w:val="21"/>
          <w:szCs w:val="21"/>
          <w:highlight w:val="none"/>
          <w:lang w:val="en-US" w:eastAsia="zh-CN"/>
        </w:rPr>
        <w:t>服务，发生下列任一情形则视为该部分服务已经完成</w:t>
      </w:r>
      <w:r>
        <w:rPr>
          <w:rFonts w:hint="eastAsia" w:ascii="宋体" w:hAnsi="宋体"/>
          <w:color w:val="auto"/>
          <w:sz w:val="21"/>
          <w:szCs w:val="21"/>
          <w:highlight w:val="none"/>
        </w:rPr>
        <w:t>：</w:t>
      </w:r>
    </w:p>
    <w:p w14:paraId="46992621">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&lt;1&gt;相关诉讼案件的一审法院送达判决书/裁决书/驳回起诉裁定书、调解书或甲方要求撤回诉讼等；</w:t>
      </w:r>
    </w:p>
    <w:p w14:paraId="1004E289">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&lt;2&gt;双方当事人案外和解；</w:t>
      </w:r>
    </w:p>
    <w:p w14:paraId="3EB25851">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&lt;3&gt;甲方解除合同、撤消委托。</w:t>
      </w:r>
    </w:p>
    <w:p w14:paraId="54019B75">
      <w:pPr>
        <w:snapToGrid w:val="0"/>
        <w:spacing w:before="156" w:beforeLines="50" w:line="360" w:lineRule="auto"/>
        <w:ind w:firstLine="422" w:firstLineChars="200"/>
        <w:jc w:val="left"/>
        <w:rPr>
          <w:rFonts w:hint="eastAsia" w:ascii="宋体" w:hAnsi="宋体"/>
          <w:b/>
          <w:color w:val="auto"/>
          <w:sz w:val="21"/>
          <w:szCs w:val="21"/>
          <w:highlight w:val="none"/>
          <w:u w:val="single"/>
        </w:rPr>
      </w:pPr>
      <w:r>
        <w:rPr>
          <w:rFonts w:hint="eastAsia" w:ascii="宋体" w:hAnsi="宋体"/>
          <w:b/>
          <w:color w:val="auto"/>
          <w:sz w:val="21"/>
          <w:szCs w:val="21"/>
          <w:highlight w:val="none"/>
          <w:u w:val="single"/>
        </w:rPr>
        <w:t>B、</w:t>
      </w:r>
      <w:r>
        <w:rPr>
          <w:rFonts w:hint="eastAsia" w:ascii="宋体" w:hAnsi="宋体"/>
          <w:b/>
          <w:color w:val="auto"/>
          <w:sz w:val="21"/>
          <w:szCs w:val="21"/>
          <w:highlight w:val="none"/>
          <w:u w:val="single"/>
          <w:lang w:val="en-US" w:eastAsia="zh-CN"/>
        </w:rPr>
        <w:t>对本合同项下的</w:t>
      </w:r>
      <w:r>
        <w:rPr>
          <w:rFonts w:hint="eastAsia" w:ascii="宋体" w:hAnsi="宋体"/>
          <w:b/>
          <w:color w:val="auto"/>
          <w:sz w:val="21"/>
          <w:szCs w:val="21"/>
          <w:highlight w:val="none"/>
          <w:u w:val="single"/>
        </w:rPr>
        <w:t>非诉讼事务</w:t>
      </w:r>
      <w:r>
        <w:rPr>
          <w:rFonts w:hint="eastAsia" w:ascii="宋体" w:hAnsi="宋体"/>
          <w:b/>
          <w:color w:val="auto"/>
          <w:sz w:val="21"/>
          <w:szCs w:val="21"/>
          <w:highlight w:val="none"/>
          <w:u w:val="single"/>
          <w:lang w:eastAsia="zh-CN"/>
        </w:rPr>
        <w:t>，</w:t>
      </w:r>
      <w:r>
        <w:rPr>
          <w:rFonts w:hint="eastAsia" w:ascii="宋体" w:hAnsi="宋体"/>
          <w:b/>
          <w:color w:val="auto"/>
          <w:sz w:val="21"/>
          <w:szCs w:val="21"/>
          <w:highlight w:val="none"/>
          <w:u w:val="single"/>
          <w:lang w:val="en-US" w:eastAsia="zh-CN"/>
        </w:rPr>
        <w:t>发生下列任一情形则视为该部分服务已经完成</w:t>
      </w:r>
      <w:r>
        <w:rPr>
          <w:rFonts w:hint="eastAsia" w:ascii="宋体" w:hAnsi="宋体"/>
          <w:b/>
          <w:color w:val="auto"/>
          <w:sz w:val="21"/>
          <w:szCs w:val="21"/>
          <w:highlight w:val="none"/>
          <w:u w:val="single"/>
        </w:rPr>
        <w:t>：</w:t>
      </w:r>
    </w:p>
    <w:p w14:paraId="4BA9FA3A">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&lt;1&gt;对方完成了满足甲方要求的行为；</w:t>
      </w:r>
    </w:p>
    <w:p w14:paraId="1EFADF80">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&lt;2&gt;甲方向对方作出了新的要约或者承诺致使受托事务成为不必要；</w:t>
      </w:r>
    </w:p>
    <w:p w14:paraId="2CCD3266">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&lt;3&gt;其他依照法律或约定或惯例应视为乙方义务已履行完毕的情形；</w:t>
      </w:r>
    </w:p>
    <w:p w14:paraId="389AEEB3">
      <w:pPr>
        <w:snapToGrid w:val="0"/>
        <w:spacing w:before="156" w:beforeLines="50" w:line="360" w:lineRule="auto"/>
        <w:ind w:firstLine="420" w:firstLineChars="200"/>
        <w:jc w:val="left"/>
        <w:rPr>
          <w:rFonts w:hint="eastAsia" w:ascii="宋体" w:hAnsi="宋体"/>
          <w:bCs/>
          <w:color w:val="auto"/>
          <w:sz w:val="21"/>
          <w:szCs w:val="21"/>
          <w:highlight w:val="none"/>
          <w:u w:val="single"/>
        </w:rPr>
      </w:pPr>
      <w:r>
        <w:rPr>
          <w:rFonts w:hint="eastAsia" w:ascii="宋体" w:hAnsi="宋体"/>
          <w:color w:val="auto"/>
          <w:sz w:val="21"/>
          <w:szCs w:val="21"/>
          <w:highlight w:val="none"/>
        </w:rPr>
        <w:t>&lt;4&gt;甲方解除合同、撤销委托。</w:t>
      </w:r>
    </w:p>
    <w:p w14:paraId="406C57C2">
      <w:pPr>
        <w:snapToGrid w:val="0"/>
        <w:spacing w:before="156" w:beforeLines="50" w:line="360" w:lineRule="auto"/>
        <w:ind w:firstLine="422" w:firstLineChars="200"/>
        <w:jc w:val="left"/>
        <w:rPr>
          <w:rFonts w:hint="eastAsia" w:ascii="宋体" w:hAnsi="宋体"/>
          <w:color w:val="auto"/>
          <w:sz w:val="21"/>
          <w:szCs w:val="21"/>
          <w:highlight w:val="none"/>
        </w:rPr>
      </w:pPr>
      <w:r>
        <w:rPr>
          <w:rFonts w:hint="eastAsia" w:ascii="宋体" w:hAnsi="宋体"/>
          <w:b/>
          <w:color w:val="auto"/>
          <w:sz w:val="21"/>
          <w:szCs w:val="21"/>
          <w:highlight w:val="none"/>
        </w:rPr>
        <w:t>17、合同的解除、终止履行</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lt;1&gt;若乙方提供法律服务的主办律师不符合投标文件的要求且未与甲方就律师调整事宜达成合意的或者乙方律师响应时间无法满足甲方要求的，经书面通知，甲方有权解除本合同，该解除通知在乙方收到之日生效。一旦收到解除通知，乙方和律师立即停止提供法律服务。</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&lt;2&gt;如果甲方未按照本协议约定支付律师费和其它费用且延期超过三十日的，乙方有权解除本合同，但应书面通知甲方。</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&lt;3&gt;若甲方要求达到的目标有违律师职业道德和执业纪律的规定，则乙方有权随时终止向甲方提供法律服务，但应书面通知甲方。</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&lt;4&gt;若乙方在受托处理本事务过程中发现甲方有故意隐瞒事实或虚假作证等妨碍乙方正常完成受托事务的能力之情形，有权中（终）止向甲方提供法律服务。</w:t>
      </w:r>
    </w:p>
    <w:p w14:paraId="79BD8182">
      <w:pPr>
        <w:snapToGrid w:val="0"/>
        <w:spacing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&lt;5&gt;本合同因上列情形解除时，甲方应按实际所处的阶段或成果结算律师费。</w:t>
      </w:r>
    </w:p>
    <w:p w14:paraId="42CCEE48">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18、违约和赔偿</w:t>
      </w:r>
    </w:p>
    <w:p w14:paraId="7828DA6C">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&lt;1&gt;甲方未能按时支付乙方律师费或经乙方书面提示而超过30天未给予律师报销其他费用（约定包干使用的除外）的，每逾期1天，按欠付金额的万分之二另行支付滞纳金给予乙方。</w:t>
      </w:r>
    </w:p>
    <w:p w14:paraId="7DAAE5C9">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&lt;2&gt;律师在提供法律服务过程中，因违法执业或其他过错给甲方造成损失的，应当赔偿实际损失；乙方负连带赔偿责任。</w:t>
      </w:r>
    </w:p>
    <w:p w14:paraId="69299701">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19、不保证</w:t>
      </w:r>
    </w:p>
    <w:p w14:paraId="5AFC1BF3">
      <w:pPr>
        <w:snapToGrid w:val="0"/>
        <w:spacing w:before="156" w:beforeLines="50" w:line="360"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乙方和律师向甲方提供的分析、判断或咨询意见，均不可理解为乙方或律师就受托事务的结果作出了成功或胜诉的保证。</w:t>
      </w:r>
    </w:p>
    <w:p w14:paraId="76C5A9E2">
      <w:pPr>
        <w:snapToGrid w:val="0"/>
        <w:spacing w:before="156" w:beforeLines="50" w:line="360" w:lineRule="auto"/>
        <w:ind w:firstLine="422" w:firstLineChars="200"/>
        <w:jc w:val="left"/>
        <w:rPr>
          <w:rFonts w:hint="eastAsia" w:ascii="宋体" w:hAnsi="宋体"/>
          <w:b/>
          <w:color w:val="auto"/>
          <w:sz w:val="21"/>
          <w:szCs w:val="21"/>
          <w:highlight w:val="none"/>
        </w:rPr>
      </w:pPr>
      <w:r>
        <w:rPr>
          <w:rFonts w:hint="eastAsia" w:ascii="宋体" w:hAnsi="宋体"/>
          <w:b/>
          <w:color w:val="auto"/>
          <w:sz w:val="21"/>
          <w:szCs w:val="21"/>
          <w:highlight w:val="none"/>
        </w:rPr>
        <w:t>20、免责</w:t>
      </w:r>
    </w:p>
    <w:p w14:paraId="5416232E">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color w:val="auto"/>
          <w:sz w:val="21"/>
          <w:szCs w:val="21"/>
          <w:highlight w:val="none"/>
        </w:rPr>
        <w:t>本合同履行期间，如遇不可抗力，致使本合同无法实际/继续履行，双方应按有关法律规定处理。</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21、合同的可分性</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本合同中的任何条款如因任何原因导致部分无效，本合同的其他条款仍保持原有的效力，应当予以履行。</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22、通知</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与本合同履行有关的通知应当以书面方式提交对方，送达方式可为特快专递、专人送达、电子邮件等。送达信息以合同首部所载为准。</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23、争议的解决</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&lt;1&gt;双方之间就律师费和其他费用发生争议的，应当进行协商，如果协商不成，甲方应先向乙方主管司法行政部门投诉，由主管司法行政部门进行调解。</w:t>
      </w:r>
      <w:r>
        <w:rPr>
          <w:rFonts w:ascii="宋体" w:hAnsi="宋体"/>
          <w:color w:val="auto"/>
          <w:sz w:val="21"/>
          <w:szCs w:val="21"/>
          <w:highlight w:val="none"/>
        </w:rPr>
        <w:br w:type="textWrapping"/>
      </w:r>
      <w:r>
        <w:rPr>
          <w:rFonts w:hint="eastAsia" w:ascii="宋体" w:hAnsi="宋体"/>
          <w:color w:val="auto"/>
          <w:sz w:val="21"/>
          <w:szCs w:val="21"/>
          <w:highlight w:val="none"/>
        </w:rPr>
        <w:t xml:space="preserve">    &lt;2&gt;双方同意，就本合同签订、履行而发生的任何争议，在无法通过协商和调解方式解决的情况下，任何一方均可向原告所在地人民法院提起诉讼。</w:t>
      </w:r>
      <w:r>
        <w:rPr>
          <w:rFonts w:ascii="宋体" w:hAnsi="宋体"/>
          <w:color w:val="auto"/>
          <w:sz w:val="21"/>
          <w:szCs w:val="21"/>
          <w:highlight w:val="none"/>
        </w:rPr>
        <w:br w:type="textWrapping"/>
      </w:r>
      <w:r>
        <w:rPr>
          <w:rFonts w:hint="eastAsia" w:ascii="宋体" w:hAnsi="宋体"/>
          <w:b/>
          <w:color w:val="auto"/>
          <w:sz w:val="21"/>
          <w:szCs w:val="21"/>
          <w:highlight w:val="none"/>
        </w:rPr>
        <w:t xml:space="preserve">    24、其他约定</w:t>
      </w:r>
      <w:r>
        <w:rPr>
          <w:rFonts w:ascii="宋体" w:hAnsi="宋体"/>
          <w:b/>
          <w:color w:val="auto"/>
          <w:sz w:val="21"/>
          <w:szCs w:val="21"/>
          <w:highlight w:val="none"/>
        </w:rPr>
        <w:br w:type="textWrapping"/>
      </w:r>
      <w:r>
        <w:rPr>
          <w:rFonts w:hint="eastAsia" w:ascii="宋体" w:hAnsi="宋体"/>
          <w:color w:val="auto"/>
          <w:sz w:val="21"/>
          <w:szCs w:val="21"/>
          <w:highlight w:val="none"/>
        </w:rPr>
        <w:t xml:space="preserve">    除上述条款约定外，乙方和甲方就如下内容达成一致的约定：</w:t>
      </w:r>
      <w:r>
        <w:rPr>
          <w:rFonts w:ascii="宋体" w:hAnsi="宋体"/>
          <w:color w:val="auto"/>
          <w:sz w:val="21"/>
          <w:szCs w:val="21"/>
          <w:highlight w:val="none"/>
        </w:rPr>
        <w:br w:type="textWrapping"/>
      </w:r>
      <w:r>
        <w:rPr>
          <w:rFonts w:hint="eastAsia" w:ascii="宋体" w:hAnsi="宋体"/>
          <w:color w:val="auto"/>
          <w:sz w:val="21"/>
          <w:szCs w:val="21"/>
          <w:highlight w:val="none"/>
        </w:rPr>
        <w:t xml:space="preserve">    </w:t>
      </w:r>
      <w:r>
        <w:rPr>
          <w:rFonts w:hint="eastAsia" w:ascii="宋体" w:hAnsi="宋体"/>
          <w:bCs/>
          <w:color w:val="auto"/>
          <w:sz w:val="21"/>
          <w:szCs w:val="21"/>
          <w:highlight w:val="none"/>
        </w:rPr>
        <w:t>下列文件均为本合同的组成部分：</w:t>
      </w:r>
    </w:p>
    <w:p w14:paraId="2C0807C9">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（1）补充协议（如有）；</w:t>
      </w:r>
    </w:p>
    <w:p w14:paraId="7FAE9901">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（2）本合同（含评标期间和合同签订过程中的澄清文件等（如有））；</w:t>
      </w:r>
    </w:p>
    <w:p w14:paraId="7E1E94E6">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（3）中标通知书；</w:t>
      </w:r>
    </w:p>
    <w:p w14:paraId="0F020230">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（4）投标函；</w:t>
      </w:r>
    </w:p>
    <w:p w14:paraId="6F1546BB">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（5）用户需求书（含招标补充文件与此有关的部分）；</w:t>
      </w:r>
    </w:p>
    <w:p w14:paraId="290708AC">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（6）</w:t>
      </w:r>
      <w:r>
        <w:rPr>
          <w:rFonts w:hint="eastAsia" w:ascii="宋体" w:hAnsi="宋体"/>
          <w:bCs/>
          <w:color w:val="auto"/>
          <w:sz w:val="21"/>
          <w:szCs w:val="21"/>
          <w:highlight w:val="none"/>
          <w:lang w:val="en-US" w:eastAsia="zh-CN"/>
        </w:rPr>
        <w:t>报价</w:t>
      </w:r>
      <w:r>
        <w:rPr>
          <w:rFonts w:hint="eastAsia" w:ascii="宋体" w:hAnsi="宋体"/>
          <w:bCs/>
          <w:color w:val="auto"/>
          <w:sz w:val="21"/>
          <w:szCs w:val="21"/>
          <w:highlight w:val="none"/>
        </w:rPr>
        <w:t>一览表（含招标补充文件与此有关的部分）；</w:t>
      </w:r>
    </w:p>
    <w:p w14:paraId="6DD38F77">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（7）投标文件及其修改、补充文件、询标纪要；</w:t>
      </w:r>
    </w:p>
    <w:p w14:paraId="678C52F8">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（8）招标文件及其补充文件；</w:t>
      </w:r>
    </w:p>
    <w:p w14:paraId="6807F13F">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（9）其他协议文件。</w:t>
      </w:r>
    </w:p>
    <w:p w14:paraId="2A2D3D48">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甲乙双方合同实施过程中的洽商、会议纪要、变更、补充协议等书面文件应视为本合同的组成部分。</w:t>
      </w:r>
    </w:p>
    <w:p w14:paraId="4E1EAE3F">
      <w:pPr>
        <w:snapToGrid w:val="0"/>
        <w:spacing w:before="156" w:beforeLines="50" w:line="420" w:lineRule="exact"/>
        <w:ind w:firstLine="480"/>
        <w:rPr>
          <w:rFonts w:hint="eastAsia" w:ascii="宋体" w:hAnsi="宋体"/>
          <w:bCs/>
          <w:color w:val="auto"/>
          <w:sz w:val="21"/>
          <w:szCs w:val="21"/>
          <w:highlight w:val="none"/>
        </w:rPr>
      </w:pPr>
      <w:r>
        <w:rPr>
          <w:rFonts w:hint="eastAsia" w:ascii="宋体" w:hAnsi="宋体"/>
          <w:bCs/>
          <w:color w:val="auto"/>
          <w:sz w:val="21"/>
          <w:szCs w:val="21"/>
          <w:highlight w:val="none"/>
        </w:rPr>
        <w:t>上述文件互相补充和解释，如有不明确或不一致之处，上述合同文件以自上而下为优先解释顺序。</w:t>
      </w:r>
    </w:p>
    <w:p w14:paraId="08F35040">
      <w:pPr>
        <w:snapToGrid w:val="0"/>
        <w:spacing w:line="360" w:lineRule="auto"/>
        <w:ind w:firstLine="420" w:firstLineChars="200"/>
        <w:jc w:val="left"/>
        <w:rPr>
          <w:rFonts w:hint="eastAsia" w:ascii="宋体" w:hAnsi="宋体"/>
          <w:color w:val="auto"/>
          <w:sz w:val="21"/>
          <w:szCs w:val="21"/>
          <w:highlight w:val="none"/>
        </w:rPr>
      </w:pPr>
    </w:p>
    <w:p w14:paraId="14B0EC2B">
      <w:pPr>
        <w:pStyle w:val="41"/>
        <w:snapToGrid w:val="0"/>
        <w:spacing w:before="156" w:beforeLines="50" w:beforeAutospacing="0" w:after="0" w:afterAutospacing="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25、生效条件</w:t>
      </w:r>
      <w:r>
        <w:rPr>
          <w:rFonts w:ascii="宋体" w:hAnsi="宋体" w:eastAsia="宋体"/>
          <w:b/>
          <w:color w:val="auto"/>
          <w:sz w:val="21"/>
          <w:szCs w:val="21"/>
          <w:highlight w:val="none"/>
        </w:rPr>
        <w:br w:type="textWrapping"/>
      </w:r>
      <w:r>
        <w:rPr>
          <w:rFonts w:hint="eastAsia" w:ascii="宋体" w:hAnsi="宋体" w:eastAsia="宋体"/>
          <w:color w:val="auto"/>
          <w:sz w:val="21"/>
          <w:szCs w:val="21"/>
          <w:highlight w:val="none"/>
        </w:rPr>
        <w:t xml:space="preserve">    本合同在双方签署后生效，在此之前，乙方或乙方律师已经实际提供的各项法律服务、其他预备性法律服务均包括在本合同内。</w:t>
      </w:r>
      <w:r>
        <w:rPr>
          <w:rFonts w:ascii="宋体" w:hAnsi="宋体" w:eastAsia="宋体"/>
          <w:color w:val="auto"/>
          <w:sz w:val="21"/>
          <w:szCs w:val="21"/>
          <w:highlight w:val="none"/>
        </w:rPr>
        <w:br w:type="textWrapping"/>
      </w:r>
      <w:r>
        <w:rPr>
          <w:rFonts w:hint="eastAsia" w:ascii="宋体" w:hAnsi="宋体" w:eastAsia="宋体"/>
          <w:b/>
          <w:color w:val="auto"/>
          <w:sz w:val="21"/>
          <w:szCs w:val="21"/>
          <w:highlight w:val="none"/>
        </w:rPr>
        <w:t xml:space="preserve">    26、本合同空格部分填写的文字与印刷文字具有同等效力。</w:t>
      </w:r>
    </w:p>
    <w:p w14:paraId="3D1EEB77">
      <w:pPr>
        <w:pStyle w:val="41"/>
        <w:snapToGrid w:val="0"/>
        <w:spacing w:before="156" w:beforeLines="50" w:beforeAutospacing="0" w:after="0" w:afterAutospacing="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27、本合同有效期限，自签订之日起至本事务完成止。</w:t>
      </w:r>
    </w:p>
    <w:p w14:paraId="5D320567">
      <w:pPr>
        <w:pStyle w:val="41"/>
        <w:snapToGrid w:val="0"/>
        <w:spacing w:before="156" w:beforeLines="50" w:beforeAutospacing="0" w:after="0" w:afterAutospacing="0" w:line="360" w:lineRule="auto"/>
        <w:ind w:firstLine="422" w:firstLineChars="200"/>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28、本合同一式肆份，甲方叁份，乙方壹份，效力相同。</w:t>
      </w:r>
    </w:p>
    <w:p w14:paraId="18183992">
      <w:pPr>
        <w:pStyle w:val="41"/>
        <w:tabs>
          <w:tab w:val="left" w:pos="2410"/>
          <w:tab w:val="center" w:pos="4514"/>
        </w:tabs>
        <w:snapToGrid w:val="0"/>
        <w:spacing w:before="156" w:beforeLines="50" w:beforeAutospacing="0" w:after="0" w:afterAutospacing="0" w:line="360" w:lineRule="auto"/>
        <w:ind w:firstLine="420" w:firstLineChars="200"/>
        <w:rPr>
          <w:rFonts w:hint="eastAsia" w:ascii="宋体" w:hAnsi="宋体" w:eastAsia="宋体"/>
          <w:color w:val="auto"/>
          <w:sz w:val="21"/>
          <w:szCs w:val="21"/>
          <w:highlight w:val="none"/>
        </w:rPr>
      </w:pPr>
      <w:r>
        <w:rPr>
          <w:rFonts w:ascii="宋体" w:hAnsi="宋体" w:eastAsia="宋体"/>
          <w:color w:val="auto"/>
          <w:sz w:val="21"/>
          <w:szCs w:val="21"/>
          <w:highlight w:val="none"/>
        </w:rPr>
        <w:tab/>
      </w:r>
      <w:r>
        <w:rPr>
          <w:rFonts w:hint="eastAsia" w:ascii="宋体" w:hAnsi="宋体" w:eastAsia="宋体"/>
          <w:color w:val="auto"/>
          <w:sz w:val="21"/>
          <w:szCs w:val="21"/>
          <w:highlight w:val="none"/>
        </w:rPr>
        <w:t>（以下无正文）</w:t>
      </w:r>
    </w:p>
    <w:p w14:paraId="3AC6FD8C">
      <w:pPr>
        <w:pStyle w:val="41"/>
        <w:snapToGrid w:val="0"/>
        <w:spacing w:before="156" w:beforeLines="50" w:beforeAutospacing="0" w:after="0" w:afterAutospacing="0" w:line="420" w:lineRule="exact"/>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委托人（甲方）（盖章）：</w:t>
      </w:r>
    </w:p>
    <w:p w14:paraId="5F95F3F5">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代表（盖章）：</w:t>
      </w:r>
    </w:p>
    <w:p w14:paraId="34E84484">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日期：202</w:t>
      </w:r>
      <w:r>
        <w:rPr>
          <w:rFonts w:ascii="宋体" w:hAnsi="宋体" w:eastAsia="宋体"/>
          <w:color w:val="auto"/>
          <w:sz w:val="21"/>
          <w:szCs w:val="21"/>
          <w:highlight w:val="none"/>
        </w:rPr>
        <w:t>4</w:t>
      </w:r>
      <w:r>
        <w:rPr>
          <w:rFonts w:hint="eastAsia" w:ascii="宋体" w:hAnsi="宋体" w:eastAsia="宋体"/>
          <w:color w:val="auto"/>
          <w:sz w:val="21"/>
          <w:szCs w:val="21"/>
          <w:highlight w:val="none"/>
        </w:rPr>
        <w:t>年  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29C6566C">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开票信息：</w:t>
      </w:r>
    </w:p>
    <w:p w14:paraId="1060F71C">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纳税人识别号：</w:t>
      </w:r>
    </w:p>
    <w:p w14:paraId="464F0E3C">
      <w:pPr>
        <w:pStyle w:val="41"/>
        <w:snapToGrid w:val="0"/>
        <w:spacing w:before="156" w:beforeLines="50" w:beforeAutospacing="0" w:after="0" w:afterAutospacing="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开户银行及账号：</w:t>
      </w:r>
    </w:p>
    <w:p w14:paraId="4A608A3E">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电话：</w:t>
      </w:r>
    </w:p>
    <w:p w14:paraId="09BFE8F0">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w:t>
      </w:r>
    </w:p>
    <w:p w14:paraId="4437AC87">
      <w:pPr>
        <w:pStyle w:val="41"/>
        <w:snapToGrid w:val="0"/>
        <w:spacing w:before="156" w:beforeLines="50" w:beforeAutospacing="0" w:after="0" w:afterAutospacing="0" w:line="420" w:lineRule="exact"/>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受聘执业机构（乙方）：     </w:t>
      </w:r>
    </w:p>
    <w:p w14:paraId="0EEC2B0E">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代表（盖章）：</w:t>
      </w:r>
    </w:p>
    <w:p w14:paraId="4042EB6C">
      <w:pPr>
        <w:pStyle w:val="41"/>
        <w:snapToGrid w:val="0"/>
        <w:spacing w:before="156" w:beforeLines="50" w:beforeAutospacing="0" w:after="0" w:afterAutospacing="0" w:line="42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日期：202</w:t>
      </w:r>
      <w:r>
        <w:rPr>
          <w:rFonts w:ascii="宋体" w:hAnsi="宋体" w:eastAsia="宋体"/>
          <w:color w:val="auto"/>
          <w:sz w:val="21"/>
          <w:szCs w:val="21"/>
          <w:highlight w:val="none"/>
        </w:rPr>
        <w:t>4</w:t>
      </w:r>
      <w:r>
        <w:rPr>
          <w:rFonts w:hint="eastAsia" w:ascii="宋体" w:hAnsi="宋体" w:eastAsia="宋体"/>
          <w:color w:val="auto"/>
          <w:sz w:val="21"/>
          <w:szCs w:val="21"/>
          <w:highlight w:val="none"/>
        </w:rPr>
        <w:t>年  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154C1CAB">
      <w:pPr>
        <w:pStyle w:val="41"/>
        <w:snapToGrid w:val="0"/>
        <w:spacing w:before="156" w:beforeLines="50" w:beforeAutospacing="0" w:after="0" w:afterAutospacing="0" w:line="420" w:lineRule="exact"/>
        <w:rPr>
          <w:rStyle w:val="48"/>
          <w:rFonts w:hint="eastAsia" w:ascii="宋体" w:hAnsi="宋体" w:eastAsia="宋体"/>
          <w:color w:val="auto"/>
          <w:sz w:val="21"/>
          <w:szCs w:val="21"/>
          <w:highlight w:val="none"/>
        </w:rPr>
      </w:pPr>
      <w:r>
        <w:rPr>
          <w:rStyle w:val="48"/>
          <w:rFonts w:hint="eastAsia" w:ascii="宋体" w:hAnsi="宋体" w:eastAsia="宋体"/>
          <w:color w:val="auto"/>
          <w:sz w:val="21"/>
          <w:szCs w:val="21"/>
          <w:highlight w:val="none"/>
        </w:rPr>
        <w:t>收款账户信息：</w:t>
      </w:r>
    </w:p>
    <w:p w14:paraId="742F04CE">
      <w:pPr>
        <w:pStyle w:val="41"/>
        <w:snapToGrid w:val="0"/>
        <w:spacing w:before="156" w:beforeLines="50" w:beforeAutospacing="0" w:after="0" w:afterAutospacing="0" w:line="420" w:lineRule="exact"/>
        <w:rPr>
          <w:rStyle w:val="48"/>
          <w:rFonts w:hint="eastAsia" w:ascii="宋体" w:hAnsi="宋体" w:eastAsia="宋体"/>
          <w:b w:val="0"/>
          <w:bCs w:val="0"/>
          <w:color w:val="auto"/>
          <w:sz w:val="21"/>
          <w:szCs w:val="21"/>
          <w:highlight w:val="none"/>
        </w:rPr>
      </w:pPr>
      <w:r>
        <w:rPr>
          <w:rStyle w:val="48"/>
          <w:rFonts w:hint="eastAsia" w:ascii="宋体" w:hAnsi="宋体" w:eastAsia="宋体"/>
          <w:b w:val="0"/>
          <w:bCs w:val="0"/>
          <w:color w:val="auto"/>
          <w:sz w:val="21"/>
          <w:szCs w:val="21"/>
          <w:highlight w:val="none"/>
        </w:rPr>
        <w:t xml:space="preserve">开户银行： </w:t>
      </w:r>
    </w:p>
    <w:p w14:paraId="55778406">
      <w:pPr>
        <w:pStyle w:val="41"/>
        <w:snapToGrid w:val="0"/>
        <w:spacing w:before="156" w:beforeLines="50" w:beforeAutospacing="0" w:after="0" w:afterAutospacing="0" w:line="420" w:lineRule="exact"/>
        <w:rPr>
          <w:rStyle w:val="48"/>
          <w:rFonts w:hint="eastAsia" w:ascii="宋体" w:hAnsi="宋体" w:eastAsia="宋体"/>
          <w:b w:val="0"/>
          <w:bCs w:val="0"/>
          <w:color w:val="auto"/>
          <w:sz w:val="21"/>
          <w:szCs w:val="21"/>
          <w:highlight w:val="none"/>
        </w:rPr>
      </w:pPr>
      <w:r>
        <w:rPr>
          <w:rStyle w:val="48"/>
          <w:rFonts w:hint="eastAsia" w:ascii="宋体" w:hAnsi="宋体" w:eastAsia="宋体"/>
          <w:b w:val="0"/>
          <w:bCs w:val="0"/>
          <w:color w:val="auto"/>
          <w:sz w:val="21"/>
          <w:szCs w:val="21"/>
          <w:highlight w:val="none"/>
        </w:rPr>
        <w:t xml:space="preserve">银行账号： </w:t>
      </w:r>
    </w:p>
    <w:p w14:paraId="7B9C0442">
      <w:pPr>
        <w:spacing w:before="156" w:beforeLines="50" w:line="420" w:lineRule="exac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电话</w:t>
      </w:r>
    </w:p>
    <w:p w14:paraId="00BCF748">
      <w:pPr>
        <w:pStyle w:val="41"/>
        <w:snapToGrid w:val="0"/>
        <w:spacing w:before="156" w:beforeLines="50" w:line="360" w:lineRule="auto"/>
        <w:rPr>
          <w:color w:val="auto"/>
          <w:sz w:val="21"/>
          <w:szCs w:val="21"/>
          <w:highlight w:val="none"/>
        </w:rPr>
      </w:pPr>
      <w:r>
        <w:rPr>
          <w:rFonts w:hint="eastAsia" w:ascii="宋体" w:hAnsi="宋体" w:eastAsia="宋体"/>
          <w:color w:val="auto"/>
          <w:sz w:val="21"/>
          <w:szCs w:val="21"/>
          <w:highlight w:val="none"/>
        </w:rPr>
        <w:t>地址:</w:t>
      </w:r>
      <w:r>
        <w:rPr>
          <w:rFonts w:hint="eastAsia" w:ascii="宋体" w:hAnsi="宋体" w:eastAsia="宋体"/>
          <w:color w:val="auto"/>
          <w:sz w:val="21"/>
          <w:szCs w:val="21"/>
          <w:highlight w:val="none"/>
          <w:lang w:val="en-US" w:eastAsia="zh-CN"/>
        </w:rPr>
        <w:t xml:space="preserve"> </w:t>
      </w:r>
    </w:p>
    <w:p w14:paraId="037762BE">
      <w:pPr>
        <w:spacing w:line="420" w:lineRule="exact"/>
        <w:ind w:firstLine="480" w:firstLineChars="200"/>
        <w:rPr>
          <w:rFonts w:hint="eastAsia" w:ascii="宋体" w:hAnsi="宋体"/>
          <w:sz w:val="24"/>
          <w:highlight w:val="none"/>
        </w:rPr>
      </w:pPr>
    </w:p>
    <w:p w14:paraId="2E1E11F1">
      <w:pPr>
        <w:spacing w:line="360" w:lineRule="auto"/>
        <w:jc w:val="center"/>
        <w:rPr>
          <w:rFonts w:hint="eastAsia" w:cs="宋体"/>
          <w:b/>
          <w:bCs/>
          <w:kern w:val="0"/>
          <w:sz w:val="30"/>
          <w:szCs w:val="30"/>
          <w:highlight w:val="none"/>
        </w:rPr>
      </w:pPr>
      <w:bookmarkStart w:id="46" w:name="_Toc6877"/>
      <w:bookmarkStart w:id="47" w:name="_Toc129714676"/>
      <w:bookmarkStart w:id="48" w:name="_Toc30927"/>
      <w:bookmarkStart w:id="49" w:name="_Toc5943"/>
      <w:bookmarkStart w:id="50" w:name="_Toc22655"/>
      <w:r>
        <w:rPr>
          <w:b/>
          <w:kern w:val="0"/>
          <w:sz w:val="36"/>
          <w:szCs w:val="20"/>
          <w:highlight w:val="none"/>
        </w:rPr>
        <w:br w:type="page"/>
      </w:r>
      <w:r>
        <w:rPr>
          <w:rFonts w:hint="eastAsia"/>
          <w:b/>
          <w:kern w:val="0"/>
          <w:sz w:val="36"/>
          <w:szCs w:val="20"/>
          <w:highlight w:val="none"/>
        </w:rPr>
        <w:t>第五章  评标办法</w:t>
      </w:r>
      <w:bookmarkEnd w:id="46"/>
      <w:bookmarkEnd w:id="47"/>
      <w:bookmarkEnd w:id="48"/>
    </w:p>
    <w:p w14:paraId="5F969E78">
      <w:pPr>
        <w:tabs>
          <w:tab w:val="left" w:pos="8820"/>
        </w:tabs>
        <w:spacing w:line="360" w:lineRule="auto"/>
        <w:ind w:firstLine="480" w:firstLineChars="200"/>
        <w:rPr>
          <w:rFonts w:hint="eastAsia" w:cs="宋体"/>
          <w:sz w:val="24"/>
          <w:highlight w:val="none"/>
        </w:rPr>
      </w:pPr>
      <w:r>
        <w:rPr>
          <w:rFonts w:hint="eastAsia" w:cs="宋体"/>
          <w:sz w:val="24"/>
          <w:highlight w:val="none"/>
        </w:rPr>
        <w:t>为规范本次采购的评标工作，根据《中华人民共和国招标投标法》、《中华人民共和国招标投标法实施条例》等国家、地方政府有关招标采购的法律、法规、规章和规定，制定本办法。</w:t>
      </w:r>
    </w:p>
    <w:p w14:paraId="0DD50374">
      <w:pPr>
        <w:pStyle w:val="3"/>
        <w:spacing w:before="120" w:beforeLines="50" w:after="120"/>
        <w:ind w:firstLine="482"/>
        <w:jc w:val="left"/>
        <w:rPr>
          <w:rFonts w:hint="eastAsia" w:ascii="Times New Roman" w:hAnsi="Times New Roman" w:cs="宋体"/>
          <w:bCs/>
          <w:sz w:val="24"/>
          <w:szCs w:val="24"/>
          <w:highlight w:val="none"/>
        </w:rPr>
      </w:pPr>
      <w:r>
        <w:rPr>
          <w:rFonts w:hint="eastAsia" w:ascii="Times New Roman" w:hAnsi="Times New Roman" w:cs="宋体"/>
          <w:bCs/>
          <w:sz w:val="24"/>
          <w:szCs w:val="24"/>
          <w:highlight w:val="none"/>
        </w:rPr>
        <w:t>1.评标总则</w:t>
      </w:r>
    </w:p>
    <w:p w14:paraId="0ADE73DD">
      <w:pPr>
        <w:tabs>
          <w:tab w:val="left" w:pos="8820"/>
        </w:tabs>
        <w:spacing w:line="360" w:lineRule="auto"/>
        <w:ind w:firstLine="480"/>
        <w:rPr>
          <w:rFonts w:hint="eastAsia" w:cs="宋体"/>
          <w:sz w:val="24"/>
          <w:highlight w:val="none"/>
        </w:rPr>
      </w:pPr>
      <w:r>
        <w:rPr>
          <w:rFonts w:hint="eastAsia" w:cs="宋体"/>
          <w:sz w:val="24"/>
          <w:highlight w:val="none"/>
        </w:rPr>
        <w:t>评标应遵循公平、公正、科学、择优的原则。</w:t>
      </w:r>
    </w:p>
    <w:p w14:paraId="59DF7582">
      <w:pPr>
        <w:pStyle w:val="3"/>
        <w:spacing w:before="120" w:beforeLines="50" w:after="120"/>
        <w:ind w:firstLine="482"/>
        <w:jc w:val="left"/>
        <w:rPr>
          <w:rFonts w:hint="eastAsia" w:ascii="Times New Roman" w:hAnsi="Times New Roman" w:cs="宋体"/>
          <w:bCs/>
          <w:sz w:val="24"/>
          <w:szCs w:val="24"/>
          <w:highlight w:val="none"/>
        </w:rPr>
      </w:pPr>
      <w:r>
        <w:rPr>
          <w:rFonts w:hint="eastAsia" w:ascii="Times New Roman" w:hAnsi="Times New Roman" w:cs="宋体"/>
          <w:bCs/>
          <w:sz w:val="24"/>
          <w:szCs w:val="24"/>
          <w:highlight w:val="none"/>
        </w:rPr>
        <w:t>2.评标组织</w:t>
      </w:r>
    </w:p>
    <w:p w14:paraId="419C0F78">
      <w:pPr>
        <w:tabs>
          <w:tab w:val="left" w:pos="8820"/>
        </w:tabs>
        <w:spacing w:line="360" w:lineRule="auto"/>
        <w:ind w:firstLine="480"/>
        <w:rPr>
          <w:rFonts w:hint="eastAsia" w:cs="宋体"/>
          <w:sz w:val="24"/>
          <w:highlight w:val="none"/>
        </w:rPr>
      </w:pPr>
      <w:r>
        <w:rPr>
          <w:rFonts w:hint="eastAsia" w:cs="宋体"/>
          <w:sz w:val="24"/>
          <w:highlight w:val="none"/>
        </w:rPr>
        <w:t>评标工作由采购单位依法组建，人数为3人以上单数, 其中采购单位代表不超过三分之一，与供应商有利益或隶属关系的专家不能担任评委。评标委员会对响应文件作出的评审结论，应当符合有关法律、法规、规章和采购文件的规定。</w:t>
      </w:r>
    </w:p>
    <w:p w14:paraId="32CDAB2A">
      <w:pPr>
        <w:pStyle w:val="3"/>
        <w:spacing w:before="120" w:beforeLines="50" w:after="120"/>
        <w:ind w:firstLine="482"/>
        <w:jc w:val="left"/>
        <w:rPr>
          <w:rFonts w:hint="eastAsia" w:ascii="Times New Roman" w:hAnsi="Times New Roman" w:cs="宋体"/>
          <w:bCs/>
          <w:sz w:val="24"/>
          <w:szCs w:val="24"/>
          <w:highlight w:val="none"/>
        </w:rPr>
      </w:pPr>
      <w:r>
        <w:rPr>
          <w:rFonts w:hint="eastAsia" w:ascii="Times New Roman" w:hAnsi="Times New Roman" w:cs="宋体"/>
          <w:bCs/>
          <w:sz w:val="24"/>
          <w:szCs w:val="24"/>
          <w:highlight w:val="none"/>
        </w:rPr>
        <w:t>3.评标纪律</w:t>
      </w:r>
    </w:p>
    <w:p w14:paraId="39FD4726">
      <w:pPr>
        <w:tabs>
          <w:tab w:val="left" w:pos="8820"/>
        </w:tabs>
        <w:spacing w:line="360" w:lineRule="auto"/>
        <w:ind w:firstLine="480"/>
        <w:rPr>
          <w:rFonts w:hint="eastAsia" w:cs="宋体"/>
          <w:sz w:val="24"/>
          <w:highlight w:val="none"/>
        </w:rPr>
      </w:pPr>
      <w:r>
        <w:rPr>
          <w:rFonts w:hint="eastAsia" w:cs="宋体"/>
          <w:sz w:val="24"/>
          <w:highlight w:val="none"/>
        </w:rPr>
        <w:t>3.1  评标活动遵循公平、公正、科学和择优的原则。</w:t>
      </w:r>
    </w:p>
    <w:p w14:paraId="5E869E64">
      <w:pPr>
        <w:tabs>
          <w:tab w:val="left" w:pos="8820"/>
        </w:tabs>
        <w:spacing w:line="360" w:lineRule="auto"/>
        <w:ind w:firstLine="480"/>
        <w:rPr>
          <w:rFonts w:hint="eastAsia" w:cs="宋体"/>
          <w:sz w:val="24"/>
          <w:highlight w:val="none"/>
        </w:rPr>
      </w:pPr>
      <w:r>
        <w:rPr>
          <w:rFonts w:hint="eastAsia" w:cs="宋体"/>
          <w:sz w:val="24"/>
          <w:highlight w:val="none"/>
        </w:rPr>
        <w:t>3.2  评标委员会及其成员的权利、义务和评标纪律：</w:t>
      </w:r>
    </w:p>
    <w:p w14:paraId="6A324B22">
      <w:pPr>
        <w:tabs>
          <w:tab w:val="left" w:pos="8820"/>
        </w:tabs>
        <w:spacing w:line="360" w:lineRule="auto"/>
        <w:ind w:firstLine="480"/>
        <w:rPr>
          <w:rFonts w:hint="eastAsia" w:cs="宋体"/>
          <w:sz w:val="24"/>
          <w:highlight w:val="none"/>
        </w:rPr>
      </w:pPr>
      <w:r>
        <w:rPr>
          <w:rFonts w:hint="eastAsia" w:cs="宋体"/>
          <w:sz w:val="24"/>
          <w:highlight w:val="none"/>
        </w:rPr>
        <w:t>3.2.1 评标委员会成员享有依据采购文件规定的评标办法和标准对响应文件进行评审、充分发表自己的评审意见或保留自己的评审意见的权利，但采购文件没有规定的评标办法和标准，不得作为评标依据。</w:t>
      </w:r>
    </w:p>
    <w:p w14:paraId="6663CF41">
      <w:pPr>
        <w:tabs>
          <w:tab w:val="left" w:pos="8820"/>
        </w:tabs>
        <w:spacing w:line="360" w:lineRule="auto"/>
        <w:ind w:firstLine="480"/>
        <w:rPr>
          <w:rFonts w:hint="eastAsia" w:cs="宋体"/>
          <w:sz w:val="24"/>
          <w:highlight w:val="none"/>
        </w:rPr>
      </w:pPr>
      <w:r>
        <w:rPr>
          <w:rFonts w:hint="eastAsia" w:cs="宋体"/>
          <w:sz w:val="24"/>
          <w:highlight w:val="none"/>
        </w:rPr>
        <w:t>3.2.2 评标委员会主任与评标委员会其他成员享有同等的表决权。</w:t>
      </w:r>
    </w:p>
    <w:p w14:paraId="55869A37">
      <w:pPr>
        <w:tabs>
          <w:tab w:val="left" w:pos="8820"/>
        </w:tabs>
        <w:spacing w:line="360" w:lineRule="auto"/>
        <w:ind w:firstLine="480"/>
        <w:rPr>
          <w:rFonts w:hint="eastAsia" w:cs="宋体"/>
          <w:sz w:val="24"/>
          <w:highlight w:val="none"/>
        </w:rPr>
      </w:pPr>
      <w:r>
        <w:rPr>
          <w:rFonts w:hint="eastAsia" w:cs="宋体"/>
          <w:sz w:val="24"/>
          <w:highlight w:val="none"/>
        </w:rPr>
        <w:t>3.2.3 评标委员会成员应在评标前认真审阅采购文件。</w:t>
      </w:r>
    </w:p>
    <w:p w14:paraId="13FE951E">
      <w:pPr>
        <w:tabs>
          <w:tab w:val="left" w:pos="8820"/>
        </w:tabs>
        <w:spacing w:line="360" w:lineRule="auto"/>
        <w:ind w:firstLine="480"/>
        <w:rPr>
          <w:rFonts w:hint="eastAsia" w:cs="宋体"/>
          <w:sz w:val="24"/>
          <w:highlight w:val="none"/>
        </w:rPr>
      </w:pPr>
      <w:r>
        <w:rPr>
          <w:rFonts w:hint="eastAsia" w:cs="宋体"/>
          <w:sz w:val="24"/>
          <w:highlight w:val="none"/>
        </w:rPr>
        <w:t>3.2.4 评标委员会对同一采购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作出书面说明并存档。</w:t>
      </w:r>
    </w:p>
    <w:p w14:paraId="29F3B8F1">
      <w:pPr>
        <w:tabs>
          <w:tab w:val="left" w:pos="8820"/>
        </w:tabs>
        <w:spacing w:line="360" w:lineRule="auto"/>
        <w:ind w:firstLine="480"/>
        <w:rPr>
          <w:rFonts w:hint="eastAsia" w:cs="宋体"/>
          <w:sz w:val="24"/>
          <w:highlight w:val="none"/>
        </w:rPr>
      </w:pPr>
      <w:r>
        <w:rPr>
          <w:rFonts w:hint="eastAsia" w:cs="宋体"/>
          <w:sz w:val="24"/>
          <w:highlight w:val="none"/>
        </w:rPr>
        <w:t>3.2.5 评标委员会成员应当客观公正地履行职责，遵守职业道德，并对所提出的评审意见承担个人责任。</w:t>
      </w:r>
    </w:p>
    <w:p w14:paraId="00E52D47">
      <w:pPr>
        <w:tabs>
          <w:tab w:val="left" w:pos="8820"/>
        </w:tabs>
        <w:spacing w:line="360" w:lineRule="auto"/>
        <w:ind w:firstLine="480"/>
        <w:rPr>
          <w:rFonts w:hint="eastAsia" w:cs="宋体"/>
          <w:sz w:val="24"/>
          <w:highlight w:val="none"/>
        </w:rPr>
      </w:pPr>
      <w:r>
        <w:rPr>
          <w:rFonts w:hint="eastAsia" w:cs="宋体"/>
          <w:sz w:val="24"/>
          <w:highlight w:val="none"/>
        </w:rPr>
        <w:t xml:space="preserve">3.2.6 评标委员会成员不得与任何供应商或者与采购结果有利害关系的人进行私下接触，不得收受供应商、中介人、其他利害关系人的财物或者其他好处。  </w:t>
      </w:r>
    </w:p>
    <w:p w14:paraId="35C4EEBA">
      <w:pPr>
        <w:tabs>
          <w:tab w:val="left" w:pos="8820"/>
        </w:tabs>
        <w:spacing w:line="360" w:lineRule="auto"/>
        <w:ind w:firstLine="480"/>
        <w:rPr>
          <w:rFonts w:hint="eastAsia" w:cs="宋体"/>
          <w:sz w:val="24"/>
          <w:highlight w:val="none"/>
        </w:rPr>
      </w:pPr>
      <w:r>
        <w:rPr>
          <w:rFonts w:hint="eastAsia" w:cs="宋体"/>
          <w:sz w:val="24"/>
          <w:highlight w:val="none"/>
        </w:rPr>
        <w:t>3.2.7 评标委员会成员以及与评标活动有关的工作人员不得对外透露评标委员会对响应文件的评审和比较情况、中标候选人的推荐情况以及与评标有关的其他情况。</w:t>
      </w:r>
    </w:p>
    <w:p w14:paraId="1F986DDA">
      <w:pPr>
        <w:tabs>
          <w:tab w:val="left" w:pos="8820"/>
        </w:tabs>
        <w:spacing w:line="360" w:lineRule="auto"/>
        <w:ind w:firstLine="480"/>
        <w:rPr>
          <w:rFonts w:hint="eastAsia" w:cs="宋体"/>
          <w:sz w:val="24"/>
          <w:highlight w:val="none"/>
        </w:rPr>
      </w:pPr>
      <w:r>
        <w:rPr>
          <w:rFonts w:hint="eastAsia" w:cs="宋体"/>
          <w:sz w:val="24"/>
          <w:highlight w:val="none"/>
        </w:rPr>
        <w:t>3.2.8 评标委员会成员在评标过程中不得擅离职守影响评标程序正常进行，评审活动未结束，无正当理由不得中途退出评标委员会。</w:t>
      </w:r>
    </w:p>
    <w:p w14:paraId="0D9BDF00">
      <w:pPr>
        <w:tabs>
          <w:tab w:val="left" w:pos="8820"/>
        </w:tabs>
        <w:spacing w:line="360" w:lineRule="auto"/>
        <w:ind w:firstLine="480"/>
        <w:rPr>
          <w:rFonts w:hint="eastAsia" w:cs="宋体"/>
          <w:sz w:val="24"/>
          <w:highlight w:val="none"/>
        </w:rPr>
      </w:pPr>
      <w:r>
        <w:rPr>
          <w:rFonts w:hint="eastAsia" w:cs="宋体"/>
          <w:sz w:val="24"/>
          <w:highlight w:val="none"/>
        </w:rPr>
        <w:t>3.2.9 评标委员会及其成员还享有并应遵守有关法律、法规、规章等政策法规文件规定的权力、义务和评标纪律。</w:t>
      </w:r>
    </w:p>
    <w:p w14:paraId="296EF0B0">
      <w:pPr>
        <w:tabs>
          <w:tab w:val="left" w:pos="8820"/>
        </w:tabs>
        <w:spacing w:line="360" w:lineRule="auto"/>
        <w:ind w:firstLine="480"/>
        <w:rPr>
          <w:rFonts w:hint="eastAsia" w:cs="宋体"/>
          <w:sz w:val="24"/>
          <w:highlight w:val="none"/>
        </w:rPr>
      </w:pPr>
      <w:r>
        <w:rPr>
          <w:rFonts w:hint="eastAsia" w:cs="宋体"/>
          <w:sz w:val="24"/>
          <w:highlight w:val="none"/>
        </w:rPr>
        <w:t>3.2.10 评标委员会成员有违反以上行为的，将由违反者承担道德、纪律或法律责任。</w:t>
      </w:r>
    </w:p>
    <w:p w14:paraId="3B459EB8">
      <w:pPr>
        <w:pStyle w:val="3"/>
        <w:spacing w:before="120" w:beforeLines="50" w:after="120"/>
        <w:ind w:firstLine="482"/>
        <w:jc w:val="left"/>
        <w:rPr>
          <w:rFonts w:hint="eastAsia" w:ascii="Times New Roman" w:hAnsi="Times New Roman" w:cs="宋体"/>
          <w:bCs/>
          <w:sz w:val="24"/>
          <w:szCs w:val="24"/>
          <w:highlight w:val="none"/>
        </w:rPr>
      </w:pPr>
      <w:r>
        <w:rPr>
          <w:rFonts w:hint="eastAsia" w:ascii="Times New Roman" w:hAnsi="Times New Roman" w:cs="宋体"/>
          <w:bCs/>
          <w:sz w:val="24"/>
          <w:szCs w:val="24"/>
          <w:highlight w:val="none"/>
        </w:rPr>
        <w:t>4.评标程序和内容</w:t>
      </w:r>
    </w:p>
    <w:p w14:paraId="15EA8190">
      <w:pPr>
        <w:tabs>
          <w:tab w:val="left" w:pos="8820"/>
        </w:tabs>
        <w:spacing w:line="360" w:lineRule="auto"/>
        <w:ind w:firstLine="480"/>
        <w:rPr>
          <w:rFonts w:hint="eastAsia" w:cs="宋体"/>
          <w:sz w:val="24"/>
          <w:highlight w:val="none"/>
        </w:rPr>
      </w:pPr>
      <w:r>
        <w:rPr>
          <w:rFonts w:hint="eastAsia" w:cs="宋体"/>
          <w:sz w:val="24"/>
          <w:highlight w:val="none"/>
        </w:rPr>
        <w:t>4.1 评标前准备工作</w:t>
      </w:r>
    </w:p>
    <w:p w14:paraId="2E87514E">
      <w:pPr>
        <w:tabs>
          <w:tab w:val="left" w:pos="8820"/>
        </w:tabs>
        <w:spacing w:line="360" w:lineRule="auto"/>
        <w:ind w:firstLine="480"/>
        <w:rPr>
          <w:rFonts w:hint="eastAsia" w:cs="宋体"/>
          <w:sz w:val="24"/>
          <w:highlight w:val="none"/>
        </w:rPr>
      </w:pPr>
      <w:r>
        <w:rPr>
          <w:rFonts w:hint="eastAsia" w:cs="宋体"/>
          <w:sz w:val="24"/>
          <w:highlight w:val="none"/>
        </w:rPr>
        <w:t>4.1.1 评标委员会成员在评标前至少应了解和熟悉本采购项目的目的.性质.范围和主要的技术要求.标准和商务条款，以及评标定标程序.标准.方法等内容，以及了解作为评标委员会成员的权利.义务和评标纪律。</w:t>
      </w:r>
    </w:p>
    <w:p w14:paraId="036FEEE4">
      <w:pPr>
        <w:tabs>
          <w:tab w:val="left" w:pos="8820"/>
        </w:tabs>
        <w:spacing w:line="360" w:lineRule="auto"/>
        <w:ind w:firstLine="480"/>
        <w:rPr>
          <w:rFonts w:hint="eastAsia" w:cs="宋体"/>
          <w:sz w:val="24"/>
          <w:highlight w:val="none"/>
        </w:rPr>
      </w:pPr>
      <w:r>
        <w:rPr>
          <w:rFonts w:hint="eastAsia" w:cs="宋体"/>
          <w:sz w:val="24"/>
          <w:highlight w:val="none"/>
        </w:rPr>
        <w:t>4.1.2 采购单位应当负责评标会的事务性工作，向评标委员会提供评标所需要的重要信息.数据以及辅助工作人员.设备等，必要时将由采购单位代表介绍采购项目的基本情况。</w:t>
      </w:r>
    </w:p>
    <w:p w14:paraId="39DA05E9">
      <w:pPr>
        <w:tabs>
          <w:tab w:val="left" w:pos="8820"/>
        </w:tabs>
        <w:spacing w:line="360" w:lineRule="auto"/>
        <w:ind w:firstLine="480"/>
        <w:rPr>
          <w:rFonts w:hint="eastAsia" w:cs="宋体"/>
          <w:sz w:val="24"/>
          <w:highlight w:val="none"/>
        </w:rPr>
      </w:pPr>
      <w:r>
        <w:rPr>
          <w:rFonts w:hint="eastAsia" w:cs="宋体"/>
          <w:sz w:val="24"/>
          <w:highlight w:val="none"/>
        </w:rPr>
        <w:t>4.2 初步评审</w:t>
      </w:r>
    </w:p>
    <w:p w14:paraId="53B94DF5">
      <w:pPr>
        <w:tabs>
          <w:tab w:val="left" w:pos="8820"/>
        </w:tabs>
        <w:spacing w:line="360" w:lineRule="auto"/>
        <w:ind w:firstLine="480"/>
        <w:rPr>
          <w:rFonts w:hint="eastAsia" w:cs="宋体"/>
          <w:sz w:val="24"/>
          <w:highlight w:val="none"/>
        </w:rPr>
      </w:pPr>
      <w:r>
        <w:rPr>
          <w:rFonts w:hint="eastAsia" w:cs="宋体"/>
          <w:sz w:val="24"/>
          <w:highlight w:val="none"/>
        </w:rPr>
        <w:t>4.2.1 资格审查</w:t>
      </w:r>
    </w:p>
    <w:p w14:paraId="7B3B4874">
      <w:pPr>
        <w:tabs>
          <w:tab w:val="left" w:pos="8820"/>
        </w:tabs>
        <w:spacing w:line="360" w:lineRule="auto"/>
        <w:ind w:firstLine="480"/>
        <w:rPr>
          <w:rFonts w:hint="eastAsia" w:cs="宋体"/>
          <w:sz w:val="24"/>
          <w:highlight w:val="none"/>
        </w:rPr>
      </w:pPr>
      <w:r>
        <w:rPr>
          <w:rFonts w:hint="eastAsia" w:cs="宋体"/>
          <w:sz w:val="24"/>
          <w:highlight w:val="none"/>
        </w:rPr>
        <w:t>评标委员会将按照第一章</w:t>
      </w:r>
      <w:r>
        <w:rPr>
          <w:rFonts w:ascii="宋体" w:hAnsi="宋体" w:cs="宋体"/>
          <w:bCs/>
          <w:snapToGrid w:val="0"/>
          <w:sz w:val="24"/>
          <w:highlight w:val="none"/>
        </w:rPr>
        <w:t>竞标采购邀请书</w:t>
      </w:r>
      <w:r>
        <w:rPr>
          <w:rFonts w:hint="eastAsia" w:cs="宋体"/>
          <w:sz w:val="24"/>
          <w:highlight w:val="none"/>
        </w:rPr>
        <w:t>第五条“供应商资格条件”规定对供应商进行资格审查，以确定是否为符合采购文件规定要求的合格供应商，同时，评标委员会将依据供应商提供的资格证明文件审查供应商的法人资格、营业范围、财务、技术和生产能力，以确定供应商是否有资格履行合同。经上述资格审查合格的供应商进入下一程序的评审，经上述资格审查不合格的响应文件按照</w:t>
      </w:r>
      <w:r>
        <w:rPr>
          <w:rFonts w:hint="eastAsia" w:cs="宋体"/>
          <w:sz w:val="24"/>
          <w:highlight w:val="none"/>
          <w:lang w:val="en-US" w:eastAsia="zh-CN"/>
        </w:rPr>
        <w:t>无效</w:t>
      </w:r>
      <w:r>
        <w:rPr>
          <w:rFonts w:hint="eastAsia" w:cs="宋体"/>
          <w:sz w:val="24"/>
          <w:highlight w:val="none"/>
        </w:rPr>
        <w:t>标处理。</w:t>
      </w:r>
    </w:p>
    <w:p w14:paraId="35DAEC90">
      <w:pPr>
        <w:tabs>
          <w:tab w:val="left" w:pos="8820"/>
        </w:tabs>
        <w:spacing w:line="360" w:lineRule="auto"/>
        <w:ind w:firstLine="480"/>
        <w:rPr>
          <w:rFonts w:hint="eastAsia" w:cs="宋体"/>
          <w:sz w:val="24"/>
          <w:highlight w:val="none"/>
        </w:rPr>
      </w:pPr>
      <w:r>
        <w:rPr>
          <w:rFonts w:hint="eastAsia" w:cs="宋体"/>
          <w:sz w:val="24"/>
          <w:highlight w:val="none"/>
        </w:rPr>
        <w:t>4.2.2 响应文件的符合性检查和响应性确定</w:t>
      </w:r>
    </w:p>
    <w:p w14:paraId="71C9BB5D">
      <w:pPr>
        <w:tabs>
          <w:tab w:val="left" w:pos="8820"/>
        </w:tabs>
        <w:spacing w:line="360" w:lineRule="auto"/>
        <w:ind w:firstLine="480"/>
        <w:rPr>
          <w:rFonts w:hint="eastAsia" w:cs="宋体"/>
          <w:sz w:val="24"/>
          <w:highlight w:val="none"/>
        </w:rPr>
      </w:pPr>
      <w:r>
        <w:rPr>
          <w:rFonts w:hint="eastAsia" w:cs="宋体"/>
          <w:sz w:val="24"/>
          <w:highlight w:val="none"/>
        </w:rPr>
        <w:t>4.2.2.1 在详细评标之前，评标委员会将确定每一投标是否对采购文件的要求作出了实质性响应，而没有重大偏离。实质性响应的投标是指投标符合采购文件的所有条款、条件和规定且没有重大偏离或保留。重大偏离或保留系指影响到采购文件规定的供货范围和关键的质量和性能，或限制了买方的权力，或保留、反对供应商的义务的规定，而纠正这些偏离将影响到其它提交实质性响应投标的供应商的公平竞争地位。</w:t>
      </w:r>
    </w:p>
    <w:p w14:paraId="1D1276DE">
      <w:pPr>
        <w:tabs>
          <w:tab w:val="left" w:pos="8820"/>
        </w:tabs>
        <w:spacing w:line="360" w:lineRule="auto"/>
        <w:ind w:firstLine="480"/>
        <w:rPr>
          <w:rFonts w:hint="eastAsia" w:cs="宋体"/>
          <w:sz w:val="24"/>
          <w:highlight w:val="none"/>
        </w:rPr>
      </w:pPr>
      <w:bookmarkStart w:id="51" w:name="_Toc177186441"/>
      <w:r>
        <w:rPr>
          <w:rFonts w:hint="eastAsia" w:cs="宋体"/>
          <w:sz w:val="24"/>
          <w:highlight w:val="none"/>
        </w:rPr>
        <w:t>4.2.2.2 评标委员会判断响应文件的响应性仅基于响应文件本身而不靠外部证据。评标委员会将拒绝被确定为非实质性响应的投标，供应商不能通过修正或撤销不符之处而使其投标成为实质性响应的投标。</w:t>
      </w:r>
      <w:bookmarkEnd w:id="51"/>
    </w:p>
    <w:p w14:paraId="396B9CF7">
      <w:pPr>
        <w:tabs>
          <w:tab w:val="left" w:pos="8820"/>
        </w:tabs>
        <w:spacing w:line="360" w:lineRule="auto"/>
        <w:ind w:firstLine="480"/>
        <w:rPr>
          <w:rFonts w:hint="eastAsia" w:cs="宋体"/>
          <w:sz w:val="24"/>
          <w:highlight w:val="none"/>
        </w:rPr>
      </w:pPr>
      <w:bookmarkStart w:id="52" w:name="_Toc177186442"/>
      <w:r>
        <w:rPr>
          <w:rFonts w:hint="eastAsia" w:cs="宋体"/>
          <w:sz w:val="24"/>
          <w:highlight w:val="none"/>
        </w:rPr>
        <w:t>凡有下列情况之一者，响应文件视为未实质性响应采购文件要求，按</w:t>
      </w:r>
      <w:r>
        <w:rPr>
          <w:rFonts w:hint="eastAsia" w:cs="宋体"/>
          <w:sz w:val="24"/>
          <w:highlight w:val="none"/>
          <w:lang w:eastAsia="zh-CN"/>
        </w:rPr>
        <w:t>无效标</w:t>
      </w:r>
      <w:r>
        <w:rPr>
          <w:rFonts w:hint="eastAsia" w:cs="宋体"/>
          <w:sz w:val="24"/>
          <w:highlight w:val="none"/>
        </w:rPr>
        <w:t>处理，不得进入下一步的详细评审：</w:t>
      </w:r>
      <w:bookmarkEnd w:id="52"/>
    </w:p>
    <w:p w14:paraId="76720A89">
      <w:pPr>
        <w:tabs>
          <w:tab w:val="left" w:pos="8820"/>
        </w:tabs>
        <w:spacing w:line="360" w:lineRule="auto"/>
        <w:ind w:firstLine="480"/>
        <w:rPr>
          <w:rFonts w:hint="eastAsia" w:cs="宋体"/>
          <w:sz w:val="24"/>
          <w:highlight w:val="none"/>
        </w:rPr>
      </w:pPr>
      <w:bookmarkStart w:id="53" w:name="_Toc177186452"/>
      <w:r>
        <w:rPr>
          <w:rFonts w:hint="eastAsia" w:cs="宋体"/>
          <w:sz w:val="24"/>
          <w:highlight w:val="none"/>
        </w:rPr>
        <w:t>（1）供应商未提交响应保证金或金额不足、响应保证金不符合采购文件要求的；</w:t>
      </w:r>
    </w:p>
    <w:p w14:paraId="2193DFFA">
      <w:pPr>
        <w:tabs>
          <w:tab w:val="left" w:pos="8820"/>
        </w:tabs>
        <w:spacing w:line="360" w:lineRule="auto"/>
        <w:ind w:firstLine="480"/>
        <w:rPr>
          <w:rFonts w:hint="eastAsia" w:cs="宋体"/>
          <w:sz w:val="24"/>
          <w:highlight w:val="none"/>
        </w:rPr>
      </w:pPr>
      <w:r>
        <w:rPr>
          <w:rFonts w:hint="eastAsia" w:cs="宋体"/>
          <w:sz w:val="24"/>
          <w:highlight w:val="none"/>
        </w:rPr>
        <w:t>（2）资格证明文件不全或不满足采购文件要求的；</w:t>
      </w:r>
    </w:p>
    <w:p w14:paraId="0A1A78E0">
      <w:pPr>
        <w:tabs>
          <w:tab w:val="left" w:pos="8820"/>
        </w:tabs>
        <w:spacing w:line="360" w:lineRule="auto"/>
        <w:ind w:firstLine="480"/>
        <w:rPr>
          <w:rFonts w:hint="eastAsia" w:cs="宋体"/>
          <w:sz w:val="24"/>
          <w:highlight w:val="none"/>
        </w:rPr>
      </w:pPr>
      <w:r>
        <w:rPr>
          <w:rFonts w:hint="eastAsia" w:cs="宋体"/>
          <w:sz w:val="24"/>
          <w:highlight w:val="none"/>
        </w:rPr>
        <w:t>（3）响应文件未按采购文件要求加盖公章的，或供应商代表未按采购文件要求签字（或盖章），或供应商代表无有效的委托授权书；</w:t>
      </w:r>
    </w:p>
    <w:p w14:paraId="70218382">
      <w:pPr>
        <w:tabs>
          <w:tab w:val="left" w:pos="8820"/>
        </w:tabs>
        <w:spacing w:line="360" w:lineRule="auto"/>
        <w:ind w:firstLine="480"/>
        <w:rPr>
          <w:rFonts w:hint="eastAsia" w:cs="宋体"/>
          <w:sz w:val="24"/>
          <w:highlight w:val="none"/>
        </w:rPr>
      </w:pPr>
      <w:r>
        <w:rPr>
          <w:rFonts w:hint="eastAsia" w:cs="宋体"/>
          <w:sz w:val="24"/>
          <w:highlight w:val="none"/>
        </w:rPr>
        <w:t>（4）投标有效期不足的；</w:t>
      </w:r>
    </w:p>
    <w:p w14:paraId="12ED7260">
      <w:pPr>
        <w:tabs>
          <w:tab w:val="left" w:pos="8820"/>
        </w:tabs>
        <w:spacing w:line="360" w:lineRule="auto"/>
        <w:ind w:firstLine="480"/>
        <w:rPr>
          <w:rFonts w:hint="eastAsia" w:cs="宋体"/>
          <w:sz w:val="24"/>
          <w:highlight w:val="none"/>
        </w:rPr>
      </w:pPr>
      <w:r>
        <w:rPr>
          <w:rFonts w:hint="eastAsia" w:cs="宋体"/>
          <w:sz w:val="24"/>
          <w:highlight w:val="none"/>
        </w:rPr>
        <w:t>（5）投标内容严重偏离采购文件要求的，或不满足技术要求▲条款；</w:t>
      </w:r>
    </w:p>
    <w:p w14:paraId="29BF04F8">
      <w:pPr>
        <w:tabs>
          <w:tab w:val="left" w:pos="8820"/>
        </w:tabs>
        <w:spacing w:line="360" w:lineRule="auto"/>
        <w:ind w:firstLine="480"/>
        <w:rPr>
          <w:rFonts w:hint="eastAsia" w:cs="宋体"/>
          <w:sz w:val="24"/>
          <w:highlight w:val="none"/>
        </w:rPr>
      </w:pPr>
      <w:r>
        <w:rPr>
          <w:rFonts w:hint="eastAsia" w:cs="宋体"/>
          <w:sz w:val="24"/>
          <w:highlight w:val="none"/>
        </w:rPr>
        <w:t>（6）投标报价低于成本价且供应商无法提供合理理由说明的；</w:t>
      </w:r>
    </w:p>
    <w:p w14:paraId="5BE47D2E">
      <w:pPr>
        <w:tabs>
          <w:tab w:val="left" w:pos="8820"/>
        </w:tabs>
        <w:spacing w:line="360" w:lineRule="auto"/>
        <w:ind w:firstLine="480"/>
        <w:rPr>
          <w:rFonts w:hint="eastAsia" w:cs="宋体"/>
          <w:sz w:val="24"/>
          <w:highlight w:val="none"/>
        </w:rPr>
      </w:pPr>
      <w:r>
        <w:rPr>
          <w:rFonts w:hint="eastAsia" w:cs="宋体"/>
          <w:sz w:val="24"/>
          <w:highlight w:val="none"/>
        </w:rPr>
        <w:t>（7）投标报价超出最高投标限价的；</w:t>
      </w:r>
    </w:p>
    <w:p w14:paraId="5FA630B1">
      <w:pPr>
        <w:tabs>
          <w:tab w:val="left" w:pos="8820"/>
        </w:tabs>
        <w:spacing w:line="360" w:lineRule="auto"/>
        <w:ind w:firstLine="480"/>
        <w:rPr>
          <w:rFonts w:hint="eastAsia" w:cs="宋体"/>
          <w:sz w:val="24"/>
          <w:highlight w:val="none"/>
        </w:rPr>
      </w:pPr>
      <w:r>
        <w:rPr>
          <w:rFonts w:hint="eastAsia" w:cs="宋体"/>
          <w:sz w:val="24"/>
          <w:highlight w:val="none"/>
        </w:rPr>
        <w:t>（8）不符合采购文件规定的其它实质性要求的；</w:t>
      </w:r>
    </w:p>
    <w:p w14:paraId="7D860045">
      <w:pPr>
        <w:tabs>
          <w:tab w:val="left" w:pos="8820"/>
        </w:tabs>
        <w:spacing w:line="360" w:lineRule="auto"/>
        <w:ind w:firstLine="480"/>
        <w:rPr>
          <w:rFonts w:hint="eastAsia" w:cs="宋体"/>
          <w:sz w:val="24"/>
          <w:highlight w:val="none"/>
        </w:rPr>
      </w:pPr>
      <w:r>
        <w:rPr>
          <w:rFonts w:hint="eastAsia" w:cs="宋体"/>
          <w:sz w:val="24"/>
          <w:highlight w:val="none"/>
        </w:rPr>
        <w:t>（9）与项目有关的其他评审内容；</w:t>
      </w:r>
    </w:p>
    <w:p w14:paraId="45FFA9F3">
      <w:pPr>
        <w:tabs>
          <w:tab w:val="left" w:pos="8820"/>
        </w:tabs>
        <w:spacing w:line="360" w:lineRule="auto"/>
        <w:ind w:firstLine="480"/>
        <w:rPr>
          <w:rFonts w:hint="eastAsia" w:cs="宋体"/>
          <w:sz w:val="24"/>
          <w:highlight w:val="none"/>
        </w:rPr>
      </w:pPr>
      <w:r>
        <w:rPr>
          <w:rFonts w:hint="eastAsia" w:cs="宋体"/>
          <w:sz w:val="24"/>
          <w:highlight w:val="none"/>
        </w:rPr>
        <w:t>（10）存在法律、法规、规章规定的其它无效投标情形。</w:t>
      </w:r>
    </w:p>
    <w:p w14:paraId="086A2A26">
      <w:pPr>
        <w:tabs>
          <w:tab w:val="left" w:pos="8820"/>
        </w:tabs>
        <w:spacing w:line="360" w:lineRule="auto"/>
        <w:ind w:firstLine="480"/>
        <w:rPr>
          <w:rFonts w:hint="eastAsia" w:cs="宋体"/>
          <w:sz w:val="24"/>
          <w:highlight w:val="none"/>
        </w:rPr>
      </w:pPr>
      <w:r>
        <w:rPr>
          <w:rFonts w:hint="eastAsia" w:cs="宋体"/>
          <w:sz w:val="24"/>
          <w:highlight w:val="none"/>
        </w:rPr>
        <w:t>4.2.2.3 评标委员会将允许修改投标中不构成重大偏离的微小的、非正规、不一致或不规则的地方，但这种允许不能损害或影响任何供应商的相对排序。</w:t>
      </w:r>
      <w:bookmarkEnd w:id="53"/>
    </w:p>
    <w:p w14:paraId="257617C2">
      <w:pPr>
        <w:tabs>
          <w:tab w:val="left" w:pos="8820"/>
        </w:tabs>
        <w:spacing w:line="360" w:lineRule="auto"/>
        <w:ind w:firstLine="480"/>
        <w:rPr>
          <w:rFonts w:hint="eastAsia" w:cs="宋体"/>
          <w:sz w:val="24"/>
          <w:highlight w:val="none"/>
        </w:rPr>
      </w:pPr>
      <w:r>
        <w:rPr>
          <w:rFonts w:hint="eastAsia" w:cs="宋体"/>
          <w:sz w:val="24"/>
          <w:highlight w:val="none"/>
        </w:rPr>
        <w:t>4.3  响应文件的澄清</w:t>
      </w:r>
    </w:p>
    <w:p w14:paraId="0CDF126A">
      <w:pPr>
        <w:tabs>
          <w:tab w:val="left" w:pos="8820"/>
        </w:tabs>
        <w:spacing w:line="360" w:lineRule="auto"/>
        <w:ind w:firstLine="480"/>
        <w:rPr>
          <w:rFonts w:hint="eastAsia" w:cs="宋体"/>
          <w:sz w:val="24"/>
          <w:highlight w:val="none"/>
        </w:rPr>
      </w:pPr>
      <w:r>
        <w:rPr>
          <w:rFonts w:hint="eastAsia" w:cs="宋体"/>
          <w:sz w:val="24"/>
          <w:highlight w:val="none"/>
        </w:rPr>
        <w:t>4.3.1 为了有助于响应文件的审查、评价和比较，根据需要，可以要求供应商对响应文件含义不明确的内容作必要的澄清或说明。有关澄清的要求与答复应采用书面形式，但不应寻求.提出或允许更改投标价格或响应文件的实质性内容。按照本评标细则第3.3.2款的规定对评标委员会在评标时发现的错误所进行的核实修正除外。</w:t>
      </w:r>
    </w:p>
    <w:p w14:paraId="29BA3E38">
      <w:pPr>
        <w:tabs>
          <w:tab w:val="left" w:pos="8820"/>
        </w:tabs>
        <w:spacing w:line="360" w:lineRule="auto"/>
        <w:ind w:firstLine="480"/>
        <w:rPr>
          <w:rFonts w:hint="eastAsia" w:cs="宋体"/>
          <w:sz w:val="24"/>
          <w:highlight w:val="none"/>
        </w:rPr>
      </w:pPr>
      <w:r>
        <w:rPr>
          <w:rFonts w:hint="eastAsia" w:cs="宋体"/>
          <w:sz w:val="24"/>
          <w:highlight w:val="none"/>
        </w:rPr>
        <w:t>4.3.2  响应文件的投标报价的算术性错误修正</w:t>
      </w:r>
    </w:p>
    <w:p w14:paraId="4E894875">
      <w:pPr>
        <w:tabs>
          <w:tab w:val="left" w:pos="8820"/>
        </w:tabs>
        <w:spacing w:line="360" w:lineRule="auto"/>
        <w:ind w:firstLine="480"/>
        <w:rPr>
          <w:rFonts w:hint="eastAsia" w:cs="宋体"/>
          <w:sz w:val="24"/>
          <w:highlight w:val="none"/>
        </w:rPr>
      </w:pPr>
      <w:r>
        <w:rPr>
          <w:rFonts w:hint="eastAsia" w:cs="宋体"/>
          <w:sz w:val="24"/>
          <w:highlight w:val="none"/>
        </w:rPr>
        <w:t>4.3.2.1 评标委员会将对确定为实质上响应采购文件要求的响应文件的投标报价进行算术性错误修正，算术性错误修正的原则如下：</w:t>
      </w:r>
    </w:p>
    <w:p w14:paraId="2A550768">
      <w:pPr>
        <w:tabs>
          <w:tab w:val="left" w:pos="8820"/>
        </w:tabs>
        <w:spacing w:line="360" w:lineRule="auto"/>
        <w:ind w:firstLine="480"/>
        <w:rPr>
          <w:rFonts w:hint="eastAsia" w:cs="宋体"/>
          <w:sz w:val="24"/>
          <w:highlight w:val="none"/>
        </w:rPr>
      </w:pPr>
      <w:r>
        <w:rPr>
          <w:rFonts w:hint="eastAsia" w:cs="宋体"/>
          <w:sz w:val="24"/>
          <w:highlight w:val="none"/>
        </w:rPr>
        <w:t>（1）如果响应文件的开标一览表和投标价格表的表格中出现单价与总价有出入的，则以单价为准修正总价。</w:t>
      </w:r>
    </w:p>
    <w:p w14:paraId="61CD5683">
      <w:pPr>
        <w:tabs>
          <w:tab w:val="left" w:pos="8820"/>
        </w:tabs>
        <w:spacing w:line="360" w:lineRule="auto"/>
        <w:ind w:firstLine="480"/>
        <w:rPr>
          <w:rFonts w:hint="eastAsia" w:cs="宋体"/>
          <w:sz w:val="24"/>
          <w:highlight w:val="none"/>
        </w:rPr>
      </w:pPr>
      <w:r>
        <w:rPr>
          <w:rFonts w:hint="eastAsia" w:cs="宋体"/>
          <w:sz w:val="24"/>
          <w:highlight w:val="none"/>
        </w:rPr>
        <w:t>（2） 如果开标一览表中的投标价格与投标报价表上的投标价格有出入，以开标一览表中的投标价格为准。</w:t>
      </w:r>
    </w:p>
    <w:p w14:paraId="21C248E5">
      <w:pPr>
        <w:tabs>
          <w:tab w:val="left" w:pos="8820"/>
        </w:tabs>
        <w:spacing w:line="360" w:lineRule="auto"/>
        <w:ind w:firstLine="480"/>
        <w:rPr>
          <w:rFonts w:hint="eastAsia" w:cs="宋体"/>
          <w:sz w:val="24"/>
          <w:highlight w:val="none"/>
        </w:rPr>
      </w:pPr>
      <w:r>
        <w:rPr>
          <w:rFonts w:hint="eastAsia" w:cs="宋体"/>
          <w:sz w:val="24"/>
          <w:highlight w:val="none"/>
        </w:rPr>
        <w:t>（3） 如果投标函中的投标总价与开标一览表中的投标总价有出入，以投标函中的投标总价为准。</w:t>
      </w:r>
    </w:p>
    <w:p w14:paraId="29A79BCE">
      <w:pPr>
        <w:tabs>
          <w:tab w:val="left" w:pos="8820"/>
        </w:tabs>
        <w:spacing w:line="360" w:lineRule="auto"/>
        <w:ind w:firstLine="480"/>
        <w:rPr>
          <w:rFonts w:hint="eastAsia" w:cs="宋体"/>
          <w:sz w:val="24"/>
          <w:highlight w:val="none"/>
        </w:rPr>
      </w:pPr>
      <w:r>
        <w:rPr>
          <w:rFonts w:hint="eastAsia" w:cs="宋体"/>
          <w:sz w:val="24"/>
          <w:highlight w:val="none"/>
        </w:rPr>
        <w:t>（4） 对漏（缺）报项、多报项的处理：采购文件中要求列入报价的费用（含配置功能），漏（缺）报的视同已含在投标总价中，但在评标时取有效供应商该项最高报价加入评标价进行评标。</w:t>
      </w:r>
      <w:bookmarkStart w:id="54" w:name="Text24"/>
      <w:r>
        <w:rPr>
          <w:rFonts w:hint="eastAsia" w:cs="宋体"/>
          <w:sz w:val="24"/>
          <w:highlight w:val="none"/>
        </w:rPr>
        <w:t>对多报及赠送项的价格，评标时不予核减，全部进入评标价评议。</w:t>
      </w:r>
      <w:bookmarkEnd w:id="54"/>
    </w:p>
    <w:p w14:paraId="4110BE07">
      <w:pPr>
        <w:tabs>
          <w:tab w:val="left" w:pos="8820"/>
        </w:tabs>
        <w:spacing w:line="360" w:lineRule="auto"/>
        <w:ind w:firstLine="480"/>
        <w:rPr>
          <w:rFonts w:hint="eastAsia" w:cs="宋体"/>
          <w:sz w:val="24"/>
          <w:highlight w:val="none"/>
        </w:rPr>
      </w:pPr>
      <w:r>
        <w:rPr>
          <w:rFonts w:hint="eastAsia" w:cs="宋体"/>
          <w:sz w:val="24"/>
          <w:highlight w:val="none"/>
        </w:rPr>
        <w:t>4.3.2.2  按上述4.3.2.1款算术性错误修正的原则及方法调整响应文件的投标报价，经供应商同意后，调整后的报价对供应商起约束作用。如果供应商不接受改正后的投标报价则其投标将被拒绝，其响应保证金将不予退还，并不影响评标工作。</w:t>
      </w:r>
    </w:p>
    <w:p w14:paraId="486A3D58">
      <w:pPr>
        <w:tabs>
          <w:tab w:val="left" w:pos="8820"/>
        </w:tabs>
        <w:spacing w:line="360" w:lineRule="auto"/>
        <w:ind w:firstLine="480"/>
        <w:rPr>
          <w:rFonts w:hint="eastAsia" w:cs="宋体"/>
          <w:sz w:val="24"/>
          <w:highlight w:val="none"/>
        </w:rPr>
      </w:pPr>
      <w:r>
        <w:rPr>
          <w:rFonts w:hint="eastAsia" w:cs="宋体"/>
          <w:sz w:val="24"/>
          <w:highlight w:val="none"/>
        </w:rPr>
        <w:t>4.4  详细评审</w:t>
      </w:r>
    </w:p>
    <w:p w14:paraId="074E353A">
      <w:pPr>
        <w:tabs>
          <w:tab w:val="left" w:pos="8820"/>
        </w:tabs>
        <w:spacing w:line="360" w:lineRule="auto"/>
        <w:ind w:firstLine="480"/>
        <w:rPr>
          <w:rFonts w:hint="eastAsia" w:cs="宋体"/>
          <w:sz w:val="24"/>
          <w:highlight w:val="none"/>
        </w:rPr>
      </w:pPr>
      <w:r>
        <w:rPr>
          <w:rFonts w:hint="eastAsia" w:cs="宋体"/>
          <w:sz w:val="24"/>
          <w:highlight w:val="none"/>
        </w:rPr>
        <w:t>4.4.1 评标委员会将仅对通过初步评审和响应文件，进行详细评审。</w:t>
      </w:r>
    </w:p>
    <w:p w14:paraId="473217FE">
      <w:pPr>
        <w:tabs>
          <w:tab w:val="left" w:pos="8820"/>
        </w:tabs>
        <w:spacing w:line="360" w:lineRule="auto"/>
        <w:ind w:firstLine="480"/>
        <w:rPr>
          <w:rFonts w:hint="eastAsia" w:cs="宋体"/>
          <w:sz w:val="24"/>
          <w:highlight w:val="none"/>
        </w:rPr>
      </w:pPr>
      <w:r>
        <w:rPr>
          <w:rFonts w:hint="eastAsia" w:cs="宋体"/>
          <w:sz w:val="24"/>
          <w:highlight w:val="none"/>
        </w:rPr>
        <w:t>4.4.2 评委会将根据以下评标办法和标准，对响应文件进行评审和比较：</w:t>
      </w:r>
    </w:p>
    <w:p w14:paraId="3FA14722">
      <w:pPr>
        <w:tabs>
          <w:tab w:val="left" w:pos="8820"/>
        </w:tabs>
        <w:spacing w:line="360" w:lineRule="auto"/>
        <w:ind w:firstLine="480"/>
        <w:rPr>
          <w:rFonts w:hint="eastAsia" w:cs="宋体"/>
          <w:sz w:val="24"/>
          <w:highlight w:val="none"/>
        </w:rPr>
      </w:pPr>
      <w:r>
        <w:rPr>
          <w:rFonts w:hint="eastAsia" w:cs="宋体"/>
          <w:sz w:val="24"/>
          <w:highlight w:val="none"/>
        </w:rPr>
        <w:t>（1）评标采用综合评分法，评标委员会将对通过资格及实质响应性审查的各合格供应商，按评标细则的规定和要求进行评审。计算出各合格供应商的综合得分，综合得分从高到低依次排序，排在前1名者为中标候选人。若有相同得分，则其中投标总价低的供应商将被排序在前。</w:t>
      </w:r>
    </w:p>
    <w:p w14:paraId="116FA357">
      <w:pPr>
        <w:tabs>
          <w:tab w:val="left" w:pos="8820"/>
        </w:tabs>
        <w:spacing w:line="360" w:lineRule="auto"/>
        <w:ind w:firstLine="480"/>
        <w:rPr>
          <w:rFonts w:hint="eastAsia" w:cs="宋体"/>
          <w:sz w:val="24"/>
          <w:highlight w:val="none"/>
        </w:rPr>
      </w:pPr>
      <w:r>
        <w:rPr>
          <w:rFonts w:hint="eastAsia" w:cs="宋体"/>
          <w:sz w:val="24"/>
          <w:highlight w:val="none"/>
        </w:rPr>
        <w:t>（2）各部分评分分值分布如下：总分100分</w:t>
      </w:r>
    </w:p>
    <w:p w14:paraId="0B08A781">
      <w:pPr>
        <w:tabs>
          <w:tab w:val="left" w:pos="8820"/>
        </w:tabs>
        <w:spacing w:line="360" w:lineRule="auto"/>
        <w:ind w:firstLine="480" w:firstLineChars="200"/>
        <w:rPr>
          <w:rFonts w:hint="eastAsia" w:cs="Arial"/>
          <w:sz w:val="24"/>
          <w:highlight w:val="none"/>
        </w:rPr>
      </w:pPr>
      <w:r>
        <w:rPr>
          <w:rFonts w:hint="eastAsia" w:cs="Arial"/>
          <w:sz w:val="24"/>
          <w:highlight w:val="none"/>
        </w:rPr>
        <w:t>①商务、</w:t>
      </w:r>
      <w:r>
        <w:rPr>
          <w:rFonts w:cs="Arial"/>
          <w:sz w:val="24"/>
          <w:highlight w:val="none"/>
        </w:rPr>
        <w:t>技术评审（0～</w:t>
      </w:r>
      <w:r>
        <w:rPr>
          <w:rFonts w:hint="eastAsia" w:cs="Arial"/>
          <w:sz w:val="24"/>
          <w:highlight w:val="none"/>
        </w:rPr>
        <w:t>90</w:t>
      </w:r>
      <w:r>
        <w:rPr>
          <w:rFonts w:cs="Arial"/>
          <w:sz w:val="24"/>
          <w:highlight w:val="none"/>
        </w:rPr>
        <w:t>分）。</w:t>
      </w:r>
      <w:r>
        <w:rPr>
          <w:rFonts w:hint="eastAsia" w:cs="Arial"/>
          <w:sz w:val="24"/>
          <w:highlight w:val="none"/>
        </w:rPr>
        <w:t>商务部分应在评标专家仔细查阅、分析和计算的基础上，统一评分分值。</w:t>
      </w:r>
    </w:p>
    <w:p w14:paraId="5A0FC7DF">
      <w:pPr>
        <w:tabs>
          <w:tab w:val="left" w:pos="8820"/>
        </w:tabs>
        <w:spacing w:line="360" w:lineRule="auto"/>
        <w:ind w:firstLine="480" w:firstLineChars="200"/>
        <w:rPr>
          <w:rFonts w:hint="eastAsia" w:cs="Arial"/>
          <w:sz w:val="24"/>
          <w:highlight w:val="none"/>
        </w:rPr>
      </w:pPr>
      <w:r>
        <w:rPr>
          <w:rFonts w:hint="eastAsia" w:cs="Arial"/>
          <w:sz w:val="24"/>
          <w:highlight w:val="none"/>
        </w:rPr>
        <w:t>技术部分</w:t>
      </w:r>
      <w:r>
        <w:rPr>
          <w:rFonts w:cs="Arial"/>
          <w:sz w:val="24"/>
          <w:highlight w:val="none"/>
        </w:rPr>
        <w:t>由评标专家采用记名方式各自评分。如发现某个单项的评分超出了评分细则所规定的分值范围的，则该张评分表无效。此项得分为：评标专家的有效评分中的算术平均值。</w:t>
      </w:r>
    </w:p>
    <w:p w14:paraId="24B95FBC">
      <w:pPr>
        <w:tabs>
          <w:tab w:val="left" w:pos="8820"/>
        </w:tabs>
        <w:spacing w:line="360" w:lineRule="auto"/>
        <w:ind w:firstLine="480"/>
        <w:rPr>
          <w:rFonts w:hint="eastAsia" w:cs="Arial"/>
          <w:sz w:val="24"/>
          <w:highlight w:val="none"/>
        </w:rPr>
      </w:pPr>
      <w:r>
        <w:rPr>
          <w:rFonts w:hint="eastAsia" w:cs="Arial"/>
          <w:sz w:val="24"/>
          <w:highlight w:val="none"/>
        </w:rPr>
        <w:t>②报价</w:t>
      </w:r>
      <w:r>
        <w:rPr>
          <w:rFonts w:cs="Arial"/>
          <w:sz w:val="24"/>
          <w:highlight w:val="none"/>
        </w:rPr>
        <w:t>评审（0～</w:t>
      </w:r>
      <w:r>
        <w:rPr>
          <w:rFonts w:hint="eastAsia" w:cs="Arial"/>
          <w:sz w:val="24"/>
          <w:highlight w:val="none"/>
        </w:rPr>
        <w:t>10</w:t>
      </w:r>
      <w:r>
        <w:rPr>
          <w:rFonts w:cs="Arial"/>
          <w:sz w:val="24"/>
          <w:highlight w:val="none"/>
        </w:rPr>
        <w:t>分）。</w:t>
      </w:r>
      <w:r>
        <w:rPr>
          <w:rFonts w:hint="eastAsia" w:cs="Arial"/>
          <w:sz w:val="24"/>
          <w:highlight w:val="none"/>
        </w:rPr>
        <w:t>报价部分评分应在报价口径一致的评标价基础上，按照采购文件约定的因素和方法进行计算。</w:t>
      </w:r>
      <w:r>
        <w:rPr>
          <w:rFonts w:cs="Arial"/>
          <w:sz w:val="24"/>
          <w:highlight w:val="none"/>
        </w:rPr>
        <w:t>评标</w:t>
      </w:r>
      <w:r>
        <w:rPr>
          <w:rFonts w:hint="eastAsia" w:cs="Arial"/>
          <w:sz w:val="24"/>
          <w:highlight w:val="none"/>
        </w:rPr>
        <w:t>委员会</w:t>
      </w:r>
      <w:r>
        <w:rPr>
          <w:rFonts w:cs="Arial"/>
          <w:sz w:val="24"/>
          <w:highlight w:val="none"/>
        </w:rPr>
        <w:t>应对</w:t>
      </w:r>
      <w:r>
        <w:rPr>
          <w:rFonts w:hint="eastAsia" w:cs="Arial"/>
          <w:sz w:val="24"/>
          <w:highlight w:val="none"/>
        </w:rPr>
        <w:t>响应文件的商务报价进行仔细审核，对于出现的极端或不合理的报价，经澄清和讨论后有权认定该报价为低于成本价恶意竞争的投标报价。</w:t>
      </w:r>
    </w:p>
    <w:p w14:paraId="6FDF114F">
      <w:pPr>
        <w:tabs>
          <w:tab w:val="left" w:pos="8820"/>
        </w:tabs>
        <w:spacing w:line="360" w:lineRule="auto"/>
        <w:ind w:firstLine="480"/>
        <w:rPr>
          <w:rFonts w:hint="eastAsia" w:cs="Arial"/>
          <w:sz w:val="24"/>
          <w:highlight w:val="none"/>
        </w:rPr>
      </w:pPr>
      <w:r>
        <w:rPr>
          <w:rFonts w:hint="eastAsia" w:cs="Arial"/>
          <w:sz w:val="24"/>
          <w:highlight w:val="none"/>
        </w:rPr>
        <w:t>评标委员会将根据本评标细则第4.3.2款的规定对投标报价进行算术性错误修正。供应商的投标报价经上述修正后，计算出评审基准价。凡属采购文件原因造成项目范围或报价口径不一致的，应予以扣除。但因供应商自身失误造成多算、少算或漏算，不得调整。</w:t>
      </w:r>
    </w:p>
    <w:p w14:paraId="1133B31D">
      <w:pPr>
        <w:tabs>
          <w:tab w:val="left" w:pos="8820"/>
        </w:tabs>
        <w:spacing w:line="360" w:lineRule="auto"/>
        <w:ind w:firstLine="480"/>
        <w:rPr>
          <w:rFonts w:hint="eastAsia" w:cs="Arial"/>
          <w:sz w:val="24"/>
          <w:highlight w:val="none"/>
        </w:rPr>
      </w:pPr>
      <w:r>
        <w:rPr>
          <w:rFonts w:cs="Arial"/>
          <w:sz w:val="24"/>
          <w:highlight w:val="none"/>
        </w:rPr>
        <w:t>评标专家应对</w:t>
      </w:r>
      <w:r>
        <w:rPr>
          <w:rFonts w:hint="eastAsia" w:cs="Arial"/>
          <w:sz w:val="24"/>
          <w:highlight w:val="none"/>
        </w:rPr>
        <w:t>响应文件的报价部分进行仔细分析与计算，并进行检查复核。报价部分由评标委员会确认后统一评分分值。</w:t>
      </w:r>
    </w:p>
    <w:p w14:paraId="03E1536C">
      <w:pPr>
        <w:tabs>
          <w:tab w:val="left" w:pos="8820"/>
        </w:tabs>
        <w:spacing w:line="360" w:lineRule="auto"/>
        <w:ind w:firstLine="480"/>
        <w:rPr>
          <w:rFonts w:hint="eastAsia" w:cs="Arial"/>
          <w:sz w:val="24"/>
          <w:highlight w:val="none"/>
        </w:rPr>
      </w:pPr>
      <w:r>
        <w:rPr>
          <w:rFonts w:hint="eastAsia" w:cs="Arial"/>
          <w:sz w:val="24"/>
          <w:highlight w:val="none"/>
        </w:rPr>
        <w:t>以上评分保留小数2位，供应商的综合得分为以上三部分得分的总和。</w:t>
      </w:r>
    </w:p>
    <w:p w14:paraId="2B63403F">
      <w:pPr>
        <w:tabs>
          <w:tab w:val="left" w:pos="8820"/>
        </w:tabs>
        <w:spacing w:line="360" w:lineRule="auto"/>
        <w:ind w:firstLine="480" w:firstLineChars="200"/>
        <w:rPr>
          <w:rFonts w:hint="eastAsia" w:cs="Arial"/>
          <w:sz w:val="24"/>
          <w:highlight w:val="none"/>
        </w:rPr>
      </w:pPr>
      <w:r>
        <w:rPr>
          <w:rFonts w:ascii="Times New Roman" w:hAnsi="Times New Roman" w:cs="宋体"/>
          <w:bCs/>
          <w:sz w:val="24"/>
          <w:szCs w:val="24"/>
          <w:highlight w:val="none"/>
        </w:rPr>
        <w:br w:type="page"/>
      </w:r>
      <w:r>
        <w:rPr>
          <w:rFonts w:hint="eastAsia" w:ascii="Times New Roman" w:hAnsi="Times New Roman" w:cs="宋体"/>
          <w:bCs/>
          <w:sz w:val="24"/>
          <w:szCs w:val="24"/>
          <w:highlight w:val="none"/>
        </w:rPr>
        <w:t>5.评标细则</w:t>
      </w:r>
    </w:p>
    <w:p w14:paraId="43B5362F">
      <w:pPr>
        <w:spacing w:line="360" w:lineRule="auto"/>
        <w:ind w:firstLine="562"/>
        <w:rPr>
          <w:rFonts w:hint="eastAsia" w:ascii="宋体" w:hAnsi="宋体" w:cs="宋体"/>
          <w:b/>
          <w:spacing w:val="-4"/>
          <w:szCs w:val="21"/>
          <w:highlight w:val="none"/>
        </w:rPr>
      </w:pPr>
      <w:r>
        <w:rPr>
          <w:rFonts w:hint="eastAsia" w:ascii="宋体" w:hAnsi="宋体" w:cs="宋体"/>
          <w:b/>
          <w:bCs/>
          <w:sz w:val="24"/>
          <w:highlight w:val="none"/>
          <w:lang w:val="en-US" w:eastAsia="zh-CN"/>
        </w:rPr>
        <w:t>5.1</w:t>
      </w:r>
      <w:r>
        <w:rPr>
          <w:rFonts w:hint="eastAsia" w:ascii="宋体" w:hAnsi="宋体" w:cs="宋体"/>
          <w:b/>
          <w:bCs/>
          <w:sz w:val="24"/>
          <w:highlight w:val="none"/>
        </w:rPr>
        <w:t>商务技术部分（</w:t>
      </w:r>
      <w:r>
        <w:rPr>
          <w:rFonts w:hint="eastAsia" w:ascii="宋体" w:hAnsi="宋体" w:cs="宋体"/>
          <w:b/>
          <w:bCs/>
          <w:sz w:val="24"/>
          <w:highlight w:val="none"/>
          <w:lang w:val="en-US" w:eastAsia="zh-CN"/>
        </w:rPr>
        <w:t>9</w:t>
      </w:r>
      <w:r>
        <w:rPr>
          <w:rFonts w:hint="eastAsia" w:ascii="宋体" w:hAnsi="宋体" w:cs="宋体"/>
          <w:b/>
          <w:bCs/>
          <w:sz w:val="24"/>
          <w:highlight w:val="none"/>
        </w:rPr>
        <w:t>0分）：</w:t>
      </w:r>
    </w:p>
    <w:tbl>
      <w:tblPr>
        <w:tblStyle w:val="4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03"/>
        <w:gridCol w:w="4736"/>
        <w:gridCol w:w="1049"/>
        <w:gridCol w:w="1035"/>
      </w:tblGrid>
      <w:tr w14:paraId="297E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2C1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top"/>
          </w:tcPr>
          <w:p w14:paraId="0DB22D1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zh-CN"/>
              </w:rPr>
              <w:t>评分内容及标准</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top"/>
          </w:tcPr>
          <w:p w14:paraId="1D168E0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textAlignment w:val="auto"/>
              <w:rPr>
                <w:rFonts w:hint="eastAsia" w:ascii="宋体" w:hAnsi="宋体" w:eastAsia="宋体" w:cs="宋体"/>
                <w:color w:val="auto"/>
                <w:sz w:val="21"/>
                <w:szCs w:val="21"/>
                <w:highlight w:val="none"/>
              </w:rPr>
            </w:pP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top"/>
          </w:tcPr>
          <w:p w14:paraId="705EFF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分值范围</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top"/>
          </w:tcPr>
          <w:p w14:paraId="4FCE5C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主/客观分</w:t>
            </w:r>
          </w:p>
        </w:tc>
      </w:tr>
      <w:tr w14:paraId="078D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AEC8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02C5A1">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center"/>
              <w:textAlignment w:val="auto"/>
              <w:rPr>
                <w:rFonts w:hint="eastAsia" w:ascii="宋体" w:hAnsi="宋体" w:eastAsia="宋体" w:cs="宋体"/>
                <w:color w:val="000000"/>
                <w:kern w:val="0"/>
                <w:sz w:val="21"/>
                <w:szCs w:val="21"/>
                <w:highlight w:val="none"/>
                <w:lang w:val="zh-CN"/>
              </w:rPr>
            </w:pPr>
            <w:r>
              <w:rPr>
                <w:rFonts w:hint="eastAsia" w:ascii="宋体" w:hAnsi="宋体" w:eastAsia="宋体" w:cs="宋体"/>
                <w:bCs/>
                <w:color w:val="000000"/>
                <w:sz w:val="21"/>
                <w:szCs w:val="21"/>
                <w:highlight w:val="none"/>
                <w:lang w:val="en-US" w:eastAsia="zh-CN"/>
              </w:rPr>
              <w:t>业绩情况</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518CE8">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bCs/>
                <w:color w:val="000000"/>
                <w:sz w:val="21"/>
                <w:szCs w:val="21"/>
                <w:highlight w:val="none"/>
                <w:lang w:val="en-US" w:eastAsia="zh-CN"/>
              </w:rPr>
              <w:t>投标人自</w:t>
            </w:r>
            <w:r>
              <w:rPr>
                <w:rFonts w:hint="eastAsia" w:ascii="宋体" w:hAnsi="宋体" w:eastAsia="宋体" w:cs="宋体"/>
                <w:bCs/>
                <w:color w:val="000000"/>
                <w:sz w:val="21"/>
                <w:szCs w:val="21"/>
                <w:highlight w:val="none"/>
                <w:lang w:eastAsia="zh-Hans"/>
              </w:rPr>
              <w:t>202</w:t>
            </w:r>
            <w:r>
              <w:rPr>
                <w:rFonts w:hint="eastAsia" w:ascii="宋体" w:hAnsi="宋体" w:eastAsia="宋体" w:cs="宋体"/>
                <w:bCs/>
                <w:color w:val="000000"/>
                <w:sz w:val="21"/>
                <w:szCs w:val="21"/>
                <w:highlight w:val="none"/>
                <w:lang w:val="en-US" w:eastAsia="zh-CN"/>
              </w:rPr>
              <w:t>0</w:t>
            </w:r>
            <w:r>
              <w:rPr>
                <w:rFonts w:hint="eastAsia" w:ascii="宋体" w:hAnsi="宋体" w:eastAsia="宋体" w:cs="宋体"/>
                <w:bCs/>
                <w:color w:val="000000"/>
                <w:sz w:val="21"/>
                <w:szCs w:val="21"/>
                <w:highlight w:val="none"/>
                <w:lang w:val="en-US" w:eastAsia="zh-Hans"/>
              </w:rPr>
              <w:t>年</w:t>
            </w:r>
            <w:r>
              <w:rPr>
                <w:rFonts w:hint="eastAsia" w:ascii="宋体" w:hAnsi="宋体" w:eastAsia="宋体" w:cs="宋体"/>
                <w:bCs/>
                <w:color w:val="000000"/>
                <w:sz w:val="21"/>
                <w:szCs w:val="21"/>
                <w:highlight w:val="none"/>
                <w:lang w:val="en-US" w:eastAsia="zh-CN"/>
              </w:rPr>
              <w:t>1</w:t>
            </w:r>
            <w:r>
              <w:rPr>
                <w:rFonts w:hint="eastAsia" w:ascii="宋体" w:hAnsi="宋体" w:eastAsia="宋体" w:cs="宋体"/>
                <w:bCs/>
                <w:color w:val="000000"/>
                <w:sz w:val="21"/>
                <w:szCs w:val="21"/>
                <w:highlight w:val="none"/>
                <w:lang w:val="en-US" w:eastAsia="zh-Hans"/>
              </w:rPr>
              <w:t>月</w:t>
            </w:r>
            <w:r>
              <w:rPr>
                <w:rFonts w:hint="eastAsia" w:ascii="宋体" w:hAnsi="宋体" w:eastAsia="宋体" w:cs="宋体"/>
                <w:bCs/>
                <w:color w:val="000000"/>
                <w:sz w:val="21"/>
                <w:szCs w:val="21"/>
                <w:highlight w:val="none"/>
                <w:lang w:eastAsia="zh-Hans"/>
              </w:rPr>
              <w:t>1</w:t>
            </w:r>
            <w:r>
              <w:rPr>
                <w:rFonts w:hint="eastAsia" w:ascii="宋体" w:hAnsi="宋体" w:eastAsia="宋体" w:cs="宋体"/>
                <w:bCs/>
                <w:color w:val="000000"/>
                <w:sz w:val="21"/>
                <w:szCs w:val="21"/>
                <w:highlight w:val="none"/>
                <w:lang w:val="en-US" w:eastAsia="zh-Hans"/>
              </w:rPr>
              <w:t>日</w:t>
            </w:r>
            <w:r>
              <w:rPr>
                <w:rFonts w:hint="eastAsia" w:ascii="宋体" w:hAnsi="宋体" w:eastAsia="宋体" w:cs="宋体"/>
                <w:bCs/>
                <w:color w:val="000000"/>
                <w:sz w:val="21"/>
                <w:szCs w:val="21"/>
                <w:highlight w:val="none"/>
              </w:rPr>
              <w:t>以来承担过</w:t>
            </w:r>
            <w:r>
              <w:rPr>
                <w:rFonts w:hint="eastAsia" w:ascii="宋体" w:hAnsi="宋体" w:eastAsia="宋体" w:cs="宋体"/>
                <w:bCs/>
                <w:color w:val="000000"/>
                <w:sz w:val="21"/>
                <w:szCs w:val="21"/>
                <w:highlight w:val="none"/>
                <w:lang w:val="en-US" w:eastAsia="zh-Hans"/>
              </w:rPr>
              <w:t>国有企业</w:t>
            </w:r>
            <w:r>
              <w:rPr>
                <w:rFonts w:hint="eastAsia" w:ascii="宋体" w:hAnsi="宋体" w:eastAsia="宋体" w:cs="宋体"/>
                <w:bCs/>
                <w:color w:val="000000"/>
                <w:sz w:val="21"/>
                <w:szCs w:val="21"/>
                <w:highlight w:val="none"/>
              </w:rPr>
              <w:t>的</w:t>
            </w:r>
            <w:r>
              <w:rPr>
                <w:rFonts w:hint="eastAsia" w:ascii="宋体" w:hAnsi="宋体" w:eastAsia="宋体" w:cs="宋体"/>
                <w:bCs/>
                <w:color w:val="000000"/>
                <w:sz w:val="21"/>
                <w:szCs w:val="21"/>
                <w:highlight w:val="none"/>
                <w:lang w:val="en-US" w:eastAsia="zh-Hans"/>
              </w:rPr>
              <w:t>专项法律服务</w:t>
            </w:r>
            <w:r>
              <w:rPr>
                <w:rFonts w:hint="eastAsia" w:ascii="宋体" w:hAnsi="宋体" w:eastAsia="宋体" w:cs="宋体"/>
                <w:bCs/>
                <w:color w:val="000000"/>
                <w:sz w:val="21"/>
                <w:szCs w:val="21"/>
                <w:highlight w:val="none"/>
              </w:rPr>
              <w:t>项目的，每具有一个合同得1分，最高得</w:t>
            </w:r>
            <w:r>
              <w:rPr>
                <w:rFonts w:hint="eastAsia" w:ascii="宋体" w:hAnsi="宋体" w:eastAsia="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w:t>
            </w:r>
            <w:r>
              <w:rPr>
                <w:rFonts w:hint="eastAsia" w:ascii="宋体" w:hAnsi="宋体" w:eastAsia="宋体" w:cs="宋体"/>
                <w:bCs/>
                <w:color w:val="000000"/>
                <w:sz w:val="21"/>
                <w:szCs w:val="21"/>
                <w:highlight w:val="none"/>
                <w:lang w:eastAsia="zh-CN"/>
              </w:rPr>
              <w:t>（提供</w:t>
            </w:r>
            <w:r>
              <w:rPr>
                <w:rFonts w:hint="eastAsia" w:ascii="宋体" w:hAnsi="宋体" w:eastAsia="宋体" w:cs="宋体"/>
                <w:bCs/>
                <w:color w:val="000000"/>
                <w:sz w:val="21"/>
                <w:szCs w:val="21"/>
                <w:highlight w:val="none"/>
              </w:rPr>
              <w:t>合同复印件或扫描件，以合同签署时间为准</w:t>
            </w:r>
            <w:r>
              <w:rPr>
                <w:rFonts w:hint="eastAsia" w:ascii="宋体" w:hAnsi="宋体" w:eastAsia="宋体" w:cs="宋体"/>
                <w:bCs/>
                <w:color w:val="000000"/>
                <w:sz w:val="21"/>
                <w:szCs w:val="21"/>
                <w:highlight w:val="none"/>
                <w:lang w:eastAsia="zh-CN"/>
              </w:rPr>
              <w:t>，</w:t>
            </w:r>
            <w:r>
              <w:rPr>
                <w:rFonts w:hint="eastAsia" w:ascii="宋体" w:hAnsi="宋体" w:eastAsia="宋体" w:cs="宋体"/>
                <w:color w:val="auto"/>
                <w:kern w:val="0"/>
                <w:sz w:val="21"/>
                <w:szCs w:val="21"/>
                <w:highlight w:val="none"/>
                <w:lang w:val="en-US" w:eastAsia="zh-CN"/>
              </w:rPr>
              <w:t>未提供</w:t>
            </w:r>
            <w:r>
              <w:rPr>
                <w:rFonts w:hint="eastAsia" w:ascii="宋体" w:hAnsi="宋体" w:eastAsia="宋体" w:cs="宋体"/>
                <w:color w:val="auto"/>
                <w:kern w:val="0"/>
                <w:sz w:val="21"/>
                <w:szCs w:val="21"/>
                <w:highlight w:val="none"/>
              </w:rPr>
              <w:t>不得分</w:t>
            </w:r>
            <w:r>
              <w:rPr>
                <w:rFonts w:hint="eastAsia" w:ascii="宋体" w:hAnsi="宋体" w:eastAsia="宋体" w:cs="宋体"/>
                <w:bCs/>
                <w:color w:val="000000"/>
                <w:sz w:val="21"/>
                <w:szCs w:val="21"/>
                <w:highlight w:val="none"/>
                <w:lang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F228E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E32D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3DB1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7AF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04200">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相关荣誉</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1903EB">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投标人或其服务团队律师具有省级及以上荣誉的每提供1个得2分，市级荣誉的每提供1个得1分，本项最高得5分。（提交荣誉证书复印件加盖投标人公章，</w:t>
            </w:r>
            <w:r>
              <w:rPr>
                <w:rFonts w:hint="eastAsia" w:ascii="宋体" w:hAnsi="宋体" w:eastAsia="宋体" w:cs="宋体"/>
                <w:color w:val="auto"/>
                <w:kern w:val="0"/>
                <w:sz w:val="21"/>
                <w:szCs w:val="21"/>
                <w:highlight w:val="none"/>
                <w:lang w:val="en-US" w:eastAsia="zh-CN"/>
              </w:rPr>
              <w:t>未提供</w:t>
            </w:r>
            <w:r>
              <w:rPr>
                <w:rFonts w:hint="eastAsia" w:ascii="宋体" w:hAnsi="宋体" w:eastAsia="宋体" w:cs="宋体"/>
                <w:color w:val="auto"/>
                <w:kern w:val="0"/>
                <w:sz w:val="21"/>
                <w:szCs w:val="21"/>
                <w:highlight w:val="none"/>
              </w:rPr>
              <w:t>不得分</w:t>
            </w:r>
            <w:r>
              <w:rPr>
                <w:rFonts w:hint="eastAsia" w:ascii="宋体" w:hAnsi="宋体" w:eastAsia="宋体" w:cs="宋体"/>
                <w:bCs/>
                <w:color w:val="000000"/>
                <w:sz w:val="21"/>
                <w:szCs w:val="21"/>
                <w:highlight w:val="none"/>
                <w:lang w:val="en-US"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3E5D1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49B8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客观分</w:t>
            </w:r>
          </w:p>
        </w:tc>
      </w:tr>
      <w:tr w14:paraId="242B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9C186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47CE9A">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项目理解</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086E79">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对项目背景把握透彻，得1-3分。</w:t>
            </w:r>
          </w:p>
          <w:p w14:paraId="15F6D38D">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对项目现状了解分析到位，得1-3分。</w:t>
            </w:r>
          </w:p>
          <w:p w14:paraId="21AA48F4">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对项目的目标任务定位准确，得1-3分。</w:t>
            </w:r>
          </w:p>
          <w:p w14:paraId="7C879BE8">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对项目任务罗列清晰把握到位，得1-3分。</w:t>
            </w:r>
          </w:p>
          <w:p w14:paraId="0BE79482">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对项目的内容分析到位，得1-3分。</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A7A6E6">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5-15分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2405AC">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r>
      <w:tr w14:paraId="56CE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26726">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540CB4">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项目经验</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4ED7B">
            <w:pPr>
              <w:keepNext w:val="0"/>
              <w:keepLines w:val="0"/>
              <w:pageBreakBefore w:val="0"/>
              <w:widowControl w:val="0"/>
              <w:numPr>
                <w:ilvl w:val="0"/>
                <w:numId w:val="10"/>
              </w:numPr>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投标人及其经办律师经办过施工总包单位案涉金额在3000万元以上的施工合同纠纷诉讼的，得2分。（</w:t>
            </w:r>
            <w:r>
              <w:rPr>
                <w:rFonts w:hint="eastAsia" w:ascii="宋体" w:hAnsi="宋体" w:eastAsia="宋体" w:cs="宋体"/>
                <w:bCs/>
                <w:color w:val="000000"/>
                <w:sz w:val="21"/>
                <w:szCs w:val="21"/>
                <w:highlight w:val="none"/>
                <w:lang w:eastAsia="zh-CN"/>
              </w:rPr>
              <w:t>提供</w:t>
            </w:r>
            <w:r>
              <w:rPr>
                <w:rFonts w:hint="eastAsia" w:ascii="宋体" w:hAnsi="宋体" w:eastAsia="宋体" w:cs="宋体"/>
                <w:bCs/>
                <w:color w:val="000000"/>
                <w:sz w:val="21"/>
                <w:szCs w:val="21"/>
                <w:highlight w:val="none"/>
                <w:lang w:val="en-US" w:eastAsia="zh-CN"/>
              </w:rPr>
              <w:t>司法仲裁文书</w:t>
            </w:r>
            <w:r>
              <w:rPr>
                <w:rFonts w:hint="eastAsia" w:ascii="宋体" w:hAnsi="宋体" w:eastAsia="宋体" w:cs="宋体"/>
                <w:bCs/>
                <w:color w:val="000000"/>
                <w:sz w:val="21"/>
                <w:szCs w:val="21"/>
                <w:highlight w:val="none"/>
              </w:rPr>
              <w:t>复印件或扫描件，</w:t>
            </w:r>
            <w:r>
              <w:rPr>
                <w:rFonts w:hint="eastAsia" w:ascii="宋体" w:hAnsi="宋体" w:eastAsia="宋体" w:cs="宋体"/>
                <w:color w:val="auto"/>
                <w:kern w:val="0"/>
                <w:sz w:val="21"/>
                <w:szCs w:val="21"/>
                <w:highlight w:val="none"/>
                <w:lang w:val="en-US" w:eastAsia="zh-CN"/>
              </w:rPr>
              <w:t>未提供</w:t>
            </w:r>
            <w:r>
              <w:rPr>
                <w:rFonts w:hint="eastAsia" w:ascii="宋体" w:hAnsi="宋体" w:eastAsia="宋体" w:cs="宋体"/>
                <w:color w:val="auto"/>
                <w:kern w:val="0"/>
                <w:sz w:val="21"/>
                <w:szCs w:val="21"/>
                <w:highlight w:val="none"/>
              </w:rPr>
              <w:t>不得分</w:t>
            </w:r>
            <w:r>
              <w:rPr>
                <w:rFonts w:hint="eastAsia" w:ascii="宋体" w:hAnsi="宋体" w:eastAsia="宋体" w:cs="宋体"/>
                <w:bCs/>
                <w:color w:val="auto"/>
                <w:sz w:val="21"/>
                <w:szCs w:val="21"/>
                <w:highlight w:val="none"/>
                <w:lang w:val="en-US" w:eastAsia="zh-CN"/>
              </w:rPr>
              <w:t>）</w:t>
            </w:r>
          </w:p>
          <w:p w14:paraId="349DC136">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2、投标人及其经办律师经办过向实际施工人追偿权纠纷的并最终（代理原告）获得60%以上支持或（代理被告）驳回的，一个得2分，最高4分。</w:t>
            </w:r>
          </w:p>
          <w:p w14:paraId="34C1DF12">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（须提供相关的佐证材料</w:t>
            </w:r>
            <w:r>
              <w:rPr>
                <w:rFonts w:hint="eastAsia" w:ascii="宋体" w:hAnsi="宋体" w:eastAsia="宋体" w:cs="宋体"/>
                <w:bCs/>
                <w:color w:val="000000"/>
                <w:sz w:val="21"/>
                <w:szCs w:val="21"/>
                <w:highlight w:val="none"/>
                <w:lang w:val="en-US" w:eastAsia="zh-CN"/>
              </w:rPr>
              <w:t>复印件加盖投标人公章，</w:t>
            </w:r>
            <w:r>
              <w:rPr>
                <w:rFonts w:hint="eastAsia" w:ascii="宋体" w:hAnsi="宋体" w:eastAsia="宋体" w:cs="宋体"/>
                <w:color w:val="auto"/>
                <w:kern w:val="0"/>
                <w:sz w:val="21"/>
                <w:szCs w:val="21"/>
                <w:highlight w:val="none"/>
                <w:lang w:val="en-US" w:eastAsia="zh-CN"/>
              </w:rPr>
              <w:t>未提供</w:t>
            </w:r>
            <w:r>
              <w:rPr>
                <w:rFonts w:hint="eastAsia" w:ascii="宋体" w:hAnsi="宋体" w:eastAsia="宋体" w:cs="宋体"/>
                <w:color w:val="auto"/>
                <w:kern w:val="0"/>
                <w:sz w:val="21"/>
                <w:szCs w:val="21"/>
                <w:highlight w:val="none"/>
              </w:rPr>
              <w:t>不得分</w:t>
            </w:r>
            <w:r>
              <w:rPr>
                <w:rFonts w:hint="eastAsia" w:ascii="宋体" w:hAnsi="宋体" w:eastAsia="宋体" w:cs="宋体"/>
                <w:bCs/>
                <w:color w:val="000000"/>
                <w:sz w:val="21"/>
                <w:szCs w:val="21"/>
                <w:highlight w:val="none"/>
                <w:lang w:val="en-US"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29080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0-6分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FCDB33">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客观分</w:t>
            </w:r>
          </w:p>
        </w:tc>
      </w:tr>
      <w:tr w14:paraId="30A3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19AB6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01E41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管理制度</w:t>
            </w:r>
          </w:p>
          <w:p w14:paraId="65C86F7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1327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lang w:val="en-US" w:eastAsia="zh-CN"/>
              </w:rPr>
              <w:t>具备良好的内部</w:t>
            </w:r>
            <w:r>
              <w:rPr>
                <w:rFonts w:hint="eastAsia" w:ascii="宋体" w:hAnsi="宋体" w:eastAsia="宋体" w:cs="宋体"/>
                <w:color w:val="auto"/>
                <w:kern w:val="0"/>
                <w:sz w:val="21"/>
                <w:szCs w:val="21"/>
                <w:highlight w:val="none"/>
              </w:rPr>
              <w:t>管理</w:t>
            </w:r>
            <w:r>
              <w:rPr>
                <w:rFonts w:hint="eastAsia" w:ascii="宋体" w:hAnsi="宋体" w:eastAsia="宋体" w:cs="宋体"/>
                <w:color w:val="auto"/>
                <w:kern w:val="0"/>
                <w:sz w:val="21"/>
                <w:szCs w:val="21"/>
                <w:highlight w:val="none"/>
                <w:lang w:val="en-US" w:eastAsia="zh-CN"/>
              </w:rPr>
              <w:t>制度（包括但不限于</w:t>
            </w:r>
            <w:r>
              <w:rPr>
                <w:rFonts w:hint="eastAsia" w:ascii="宋体" w:hAnsi="宋体" w:eastAsia="宋体" w:cs="宋体"/>
                <w:color w:val="auto"/>
                <w:kern w:val="0"/>
                <w:sz w:val="21"/>
                <w:szCs w:val="21"/>
                <w:highlight w:val="none"/>
              </w:rPr>
              <w:t>分配机制和财务制度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案件讨论制度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律师收费制度；律所利益冲突排除制度；档案管理制度；投诉处理机制；收结案管理制度</w:t>
            </w:r>
            <w:r>
              <w:rPr>
                <w:rFonts w:hint="eastAsia" w:ascii="宋体" w:hAnsi="宋体" w:eastAsia="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lang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2824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5DF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w:t>
            </w:r>
            <w:r>
              <w:rPr>
                <w:rFonts w:hint="eastAsia" w:ascii="宋体" w:hAnsi="宋体" w:eastAsia="宋体" w:cs="宋体"/>
                <w:color w:val="auto"/>
                <w:sz w:val="21"/>
                <w:szCs w:val="21"/>
                <w:highlight w:val="none"/>
              </w:rPr>
              <w:t>观分</w:t>
            </w:r>
          </w:p>
        </w:tc>
      </w:tr>
      <w:tr w14:paraId="4A95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79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0E178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2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C9A0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根据本项目的服务内容、服务性质、涉及法律问题的分析提供服务实施方案</w:t>
            </w:r>
          </w:p>
        </w:tc>
        <w:tc>
          <w:tcPr>
            <w:tcW w:w="4736" w:type="dxa"/>
            <w:tcBorders>
              <w:top w:val="single" w:color="auto" w:sz="4" w:space="0"/>
              <w:left w:val="single" w:color="auto" w:sz="4" w:space="0"/>
              <w:right w:val="single" w:color="auto" w:sz="4" w:space="0"/>
              <w:tl2br w:val="nil"/>
              <w:tr2bl w:val="nil"/>
            </w:tcBorders>
            <w:noWrap w:val="0"/>
            <w:vAlign w:val="center"/>
          </w:tcPr>
          <w:p w14:paraId="6E895D7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Hans"/>
              </w:rPr>
              <w:t>诉讼</w:t>
            </w:r>
            <w:r>
              <w:rPr>
                <w:rFonts w:hint="eastAsia" w:ascii="宋体" w:hAnsi="宋体" w:eastAsia="宋体" w:cs="宋体"/>
                <w:color w:val="auto"/>
                <w:kern w:val="0"/>
                <w:sz w:val="21"/>
                <w:szCs w:val="21"/>
                <w:highlight w:val="none"/>
                <w:lang w:val="zh-CN"/>
              </w:rPr>
              <w:t>服务方案：根据</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lang w:val="zh-CN"/>
              </w:rPr>
              <w:t>人提供的《</w:t>
            </w:r>
            <w:r>
              <w:rPr>
                <w:rFonts w:hint="eastAsia" w:ascii="宋体" w:hAnsi="宋体" w:eastAsia="宋体" w:cs="宋体"/>
                <w:b w:val="0"/>
                <w:bCs w:val="0"/>
                <w:color w:val="auto"/>
                <w:kern w:val="0"/>
                <w:sz w:val="21"/>
                <w:szCs w:val="21"/>
                <w:highlight w:val="none"/>
                <w:lang w:val="zh-CN" w:eastAsia="zh-CN"/>
              </w:rPr>
              <w:t>案情信息概述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内容</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投标人响应的</w:t>
            </w:r>
            <w:r>
              <w:rPr>
                <w:rFonts w:hint="eastAsia" w:ascii="宋体" w:hAnsi="宋体" w:eastAsia="宋体" w:cs="宋体"/>
                <w:color w:val="auto"/>
                <w:kern w:val="0"/>
                <w:sz w:val="21"/>
                <w:szCs w:val="21"/>
                <w:highlight w:val="none"/>
              </w:rPr>
              <w:t>服务思路、服务内容、服务流程</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val="en-US" w:eastAsia="zh-CN"/>
              </w:rPr>
              <w:t>表述</w:t>
            </w:r>
            <w:r>
              <w:rPr>
                <w:rFonts w:hint="eastAsia" w:ascii="宋体" w:hAnsi="宋体" w:eastAsia="宋体" w:cs="宋体"/>
                <w:color w:val="auto"/>
                <w:kern w:val="0"/>
                <w:sz w:val="21"/>
                <w:szCs w:val="21"/>
                <w:highlight w:val="none"/>
                <w:lang w:val="zh-CN"/>
              </w:rPr>
              <w:t>是完整、科学、可行、合理程度</w:t>
            </w:r>
            <w:r>
              <w:rPr>
                <w:rFonts w:hint="eastAsia" w:ascii="宋体" w:hAnsi="宋体" w:eastAsia="宋体" w:cs="宋体"/>
                <w:color w:val="auto"/>
                <w:kern w:val="0"/>
                <w:sz w:val="21"/>
                <w:szCs w:val="21"/>
                <w:highlight w:val="none"/>
              </w:rPr>
              <w:t>等进行综合评定。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须答复</w:t>
            </w:r>
            <w:r>
              <w:rPr>
                <w:rFonts w:hint="eastAsia" w:ascii="宋体" w:hAnsi="宋体" w:eastAsia="宋体" w:cs="宋体"/>
                <w:color w:val="auto"/>
                <w:kern w:val="0"/>
                <w:sz w:val="21"/>
                <w:szCs w:val="21"/>
                <w:highlight w:val="none"/>
                <w:lang w:val="zh-CN"/>
              </w:rPr>
              <w:t>《</w:t>
            </w:r>
            <w:r>
              <w:rPr>
                <w:rFonts w:hint="eastAsia" w:ascii="宋体" w:hAnsi="宋体" w:eastAsia="宋体" w:cs="宋体"/>
                <w:b w:val="0"/>
                <w:bCs w:val="0"/>
                <w:color w:val="auto"/>
                <w:kern w:val="0"/>
                <w:sz w:val="21"/>
                <w:szCs w:val="21"/>
                <w:highlight w:val="none"/>
                <w:lang w:val="zh-CN" w:eastAsia="zh-CN"/>
              </w:rPr>
              <w:t>案情信息概述</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中的问题</w:t>
            </w:r>
            <w:r>
              <w:rPr>
                <w:rFonts w:hint="eastAsia" w:ascii="宋体" w:hAnsi="宋体" w:eastAsia="宋体" w:cs="宋体"/>
                <w:color w:val="auto"/>
                <w:kern w:val="0"/>
                <w:sz w:val="21"/>
                <w:szCs w:val="21"/>
                <w:highlight w:val="none"/>
                <w:lang w:eastAsia="zh-CN"/>
              </w:rPr>
              <w:t>）</w:t>
            </w:r>
          </w:p>
        </w:tc>
        <w:tc>
          <w:tcPr>
            <w:tcW w:w="1049" w:type="dxa"/>
            <w:tcBorders>
              <w:top w:val="single" w:color="auto" w:sz="4" w:space="0"/>
              <w:left w:val="single" w:color="auto" w:sz="4" w:space="0"/>
              <w:right w:val="single" w:color="auto" w:sz="4" w:space="0"/>
              <w:tl2br w:val="nil"/>
              <w:tr2bl w:val="nil"/>
            </w:tcBorders>
            <w:noWrap w:val="0"/>
            <w:vAlign w:val="center"/>
          </w:tcPr>
          <w:p w14:paraId="7F9BCC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w:t>
            </w:r>
            <w:r>
              <w:rPr>
                <w:rFonts w:hint="eastAsia" w:ascii="宋体" w:hAnsi="宋体" w:eastAsia="宋体" w:cs="宋体"/>
                <w:color w:val="auto"/>
                <w:sz w:val="21"/>
                <w:szCs w:val="21"/>
                <w:highlight w:val="none"/>
              </w:rPr>
              <w:t>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EE846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3D3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E2A0DA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20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7EB2B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服务人员情况</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B60E4C">
            <w:pPr>
              <w:keepNext w:val="0"/>
              <w:keepLines w:val="0"/>
              <w:suppressLineNumbers w:val="0"/>
              <w:snapToGrid w:val="0"/>
              <w:spacing w:before="0" w:beforeAutospacing="0" w:after="0" w:afterAutospacing="0"/>
              <w:ind w:left="0" w:right="0"/>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拟投入本项目人员不少于2人，律师执业年限或有公检法政府法制部门从事法律工作年限，合计年限不低于8年（含）。每增加1人且执业年限不低于8年（含），得2分，本项最高得</w:t>
            </w:r>
            <w:r>
              <w:rPr>
                <w:rFonts w:hint="eastAsia" w:ascii="宋体" w:hAnsi="宋体" w:eastAsia="宋体" w:cs="宋体"/>
                <w:bCs/>
                <w:color w:val="auto"/>
                <w:sz w:val="21"/>
                <w:szCs w:val="21"/>
                <w:highlight w:val="none"/>
                <w:shd w:val="clear" w:color="auto" w:fill="auto"/>
                <w:lang w:eastAsia="zh-CN"/>
              </w:rPr>
              <w:t>6</w:t>
            </w:r>
            <w:r>
              <w:rPr>
                <w:rFonts w:hint="eastAsia" w:ascii="宋体" w:hAnsi="宋体" w:eastAsia="宋体" w:cs="宋体"/>
                <w:bCs/>
                <w:color w:val="auto"/>
                <w:sz w:val="21"/>
                <w:szCs w:val="21"/>
                <w:highlight w:val="none"/>
                <w:shd w:val="clear" w:color="auto" w:fill="auto"/>
                <w:lang w:val="en-US" w:eastAsia="zh-CN"/>
              </w:rPr>
              <w:t>分。</w:t>
            </w:r>
          </w:p>
          <w:p w14:paraId="15172E1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sz w:val="21"/>
                <w:szCs w:val="21"/>
                <w:highlight w:val="none"/>
                <w:shd w:val="clear" w:color="auto" w:fill="auto"/>
                <w:lang w:val="en-US" w:eastAsia="zh-CN"/>
              </w:rPr>
              <w:t>（投标文件中提供以上有效执业资格证书复印件</w:t>
            </w:r>
            <w:r>
              <w:rPr>
                <w:rFonts w:hint="eastAsia" w:ascii="宋体" w:hAnsi="宋体" w:eastAsia="宋体" w:cs="宋体"/>
                <w:color w:val="auto"/>
                <w:kern w:val="0"/>
                <w:sz w:val="21"/>
                <w:szCs w:val="21"/>
                <w:highlight w:val="none"/>
              </w:rPr>
              <w:t>，否则不得分）</w:t>
            </w:r>
            <w:r>
              <w:rPr>
                <w:rFonts w:hint="eastAsia" w:ascii="宋体" w:hAnsi="宋体" w:eastAsia="宋体" w:cs="宋体"/>
                <w:color w:val="auto"/>
                <w:kern w:val="0"/>
                <w:sz w:val="21"/>
                <w:szCs w:val="21"/>
                <w:highlight w:val="none"/>
                <w:lang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578DB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76559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tc>
      </w:tr>
      <w:tr w14:paraId="3633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Merge w:val="continue"/>
            <w:tcBorders>
              <w:left w:val="single" w:color="auto" w:sz="4" w:space="0"/>
              <w:right w:val="single" w:color="auto" w:sz="4" w:space="0"/>
              <w:tl2br w:val="nil"/>
              <w:tr2bl w:val="nil"/>
            </w:tcBorders>
            <w:noWrap w:val="0"/>
            <w:vAlign w:val="center"/>
          </w:tcPr>
          <w:p w14:paraId="289BDF5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p>
        </w:tc>
        <w:tc>
          <w:tcPr>
            <w:tcW w:w="1203" w:type="dxa"/>
            <w:vMerge w:val="continue"/>
            <w:tcBorders>
              <w:left w:val="single" w:color="auto" w:sz="4" w:space="0"/>
              <w:right w:val="single" w:color="auto" w:sz="4" w:space="0"/>
              <w:tl2br w:val="nil"/>
              <w:tr2bl w:val="nil"/>
            </w:tcBorders>
            <w:noWrap w:val="0"/>
            <w:vAlign w:val="center"/>
          </w:tcPr>
          <w:p w14:paraId="006F55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val="zh-CN"/>
              </w:rPr>
            </w:pP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4D06FB">
            <w:pPr>
              <w:keepNext w:val="0"/>
              <w:keepLines w:val="0"/>
              <w:suppressLineNumbers w:val="0"/>
              <w:snapToGrid w:val="0"/>
              <w:spacing w:before="0" w:beforeAutospacing="0" w:after="0" w:afterAutospacing="0"/>
              <w:ind w:left="0" w:right="0"/>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bCs/>
                <w:color w:val="auto"/>
                <w:sz w:val="21"/>
                <w:szCs w:val="21"/>
                <w:highlight w:val="none"/>
                <w:shd w:val="clear" w:color="auto" w:fill="auto"/>
                <w:lang w:val="en-US" w:eastAsia="zh-CN"/>
              </w:rPr>
              <w:t>拟投入本项目的项目负责人工作经验：自</w:t>
            </w:r>
            <w:r>
              <w:rPr>
                <w:rFonts w:hint="eastAsia" w:ascii="宋体" w:hAnsi="宋体" w:eastAsia="宋体" w:cs="宋体"/>
                <w:bCs/>
                <w:color w:val="auto"/>
                <w:sz w:val="21"/>
                <w:szCs w:val="21"/>
                <w:highlight w:val="none"/>
                <w:shd w:val="clear" w:color="auto" w:fill="auto"/>
                <w:lang w:eastAsia="zh-Hans"/>
              </w:rPr>
              <w:t>20</w:t>
            </w:r>
            <w:r>
              <w:rPr>
                <w:rFonts w:hint="eastAsia" w:ascii="宋体" w:hAnsi="宋体" w:eastAsia="宋体" w:cs="宋体"/>
                <w:bCs/>
                <w:color w:val="auto"/>
                <w:sz w:val="21"/>
                <w:szCs w:val="21"/>
                <w:highlight w:val="none"/>
                <w:shd w:val="clear" w:color="auto" w:fill="auto"/>
                <w:lang w:val="en-US" w:eastAsia="zh-CN"/>
              </w:rPr>
              <w:t>14</w:t>
            </w:r>
            <w:r>
              <w:rPr>
                <w:rFonts w:hint="eastAsia" w:ascii="宋体" w:hAnsi="宋体" w:eastAsia="宋体" w:cs="宋体"/>
                <w:bCs/>
                <w:color w:val="auto"/>
                <w:sz w:val="21"/>
                <w:szCs w:val="21"/>
                <w:highlight w:val="none"/>
                <w:shd w:val="clear" w:color="auto" w:fill="auto"/>
                <w:lang w:val="en-US" w:eastAsia="zh-Hans"/>
              </w:rPr>
              <w:t>年</w:t>
            </w:r>
            <w:r>
              <w:rPr>
                <w:rFonts w:hint="eastAsia" w:ascii="宋体" w:hAnsi="宋体" w:eastAsia="宋体" w:cs="宋体"/>
                <w:bCs/>
                <w:color w:val="auto"/>
                <w:sz w:val="21"/>
                <w:szCs w:val="21"/>
                <w:highlight w:val="none"/>
                <w:shd w:val="clear" w:color="auto" w:fill="auto"/>
                <w:lang w:val="en-US" w:eastAsia="zh-CN"/>
              </w:rPr>
              <w:t>1</w:t>
            </w:r>
            <w:r>
              <w:rPr>
                <w:rFonts w:hint="eastAsia" w:ascii="宋体" w:hAnsi="宋体" w:eastAsia="宋体" w:cs="宋体"/>
                <w:bCs/>
                <w:color w:val="auto"/>
                <w:sz w:val="21"/>
                <w:szCs w:val="21"/>
                <w:highlight w:val="none"/>
                <w:shd w:val="clear" w:color="auto" w:fill="auto"/>
                <w:lang w:val="en-US" w:eastAsia="zh-Hans"/>
              </w:rPr>
              <w:t>月</w:t>
            </w:r>
            <w:r>
              <w:rPr>
                <w:rFonts w:hint="eastAsia" w:ascii="宋体" w:hAnsi="宋体" w:eastAsia="宋体" w:cs="宋体"/>
                <w:bCs/>
                <w:color w:val="auto"/>
                <w:sz w:val="21"/>
                <w:szCs w:val="21"/>
                <w:highlight w:val="none"/>
                <w:shd w:val="clear" w:color="auto" w:fill="auto"/>
                <w:lang w:eastAsia="zh-Hans"/>
              </w:rPr>
              <w:t>1</w:t>
            </w:r>
            <w:r>
              <w:rPr>
                <w:rFonts w:hint="eastAsia" w:ascii="宋体" w:hAnsi="宋体" w:eastAsia="宋体" w:cs="宋体"/>
                <w:bCs/>
                <w:color w:val="auto"/>
                <w:sz w:val="21"/>
                <w:szCs w:val="21"/>
                <w:highlight w:val="none"/>
                <w:shd w:val="clear" w:color="auto" w:fill="auto"/>
                <w:lang w:val="en-US" w:eastAsia="zh-Hans"/>
              </w:rPr>
              <w:t>日以来</w:t>
            </w:r>
            <w:r>
              <w:rPr>
                <w:rFonts w:hint="eastAsia" w:ascii="宋体" w:hAnsi="宋体" w:eastAsia="宋体" w:cs="宋体"/>
                <w:bCs/>
                <w:color w:val="auto"/>
                <w:sz w:val="21"/>
                <w:szCs w:val="21"/>
                <w:highlight w:val="none"/>
                <w:shd w:val="clear" w:color="auto" w:fill="auto"/>
                <w:lang w:val="en-US" w:eastAsia="zh-CN"/>
              </w:rPr>
              <w:t>，具有各级党委、政府机关、</w:t>
            </w:r>
            <w:r>
              <w:rPr>
                <w:rFonts w:hint="eastAsia" w:ascii="宋体" w:hAnsi="宋体" w:eastAsia="宋体" w:cs="宋体"/>
                <w:bCs/>
                <w:color w:val="auto"/>
                <w:sz w:val="21"/>
                <w:szCs w:val="21"/>
                <w:highlight w:val="none"/>
                <w:shd w:val="clear" w:color="auto" w:fill="auto"/>
                <w:lang w:val="en-US" w:eastAsia="zh-Hans"/>
              </w:rPr>
              <w:t>国有企业</w:t>
            </w:r>
            <w:r>
              <w:rPr>
                <w:rFonts w:hint="eastAsia" w:ascii="宋体" w:hAnsi="宋体" w:eastAsia="宋体" w:cs="宋体"/>
                <w:bCs/>
                <w:color w:val="auto"/>
                <w:sz w:val="21"/>
                <w:szCs w:val="21"/>
                <w:highlight w:val="none"/>
                <w:shd w:val="clear" w:color="auto" w:fill="auto"/>
                <w:lang w:val="en-US" w:eastAsia="zh-CN"/>
              </w:rPr>
              <w:t>、事业单位的法律顾问项目提供1个得1分，最多得5分，有公检法或政府机构从事法律工作背景的，得5分，本项最高得10分。</w:t>
            </w:r>
          </w:p>
          <w:p w14:paraId="64BE0CC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bCs/>
                <w:color w:val="auto"/>
                <w:sz w:val="21"/>
                <w:szCs w:val="21"/>
                <w:highlight w:val="none"/>
                <w:shd w:val="clear" w:color="auto" w:fill="auto"/>
                <w:lang w:val="en-US" w:eastAsia="zh-CN"/>
              </w:rPr>
              <w:t>（投标文件中提供以上项目的合同，法律</w:t>
            </w:r>
            <w:r>
              <w:rPr>
                <w:rFonts w:hint="eastAsia" w:ascii="宋体" w:hAnsi="宋体" w:eastAsia="宋体" w:cs="宋体"/>
                <w:bCs/>
                <w:color w:val="auto"/>
                <w:sz w:val="21"/>
                <w:szCs w:val="21"/>
                <w:highlight w:val="none"/>
                <w:shd w:val="clear" w:color="auto" w:fill="auto"/>
                <w:lang w:val="en-US" w:eastAsia="zh-Hans"/>
              </w:rPr>
              <w:t>顾问</w:t>
            </w:r>
            <w:r>
              <w:rPr>
                <w:rFonts w:hint="eastAsia" w:ascii="宋体" w:hAnsi="宋体" w:eastAsia="宋体" w:cs="宋体"/>
                <w:bCs/>
                <w:color w:val="auto"/>
                <w:sz w:val="21"/>
                <w:szCs w:val="21"/>
                <w:highlight w:val="none"/>
                <w:shd w:val="clear" w:color="auto" w:fill="auto"/>
                <w:lang w:val="en-US" w:eastAsia="zh-CN"/>
              </w:rPr>
              <w:t>合同</w:t>
            </w:r>
            <w:r>
              <w:rPr>
                <w:rFonts w:hint="eastAsia" w:ascii="宋体" w:hAnsi="宋体" w:eastAsia="宋体" w:cs="宋体"/>
                <w:bCs/>
                <w:color w:val="auto"/>
                <w:sz w:val="21"/>
                <w:szCs w:val="21"/>
                <w:highlight w:val="none"/>
                <w:shd w:val="clear" w:color="auto" w:fill="auto"/>
                <w:lang w:val="en-US" w:eastAsia="zh-Hans"/>
              </w:rPr>
              <w:t>服务起始</w:t>
            </w:r>
            <w:r>
              <w:rPr>
                <w:rFonts w:hint="eastAsia" w:ascii="宋体" w:hAnsi="宋体" w:eastAsia="宋体" w:cs="宋体"/>
                <w:bCs/>
                <w:color w:val="auto"/>
                <w:sz w:val="21"/>
                <w:szCs w:val="21"/>
                <w:highlight w:val="none"/>
                <w:shd w:val="clear" w:color="auto" w:fill="auto"/>
                <w:lang w:val="en-US" w:eastAsia="zh-CN"/>
              </w:rPr>
              <w:t>日期在</w:t>
            </w:r>
            <w:r>
              <w:rPr>
                <w:rFonts w:hint="eastAsia" w:ascii="宋体" w:hAnsi="宋体" w:eastAsia="宋体" w:cs="宋体"/>
                <w:bCs/>
                <w:color w:val="auto"/>
                <w:sz w:val="21"/>
                <w:szCs w:val="21"/>
                <w:highlight w:val="none"/>
                <w:shd w:val="clear" w:color="auto" w:fill="auto"/>
                <w:lang w:eastAsia="zh-Hans"/>
              </w:rPr>
              <w:t>202</w:t>
            </w:r>
            <w:r>
              <w:rPr>
                <w:rFonts w:hint="eastAsia" w:ascii="宋体" w:hAnsi="宋体" w:eastAsia="宋体" w:cs="宋体"/>
                <w:bCs/>
                <w:color w:val="auto"/>
                <w:sz w:val="21"/>
                <w:szCs w:val="21"/>
                <w:highlight w:val="none"/>
                <w:shd w:val="clear" w:color="auto" w:fill="auto"/>
                <w:lang w:val="en-US" w:eastAsia="zh-CN"/>
              </w:rPr>
              <w:t>0</w:t>
            </w:r>
            <w:r>
              <w:rPr>
                <w:rFonts w:hint="eastAsia" w:ascii="宋体" w:hAnsi="宋体" w:eastAsia="宋体" w:cs="宋体"/>
                <w:bCs/>
                <w:color w:val="auto"/>
                <w:sz w:val="21"/>
                <w:szCs w:val="21"/>
                <w:highlight w:val="none"/>
                <w:shd w:val="clear" w:color="auto" w:fill="auto"/>
                <w:lang w:val="en-US" w:eastAsia="zh-Hans"/>
              </w:rPr>
              <w:t>年</w:t>
            </w:r>
            <w:r>
              <w:rPr>
                <w:rFonts w:hint="eastAsia" w:ascii="宋体" w:hAnsi="宋体" w:eastAsia="宋体" w:cs="宋体"/>
                <w:bCs/>
                <w:color w:val="auto"/>
                <w:sz w:val="21"/>
                <w:szCs w:val="21"/>
                <w:highlight w:val="none"/>
                <w:shd w:val="clear" w:color="auto" w:fill="auto"/>
                <w:lang w:val="en-US" w:eastAsia="zh-CN"/>
              </w:rPr>
              <w:t>1</w:t>
            </w:r>
            <w:r>
              <w:rPr>
                <w:rFonts w:hint="eastAsia" w:ascii="宋体" w:hAnsi="宋体" w:eastAsia="宋体" w:cs="宋体"/>
                <w:bCs/>
                <w:color w:val="auto"/>
                <w:sz w:val="21"/>
                <w:szCs w:val="21"/>
                <w:highlight w:val="none"/>
                <w:shd w:val="clear" w:color="auto" w:fill="auto"/>
                <w:lang w:val="en-US" w:eastAsia="zh-Hans"/>
              </w:rPr>
              <w:t>月</w:t>
            </w:r>
            <w:r>
              <w:rPr>
                <w:rFonts w:hint="eastAsia" w:ascii="宋体" w:hAnsi="宋体" w:eastAsia="宋体" w:cs="宋体"/>
                <w:bCs/>
                <w:color w:val="auto"/>
                <w:sz w:val="21"/>
                <w:szCs w:val="21"/>
                <w:highlight w:val="none"/>
                <w:shd w:val="clear" w:color="auto" w:fill="auto"/>
                <w:lang w:eastAsia="zh-Hans"/>
              </w:rPr>
              <w:t>1</w:t>
            </w:r>
            <w:r>
              <w:rPr>
                <w:rFonts w:hint="eastAsia" w:ascii="宋体" w:hAnsi="宋体" w:eastAsia="宋体" w:cs="宋体"/>
                <w:bCs/>
                <w:color w:val="auto"/>
                <w:sz w:val="21"/>
                <w:szCs w:val="21"/>
                <w:highlight w:val="none"/>
                <w:shd w:val="clear" w:color="auto" w:fill="auto"/>
                <w:lang w:val="en-US" w:eastAsia="zh-Hans"/>
              </w:rPr>
              <w:t>日</w:t>
            </w:r>
            <w:r>
              <w:rPr>
                <w:rFonts w:hint="eastAsia" w:ascii="宋体" w:hAnsi="宋体" w:eastAsia="宋体" w:cs="宋体"/>
                <w:bCs/>
                <w:color w:val="auto"/>
                <w:sz w:val="21"/>
                <w:szCs w:val="21"/>
                <w:highlight w:val="none"/>
                <w:shd w:val="clear" w:color="auto" w:fill="auto"/>
                <w:lang w:val="en-US" w:eastAsia="zh-CN"/>
              </w:rPr>
              <w:t>至今，根据合同复印件进行评分。合同中应有</w:t>
            </w:r>
            <w:r>
              <w:rPr>
                <w:rFonts w:hint="eastAsia" w:ascii="宋体" w:hAnsi="宋体" w:eastAsia="宋体" w:cs="宋体"/>
                <w:bCs/>
                <w:color w:val="auto"/>
                <w:sz w:val="21"/>
                <w:szCs w:val="21"/>
                <w:highlight w:val="none"/>
                <w:shd w:val="clear" w:color="auto" w:fill="auto"/>
                <w:lang w:val="en-US" w:eastAsia="zh-Hans"/>
              </w:rPr>
              <w:t>负责人</w:t>
            </w:r>
            <w:r>
              <w:rPr>
                <w:rFonts w:hint="eastAsia" w:ascii="宋体" w:hAnsi="宋体" w:eastAsia="宋体" w:cs="宋体"/>
                <w:bCs/>
                <w:color w:val="auto"/>
                <w:sz w:val="21"/>
                <w:szCs w:val="21"/>
                <w:highlight w:val="none"/>
                <w:shd w:val="clear" w:color="auto" w:fill="auto"/>
                <w:lang w:val="en-US" w:eastAsia="zh-CN"/>
              </w:rPr>
              <w:t>信息，否则不得分，有公检法与政府机构从事法律工作背景的负责人需提供佐证材料，否则不得分）</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11F90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007CD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7901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782B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3887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服务承诺及响应时间承诺</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F659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承诺服务响应时间及承诺增值服务情况综合评定</w:t>
            </w:r>
            <w:r>
              <w:rPr>
                <w:rFonts w:hint="eastAsia" w:ascii="宋体" w:hAnsi="宋体" w:eastAsia="宋体" w:cs="宋体"/>
                <w:color w:val="auto"/>
                <w:kern w:val="0"/>
                <w:sz w:val="21"/>
                <w:szCs w:val="21"/>
                <w:highlight w:val="none"/>
                <w:lang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02C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7B64C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115B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74D1D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E56F8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服务质量保证措施</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2916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承诺质量保证措施，包括到访率、人员稳定性等综合评定</w:t>
            </w:r>
            <w:r>
              <w:rPr>
                <w:rFonts w:hint="eastAsia" w:ascii="宋体" w:hAnsi="宋体" w:eastAsia="宋体" w:cs="宋体"/>
                <w:color w:val="auto"/>
                <w:kern w:val="0"/>
                <w:sz w:val="21"/>
                <w:szCs w:val="21"/>
                <w:highlight w:val="none"/>
                <w:lang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1D906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50FE7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4F93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73A05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A41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rPr>
              <w:t>保密措施</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CDBAE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在服务期间，涉密信息、资料的保密措施情况综合评定</w:t>
            </w:r>
            <w:r>
              <w:rPr>
                <w:rFonts w:hint="eastAsia" w:ascii="宋体" w:hAnsi="宋体" w:eastAsia="宋体" w:cs="宋体"/>
                <w:color w:val="auto"/>
                <w:kern w:val="0"/>
                <w:sz w:val="21"/>
                <w:szCs w:val="21"/>
                <w:highlight w:val="none"/>
                <w:lang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B92E0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417B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B41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E5455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17E28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沟通协调方案</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8AAA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与服务单位的配合情况，根据方案的全面性、周密性进行综合评定</w:t>
            </w:r>
            <w:r>
              <w:rPr>
                <w:rFonts w:hint="eastAsia" w:ascii="宋体" w:hAnsi="宋体" w:eastAsia="宋体" w:cs="宋体"/>
                <w:color w:val="auto"/>
                <w:kern w:val="0"/>
                <w:sz w:val="21"/>
                <w:szCs w:val="21"/>
                <w:highlight w:val="none"/>
                <w:lang w:eastAsia="zh-CN"/>
              </w:rPr>
              <w:t>。</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E4CDC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-5分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DE5C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r w14:paraId="73B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9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DA51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4A9AA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合理化意见及建议</w:t>
            </w:r>
          </w:p>
        </w:tc>
        <w:tc>
          <w:tcPr>
            <w:tcW w:w="473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E7A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sz w:val="21"/>
                <w:szCs w:val="21"/>
                <w:highlight w:val="none"/>
                <w:lang w:val="en-US" w:eastAsia="zh-CN"/>
              </w:rPr>
              <w:t>根据投标人针对本项目实际情况结合交易需求提出的合理化建议的合理性、可行性等进行打分。</w:t>
            </w:r>
          </w:p>
        </w:tc>
        <w:tc>
          <w:tcPr>
            <w:tcW w:w="104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6440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10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753D0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主观分</w:t>
            </w:r>
          </w:p>
        </w:tc>
      </w:tr>
    </w:tbl>
    <w:p w14:paraId="46EB34B0">
      <w:pPr>
        <w:widowControl/>
        <w:spacing w:line="360" w:lineRule="auto"/>
        <w:ind w:firstLine="482" w:firstLineChars="200"/>
        <w:rPr>
          <w:rFonts w:hint="eastAsia" w:ascii="宋体" w:hAnsi="宋体" w:eastAsia="宋体" w:cs="宋体"/>
          <w:b/>
          <w:bCs/>
          <w:color w:val="000000"/>
          <w:sz w:val="24"/>
          <w:szCs w:val="24"/>
          <w:highlight w:val="none"/>
        </w:rPr>
      </w:pPr>
    </w:p>
    <w:p w14:paraId="4ABFBF98">
      <w:pPr>
        <w:widowControl/>
        <w:spacing w:line="360" w:lineRule="auto"/>
        <w:ind w:firstLine="482" w:firstLineChars="200"/>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rPr>
        <w:t>2价格分（10分）</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6"/>
        <w:gridCol w:w="4916"/>
      </w:tblGrid>
      <w:tr w14:paraId="753F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606" w:type="dxa"/>
            <w:noWrap w:val="0"/>
            <w:vAlign w:val="center"/>
          </w:tcPr>
          <w:p w14:paraId="2B6D3BA2">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价格权值</w:t>
            </w:r>
          </w:p>
        </w:tc>
        <w:tc>
          <w:tcPr>
            <w:tcW w:w="4916" w:type="dxa"/>
            <w:noWrap w:val="0"/>
            <w:vAlign w:val="center"/>
          </w:tcPr>
          <w:p w14:paraId="6AB60667">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    算    方    法</w:t>
            </w:r>
          </w:p>
        </w:tc>
      </w:tr>
      <w:tr w14:paraId="24CC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3606" w:type="dxa"/>
            <w:noWrap w:val="0"/>
            <w:vAlign w:val="center"/>
          </w:tcPr>
          <w:p w14:paraId="06165A84">
            <w:pPr>
              <w:keepNext w:val="0"/>
              <w:keepLines w:val="0"/>
              <w:suppressLineNumbers w:val="0"/>
              <w:adjustRightInd/>
              <w:spacing w:before="0" w:beforeAutospacing="0" w:after="0" w:afterAutospacing="0" w:line="360" w:lineRule="exact"/>
              <w:ind w:left="0" w:right="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价格权值=0.10</w:t>
            </w:r>
          </w:p>
        </w:tc>
        <w:tc>
          <w:tcPr>
            <w:tcW w:w="4916" w:type="dxa"/>
            <w:noWrap w:val="0"/>
            <w:vAlign w:val="center"/>
          </w:tcPr>
          <w:p w14:paraId="6B0F7E9B">
            <w:pPr>
              <w:keepNext w:val="0"/>
              <w:keepLines w:val="0"/>
              <w:suppressLineNumbers w:val="0"/>
              <w:adjustRightInd/>
              <w:spacing w:before="0" w:beforeAutospacing="0" w:after="0" w:afterAutospacing="0" w:line="36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最低有效响应</w:t>
            </w:r>
            <w:r>
              <w:rPr>
                <w:rFonts w:hint="eastAsia" w:ascii="宋体" w:hAnsi="宋体" w:eastAsia="宋体" w:cs="宋体"/>
                <w:color w:val="000000"/>
                <w:sz w:val="24"/>
                <w:szCs w:val="24"/>
                <w:highlight w:val="none"/>
                <w:lang w:val="en-US" w:eastAsia="zh-CN"/>
              </w:rPr>
              <w:t>投标总报价</w:t>
            </w:r>
            <w:r>
              <w:rPr>
                <w:rFonts w:hint="eastAsia" w:ascii="宋体" w:hAnsi="宋体" w:eastAsia="宋体" w:cs="宋体"/>
                <w:color w:val="000000"/>
                <w:sz w:val="24"/>
                <w:szCs w:val="24"/>
                <w:highlight w:val="none"/>
              </w:rPr>
              <w:t>为评标基准价</w:t>
            </w:r>
          </w:p>
          <w:p w14:paraId="4909C22C">
            <w:pPr>
              <w:keepNext w:val="0"/>
              <w:keepLines w:val="0"/>
              <w:suppressLineNumbers w:val="0"/>
              <w:adjustRightInd/>
              <w:spacing w:before="0" w:beforeAutospacing="0" w:after="0" w:afterAutospacing="0" w:line="36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响应报价得分=(评标基准价／响应报价)×价格权值×100</w:t>
            </w:r>
          </w:p>
          <w:p w14:paraId="055DAC02">
            <w:pPr>
              <w:keepNext w:val="0"/>
              <w:keepLines w:val="0"/>
              <w:suppressLineNumbers w:val="0"/>
              <w:adjustRightInd/>
              <w:spacing w:before="0" w:beforeAutospacing="0" w:after="0" w:afterAutospacing="0" w:line="360" w:lineRule="exact"/>
              <w:ind w:left="0" w:right="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（计算得分保留小数点后2位）</w:t>
            </w:r>
          </w:p>
        </w:tc>
      </w:tr>
    </w:tbl>
    <w:p w14:paraId="40391598">
      <w:pPr>
        <w:pStyle w:val="17"/>
        <w:rPr>
          <w:rFonts w:hint="eastAsia" w:ascii="宋体" w:hAnsi="宋体" w:eastAsia="宋体" w:cs="宋体"/>
          <w:sz w:val="24"/>
          <w:szCs w:val="24"/>
          <w:highlight w:val="none"/>
        </w:rPr>
      </w:pPr>
    </w:p>
    <w:p w14:paraId="4EE788DE">
      <w:pPr>
        <w:widowControl/>
        <w:spacing w:line="360" w:lineRule="auto"/>
        <w:ind w:firstLine="482" w:firstLineChars="200"/>
        <w:rPr>
          <w:rFonts w:hint="eastAsia" w:cs="Arial"/>
          <w:b/>
          <w:sz w:val="24"/>
          <w:highlight w:val="none"/>
        </w:rPr>
      </w:pPr>
      <w:r>
        <w:rPr>
          <w:rFonts w:hint="eastAsia" w:cs="Arial"/>
          <w:b/>
          <w:sz w:val="24"/>
          <w:highlight w:val="none"/>
        </w:rPr>
        <w:t>综合得分相同时，按投标报价由低到高顺序入围；综合得分且投标报价相同的，按照技术得分由高到低入围；综合得分且投标报价且技术分相同，由评委表决确定（评委不得弃权）。</w:t>
      </w:r>
    </w:p>
    <w:p w14:paraId="780A2B93">
      <w:pPr>
        <w:widowControl/>
        <w:spacing w:line="360" w:lineRule="auto"/>
        <w:ind w:firstLine="482" w:firstLineChars="200"/>
        <w:rPr>
          <w:rFonts w:hint="eastAsia" w:cs="Arial"/>
          <w:b/>
          <w:sz w:val="24"/>
          <w:highlight w:val="none"/>
        </w:rPr>
      </w:pPr>
      <w:r>
        <w:rPr>
          <w:rFonts w:hint="eastAsia" w:cs="Arial"/>
          <w:b/>
          <w:sz w:val="24"/>
          <w:highlight w:val="none"/>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612FCB7D">
      <w:pPr>
        <w:pStyle w:val="3"/>
        <w:spacing w:beforeLines="0" w:afterLines="0"/>
        <w:ind w:firstLine="482"/>
        <w:jc w:val="left"/>
        <w:rPr>
          <w:rFonts w:hint="eastAsia" w:ascii="Times New Roman" w:hAnsi="Times New Roman" w:cs="宋体"/>
          <w:bCs/>
          <w:sz w:val="24"/>
          <w:szCs w:val="24"/>
          <w:highlight w:val="none"/>
        </w:rPr>
      </w:pPr>
      <w:r>
        <w:rPr>
          <w:rFonts w:hint="eastAsia" w:ascii="Times New Roman" w:hAnsi="Times New Roman" w:cs="宋体"/>
          <w:bCs/>
          <w:sz w:val="24"/>
          <w:szCs w:val="24"/>
          <w:highlight w:val="none"/>
        </w:rPr>
        <w:t>6. 其他</w:t>
      </w:r>
    </w:p>
    <w:p w14:paraId="18CF89DB">
      <w:pPr>
        <w:tabs>
          <w:tab w:val="left" w:pos="8820"/>
        </w:tabs>
        <w:spacing w:line="360" w:lineRule="auto"/>
        <w:ind w:firstLine="482" w:firstLineChars="200"/>
        <w:rPr>
          <w:rFonts w:hint="eastAsia" w:cs="宋体"/>
          <w:b/>
          <w:sz w:val="24"/>
          <w:highlight w:val="none"/>
        </w:rPr>
      </w:pPr>
      <w:r>
        <w:rPr>
          <w:rFonts w:hint="eastAsia" w:cs="宋体"/>
          <w:b/>
          <w:sz w:val="24"/>
          <w:highlight w:val="none"/>
        </w:rPr>
        <w:t>6.1 各位评标人员应认真﹑客观﹑公正对待每个供应商，遵守评标纪律，不得泄漏任何评标信息，如违规违纪者，将严肃查处。</w:t>
      </w:r>
    </w:p>
    <w:p w14:paraId="0B780536">
      <w:pPr>
        <w:tabs>
          <w:tab w:val="left" w:pos="8820"/>
        </w:tabs>
        <w:spacing w:line="360" w:lineRule="auto"/>
        <w:ind w:firstLine="480"/>
        <w:rPr>
          <w:rFonts w:hint="eastAsia" w:cs="宋体"/>
          <w:b/>
          <w:sz w:val="24"/>
          <w:highlight w:val="none"/>
        </w:rPr>
      </w:pPr>
      <w:r>
        <w:rPr>
          <w:rFonts w:hint="eastAsia" w:cs="宋体"/>
          <w:b/>
          <w:sz w:val="24"/>
          <w:highlight w:val="none"/>
        </w:rPr>
        <w:t>6.2 评标中，评标委员会若发现供应商的响应文件明显缺乏竞争性而可能涉嫌与其他供应商围标串标时，评标委员会将重点审核供应商之间的股权关系及各响应文件之间的形式.编排.内容等问题，一旦发现供应商以他人的名义投标.串通投标.以行贿手段谋取中标或者以其他弄虚作假方式投标的，应当否决该供应商的投标。出现上述情形时，不管最终是否界定为无效投标，评标委员会应在评标报告中如实记录相关情形及最终的认定结果。</w:t>
      </w:r>
    </w:p>
    <w:p w14:paraId="121C2285">
      <w:pPr>
        <w:tabs>
          <w:tab w:val="left" w:pos="8820"/>
        </w:tabs>
        <w:spacing w:line="360" w:lineRule="auto"/>
        <w:ind w:firstLine="482" w:firstLineChars="200"/>
        <w:rPr>
          <w:rFonts w:hint="eastAsia" w:cs="宋体"/>
          <w:b/>
          <w:sz w:val="24"/>
          <w:highlight w:val="none"/>
        </w:rPr>
      </w:pPr>
      <w:r>
        <w:rPr>
          <w:rFonts w:hint="eastAsia" w:cs="宋体"/>
          <w:b/>
          <w:sz w:val="24"/>
          <w:highlight w:val="none"/>
        </w:rPr>
        <w:t xml:space="preserve">6.3 评标中，如发现有二份及以上响应文件的相互之间有特别相同或相似之处，且经询标澄清供应商无令人信服的理由和可靠证据证明其合理性的，经评标委员会半数以上成员认定有串通投标嫌疑的，其响应文件按无效标处理，予以废除，不再对其进行评审，也不影响采购工作继续评标（不足三家除外）。 </w:t>
      </w:r>
    </w:p>
    <w:p w14:paraId="47E10D68">
      <w:pPr>
        <w:pStyle w:val="3"/>
        <w:spacing w:before="120" w:beforeLines="50" w:after="120"/>
        <w:ind w:firstLine="482"/>
        <w:jc w:val="left"/>
        <w:rPr>
          <w:rFonts w:hint="eastAsia" w:ascii="Times New Roman" w:hAnsi="Times New Roman" w:cs="宋体"/>
          <w:bCs/>
          <w:sz w:val="24"/>
          <w:szCs w:val="24"/>
          <w:highlight w:val="none"/>
        </w:rPr>
      </w:pPr>
      <w:r>
        <w:rPr>
          <w:rFonts w:hint="eastAsia" w:ascii="Times New Roman" w:hAnsi="Times New Roman" w:cs="宋体"/>
          <w:bCs/>
          <w:sz w:val="24"/>
          <w:szCs w:val="24"/>
          <w:highlight w:val="none"/>
        </w:rPr>
        <w:t>7.定标</w:t>
      </w:r>
    </w:p>
    <w:p w14:paraId="6F11899C">
      <w:pPr>
        <w:widowControl/>
        <w:snapToGrid w:val="0"/>
        <w:spacing w:line="360" w:lineRule="auto"/>
        <w:rPr>
          <w:rFonts w:hint="eastAsia" w:cs="宋体"/>
          <w:sz w:val="24"/>
          <w:highlight w:val="none"/>
        </w:rPr>
      </w:pPr>
      <w:r>
        <w:rPr>
          <w:rFonts w:hint="eastAsia" w:cs="宋体"/>
          <w:sz w:val="24"/>
          <w:highlight w:val="none"/>
        </w:rPr>
        <w:t xml:space="preserve">    7.1 定标由采购单位负责，采购单位坚持综合得分排名第一的中标候选人为中标人的定标原则。</w:t>
      </w:r>
    </w:p>
    <w:p w14:paraId="31C0F80A">
      <w:pPr>
        <w:widowControl/>
        <w:snapToGrid w:val="0"/>
        <w:spacing w:line="360" w:lineRule="auto"/>
        <w:rPr>
          <w:rFonts w:hint="eastAsia" w:cs="宋体"/>
          <w:sz w:val="24"/>
          <w:highlight w:val="none"/>
        </w:rPr>
      </w:pPr>
      <w:r>
        <w:rPr>
          <w:rFonts w:hint="eastAsia" w:cs="宋体"/>
          <w:sz w:val="24"/>
          <w:highlight w:val="none"/>
        </w:rPr>
        <w:t xml:space="preserve">    7.2 排名在前的中标候选人放弃中标.因不可抗力不能履行合同，或者被查实存在影响中标结果的违法行为等情形，不符合中标条件的，采购单位可以按照评标委员会提出的中标候选人名单排序依次确定其他中标候选人为中标人，也可以重新采购。</w:t>
      </w:r>
    </w:p>
    <w:p w14:paraId="7DD7071E">
      <w:pPr>
        <w:spacing w:line="360" w:lineRule="auto"/>
        <w:rPr>
          <w:rFonts w:cs="宋体"/>
          <w:b/>
          <w:bCs/>
          <w:sz w:val="24"/>
          <w:highlight w:val="none"/>
        </w:rPr>
      </w:pPr>
      <w:r>
        <w:rPr>
          <w:rFonts w:hint="eastAsia" w:cs="宋体"/>
          <w:sz w:val="24"/>
          <w:highlight w:val="none"/>
        </w:rPr>
        <w:t xml:space="preserve">    7.3 中标候选人因不可抗力之外的原因放弃中标权的，其响应保证金不予退还，响应保证金不能弥补由于其放弃中标权而给采购单位造成报价得差额损失的，由放弃中标权的中标候选人承担。</w:t>
      </w:r>
    </w:p>
    <w:p w14:paraId="0B568AD7">
      <w:pPr>
        <w:snapToGrid w:val="0"/>
        <w:spacing w:line="360" w:lineRule="auto"/>
        <w:jc w:val="center"/>
        <w:outlineLvl w:val="0"/>
        <w:rPr>
          <w:rFonts w:hint="eastAsia"/>
          <w:b/>
          <w:kern w:val="0"/>
          <w:sz w:val="36"/>
          <w:szCs w:val="20"/>
          <w:highlight w:val="none"/>
        </w:rPr>
      </w:pPr>
      <w:r>
        <w:rPr>
          <w:rFonts w:cs="宋体"/>
          <w:bCs/>
          <w:sz w:val="32"/>
          <w:szCs w:val="32"/>
          <w:highlight w:val="none"/>
        </w:rPr>
        <w:br w:type="page"/>
      </w:r>
      <w:bookmarkStart w:id="55" w:name="_Toc129714677"/>
      <w:r>
        <w:rPr>
          <w:rFonts w:hint="eastAsia"/>
          <w:b/>
          <w:kern w:val="0"/>
          <w:sz w:val="36"/>
          <w:szCs w:val="20"/>
          <w:highlight w:val="none"/>
        </w:rPr>
        <w:t>第六章  响应文件格式</w:t>
      </w:r>
      <w:bookmarkEnd w:id="49"/>
      <w:bookmarkEnd w:id="50"/>
      <w:bookmarkEnd w:id="55"/>
    </w:p>
    <w:p w14:paraId="3AB426ED">
      <w:pPr>
        <w:snapToGrid w:val="0"/>
        <w:spacing w:line="360" w:lineRule="auto"/>
        <w:jc w:val="center"/>
        <w:outlineLvl w:val="0"/>
        <w:rPr>
          <w:rFonts w:hint="eastAsia"/>
          <w:b/>
          <w:kern w:val="0"/>
          <w:sz w:val="36"/>
          <w:szCs w:val="20"/>
          <w:highlight w:val="none"/>
        </w:rPr>
      </w:pPr>
    </w:p>
    <w:p w14:paraId="7321D2FE">
      <w:pPr>
        <w:adjustRightInd w:val="0"/>
        <w:snapToGrid w:val="0"/>
        <w:spacing w:line="360" w:lineRule="auto"/>
        <w:jc w:val="right"/>
        <w:rPr>
          <w:highlight w:val="none"/>
        </w:rPr>
      </w:pPr>
    </w:p>
    <w:p w14:paraId="4BD03874">
      <w:pPr>
        <w:autoSpaceDE w:val="0"/>
        <w:autoSpaceDN w:val="0"/>
        <w:adjustRightInd w:val="0"/>
        <w:snapToGrid w:val="0"/>
        <w:spacing w:line="360" w:lineRule="auto"/>
        <w:jc w:val="left"/>
        <w:rPr>
          <w:b/>
          <w:bCs/>
          <w:kern w:val="0"/>
          <w:sz w:val="28"/>
          <w:szCs w:val="28"/>
          <w:highlight w:val="none"/>
          <w:u w:val="single"/>
        </w:rPr>
      </w:pPr>
      <w:r>
        <w:rPr>
          <w:rFonts w:hint="eastAsia"/>
          <w:b/>
          <w:bCs/>
          <w:sz w:val="28"/>
          <w:szCs w:val="28"/>
          <w:highlight w:val="none"/>
        </w:rPr>
        <w:t>一、资格文件格式</w:t>
      </w:r>
    </w:p>
    <w:p w14:paraId="6270D5C4">
      <w:pPr>
        <w:autoSpaceDE w:val="0"/>
        <w:autoSpaceDN w:val="0"/>
        <w:adjustRightInd w:val="0"/>
        <w:snapToGrid w:val="0"/>
        <w:spacing w:line="360" w:lineRule="auto"/>
        <w:jc w:val="center"/>
        <w:outlineLvl w:val="2"/>
        <w:rPr>
          <w:rFonts w:hint="eastAsia"/>
          <w:b/>
          <w:spacing w:val="20"/>
          <w:kern w:val="0"/>
          <w:sz w:val="32"/>
          <w:szCs w:val="32"/>
          <w:highlight w:val="none"/>
        </w:rPr>
      </w:pPr>
      <w:r>
        <w:rPr>
          <w:rFonts w:hint="eastAsia"/>
          <w:b/>
          <w:spacing w:val="20"/>
          <w:w w:val="80"/>
          <w:kern w:val="0"/>
          <w:sz w:val="32"/>
          <w:szCs w:val="32"/>
          <w:highlight w:val="none"/>
        </w:rPr>
        <w:t xml:space="preserve"> </w:t>
      </w:r>
      <w:r>
        <w:rPr>
          <w:rFonts w:hint="eastAsia"/>
          <w:b/>
          <w:spacing w:val="20"/>
          <w:kern w:val="0"/>
          <w:sz w:val="32"/>
          <w:szCs w:val="32"/>
          <w:highlight w:val="none"/>
          <w:u w:val="single"/>
        </w:rPr>
        <w:t xml:space="preserve">                                    </w:t>
      </w:r>
      <w:r>
        <w:rPr>
          <w:rFonts w:hint="eastAsia"/>
          <w:b/>
          <w:spacing w:val="20"/>
          <w:kern w:val="0"/>
          <w:sz w:val="32"/>
          <w:szCs w:val="32"/>
          <w:highlight w:val="none"/>
        </w:rPr>
        <w:t>项目</w:t>
      </w:r>
    </w:p>
    <w:p w14:paraId="1BE87FFA">
      <w:pPr>
        <w:adjustRightInd w:val="0"/>
        <w:snapToGrid w:val="0"/>
        <w:spacing w:line="360" w:lineRule="auto"/>
        <w:ind w:firstLine="720" w:firstLineChars="200"/>
        <w:rPr>
          <w:rFonts w:hint="eastAsia"/>
          <w:sz w:val="36"/>
          <w:szCs w:val="36"/>
          <w:highlight w:val="none"/>
        </w:rPr>
      </w:pPr>
      <w:r>
        <w:rPr>
          <w:sz w:val="36"/>
          <w:szCs w:val="36"/>
          <w:highlight w:val="none"/>
        </w:rPr>
        <w:t xml:space="preserve">         </w:t>
      </w:r>
      <w:r>
        <w:rPr>
          <w:rFonts w:hint="eastAsia"/>
          <w:sz w:val="28"/>
          <w:szCs w:val="28"/>
          <w:highlight w:val="none"/>
        </w:rPr>
        <w:t>（</w:t>
      </w:r>
      <w:r>
        <w:rPr>
          <w:rFonts w:hint="eastAsia" w:cs="宋体"/>
          <w:b/>
          <w:bCs/>
          <w:sz w:val="28"/>
          <w:szCs w:val="28"/>
          <w:highlight w:val="none"/>
        </w:rPr>
        <w:t>采购编号：</w:t>
      </w:r>
      <w:r>
        <w:rPr>
          <w:rFonts w:hint="eastAsia" w:cs="宋体"/>
          <w:bCs/>
          <w:sz w:val="28"/>
          <w:szCs w:val="28"/>
          <w:highlight w:val="none"/>
          <w:u w:val="single"/>
        </w:rPr>
        <w:t xml:space="preserve">                </w:t>
      </w:r>
      <w:r>
        <w:rPr>
          <w:rFonts w:hint="eastAsia"/>
          <w:sz w:val="28"/>
          <w:szCs w:val="28"/>
          <w:highlight w:val="none"/>
        </w:rPr>
        <w:t>）</w:t>
      </w:r>
    </w:p>
    <w:p w14:paraId="4CE63641">
      <w:pPr>
        <w:adjustRightInd w:val="0"/>
        <w:snapToGrid w:val="0"/>
        <w:spacing w:line="360" w:lineRule="auto"/>
        <w:ind w:firstLine="720" w:firstLineChars="200"/>
        <w:rPr>
          <w:rFonts w:hint="eastAsia"/>
          <w:sz w:val="36"/>
          <w:szCs w:val="36"/>
          <w:highlight w:val="none"/>
        </w:rPr>
      </w:pPr>
    </w:p>
    <w:p w14:paraId="5F02A615">
      <w:pPr>
        <w:adjustRightInd w:val="0"/>
        <w:snapToGrid w:val="0"/>
        <w:spacing w:line="360" w:lineRule="auto"/>
        <w:ind w:firstLine="480" w:firstLineChars="200"/>
        <w:jc w:val="center"/>
        <w:rPr>
          <w:sz w:val="24"/>
          <w:highlight w:val="none"/>
        </w:rPr>
      </w:pPr>
    </w:p>
    <w:p w14:paraId="082FF46B">
      <w:pPr>
        <w:adjustRightInd w:val="0"/>
        <w:snapToGrid w:val="0"/>
        <w:spacing w:line="360" w:lineRule="auto"/>
        <w:rPr>
          <w:sz w:val="44"/>
          <w:szCs w:val="44"/>
          <w:highlight w:val="none"/>
        </w:rPr>
      </w:pPr>
    </w:p>
    <w:p w14:paraId="0A7D968A">
      <w:pPr>
        <w:adjustRightInd w:val="0"/>
        <w:snapToGrid w:val="0"/>
        <w:spacing w:line="360" w:lineRule="auto"/>
        <w:jc w:val="center"/>
        <w:rPr>
          <w:bCs/>
          <w:sz w:val="84"/>
          <w:szCs w:val="84"/>
          <w:highlight w:val="none"/>
        </w:rPr>
      </w:pPr>
      <w:r>
        <w:rPr>
          <w:bCs/>
          <w:sz w:val="84"/>
          <w:szCs w:val="84"/>
          <w:highlight w:val="none"/>
        </w:rPr>
        <w:t>投</w:t>
      </w:r>
      <w:r>
        <w:rPr>
          <w:rFonts w:hint="eastAsia"/>
          <w:bCs/>
          <w:sz w:val="84"/>
          <w:szCs w:val="84"/>
          <w:highlight w:val="none"/>
        </w:rPr>
        <w:t xml:space="preserve"> </w:t>
      </w:r>
      <w:r>
        <w:rPr>
          <w:bCs/>
          <w:sz w:val="84"/>
          <w:szCs w:val="84"/>
          <w:highlight w:val="none"/>
        </w:rPr>
        <w:t>标</w:t>
      </w:r>
      <w:r>
        <w:rPr>
          <w:rFonts w:hint="eastAsia"/>
          <w:bCs/>
          <w:sz w:val="84"/>
          <w:szCs w:val="84"/>
          <w:highlight w:val="none"/>
        </w:rPr>
        <w:t xml:space="preserve"> </w:t>
      </w:r>
      <w:r>
        <w:rPr>
          <w:bCs/>
          <w:sz w:val="84"/>
          <w:szCs w:val="84"/>
          <w:highlight w:val="none"/>
        </w:rPr>
        <w:t>文</w:t>
      </w:r>
      <w:r>
        <w:rPr>
          <w:rFonts w:hint="eastAsia"/>
          <w:bCs/>
          <w:sz w:val="84"/>
          <w:szCs w:val="84"/>
          <w:highlight w:val="none"/>
        </w:rPr>
        <w:t xml:space="preserve"> </w:t>
      </w:r>
      <w:r>
        <w:rPr>
          <w:bCs/>
          <w:sz w:val="84"/>
          <w:szCs w:val="84"/>
          <w:highlight w:val="none"/>
        </w:rPr>
        <w:t>件</w:t>
      </w:r>
    </w:p>
    <w:p w14:paraId="4BA9EFAA">
      <w:pPr>
        <w:widowControl/>
        <w:adjustRightInd w:val="0"/>
        <w:snapToGrid w:val="0"/>
        <w:spacing w:line="360" w:lineRule="auto"/>
        <w:jc w:val="center"/>
        <w:rPr>
          <w:highlight w:val="none"/>
        </w:rPr>
      </w:pPr>
      <w:r>
        <w:rPr>
          <w:rFonts w:hint="eastAsia" w:ascii="宋体" w:hAnsi="宋体" w:cs="宋体"/>
          <w:kern w:val="44"/>
          <w:sz w:val="48"/>
          <w:szCs w:val="48"/>
          <w:highlight w:val="none"/>
          <w:lang w:bidi="ar"/>
        </w:rPr>
        <w:t>（资格文件）</w:t>
      </w:r>
    </w:p>
    <w:p w14:paraId="7B9D971C">
      <w:pPr>
        <w:adjustRightInd w:val="0"/>
        <w:snapToGrid w:val="0"/>
        <w:spacing w:line="360" w:lineRule="auto"/>
        <w:ind w:firstLine="480" w:firstLineChars="200"/>
        <w:rPr>
          <w:rFonts w:hint="eastAsia"/>
          <w:sz w:val="24"/>
          <w:highlight w:val="none"/>
        </w:rPr>
      </w:pPr>
    </w:p>
    <w:p w14:paraId="1749BB1E">
      <w:pPr>
        <w:adjustRightInd w:val="0"/>
        <w:snapToGrid w:val="0"/>
        <w:spacing w:line="360" w:lineRule="auto"/>
        <w:ind w:firstLine="480" w:firstLineChars="200"/>
        <w:rPr>
          <w:rFonts w:hint="eastAsia"/>
          <w:sz w:val="24"/>
          <w:highlight w:val="none"/>
        </w:rPr>
      </w:pPr>
    </w:p>
    <w:p w14:paraId="26A92F4C">
      <w:pPr>
        <w:adjustRightInd w:val="0"/>
        <w:snapToGrid w:val="0"/>
        <w:spacing w:line="360" w:lineRule="auto"/>
        <w:ind w:firstLine="480" w:firstLineChars="200"/>
        <w:rPr>
          <w:rFonts w:hint="eastAsia"/>
          <w:sz w:val="24"/>
          <w:highlight w:val="none"/>
        </w:rPr>
      </w:pPr>
    </w:p>
    <w:p w14:paraId="7AF30717">
      <w:pPr>
        <w:adjustRightInd w:val="0"/>
        <w:snapToGrid w:val="0"/>
        <w:spacing w:line="360" w:lineRule="auto"/>
        <w:ind w:firstLine="480" w:firstLineChars="200"/>
        <w:rPr>
          <w:rFonts w:hint="eastAsia"/>
          <w:sz w:val="24"/>
          <w:highlight w:val="none"/>
        </w:rPr>
      </w:pPr>
    </w:p>
    <w:p w14:paraId="634DDBF5">
      <w:pPr>
        <w:adjustRightInd w:val="0"/>
        <w:snapToGrid w:val="0"/>
        <w:spacing w:line="360" w:lineRule="auto"/>
        <w:ind w:firstLine="480" w:firstLineChars="200"/>
        <w:rPr>
          <w:rFonts w:hint="eastAsia"/>
          <w:sz w:val="24"/>
          <w:highlight w:val="none"/>
        </w:rPr>
      </w:pPr>
    </w:p>
    <w:p w14:paraId="3DF94CFB">
      <w:pPr>
        <w:adjustRightInd w:val="0"/>
        <w:snapToGrid w:val="0"/>
        <w:spacing w:line="360" w:lineRule="auto"/>
        <w:ind w:firstLine="480" w:firstLineChars="200"/>
        <w:rPr>
          <w:rFonts w:hint="eastAsia"/>
          <w:sz w:val="24"/>
          <w:highlight w:val="none"/>
        </w:rPr>
      </w:pPr>
    </w:p>
    <w:p w14:paraId="0BC888D1">
      <w:pPr>
        <w:adjustRightInd w:val="0"/>
        <w:snapToGrid w:val="0"/>
        <w:spacing w:line="360" w:lineRule="auto"/>
        <w:ind w:firstLine="480" w:firstLineChars="200"/>
        <w:jc w:val="center"/>
        <w:rPr>
          <w:sz w:val="24"/>
          <w:highlight w:val="none"/>
        </w:rPr>
      </w:pPr>
    </w:p>
    <w:p w14:paraId="3FB5C735">
      <w:pPr>
        <w:adjustRightInd w:val="0"/>
        <w:snapToGrid w:val="0"/>
        <w:spacing w:line="360" w:lineRule="auto"/>
        <w:ind w:firstLine="480" w:firstLineChars="200"/>
        <w:jc w:val="center"/>
        <w:rPr>
          <w:rFonts w:hint="eastAsia"/>
          <w:sz w:val="24"/>
          <w:highlight w:val="none"/>
        </w:rPr>
      </w:pPr>
    </w:p>
    <w:p w14:paraId="48F829BC">
      <w:pPr>
        <w:adjustRightInd w:val="0"/>
        <w:snapToGrid w:val="0"/>
        <w:spacing w:line="360" w:lineRule="auto"/>
        <w:ind w:firstLine="480" w:firstLineChars="200"/>
        <w:jc w:val="center"/>
        <w:rPr>
          <w:sz w:val="24"/>
          <w:highlight w:val="none"/>
        </w:rPr>
      </w:pPr>
    </w:p>
    <w:p w14:paraId="62785B92">
      <w:pPr>
        <w:adjustRightInd w:val="0"/>
        <w:snapToGrid w:val="0"/>
        <w:spacing w:line="360" w:lineRule="auto"/>
        <w:ind w:firstLine="1400" w:firstLineChars="500"/>
        <w:rPr>
          <w:snapToGrid w:val="0"/>
          <w:kern w:val="0"/>
          <w:sz w:val="28"/>
          <w:szCs w:val="28"/>
          <w:highlight w:val="none"/>
          <w:u w:val="single"/>
        </w:rPr>
      </w:pPr>
      <w:r>
        <w:rPr>
          <w:rFonts w:hint="eastAsia"/>
          <w:snapToGrid w:val="0"/>
          <w:kern w:val="0"/>
          <w:sz w:val="28"/>
          <w:szCs w:val="28"/>
          <w:highlight w:val="none"/>
        </w:rPr>
        <w:t>供应商</w:t>
      </w:r>
      <w:r>
        <w:rPr>
          <w:snapToGrid w:val="0"/>
          <w:kern w:val="0"/>
          <w:sz w:val="28"/>
          <w:szCs w:val="28"/>
          <w:highlight w:val="none"/>
        </w:rPr>
        <w:t>：</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w:t>
      </w:r>
      <w:r>
        <w:rPr>
          <w:rFonts w:hint="eastAsia"/>
          <w:snapToGrid w:val="0"/>
          <w:kern w:val="0"/>
          <w:sz w:val="28"/>
          <w:szCs w:val="28"/>
          <w:highlight w:val="none"/>
          <w:u w:val="single"/>
        </w:rPr>
        <w:t>（盖电子公章</w:t>
      </w:r>
      <w:r>
        <w:rPr>
          <w:snapToGrid w:val="0"/>
          <w:kern w:val="0"/>
          <w:sz w:val="28"/>
          <w:szCs w:val="28"/>
          <w:highlight w:val="none"/>
          <w:u w:val="single"/>
        </w:rPr>
        <w:t>）</w:t>
      </w:r>
    </w:p>
    <w:p w14:paraId="31D161E7">
      <w:pPr>
        <w:adjustRightInd w:val="0"/>
        <w:snapToGrid w:val="0"/>
        <w:spacing w:line="360" w:lineRule="auto"/>
        <w:ind w:firstLine="1400" w:firstLineChars="500"/>
        <w:rPr>
          <w:snapToGrid w:val="0"/>
          <w:kern w:val="0"/>
          <w:sz w:val="28"/>
          <w:szCs w:val="28"/>
          <w:highlight w:val="none"/>
        </w:rPr>
      </w:pPr>
      <w:r>
        <w:rPr>
          <w:snapToGrid w:val="0"/>
          <w:kern w:val="0"/>
          <w:sz w:val="28"/>
          <w:szCs w:val="28"/>
          <w:highlight w:val="none"/>
        </w:rPr>
        <w:t>法定代表人或其委托代理人：</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（签字或盖</w:t>
      </w:r>
      <w:r>
        <w:rPr>
          <w:rFonts w:hint="eastAsia"/>
          <w:snapToGrid w:val="0"/>
          <w:kern w:val="0"/>
          <w:sz w:val="28"/>
          <w:szCs w:val="28"/>
          <w:highlight w:val="none"/>
          <w:u w:val="single"/>
        </w:rPr>
        <w:t>电子</w:t>
      </w:r>
      <w:r>
        <w:rPr>
          <w:snapToGrid w:val="0"/>
          <w:kern w:val="0"/>
          <w:sz w:val="28"/>
          <w:szCs w:val="28"/>
          <w:highlight w:val="none"/>
          <w:u w:val="single"/>
        </w:rPr>
        <w:t>章）</w:t>
      </w:r>
    </w:p>
    <w:p w14:paraId="01EAAF16">
      <w:pPr>
        <w:adjustRightInd w:val="0"/>
        <w:snapToGrid w:val="0"/>
        <w:spacing w:line="360" w:lineRule="auto"/>
        <w:ind w:firstLine="1400" w:firstLineChars="500"/>
        <w:rPr>
          <w:snapToGrid w:val="0"/>
          <w:kern w:val="0"/>
          <w:sz w:val="28"/>
          <w:szCs w:val="28"/>
          <w:highlight w:val="none"/>
        </w:rPr>
      </w:pPr>
      <w:r>
        <w:rPr>
          <w:snapToGrid w:val="0"/>
          <w:kern w:val="0"/>
          <w:sz w:val="28"/>
          <w:szCs w:val="28"/>
          <w:highlight w:val="none"/>
        </w:rPr>
        <w:t>日  期：</w:t>
      </w:r>
      <w:r>
        <w:rPr>
          <w:snapToGrid w:val="0"/>
          <w:kern w:val="0"/>
          <w:sz w:val="28"/>
          <w:szCs w:val="28"/>
          <w:highlight w:val="none"/>
          <w:u w:val="single"/>
        </w:rPr>
        <w:t xml:space="preserve">      </w:t>
      </w:r>
      <w:r>
        <w:rPr>
          <w:snapToGrid w:val="0"/>
          <w:kern w:val="0"/>
          <w:sz w:val="28"/>
          <w:szCs w:val="28"/>
          <w:highlight w:val="none"/>
        </w:rPr>
        <w:t>年</w:t>
      </w:r>
      <w:r>
        <w:rPr>
          <w:snapToGrid w:val="0"/>
          <w:kern w:val="0"/>
          <w:sz w:val="28"/>
          <w:szCs w:val="28"/>
          <w:highlight w:val="none"/>
          <w:u w:val="single"/>
        </w:rPr>
        <w:t xml:space="preserve">    </w:t>
      </w:r>
      <w:r>
        <w:rPr>
          <w:snapToGrid w:val="0"/>
          <w:kern w:val="0"/>
          <w:sz w:val="28"/>
          <w:szCs w:val="28"/>
          <w:highlight w:val="none"/>
        </w:rPr>
        <w:t>月</w:t>
      </w:r>
      <w:r>
        <w:rPr>
          <w:snapToGrid w:val="0"/>
          <w:kern w:val="0"/>
          <w:sz w:val="28"/>
          <w:szCs w:val="28"/>
          <w:highlight w:val="none"/>
          <w:u w:val="single"/>
        </w:rPr>
        <w:t xml:space="preserve">    </w:t>
      </w:r>
      <w:r>
        <w:rPr>
          <w:snapToGrid w:val="0"/>
          <w:kern w:val="0"/>
          <w:sz w:val="28"/>
          <w:szCs w:val="28"/>
          <w:highlight w:val="none"/>
        </w:rPr>
        <w:t>日</w:t>
      </w:r>
    </w:p>
    <w:p w14:paraId="000F7E90">
      <w:pPr>
        <w:spacing w:line="360" w:lineRule="auto"/>
        <w:jc w:val="center"/>
        <w:rPr>
          <w:rFonts w:hint="eastAsia"/>
          <w:b/>
          <w:bCs/>
          <w:sz w:val="32"/>
          <w:szCs w:val="32"/>
          <w:highlight w:val="none"/>
        </w:rPr>
      </w:pPr>
      <w:r>
        <w:rPr>
          <w:b/>
          <w:bCs/>
          <w:sz w:val="32"/>
          <w:szCs w:val="32"/>
          <w:highlight w:val="none"/>
        </w:rPr>
        <w:br w:type="page"/>
      </w:r>
      <w:r>
        <w:rPr>
          <w:rFonts w:hint="eastAsia"/>
          <w:b/>
          <w:bCs/>
          <w:sz w:val="32"/>
          <w:szCs w:val="32"/>
          <w:highlight w:val="none"/>
        </w:rPr>
        <w:t>资格文件目录</w:t>
      </w:r>
    </w:p>
    <w:p w14:paraId="563D11C3">
      <w:pPr>
        <w:pStyle w:val="81"/>
        <w:rPr>
          <w:rFonts w:hint="eastAsia"/>
          <w:highlight w:val="none"/>
        </w:rPr>
      </w:pPr>
    </w:p>
    <w:p w14:paraId="2415FFD6">
      <w:pPr>
        <w:pStyle w:val="81"/>
        <w:spacing w:line="480" w:lineRule="auto"/>
        <w:rPr>
          <w:rFonts w:hint="eastAsia" w:ascii="宋体" w:hAnsi="宋体"/>
          <w:sz w:val="24"/>
          <w:szCs w:val="24"/>
          <w:highlight w:val="none"/>
        </w:rPr>
      </w:pPr>
      <w:r>
        <w:rPr>
          <w:rFonts w:hint="eastAsia" w:ascii="宋体" w:hAnsi="宋体"/>
          <w:sz w:val="24"/>
          <w:szCs w:val="24"/>
          <w:highlight w:val="none"/>
        </w:rPr>
        <w:t>一、营业执照（或者事业单位法人证书、社会团体法人登记证书、其他组织登记证明文件）副本复印件（加盖公章）</w:t>
      </w:r>
    </w:p>
    <w:p w14:paraId="5C0328E7">
      <w:pPr>
        <w:pStyle w:val="81"/>
        <w:spacing w:line="480" w:lineRule="auto"/>
        <w:rPr>
          <w:rFonts w:hint="eastAsia" w:ascii="宋体" w:hAnsi="宋体"/>
          <w:sz w:val="24"/>
          <w:szCs w:val="24"/>
          <w:highlight w:val="none"/>
        </w:rPr>
      </w:pPr>
      <w:r>
        <w:rPr>
          <w:rFonts w:hint="eastAsia" w:ascii="宋体" w:hAnsi="宋体"/>
          <w:sz w:val="24"/>
          <w:szCs w:val="24"/>
          <w:highlight w:val="none"/>
        </w:rPr>
        <w:t>二、法定代表人身份证明或附有法定代表人和授权代表身份证明的授权委托书</w:t>
      </w:r>
    </w:p>
    <w:p w14:paraId="6B1D067C">
      <w:pPr>
        <w:pStyle w:val="81"/>
        <w:spacing w:line="480" w:lineRule="auto"/>
        <w:rPr>
          <w:rFonts w:hint="eastAsia" w:ascii="宋体" w:hAnsi="宋体"/>
          <w:sz w:val="24"/>
          <w:szCs w:val="24"/>
          <w:highlight w:val="none"/>
        </w:rPr>
      </w:pPr>
      <w:r>
        <w:rPr>
          <w:rFonts w:hint="eastAsia" w:ascii="宋体" w:hAnsi="宋体"/>
          <w:sz w:val="24"/>
          <w:szCs w:val="24"/>
          <w:highlight w:val="none"/>
        </w:rPr>
        <w:t>三、投标声明书</w:t>
      </w:r>
    </w:p>
    <w:p w14:paraId="7B6CFB52">
      <w:pPr>
        <w:rPr>
          <w:rFonts w:hint="eastAsia"/>
          <w:sz w:val="24"/>
          <w:highlight w:val="none"/>
        </w:rPr>
      </w:pPr>
      <w:r>
        <w:rPr>
          <w:rFonts w:hint="eastAsia"/>
          <w:sz w:val="24"/>
          <w:highlight w:val="none"/>
        </w:rPr>
        <w:t>四、本项目的特定资格要求</w:t>
      </w:r>
    </w:p>
    <w:p w14:paraId="3862ED74">
      <w:pPr>
        <w:pStyle w:val="81"/>
        <w:rPr>
          <w:rFonts w:hint="eastAsia"/>
          <w:highlight w:val="none"/>
        </w:rPr>
      </w:pPr>
    </w:p>
    <w:p w14:paraId="12FA52E6">
      <w:pPr>
        <w:pStyle w:val="3"/>
        <w:spacing w:before="480" w:after="120"/>
        <w:rPr>
          <w:rFonts w:hint="eastAsia"/>
          <w:highlight w:val="none"/>
        </w:rPr>
      </w:pPr>
      <w:r>
        <w:rPr>
          <w:highlight w:val="none"/>
        </w:rPr>
        <w:br w:type="page"/>
      </w:r>
      <w:r>
        <w:rPr>
          <w:rFonts w:hint="eastAsia"/>
          <w:highlight w:val="none"/>
        </w:rPr>
        <w:t>一、营业执照（或者事业单位法人证书、社会团体法人登记证书、其他组织登记证明文件）副本复印件（加盖公章）</w:t>
      </w:r>
    </w:p>
    <w:p w14:paraId="1A47F4F4">
      <w:pPr>
        <w:pStyle w:val="81"/>
        <w:rPr>
          <w:rFonts w:hint="eastAsia"/>
          <w:highlight w:val="none"/>
        </w:rPr>
      </w:pPr>
    </w:p>
    <w:p w14:paraId="014E8566">
      <w:pPr>
        <w:spacing w:line="360" w:lineRule="auto"/>
        <w:rPr>
          <w:highlight w:val="none"/>
        </w:rPr>
      </w:pPr>
      <w:r>
        <w:rPr>
          <w:b/>
          <w:bCs/>
          <w:szCs w:val="32"/>
          <w:highlight w:val="none"/>
        </w:rPr>
        <w:br w:type="page"/>
      </w:r>
    </w:p>
    <w:p w14:paraId="27C23949">
      <w:pPr>
        <w:pStyle w:val="3"/>
        <w:spacing w:before="480" w:after="120"/>
        <w:rPr>
          <w:rFonts w:hint="eastAsia" w:cs="宋体"/>
          <w:b w:val="0"/>
          <w:highlight w:val="none"/>
        </w:rPr>
      </w:pPr>
      <w:r>
        <w:rPr>
          <w:rFonts w:hint="eastAsia"/>
          <w:highlight w:val="none"/>
        </w:rPr>
        <w:t>二、法定代表人身份证明书及法定代表人授权书</w:t>
      </w:r>
    </w:p>
    <w:p w14:paraId="1F879273">
      <w:pPr>
        <w:spacing w:line="360" w:lineRule="auto"/>
        <w:jc w:val="center"/>
        <w:rPr>
          <w:rFonts w:hint="eastAsia" w:cs="宋体"/>
          <w:b/>
          <w:sz w:val="32"/>
          <w:highlight w:val="none"/>
        </w:rPr>
      </w:pPr>
    </w:p>
    <w:p w14:paraId="5131EDC0">
      <w:pPr>
        <w:spacing w:line="360" w:lineRule="auto"/>
        <w:jc w:val="center"/>
        <w:rPr>
          <w:rFonts w:hint="eastAsia" w:cs="宋体"/>
          <w:b/>
          <w:sz w:val="32"/>
          <w:highlight w:val="none"/>
        </w:rPr>
      </w:pPr>
      <w:r>
        <w:rPr>
          <w:rFonts w:hint="eastAsia" w:cs="宋体"/>
          <w:b/>
          <w:sz w:val="32"/>
          <w:highlight w:val="none"/>
        </w:rPr>
        <w:t>法定代表人身份证明书</w:t>
      </w:r>
    </w:p>
    <w:p w14:paraId="0FF9E278">
      <w:pPr>
        <w:pStyle w:val="18"/>
        <w:spacing w:line="360" w:lineRule="auto"/>
        <w:jc w:val="center"/>
        <w:rPr>
          <w:rFonts w:hint="eastAsia" w:cs="宋体"/>
          <w:b/>
          <w:bCs/>
          <w:snapToGrid w:val="0"/>
          <w:szCs w:val="28"/>
          <w:highlight w:val="none"/>
        </w:rPr>
      </w:pPr>
      <w:r>
        <w:rPr>
          <w:rFonts w:hint="eastAsia" w:cs="宋体"/>
          <w:b/>
          <w:bCs/>
          <w:snapToGrid w:val="0"/>
          <w:szCs w:val="28"/>
          <w:highlight w:val="none"/>
        </w:rPr>
        <w:t xml:space="preserve"> </w:t>
      </w:r>
    </w:p>
    <w:p w14:paraId="25363D96">
      <w:pPr>
        <w:spacing w:line="360" w:lineRule="auto"/>
        <w:ind w:left="-6" w:leftChars="-3" w:firstLine="480" w:firstLineChars="200"/>
        <w:rPr>
          <w:rFonts w:hint="eastAsia" w:cs="宋体"/>
          <w:sz w:val="24"/>
          <w:highlight w:val="none"/>
          <w:u w:val="single"/>
        </w:rPr>
      </w:pPr>
      <w:r>
        <w:rPr>
          <w:rFonts w:hint="eastAsia" w:cs="宋体"/>
          <w:sz w:val="24"/>
          <w:highlight w:val="none"/>
        </w:rPr>
        <w:t>单位名称：</w:t>
      </w:r>
      <w:r>
        <w:rPr>
          <w:rFonts w:hint="eastAsia" w:cs="宋体"/>
          <w:sz w:val="24"/>
          <w:highlight w:val="none"/>
          <w:u w:val="single"/>
        </w:rPr>
        <w:t xml:space="preserve">                               </w:t>
      </w:r>
    </w:p>
    <w:p w14:paraId="2D867263">
      <w:pPr>
        <w:spacing w:line="360" w:lineRule="auto"/>
        <w:ind w:left="-6" w:leftChars="-3" w:firstLine="480" w:firstLineChars="200"/>
        <w:rPr>
          <w:rFonts w:hint="eastAsia" w:cs="宋体"/>
          <w:sz w:val="24"/>
          <w:highlight w:val="none"/>
          <w:u w:val="single"/>
        </w:rPr>
      </w:pPr>
      <w:r>
        <w:rPr>
          <w:rFonts w:hint="eastAsia" w:cs="宋体"/>
          <w:sz w:val="24"/>
          <w:highlight w:val="none"/>
        </w:rPr>
        <w:t>地址：</w:t>
      </w:r>
      <w:r>
        <w:rPr>
          <w:rFonts w:hint="eastAsia" w:cs="宋体"/>
          <w:sz w:val="24"/>
          <w:highlight w:val="none"/>
          <w:u w:val="single"/>
        </w:rPr>
        <w:t xml:space="preserve">                                   </w:t>
      </w:r>
    </w:p>
    <w:p w14:paraId="6E1B9B40">
      <w:pPr>
        <w:spacing w:line="360" w:lineRule="auto"/>
        <w:ind w:left="-6" w:leftChars="-3" w:firstLine="480" w:firstLineChars="200"/>
        <w:rPr>
          <w:rFonts w:hint="eastAsia" w:cs="宋体"/>
          <w:sz w:val="24"/>
          <w:highlight w:val="none"/>
        </w:rPr>
      </w:pPr>
      <w:r>
        <w:rPr>
          <w:rFonts w:hint="eastAsia" w:cs="宋体"/>
          <w:sz w:val="24"/>
          <w:highlight w:val="none"/>
        </w:rPr>
        <w:t>姓名：</w:t>
      </w:r>
      <w:r>
        <w:rPr>
          <w:rFonts w:hint="eastAsia" w:cs="宋体"/>
          <w:sz w:val="24"/>
          <w:highlight w:val="none"/>
          <w:u w:val="single"/>
        </w:rPr>
        <w:t xml:space="preserve">       </w:t>
      </w:r>
      <w:r>
        <w:rPr>
          <w:rFonts w:hint="eastAsia" w:cs="宋体"/>
          <w:sz w:val="24"/>
          <w:highlight w:val="none"/>
        </w:rPr>
        <w:t>性别：</w:t>
      </w:r>
      <w:r>
        <w:rPr>
          <w:rFonts w:hint="eastAsia" w:cs="宋体"/>
          <w:sz w:val="24"/>
          <w:highlight w:val="none"/>
          <w:u w:val="single"/>
        </w:rPr>
        <w:t xml:space="preserve">      </w:t>
      </w:r>
      <w:r>
        <w:rPr>
          <w:rFonts w:hint="eastAsia" w:cs="宋体"/>
          <w:sz w:val="24"/>
          <w:highlight w:val="none"/>
        </w:rPr>
        <w:t>年龄：</w:t>
      </w:r>
      <w:r>
        <w:rPr>
          <w:rFonts w:hint="eastAsia" w:cs="宋体"/>
          <w:sz w:val="24"/>
          <w:highlight w:val="none"/>
          <w:u w:val="single"/>
        </w:rPr>
        <w:t xml:space="preserve">       </w:t>
      </w:r>
      <w:r>
        <w:rPr>
          <w:rFonts w:hint="eastAsia" w:cs="宋体"/>
          <w:sz w:val="24"/>
          <w:highlight w:val="none"/>
        </w:rPr>
        <w:t>职务：</w:t>
      </w:r>
      <w:r>
        <w:rPr>
          <w:rFonts w:hint="eastAsia" w:cs="宋体"/>
          <w:sz w:val="24"/>
          <w:highlight w:val="none"/>
          <w:u w:val="single"/>
        </w:rPr>
        <w:t xml:space="preserve">             </w:t>
      </w:r>
      <w:r>
        <w:rPr>
          <w:rFonts w:hint="eastAsia" w:cs="宋体"/>
          <w:sz w:val="24"/>
          <w:highlight w:val="none"/>
        </w:rPr>
        <w:t>，系法定代表人。</w:t>
      </w:r>
    </w:p>
    <w:p w14:paraId="23DC775B">
      <w:pPr>
        <w:spacing w:line="360" w:lineRule="auto"/>
        <w:ind w:left="-6" w:leftChars="-3" w:firstLine="480" w:firstLineChars="200"/>
        <w:rPr>
          <w:rFonts w:hint="eastAsia" w:cs="宋体"/>
          <w:sz w:val="24"/>
          <w:highlight w:val="none"/>
        </w:rPr>
      </w:pPr>
    </w:p>
    <w:p w14:paraId="64E21375">
      <w:pPr>
        <w:spacing w:line="360" w:lineRule="auto"/>
        <w:ind w:left="-6" w:leftChars="-3" w:firstLine="480" w:firstLineChars="200"/>
        <w:rPr>
          <w:rFonts w:hint="eastAsia" w:cs="宋体"/>
          <w:sz w:val="24"/>
          <w:highlight w:val="none"/>
          <w:u w:val="single"/>
        </w:rPr>
      </w:pPr>
    </w:p>
    <w:p w14:paraId="7CB0E091">
      <w:pPr>
        <w:spacing w:line="360" w:lineRule="auto"/>
        <w:ind w:left="-6" w:leftChars="-3" w:firstLine="480" w:firstLineChars="200"/>
        <w:rPr>
          <w:rFonts w:hint="eastAsia" w:cs="宋体"/>
          <w:sz w:val="24"/>
          <w:highlight w:val="none"/>
        </w:rPr>
      </w:pPr>
      <w:r>
        <w:rPr>
          <w:rFonts w:hint="eastAsia" w:cs="宋体"/>
          <w:sz w:val="24"/>
          <w:highlight w:val="none"/>
        </w:rPr>
        <w:t>特此证明。</w:t>
      </w:r>
    </w:p>
    <w:p w14:paraId="0BBCE0C6">
      <w:pPr>
        <w:spacing w:line="360" w:lineRule="auto"/>
        <w:ind w:left="-6" w:leftChars="-3" w:firstLine="480" w:firstLineChars="200"/>
        <w:rPr>
          <w:rFonts w:hint="eastAsia" w:cs="宋体"/>
          <w:sz w:val="24"/>
          <w:highlight w:val="none"/>
        </w:rPr>
      </w:pPr>
    </w:p>
    <w:p w14:paraId="23E3E3AF">
      <w:pPr>
        <w:spacing w:line="360" w:lineRule="auto"/>
        <w:ind w:left="-6" w:leftChars="-3" w:firstLine="480" w:firstLineChars="200"/>
        <w:rPr>
          <w:rFonts w:hint="eastAsia" w:cs="宋体"/>
          <w:sz w:val="24"/>
          <w:highlight w:val="none"/>
        </w:rPr>
      </w:pPr>
    </w:p>
    <w:p w14:paraId="40C422E5">
      <w:pPr>
        <w:spacing w:line="360" w:lineRule="auto"/>
        <w:ind w:firstLine="3000" w:firstLineChars="1250"/>
        <w:rPr>
          <w:rFonts w:hint="eastAsia" w:cs="宋体"/>
          <w:sz w:val="24"/>
          <w:highlight w:val="none"/>
        </w:rPr>
      </w:pPr>
      <w:r>
        <w:rPr>
          <w:rFonts w:hint="eastAsia" w:cs="宋体"/>
          <w:sz w:val="24"/>
          <w:highlight w:val="none"/>
        </w:rPr>
        <w:t>供应商（盖电子公章）：</w:t>
      </w:r>
    </w:p>
    <w:p w14:paraId="45EF3696">
      <w:pPr>
        <w:spacing w:line="360" w:lineRule="auto"/>
        <w:ind w:firstLine="3000" w:firstLineChars="1250"/>
        <w:rPr>
          <w:rFonts w:hint="eastAsia" w:cs="宋体"/>
          <w:sz w:val="24"/>
          <w:highlight w:val="none"/>
        </w:rPr>
      </w:pPr>
      <w:r>
        <w:rPr>
          <w:rFonts w:hint="eastAsia" w:cs="宋体"/>
          <w:sz w:val="24"/>
          <w:highlight w:val="none"/>
        </w:rPr>
        <w:t>法定代表人签字或盖电子章：</w:t>
      </w:r>
    </w:p>
    <w:p w14:paraId="01151E94">
      <w:pPr>
        <w:autoSpaceDE w:val="0"/>
        <w:autoSpaceDN w:val="0"/>
        <w:adjustRightInd w:val="0"/>
        <w:spacing w:line="360" w:lineRule="auto"/>
        <w:ind w:right="420"/>
        <w:rPr>
          <w:rFonts w:hint="eastAsia" w:cs="宋体"/>
          <w:sz w:val="24"/>
          <w:highlight w:val="none"/>
        </w:rPr>
      </w:pPr>
      <w:r>
        <w:rPr>
          <w:rFonts w:hint="eastAsia" w:cs="宋体"/>
          <w:sz w:val="24"/>
          <w:highlight w:val="none"/>
        </w:rPr>
        <w:t xml:space="preserve">                         日　期：</w:t>
      </w:r>
    </w:p>
    <w:p w14:paraId="527EC5BC">
      <w:pPr>
        <w:autoSpaceDE w:val="0"/>
        <w:autoSpaceDN w:val="0"/>
        <w:adjustRightInd w:val="0"/>
        <w:spacing w:line="360" w:lineRule="auto"/>
        <w:ind w:right="420"/>
        <w:rPr>
          <w:rFonts w:hint="eastAsia" w:cs="宋体"/>
          <w:sz w:val="24"/>
          <w:highlight w:val="none"/>
        </w:rPr>
      </w:pPr>
      <w:r>
        <w:rPr>
          <w:rFonts w:hint="eastAsia" w:cs="宋体"/>
          <w:sz w:val="24"/>
          <w:highlight w:val="none"/>
        </w:rPr>
        <w:br w:type="page"/>
      </w:r>
    </w:p>
    <w:p w14:paraId="2CCB7904">
      <w:pPr>
        <w:spacing w:line="360" w:lineRule="auto"/>
        <w:jc w:val="center"/>
        <w:rPr>
          <w:rFonts w:hint="eastAsia" w:cs="宋体"/>
          <w:b/>
          <w:sz w:val="32"/>
          <w:highlight w:val="none"/>
        </w:rPr>
      </w:pPr>
      <w:r>
        <w:rPr>
          <w:rFonts w:hint="eastAsia" w:cs="宋体"/>
          <w:b/>
          <w:sz w:val="32"/>
          <w:highlight w:val="none"/>
        </w:rPr>
        <w:t>法定代表人授权书</w:t>
      </w:r>
    </w:p>
    <w:p w14:paraId="1AC8F8E0">
      <w:pPr>
        <w:spacing w:line="360" w:lineRule="auto"/>
        <w:ind w:right="-21" w:rightChars="-10"/>
        <w:jc w:val="center"/>
        <w:rPr>
          <w:rFonts w:hint="eastAsia" w:cs="宋体"/>
          <w:b/>
          <w:spacing w:val="20"/>
          <w:sz w:val="24"/>
          <w:highlight w:val="none"/>
        </w:rPr>
      </w:pPr>
    </w:p>
    <w:p w14:paraId="424A75A3">
      <w:pPr>
        <w:pStyle w:val="25"/>
        <w:adjustRightInd w:val="0"/>
        <w:snapToGrid w:val="0"/>
        <w:spacing w:line="360" w:lineRule="auto"/>
        <w:rPr>
          <w:rFonts w:hint="eastAsia" w:ascii="Times New Roman" w:hAnsi="Times New Roman" w:cs="宋体"/>
          <w:sz w:val="24"/>
          <w:szCs w:val="24"/>
          <w:highlight w:val="none"/>
        </w:rPr>
      </w:pPr>
      <w:r>
        <w:rPr>
          <w:rFonts w:hint="eastAsia" w:ascii="Times New Roman" w:hAnsi="Times New Roman" w:cs="宋体"/>
          <w:sz w:val="24"/>
          <w:szCs w:val="24"/>
          <w:highlight w:val="none"/>
          <w:u w:val="single"/>
        </w:rPr>
        <w:t xml:space="preserve">                    </w:t>
      </w:r>
      <w:r>
        <w:rPr>
          <w:rFonts w:hint="eastAsia" w:ascii="Times New Roman" w:hAnsi="Times New Roman" w:cs="宋体"/>
          <w:sz w:val="24"/>
          <w:szCs w:val="24"/>
          <w:highlight w:val="none"/>
        </w:rPr>
        <w:t>：</w:t>
      </w:r>
    </w:p>
    <w:p w14:paraId="049F8238">
      <w:pPr>
        <w:adjustRightInd w:val="0"/>
        <w:spacing w:line="360" w:lineRule="auto"/>
        <w:jc w:val="left"/>
        <w:rPr>
          <w:rFonts w:hint="eastAsia" w:cs="宋体"/>
          <w:b/>
          <w:snapToGrid w:val="0"/>
          <w:kern w:val="0"/>
          <w:sz w:val="32"/>
          <w:szCs w:val="20"/>
          <w:highlight w:val="none"/>
        </w:rPr>
      </w:pPr>
      <w:r>
        <w:rPr>
          <w:rFonts w:hint="eastAsia" w:cs="宋体"/>
          <w:sz w:val="24"/>
          <w:highlight w:val="none"/>
        </w:rPr>
        <w:t xml:space="preserve">     </w:t>
      </w:r>
    </w:p>
    <w:p w14:paraId="3D0A1780">
      <w:pPr>
        <w:spacing w:line="360" w:lineRule="auto"/>
        <w:ind w:firstLine="480"/>
        <w:jc w:val="left"/>
        <w:rPr>
          <w:rFonts w:hint="eastAsia" w:cs="宋体"/>
          <w:sz w:val="24"/>
          <w:highlight w:val="none"/>
        </w:rPr>
      </w:pPr>
      <w:r>
        <w:rPr>
          <w:rFonts w:hint="eastAsia" w:cs="宋体"/>
          <w:sz w:val="24"/>
          <w:highlight w:val="none"/>
        </w:rPr>
        <w:t>本人 ____________（姓名）系_________________（供应商全称）的法定代表人，现授权_____________（授权委托人姓名）为我方授权委托人，参加贵方组织的</w:t>
      </w:r>
      <w:r>
        <w:rPr>
          <w:rFonts w:hint="eastAsia" w:cs="宋体"/>
          <w:sz w:val="24"/>
          <w:highlight w:val="none"/>
          <w:u w:val="single"/>
        </w:rPr>
        <w:t xml:space="preserve">                </w:t>
      </w:r>
      <w:r>
        <w:rPr>
          <w:rFonts w:hint="eastAsia" w:cs="宋体"/>
          <w:sz w:val="24"/>
          <w:highlight w:val="none"/>
        </w:rPr>
        <w:t>项目(采购编号：</w:t>
      </w:r>
      <w:r>
        <w:rPr>
          <w:rFonts w:hint="eastAsia" w:cs="宋体"/>
          <w:sz w:val="24"/>
          <w:highlight w:val="none"/>
          <w:u w:val="single"/>
        </w:rPr>
        <w:t xml:space="preserve">        </w:t>
      </w:r>
      <w:r>
        <w:rPr>
          <w:rFonts w:hint="eastAsia" w:cs="宋体"/>
          <w:sz w:val="24"/>
          <w:highlight w:val="none"/>
        </w:rPr>
        <w:t>)采购活动，授权委托人以我方名义签署、澄清、说明、补正、递交、撤回、修改响应文件、签订合同和处理有关事宜，其法律后果由我方承担。</w:t>
      </w:r>
    </w:p>
    <w:p w14:paraId="33A90E52">
      <w:pPr>
        <w:spacing w:line="360" w:lineRule="auto"/>
        <w:ind w:firstLine="480"/>
        <w:rPr>
          <w:rFonts w:hint="eastAsia" w:cs="宋体"/>
          <w:sz w:val="24"/>
          <w:highlight w:val="none"/>
          <w:u w:val="single"/>
        </w:rPr>
      </w:pPr>
      <w:r>
        <w:rPr>
          <w:rFonts w:hint="eastAsia" w:cs="宋体"/>
          <w:sz w:val="24"/>
          <w:highlight w:val="none"/>
        </w:rPr>
        <w:t>委托期限：</w:t>
      </w:r>
      <w:r>
        <w:rPr>
          <w:rFonts w:hint="eastAsia" w:cs="宋体"/>
          <w:sz w:val="24"/>
          <w:highlight w:val="none"/>
          <w:u w:val="single"/>
        </w:rPr>
        <w:t>同本项目投标有效期。</w:t>
      </w:r>
    </w:p>
    <w:p w14:paraId="7073B178">
      <w:pPr>
        <w:adjustRightInd w:val="0"/>
        <w:spacing w:line="360" w:lineRule="auto"/>
        <w:ind w:firstLine="480" w:firstLineChars="200"/>
        <w:rPr>
          <w:rFonts w:hint="eastAsia" w:cs="宋体"/>
          <w:snapToGrid w:val="0"/>
          <w:kern w:val="0"/>
          <w:sz w:val="24"/>
          <w:highlight w:val="none"/>
        </w:rPr>
      </w:pPr>
      <w:r>
        <w:rPr>
          <w:rFonts w:hint="eastAsia" w:cs="宋体"/>
          <w:sz w:val="24"/>
          <w:highlight w:val="none"/>
        </w:rPr>
        <w:t>授权委托人无转委托权</w:t>
      </w:r>
      <w:r>
        <w:rPr>
          <w:rFonts w:hint="eastAsia" w:cs="宋体"/>
          <w:snapToGrid w:val="0"/>
          <w:kern w:val="0"/>
          <w:sz w:val="24"/>
          <w:highlight w:val="none"/>
        </w:rPr>
        <w:t>。</w:t>
      </w:r>
    </w:p>
    <w:p w14:paraId="6C2FF11F">
      <w:pPr>
        <w:adjustRightInd w:val="0"/>
        <w:spacing w:line="360" w:lineRule="auto"/>
        <w:ind w:firstLine="480" w:firstLineChars="200"/>
        <w:rPr>
          <w:rFonts w:hint="eastAsia" w:cs="宋体"/>
          <w:snapToGrid w:val="0"/>
          <w:kern w:val="0"/>
          <w:sz w:val="24"/>
          <w:highlight w:val="none"/>
        </w:rPr>
      </w:pPr>
    </w:p>
    <w:p w14:paraId="5D9A3854">
      <w:pPr>
        <w:adjustRightInd w:val="0"/>
        <w:spacing w:line="360" w:lineRule="auto"/>
        <w:ind w:firstLine="480" w:firstLineChars="200"/>
        <w:rPr>
          <w:rFonts w:hint="eastAsia" w:cs="宋体"/>
          <w:snapToGrid w:val="0"/>
          <w:kern w:val="0"/>
          <w:sz w:val="24"/>
          <w:highlight w:val="none"/>
        </w:rPr>
      </w:pPr>
    </w:p>
    <w:p w14:paraId="71C56458">
      <w:pPr>
        <w:adjustRightInd w:val="0"/>
        <w:spacing w:line="360" w:lineRule="auto"/>
        <w:ind w:firstLine="480" w:firstLineChars="200"/>
        <w:rPr>
          <w:rFonts w:hint="eastAsia" w:cs="宋体"/>
          <w:snapToGrid w:val="0"/>
          <w:kern w:val="0"/>
          <w:sz w:val="24"/>
          <w:highlight w:val="none"/>
        </w:rPr>
      </w:pPr>
    </w:p>
    <w:p w14:paraId="2434384C">
      <w:pPr>
        <w:spacing w:line="360" w:lineRule="auto"/>
        <w:ind w:firstLine="3000" w:firstLineChars="1250"/>
        <w:rPr>
          <w:rFonts w:hint="eastAsia" w:cs="宋体"/>
          <w:sz w:val="24"/>
          <w:highlight w:val="none"/>
        </w:rPr>
      </w:pPr>
      <w:r>
        <w:rPr>
          <w:rFonts w:hint="eastAsia" w:cs="宋体"/>
          <w:sz w:val="24"/>
          <w:highlight w:val="none"/>
        </w:rPr>
        <w:t>供应商（盖电子公章）：</w:t>
      </w:r>
    </w:p>
    <w:p w14:paraId="6EB9D97B">
      <w:pPr>
        <w:spacing w:line="360" w:lineRule="auto"/>
        <w:ind w:firstLine="3000" w:firstLineChars="1250"/>
        <w:rPr>
          <w:rFonts w:hint="eastAsia" w:cs="宋体"/>
          <w:sz w:val="24"/>
          <w:highlight w:val="none"/>
        </w:rPr>
      </w:pPr>
      <w:r>
        <w:rPr>
          <w:rFonts w:hint="eastAsia" w:cs="宋体"/>
          <w:sz w:val="24"/>
          <w:highlight w:val="none"/>
        </w:rPr>
        <w:t>法定代表人：（签字或盖电子章）</w:t>
      </w:r>
    </w:p>
    <w:p w14:paraId="6278506C">
      <w:pPr>
        <w:spacing w:line="360" w:lineRule="auto"/>
        <w:ind w:firstLine="3000" w:firstLineChars="1250"/>
        <w:rPr>
          <w:rFonts w:hint="eastAsia" w:cs="宋体"/>
          <w:sz w:val="24"/>
          <w:highlight w:val="none"/>
        </w:rPr>
      </w:pPr>
      <w:r>
        <w:rPr>
          <w:rFonts w:hint="eastAsia" w:cs="宋体"/>
          <w:sz w:val="24"/>
          <w:highlight w:val="none"/>
        </w:rPr>
        <w:t>身份证号码：</w:t>
      </w:r>
    </w:p>
    <w:p w14:paraId="629D5C37">
      <w:pPr>
        <w:spacing w:line="360" w:lineRule="auto"/>
        <w:ind w:firstLine="3000" w:firstLineChars="1250"/>
        <w:rPr>
          <w:rFonts w:hint="eastAsia" w:cs="宋体"/>
          <w:sz w:val="24"/>
          <w:highlight w:val="none"/>
        </w:rPr>
      </w:pPr>
      <w:r>
        <w:rPr>
          <w:rFonts w:hint="eastAsia" w:cs="宋体"/>
          <w:sz w:val="24"/>
          <w:highlight w:val="none"/>
        </w:rPr>
        <w:t>授权委托人：（签字或盖电子章）　　　　　　　　　　　　</w:t>
      </w:r>
    </w:p>
    <w:p w14:paraId="1FDAFB53">
      <w:pPr>
        <w:spacing w:line="360" w:lineRule="auto"/>
        <w:ind w:firstLine="3000" w:firstLineChars="1250"/>
        <w:rPr>
          <w:rFonts w:hint="eastAsia" w:cs="宋体"/>
          <w:sz w:val="24"/>
          <w:highlight w:val="none"/>
        </w:rPr>
      </w:pPr>
      <w:r>
        <w:rPr>
          <w:rFonts w:hint="eastAsia" w:cs="宋体"/>
          <w:sz w:val="24"/>
          <w:highlight w:val="none"/>
        </w:rPr>
        <w:t>身份证号码：</w:t>
      </w:r>
    </w:p>
    <w:p w14:paraId="3A8FF025">
      <w:pPr>
        <w:spacing w:line="360" w:lineRule="auto"/>
        <w:ind w:firstLine="3000" w:firstLineChars="1250"/>
        <w:rPr>
          <w:rFonts w:hint="eastAsia" w:cs="宋体"/>
          <w:sz w:val="24"/>
          <w:highlight w:val="none"/>
        </w:rPr>
      </w:pPr>
      <w:r>
        <w:rPr>
          <w:rFonts w:hint="eastAsia" w:cs="宋体"/>
          <w:sz w:val="24"/>
          <w:highlight w:val="none"/>
        </w:rPr>
        <w:t>日　期：</w:t>
      </w:r>
    </w:p>
    <w:p w14:paraId="61005A09">
      <w:pPr>
        <w:spacing w:line="360" w:lineRule="auto"/>
        <w:ind w:firstLine="3000" w:firstLineChars="1250"/>
        <w:rPr>
          <w:rFonts w:hint="eastAsia" w:cs="宋体"/>
          <w:sz w:val="24"/>
          <w:highlight w:val="none"/>
        </w:rPr>
      </w:pPr>
    </w:p>
    <w:p w14:paraId="5DAEA91A">
      <w:pPr>
        <w:spacing w:line="360" w:lineRule="auto"/>
        <w:ind w:firstLine="3000" w:firstLineChars="1250"/>
        <w:rPr>
          <w:rFonts w:hint="eastAsia" w:cs="宋体"/>
          <w:sz w:val="24"/>
          <w:highlight w:val="none"/>
        </w:rPr>
      </w:pPr>
    </w:p>
    <w:p w14:paraId="58351BEE">
      <w:pPr>
        <w:spacing w:line="360" w:lineRule="auto"/>
        <w:ind w:firstLine="3000" w:firstLineChars="1250"/>
        <w:rPr>
          <w:rFonts w:hint="eastAsia" w:cs="宋体"/>
          <w:sz w:val="24"/>
          <w:highlight w:val="none"/>
        </w:rPr>
      </w:pPr>
    </w:p>
    <w:p w14:paraId="0556561A">
      <w:pPr>
        <w:spacing w:line="360" w:lineRule="auto"/>
        <w:ind w:firstLine="3000" w:firstLineChars="1250"/>
        <w:rPr>
          <w:rFonts w:hint="eastAsia" w:cs="宋体"/>
          <w:sz w:val="24"/>
          <w:highlight w:val="none"/>
        </w:rPr>
      </w:pPr>
    </w:p>
    <w:p w14:paraId="7B63C38E">
      <w:pPr>
        <w:spacing w:line="360" w:lineRule="auto"/>
        <w:ind w:firstLine="3000" w:firstLineChars="1250"/>
        <w:rPr>
          <w:rFonts w:hint="eastAsia" w:cs="宋体"/>
          <w:sz w:val="24"/>
          <w:highlight w:val="none"/>
        </w:rPr>
      </w:pPr>
    </w:p>
    <w:p w14:paraId="5D4D9503">
      <w:pPr>
        <w:pStyle w:val="25"/>
        <w:adjustRightInd w:val="0"/>
        <w:snapToGrid w:val="0"/>
        <w:spacing w:line="360" w:lineRule="auto"/>
        <w:rPr>
          <w:rFonts w:hint="eastAsia" w:ascii="Times New Roman" w:hAnsi="Times New Roman" w:cs="宋体"/>
          <w:sz w:val="24"/>
          <w:szCs w:val="24"/>
          <w:highlight w:val="none"/>
        </w:rPr>
      </w:pPr>
      <w:r>
        <w:rPr>
          <w:rFonts w:hint="eastAsia" w:ascii="Times New Roman" w:hAnsi="Times New Roman" w:cs="宋体"/>
          <w:sz w:val="24"/>
          <w:szCs w:val="24"/>
          <w:highlight w:val="none"/>
        </w:rPr>
        <w:t>注：须附法定代表人和</w:t>
      </w:r>
      <w:r>
        <w:rPr>
          <w:rFonts w:hint="eastAsia" w:ascii="Times New Roman" w:hAnsi="Times New Roman" w:cs="宋体"/>
          <w:sz w:val="24"/>
          <w:highlight w:val="none"/>
        </w:rPr>
        <w:t>授权委托人</w:t>
      </w:r>
      <w:r>
        <w:rPr>
          <w:rFonts w:hint="eastAsia" w:ascii="Times New Roman" w:hAnsi="Times New Roman" w:cs="宋体"/>
          <w:sz w:val="24"/>
          <w:szCs w:val="24"/>
          <w:highlight w:val="none"/>
        </w:rPr>
        <w:t>的身份证（正反面）复印件</w:t>
      </w:r>
    </w:p>
    <w:p w14:paraId="6BC96F9A">
      <w:pPr>
        <w:pStyle w:val="25"/>
        <w:adjustRightInd w:val="0"/>
        <w:snapToGrid w:val="0"/>
        <w:spacing w:line="360" w:lineRule="auto"/>
        <w:rPr>
          <w:rFonts w:hint="eastAsia" w:ascii="Times New Roman" w:hAnsi="Times New Roman" w:cs="宋体"/>
          <w:sz w:val="24"/>
          <w:szCs w:val="24"/>
          <w:highlight w:val="none"/>
        </w:rPr>
      </w:pPr>
    </w:p>
    <w:p w14:paraId="66907C55">
      <w:pPr>
        <w:pStyle w:val="3"/>
        <w:spacing w:before="240" w:beforeLines="100" w:after="120"/>
        <w:rPr>
          <w:highlight w:val="none"/>
        </w:rPr>
      </w:pPr>
      <w:r>
        <w:rPr>
          <w:highlight w:val="none"/>
        </w:rPr>
        <w:br w:type="page"/>
      </w:r>
      <w:r>
        <w:rPr>
          <w:rFonts w:hint="eastAsia"/>
          <w:highlight w:val="none"/>
        </w:rPr>
        <w:t>三．投标声明书</w:t>
      </w:r>
    </w:p>
    <w:p w14:paraId="16190922">
      <w:pPr>
        <w:spacing w:line="360" w:lineRule="auto"/>
        <w:jc w:val="center"/>
        <w:rPr>
          <w:rFonts w:hint="eastAsia" w:cs="宋体"/>
          <w:b/>
          <w:sz w:val="32"/>
          <w:highlight w:val="none"/>
        </w:rPr>
      </w:pPr>
      <w:r>
        <w:rPr>
          <w:rFonts w:hint="eastAsia" w:cs="宋体"/>
          <w:b/>
          <w:sz w:val="32"/>
          <w:highlight w:val="none"/>
        </w:rPr>
        <w:t>投 标 声 明 书</w:t>
      </w:r>
    </w:p>
    <w:p w14:paraId="09A63575">
      <w:pPr>
        <w:spacing w:line="360" w:lineRule="auto"/>
        <w:rPr>
          <w:rFonts w:ascii="宋体" w:hAnsi="宋体"/>
          <w:bCs/>
          <w:sz w:val="24"/>
          <w:highlight w:val="none"/>
        </w:rPr>
      </w:pPr>
      <w:r>
        <w:rPr>
          <w:rFonts w:hint="eastAsia" w:ascii="宋体" w:hAnsi="宋体"/>
          <w:bCs/>
          <w:sz w:val="24"/>
          <w:highlight w:val="none"/>
        </w:rPr>
        <w:t>致</w:t>
      </w:r>
      <w:r>
        <w:rPr>
          <w:rFonts w:hint="eastAsia" w:ascii="宋体" w:hAnsi="宋体"/>
          <w:bCs/>
          <w:sz w:val="24"/>
          <w:highlight w:val="none"/>
          <w:u w:val="single"/>
        </w:rPr>
        <w:t xml:space="preserve">  （采购人）</w:t>
      </w:r>
      <w:r>
        <w:rPr>
          <w:rFonts w:hint="eastAsia" w:ascii="宋体" w:hAnsi="宋体"/>
          <w:bCs/>
          <w:sz w:val="24"/>
          <w:highlight w:val="none"/>
        </w:rPr>
        <w:t>：</w:t>
      </w:r>
    </w:p>
    <w:p w14:paraId="2F5BBFB1">
      <w:pPr>
        <w:spacing w:line="360" w:lineRule="auto"/>
        <w:ind w:firstLine="480" w:firstLineChars="200"/>
        <w:rPr>
          <w:rFonts w:ascii="宋体" w:hAnsi="宋体"/>
          <w:bCs/>
          <w:sz w:val="24"/>
          <w:highlight w:val="none"/>
        </w:rPr>
      </w:pPr>
      <w:r>
        <w:rPr>
          <w:rFonts w:hint="eastAsia" w:ascii="宋体" w:hAnsi="宋体"/>
          <w:bCs/>
          <w:sz w:val="24"/>
          <w:highlight w:val="none"/>
          <w:u w:val="single"/>
        </w:rPr>
        <w:t>（供应商名称）</w:t>
      </w:r>
      <w:r>
        <w:rPr>
          <w:rFonts w:hint="eastAsia" w:ascii="宋体" w:hAnsi="宋体"/>
          <w:bCs/>
          <w:sz w:val="24"/>
          <w:highlight w:val="none"/>
        </w:rPr>
        <w:t xml:space="preserve">系中华人民共和国合法企业，经营地址 </w:t>
      </w:r>
      <w:r>
        <w:rPr>
          <w:rFonts w:hint="eastAsia" w:ascii="宋体" w:hAnsi="宋体"/>
          <w:bCs/>
          <w:sz w:val="24"/>
          <w:highlight w:val="none"/>
          <w:u w:val="single"/>
        </w:rPr>
        <w:t xml:space="preserve">                    </w:t>
      </w:r>
      <w:r>
        <w:rPr>
          <w:rFonts w:hint="eastAsia" w:ascii="宋体" w:hAnsi="宋体"/>
          <w:bCs/>
          <w:sz w:val="24"/>
          <w:highlight w:val="none"/>
        </w:rPr>
        <w:t xml:space="preserve"> 。</w:t>
      </w:r>
    </w:p>
    <w:p w14:paraId="293F2E15">
      <w:pPr>
        <w:spacing w:line="360" w:lineRule="auto"/>
        <w:ind w:firstLine="480" w:firstLineChars="200"/>
        <w:rPr>
          <w:rFonts w:ascii="宋体" w:hAnsi="宋体"/>
          <w:bCs/>
          <w:sz w:val="24"/>
          <w:highlight w:val="none"/>
        </w:rPr>
      </w:pPr>
      <w:r>
        <w:rPr>
          <w:rFonts w:hint="eastAsia" w:ascii="宋体" w:hAnsi="宋体"/>
          <w:bCs/>
          <w:sz w:val="24"/>
          <w:highlight w:val="none"/>
        </w:rPr>
        <w:t>我</w:t>
      </w:r>
      <w:r>
        <w:rPr>
          <w:rFonts w:hint="eastAsia" w:ascii="宋体" w:hAnsi="宋体"/>
          <w:bCs/>
          <w:sz w:val="24"/>
          <w:highlight w:val="none"/>
          <w:u w:val="single"/>
        </w:rPr>
        <w:t>（姓名）</w:t>
      </w:r>
      <w:r>
        <w:rPr>
          <w:rFonts w:hint="eastAsia" w:ascii="宋体" w:hAnsi="宋体"/>
          <w:bCs/>
          <w:sz w:val="24"/>
          <w:highlight w:val="none"/>
        </w:rPr>
        <w:t>系</w:t>
      </w:r>
      <w:r>
        <w:rPr>
          <w:rFonts w:hint="eastAsia" w:ascii="宋体" w:hAnsi="宋体"/>
          <w:bCs/>
          <w:sz w:val="24"/>
          <w:highlight w:val="none"/>
          <w:u w:val="single"/>
        </w:rPr>
        <w:t>（供应商名称）</w:t>
      </w:r>
      <w:r>
        <w:rPr>
          <w:rFonts w:hint="eastAsia" w:ascii="宋体" w:hAnsi="宋体"/>
          <w:bCs/>
          <w:sz w:val="24"/>
          <w:highlight w:val="none"/>
        </w:rPr>
        <w:t>的委托代理人，我方愿意参加贵方组织的</w:t>
      </w:r>
      <w:r>
        <w:rPr>
          <w:rFonts w:hint="eastAsia" w:cs="宋体"/>
          <w:sz w:val="24"/>
          <w:highlight w:val="none"/>
          <w:u w:val="single"/>
        </w:rPr>
        <w:t xml:space="preserve">         </w:t>
      </w:r>
      <w:r>
        <w:rPr>
          <w:rFonts w:hint="eastAsia" w:ascii="宋体" w:hAnsi="宋体"/>
          <w:bCs/>
          <w:sz w:val="24"/>
          <w:highlight w:val="none"/>
          <w:u w:val="single"/>
        </w:rPr>
        <w:t>（编号为     ）</w:t>
      </w:r>
      <w:r>
        <w:rPr>
          <w:rFonts w:hint="eastAsia" w:ascii="宋体" w:hAnsi="宋体"/>
          <w:bCs/>
          <w:sz w:val="24"/>
          <w:highlight w:val="none"/>
        </w:rPr>
        <w:t>的响应，为此，我方就本次采购有关事项郑重声明如下：</w:t>
      </w:r>
    </w:p>
    <w:p w14:paraId="1E5A59B6">
      <w:pPr>
        <w:spacing w:line="360" w:lineRule="auto"/>
        <w:ind w:firstLine="480" w:firstLineChars="200"/>
        <w:rPr>
          <w:rFonts w:ascii="宋体" w:hAnsi="宋体"/>
          <w:bCs/>
          <w:sz w:val="24"/>
          <w:highlight w:val="none"/>
        </w:rPr>
      </w:pPr>
      <w:r>
        <w:rPr>
          <w:rFonts w:hint="eastAsia" w:ascii="宋体" w:hAnsi="宋体"/>
          <w:bCs/>
          <w:sz w:val="24"/>
          <w:highlight w:val="none"/>
        </w:rPr>
        <w:t>1、我方已详细审查全部采购文件，同意采购文件的各项要求。</w:t>
      </w:r>
    </w:p>
    <w:p w14:paraId="6D02AE49">
      <w:pPr>
        <w:spacing w:line="360" w:lineRule="auto"/>
        <w:ind w:firstLine="480" w:firstLineChars="200"/>
        <w:rPr>
          <w:rFonts w:ascii="宋体" w:hAnsi="宋体"/>
          <w:bCs/>
          <w:sz w:val="24"/>
          <w:highlight w:val="none"/>
        </w:rPr>
      </w:pPr>
      <w:r>
        <w:rPr>
          <w:rFonts w:hint="eastAsia" w:ascii="宋体" w:hAnsi="宋体"/>
          <w:bCs/>
          <w:sz w:val="24"/>
          <w:highlight w:val="none"/>
        </w:rPr>
        <w:t>2、我方向贵方提交的所有响应文件、资料都是准确的和真实的。</w:t>
      </w:r>
    </w:p>
    <w:p w14:paraId="0FF62706">
      <w:pPr>
        <w:spacing w:line="360" w:lineRule="auto"/>
        <w:ind w:firstLine="480" w:firstLineChars="200"/>
        <w:rPr>
          <w:rFonts w:ascii="宋体" w:hAnsi="宋体"/>
          <w:bCs/>
          <w:sz w:val="24"/>
          <w:highlight w:val="none"/>
        </w:rPr>
      </w:pPr>
      <w:r>
        <w:rPr>
          <w:rFonts w:hint="eastAsia" w:ascii="宋体" w:hAnsi="宋体"/>
          <w:bCs/>
          <w:sz w:val="24"/>
          <w:highlight w:val="none"/>
        </w:rPr>
        <w:t>3、若中标，我方将按采购文件规定履行合同责任和义务。</w:t>
      </w:r>
    </w:p>
    <w:p w14:paraId="6B25F2E9">
      <w:pPr>
        <w:spacing w:line="360" w:lineRule="auto"/>
        <w:ind w:firstLine="480" w:firstLineChars="200"/>
        <w:rPr>
          <w:rFonts w:ascii="宋体" w:hAnsi="宋体"/>
          <w:bCs/>
          <w:sz w:val="24"/>
          <w:highlight w:val="none"/>
        </w:rPr>
      </w:pPr>
      <w:r>
        <w:rPr>
          <w:rFonts w:hint="eastAsia" w:ascii="宋体" w:hAnsi="宋体"/>
          <w:bCs/>
          <w:sz w:val="24"/>
          <w:highlight w:val="none"/>
        </w:rPr>
        <w:t>4、我方不是采购人的附属机构；在获知本项目采购信息后，与采购人聘请的为此项目提供咨询服务的公司及其附属机构没有任何联系。</w:t>
      </w:r>
    </w:p>
    <w:p w14:paraId="558E47A3">
      <w:pPr>
        <w:spacing w:line="360" w:lineRule="auto"/>
        <w:ind w:firstLine="480" w:firstLineChars="200"/>
        <w:rPr>
          <w:rFonts w:ascii="宋体" w:hAnsi="宋体"/>
          <w:bCs/>
          <w:sz w:val="24"/>
          <w:highlight w:val="none"/>
        </w:rPr>
      </w:pPr>
      <w:r>
        <w:rPr>
          <w:rFonts w:hint="eastAsia" w:ascii="宋体" w:hAnsi="宋体"/>
          <w:bCs/>
          <w:sz w:val="24"/>
          <w:highlight w:val="none"/>
        </w:rPr>
        <w:t>5、响应文件自开标日起有效期为90天。</w:t>
      </w:r>
    </w:p>
    <w:p w14:paraId="1B03CBC3">
      <w:pPr>
        <w:spacing w:line="360" w:lineRule="auto"/>
        <w:ind w:firstLine="470" w:firstLineChars="196"/>
        <w:jc w:val="left"/>
        <w:rPr>
          <w:rFonts w:ascii="宋体" w:hAnsi="宋体"/>
          <w:bCs/>
          <w:sz w:val="24"/>
          <w:highlight w:val="none"/>
        </w:rPr>
      </w:pPr>
      <w:r>
        <w:rPr>
          <w:rFonts w:hint="eastAsia" w:ascii="宋体" w:hAnsi="宋体"/>
          <w:bCs/>
          <w:sz w:val="24"/>
          <w:highlight w:val="none"/>
        </w:rPr>
        <w:t>6、我单位、法定代表人和项目负责人从2021年7月1日起无行贿行为记录；</w:t>
      </w:r>
    </w:p>
    <w:p w14:paraId="33BA41EA">
      <w:pPr>
        <w:spacing w:line="360" w:lineRule="auto"/>
        <w:ind w:firstLine="480" w:firstLineChars="200"/>
        <w:rPr>
          <w:rFonts w:hint="eastAsia" w:ascii="宋体" w:hAnsi="宋体" w:cs="宋体"/>
          <w:szCs w:val="21"/>
          <w:highlight w:val="none"/>
          <w:lang w:bidi="ar"/>
        </w:rPr>
      </w:pPr>
      <w:r>
        <w:rPr>
          <w:rFonts w:hint="eastAsia" w:ascii="宋体" w:hAnsi="宋体"/>
          <w:bCs/>
          <w:sz w:val="24"/>
          <w:highlight w:val="none"/>
        </w:rPr>
        <w:t>7、未被“信用中国”网站（http://www.creditchina.gov.cn/）、中国政府采购网（www.ccgp.gov.cn）列入“失信被执行人”、“重大税收违法失信主体”及“政府采购严重违法失信行为记录名单”。</w:t>
      </w:r>
    </w:p>
    <w:p w14:paraId="27969795">
      <w:pPr>
        <w:spacing w:line="360" w:lineRule="auto"/>
        <w:ind w:firstLine="480" w:firstLineChars="200"/>
        <w:rPr>
          <w:rFonts w:ascii="宋体" w:hAnsi="宋体"/>
          <w:bCs/>
          <w:sz w:val="24"/>
          <w:highlight w:val="none"/>
        </w:rPr>
      </w:pPr>
      <w:r>
        <w:rPr>
          <w:rFonts w:hint="eastAsia" w:ascii="宋体" w:hAnsi="宋体"/>
          <w:bCs/>
          <w:sz w:val="24"/>
          <w:highlight w:val="none"/>
        </w:rPr>
        <w:t>8、不存在以下情况：</w:t>
      </w:r>
    </w:p>
    <w:p w14:paraId="0151E867">
      <w:pPr>
        <w:spacing w:line="360" w:lineRule="auto"/>
        <w:ind w:firstLine="480" w:firstLineChars="200"/>
        <w:rPr>
          <w:rFonts w:hint="eastAsia" w:ascii="宋体" w:hAnsi="宋体"/>
          <w:bCs/>
          <w:sz w:val="24"/>
          <w:highlight w:val="none"/>
        </w:rPr>
      </w:pPr>
      <w:r>
        <w:rPr>
          <w:rFonts w:hint="eastAsia" w:ascii="宋体" w:hAnsi="宋体"/>
          <w:bCs/>
          <w:sz w:val="24"/>
          <w:highlight w:val="none"/>
        </w:rPr>
        <w:t>（1）与采购人存在利害关系可能影响采购公正性的；（2）单位负责人为同一人或者存在直接控股、管理关系的不同单位参加本项目采购活动的；（3）为联合体投标的。</w:t>
      </w:r>
    </w:p>
    <w:p w14:paraId="547D4C3C">
      <w:pPr>
        <w:spacing w:line="360" w:lineRule="auto"/>
        <w:ind w:firstLine="480" w:firstLineChars="200"/>
        <w:rPr>
          <w:rFonts w:ascii="宋体" w:hAnsi="宋体"/>
          <w:bCs/>
          <w:sz w:val="24"/>
          <w:highlight w:val="none"/>
        </w:rPr>
      </w:pPr>
      <w:r>
        <w:rPr>
          <w:rFonts w:hint="eastAsia" w:ascii="宋体" w:hAnsi="宋体"/>
          <w:bCs/>
          <w:sz w:val="24"/>
          <w:highlight w:val="none"/>
        </w:rPr>
        <w:t>9、以上事项如有虚假或隐瞒，我方愿意承担一切后果，并不再寻求任何旨在减轻或免除法律责任的辩解。</w:t>
      </w:r>
    </w:p>
    <w:p w14:paraId="768D2C9D">
      <w:pPr>
        <w:snapToGrid w:val="0"/>
        <w:spacing w:before="120" w:beforeLines="50" w:after="50" w:line="460" w:lineRule="exact"/>
        <w:ind w:right="600"/>
        <w:rPr>
          <w:rFonts w:ascii="宋体" w:hAnsi="宋体"/>
          <w:bCs/>
          <w:sz w:val="24"/>
          <w:highlight w:val="none"/>
        </w:rPr>
      </w:pPr>
    </w:p>
    <w:p w14:paraId="2E77CA64">
      <w:pPr>
        <w:widowControl/>
        <w:spacing w:line="360" w:lineRule="auto"/>
        <w:jc w:val="left"/>
        <w:rPr>
          <w:rFonts w:ascii="宋体" w:hAnsi="宋体"/>
          <w:bCs/>
          <w:sz w:val="24"/>
          <w:highlight w:val="none"/>
        </w:rPr>
      </w:pPr>
      <w:r>
        <w:rPr>
          <w:rFonts w:ascii="宋体" w:hAnsi="宋体" w:cs="宋体"/>
          <w:sz w:val="24"/>
          <w:highlight w:val="none"/>
        </w:rPr>
        <w:t>供应商</w:t>
      </w:r>
      <w:r>
        <w:rPr>
          <w:rFonts w:hint="eastAsia" w:ascii="宋体" w:hAnsi="宋体"/>
          <w:bCs/>
          <w:sz w:val="24"/>
          <w:highlight w:val="none"/>
        </w:rPr>
        <w:t>（</w:t>
      </w:r>
      <w:r>
        <w:rPr>
          <w:rFonts w:hint="eastAsia" w:cs="宋体"/>
          <w:sz w:val="24"/>
          <w:highlight w:val="none"/>
        </w:rPr>
        <w:t>盖电子公章</w:t>
      </w:r>
      <w:r>
        <w:rPr>
          <w:rFonts w:hint="eastAsia" w:ascii="宋体" w:hAnsi="宋体"/>
          <w:bCs/>
          <w:sz w:val="24"/>
          <w:highlight w:val="none"/>
        </w:rPr>
        <w:t xml:space="preserve">）：                                       </w:t>
      </w:r>
    </w:p>
    <w:p w14:paraId="7849BD0C">
      <w:pPr>
        <w:snapToGrid w:val="0"/>
        <w:spacing w:before="50" w:after="120" w:afterLines="50"/>
        <w:jc w:val="left"/>
        <w:rPr>
          <w:rFonts w:hint="eastAsia" w:ascii="宋体" w:hAnsi="宋体"/>
          <w:bCs/>
          <w:sz w:val="24"/>
          <w:highlight w:val="none"/>
        </w:rPr>
      </w:pPr>
      <w:r>
        <w:rPr>
          <w:rFonts w:hint="eastAsia" w:ascii="宋体" w:hAnsi="宋体"/>
          <w:bCs/>
          <w:sz w:val="24"/>
          <w:highlight w:val="none"/>
        </w:rPr>
        <w:t>日期：       年    月    日</w:t>
      </w:r>
    </w:p>
    <w:p w14:paraId="19912B8D">
      <w:pPr>
        <w:pStyle w:val="3"/>
        <w:spacing w:before="480" w:after="120"/>
        <w:rPr>
          <w:highlight w:val="none"/>
        </w:rPr>
      </w:pPr>
      <w:r>
        <w:rPr>
          <w:highlight w:val="none"/>
        </w:rPr>
        <w:br w:type="page"/>
      </w:r>
      <w:r>
        <w:rPr>
          <w:rFonts w:hint="eastAsia"/>
          <w:highlight w:val="none"/>
        </w:rPr>
        <w:t>四、本项目的特定资格要求</w:t>
      </w:r>
    </w:p>
    <w:p w14:paraId="6292FCD1">
      <w:pPr>
        <w:rPr>
          <w:rFonts w:hint="eastAsia"/>
          <w:highlight w:val="none"/>
        </w:rPr>
      </w:pPr>
    </w:p>
    <w:p w14:paraId="741F293B">
      <w:pPr>
        <w:spacing w:line="480" w:lineRule="auto"/>
        <w:jc w:val="center"/>
        <w:rPr>
          <w:rFonts w:ascii="宋体" w:hAnsi="宋体" w:cs="宋体"/>
          <w:b/>
          <w:bCs/>
          <w:sz w:val="24"/>
          <w:highlight w:val="none"/>
        </w:rPr>
      </w:pPr>
      <w:r>
        <w:rPr>
          <w:rFonts w:hint="eastAsia" w:ascii="宋体" w:hAnsi="宋体" w:cs="宋体"/>
          <w:b/>
          <w:bCs/>
          <w:sz w:val="24"/>
          <w:highlight w:val="none"/>
        </w:rPr>
        <w:t>国家企业信用信息公示系统、信用中国、中国政府采购网查询截图加盖公章</w:t>
      </w:r>
    </w:p>
    <w:p w14:paraId="4E863BC0">
      <w:pPr>
        <w:pStyle w:val="81"/>
        <w:rPr>
          <w:rFonts w:hint="eastAsia"/>
          <w:highlight w:val="none"/>
        </w:rPr>
      </w:pPr>
    </w:p>
    <w:p w14:paraId="6345D348">
      <w:pPr>
        <w:pStyle w:val="81"/>
        <w:rPr>
          <w:rFonts w:hint="eastAsia"/>
          <w:highlight w:val="none"/>
        </w:rPr>
      </w:pPr>
    </w:p>
    <w:p w14:paraId="5CA993BF">
      <w:pPr>
        <w:pStyle w:val="3"/>
        <w:spacing w:before="480" w:after="120"/>
        <w:jc w:val="left"/>
        <w:rPr>
          <w:rFonts w:ascii="宋体" w:hAnsi="宋体"/>
          <w:sz w:val="24"/>
          <w:szCs w:val="24"/>
          <w:highlight w:val="none"/>
        </w:rPr>
      </w:pPr>
    </w:p>
    <w:p w14:paraId="3E3AB669">
      <w:pPr>
        <w:tabs>
          <w:tab w:val="left" w:pos="8111"/>
        </w:tabs>
        <w:autoSpaceDE w:val="0"/>
        <w:autoSpaceDN w:val="0"/>
        <w:adjustRightInd w:val="0"/>
        <w:snapToGrid w:val="0"/>
        <w:spacing w:line="360" w:lineRule="auto"/>
        <w:jc w:val="left"/>
        <w:rPr>
          <w:b/>
          <w:bCs/>
          <w:kern w:val="0"/>
          <w:sz w:val="28"/>
          <w:szCs w:val="28"/>
          <w:highlight w:val="none"/>
          <w:u w:val="single"/>
        </w:rPr>
      </w:pPr>
      <w:r>
        <w:rPr>
          <w:b/>
          <w:bCs/>
          <w:sz w:val="28"/>
          <w:szCs w:val="28"/>
          <w:highlight w:val="none"/>
        </w:rPr>
        <w:br w:type="page"/>
      </w:r>
      <w:r>
        <w:rPr>
          <w:rFonts w:hint="eastAsia"/>
          <w:b/>
          <w:bCs/>
          <w:sz w:val="28"/>
          <w:szCs w:val="28"/>
          <w:highlight w:val="none"/>
        </w:rPr>
        <w:t xml:space="preserve">二、商务技术文件格式                               </w:t>
      </w:r>
    </w:p>
    <w:p w14:paraId="0E931FD6">
      <w:pPr>
        <w:autoSpaceDE w:val="0"/>
        <w:autoSpaceDN w:val="0"/>
        <w:adjustRightInd w:val="0"/>
        <w:snapToGrid w:val="0"/>
        <w:spacing w:line="360" w:lineRule="auto"/>
        <w:jc w:val="center"/>
        <w:outlineLvl w:val="2"/>
        <w:rPr>
          <w:rFonts w:hint="eastAsia"/>
          <w:b/>
          <w:spacing w:val="20"/>
          <w:kern w:val="0"/>
          <w:sz w:val="32"/>
          <w:szCs w:val="32"/>
          <w:highlight w:val="none"/>
        </w:rPr>
      </w:pPr>
      <w:r>
        <w:rPr>
          <w:rFonts w:hint="eastAsia"/>
          <w:b/>
          <w:spacing w:val="20"/>
          <w:w w:val="80"/>
          <w:kern w:val="0"/>
          <w:sz w:val="32"/>
          <w:szCs w:val="32"/>
          <w:highlight w:val="none"/>
        </w:rPr>
        <w:t xml:space="preserve"> </w:t>
      </w:r>
      <w:r>
        <w:rPr>
          <w:rFonts w:hint="eastAsia"/>
          <w:b/>
          <w:spacing w:val="20"/>
          <w:kern w:val="0"/>
          <w:sz w:val="32"/>
          <w:szCs w:val="32"/>
          <w:highlight w:val="none"/>
          <w:u w:val="single"/>
        </w:rPr>
        <w:t xml:space="preserve">                   </w:t>
      </w:r>
      <w:r>
        <w:rPr>
          <w:rFonts w:hint="eastAsia"/>
          <w:b/>
          <w:spacing w:val="20"/>
          <w:kern w:val="0"/>
          <w:sz w:val="32"/>
          <w:szCs w:val="32"/>
          <w:highlight w:val="none"/>
        </w:rPr>
        <w:t>项目</w:t>
      </w:r>
    </w:p>
    <w:p w14:paraId="5DFBDFAB">
      <w:pPr>
        <w:adjustRightInd w:val="0"/>
        <w:snapToGrid w:val="0"/>
        <w:spacing w:line="360" w:lineRule="auto"/>
        <w:ind w:firstLine="720" w:firstLineChars="200"/>
        <w:rPr>
          <w:rFonts w:hint="eastAsia"/>
          <w:sz w:val="36"/>
          <w:szCs w:val="36"/>
          <w:highlight w:val="none"/>
        </w:rPr>
      </w:pPr>
      <w:r>
        <w:rPr>
          <w:sz w:val="36"/>
          <w:szCs w:val="36"/>
          <w:highlight w:val="none"/>
        </w:rPr>
        <w:t xml:space="preserve">         </w:t>
      </w:r>
      <w:r>
        <w:rPr>
          <w:rFonts w:hint="eastAsia"/>
          <w:sz w:val="28"/>
          <w:szCs w:val="28"/>
          <w:highlight w:val="none"/>
        </w:rPr>
        <w:t>（</w:t>
      </w:r>
      <w:r>
        <w:rPr>
          <w:rFonts w:hint="eastAsia" w:cs="宋体"/>
          <w:b/>
          <w:bCs/>
          <w:sz w:val="28"/>
          <w:szCs w:val="28"/>
          <w:highlight w:val="none"/>
        </w:rPr>
        <w:t>采购编号：</w:t>
      </w:r>
      <w:r>
        <w:rPr>
          <w:rFonts w:hint="eastAsia" w:cs="宋体"/>
          <w:bCs/>
          <w:sz w:val="28"/>
          <w:szCs w:val="28"/>
          <w:highlight w:val="none"/>
          <w:u w:val="single"/>
        </w:rPr>
        <w:t xml:space="preserve">                </w:t>
      </w:r>
      <w:r>
        <w:rPr>
          <w:rFonts w:hint="eastAsia"/>
          <w:sz w:val="28"/>
          <w:szCs w:val="28"/>
          <w:highlight w:val="none"/>
        </w:rPr>
        <w:t>）</w:t>
      </w:r>
    </w:p>
    <w:p w14:paraId="4BDD36C3">
      <w:pPr>
        <w:adjustRightInd w:val="0"/>
        <w:snapToGrid w:val="0"/>
        <w:spacing w:line="360" w:lineRule="auto"/>
        <w:ind w:firstLine="720" w:firstLineChars="200"/>
        <w:rPr>
          <w:rFonts w:hint="eastAsia"/>
          <w:sz w:val="36"/>
          <w:szCs w:val="36"/>
          <w:highlight w:val="none"/>
        </w:rPr>
      </w:pPr>
    </w:p>
    <w:p w14:paraId="75526017">
      <w:pPr>
        <w:adjustRightInd w:val="0"/>
        <w:snapToGrid w:val="0"/>
        <w:spacing w:line="360" w:lineRule="auto"/>
        <w:ind w:firstLine="480" w:firstLineChars="200"/>
        <w:jc w:val="center"/>
        <w:rPr>
          <w:sz w:val="24"/>
          <w:highlight w:val="none"/>
        </w:rPr>
      </w:pPr>
    </w:p>
    <w:p w14:paraId="005CBA49">
      <w:pPr>
        <w:adjustRightInd w:val="0"/>
        <w:snapToGrid w:val="0"/>
        <w:spacing w:line="360" w:lineRule="auto"/>
        <w:rPr>
          <w:sz w:val="44"/>
          <w:szCs w:val="44"/>
          <w:highlight w:val="none"/>
        </w:rPr>
      </w:pPr>
    </w:p>
    <w:p w14:paraId="3B194CAA">
      <w:pPr>
        <w:adjustRightInd w:val="0"/>
        <w:snapToGrid w:val="0"/>
        <w:spacing w:line="360" w:lineRule="auto"/>
        <w:jc w:val="center"/>
        <w:rPr>
          <w:bCs/>
          <w:sz w:val="84"/>
          <w:szCs w:val="84"/>
          <w:highlight w:val="none"/>
        </w:rPr>
      </w:pPr>
      <w:r>
        <w:rPr>
          <w:bCs/>
          <w:sz w:val="84"/>
          <w:szCs w:val="84"/>
          <w:highlight w:val="none"/>
        </w:rPr>
        <w:t>投</w:t>
      </w:r>
      <w:r>
        <w:rPr>
          <w:rFonts w:hint="eastAsia"/>
          <w:bCs/>
          <w:sz w:val="84"/>
          <w:szCs w:val="84"/>
          <w:highlight w:val="none"/>
        </w:rPr>
        <w:t xml:space="preserve"> </w:t>
      </w:r>
      <w:r>
        <w:rPr>
          <w:bCs/>
          <w:sz w:val="84"/>
          <w:szCs w:val="84"/>
          <w:highlight w:val="none"/>
        </w:rPr>
        <w:t>标</w:t>
      </w:r>
      <w:r>
        <w:rPr>
          <w:rFonts w:hint="eastAsia"/>
          <w:bCs/>
          <w:sz w:val="84"/>
          <w:szCs w:val="84"/>
          <w:highlight w:val="none"/>
        </w:rPr>
        <w:t xml:space="preserve"> </w:t>
      </w:r>
      <w:r>
        <w:rPr>
          <w:bCs/>
          <w:sz w:val="84"/>
          <w:szCs w:val="84"/>
          <w:highlight w:val="none"/>
        </w:rPr>
        <w:t>文</w:t>
      </w:r>
      <w:r>
        <w:rPr>
          <w:rFonts w:hint="eastAsia"/>
          <w:bCs/>
          <w:sz w:val="84"/>
          <w:szCs w:val="84"/>
          <w:highlight w:val="none"/>
        </w:rPr>
        <w:t xml:space="preserve"> </w:t>
      </w:r>
      <w:r>
        <w:rPr>
          <w:bCs/>
          <w:sz w:val="84"/>
          <w:szCs w:val="84"/>
          <w:highlight w:val="none"/>
        </w:rPr>
        <w:t>件</w:t>
      </w:r>
    </w:p>
    <w:p w14:paraId="3B3A9DA7">
      <w:pPr>
        <w:widowControl/>
        <w:adjustRightInd w:val="0"/>
        <w:snapToGrid w:val="0"/>
        <w:spacing w:line="360" w:lineRule="auto"/>
        <w:jc w:val="center"/>
        <w:rPr>
          <w:highlight w:val="none"/>
        </w:rPr>
      </w:pPr>
      <w:r>
        <w:rPr>
          <w:rFonts w:hint="eastAsia" w:ascii="宋体" w:hAnsi="宋体" w:cs="宋体"/>
          <w:kern w:val="44"/>
          <w:sz w:val="48"/>
          <w:szCs w:val="48"/>
          <w:highlight w:val="none"/>
          <w:lang w:bidi="ar"/>
        </w:rPr>
        <w:t>（商务技术文件）</w:t>
      </w:r>
    </w:p>
    <w:p w14:paraId="366BA646">
      <w:pPr>
        <w:adjustRightInd w:val="0"/>
        <w:snapToGrid w:val="0"/>
        <w:spacing w:line="360" w:lineRule="auto"/>
        <w:ind w:firstLine="480" w:firstLineChars="200"/>
        <w:rPr>
          <w:rFonts w:hint="eastAsia"/>
          <w:sz w:val="24"/>
          <w:highlight w:val="none"/>
        </w:rPr>
      </w:pPr>
    </w:p>
    <w:p w14:paraId="60DD5829">
      <w:pPr>
        <w:adjustRightInd w:val="0"/>
        <w:snapToGrid w:val="0"/>
        <w:spacing w:line="360" w:lineRule="auto"/>
        <w:ind w:firstLine="480" w:firstLineChars="200"/>
        <w:rPr>
          <w:rFonts w:hint="eastAsia"/>
          <w:sz w:val="24"/>
          <w:highlight w:val="none"/>
        </w:rPr>
      </w:pPr>
    </w:p>
    <w:p w14:paraId="170D225D">
      <w:pPr>
        <w:adjustRightInd w:val="0"/>
        <w:snapToGrid w:val="0"/>
        <w:spacing w:line="360" w:lineRule="auto"/>
        <w:ind w:firstLine="480" w:firstLineChars="200"/>
        <w:rPr>
          <w:rFonts w:hint="eastAsia"/>
          <w:sz w:val="24"/>
          <w:highlight w:val="none"/>
        </w:rPr>
      </w:pPr>
    </w:p>
    <w:p w14:paraId="0A9464FE">
      <w:pPr>
        <w:adjustRightInd w:val="0"/>
        <w:snapToGrid w:val="0"/>
        <w:spacing w:line="360" w:lineRule="auto"/>
        <w:ind w:firstLine="480" w:firstLineChars="200"/>
        <w:rPr>
          <w:rFonts w:hint="eastAsia"/>
          <w:sz w:val="24"/>
          <w:highlight w:val="none"/>
        </w:rPr>
      </w:pPr>
    </w:p>
    <w:p w14:paraId="3C088804">
      <w:pPr>
        <w:adjustRightInd w:val="0"/>
        <w:snapToGrid w:val="0"/>
        <w:spacing w:line="360" w:lineRule="auto"/>
        <w:ind w:firstLine="480" w:firstLineChars="200"/>
        <w:rPr>
          <w:rFonts w:hint="eastAsia"/>
          <w:sz w:val="24"/>
          <w:highlight w:val="none"/>
        </w:rPr>
      </w:pPr>
    </w:p>
    <w:p w14:paraId="597BFA7D">
      <w:pPr>
        <w:adjustRightInd w:val="0"/>
        <w:snapToGrid w:val="0"/>
        <w:spacing w:line="360" w:lineRule="auto"/>
        <w:ind w:firstLine="480" w:firstLineChars="200"/>
        <w:rPr>
          <w:rFonts w:hint="eastAsia"/>
          <w:sz w:val="24"/>
          <w:highlight w:val="none"/>
        </w:rPr>
      </w:pPr>
    </w:p>
    <w:p w14:paraId="032AAEC7">
      <w:pPr>
        <w:adjustRightInd w:val="0"/>
        <w:snapToGrid w:val="0"/>
        <w:spacing w:line="360" w:lineRule="auto"/>
        <w:ind w:firstLine="480" w:firstLineChars="200"/>
        <w:jc w:val="center"/>
        <w:rPr>
          <w:sz w:val="24"/>
          <w:highlight w:val="none"/>
        </w:rPr>
      </w:pPr>
    </w:p>
    <w:p w14:paraId="0C1AA40B">
      <w:pPr>
        <w:adjustRightInd w:val="0"/>
        <w:snapToGrid w:val="0"/>
        <w:spacing w:line="360" w:lineRule="auto"/>
        <w:ind w:firstLine="480" w:firstLineChars="200"/>
        <w:jc w:val="center"/>
        <w:rPr>
          <w:rFonts w:hint="eastAsia"/>
          <w:sz w:val="24"/>
          <w:highlight w:val="none"/>
        </w:rPr>
      </w:pPr>
    </w:p>
    <w:p w14:paraId="1547B071">
      <w:pPr>
        <w:adjustRightInd w:val="0"/>
        <w:snapToGrid w:val="0"/>
        <w:spacing w:line="360" w:lineRule="auto"/>
        <w:ind w:firstLine="480" w:firstLineChars="200"/>
        <w:jc w:val="center"/>
        <w:rPr>
          <w:sz w:val="24"/>
          <w:highlight w:val="none"/>
        </w:rPr>
      </w:pPr>
    </w:p>
    <w:p w14:paraId="7018B192">
      <w:pPr>
        <w:adjustRightInd w:val="0"/>
        <w:snapToGrid w:val="0"/>
        <w:spacing w:line="360" w:lineRule="auto"/>
        <w:ind w:firstLine="1400" w:firstLineChars="500"/>
        <w:rPr>
          <w:snapToGrid w:val="0"/>
          <w:kern w:val="0"/>
          <w:sz w:val="28"/>
          <w:szCs w:val="28"/>
          <w:highlight w:val="none"/>
          <w:u w:val="single"/>
        </w:rPr>
      </w:pPr>
      <w:r>
        <w:rPr>
          <w:rFonts w:hint="eastAsia"/>
          <w:snapToGrid w:val="0"/>
          <w:kern w:val="0"/>
          <w:sz w:val="28"/>
          <w:szCs w:val="28"/>
          <w:highlight w:val="none"/>
        </w:rPr>
        <w:t>供应商</w:t>
      </w:r>
      <w:r>
        <w:rPr>
          <w:snapToGrid w:val="0"/>
          <w:kern w:val="0"/>
          <w:sz w:val="28"/>
          <w:szCs w:val="28"/>
          <w:highlight w:val="none"/>
        </w:rPr>
        <w:t>：</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w:t>
      </w:r>
      <w:r>
        <w:rPr>
          <w:rFonts w:hint="eastAsia"/>
          <w:snapToGrid w:val="0"/>
          <w:kern w:val="0"/>
          <w:sz w:val="28"/>
          <w:szCs w:val="28"/>
          <w:highlight w:val="none"/>
          <w:u w:val="single"/>
        </w:rPr>
        <w:t>（盖电子公章</w:t>
      </w:r>
      <w:r>
        <w:rPr>
          <w:snapToGrid w:val="0"/>
          <w:kern w:val="0"/>
          <w:sz w:val="28"/>
          <w:szCs w:val="28"/>
          <w:highlight w:val="none"/>
          <w:u w:val="single"/>
        </w:rPr>
        <w:t>）</w:t>
      </w:r>
    </w:p>
    <w:p w14:paraId="630D0085">
      <w:pPr>
        <w:adjustRightInd w:val="0"/>
        <w:snapToGrid w:val="0"/>
        <w:spacing w:line="360" w:lineRule="auto"/>
        <w:ind w:firstLine="1400" w:firstLineChars="500"/>
        <w:rPr>
          <w:snapToGrid w:val="0"/>
          <w:kern w:val="0"/>
          <w:sz w:val="28"/>
          <w:szCs w:val="28"/>
          <w:highlight w:val="none"/>
        </w:rPr>
      </w:pPr>
      <w:r>
        <w:rPr>
          <w:snapToGrid w:val="0"/>
          <w:kern w:val="0"/>
          <w:sz w:val="28"/>
          <w:szCs w:val="28"/>
          <w:highlight w:val="none"/>
        </w:rPr>
        <w:t>法定代表人或其委托代理人：</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（签字或盖</w:t>
      </w:r>
      <w:r>
        <w:rPr>
          <w:rFonts w:hint="eastAsia"/>
          <w:snapToGrid w:val="0"/>
          <w:kern w:val="0"/>
          <w:sz w:val="28"/>
          <w:szCs w:val="28"/>
          <w:highlight w:val="none"/>
          <w:u w:val="single"/>
        </w:rPr>
        <w:t>电子</w:t>
      </w:r>
      <w:r>
        <w:rPr>
          <w:snapToGrid w:val="0"/>
          <w:kern w:val="0"/>
          <w:sz w:val="28"/>
          <w:szCs w:val="28"/>
          <w:highlight w:val="none"/>
          <w:u w:val="single"/>
        </w:rPr>
        <w:t>章）</w:t>
      </w:r>
    </w:p>
    <w:p w14:paraId="6463C3F9">
      <w:pPr>
        <w:adjustRightInd w:val="0"/>
        <w:snapToGrid w:val="0"/>
        <w:spacing w:line="360" w:lineRule="auto"/>
        <w:ind w:firstLine="1400" w:firstLineChars="500"/>
        <w:rPr>
          <w:snapToGrid w:val="0"/>
          <w:kern w:val="0"/>
          <w:sz w:val="28"/>
          <w:szCs w:val="28"/>
          <w:highlight w:val="none"/>
        </w:rPr>
      </w:pPr>
      <w:r>
        <w:rPr>
          <w:snapToGrid w:val="0"/>
          <w:kern w:val="0"/>
          <w:sz w:val="28"/>
          <w:szCs w:val="28"/>
          <w:highlight w:val="none"/>
        </w:rPr>
        <w:t>日  期：</w:t>
      </w:r>
      <w:r>
        <w:rPr>
          <w:snapToGrid w:val="0"/>
          <w:kern w:val="0"/>
          <w:sz w:val="28"/>
          <w:szCs w:val="28"/>
          <w:highlight w:val="none"/>
          <w:u w:val="single"/>
        </w:rPr>
        <w:t xml:space="preserve">      </w:t>
      </w:r>
      <w:r>
        <w:rPr>
          <w:snapToGrid w:val="0"/>
          <w:kern w:val="0"/>
          <w:sz w:val="28"/>
          <w:szCs w:val="28"/>
          <w:highlight w:val="none"/>
        </w:rPr>
        <w:t>年</w:t>
      </w:r>
      <w:r>
        <w:rPr>
          <w:snapToGrid w:val="0"/>
          <w:kern w:val="0"/>
          <w:sz w:val="28"/>
          <w:szCs w:val="28"/>
          <w:highlight w:val="none"/>
          <w:u w:val="single"/>
        </w:rPr>
        <w:t xml:space="preserve">    </w:t>
      </w:r>
      <w:r>
        <w:rPr>
          <w:snapToGrid w:val="0"/>
          <w:kern w:val="0"/>
          <w:sz w:val="28"/>
          <w:szCs w:val="28"/>
          <w:highlight w:val="none"/>
        </w:rPr>
        <w:t>月</w:t>
      </w:r>
      <w:r>
        <w:rPr>
          <w:snapToGrid w:val="0"/>
          <w:kern w:val="0"/>
          <w:sz w:val="28"/>
          <w:szCs w:val="28"/>
          <w:highlight w:val="none"/>
          <w:u w:val="single"/>
        </w:rPr>
        <w:t xml:space="preserve">    </w:t>
      </w:r>
      <w:r>
        <w:rPr>
          <w:snapToGrid w:val="0"/>
          <w:kern w:val="0"/>
          <w:sz w:val="28"/>
          <w:szCs w:val="28"/>
          <w:highlight w:val="none"/>
        </w:rPr>
        <w:t>日</w:t>
      </w:r>
    </w:p>
    <w:p w14:paraId="695B61F0">
      <w:pPr>
        <w:spacing w:line="360" w:lineRule="auto"/>
        <w:jc w:val="center"/>
        <w:rPr>
          <w:rFonts w:hint="eastAsia"/>
          <w:b/>
          <w:bCs/>
          <w:sz w:val="32"/>
          <w:szCs w:val="32"/>
          <w:highlight w:val="none"/>
        </w:rPr>
      </w:pPr>
      <w:r>
        <w:rPr>
          <w:b/>
          <w:bCs/>
          <w:sz w:val="32"/>
          <w:szCs w:val="32"/>
          <w:highlight w:val="none"/>
        </w:rPr>
        <w:br w:type="page"/>
      </w:r>
      <w:r>
        <w:rPr>
          <w:rFonts w:hint="eastAsia"/>
          <w:b/>
          <w:bCs/>
          <w:sz w:val="32"/>
          <w:szCs w:val="32"/>
          <w:highlight w:val="none"/>
        </w:rPr>
        <w:t>商务技术文件目录</w:t>
      </w:r>
    </w:p>
    <w:p w14:paraId="45BE9BEF">
      <w:pPr>
        <w:pStyle w:val="81"/>
        <w:rPr>
          <w:rFonts w:hint="eastAsia"/>
          <w:sz w:val="20"/>
          <w:highlight w:val="none"/>
        </w:rPr>
      </w:pPr>
    </w:p>
    <w:p w14:paraId="782D981F">
      <w:pPr>
        <w:pStyle w:val="81"/>
        <w:spacing w:line="480" w:lineRule="auto"/>
        <w:rPr>
          <w:rFonts w:hint="eastAsia" w:ascii="宋体" w:hAnsi="宋体"/>
          <w:sz w:val="24"/>
          <w:szCs w:val="24"/>
          <w:highlight w:val="none"/>
        </w:rPr>
      </w:pPr>
      <w:r>
        <w:rPr>
          <w:rFonts w:hint="eastAsia" w:ascii="宋体" w:hAnsi="宋体"/>
          <w:sz w:val="24"/>
          <w:szCs w:val="24"/>
          <w:highlight w:val="none"/>
        </w:rPr>
        <w:t>一、评分索引表（根据评分内容自拟）</w:t>
      </w:r>
    </w:p>
    <w:p w14:paraId="2CCF115B">
      <w:pPr>
        <w:pStyle w:val="81"/>
        <w:spacing w:line="480" w:lineRule="auto"/>
        <w:rPr>
          <w:rFonts w:hint="eastAsia" w:ascii="宋体" w:hAnsi="宋体"/>
          <w:sz w:val="24"/>
          <w:szCs w:val="24"/>
          <w:highlight w:val="none"/>
        </w:rPr>
      </w:pPr>
      <w:r>
        <w:rPr>
          <w:rFonts w:hint="eastAsia" w:ascii="宋体" w:hAnsi="宋体"/>
          <w:sz w:val="24"/>
          <w:szCs w:val="24"/>
          <w:highlight w:val="none"/>
        </w:rPr>
        <w:t>二、供应商情况介绍（自拟）</w:t>
      </w:r>
    </w:p>
    <w:p w14:paraId="1D21EC2B">
      <w:pPr>
        <w:pStyle w:val="81"/>
        <w:spacing w:line="480" w:lineRule="auto"/>
        <w:rPr>
          <w:rFonts w:hint="eastAsia" w:ascii="宋体" w:hAnsi="宋体"/>
          <w:sz w:val="24"/>
          <w:szCs w:val="24"/>
          <w:highlight w:val="none"/>
        </w:rPr>
      </w:pPr>
      <w:r>
        <w:rPr>
          <w:rFonts w:hint="eastAsia" w:ascii="宋体" w:hAnsi="宋体"/>
          <w:sz w:val="24"/>
          <w:szCs w:val="24"/>
          <w:highlight w:val="none"/>
        </w:rPr>
        <w:t>三、供应商类似项目业绩汇总表</w:t>
      </w:r>
    </w:p>
    <w:p w14:paraId="03C1AFD9">
      <w:pPr>
        <w:pStyle w:val="81"/>
        <w:spacing w:line="480" w:lineRule="auto"/>
        <w:rPr>
          <w:rFonts w:hint="eastAsia" w:ascii="宋体" w:hAnsi="宋体"/>
          <w:sz w:val="24"/>
          <w:szCs w:val="24"/>
          <w:highlight w:val="none"/>
        </w:rPr>
      </w:pPr>
      <w:r>
        <w:rPr>
          <w:rFonts w:hint="eastAsia" w:ascii="宋体" w:hAnsi="宋体"/>
          <w:sz w:val="24"/>
          <w:szCs w:val="24"/>
          <w:highlight w:val="none"/>
        </w:rPr>
        <w:t>四、技术方案</w:t>
      </w:r>
    </w:p>
    <w:p w14:paraId="63241D5B">
      <w:pPr>
        <w:pStyle w:val="81"/>
        <w:spacing w:line="480" w:lineRule="auto"/>
        <w:rPr>
          <w:rFonts w:hint="eastAsia" w:ascii="宋体" w:hAnsi="宋体"/>
          <w:sz w:val="24"/>
          <w:szCs w:val="24"/>
          <w:highlight w:val="none"/>
        </w:rPr>
      </w:pPr>
      <w:r>
        <w:rPr>
          <w:rFonts w:hint="eastAsia" w:ascii="宋体" w:hAnsi="宋体"/>
          <w:sz w:val="24"/>
          <w:szCs w:val="24"/>
          <w:highlight w:val="none"/>
        </w:rPr>
        <w:t>五、供应商满足商务技术评分的其他材料；</w:t>
      </w:r>
    </w:p>
    <w:p w14:paraId="3AF91700">
      <w:pPr>
        <w:pStyle w:val="81"/>
        <w:spacing w:line="480" w:lineRule="auto"/>
        <w:rPr>
          <w:rFonts w:hint="eastAsia" w:ascii="宋体" w:hAnsi="宋体"/>
          <w:sz w:val="24"/>
          <w:szCs w:val="24"/>
          <w:highlight w:val="none"/>
        </w:rPr>
      </w:pPr>
      <w:r>
        <w:rPr>
          <w:rFonts w:hint="eastAsia" w:ascii="宋体" w:hAnsi="宋体"/>
          <w:sz w:val="24"/>
          <w:szCs w:val="24"/>
          <w:highlight w:val="none"/>
        </w:rPr>
        <w:t>六、</w:t>
      </w:r>
      <w:r>
        <w:rPr>
          <w:rFonts w:ascii="宋体" w:hAnsi="宋体" w:cs="宋体"/>
          <w:sz w:val="24"/>
          <w:highlight w:val="none"/>
        </w:rPr>
        <w:t>供应商</w:t>
      </w:r>
      <w:r>
        <w:rPr>
          <w:rFonts w:hint="eastAsia" w:ascii="宋体" w:hAnsi="宋体"/>
          <w:sz w:val="24"/>
          <w:szCs w:val="24"/>
          <w:highlight w:val="none"/>
        </w:rPr>
        <w:t>认为需要说明的其他文件等。</w:t>
      </w:r>
    </w:p>
    <w:p w14:paraId="2215A336">
      <w:pPr>
        <w:spacing w:line="480" w:lineRule="auto"/>
        <w:rPr>
          <w:rFonts w:hint="eastAsia" w:ascii="宋体" w:hAnsi="宋体" w:cs="Arial"/>
          <w:sz w:val="24"/>
          <w:highlight w:val="none"/>
        </w:rPr>
      </w:pPr>
      <w:r>
        <w:rPr>
          <w:rFonts w:hint="eastAsia" w:ascii="宋体" w:hAnsi="宋体" w:cs="宋体"/>
          <w:sz w:val="24"/>
          <w:highlight w:val="none"/>
        </w:rPr>
        <w:t>（以上内容未提供格式的，需根据评分内容自拟）</w:t>
      </w:r>
    </w:p>
    <w:p w14:paraId="7B2A6F47">
      <w:pPr>
        <w:pStyle w:val="3"/>
        <w:spacing w:before="480" w:after="120"/>
        <w:rPr>
          <w:rFonts w:hint="eastAsia" w:ascii="宋体" w:hAnsi="宋体" w:cs="Arial"/>
          <w:b w:val="0"/>
          <w:sz w:val="24"/>
          <w:highlight w:val="none"/>
        </w:rPr>
      </w:pPr>
      <w:r>
        <w:rPr>
          <w:rFonts w:hint="eastAsia" w:ascii="宋体" w:hAnsi="宋体" w:cs="Arial"/>
          <w:sz w:val="24"/>
          <w:highlight w:val="none"/>
        </w:rPr>
        <w:br w:type="page"/>
      </w:r>
      <w:r>
        <w:rPr>
          <w:rFonts w:hint="eastAsia"/>
          <w:highlight w:val="none"/>
        </w:rPr>
        <w:t>一、评分索引表（根据评分内容自拟）</w:t>
      </w:r>
    </w:p>
    <w:p w14:paraId="2F879DC2">
      <w:pPr>
        <w:pStyle w:val="3"/>
        <w:spacing w:before="480" w:after="120"/>
        <w:rPr>
          <w:rFonts w:hint="eastAsia" w:cs="宋体"/>
          <w:b w:val="0"/>
          <w:bCs/>
          <w:szCs w:val="32"/>
          <w:highlight w:val="none"/>
          <w:lang w:val="zh-CN"/>
        </w:rPr>
      </w:pPr>
      <w:r>
        <w:rPr>
          <w:rFonts w:ascii="宋体" w:hAnsi="宋体" w:cs="Arial"/>
          <w:sz w:val="24"/>
          <w:highlight w:val="none"/>
        </w:rPr>
        <w:br w:type="page"/>
      </w:r>
      <w:r>
        <w:rPr>
          <w:rFonts w:hint="eastAsia"/>
          <w:highlight w:val="none"/>
        </w:rPr>
        <w:t>二、供应商情况介绍（自拟）</w:t>
      </w:r>
    </w:p>
    <w:p w14:paraId="374BE60C">
      <w:pPr>
        <w:spacing w:line="360" w:lineRule="auto"/>
        <w:ind w:right="-21" w:rightChars="-10"/>
        <w:rPr>
          <w:rFonts w:cs="宋体"/>
          <w:sz w:val="24"/>
          <w:highlight w:val="none"/>
        </w:rPr>
      </w:pPr>
    </w:p>
    <w:p w14:paraId="6D6A746C">
      <w:pPr>
        <w:spacing w:line="360" w:lineRule="auto"/>
        <w:ind w:right="-21" w:rightChars="-10"/>
        <w:rPr>
          <w:rFonts w:cs="宋体"/>
          <w:sz w:val="24"/>
          <w:highlight w:val="none"/>
        </w:rPr>
      </w:pPr>
    </w:p>
    <w:p w14:paraId="1AAC2562">
      <w:pPr>
        <w:spacing w:line="360" w:lineRule="auto"/>
        <w:ind w:right="-21" w:rightChars="-10"/>
        <w:rPr>
          <w:rFonts w:hint="eastAsia" w:cs="宋体"/>
          <w:spacing w:val="20"/>
          <w:sz w:val="24"/>
          <w:highlight w:val="none"/>
        </w:rPr>
      </w:pPr>
      <w:r>
        <w:rPr>
          <w:rFonts w:hint="eastAsia" w:cs="宋体"/>
          <w:sz w:val="24"/>
          <w:highlight w:val="none"/>
        </w:rPr>
        <w:t>供应商（</w:t>
      </w:r>
      <w:r>
        <w:rPr>
          <w:rFonts w:hint="eastAsia" w:cs="宋体"/>
          <w:spacing w:val="20"/>
          <w:sz w:val="24"/>
          <w:highlight w:val="none"/>
        </w:rPr>
        <w:t>盖电子公章）：</w:t>
      </w:r>
    </w:p>
    <w:p w14:paraId="5EF15C86">
      <w:pPr>
        <w:spacing w:line="360" w:lineRule="auto"/>
        <w:ind w:right="-21" w:rightChars="-10"/>
        <w:rPr>
          <w:rFonts w:hint="eastAsia" w:cs="宋体"/>
          <w:b/>
          <w:sz w:val="32"/>
          <w:highlight w:val="none"/>
        </w:rPr>
      </w:pPr>
      <w:r>
        <w:rPr>
          <w:rFonts w:hint="eastAsia" w:cs="宋体"/>
          <w:sz w:val="24"/>
          <w:highlight w:val="none"/>
        </w:rPr>
        <w:t xml:space="preserve">日期： </w:t>
      </w:r>
    </w:p>
    <w:p w14:paraId="7AC5781A">
      <w:pPr>
        <w:pStyle w:val="3"/>
        <w:spacing w:before="480" w:after="120"/>
        <w:rPr>
          <w:rFonts w:hint="eastAsia" w:ascii="宋体" w:hAnsi="宋体" w:cs="Arial"/>
          <w:b w:val="0"/>
          <w:bCs/>
          <w:szCs w:val="21"/>
          <w:highlight w:val="none"/>
        </w:rPr>
      </w:pPr>
      <w:r>
        <w:rPr>
          <w:rFonts w:cs="宋体"/>
          <w:b w:val="0"/>
          <w:sz w:val="24"/>
          <w:highlight w:val="none"/>
          <w:lang w:val="zh-CN"/>
        </w:rPr>
        <w:br w:type="page"/>
      </w:r>
      <w:r>
        <w:rPr>
          <w:rFonts w:hint="eastAsia"/>
          <w:highlight w:val="none"/>
        </w:rPr>
        <w:t>三、供应商类似项目业绩汇总表</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854"/>
        <w:gridCol w:w="1449"/>
        <w:gridCol w:w="1701"/>
        <w:gridCol w:w="1779"/>
        <w:gridCol w:w="1577"/>
      </w:tblGrid>
      <w:tr w14:paraId="75EC6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07" w:type="dxa"/>
            <w:noWrap w:val="0"/>
            <w:vAlign w:val="center"/>
          </w:tcPr>
          <w:p w14:paraId="11C5F1C3">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序号</w:t>
            </w:r>
          </w:p>
        </w:tc>
        <w:tc>
          <w:tcPr>
            <w:tcW w:w="1854" w:type="dxa"/>
            <w:noWrap w:val="0"/>
            <w:vAlign w:val="center"/>
          </w:tcPr>
          <w:p w14:paraId="13B61667">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项目名称</w:t>
            </w:r>
          </w:p>
        </w:tc>
        <w:tc>
          <w:tcPr>
            <w:tcW w:w="1449" w:type="dxa"/>
            <w:noWrap w:val="0"/>
            <w:vAlign w:val="center"/>
          </w:tcPr>
          <w:p w14:paraId="07525BD3">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委托单位</w:t>
            </w:r>
          </w:p>
        </w:tc>
        <w:tc>
          <w:tcPr>
            <w:tcW w:w="1701" w:type="dxa"/>
            <w:noWrap w:val="0"/>
            <w:vAlign w:val="center"/>
          </w:tcPr>
          <w:p w14:paraId="2D699B9C">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合同主要内容</w:t>
            </w:r>
          </w:p>
        </w:tc>
        <w:tc>
          <w:tcPr>
            <w:tcW w:w="1779" w:type="dxa"/>
            <w:noWrap w:val="0"/>
            <w:vAlign w:val="center"/>
          </w:tcPr>
          <w:p w14:paraId="492F9E43">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合同签订时间</w:t>
            </w:r>
          </w:p>
        </w:tc>
        <w:tc>
          <w:tcPr>
            <w:tcW w:w="1577" w:type="dxa"/>
            <w:noWrap w:val="0"/>
            <w:vAlign w:val="center"/>
          </w:tcPr>
          <w:p w14:paraId="7DDE78F9">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合同金额</w:t>
            </w:r>
          </w:p>
        </w:tc>
      </w:tr>
      <w:tr w14:paraId="39AE6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1A8ACEFA">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1</w:t>
            </w:r>
          </w:p>
        </w:tc>
        <w:tc>
          <w:tcPr>
            <w:tcW w:w="1854" w:type="dxa"/>
            <w:noWrap w:val="0"/>
            <w:vAlign w:val="center"/>
          </w:tcPr>
          <w:p w14:paraId="36919048">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1A7CF8A1">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77B351C7">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2EED0E0D">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177F3E25">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610FF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581D4378">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2</w:t>
            </w:r>
          </w:p>
        </w:tc>
        <w:tc>
          <w:tcPr>
            <w:tcW w:w="1854" w:type="dxa"/>
            <w:noWrap w:val="0"/>
            <w:vAlign w:val="center"/>
          </w:tcPr>
          <w:p w14:paraId="438A0E80">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300A2F67">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00879A2C">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4B4FD1D5">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788B4232">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1FC92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 w:type="dxa"/>
            <w:noWrap w:val="0"/>
            <w:vAlign w:val="center"/>
          </w:tcPr>
          <w:p w14:paraId="069EFE7C">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3</w:t>
            </w:r>
          </w:p>
        </w:tc>
        <w:tc>
          <w:tcPr>
            <w:tcW w:w="1854" w:type="dxa"/>
            <w:noWrap w:val="0"/>
            <w:vAlign w:val="center"/>
          </w:tcPr>
          <w:p w14:paraId="023AEF89">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1864B79A">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69E1B758">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066F35CE">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7DD5B5D7">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1490A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51B1DD4E">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4</w:t>
            </w:r>
          </w:p>
        </w:tc>
        <w:tc>
          <w:tcPr>
            <w:tcW w:w="1854" w:type="dxa"/>
            <w:noWrap w:val="0"/>
            <w:vAlign w:val="center"/>
          </w:tcPr>
          <w:p w14:paraId="328FBCA8">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034C50EF">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47F7DF04">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4DE7F668">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58BDC378">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0C7BD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38442D11">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5</w:t>
            </w:r>
          </w:p>
        </w:tc>
        <w:tc>
          <w:tcPr>
            <w:tcW w:w="1854" w:type="dxa"/>
            <w:noWrap w:val="0"/>
            <w:vAlign w:val="center"/>
          </w:tcPr>
          <w:p w14:paraId="1D96AE4D">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390E921F">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2A5521B1">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6EB6FB1F">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75361D68">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75787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 w:type="dxa"/>
            <w:noWrap w:val="0"/>
            <w:vAlign w:val="center"/>
          </w:tcPr>
          <w:p w14:paraId="2EDBDDAF">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6</w:t>
            </w:r>
          </w:p>
        </w:tc>
        <w:tc>
          <w:tcPr>
            <w:tcW w:w="1854" w:type="dxa"/>
            <w:noWrap w:val="0"/>
            <w:vAlign w:val="center"/>
          </w:tcPr>
          <w:p w14:paraId="6BA3B142">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5C6230AB">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3C3E5DC1">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324A0962">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3EDD2C36">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6581B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16379D91">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7</w:t>
            </w:r>
          </w:p>
        </w:tc>
        <w:tc>
          <w:tcPr>
            <w:tcW w:w="1854" w:type="dxa"/>
            <w:noWrap w:val="0"/>
            <w:vAlign w:val="center"/>
          </w:tcPr>
          <w:p w14:paraId="21D27806">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62DF39F8">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7F64D5C1">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545A96E9">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433400E3">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1FEAC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5A403150">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8</w:t>
            </w:r>
          </w:p>
        </w:tc>
        <w:tc>
          <w:tcPr>
            <w:tcW w:w="1854" w:type="dxa"/>
            <w:noWrap w:val="0"/>
            <w:vAlign w:val="center"/>
          </w:tcPr>
          <w:p w14:paraId="15D70D44">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171FE3E3">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5216AE13">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3FF5DC53">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2994D530">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7A369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07" w:type="dxa"/>
            <w:noWrap w:val="0"/>
            <w:vAlign w:val="center"/>
          </w:tcPr>
          <w:p w14:paraId="4B32F094">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9</w:t>
            </w:r>
          </w:p>
        </w:tc>
        <w:tc>
          <w:tcPr>
            <w:tcW w:w="1854" w:type="dxa"/>
            <w:noWrap w:val="0"/>
            <w:vAlign w:val="center"/>
          </w:tcPr>
          <w:p w14:paraId="63E6D1E9">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54EC7677">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69A7528F">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49D5E760">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30E3DFDC">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r w14:paraId="53471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07" w:type="dxa"/>
            <w:noWrap w:val="0"/>
            <w:vAlign w:val="center"/>
          </w:tcPr>
          <w:p w14:paraId="744914A9">
            <w:pPr>
              <w:keepNext w:val="0"/>
              <w:keepLines w:val="0"/>
              <w:suppressLineNumbers w:val="0"/>
              <w:spacing w:before="0" w:beforeAutospacing="0" w:after="0" w:afterAutospacing="0"/>
              <w:ind w:left="0" w:right="0"/>
              <w:jc w:val="center"/>
              <w:rPr>
                <w:rFonts w:hint="eastAsia" w:ascii="等线" w:hAnsi="等线" w:eastAsia="等线" w:cs="等线"/>
                <w:sz w:val="24"/>
                <w:highlight w:val="none"/>
              </w:rPr>
            </w:pPr>
            <w:r>
              <w:rPr>
                <w:rFonts w:hint="eastAsia" w:ascii="等线" w:hAnsi="等线" w:eastAsia="等线" w:cs="等线"/>
                <w:sz w:val="24"/>
                <w:highlight w:val="none"/>
              </w:rPr>
              <w:t>10</w:t>
            </w:r>
          </w:p>
        </w:tc>
        <w:tc>
          <w:tcPr>
            <w:tcW w:w="1854" w:type="dxa"/>
            <w:noWrap w:val="0"/>
            <w:vAlign w:val="center"/>
          </w:tcPr>
          <w:p w14:paraId="7AAEFE9A">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449" w:type="dxa"/>
            <w:noWrap w:val="0"/>
            <w:vAlign w:val="center"/>
          </w:tcPr>
          <w:p w14:paraId="29AA39D7">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01" w:type="dxa"/>
            <w:noWrap w:val="0"/>
            <w:vAlign w:val="center"/>
          </w:tcPr>
          <w:p w14:paraId="744D6201">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779" w:type="dxa"/>
            <w:noWrap w:val="0"/>
            <w:vAlign w:val="center"/>
          </w:tcPr>
          <w:p w14:paraId="50699657">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c>
          <w:tcPr>
            <w:tcW w:w="1577" w:type="dxa"/>
            <w:noWrap w:val="0"/>
            <w:vAlign w:val="center"/>
          </w:tcPr>
          <w:p w14:paraId="19DACA40">
            <w:pPr>
              <w:keepNext w:val="0"/>
              <w:keepLines w:val="0"/>
              <w:suppressLineNumbers w:val="0"/>
              <w:spacing w:before="0" w:beforeAutospacing="0" w:after="0" w:afterAutospacing="0"/>
              <w:ind w:left="0" w:right="0"/>
              <w:rPr>
                <w:rFonts w:hint="eastAsia" w:ascii="等线" w:hAnsi="等线" w:eastAsia="等线" w:cs="等线"/>
                <w:sz w:val="24"/>
                <w:highlight w:val="none"/>
              </w:rPr>
            </w:pPr>
          </w:p>
        </w:tc>
      </w:tr>
    </w:tbl>
    <w:p w14:paraId="48367DBC">
      <w:pPr>
        <w:spacing w:line="360" w:lineRule="auto"/>
        <w:ind w:right="-21" w:rightChars="-10"/>
        <w:rPr>
          <w:rFonts w:hint="eastAsia"/>
          <w:highlight w:val="none"/>
        </w:rPr>
      </w:pPr>
    </w:p>
    <w:p w14:paraId="1CA8FDC3">
      <w:pPr>
        <w:spacing w:line="360" w:lineRule="auto"/>
        <w:ind w:right="-21" w:rightChars="-10"/>
        <w:rPr>
          <w:rFonts w:hint="eastAsia"/>
          <w:b/>
          <w:highlight w:val="none"/>
        </w:rPr>
      </w:pPr>
      <w:r>
        <w:rPr>
          <w:b/>
          <w:sz w:val="24"/>
          <w:highlight w:val="none"/>
        </w:rPr>
        <w:t>注：</w:t>
      </w:r>
      <w:r>
        <w:rPr>
          <w:rFonts w:hint="eastAsia"/>
          <w:b/>
          <w:sz w:val="24"/>
          <w:highlight w:val="none"/>
        </w:rPr>
        <w:t>以提供合同的复印件为准，合同复印件至少提供合同首页、合同金额所在页签字盖章页及相关服务内容证明页，加盖供应商公章。</w:t>
      </w:r>
    </w:p>
    <w:p w14:paraId="5DED9DE6">
      <w:pPr>
        <w:spacing w:line="360" w:lineRule="auto"/>
        <w:ind w:right="-21" w:rightChars="-10"/>
        <w:rPr>
          <w:rFonts w:hint="eastAsia" w:cs="宋体"/>
          <w:highlight w:val="none"/>
        </w:rPr>
      </w:pPr>
    </w:p>
    <w:p w14:paraId="7B5E9093">
      <w:pPr>
        <w:spacing w:line="360" w:lineRule="auto"/>
        <w:ind w:right="-21" w:rightChars="-10"/>
        <w:rPr>
          <w:rFonts w:hint="eastAsia" w:cs="宋体"/>
          <w:spacing w:val="20"/>
          <w:sz w:val="24"/>
          <w:highlight w:val="none"/>
        </w:rPr>
      </w:pPr>
      <w:r>
        <w:rPr>
          <w:rFonts w:hint="eastAsia" w:cs="宋体"/>
          <w:sz w:val="24"/>
          <w:highlight w:val="none"/>
        </w:rPr>
        <w:t>供应商（盖电子公章</w:t>
      </w:r>
      <w:r>
        <w:rPr>
          <w:rFonts w:hint="eastAsia" w:cs="宋体"/>
          <w:spacing w:val="20"/>
          <w:sz w:val="24"/>
          <w:highlight w:val="none"/>
        </w:rPr>
        <w:t>）：</w:t>
      </w:r>
    </w:p>
    <w:p w14:paraId="7CACD91B">
      <w:pPr>
        <w:spacing w:line="360" w:lineRule="auto"/>
        <w:ind w:right="-21" w:rightChars="-10"/>
        <w:rPr>
          <w:rFonts w:hint="eastAsia" w:cs="宋体"/>
          <w:sz w:val="24"/>
          <w:highlight w:val="none"/>
        </w:rPr>
      </w:pPr>
      <w:r>
        <w:rPr>
          <w:rFonts w:hint="eastAsia" w:cs="宋体"/>
          <w:sz w:val="24"/>
          <w:highlight w:val="none"/>
        </w:rPr>
        <w:t>日期：</w:t>
      </w:r>
    </w:p>
    <w:p w14:paraId="71400E38">
      <w:pPr>
        <w:pStyle w:val="3"/>
        <w:spacing w:before="480" w:after="120"/>
        <w:rPr>
          <w:rFonts w:hint="eastAsia"/>
          <w:highlight w:val="none"/>
        </w:rPr>
      </w:pPr>
      <w:r>
        <w:rPr>
          <w:highlight w:val="none"/>
        </w:rPr>
        <w:br w:type="page"/>
      </w:r>
      <w:r>
        <w:rPr>
          <w:rFonts w:hint="eastAsia"/>
          <w:highlight w:val="none"/>
        </w:rPr>
        <w:t>四、技术方案</w:t>
      </w:r>
    </w:p>
    <w:p w14:paraId="2E3B4D6A">
      <w:pPr>
        <w:rPr>
          <w:rFonts w:hint="eastAsia"/>
          <w:b/>
          <w:bCs/>
          <w:highlight w:val="none"/>
        </w:rPr>
      </w:pPr>
      <w:r>
        <w:rPr>
          <w:rFonts w:hint="eastAsia"/>
          <w:b/>
          <w:bCs/>
          <w:highlight w:val="none"/>
        </w:rPr>
        <w:t>按评标办法进行编制</w:t>
      </w:r>
    </w:p>
    <w:p w14:paraId="577B92EE">
      <w:pPr>
        <w:pStyle w:val="81"/>
        <w:rPr>
          <w:rFonts w:hint="eastAsia"/>
          <w:highlight w:val="none"/>
        </w:rPr>
      </w:pPr>
    </w:p>
    <w:p w14:paraId="355B2286">
      <w:pPr>
        <w:pStyle w:val="81"/>
        <w:rPr>
          <w:rFonts w:hint="eastAsia"/>
          <w:highlight w:val="none"/>
        </w:rPr>
      </w:pPr>
    </w:p>
    <w:p w14:paraId="06F6ADE3">
      <w:pPr>
        <w:pStyle w:val="81"/>
        <w:rPr>
          <w:rFonts w:hint="eastAsia"/>
          <w:highlight w:val="none"/>
        </w:rPr>
      </w:pPr>
    </w:p>
    <w:p w14:paraId="074DD906">
      <w:pPr>
        <w:pStyle w:val="81"/>
        <w:rPr>
          <w:rFonts w:hint="eastAsia"/>
          <w:highlight w:val="none"/>
        </w:rPr>
      </w:pPr>
    </w:p>
    <w:p w14:paraId="53D0B9D6">
      <w:pPr>
        <w:pStyle w:val="81"/>
        <w:rPr>
          <w:rFonts w:hint="eastAsia"/>
          <w:highlight w:val="none"/>
        </w:rPr>
      </w:pPr>
    </w:p>
    <w:p w14:paraId="51115A26">
      <w:pPr>
        <w:pStyle w:val="81"/>
        <w:rPr>
          <w:rFonts w:hint="eastAsia"/>
          <w:highlight w:val="none"/>
        </w:rPr>
      </w:pPr>
    </w:p>
    <w:p w14:paraId="4A164785">
      <w:pPr>
        <w:pStyle w:val="3"/>
        <w:spacing w:before="480" w:after="120"/>
        <w:rPr>
          <w:rFonts w:hint="eastAsia"/>
          <w:highlight w:val="none"/>
        </w:rPr>
      </w:pPr>
      <w:r>
        <w:rPr>
          <w:highlight w:val="none"/>
        </w:rPr>
        <w:br w:type="page"/>
      </w:r>
      <w:r>
        <w:rPr>
          <w:rFonts w:hint="eastAsia"/>
          <w:highlight w:val="none"/>
        </w:rPr>
        <w:t>五、供应商满足商务技术评分的其他材料</w:t>
      </w:r>
    </w:p>
    <w:p w14:paraId="77045211">
      <w:pPr>
        <w:pStyle w:val="3"/>
        <w:spacing w:before="480" w:after="120"/>
        <w:rPr>
          <w:rFonts w:hint="eastAsia"/>
          <w:highlight w:val="none"/>
        </w:rPr>
      </w:pPr>
      <w:r>
        <w:rPr>
          <w:highlight w:val="none"/>
        </w:rPr>
        <w:br w:type="page"/>
      </w:r>
      <w:r>
        <w:rPr>
          <w:rFonts w:hint="eastAsia"/>
          <w:highlight w:val="none"/>
        </w:rPr>
        <w:t>六、供应商认为需要说明的其他文件等。</w:t>
      </w:r>
    </w:p>
    <w:p w14:paraId="24653510">
      <w:pPr>
        <w:tabs>
          <w:tab w:val="left" w:pos="8111"/>
        </w:tabs>
        <w:autoSpaceDE w:val="0"/>
        <w:autoSpaceDN w:val="0"/>
        <w:adjustRightInd w:val="0"/>
        <w:snapToGrid w:val="0"/>
        <w:spacing w:line="360" w:lineRule="auto"/>
        <w:jc w:val="left"/>
        <w:rPr>
          <w:rFonts w:hint="eastAsia"/>
          <w:highlight w:val="none"/>
        </w:rPr>
      </w:pPr>
      <w:r>
        <w:rPr>
          <w:rFonts w:hint="eastAsia" w:cs="宋体"/>
          <w:sz w:val="24"/>
          <w:highlight w:val="none"/>
        </w:rPr>
        <w:br w:type="page"/>
      </w:r>
      <w:r>
        <w:rPr>
          <w:rFonts w:hint="eastAsia"/>
          <w:b/>
          <w:bCs/>
          <w:sz w:val="28"/>
          <w:szCs w:val="28"/>
          <w:highlight w:val="none"/>
        </w:rPr>
        <w:t xml:space="preserve">三、报价文件格式                                </w:t>
      </w:r>
    </w:p>
    <w:p w14:paraId="0BC1FE1A">
      <w:pPr>
        <w:pStyle w:val="81"/>
        <w:rPr>
          <w:highlight w:val="none"/>
        </w:rPr>
      </w:pPr>
    </w:p>
    <w:p w14:paraId="00DB0AFE">
      <w:pPr>
        <w:autoSpaceDE w:val="0"/>
        <w:autoSpaceDN w:val="0"/>
        <w:adjustRightInd w:val="0"/>
        <w:snapToGrid w:val="0"/>
        <w:spacing w:line="360" w:lineRule="auto"/>
        <w:jc w:val="center"/>
        <w:outlineLvl w:val="2"/>
        <w:rPr>
          <w:rFonts w:hint="eastAsia"/>
          <w:b/>
          <w:spacing w:val="20"/>
          <w:kern w:val="0"/>
          <w:sz w:val="32"/>
          <w:szCs w:val="32"/>
          <w:highlight w:val="none"/>
        </w:rPr>
      </w:pPr>
      <w:r>
        <w:rPr>
          <w:rFonts w:hint="eastAsia"/>
          <w:b/>
          <w:spacing w:val="20"/>
          <w:w w:val="80"/>
          <w:kern w:val="0"/>
          <w:sz w:val="32"/>
          <w:szCs w:val="32"/>
          <w:highlight w:val="none"/>
        </w:rPr>
        <w:t xml:space="preserve"> </w:t>
      </w:r>
      <w:r>
        <w:rPr>
          <w:rFonts w:hint="eastAsia"/>
          <w:b/>
          <w:spacing w:val="20"/>
          <w:kern w:val="0"/>
          <w:sz w:val="32"/>
          <w:szCs w:val="32"/>
          <w:highlight w:val="none"/>
          <w:u w:val="single"/>
        </w:rPr>
        <w:t xml:space="preserve">                   </w:t>
      </w:r>
      <w:r>
        <w:rPr>
          <w:rFonts w:hint="eastAsia"/>
          <w:b/>
          <w:spacing w:val="20"/>
          <w:kern w:val="0"/>
          <w:sz w:val="32"/>
          <w:szCs w:val="32"/>
          <w:highlight w:val="none"/>
        </w:rPr>
        <w:t>项目</w:t>
      </w:r>
    </w:p>
    <w:p w14:paraId="6E2229C2">
      <w:pPr>
        <w:adjustRightInd w:val="0"/>
        <w:snapToGrid w:val="0"/>
        <w:spacing w:line="360" w:lineRule="auto"/>
        <w:ind w:firstLine="720" w:firstLineChars="200"/>
        <w:rPr>
          <w:rFonts w:hint="eastAsia"/>
          <w:sz w:val="36"/>
          <w:szCs w:val="36"/>
          <w:highlight w:val="none"/>
        </w:rPr>
      </w:pPr>
      <w:r>
        <w:rPr>
          <w:sz w:val="36"/>
          <w:szCs w:val="36"/>
          <w:highlight w:val="none"/>
        </w:rPr>
        <w:t xml:space="preserve">         </w:t>
      </w:r>
      <w:r>
        <w:rPr>
          <w:rFonts w:hint="eastAsia"/>
          <w:sz w:val="28"/>
          <w:szCs w:val="28"/>
          <w:highlight w:val="none"/>
        </w:rPr>
        <w:t>（</w:t>
      </w:r>
      <w:r>
        <w:rPr>
          <w:rFonts w:hint="eastAsia" w:cs="宋体"/>
          <w:b/>
          <w:bCs/>
          <w:sz w:val="28"/>
          <w:szCs w:val="28"/>
          <w:highlight w:val="none"/>
        </w:rPr>
        <w:t>采购编号：</w:t>
      </w:r>
      <w:r>
        <w:rPr>
          <w:rFonts w:hint="eastAsia" w:cs="宋体"/>
          <w:bCs/>
          <w:sz w:val="28"/>
          <w:szCs w:val="28"/>
          <w:highlight w:val="none"/>
          <w:u w:val="single"/>
        </w:rPr>
        <w:t xml:space="preserve">                </w:t>
      </w:r>
      <w:r>
        <w:rPr>
          <w:rFonts w:hint="eastAsia"/>
          <w:sz w:val="28"/>
          <w:szCs w:val="28"/>
          <w:highlight w:val="none"/>
        </w:rPr>
        <w:t>）</w:t>
      </w:r>
    </w:p>
    <w:p w14:paraId="1A23ACFA">
      <w:pPr>
        <w:adjustRightInd w:val="0"/>
        <w:snapToGrid w:val="0"/>
        <w:spacing w:line="360" w:lineRule="auto"/>
        <w:ind w:firstLine="720" w:firstLineChars="200"/>
        <w:rPr>
          <w:rFonts w:hint="eastAsia"/>
          <w:sz w:val="36"/>
          <w:szCs w:val="36"/>
          <w:highlight w:val="none"/>
        </w:rPr>
      </w:pPr>
    </w:p>
    <w:p w14:paraId="62314D4A">
      <w:pPr>
        <w:adjustRightInd w:val="0"/>
        <w:snapToGrid w:val="0"/>
        <w:spacing w:line="360" w:lineRule="auto"/>
        <w:ind w:firstLine="480" w:firstLineChars="200"/>
        <w:jc w:val="center"/>
        <w:rPr>
          <w:sz w:val="24"/>
          <w:highlight w:val="none"/>
        </w:rPr>
      </w:pPr>
    </w:p>
    <w:p w14:paraId="7E04C48D">
      <w:pPr>
        <w:adjustRightInd w:val="0"/>
        <w:snapToGrid w:val="0"/>
        <w:spacing w:line="360" w:lineRule="auto"/>
        <w:rPr>
          <w:sz w:val="44"/>
          <w:szCs w:val="44"/>
          <w:highlight w:val="none"/>
        </w:rPr>
      </w:pPr>
    </w:p>
    <w:p w14:paraId="4BDAB5CD">
      <w:pPr>
        <w:adjustRightInd w:val="0"/>
        <w:snapToGrid w:val="0"/>
        <w:spacing w:line="360" w:lineRule="auto"/>
        <w:jc w:val="center"/>
        <w:rPr>
          <w:bCs/>
          <w:sz w:val="84"/>
          <w:szCs w:val="84"/>
          <w:highlight w:val="none"/>
        </w:rPr>
      </w:pPr>
      <w:r>
        <w:rPr>
          <w:bCs/>
          <w:sz w:val="84"/>
          <w:szCs w:val="84"/>
          <w:highlight w:val="none"/>
        </w:rPr>
        <w:t>投</w:t>
      </w:r>
      <w:r>
        <w:rPr>
          <w:rFonts w:hint="eastAsia"/>
          <w:bCs/>
          <w:sz w:val="84"/>
          <w:szCs w:val="84"/>
          <w:highlight w:val="none"/>
        </w:rPr>
        <w:t xml:space="preserve"> </w:t>
      </w:r>
      <w:r>
        <w:rPr>
          <w:bCs/>
          <w:sz w:val="84"/>
          <w:szCs w:val="84"/>
          <w:highlight w:val="none"/>
        </w:rPr>
        <w:t>标</w:t>
      </w:r>
      <w:r>
        <w:rPr>
          <w:rFonts w:hint="eastAsia"/>
          <w:bCs/>
          <w:sz w:val="84"/>
          <w:szCs w:val="84"/>
          <w:highlight w:val="none"/>
        </w:rPr>
        <w:t xml:space="preserve"> </w:t>
      </w:r>
      <w:r>
        <w:rPr>
          <w:bCs/>
          <w:sz w:val="84"/>
          <w:szCs w:val="84"/>
          <w:highlight w:val="none"/>
        </w:rPr>
        <w:t>文</w:t>
      </w:r>
      <w:r>
        <w:rPr>
          <w:rFonts w:hint="eastAsia"/>
          <w:bCs/>
          <w:sz w:val="84"/>
          <w:szCs w:val="84"/>
          <w:highlight w:val="none"/>
        </w:rPr>
        <w:t xml:space="preserve"> </w:t>
      </w:r>
      <w:r>
        <w:rPr>
          <w:bCs/>
          <w:sz w:val="84"/>
          <w:szCs w:val="84"/>
          <w:highlight w:val="none"/>
        </w:rPr>
        <w:t>件</w:t>
      </w:r>
    </w:p>
    <w:p w14:paraId="28110F52">
      <w:pPr>
        <w:widowControl/>
        <w:adjustRightInd w:val="0"/>
        <w:snapToGrid w:val="0"/>
        <w:spacing w:line="360" w:lineRule="auto"/>
        <w:jc w:val="center"/>
        <w:rPr>
          <w:highlight w:val="none"/>
        </w:rPr>
      </w:pPr>
      <w:r>
        <w:rPr>
          <w:rFonts w:hint="eastAsia" w:ascii="宋体" w:hAnsi="宋体" w:cs="宋体"/>
          <w:kern w:val="44"/>
          <w:sz w:val="48"/>
          <w:szCs w:val="48"/>
          <w:highlight w:val="none"/>
          <w:lang w:bidi="ar"/>
        </w:rPr>
        <w:t>（报价文件）</w:t>
      </w:r>
    </w:p>
    <w:p w14:paraId="35F1D1DE">
      <w:pPr>
        <w:adjustRightInd w:val="0"/>
        <w:snapToGrid w:val="0"/>
        <w:spacing w:line="360" w:lineRule="auto"/>
        <w:ind w:firstLine="480" w:firstLineChars="200"/>
        <w:rPr>
          <w:rFonts w:hint="eastAsia"/>
          <w:sz w:val="24"/>
          <w:highlight w:val="none"/>
        </w:rPr>
      </w:pPr>
    </w:p>
    <w:p w14:paraId="69DCF443">
      <w:pPr>
        <w:adjustRightInd w:val="0"/>
        <w:snapToGrid w:val="0"/>
        <w:spacing w:line="360" w:lineRule="auto"/>
        <w:ind w:firstLine="480" w:firstLineChars="200"/>
        <w:rPr>
          <w:rFonts w:hint="eastAsia"/>
          <w:sz w:val="24"/>
          <w:highlight w:val="none"/>
        </w:rPr>
      </w:pPr>
    </w:p>
    <w:p w14:paraId="2A4F3A13">
      <w:pPr>
        <w:adjustRightInd w:val="0"/>
        <w:snapToGrid w:val="0"/>
        <w:spacing w:line="360" w:lineRule="auto"/>
        <w:ind w:firstLine="480" w:firstLineChars="200"/>
        <w:rPr>
          <w:rFonts w:hint="eastAsia"/>
          <w:sz w:val="24"/>
          <w:highlight w:val="none"/>
        </w:rPr>
      </w:pPr>
    </w:p>
    <w:p w14:paraId="3BC4FB8F">
      <w:pPr>
        <w:adjustRightInd w:val="0"/>
        <w:snapToGrid w:val="0"/>
        <w:spacing w:line="360" w:lineRule="auto"/>
        <w:ind w:firstLine="480" w:firstLineChars="200"/>
        <w:rPr>
          <w:rFonts w:hint="eastAsia"/>
          <w:sz w:val="24"/>
          <w:highlight w:val="none"/>
        </w:rPr>
      </w:pPr>
    </w:p>
    <w:p w14:paraId="24AC66C8">
      <w:pPr>
        <w:adjustRightInd w:val="0"/>
        <w:snapToGrid w:val="0"/>
        <w:spacing w:line="360" w:lineRule="auto"/>
        <w:ind w:firstLine="480" w:firstLineChars="200"/>
        <w:rPr>
          <w:rFonts w:hint="eastAsia"/>
          <w:sz w:val="24"/>
          <w:highlight w:val="none"/>
        </w:rPr>
      </w:pPr>
    </w:p>
    <w:p w14:paraId="2AECA208">
      <w:pPr>
        <w:adjustRightInd w:val="0"/>
        <w:snapToGrid w:val="0"/>
        <w:spacing w:line="360" w:lineRule="auto"/>
        <w:ind w:firstLine="480" w:firstLineChars="200"/>
        <w:rPr>
          <w:rFonts w:hint="eastAsia"/>
          <w:sz w:val="24"/>
          <w:highlight w:val="none"/>
        </w:rPr>
      </w:pPr>
    </w:p>
    <w:p w14:paraId="3BD775DD">
      <w:pPr>
        <w:adjustRightInd w:val="0"/>
        <w:snapToGrid w:val="0"/>
        <w:spacing w:line="360" w:lineRule="auto"/>
        <w:ind w:firstLine="480" w:firstLineChars="200"/>
        <w:jc w:val="center"/>
        <w:rPr>
          <w:sz w:val="24"/>
          <w:highlight w:val="none"/>
        </w:rPr>
      </w:pPr>
    </w:p>
    <w:p w14:paraId="30B74974">
      <w:pPr>
        <w:adjustRightInd w:val="0"/>
        <w:snapToGrid w:val="0"/>
        <w:spacing w:line="360" w:lineRule="auto"/>
        <w:ind w:firstLine="480" w:firstLineChars="200"/>
        <w:jc w:val="center"/>
        <w:rPr>
          <w:rFonts w:hint="eastAsia"/>
          <w:sz w:val="24"/>
          <w:highlight w:val="none"/>
        </w:rPr>
      </w:pPr>
    </w:p>
    <w:p w14:paraId="5FD92BCE">
      <w:pPr>
        <w:adjustRightInd w:val="0"/>
        <w:snapToGrid w:val="0"/>
        <w:spacing w:line="360" w:lineRule="auto"/>
        <w:ind w:firstLine="480" w:firstLineChars="200"/>
        <w:jc w:val="center"/>
        <w:rPr>
          <w:sz w:val="24"/>
          <w:highlight w:val="none"/>
        </w:rPr>
      </w:pPr>
    </w:p>
    <w:p w14:paraId="10E3DDE6">
      <w:pPr>
        <w:adjustRightInd w:val="0"/>
        <w:snapToGrid w:val="0"/>
        <w:spacing w:line="360" w:lineRule="auto"/>
        <w:ind w:firstLine="1400" w:firstLineChars="500"/>
        <w:rPr>
          <w:snapToGrid w:val="0"/>
          <w:kern w:val="0"/>
          <w:sz w:val="28"/>
          <w:szCs w:val="28"/>
          <w:highlight w:val="none"/>
          <w:u w:val="single"/>
        </w:rPr>
      </w:pPr>
      <w:r>
        <w:rPr>
          <w:rFonts w:hint="eastAsia"/>
          <w:snapToGrid w:val="0"/>
          <w:kern w:val="0"/>
          <w:sz w:val="28"/>
          <w:szCs w:val="28"/>
          <w:highlight w:val="none"/>
        </w:rPr>
        <w:t>供应商</w:t>
      </w:r>
      <w:r>
        <w:rPr>
          <w:snapToGrid w:val="0"/>
          <w:kern w:val="0"/>
          <w:sz w:val="28"/>
          <w:szCs w:val="28"/>
          <w:highlight w:val="none"/>
        </w:rPr>
        <w:t>：</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w:t>
      </w:r>
      <w:r>
        <w:rPr>
          <w:rFonts w:hint="eastAsia"/>
          <w:snapToGrid w:val="0"/>
          <w:kern w:val="0"/>
          <w:sz w:val="28"/>
          <w:szCs w:val="28"/>
          <w:highlight w:val="none"/>
          <w:u w:val="single"/>
        </w:rPr>
        <w:t>（盖电子公章</w:t>
      </w:r>
      <w:r>
        <w:rPr>
          <w:snapToGrid w:val="0"/>
          <w:kern w:val="0"/>
          <w:sz w:val="28"/>
          <w:szCs w:val="28"/>
          <w:highlight w:val="none"/>
          <w:u w:val="single"/>
        </w:rPr>
        <w:t>）</w:t>
      </w:r>
    </w:p>
    <w:p w14:paraId="3AAC0C53">
      <w:pPr>
        <w:adjustRightInd w:val="0"/>
        <w:snapToGrid w:val="0"/>
        <w:spacing w:line="360" w:lineRule="auto"/>
        <w:ind w:firstLine="1400" w:firstLineChars="500"/>
        <w:rPr>
          <w:snapToGrid w:val="0"/>
          <w:kern w:val="0"/>
          <w:sz w:val="28"/>
          <w:szCs w:val="28"/>
          <w:highlight w:val="none"/>
        </w:rPr>
      </w:pPr>
      <w:r>
        <w:rPr>
          <w:snapToGrid w:val="0"/>
          <w:kern w:val="0"/>
          <w:sz w:val="28"/>
          <w:szCs w:val="28"/>
          <w:highlight w:val="none"/>
        </w:rPr>
        <w:t>法定代表人或其委托代理人：</w:t>
      </w:r>
      <w:r>
        <w:rPr>
          <w:snapToGrid w:val="0"/>
          <w:kern w:val="0"/>
          <w:sz w:val="28"/>
          <w:szCs w:val="28"/>
          <w:highlight w:val="none"/>
          <w:u w:val="single"/>
        </w:rPr>
        <w:t xml:space="preserve"> </w:t>
      </w:r>
      <w:r>
        <w:rPr>
          <w:rFonts w:hint="eastAsia"/>
          <w:snapToGrid w:val="0"/>
          <w:kern w:val="0"/>
          <w:sz w:val="28"/>
          <w:szCs w:val="28"/>
          <w:highlight w:val="none"/>
          <w:u w:val="single"/>
        </w:rPr>
        <w:t xml:space="preserve"> </w:t>
      </w:r>
      <w:r>
        <w:rPr>
          <w:snapToGrid w:val="0"/>
          <w:kern w:val="0"/>
          <w:sz w:val="28"/>
          <w:szCs w:val="28"/>
          <w:highlight w:val="none"/>
          <w:u w:val="single"/>
        </w:rPr>
        <w:t xml:space="preserve"> （签字或盖</w:t>
      </w:r>
      <w:r>
        <w:rPr>
          <w:rFonts w:hint="eastAsia"/>
          <w:snapToGrid w:val="0"/>
          <w:kern w:val="0"/>
          <w:sz w:val="28"/>
          <w:szCs w:val="28"/>
          <w:highlight w:val="none"/>
          <w:u w:val="single"/>
        </w:rPr>
        <w:t>电子</w:t>
      </w:r>
      <w:r>
        <w:rPr>
          <w:snapToGrid w:val="0"/>
          <w:kern w:val="0"/>
          <w:sz w:val="28"/>
          <w:szCs w:val="28"/>
          <w:highlight w:val="none"/>
          <w:u w:val="single"/>
        </w:rPr>
        <w:t>章）</w:t>
      </w:r>
    </w:p>
    <w:p w14:paraId="06792A73">
      <w:pPr>
        <w:adjustRightInd w:val="0"/>
        <w:snapToGrid w:val="0"/>
        <w:spacing w:line="360" w:lineRule="auto"/>
        <w:ind w:firstLine="1400" w:firstLineChars="500"/>
        <w:rPr>
          <w:snapToGrid w:val="0"/>
          <w:kern w:val="0"/>
          <w:sz w:val="28"/>
          <w:szCs w:val="28"/>
          <w:highlight w:val="none"/>
        </w:rPr>
      </w:pPr>
      <w:r>
        <w:rPr>
          <w:snapToGrid w:val="0"/>
          <w:kern w:val="0"/>
          <w:sz w:val="28"/>
          <w:szCs w:val="28"/>
          <w:highlight w:val="none"/>
        </w:rPr>
        <w:t>日  期：</w:t>
      </w:r>
      <w:r>
        <w:rPr>
          <w:snapToGrid w:val="0"/>
          <w:kern w:val="0"/>
          <w:sz w:val="28"/>
          <w:szCs w:val="28"/>
          <w:highlight w:val="none"/>
          <w:u w:val="single"/>
        </w:rPr>
        <w:t xml:space="preserve">      </w:t>
      </w:r>
      <w:r>
        <w:rPr>
          <w:snapToGrid w:val="0"/>
          <w:kern w:val="0"/>
          <w:sz w:val="28"/>
          <w:szCs w:val="28"/>
          <w:highlight w:val="none"/>
        </w:rPr>
        <w:t>年</w:t>
      </w:r>
      <w:r>
        <w:rPr>
          <w:snapToGrid w:val="0"/>
          <w:kern w:val="0"/>
          <w:sz w:val="28"/>
          <w:szCs w:val="28"/>
          <w:highlight w:val="none"/>
          <w:u w:val="single"/>
        </w:rPr>
        <w:t xml:space="preserve">    </w:t>
      </w:r>
      <w:r>
        <w:rPr>
          <w:snapToGrid w:val="0"/>
          <w:kern w:val="0"/>
          <w:sz w:val="28"/>
          <w:szCs w:val="28"/>
          <w:highlight w:val="none"/>
        </w:rPr>
        <w:t>月</w:t>
      </w:r>
      <w:r>
        <w:rPr>
          <w:snapToGrid w:val="0"/>
          <w:kern w:val="0"/>
          <w:sz w:val="28"/>
          <w:szCs w:val="28"/>
          <w:highlight w:val="none"/>
          <w:u w:val="single"/>
        </w:rPr>
        <w:t xml:space="preserve">    </w:t>
      </w:r>
      <w:r>
        <w:rPr>
          <w:snapToGrid w:val="0"/>
          <w:kern w:val="0"/>
          <w:sz w:val="28"/>
          <w:szCs w:val="28"/>
          <w:highlight w:val="none"/>
        </w:rPr>
        <w:t>日</w:t>
      </w:r>
    </w:p>
    <w:p w14:paraId="58A162DF">
      <w:pPr>
        <w:spacing w:line="360" w:lineRule="auto"/>
        <w:jc w:val="center"/>
        <w:rPr>
          <w:b/>
          <w:bCs/>
          <w:sz w:val="32"/>
          <w:szCs w:val="32"/>
          <w:highlight w:val="none"/>
        </w:rPr>
      </w:pPr>
      <w:r>
        <w:rPr>
          <w:b/>
          <w:bCs/>
          <w:sz w:val="32"/>
          <w:szCs w:val="32"/>
          <w:highlight w:val="none"/>
        </w:rPr>
        <w:br w:type="page"/>
      </w:r>
      <w:r>
        <w:rPr>
          <w:rFonts w:hint="eastAsia"/>
          <w:b/>
          <w:bCs/>
          <w:sz w:val="32"/>
          <w:szCs w:val="32"/>
          <w:highlight w:val="none"/>
        </w:rPr>
        <w:t>报价文件目录</w:t>
      </w:r>
    </w:p>
    <w:p w14:paraId="186B6DA8">
      <w:pPr>
        <w:spacing w:line="360" w:lineRule="auto"/>
        <w:rPr>
          <w:rFonts w:ascii="宋体" w:hAnsi="宋体"/>
          <w:sz w:val="24"/>
          <w:highlight w:val="none"/>
        </w:rPr>
      </w:pPr>
      <w:r>
        <w:rPr>
          <w:rFonts w:hint="eastAsia" w:ascii="宋体" w:hAnsi="宋体"/>
          <w:sz w:val="24"/>
          <w:highlight w:val="none"/>
        </w:rPr>
        <w:t>一、投标函（格式见附件）</w:t>
      </w:r>
    </w:p>
    <w:p w14:paraId="1CE96835">
      <w:pPr>
        <w:spacing w:line="360" w:lineRule="auto"/>
        <w:rPr>
          <w:rFonts w:hint="eastAsia" w:ascii="宋体" w:hAnsi="宋体"/>
          <w:sz w:val="24"/>
          <w:highlight w:val="none"/>
        </w:rPr>
      </w:pPr>
      <w:r>
        <w:rPr>
          <w:rFonts w:hint="eastAsia" w:ascii="宋体" w:hAnsi="宋体"/>
          <w:sz w:val="24"/>
          <w:highlight w:val="none"/>
        </w:rPr>
        <w:t>二、开标一览表（格式见附件）</w:t>
      </w:r>
    </w:p>
    <w:p w14:paraId="37606BBD">
      <w:pPr>
        <w:tabs>
          <w:tab w:val="left" w:pos="5025"/>
        </w:tabs>
        <w:spacing w:line="360" w:lineRule="auto"/>
        <w:rPr>
          <w:rFonts w:hint="eastAsia" w:ascii="宋体" w:hAnsi="宋体"/>
          <w:sz w:val="24"/>
          <w:highlight w:val="none"/>
        </w:rPr>
      </w:pPr>
      <w:r>
        <w:rPr>
          <w:rFonts w:hint="eastAsia" w:ascii="宋体" w:hAnsi="宋体"/>
          <w:sz w:val="24"/>
          <w:highlight w:val="none"/>
        </w:rPr>
        <w:t>三、供应商认为需要说明的其他文件和说明</w:t>
      </w:r>
    </w:p>
    <w:p w14:paraId="127DFA52">
      <w:pPr>
        <w:pStyle w:val="3"/>
        <w:spacing w:before="480" w:after="120"/>
        <w:rPr>
          <w:rFonts w:ascii="宋体" w:hAnsi="宋体"/>
          <w:sz w:val="24"/>
          <w:highlight w:val="none"/>
        </w:rPr>
      </w:pPr>
      <w:r>
        <w:rPr>
          <w:rFonts w:hint="eastAsia" w:ascii="宋体" w:hAnsi="宋体"/>
          <w:sz w:val="24"/>
          <w:highlight w:val="none"/>
        </w:rPr>
        <w:br w:type="page"/>
      </w:r>
      <w:r>
        <w:rPr>
          <w:rFonts w:hint="eastAsia"/>
          <w:highlight w:val="none"/>
        </w:rPr>
        <w:t>一、投标函</w:t>
      </w:r>
    </w:p>
    <w:p w14:paraId="29F9B3BB">
      <w:pPr>
        <w:spacing w:line="360" w:lineRule="auto"/>
        <w:ind w:right="-21" w:rightChars="-10"/>
        <w:rPr>
          <w:rFonts w:hint="eastAsia" w:cs="宋体"/>
          <w:sz w:val="24"/>
          <w:highlight w:val="none"/>
        </w:rPr>
      </w:pPr>
      <w:r>
        <w:rPr>
          <w:rFonts w:hint="eastAsia" w:cs="宋体"/>
          <w:sz w:val="24"/>
          <w:highlight w:val="none"/>
        </w:rPr>
        <w:t xml:space="preserve">致（采购人）： </w:t>
      </w:r>
    </w:p>
    <w:p w14:paraId="7D271280">
      <w:pPr>
        <w:spacing w:line="360" w:lineRule="auto"/>
        <w:ind w:right="-21" w:rightChars="-10" w:firstLine="480" w:firstLineChars="200"/>
        <w:rPr>
          <w:rFonts w:hint="eastAsia" w:cs="宋体"/>
          <w:sz w:val="24"/>
          <w:highlight w:val="none"/>
        </w:rPr>
      </w:pPr>
      <w:r>
        <w:rPr>
          <w:rFonts w:hint="eastAsia" w:cs="宋体"/>
          <w:sz w:val="24"/>
          <w:highlight w:val="none"/>
        </w:rPr>
        <w:t>我方已仔细研究了</w:t>
      </w:r>
      <w:r>
        <w:rPr>
          <w:rFonts w:hint="eastAsia" w:cs="宋体"/>
          <w:sz w:val="24"/>
          <w:highlight w:val="none"/>
          <w:u w:val="single"/>
        </w:rPr>
        <w:t xml:space="preserve">            （项目名称）</w:t>
      </w:r>
      <w:r>
        <w:rPr>
          <w:rFonts w:hint="eastAsia" w:cs="宋体"/>
          <w:sz w:val="24"/>
          <w:highlight w:val="none"/>
        </w:rPr>
        <w:t>（采购编号：_______）采购文件的全部内容，授权代表________（全名、职务）经正式授权并代表我方_______________（供应商名称、地址）提交下述响应文件。响应文件包括：</w:t>
      </w:r>
    </w:p>
    <w:p w14:paraId="3365D51D">
      <w:pPr>
        <w:spacing w:line="360" w:lineRule="auto"/>
        <w:ind w:right="-21" w:rightChars="-10" w:firstLine="480" w:firstLineChars="200"/>
        <w:rPr>
          <w:rFonts w:hint="eastAsia" w:cs="宋体"/>
          <w:sz w:val="24"/>
          <w:highlight w:val="none"/>
        </w:rPr>
      </w:pPr>
      <w:r>
        <w:rPr>
          <w:rFonts w:hint="eastAsia" w:cs="宋体"/>
          <w:sz w:val="24"/>
          <w:highlight w:val="none"/>
        </w:rPr>
        <w:t>1）资格文件；</w:t>
      </w:r>
    </w:p>
    <w:p w14:paraId="74F43493">
      <w:pPr>
        <w:spacing w:line="360" w:lineRule="auto"/>
        <w:ind w:right="-21" w:rightChars="-10" w:firstLine="480" w:firstLineChars="200"/>
        <w:rPr>
          <w:rFonts w:hint="eastAsia" w:cs="宋体"/>
          <w:sz w:val="24"/>
          <w:highlight w:val="none"/>
        </w:rPr>
      </w:pPr>
      <w:r>
        <w:rPr>
          <w:rFonts w:hint="eastAsia" w:cs="宋体"/>
          <w:sz w:val="24"/>
          <w:highlight w:val="none"/>
        </w:rPr>
        <w:t>2）商务技术文件；</w:t>
      </w:r>
    </w:p>
    <w:p w14:paraId="0CCFBD8C">
      <w:pPr>
        <w:spacing w:line="360" w:lineRule="auto"/>
        <w:ind w:right="-21" w:rightChars="-10" w:firstLine="480" w:firstLineChars="200"/>
        <w:rPr>
          <w:rFonts w:hint="eastAsia" w:cs="宋体"/>
          <w:sz w:val="24"/>
          <w:highlight w:val="none"/>
        </w:rPr>
      </w:pPr>
      <w:r>
        <w:rPr>
          <w:rFonts w:hint="eastAsia" w:cs="宋体"/>
          <w:sz w:val="24"/>
          <w:highlight w:val="none"/>
        </w:rPr>
        <w:t>3）报价文件。</w:t>
      </w:r>
    </w:p>
    <w:p w14:paraId="71EDBC92">
      <w:pPr>
        <w:spacing w:line="360" w:lineRule="auto"/>
        <w:ind w:firstLine="480" w:firstLineChars="200"/>
        <w:rPr>
          <w:rFonts w:hint="eastAsia" w:cs="宋体"/>
          <w:sz w:val="24"/>
          <w:highlight w:val="none"/>
        </w:rPr>
      </w:pPr>
      <w:r>
        <w:rPr>
          <w:rFonts w:hint="eastAsia" w:cs="宋体"/>
          <w:sz w:val="24"/>
          <w:highlight w:val="none"/>
        </w:rPr>
        <w:t>在此，我方同意并承诺如下：</w:t>
      </w:r>
    </w:p>
    <w:p w14:paraId="60C758EF">
      <w:pPr>
        <w:spacing w:line="360" w:lineRule="auto"/>
        <w:ind w:firstLine="480" w:firstLineChars="200"/>
        <w:rPr>
          <w:rFonts w:hint="eastAsia" w:cs="宋体"/>
          <w:sz w:val="24"/>
          <w:highlight w:val="none"/>
          <w:u w:val="single"/>
        </w:rPr>
      </w:pPr>
      <w:r>
        <w:rPr>
          <w:rFonts w:hint="eastAsia" w:cs="宋体"/>
          <w:sz w:val="24"/>
          <w:highlight w:val="none"/>
        </w:rPr>
        <w:t>1.我方将按采购文件的规定履行合同责任和义务，</w:t>
      </w:r>
      <w:r>
        <w:rPr>
          <w:rFonts w:hint="eastAsia"/>
          <w:sz w:val="24"/>
          <w:highlight w:val="none"/>
        </w:rPr>
        <w:t xml:space="preserve">投标总价（总服务期内的服务总价）为 </w:t>
      </w:r>
      <w:r>
        <w:rPr>
          <w:rFonts w:hint="eastAsia"/>
          <w:sz w:val="24"/>
          <w:highlight w:val="none"/>
          <w:u w:val="single"/>
        </w:rPr>
        <w:t xml:space="preserve">           （注明币种，并用文字和数字表示的投标总价）</w:t>
      </w:r>
      <w:r>
        <w:rPr>
          <w:rFonts w:hint="eastAsia"/>
          <w:sz w:val="24"/>
          <w:highlight w:val="none"/>
        </w:rPr>
        <w:t>。服务期为</w:t>
      </w:r>
      <w:r>
        <w:rPr>
          <w:rFonts w:hint="eastAsia"/>
          <w:sz w:val="24"/>
          <w:highlight w:val="none"/>
          <w:u w:val="single"/>
        </w:rPr>
        <w:t xml:space="preserve"> 符合采购文件要求 </w:t>
      </w:r>
      <w:r>
        <w:rPr>
          <w:rFonts w:hint="eastAsia"/>
          <w:sz w:val="24"/>
          <w:highlight w:val="none"/>
        </w:rPr>
        <w:t>。质量标准为</w:t>
      </w:r>
      <w:r>
        <w:rPr>
          <w:rFonts w:hint="eastAsia"/>
          <w:sz w:val="24"/>
          <w:highlight w:val="none"/>
          <w:u w:val="single"/>
        </w:rPr>
        <w:t xml:space="preserve"> 符合采购文件要求。</w:t>
      </w:r>
    </w:p>
    <w:p w14:paraId="3D93DD9C">
      <w:pPr>
        <w:spacing w:line="360" w:lineRule="auto"/>
        <w:ind w:firstLine="480" w:firstLineChars="200"/>
        <w:rPr>
          <w:rFonts w:hint="eastAsia" w:cs="宋体"/>
          <w:sz w:val="24"/>
          <w:highlight w:val="none"/>
        </w:rPr>
      </w:pPr>
      <w:r>
        <w:rPr>
          <w:rFonts w:hint="eastAsia" w:cs="宋体"/>
          <w:sz w:val="24"/>
          <w:highlight w:val="none"/>
        </w:rPr>
        <w:t>2.我方已详细审查了全部采购文件，包括第</w:t>
      </w:r>
      <w:r>
        <w:rPr>
          <w:rFonts w:hint="eastAsia" w:cs="宋体"/>
          <w:sz w:val="24"/>
          <w:highlight w:val="none"/>
          <w:u w:val="single"/>
        </w:rPr>
        <w:t>（编号、补遗书）（如果有的话）</w:t>
      </w:r>
      <w:r>
        <w:rPr>
          <w:rFonts w:hint="eastAsia" w:cs="宋体"/>
          <w:sz w:val="24"/>
          <w:highlight w:val="none"/>
        </w:rPr>
        <w:t>。我方完全理解并同意放弃对这方面有不明及误解的权力。</w:t>
      </w:r>
    </w:p>
    <w:p w14:paraId="771A78D9">
      <w:pPr>
        <w:spacing w:line="360" w:lineRule="auto"/>
        <w:ind w:firstLine="480" w:firstLineChars="200"/>
        <w:rPr>
          <w:rFonts w:hint="eastAsia" w:cs="宋体"/>
          <w:sz w:val="24"/>
          <w:highlight w:val="none"/>
        </w:rPr>
      </w:pPr>
      <w:r>
        <w:rPr>
          <w:rFonts w:hint="eastAsia" w:cs="宋体"/>
          <w:sz w:val="24"/>
          <w:highlight w:val="none"/>
        </w:rPr>
        <w:t>3.本投标有效期为自投标截止日起</w:t>
      </w:r>
      <w:r>
        <w:rPr>
          <w:rFonts w:hint="eastAsia" w:cs="宋体"/>
          <w:sz w:val="24"/>
          <w:highlight w:val="none"/>
          <w:u w:val="single"/>
        </w:rPr>
        <w:t>90</w:t>
      </w:r>
      <w:r>
        <w:rPr>
          <w:rFonts w:hint="eastAsia" w:cs="宋体"/>
          <w:sz w:val="24"/>
          <w:highlight w:val="none"/>
        </w:rPr>
        <w:t>天。</w:t>
      </w:r>
    </w:p>
    <w:p w14:paraId="14FDAA51">
      <w:pPr>
        <w:spacing w:line="360" w:lineRule="auto"/>
        <w:ind w:firstLine="480" w:firstLineChars="200"/>
        <w:rPr>
          <w:rFonts w:hint="eastAsia" w:cs="宋体"/>
          <w:sz w:val="24"/>
          <w:highlight w:val="none"/>
        </w:rPr>
      </w:pPr>
      <w:r>
        <w:rPr>
          <w:rFonts w:hint="eastAsia" w:cs="宋体"/>
          <w:sz w:val="24"/>
          <w:highlight w:val="none"/>
        </w:rPr>
        <w:t>4.如果在规定的投标截止时间后，我方在投标有效期内撤回投标，则全部响应保证金将被贵方没收。</w:t>
      </w:r>
    </w:p>
    <w:p w14:paraId="64F5FFFE">
      <w:pPr>
        <w:spacing w:line="360" w:lineRule="auto"/>
        <w:ind w:firstLine="480" w:firstLineChars="200"/>
        <w:rPr>
          <w:rFonts w:hint="eastAsia" w:cs="宋体"/>
          <w:sz w:val="24"/>
          <w:highlight w:val="none"/>
        </w:rPr>
      </w:pPr>
      <w:r>
        <w:rPr>
          <w:rFonts w:hint="eastAsia" w:cs="宋体"/>
          <w:sz w:val="24"/>
          <w:highlight w:val="none"/>
        </w:rPr>
        <w:t>5.我方同意提供按照贵方可能要求的与其投标有关的一切数据或资料，完全理解贵方不一定接受最低价的投标或收到的任何投标。</w:t>
      </w:r>
    </w:p>
    <w:p w14:paraId="7B1E8490">
      <w:pPr>
        <w:spacing w:line="360" w:lineRule="auto"/>
        <w:ind w:firstLine="480" w:firstLineChars="200"/>
        <w:rPr>
          <w:rFonts w:hint="eastAsia" w:cs="宋体"/>
          <w:sz w:val="24"/>
          <w:highlight w:val="none"/>
        </w:rPr>
      </w:pPr>
      <w:r>
        <w:rPr>
          <w:rFonts w:hint="eastAsia" w:cs="宋体"/>
          <w:sz w:val="24"/>
          <w:highlight w:val="none"/>
        </w:rPr>
        <w:t>6.与本投标有关的一切正式往来信函请寄：</w:t>
      </w:r>
    </w:p>
    <w:p w14:paraId="7B0A7AB9">
      <w:pPr>
        <w:spacing w:line="360" w:lineRule="auto"/>
        <w:rPr>
          <w:rFonts w:hint="eastAsia" w:cs="宋体"/>
          <w:sz w:val="24"/>
          <w:highlight w:val="none"/>
        </w:rPr>
      </w:pPr>
    </w:p>
    <w:p w14:paraId="4FFCD5F4">
      <w:pPr>
        <w:spacing w:line="360" w:lineRule="auto"/>
        <w:ind w:left="719" w:leftChars="171" w:hanging="360" w:hangingChars="150"/>
        <w:rPr>
          <w:rFonts w:hint="eastAsia" w:cs="宋体"/>
          <w:sz w:val="24"/>
          <w:highlight w:val="none"/>
        </w:rPr>
      </w:pPr>
      <w:r>
        <w:rPr>
          <w:rFonts w:hint="eastAsia" w:cs="宋体"/>
          <w:sz w:val="24"/>
          <w:highlight w:val="none"/>
        </w:rPr>
        <w:t xml:space="preserve">地址：                               传真：               </w:t>
      </w:r>
    </w:p>
    <w:p w14:paraId="069292D9">
      <w:pPr>
        <w:spacing w:line="360" w:lineRule="auto"/>
        <w:ind w:left="719" w:leftChars="171" w:hanging="360" w:hangingChars="150"/>
        <w:rPr>
          <w:rFonts w:hint="eastAsia" w:cs="宋体"/>
          <w:sz w:val="24"/>
          <w:highlight w:val="none"/>
        </w:rPr>
      </w:pPr>
      <w:r>
        <w:rPr>
          <w:rFonts w:hint="eastAsia" w:cs="宋体"/>
          <w:sz w:val="24"/>
          <w:highlight w:val="none"/>
        </w:rPr>
        <w:t xml:space="preserve">电话：                               电子函件：            </w:t>
      </w:r>
    </w:p>
    <w:p w14:paraId="67E3E270">
      <w:pPr>
        <w:spacing w:line="360" w:lineRule="auto"/>
        <w:ind w:left="719" w:leftChars="171" w:hanging="360" w:hangingChars="150"/>
        <w:rPr>
          <w:rFonts w:hint="eastAsia" w:cs="宋体"/>
          <w:sz w:val="24"/>
          <w:highlight w:val="none"/>
        </w:rPr>
      </w:pPr>
    </w:p>
    <w:p w14:paraId="2284C642">
      <w:pPr>
        <w:spacing w:line="360" w:lineRule="auto"/>
        <w:ind w:left="719" w:leftChars="171" w:hanging="360" w:hangingChars="150"/>
        <w:rPr>
          <w:rFonts w:hint="eastAsia" w:cs="宋体"/>
          <w:sz w:val="24"/>
          <w:highlight w:val="none"/>
        </w:rPr>
      </w:pPr>
      <w:r>
        <w:rPr>
          <w:rFonts w:hint="eastAsia" w:cs="宋体"/>
          <w:sz w:val="24"/>
          <w:highlight w:val="none"/>
        </w:rPr>
        <w:t xml:space="preserve">供应商（盖电子公章）：              </w:t>
      </w:r>
    </w:p>
    <w:p w14:paraId="44791BEF">
      <w:pPr>
        <w:pStyle w:val="3"/>
        <w:spacing w:before="480" w:after="120"/>
        <w:jc w:val="both"/>
        <w:rPr>
          <w:rFonts w:cs="宋体"/>
          <w:b w:val="0"/>
          <w:sz w:val="24"/>
          <w:highlight w:val="none"/>
        </w:rPr>
      </w:pPr>
      <w:r>
        <w:rPr>
          <w:rFonts w:hint="eastAsia" w:cs="宋体"/>
          <w:b w:val="0"/>
          <w:sz w:val="24"/>
          <w:highlight w:val="none"/>
        </w:rPr>
        <w:t xml:space="preserve">日期：                  </w:t>
      </w:r>
    </w:p>
    <w:p w14:paraId="609963E3">
      <w:pPr>
        <w:pStyle w:val="3"/>
        <w:spacing w:before="480" w:after="120"/>
        <w:rPr>
          <w:rFonts w:hint="eastAsia"/>
          <w:highlight w:val="none"/>
        </w:rPr>
      </w:pPr>
      <w:r>
        <w:rPr>
          <w:rFonts w:cs="宋体"/>
          <w:highlight w:val="none"/>
        </w:rPr>
        <w:br w:type="page"/>
      </w:r>
      <w:r>
        <w:rPr>
          <w:rFonts w:hint="eastAsia"/>
          <w:highlight w:val="none"/>
        </w:rPr>
        <w:t xml:space="preserve"> 二、开标一览表</w:t>
      </w:r>
    </w:p>
    <w:p w14:paraId="2D6D512D">
      <w:pPr>
        <w:spacing w:line="440" w:lineRule="exact"/>
        <w:ind w:firstLine="480" w:firstLineChars="200"/>
        <w:rPr>
          <w:rFonts w:hint="eastAsia" w:ascii="宋体" w:hAnsi="宋体" w:cs="宋体"/>
          <w:sz w:val="24"/>
          <w:szCs w:val="21"/>
          <w:highlight w:val="none"/>
        </w:rPr>
      </w:pPr>
      <w:r>
        <w:rPr>
          <w:rFonts w:hint="eastAsia" w:ascii="宋体" w:hAnsi="宋体" w:cs="宋体"/>
          <w:sz w:val="24"/>
          <w:szCs w:val="21"/>
          <w:highlight w:val="none"/>
        </w:rPr>
        <w:t>项目名称：</w:t>
      </w:r>
      <w:r>
        <w:rPr>
          <w:rFonts w:hint="eastAsia" w:ascii="宋体" w:hAnsi="宋体" w:cs="宋体"/>
          <w:sz w:val="24"/>
          <w:szCs w:val="21"/>
          <w:highlight w:val="none"/>
          <w:u w:val="single"/>
        </w:rPr>
        <w:t xml:space="preserve">                      </w:t>
      </w:r>
      <w:r>
        <w:rPr>
          <w:rFonts w:hint="eastAsia" w:ascii="宋体" w:hAnsi="宋体" w:cs="宋体"/>
          <w:sz w:val="24"/>
          <w:szCs w:val="21"/>
          <w:highlight w:val="none"/>
        </w:rPr>
        <w:t xml:space="preserve">           </w:t>
      </w:r>
    </w:p>
    <w:p w14:paraId="5D30B485">
      <w:pPr>
        <w:adjustRightInd w:val="0"/>
        <w:spacing w:line="440" w:lineRule="exact"/>
        <w:ind w:firstLine="480" w:firstLineChars="200"/>
        <w:rPr>
          <w:rFonts w:ascii="宋体" w:hAnsi="宋体" w:cs="宋体"/>
          <w:sz w:val="24"/>
          <w:szCs w:val="21"/>
          <w:highlight w:val="none"/>
        </w:rPr>
      </w:pPr>
      <w:r>
        <w:rPr>
          <w:rFonts w:hint="eastAsia" w:ascii="宋体" w:hAnsi="宋体" w:cs="宋体"/>
          <w:sz w:val="24"/>
          <w:szCs w:val="21"/>
          <w:highlight w:val="none"/>
        </w:rPr>
        <w:t>采购编号：</w:t>
      </w:r>
      <w:r>
        <w:rPr>
          <w:rFonts w:hint="eastAsia" w:ascii="宋体" w:hAnsi="宋体" w:cs="宋体"/>
          <w:sz w:val="24"/>
          <w:szCs w:val="21"/>
          <w:highlight w:val="none"/>
          <w:u w:val="single"/>
        </w:rPr>
        <w:t xml:space="preserve">                      </w:t>
      </w:r>
      <w:r>
        <w:rPr>
          <w:rFonts w:hint="eastAsia" w:ascii="宋体" w:hAnsi="宋体" w:cs="宋体"/>
          <w:sz w:val="24"/>
          <w:szCs w:val="21"/>
          <w:highlight w:val="none"/>
        </w:rPr>
        <w:t xml:space="preserve">                              </w:t>
      </w:r>
    </w:p>
    <w:p w14:paraId="67F50895">
      <w:pPr>
        <w:rPr>
          <w:rFonts w:hint="eastAsia"/>
          <w:highlight w:val="none"/>
        </w:rPr>
      </w:pPr>
    </w:p>
    <w:tbl>
      <w:tblPr>
        <w:tblStyle w:val="46"/>
        <w:tblW w:w="3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781"/>
        <w:gridCol w:w="1407"/>
        <w:gridCol w:w="1407"/>
        <w:gridCol w:w="1408"/>
      </w:tblGrid>
      <w:tr w14:paraId="61CA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0956FA14">
            <w:pPr>
              <w:pStyle w:val="204"/>
              <w:keepNext w:val="0"/>
              <w:keepLines w:val="0"/>
              <w:suppressLineNumbers w:val="0"/>
              <w:spacing w:before="0" w:beforeAutospacing="0" w:after="0" w:afterAutospacing="0" w:line="360" w:lineRule="auto"/>
              <w:ind w:left="422" w:leftChars="0" w:right="0" w:hanging="422" w:firstLineChars="0"/>
              <w:jc w:val="center"/>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序号</w:t>
            </w:r>
          </w:p>
        </w:tc>
        <w:tc>
          <w:tcPr>
            <w:tcW w:w="1266" w:type="pct"/>
            <w:noWrap w:val="0"/>
            <w:vAlign w:val="top"/>
          </w:tcPr>
          <w:p w14:paraId="6F4F377E">
            <w:pPr>
              <w:pStyle w:val="204"/>
              <w:keepNext w:val="0"/>
              <w:keepLines w:val="0"/>
              <w:suppressLineNumbers w:val="0"/>
              <w:spacing w:before="0" w:beforeAutospacing="0" w:after="0" w:afterAutospacing="0" w:line="360" w:lineRule="auto"/>
              <w:ind w:left="422" w:leftChars="0" w:right="0" w:hanging="422" w:firstLineChars="0"/>
              <w:jc w:val="center"/>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项目名称</w:t>
            </w:r>
          </w:p>
        </w:tc>
        <w:tc>
          <w:tcPr>
            <w:tcW w:w="1000" w:type="pct"/>
            <w:noWrap w:val="0"/>
            <w:vAlign w:val="top"/>
          </w:tcPr>
          <w:p w14:paraId="26F073BB">
            <w:pPr>
              <w:pStyle w:val="204"/>
              <w:keepNext w:val="0"/>
              <w:keepLines w:val="0"/>
              <w:suppressLineNumbers w:val="0"/>
              <w:spacing w:before="0" w:beforeAutospacing="0" w:after="0" w:afterAutospacing="0" w:line="360" w:lineRule="auto"/>
              <w:ind w:left="422" w:leftChars="0" w:right="0" w:hanging="422" w:firstLineChars="0"/>
              <w:jc w:val="center"/>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案件一</w:t>
            </w:r>
            <w:r>
              <w:rPr>
                <w:rFonts w:hint="eastAsia" w:ascii="宋体" w:hAnsi="宋体" w:eastAsia="宋体" w:cs="Times New Roman"/>
                <w:b/>
                <w:color w:val="auto"/>
                <w:sz w:val="21"/>
                <w:szCs w:val="21"/>
                <w:highlight w:val="none"/>
              </w:rPr>
              <w:t>投标报价</w:t>
            </w:r>
          </w:p>
        </w:tc>
        <w:tc>
          <w:tcPr>
            <w:tcW w:w="1000" w:type="pct"/>
            <w:noWrap w:val="0"/>
            <w:vAlign w:val="top"/>
          </w:tcPr>
          <w:p w14:paraId="1DF35F70">
            <w:pPr>
              <w:pStyle w:val="204"/>
              <w:keepNext w:val="0"/>
              <w:keepLines w:val="0"/>
              <w:suppressLineNumbers w:val="0"/>
              <w:spacing w:before="0" w:beforeAutospacing="0" w:after="0" w:afterAutospacing="0" w:line="360" w:lineRule="auto"/>
              <w:ind w:left="422" w:leftChars="0" w:right="0" w:hanging="422" w:firstLineChars="0"/>
              <w:jc w:val="center"/>
              <w:rPr>
                <w:rFonts w:hint="default"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案件二</w:t>
            </w:r>
            <w:r>
              <w:rPr>
                <w:rFonts w:hint="eastAsia" w:ascii="宋体" w:hAnsi="宋体" w:eastAsia="宋体" w:cs="Times New Roman"/>
                <w:b/>
                <w:color w:val="auto"/>
                <w:sz w:val="21"/>
                <w:szCs w:val="21"/>
                <w:highlight w:val="none"/>
              </w:rPr>
              <w:t>投标报价</w:t>
            </w:r>
          </w:p>
        </w:tc>
        <w:tc>
          <w:tcPr>
            <w:tcW w:w="1001" w:type="pct"/>
            <w:noWrap w:val="0"/>
            <w:vAlign w:val="top"/>
          </w:tcPr>
          <w:p w14:paraId="795EFF01">
            <w:pPr>
              <w:pStyle w:val="204"/>
              <w:keepNext w:val="0"/>
              <w:keepLines w:val="0"/>
              <w:suppressLineNumbers w:val="0"/>
              <w:spacing w:before="0" w:beforeAutospacing="0" w:after="0" w:afterAutospacing="0" w:line="360" w:lineRule="auto"/>
              <w:ind w:left="422" w:leftChars="0" w:right="0" w:hanging="422" w:firstLineChars="0"/>
              <w:jc w:val="center"/>
              <w:rPr>
                <w:rFonts w:hint="eastAsia" w:ascii="宋体" w:hAnsi="宋体" w:eastAsia="宋体" w:cs="Times New Roman"/>
                <w:b/>
                <w:color w:val="auto"/>
                <w:sz w:val="21"/>
                <w:szCs w:val="21"/>
                <w:highlight w:val="none"/>
                <w:lang w:val="en-US" w:eastAsia="zh-CN"/>
              </w:rPr>
            </w:pPr>
            <w:r>
              <w:rPr>
                <w:rFonts w:hint="eastAsia" w:ascii="宋体" w:hAnsi="宋体" w:eastAsia="宋体" w:cs="Times New Roman"/>
                <w:b/>
                <w:color w:val="auto"/>
                <w:sz w:val="21"/>
                <w:szCs w:val="21"/>
                <w:highlight w:val="none"/>
                <w:lang w:val="en-US" w:eastAsia="zh-CN"/>
              </w:rPr>
              <w:t>投标总报价</w:t>
            </w:r>
          </w:p>
        </w:tc>
      </w:tr>
      <w:tr w14:paraId="5189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pct"/>
            <w:noWrap w:val="0"/>
            <w:vAlign w:val="center"/>
          </w:tcPr>
          <w:p w14:paraId="76C3AE7C">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b w:val="0"/>
                <w:bCs/>
                <w:color w:val="auto"/>
                <w:sz w:val="21"/>
                <w:szCs w:val="21"/>
                <w:highlight w:val="none"/>
                <w:lang w:val="en-US" w:eastAsia="zh-CN"/>
              </w:rPr>
            </w:pPr>
          </w:p>
          <w:p w14:paraId="0E23DC88">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1</w:t>
            </w:r>
          </w:p>
        </w:tc>
        <w:tc>
          <w:tcPr>
            <w:tcW w:w="1266" w:type="pct"/>
            <w:noWrap w:val="0"/>
            <w:vAlign w:val="center"/>
          </w:tcPr>
          <w:p w14:paraId="78BE399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leftChars="0" w:right="0" w:firstLine="0" w:firstLineChars="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宋体"/>
                <w:color w:val="000000"/>
                <w:sz w:val="24"/>
                <w:highlight w:val="none"/>
              </w:rPr>
              <w:t>基础费</w:t>
            </w:r>
          </w:p>
        </w:tc>
        <w:tc>
          <w:tcPr>
            <w:tcW w:w="1000" w:type="pct"/>
            <w:noWrap w:val="0"/>
            <w:vAlign w:val="center"/>
          </w:tcPr>
          <w:p w14:paraId="67A3E619">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c>
          <w:tcPr>
            <w:tcW w:w="1000" w:type="pct"/>
            <w:noWrap w:val="0"/>
            <w:vAlign w:val="center"/>
          </w:tcPr>
          <w:p w14:paraId="140D8126">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eastAsia" w:ascii="宋体" w:hAnsi="宋体" w:eastAsia="宋体" w:cs="Times New Roman"/>
                <w:b w:val="0"/>
                <w:bCs/>
                <w:color w:val="auto"/>
                <w:sz w:val="21"/>
                <w:szCs w:val="21"/>
                <w:highlight w:val="none"/>
                <w:lang w:val="en-US" w:eastAsia="zh-CN" w:bidi="ar-SA"/>
              </w:rPr>
            </w:pPr>
            <w:r>
              <w:rPr>
                <w:rFonts w:hint="eastAsia" w:ascii="宋体" w:hAnsi="宋体" w:eastAsia="宋体" w:cs="Times New Roman"/>
                <w:b w:val="0"/>
                <w:bCs/>
                <w:color w:val="auto"/>
                <w:sz w:val="21"/>
                <w:szCs w:val="21"/>
                <w:highlight w:val="none"/>
                <w:lang w:val="en-US" w:eastAsia="zh-CN"/>
              </w:rPr>
              <w:t xml:space="preserve"> 万元</w:t>
            </w:r>
          </w:p>
        </w:tc>
        <w:tc>
          <w:tcPr>
            <w:tcW w:w="1001" w:type="pct"/>
            <w:vMerge w:val="restart"/>
            <w:noWrap w:val="0"/>
            <w:vAlign w:val="center"/>
          </w:tcPr>
          <w:p w14:paraId="6A86B3BE">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center"/>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万元</w:t>
            </w:r>
          </w:p>
        </w:tc>
      </w:tr>
      <w:tr w14:paraId="5687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4A6633E7">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2</w:t>
            </w:r>
          </w:p>
        </w:tc>
        <w:tc>
          <w:tcPr>
            <w:tcW w:w="1266" w:type="pct"/>
            <w:noWrap w:val="0"/>
            <w:vAlign w:val="center"/>
          </w:tcPr>
          <w:p w14:paraId="538E5C9C">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宋体"/>
                <w:color w:val="000000"/>
                <w:sz w:val="24"/>
                <w:highlight w:val="none"/>
              </w:rPr>
              <w:t>后续风险费</w:t>
            </w:r>
            <w:r>
              <w:rPr>
                <w:rFonts w:hint="eastAsia" w:ascii="宋体" w:hAnsi="宋体" w:eastAsia="宋体" w:cs="宋体"/>
                <w:color w:val="000000"/>
                <w:sz w:val="24"/>
                <w:highlight w:val="none"/>
                <w:lang w:val="en-US" w:eastAsia="zh-CN"/>
              </w:rPr>
              <w:t>收费比例</w:t>
            </w:r>
          </w:p>
        </w:tc>
        <w:tc>
          <w:tcPr>
            <w:tcW w:w="1000" w:type="pct"/>
            <w:noWrap w:val="0"/>
            <w:vAlign w:val="center"/>
          </w:tcPr>
          <w:p w14:paraId="2A1412CB">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w:t>
            </w:r>
          </w:p>
        </w:tc>
        <w:tc>
          <w:tcPr>
            <w:tcW w:w="1000" w:type="pct"/>
            <w:noWrap w:val="0"/>
            <w:vAlign w:val="center"/>
          </w:tcPr>
          <w:p w14:paraId="67814860">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eastAsia" w:ascii="宋体" w:hAnsi="宋体" w:eastAsia="宋体" w:cs="Times New Roman"/>
                <w:b w:val="0"/>
                <w:bCs/>
                <w:color w:val="auto"/>
                <w:sz w:val="21"/>
                <w:szCs w:val="21"/>
                <w:highlight w:val="none"/>
                <w:lang w:val="en-US" w:eastAsia="zh-CN" w:bidi="ar-SA"/>
              </w:rPr>
            </w:pPr>
            <w:r>
              <w:rPr>
                <w:rFonts w:hint="eastAsia" w:ascii="宋体" w:hAnsi="宋体" w:eastAsia="宋体" w:cs="Times New Roman"/>
                <w:b w:val="0"/>
                <w:bCs/>
                <w:color w:val="auto"/>
                <w:sz w:val="21"/>
                <w:szCs w:val="21"/>
                <w:highlight w:val="none"/>
                <w:lang w:val="en-US" w:eastAsia="zh-CN"/>
              </w:rPr>
              <w:t xml:space="preserve"> ‰</w:t>
            </w:r>
          </w:p>
        </w:tc>
        <w:tc>
          <w:tcPr>
            <w:tcW w:w="1001" w:type="pct"/>
            <w:vMerge w:val="continue"/>
            <w:noWrap w:val="0"/>
            <w:vAlign w:val="center"/>
          </w:tcPr>
          <w:p w14:paraId="6EF364E5">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630" w:firstLineChars="300"/>
              <w:jc w:val="left"/>
              <w:textAlignment w:val="auto"/>
              <w:rPr>
                <w:rFonts w:hint="eastAsia" w:ascii="宋体" w:hAnsi="宋体" w:eastAsia="宋体" w:cs="Times New Roman"/>
                <w:b w:val="0"/>
                <w:bCs/>
                <w:color w:val="auto"/>
                <w:sz w:val="21"/>
                <w:szCs w:val="21"/>
                <w:highlight w:val="none"/>
                <w:lang w:val="en-US" w:eastAsia="zh-CN"/>
              </w:rPr>
            </w:pPr>
          </w:p>
        </w:tc>
      </w:tr>
      <w:tr w14:paraId="0E33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3E3E53D7">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w:t>
            </w:r>
          </w:p>
        </w:tc>
        <w:tc>
          <w:tcPr>
            <w:tcW w:w="1266" w:type="pct"/>
            <w:noWrap w:val="0"/>
            <w:vAlign w:val="center"/>
          </w:tcPr>
          <w:p w14:paraId="4691F596">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exact"/>
              <w:ind w:left="0" w:leftChars="0" w:right="0" w:firstLine="0" w:firstLineChars="0"/>
              <w:jc w:val="left"/>
              <w:textAlignment w:val="auto"/>
              <w:rPr>
                <w:rFonts w:hint="eastAsia" w:ascii="宋体" w:hAnsi="宋体" w:eastAsia="宋体" w:cs="Times New Roman"/>
                <w:b w:val="0"/>
                <w:bCs/>
                <w:color w:val="auto"/>
                <w:sz w:val="21"/>
                <w:szCs w:val="21"/>
                <w:highlight w:val="none"/>
              </w:rPr>
            </w:pPr>
            <w:r>
              <w:rPr>
                <w:rFonts w:hint="eastAsia" w:ascii="宋体" w:hAnsi="宋体" w:eastAsia="宋体" w:cs="宋体"/>
                <w:color w:val="000000"/>
                <w:sz w:val="24"/>
                <w:highlight w:val="none"/>
              </w:rPr>
              <w:t>风险费</w:t>
            </w:r>
            <w:r>
              <w:rPr>
                <w:rFonts w:hint="eastAsia" w:ascii="宋体" w:hAnsi="宋体" w:eastAsia="宋体" w:cs="宋体"/>
                <w:color w:val="000000"/>
                <w:sz w:val="24"/>
                <w:highlight w:val="none"/>
                <w:lang w:val="en-US" w:eastAsia="zh-CN"/>
              </w:rPr>
              <w:t>上限</w:t>
            </w:r>
          </w:p>
        </w:tc>
        <w:tc>
          <w:tcPr>
            <w:tcW w:w="1000" w:type="pct"/>
            <w:noWrap w:val="0"/>
            <w:vAlign w:val="center"/>
          </w:tcPr>
          <w:p w14:paraId="1FCE703B">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c>
          <w:tcPr>
            <w:tcW w:w="1000" w:type="pct"/>
            <w:noWrap w:val="0"/>
            <w:vAlign w:val="center"/>
          </w:tcPr>
          <w:p w14:paraId="7993A770">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bidi="ar-SA"/>
              </w:rPr>
            </w:pPr>
            <w:r>
              <w:rPr>
                <w:rFonts w:hint="eastAsia" w:ascii="宋体" w:hAnsi="宋体" w:eastAsia="宋体" w:cs="Times New Roman"/>
                <w:b w:val="0"/>
                <w:bCs/>
                <w:color w:val="auto"/>
                <w:sz w:val="21"/>
                <w:szCs w:val="21"/>
                <w:highlight w:val="none"/>
                <w:lang w:val="en-US" w:eastAsia="zh-CN"/>
              </w:rPr>
              <w:t xml:space="preserve">     万元</w:t>
            </w:r>
          </w:p>
        </w:tc>
        <w:tc>
          <w:tcPr>
            <w:tcW w:w="1001" w:type="pct"/>
            <w:vMerge w:val="continue"/>
            <w:noWrap w:val="0"/>
            <w:vAlign w:val="center"/>
          </w:tcPr>
          <w:p w14:paraId="6B674A7C">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p>
        </w:tc>
      </w:tr>
      <w:tr w14:paraId="5BF63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20AFB7F1">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center"/>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4</w:t>
            </w:r>
          </w:p>
        </w:tc>
        <w:tc>
          <w:tcPr>
            <w:tcW w:w="1266" w:type="pct"/>
            <w:noWrap w:val="0"/>
            <w:vAlign w:val="center"/>
          </w:tcPr>
          <w:p w14:paraId="46F320CE">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eastAsia" w:ascii="宋体" w:hAnsi="宋体" w:eastAsia="宋体" w:cs="Times New Roman"/>
                <w:b w:val="0"/>
                <w:bCs/>
                <w:color w:val="auto"/>
                <w:sz w:val="21"/>
                <w:szCs w:val="21"/>
                <w:highlight w:val="none"/>
                <w:lang w:val="en-US" w:eastAsia="zh-CN"/>
              </w:rPr>
            </w:pPr>
            <w:r>
              <w:rPr>
                <w:rFonts w:hint="eastAsia" w:ascii="宋体" w:hAnsi="宋体" w:eastAsia="宋体" w:cs="宋体"/>
                <w:color w:val="000000"/>
                <w:sz w:val="24"/>
                <w:highlight w:val="none"/>
                <w:lang w:val="en-US" w:eastAsia="zh-CN"/>
              </w:rPr>
              <w:t>收费总额上限</w:t>
            </w:r>
          </w:p>
        </w:tc>
        <w:tc>
          <w:tcPr>
            <w:tcW w:w="1000" w:type="pct"/>
            <w:noWrap w:val="0"/>
            <w:vAlign w:val="center"/>
          </w:tcPr>
          <w:p w14:paraId="57F76001">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210" w:firstLineChars="100"/>
              <w:jc w:val="left"/>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   万元</w:t>
            </w:r>
          </w:p>
        </w:tc>
        <w:tc>
          <w:tcPr>
            <w:tcW w:w="1000" w:type="pct"/>
            <w:noWrap w:val="0"/>
            <w:vAlign w:val="center"/>
          </w:tcPr>
          <w:p w14:paraId="5D5CF1DE">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210" w:firstLineChars="100"/>
              <w:jc w:val="left"/>
              <w:textAlignment w:val="auto"/>
              <w:rPr>
                <w:rFonts w:hint="eastAsia" w:ascii="宋体" w:hAnsi="宋体" w:eastAsia="宋体" w:cs="Times New Roman"/>
                <w:b w:val="0"/>
                <w:bCs/>
                <w:color w:val="auto"/>
                <w:sz w:val="21"/>
                <w:szCs w:val="21"/>
                <w:highlight w:val="none"/>
                <w:lang w:val="en-US" w:eastAsia="zh-CN" w:bidi="ar-SA"/>
              </w:rPr>
            </w:pPr>
            <w:r>
              <w:rPr>
                <w:rFonts w:hint="eastAsia" w:ascii="宋体" w:hAnsi="宋体" w:eastAsia="宋体" w:cs="Times New Roman"/>
                <w:b w:val="0"/>
                <w:bCs/>
                <w:color w:val="auto"/>
                <w:sz w:val="21"/>
                <w:szCs w:val="21"/>
                <w:highlight w:val="none"/>
                <w:lang w:val="en-US" w:eastAsia="zh-CN"/>
              </w:rPr>
              <w:t>万元</w:t>
            </w:r>
          </w:p>
        </w:tc>
        <w:tc>
          <w:tcPr>
            <w:tcW w:w="1001" w:type="pct"/>
            <w:vMerge w:val="continue"/>
            <w:noWrap w:val="0"/>
            <w:vAlign w:val="center"/>
          </w:tcPr>
          <w:p w14:paraId="00315291">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210" w:firstLineChars="100"/>
              <w:jc w:val="left"/>
              <w:textAlignment w:val="auto"/>
              <w:rPr>
                <w:rFonts w:hint="eastAsia" w:ascii="宋体" w:hAnsi="宋体" w:eastAsia="宋体" w:cs="Times New Roman"/>
                <w:b w:val="0"/>
                <w:bCs/>
                <w:color w:val="auto"/>
                <w:sz w:val="21"/>
                <w:szCs w:val="21"/>
                <w:highlight w:val="none"/>
                <w:lang w:val="en-US" w:eastAsia="zh-CN"/>
              </w:rPr>
            </w:pPr>
          </w:p>
        </w:tc>
      </w:tr>
      <w:tr w14:paraId="516A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61B6DDC0">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5</w:t>
            </w:r>
          </w:p>
        </w:tc>
        <w:tc>
          <w:tcPr>
            <w:tcW w:w="1266" w:type="pct"/>
            <w:noWrap w:val="0"/>
            <w:vAlign w:val="center"/>
          </w:tcPr>
          <w:p w14:paraId="257514A0">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服务期</w:t>
            </w:r>
          </w:p>
        </w:tc>
        <w:tc>
          <w:tcPr>
            <w:tcW w:w="3001" w:type="pct"/>
            <w:gridSpan w:val="3"/>
            <w:noWrap w:val="0"/>
            <w:vAlign w:val="center"/>
          </w:tcPr>
          <w:p w14:paraId="0AD1D463">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210" w:firstLineChars="100"/>
              <w:jc w:val="left"/>
              <w:textAlignment w:val="auto"/>
              <w:rPr>
                <w:rFonts w:hint="eastAsia" w:ascii="宋体" w:hAnsi="宋体" w:eastAsia="宋体" w:cs="Times New Roman"/>
                <w:b w:val="0"/>
                <w:bCs/>
                <w:color w:val="auto"/>
                <w:sz w:val="21"/>
                <w:szCs w:val="21"/>
                <w:highlight w:val="none"/>
                <w:lang w:val="en-US" w:eastAsia="zh-CN"/>
              </w:rPr>
            </w:pPr>
          </w:p>
        </w:tc>
      </w:tr>
      <w:tr w14:paraId="1AC7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pct"/>
            <w:noWrap w:val="0"/>
            <w:vAlign w:val="center"/>
          </w:tcPr>
          <w:p w14:paraId="29F28AC9">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center"/>
              <w:textAlignment w:val="auto"/>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6</w:t>
            </w:r>
          </w:p>
        </w:tc>
        <w:tc>
          <w:tcPr>
            <w:tcW w:w="1266" w:type="pct"/>
            <w:noWrap w:val="0"/>
            <w:vAlign w:val="center"/>
          </w:tcPr>
          <w:p w14:paraId="33E319B7">
            <w:pPr>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0" w:firstLineChars="0"/>
              <w:jc w:val="left"/>
              <w:textAlignment w:val="auto"/>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项目负责人</w:t>
            </w:r>
          </w:p>
        </w:tc>
        <w:tc>
          <w:tcPr>
            <w:tcW w:w="3001" w:type="pct"/>
            <w:gridSpan w:val="3"/>
            <w:noWrap w:val="0"/>
            <w:vAlign w:val="center"/>
          </w:tcPr>
          <w:p w14:paraId="44F1BB23">
            <w:pPr>
              <w:pStyle w:val="204"/>
              <w:keepNext w:val="0"/>
              <w:keepLines w:val="0"/>
              <w:pageBreakBefore w:val="0"/>
              <w:widowControl w:val="0"/>
              <w:suppressLineNumbers w:val="0"/>
              <w:kinsoku/>
              <w:wordWrap/>
              <w:overflowPunct/>
              <w:topLinePunct w:val="0"/>
              <w:bidi w:val="0"/>
              <w:adjustRightInd w:val="0"/>
              <w:snapToGrid/>
              <w:spacing w:before="0" w:beforeAutospacing="0" w:after="0" w:afterAutospacing="0" w:line="360" w:lineRule="auto"/>
              <w:ind w:left="0" w:leftChars="0" w:right="0" w:firstLine="210" w:firstLineChars="100"/>
              <w:jc w:val="left"/>
              <w:textAlignment w:val="auto"/>
              <w:rPr>
                <w:rFonts w:hint="eastAsia" w:ascii="宋体" w:hAnsi="宋体" w:eastAsia="宋体" w:cs="Times New Roman"/>
                <w:b w:val="0"/>
                <w:bCs/>
                <w:color w:val="auto"/>
                <w:sz w:val="21"/>
                <w:szCs w:val="21"/>
                <w:highlight w:val="none"/>
                <w:lang w:val="en-US" w:eastAsia="zh-CN"/>
              </w:rPr>
            </w:pPr>
          </w:p>
        </w:tc>
      </w:tr>
    </w:tbl>
    <w:p w14:paraId="1F1A62B8">
      <w:pPr>
        <w:adjustRightInd w:val="0"/>
        <w:snapToGrid w:val="0"/>
        <w:spacing w:before="50" w:after="50" w:line="460" w:lineRule="exact"/>
        <w:rPr>
          <w:rFonts w:hint="eastAsia" w:ascii="宋体" w:hAnsi="宋体" w:cs="宋体"/>
          <w:spacing w:val="20"/>
          <w:sz w:val="24"/>
          <w:highlight w:val="none"/>
        </w:rPr>
      </w:pPr>
    </w:p>
    <w:p w14:paraId="252C3C0A">
      <w:pPr>
        <w:adjustRightInd w:val="0"/>
        <w:snapToGrid w:val="0"/>
        <w:spacing w:before="50" w:after="50" w:line="460" w:lineRule="exact"/>
        <w:ind w:firstLine="280" w:firstLineChars="100"/>
        <w:rPr>
          <w:rFonts w:hint="eastAsia" w:ascii="宋体" w:hAnsi="宋体" w:cs="宋体"/>
          <w:spacing w:val="20"/>
          <w:sz w:val="24"/>
          <w:highlight w:val="none"/>
        </w:rPr>
      </w:pPr>
      <w:r>
        <w:rPr>
          <w:rFonts w:hint="eastAsia" w:ascii="宋体" w:hAnsi="宋体" w:cs="宋体"/>
          <w:spacing w:val="20"/>
          <w:sz w:val="24"/>
          <w:highlight w:val="none"/>
        </w:rPr>
        <w:t>供应商（盖单位电子公章）：</w:t>
      </w:r>
      <w:r>
        <w:rPr>
          <w:rFonts w:hint="eastAsia" w:ascii="宋体" w:hAnsi="宋体" w:cs="宋体"/>
          <w:spacing w:val="20"/>
          <w:sz w:val="24"/>
          <w:highlight w:val="none"/>
          <w:u w:val="single"/>
        </w:rPr>
        <w:t xml:space="preserve">                  </w:t>
      </w:r>
    </w:p>
    <w:p w14:paraId="695CAC10">
      <w:pPr>
        <w:adjustRightInd w:val="0"/>
        <w:snapToGrid w:val="0"/>
        <w:spacing w:before="50" w:after="50" w:line="460" w:lineRule="exact"/>
        <w:ind w:firstLine="280" w:firstLineChars="100"/>
        <w:rPr>
          <w:rFonts w:hint="eastAsia" w:ascii="宋体" w:hAnsi="宋体" w:cs="宋体"/>
          <w:spacing w:val="20"/>
          <w:sz w:val="24"/>
          <w:highlight w:val="none"/>
        </w:rPr>
      </w:pPr>
      <w:r>
        <w:rPr>
          <w:rFonts w:hint="eastAsia" w:ascii="宋体" w:hAnsi="宋体" w:cs="宋体"/>
          <w:spacing w:val="20"/>
          <w:sz w:val="24"/>
          <w:highlight w:val="none"/>
        </w:rPr>
        <w:t>法定代表人或委托代理人（签字或盖电子章）：</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 xml:space="preserve">     </w:t>
      </w:r>
    </w:p>
    <w:p w14:paraId="55583FBF">
      <w:pPr>
        <w:adjustRightInd w:val="0"/>
        <w:snapToGrid w:val="0"/>
        <w:spacing w:before="50" w:after="50" w:line="460" w:lineRule="exact"/>
        <w:ind w:firstLine="280" w:firstLineChars="100"/>
        <w:rPr>
          <w:rFonts w:hint="eastAsia" w:ascii="宋体" w:hAnsi="宋体" w:cs="宋体"/>
          <w:spacing w:val="20"/>
          <w:sz w:val="24"/>
          <w:highlight w:val="none"/>
          <w:u w:val="single"/>
        </w:rPr>
      </w:pPr>
      <w:r>
        <w:rPr>
          <w:rFonts w:hint="eastAsia" w:ascii="宋体" w:hAnsi="宋体" w:cs="宋体"/>
          <w:spacing w:val="20"/>
          <w:sz w:val="24"/>
          <w:highlight w:val="none"/>
        </w:rPr>
        <w:t>日  期：</w:t>
      </w:r>
      <w:r>
        <w:rPr>
          <w:rFonts w:hint="eastAsia" w:ascii="宋体" w:hAnsi="宋体" w:cs="宋体"/>
          <w:spacing w:val="20"/>
          <w:sz w:val="24"/>
          <w:highlight w:val="none"/>
          <w:u w:val="single"/>
        </w:rPr>
        <w:t xml:space="preserve">          </w:t>
      </w:r>
    </w:p>
    <w:p w14:paraId="43BA2CAD">
      <w:pPr>
        <w:pStyle w:val="3"/>
        <w:spacing w:before="480" w:after="120"/>
        <w:rPr>
          <w:highlight w:val="none"/>
        </w:rPr>
      </w:pPr>
      <w:r>
        <w:rPr>
          <w:highlight w:val="none"/>
        </w:rPr>
        <w:br w:type="page"/>
      </w:r>
      <w:r>
        <w:rPr>
          <w:rFonts w:hint="eastAsia"/>
          <w:highlight w:val="none"/>
        </w:rPr>
        <w:t>三</w:t>
      </w:r>
      <w:r>
        <w:rPr>
          <w:highlight w:val="none"/>
        </w:rPr>
        <w:t>、</w:t>
      </w:r>
      <w:r>
        <w:rPr>
          <w:rFonts w:hint="eastAsia"/>
          <w:highlight w:val="none"/>
        </w:rPr>
        <w:t>供应商需要说明的其他文件和说明</w:t>
      </w:r>
    </w:p>
    <w:sectPr>
      <w:headerReference r:id="rId7" w:type="default"/>
      <w:footerReference r:id="rId8" w:type="default"/>
      <w:pgSz w:w="11906" w:h="16838"/>
      <w:pgMar w:top="1236" w:right="1134" w:bottom="1134" w:left="1134" w:header="680" w:footer="680"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²Ó©úÅé">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7C80">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62F28">
    <w:pPr>
      <w:pStyle w:val="30"/>
      <w:framePr w:wrap="around" w:vAnchor="text" w:hAnchor="margin" w:xAlign="center" w:y="1"/>
      <w:rPr>
        <w:rStyle w:val="49"/>
      </w:rPr>
    </w:pPr>
    <w:r>
      <w:fldChar w:fldCharType="begin"/>
    </w:r>
    <w:r>
      <w:rPr>
        <w:rStyle w:val="49"/>
      </w:rPr>
      <w:instrText xml:space="preserve">PAGE  </w:instrText>
    </w:r>
    <w:r>
      <w:fldChar w:fldCharType="end"/>
    </w:r>
  </w:p>
  <w:p w14:paraId="3B0F1353">
    <w:pPr>
      <w:pStyle w:val="121"/>
      <w:framePr w:wrap="around" w:vAnchor="text" w:hAnchor="margin" w:xAlign="center" w:y="1"/>
      <w:rPr>
        <w:rStyle w:val="83"/>
      </w:rPr>
    </w:pPr>
    <w:r>
      <w:fldChar w:fldCharType="begin"/>
    </w:r>
    <w:r>
      <w:rPr>
        <w:rStyle w:val="83"/>
      </w:rPr>
      <w:instrText xml:space="preserve">PAGE  </w:instrText>
    </w:r>
    <w:r>
      <w:fldChar w:fldCharType="end"/>
    </w:r>
  </w:p>
  <w:p w14:paraId="3082091B">
    <w:pPr>
      <w:pStyle w:val="1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5F95">
    <w:pPr>
      <w:pStyle w:val="30"/>
      <w:jc w:val="center"/>
    </w:pPr>
    <w:r>
      <w:rPr>
        <w:rStyle w:val="49"/>
        <w:rFonts w:hint="eastAsia"/>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8C2A6">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FED51">
                          <w:pPr>
                            <w:pStyle w:val="3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Bkb90BAAC/AwAADgAAAGRycy9lMm9Eb2MueG1srVPNjtMwEL4j8Q6W&#10;7zRpD6iqmq4WqkVICJAWHsB1nMaS/zSeNikPAG/AiQt3nqvPwdhJ2mW57GEvyXhm/M1834zXN701&#10;7Kggau8qPp+VnCknfa3dvuJfv9y9WnIWUbhaGO9UxU8q8pvNyxfrLqzUwrfe1AoYgbi46kLFW8Sw&#10;KoooW2VFnPmgHAUbD1YgHWFf1CA6QremWJTl66LzUAfwUsVI3u0Q5CMiPAXQN42WauvlwSqHAyoo&#10;I5AoxVaHyDe526ZREj81TVTITMWJKeYvFSF7l77FZi1WexCh1XJsQTylhUecrNCOil6gtgIFO4D+&#10;D8pqCT76BmfS22IgkhUhFvPykTb3rQgqcyGpY7iIHp8PVn48fgama9oEzpywNPDzzx/nX3/Ov7+z&#10;edanC3FFafeBErF/4/uUS7olfyRnot03YNOfCDGKk7qni7qqRybTpeViuSwpJCk2HQinuF4PEPGd&#10;8pYlo+JA48uqiuOHiEPqlJKqOX+njckjNO4fB2EmT3HtMVnY7/qx8Z2vT8SH3gHVaT1846yjLai4&#10;o6XnzLx3JHJamMmAydhNhnCSLlYcORvMtzgs1iGA3rd51VJTMdwekDrNBFIbQ+2xO5prlmDcwbQ4&#10;D8856/ruN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BgZG/dAQAAvwMAAA4AAAAAAAAA&#10;AQAgAAAAHgEAAGRycy9lMm9Eb2MueG1sUEsFBgAAAAAGAAYAWQEAAG0FAAAAAA==&#10;">
              <v:fill on="f" focussize="0,0"/>
              <v:stroke on="f"/>
              <v:imagedata o:title=""/>
              <o:lock v:ext="edit" aspectratio="f"/>
              <v:textbox inset="0mm,0mm,0mm,0mm" style="mso-fit-shape-to-text:t;">
                <w:txbxContent>
                  <w:p w14:paraId="137FED51">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7C473">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8072">
    <w:pPr>
      <w:pStyle w:val="31"/>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95647"/>
    <w:multiLevelType w:val="singleLevel"/>
    <w:tmpl w:val="89F95647"/>
    <w:lvl w:ilvl="0" w:tentative="0">
      <w:start w:val="1"/>
      <w:numFmt w:val="decimal"/>
      <w:suff w:val="nothing"/>
      <w:lvlText w:val="%1、"/>
      <w:lvlJc w:val="left"/>
    </w:lvl>
  </w:abstractNum>
  <w:abstractNum w:abstractNumId="1">
    <w:nsid w:val="ADFD0F4C"/>
    <w:multiLevelType w:val="singleLevel"/>
    <w:tmpl w:val="ADFD0F4C"/>
    <w:lvl w:ilvl="0" w:tentative="0">
      <w:start w:val="2"/>
      <w:numFmt w:val="decimal"/>
      <w:lvlText w:val="%1."/>
      <w:lvlJc w:val="left"/>
      <w:pPr>
        <w:tabs>
          <w:tab w:val="left" w:pos="312"/>
        </w:tabs>
      </w:pPr>
    </w:lvl>
  </w:abstractNum>
  <w:abstractNum w:abstractNumId="2">
    <w:nsid w:val="D7947694"/>
    <w:multiLevelType w:val="singleLevel"/>
    <w:tmpl w:val="D7947694"/>
    <w:lvl w:ilvl="0" w:tentative="0">
      <w:start w:val="1"/>
      <w:numFmt w:val="decimal"/>
      <w:suff w:val="nothing"/>
      <w:lvlText w:val="%1、"/>
      <w:lvlJc w:val="left"/>
    </w:lvl>
  </w:abstractNum>
  <w:abstractNum w:abstractNumId="3">
    <w:nsid w:val="DD70A9B5"/>
    <w:multiLevelType w:val="multilevel"/>
    <w:tmpl w:val="DD70A9B5"/>
    <w:lvl w:ilvl="0" w:tentative="0">
      <w:start w:val="2"/>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DDA5EE23"/>
    <w:multiLevelType w:val="singleLevel"/>
    <w:tmpl w:val="DDA5EE23"/>
    <w:lvl w:ilvl="0" w:tentative="0">
      <w:start w:val="2"/>
      <w:numFmt w:val="decimal"/>
      <w:suff w:val="nothing"/>
      <w:lvlText w:val="%1、"/>
      <w:lvlJc w:val="left"/>
    </w:lvl>
  </w:abstractNum>
  <w:abstractNum w:abstractNumId="5">
    <w:nsid w:val="26536AE5"/>
    <w:multiLevelType w:val="singleLevel"/>
    <w:tmpl w:val="26536AE5"/>
    <w:lvl w:ilvl="0" w:tentative="0">
      <w:start w:val="1"/>
      <w:numFmt w:val="bullet"/>
      <w:pStyle w:val="115"/>
      <w:lvlText w:val=""/>
      <w:lvlJc w:val="left"/>
      <w:pPr>
        <w:tabs>
          <w:tab w:val="left" w:pos="360"/>
        </w:tabs>
        <w:ind w:left="360" w:hanging="360"/>
      </w:pPr>
      <w:rPr>
        <w:rFonts w:hint="default" w:ascii="Wingdings" w:hAnsi="Wingdings"/>
        <w:sz w:val="15"/>
      </w:rPr>
    </w:lvl>
  </w:abstractNum>
  <w:abstractNum w:abstractNumId="6">
    <w:nsid w:val="2E4A161E"/>
    <w:multiLevelType w:val="singleLevel"/>
    <w:tmpl w:val="2E4A161E"/>
    <w:lvl w:ilvl="0" w:tentative="0">
      <w:start w:val="1"/>
      <w:numFmt w:val="decimal"/>
      <w:lvlText w:val="%1."/>
      <w:lvlJc w:val="left"/>
      <w:pPr>
        <w:tabs>
          <w:tab w:val="left" w:pos="312"/>
        </w:tabs>
      </w:pPr>
    </w:lvl>
  </w:abstractNum>
  <w:abstractNum w:abstractNumId="7">
    <w:nsid w:val="3590227A"/>
    <w:multiLevelType w:val="multilevel"/>
    <w:tmpl w:val="3590227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5559833E"/>
    <w:multiLevelType w:val="singleLevel"/>
    <w:tmpl w:val="5559833E"/>
    <w:lvl w:ilvl="0" w:tentative="0">
      <w:start w:val="1"/>
      <w:numFmt w:val="chineseCounting"/>
      <w:suff w:val="nothing"/>
      <w:lvlText w:val="%1、"/>
      <w:lvlJc w:val="left"/>
      <w:pPr>
        <w:ind w:left="0" w:firstLine="0"/>
      </w:pPr>
    </w:lvl>
  </w:abstractNum>
  <w:abstractNum w:abstractNumId="9">
    <w:nsid w:val="688047A4"/>
    <w:multiLevelType w:val="multilevel"/>
    <w:tmpl w:val="688047A4"/>
    <w:lvl w:ilvl="0" w:tentative="0">
      <w:start w:val="1"/>
      <w:numFmt w:val="bullet"/>
      <w:pStyle w:val="105"/>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9"/>
  </w:num>
  <w:num w:numId="3">
    <w:abstractNumId w:val="5"/>
  </w:num>
  <w:num w:numId="4">
    <w:abstractNumId w:val="3"/>
  </w:num>
  <w:num w:numId="5">
    <w:abstractNumId w:val="4"/>
  </w:num>
  <w:num w:numId="6">
    <w:abstractNumId w:val="1"/>
  </w:num>
  <w:num w:numId="7">
    <w:abstractNumId w:val="8"/>
    <w:lvlOverride w:ilvl="0">
      <w:startOverride w:val="1"/>
    </w:lvlOverride>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formatting="1" w:enforcement="0"/>
  <w:defaultTabStop w:val="420"/>
  <w:hyphenationZone w:val="360"/>
  <w:drawingGridHorizontalSpacing w:val="105"/>
  <w:drawingGridVerticalSpacing w:val="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2NkYzUxY2EwNDU5NDFlYTI1ZjYyYzQzZDVmMDcifQ=="/>
  </w:docVars>
  <w:rsids>
    <w:rsidRoot w:val="363878BE"/>
    <w:rsid w:val="0000242B"/>
    <w:rsid w:val="00002504"/>
    <w:rsid w:val="0000567E"/>
    <w:rsid w:val="00005A7C"/>
    <w:rsid w:val="00006E10"/>
    <w:rsid w:val="00007C39"/>
    <w:rsid w:val="000102F0"/>
    <w:rsid w:val="000115B5"/>
    <w:rsid w:val="00011A34"/>
    <w:rsid w:val="0001324A"/>
    <w:rsid w:val="00014781"/>
    <w:rsid w:val="000150FA"/>
    <w:rsid w:val="00015FE7"/>
    <w:rsid w:val="00016702"/>
    <w:rsid w:val="00016DBE"/>
    <w:rsid w:val="00020952"/>
    <w:rsid w:val="00020BE0"/>
    <w:rsid w:val="000224AD"/>
    <w:rsid w:val="000231CD"/>
    <w:rsid w:val="000307BD"/>
    <w:rsid w:val="00030801"/>
    <w:rsid w:val="0003088A"/>
    <w:rsid w:val="000316AE"/>
    <w:rsid w:val="0003218C"/>
    <w:rsid w:val="00032CD4"/>
    <w:rsid w:val="00032F37"/>
    <w:rsid w:val="0003383B"/>
    <w:rsid w:val="00033F1D"/>
    <w:rsid w:val="00034010"/>
    <w:rsid w:val="00035061"/>
    <w:rsid w:val="000353E1"/>
    <w:rsid w:val="000354B9"/>
    <w:rsid w:val="00035AB8"/>
    <w:rsid w:val="00035F77"/>
    <w:rsid w:val="00036418"/>
    <w:rsid w:val="00040479"/>
    <w:rsid w:val="00040A67"/>
    <w:rsid w:val="00040D40"/>
    <w:rsid w:val="00042027"/>
    <w:rsid w:val="0004210E"/>
    <w:rsid w:val="0004497C"/>
    <w:rsid w:val="0004519D"/>
    <w:rsid w:val="000472A9"/>
    <w:rsid w:val="00050920"/>
    <w:rsid w:val="00051676"/>
    <w:rsid w:val="00052707"/>
    <w:rsid w:val="00052826"/>
    <w:rsid w:val="000528EB"/>
    <w:rsid w:val="00054019"/>
    <w:rsid w:val="00054743"/>
    <w:rsid w:val="0005498E"/>
    <w:rsid w:val="000626ED"/>
    <w:rsid w:val="00062A0D"/>
    <w:rsid w:val="00064CD1"/>
    <w:rsid w:val="000665C4"/>
    <w:rsid w:val="0006734A"/>
    <w:rsid w:val="00067D63"/>
    <w:rsid w:val="0007084B"/>
    <w:rsid w:val="000710F0"/>
    <w:rsid w:val="000721CF"/>
    <w:rsid w:val="00072560"/>
    <w:rsid w:val="0007297D"/>
    <w:rsid w:val="00073017"/>
    <w:rsid w:val="000739F8"/>
    <w:rsid w:val="00073B4A"/>
    <w:rsid w:val="000742D6"/>
    <w:rsid w:val="00075FC8"/>
    <w:rsid w:val="000762B2"/>
    <w:rsid w:val="000766B0"/>
    <w:rsid w:val="0007697A"/>
    <w:rsid w:val="0007744A"/>
    <w:rsid w:val="000808A9"/>
    <w:rsid w:val="00081086"/>
    <w:rsid w:val="0008399A"/>
    <w:rsid w:val="00084531"/>
    <w:rsid w:val="0008521A"/>
    <w:rsid w:val="000854C8"/>
    <w:rsid w:val="00085657"/>
    <w:rsid w:val="00086028"/>
    <w:rsid w:val="0009175A"/>
    <w:rsid w:val="00091CB4"/>
    <w:rsid w:val="0009297D"/>
    <w:rsid w:val="00092D0E"/>
    <w:rsid w:val="00092F66"/>
    <w:rsid w:val="00094202"/>
    <w:rsid w:val="00094531"/>
    <w:rsid w:val="00094A90"/>
    <w:rsid w:val="00095654"/>
    <w:rsid w:val="000960B4"/>
    <w:rsid w:val="000968B5"/>
    <w:rsid w:val="000976CB"/>
    <w:rsid w:val="00097BF7"/>
    <w:rsid w:val="000A03BF"/>
    <w:rsid w:val="000A22AF"/>
    <w:rsid w:val="000A46D4"/>
    <w:rsid w:val="000A5992"/>
    <w:rsid w:val="000A6CA6"/>
    <w:rsid w:val="000A6D97"/>
    <w:rsid w:val="000A74B3"/>
    <w:rsid w:val="000B0F08"/>
    <w:rsid w:val="000B1D64"/>
    <w:rsid w:val="000B2012"/>
    <w:rsid w:val="000B27AB"/>
    <w:rsid w:val="000B58AE"/>
    <w:rsid w:val="000B5ACB"/>
    <w:rsid w:val="000B6871"/>
    <w:rsid w:val="000B754F"/>
    <w:rsid w:val="000C0802"/>
    <w:rsid w:val="000C1F32"/>
    <w:rsid w:val="000C28A3"/>
    <w:rsid w:val="000C444E"/>
    <w:rsid w:val="000C4919"/>
    <w:rsid w:val="000C6122"/>
    <w:rsid w:val="000C6A02"/>
    <w:rsid w:val="000C6EEB"/>
    <w:rsid w:val="000C7252"/>
    <w:rsid w:val="000C728F"/>
    <w:rsid w:val="000D0083"/>
    <w:rsid w:val="000D1322"/>
    <w:rsid w:val="000D1D6E"/>
    <w:rsid w:val="000D4A24"/>
    <w:rsid w:val="000D4BB0"/>
    <w:rsid w:val="000D62C4"/>
    <w:rsid w:val="000D777E"/>
    <w:rsid w:val="000E012C"/>
    <w:rsid w:val="000E32C2"/>
    <w:rsid w:val="000E3D05"/>
    <w:rsid w:val="000E40B8"/>
    <w:rsid w:val="000E4260"/>
    <w:rsid w:val="000E4F48"/>
    <w:rsid w:val="000E7D8E"/>
    <w:rsid w:val="000F0A57"/>
    <w:rsid w:val="000F1DF9"/>
    <w:rsid w:val="000F2095"/>
    <w:rsid w:val="000F3A8B"/>
    <w:rsid w:val="000F495E"/>
    <w:rsid w:val="000F4B51"/>
    <w:rsid w:val="000F5918"/>
    <w:rsid w:val="00100986"/>
    <w:rsid w:val="00101A6D"/>
    <w:rsid w:val="00102766"/>
    <w:rsid w:val="00103789"/>
    <w:rsid w:val="00107096"/>
    <w:rsid w:val="00110606"/>
    <w:rsid w:val="00110B14"/>
    <w:rsid w:val="001111F3"/>
    <w:rsid w:val="00114227"/>
    <w:rsid w:val="00114A1A"/>
    <w:rsid w:val="001176AB"/>
    <w:rsid w:val="00117FB6"/>
    <w:rsid w:val="00121ED9"/>
    <w:rsid w:val="00122AF1"/>
    <w:rsid w:val="001239CE"/>
    <w:rsid w:val="001252DD"/>
    <w:rsid w:val="001264FB"/>
    <w:rsid w:val="0012700D"/>
    <w:rsid w:val="00131154"/>
    <w:rsid w:val="001312F1"/>
    <w:rsid w:val="00133191"/>
    <w:rsid w:val="0013477F"/>
    <w:rsid w:val="00135D0D"/>
    <w:rsid w:val="001365A0"/>
    <w:rsid w:val="00136D1C"/>
    <w:rsid w:val="00137853"/>
    <w:rsid w:val="00140860"/>
    <w:rsid w:val="0014105F"/>
    <w:rsid w:val="001425AD"/>
    <w:rsid w:val="00143246"/>
    <w:rsid w:val="001435FF"/>
    <w:rsid w:val="00144C52"/>
    <w:rsid w:val="00145C17"/>
    <w:rsid w:val="00146F2D"/>
    <w:rsid w:val="00147750"/>
    <w:rsid w:val="00147F92"/>
    <w:rsid w:val="0015272F"/>
    <w:rsid w:val="00152FE2"/>
    <w:rsid w:val="0015359B"/>
    <w:rsid w:val="00153DB9"/>
    <w:rsid w:val="00154C74"/>
    <w:rsid w:val="00154D35"/>
    <w:rsid w:val="001552B6"/>
    <w:rsid w:val="0015536F"/>
    <w:rsid w:val="0015699E"/>
    <w:rsid w:val="00157D8D"/>
    <w:rsid w:val="00157EFA"/>
    <w:rsid w:val="00160A1F"/>
    <w:rsid w:val="00161D96"/>
    <w:rsid w:val="00162EC2"/>
    <w:rsid w:val="00165761"/>
    <w:rsid w:val="00165F67"/>
    <w:rsid w:val="0016664F"/>
    <w:rsid w:val="00171BA8"/>
    <w:rsid w:val="001721C8"/>
    <w:rsid w:val="00173969"/>
    <w:rsid w:val="00173B61"/>
    <w:rsid w:val="00174206"/>
    <w:rsid w:val="001745E3"/>
    <w:rsid w:val="0017508B"/>
    <w:rsid w:val="00175648"/>
    <w:rsid w:val="00175683"/>
    <w:rsid w:val="001764E3"/>
    <w:rsid w:val="0017677F"/>
    <w:rsid w:val="00176EDB"/>
    <w:rsid w:val="00176EF3"/>
    <w:rsid w:val="0017700F"/>
    <w:rsid w:val="00177286"/>
    <w:rsid w:val="00177EEE"/>
    <w:rsid w:val="00180D01"/>
    <w:rsid w:val="00180D91"/>
    <w:rsid w:val="0018259B"/>
    <w:rsid w:val="00183B00"/>
    <w:rsid w:val="00183B38"/>
    <w:rsid w:val="00184440"/>
    <w:rsid w:val="0018490B"/>
    <w:rsid w:val="00187C8F"/>
    <w:rsid w:val="00187DCC"/>
    <w:rsid w:val="00191CA2"/>
    <w:rsid w:val="001922C7"/>
    <w:rsid w:val="00194FC6"/>
    <w:rsid w:val="001952EE"/>
    <w:rsid w:val="001956B2"/>
    <w:rsid w:val="00195849"/>
    <w:rsid w:val="0019596B"/>
    <w:rsid w:val="00195E94"/>
    <w:rsid w:val="00196BC5"/>
    <w:rsid w:val="001974BF"/>
    <w:rsid w:val="00197EBC"/>
    <w:rsid w:val="001A1272"/>
    <w:rsid w:val="001A1495"/>
    <w:rsid w:val="001A5849"/>
    <w:rsid w:val="001A6A68"/>
    <w:rsid w:val="001A6F83"/>
    <w:rsid w:val="001A7CA1"/>
    <w:rsid w:val="001B2C29"/>
    <w:rsid w:val="001B34EF"/>
    <w:rsid w:val="001B6676"/>
    <w:rsid w:val="001B728F"/>
    <w:rsid w:val="001B783C"/>
    <w:rsid w:val="001B7B7B"/>
    <w:rsid w:val="001B7DA9"/>
    <w:rsid w:val="001C1DAC"/>
    <w:rsid w:val="001C29D3"/>
    <w:rsid w:val="001C3061"/>
    <w:rsid w:val="001C582D"/>
    <w:rsid w:val="001C69EA"/>
    <w:rsid w:val="001D06E5"/>
    <w:rsid w:val="001D1007"/>
    <w:rsid w:val="001D1C75"/>
    <w:rsid w:val="001D22AE"/>
    <w:rsid w:val="001D323B"/>
    <w:rsid w:val="001D34D4"/>
    <w:rsid w:val="001D3747"/>
    <w:rsid w:val="001D4DAF"/>
    <w:rsid w:val="001D4EE7"/>
    <w:rsid w:val="001D5060"/>
    <w:rsid w:val="001D5639"/>
    <w:rsid w:val="001D5FD4"/>
    <w:rsid w:val="001D6C70"/>
    <w:rsid w:val="001D7DAD"/>
    <w:rsid w:val="001E04AE"/>
    <w:rsid w:val="001E1B4C"/>
    <w:rsid w:val="001E2218"/>
    <w:rsid w:val="001E37CB"/>
    <w:rsid w:val="001E3EA0"/>
    <w:rsid w:val="001E5B18"/>
    <w:rsid w:val="001E6482"/>
    <w:rsid w:val="001F1E3C"/>
    <w:rsid w:val="001F2CEA"/>
    <w:rsid w:val="001F2D0B"/>
    <w:rsid w:val="001F2DBA"/>
    <w:rsid w:val="001F4029"/>
    <w:rsid w:val="001F4804"/>
    <w:rsid w:val="001F5326"/>
    <w:rsid w:val="001F5DA6"/>
    <w:rsid w:val="001F7A8A"/>
    <w:rsid w:val="00202021"/>
    <w:rsid w:val="00202685"/>
    <w:rsid w:val="00202D7B"/>
    <w:rsid w:val="002048FB"/>
    <w:rsid w:val="00204EC9"/>
    <w:rsid w:val="0020713E"/>
    <w:rsid w:val="0020722D"/>
    <w:rsid w:val="00207CD9"/>
    <w:rsid w:val="002110C3"/>
    <w:rsid w:val="002120B2"/>
    <w:rsid w:val="002127F6"/>
    <w:rsid w:val="00212DAC"/>
    <w:rsid w:val="00215D57"/>
    <w:rsid w:val="00215EA2"/>
    <w:rsid w:val="002176FD"/>
    <w:rsid w:val="00221231"/>
    <w:rsid w:val="002221EF"/>
    <w:rsid w:val="00223AF7"/>
    <w:rsid w:val="00223D8C"/>
    <w:rsid w:val="0022611D"/>
    <w:rsid w:val="00226711"/>
    <w:rsid w:val="0022731D"/>
    <w:rsid w:val="00230D23"/>
    <w:rsid w:val="0023175B"/>
    <w:rsid w:val="002328D8"/>
    <w:rsid w:val="00232B44"/>
    <w:rsid w:val="00235789"/>
    <w:rsid w:val="00240A83"/>
    <w:rsid w:val="00242981"/>
    <w:rsid w:val="002432C7"/>
    <w:rsid w:val="00243DA1"/>
    <w:rsid w:val="00245EB9"/>
    <w:rsid w:val="002460E3"/>
    <w:rsid w:val="002506BD"/>
    <w:rsid w:val="00250B1B"/>
    <w:rsid w:val="002518B7"/>
    <w:rsid w:val="00252065"/>
    <w:rsid w:val="002535B5"/>
    <w:rsid w:val="00253981"/>
    <w:rsid w:val="00253B0D"/>
    <w:rsid w:val="00254DBC"/>
    <w:rsid w:val="00255F2E"/>
    <w:rsid w:val="00255F51"/>
    <w:rsid w:val="002561D7"/>
    <w:rsid w:val="002575D3"/>
    <w:rsid w:val="00265818"/>
    <w:rsid w:val="00266245"/>
    <w:rsid w:val="0026715F"/>
    <w:rsid w:val="002672D2"/>
    <w:rsid w:val="002700CB"/>
    <w:rsid w:val="00270922"/>
    <w:rsid w:val="00270B93"/>
    <w:rsid w:val="00271E86"/>
    <w:rsid w:val="00273723"/>
    <w:rsid w:val="00273DE4"/>
    <w:rsid w:val="002749B2"/>
    <w:rsid w:val="002770A9"/>
    <w:rsid w:val="00277F98"/>
    <w:rsid w:val="00280FDF"/>
    <w:rsid w:val="00282B6F"/>
    <w:rsid w:val="00283BC9"/>
    <w:rsid w:val="002850F1"/>
    <w:rsid w:val="00285123"/>
    <w:rsid w:val="00287901"/>
    <w:rsid w:val="00290764"/>
    <w:rsid w:val="00291066"/>
    <w:rsid w:val="0029132D"/>
    <w:rsid w:val="00291C26"/>
    <w:rsid w:val="00291DEB"/>
    <w:rsid w:val="002921AF"/>
    <w:rsid w:val="0029223E"/>
    <w:rsid w:val="00294AFD"/>
    <w:rsid w:val="00296058"/>
    <w:rsid w:val="00297597"/>
    <w:rsid w:val="002A1695"/>
    <w:rsid w:val="002A4DCC"/>
    <w:rsid w:val="002A52B1"/>
    <w:rsid w:val="002A57B3"/>
    <w:rsid w:val="002A5BAF"/>
    <w:rsid w:val="002A6F8A"/>
    <w:rsid w:val="002A73E3"/>
    <w:rsid w:val="002B0013"/>
    <w:rsid w:val="002B02F0"/>
    <w:rsid w:val="002B202E"/>
    <w:rsid w:val="002B229D"/>
    <w:rsid w:val="002B248D"/>
    <w:rsid w:val="002B2520"/>
    <w:rsid w:val="002B2899"/>
    <w:rsid w:val="002B314B"/>
    <w:rsid w:val="002B37FE"/>
    <w:rsid w:val="002B5493"/>
    <w:rsid w:val="002B654D"/>
    <w:rsid w:val="002C06AC"/>
    <w:rsid w:val="002C1F46"/>
    <w:rsid w:val="002C2B2B"/>
    <w:rsid w:val="002C2BDB"/>
    <w:rsid w:val="002C3E49"/>
    <w:rsid w:val="002C45FC"/>
    <w:rsid w:val="002C4D9B"/>
    <w:rsid w:val="002C5E71"/>
    <w:rsid w:val="002D16E1"/>
    <w:rsid w:val="002D16F9"/>
    <w:rsid w:val="002D2F9E"/>
    <w:rsid w:val="002D3331"/>
    <w:rsid w:val="002D3376"/>
    <w:rsid w:val="002D46E8"/>
    <w:rsid w:val="002D495C"/>
    <w:rsid w:val="002D58C5"/>
    <w:rsid w:val="002D6541"/>
    <w:rsid w:val="002D759C"/>
    <w:rsid w:val="002E13FF"/>
    <w:rsid w:val="002E1DFF"/>
    <w:rsid w:val="002E2611"/>
    <w:rsid w:val="002E292C"/>
    <w:rsid w:val="002E2F6C"/>
    <w:rsid w:val="002E3F78"/>
    <w:rsid w:val="002E477B"/>
    <w:rsid w:val="002E7FCA"/>
    <w:rsid w:val="002F2E3B"/>
    <w:rsid w:val="002F32B7"/>
    <w:rsid w:val="002F33CC"/>
    <w:rsid w:val="002F47DB"/>
    <w:rsid w:val="002F4C76"/>
    <w:rsid w:val="002F50D9"/>
    <w:rsid w:val="00300211"/>
    <w:rsid w:val="00300214"/>
    <w:rsid w:val="00301504"/>
    <w:rsid w:val="00301953"/>
    <w:rsid w:val="00301D26"/>
    <w:rsid w:val="00301EF6"/>
    <w:rsid w:val="00303B27"/>
    <w:rsid w:val="00305672"/>
    <w:rsid w:val="00305FED"/>
    <w:rsid w:val="00306877"/>
    <w:rsid w:val="00307E0C"/>
    <w:rsid w:val="00310C66"/>
    <w:rsid w:val="00312A16"/>
    <w:rsid w:val="003135AA"/>
    <w:rsid w:val="00313731"/>
    <w:rsid w:val="00317F20"/>
    <w:rsid w:val="00321394"/>
    <w:rsid w:val="003215FB"/>
    <w:rsid w:val="003239DB"/>
    <w:rsid w:val="003240C8"/>
    <w:rsid w:val="00324CA7"/>
    <w:rsid w:val="00324F64"/>
    <w:rsid w:val="003257A7"/>
    <w:rsid w:val="00325809"/>
    <w:rsid w:val="00326800"/>
    <w:rsid w:val="003274C9"/>
    <w:rsid w:val="0033021A"/>
    <w:rsid w:val="00334782"/>
    <w:rsid w:val="00334814"/>
    <w:rsid w:val="00337026"/>
    <w:rsid w:val="00341692"/>
    <w:rsid w:val="00342CCA"/>
    <w:rsid w:val="003466B6"/>
    <w:rsid w:val="00347E9F"/>
    <w:rsid w:val="00351C9A"/>
    <w:rsid w:val="003542BA"/>
    <w:rsid w:val="003552D7"/>
    <w:rsid w:val="00355579"/>
    <w:rsid w:val="00360C88"/>
    <w:rsid w:val="00361505"/>
    <w:rsid w:val="00362A24"/>
    <w:rsid w:val="00362C6B"/>
    <w:rsid w:val="003655B3"/>
    <w:rsid w:val="003664F3"/>
    <w:rsid w:val="003676BF"/>
    <w:rsid w:val="003704E9"/>
    <w:rsid w:val="003717EF"/>
    <w:rsid w:val="00371ADC"/>
    <w:rsid w:val="00371DCB"/>
    <w:rsid w:val="00373314"/>
    <w:rsid w:val="00373F88"/>
    <w:rsid w:val="00375E3C"/>
    <w:rsid w:val="00385299"/>
    <w:rsid w:val="003861A4"/>
    <w:rsid w:val="00386319"/>
    <w:rsid w:val="00386EB8"/>
    <w:rsid w:val="003879BF"/>
    <w:rsid w:val="003901DE"/>
    <w:rsid w:val="00391D17"/>
    <w:rsid w:val="00393293"/>
    <w:rsid w:val="003935E9"/>
    <w:rsid w:val="003945CA"/>
    <w:rsid w:val="00395A36"/>
    <w:rsid w:val="00395B68"/>
    <w:rsid w:val="00396ED7"/>
    <w:rsid w:val="00396FAF"/>
    <w:rsid w:val="003A0565"/>
    <w:rsid w:val="003A0730"/>
    <w:rsid w:val="003A1BCE"/>
    <w:rsid w:val="003A3D28"/>
    <w:rsid w:val="003A4F09"/>
    <w:rsid w:val="003A5EAC"/>
    <w:rsid w:val="003A61DA"/>
    <w:rsid w:val="003A64EA"/>
    <w:rsid w:val="003A6DFD"/>
    <w:rsid w:val="003A6EFB"/>
    <w:rsid w:val="003B02E7"/>
    <w:rsid w:val="003B12D7"/>
    <w:rsid w:val="003B1633"/>
    <w:rsid w:val="003B17B6"/>
    <w:rsid w:val="003B18DC"/>
    <w:rsid w:val="003B1A68"/>
    <w:rsid w:val="003B1FC4"/>
    <w:rsid w:val="003B2E93"/>
    <w:rsid w:val="003B4910"/>
    <w:rsid w:val="003B5E43"/>
    <w:rsid w:val="003B6331"/>
    <w:rsid w:val="003B6AFE"/>
    <w:rsid w:val="003B6C2A"/>
    <w:rsid w:val="003B6C8A"/>
    <w:rsid w:val="003B7221"/>
    <w:rsid w:val="003B7F2D"/>
    <w:rsid w:val="003C0265"/>
    <w:rsid w:val="003C0750"/>
    <w:rsid w:val="003C16FA"/>
    <w:rsid w:val="003C1CFF"/>
    <w:rsid w:val="003C2631"/>
    <w:rsid w:val="003C333C"/>
    <w:rsid w:val="003C7F1C"/>
    <w:rsid w:val="003D04D0"/>
    <w:rsid w:val="003D0FE7"/>
    <w:rsid w:val="003D2571"/>
    <w:rsid w:val="003D35C7"/>
    <w:rsid w:val="003D4971"/>
    <w:rsid w:val="003D54AB"/>
    <w:rsid w:val="003D5FC6"/>
    <w:rsid w:val="003D6489"/>
    <w:rsid w:val="003D6FB6"/>
    <w:rsid w:val="003E0A26"/>
    <w:rsid w:val="003E2477"/>
    <w:rsid w:val="003E2652"/>
    <w:rsid w:val="003E3AC9"/>
    <w:rsid w:val="003E62DD"/>
    <w:rsid w:val="003F0A11"/>
    <w:rsid w:val="003F0F7D"/>
    <w:rsid w:val="003F1790"/>
    <w:rsid w:val="003F25EF"/>
    <w:rsid w:val="003F4B5F"/>
    <w:rsid w:val="003F5BBE"/>
    <w:rsid w:val="003F6E6B"/>
    <w:rsid w:val="003F7451"/>
    <w:rsid w:val="003F78B2"/>
    <w:rsid w:val="00400323"/>
    <w:rsid w:val="004011C7"/>
    <w:rsid w:val="004017A3"/>
    <w:rsid w:val="00401D4C"/>
    <w:rsid w:val="00401E01"/>
    <w:rsid w:val="00401F1B"/>
    <w:rsid w:val="00403AC8"/>
    <w:rsid w:val="0040407C"/>
    <w:rsid w:val="0040463E"/>
    <w:rsid w:val="00404CF0"/>
    <w:rsid w:val="00404D07"/>
    <w:rsid w:val="00405278"/>
    <w:rsid w:val="00405421"/>
    <w:rsid w:val="0040646D"/>
    <w:rsid w:val="00406D7B"/>
    <w:rsid w:val="0040711C"/>
    <w:rsid w:val="0040730C"/>
    <w:rsid w:val="004077F6"/>
    <w:rsid w:val="00407C5D"/>
    <w:rsid w:val="00410635"/>
    <w:rsid w:val="00410B99"/>
    <w:rsid w:val="00410C93"/>
    <w:rsid w:val="00412441"/>
    <w:rsid w:val="004146FE"/>
    <w:rsid w:val="00415AFB"/>
    <w:rsid w:val="00416289"/>
    <w:rsid w:val="004162DA"/>
    <w:rsid w:val="00417270"/>
    <w:rsid w:val="00417C3A"/>
    <w:rsid w:val="004211FB"/>
    <w:rsid w:val="0042200C"/>
    <w:rsid w:val="004241BA"/>
    <w:rsid w:val="00425DED"/>
    <w:rsid w:val="0042678F"/>
    <w:rsid w:val="00426812"/>
    <w:rsid w:val="004307B4"/>
    <w:rsid w:val="00431199"/>
    <w:rsid w:val="00432204"/>
    <w:rsid w:val="004338F7"/>
    <w:rsid w:val="004342BA"/>
    <w:rsid w:val="00434623"/>
    <w:rsid w:val="0043483C"/>
    <w:rsid w:val="00434ADA"/>
    <w:rsid w:val="00435F35"/>
    <w:rsid w:val="00437025"/>
    <w:rsid w:val="00441D67"/>
    <w:rsid w:val="00442CA4"/>
    <w:rsid w:val="00443359"/>
    <w:rsid w:val="00444289"/>
    <w:rsid w:val="00450AA7"/>
    <w:rsid w:val="00451ED7"/>
    <w:rsid w:val="004528BE"/>
    <w:rsid w:val="0045301C"/>
    <w:rsid w:val="00456A52"/>
    <w:rsid w:val="00457312"/>
    <w:rsid w:val="00457314"/>
    <w:rsid w:val="00457505"/>
    <w:rsid w:val="00457C13"/>
    <w:rsid w:val="00460B54"/>
    <w:rsid w:val="0046103B"/>
    <w:rsid w:val="00464062"/>
    <w:rsid w:val="0046465B"/>
    <w:rsid w:val="0046684A"/>
    <w:rsid w:val="004701DE"/>
    <w:rsid w:val="00471505"/>
    <w:rsid w:val="00476BBD"/>
    <w:rsid w:val="0047701C"/>
    <w:rsid w:val="004774F5"/>
    <w:rsid w:val="0048113F"/>
    <w:rsid w:val="0048148D"/>
    <w:rsid w:val="004833E1"/>
    <w:rsid w:val="0048380D"/>
    <w:rsid w:val="0048420B"/>
    <w:rsid w:val="00484420"/>
    <w:rsid w:val="00484D0E"/>
    <w:rsid w:val="00486140"/>
    <w:rsid w:val="004862BD"/>
    <w:rsid w:val="004864DF"/>
    <w:rsid w:val="004904D8"/>
    <w:rsid w:val="0049076E"/>
    <w:rsid w:val="00490A35"/>
    <w:rsid w:val="004912C4"/>
    <w:rsid w:val="004913CD"/>
    <w:rsid w:val="00491C74"/>
    <w:rsid w:val="00492706"/>
    <w:rsid w:val="00492DE1"/>
    <w:rsid w:val="0049311E"/>
    <w:rsid w:val="00493D9B"/>
    <w:rsid w:val="004947E9"/>
    <w:rsid w:val="00494C68"/>
    <w:rsid w:val="00494DEB"/>
    <w:rsid w:val="004A09DF"/>
    <w:rsid w:val="004A2E97"/>
    <w:rsid w:val="004A406E"/>
    <w:rsid w:val="004A4119"/>
    <w:rsid w:val="004A4D0D"/>
    <w:rsid w:val="004A53AC"/>
    <w:rsid w:val="004A6623"/>
    <w:rsid w:val="004A6B6F"/>
    <w:rsid w:val="004A7E79"/>
    <w:rsid w:val="004A7EB4"/>
    <w:rsid w:val="004B3401"/>
    <w:rsid w:val="004B3CDC"/>
    <w:rsid w:val="004B51C5"/>
    <w:rsid w:val="004B7557"/>
    <w:rsid w:val="004C02BD"/>
    <w:rsid w:val="004C19AE"/>
    <w:rsid w:val="004C1C82"/>
    <w:rsid w:val="004C4CE8"/>
    <w:rsid w:val="004C6454"/>
    <w:rsid w:val="004C7892"/>
    <w:rsid w:val="004D0EA2"/>
    <w:rsid w:val="004D1257"/>
    <w:rsid w:val="004D22BD"/>
    <w:rsid w:val="004D2E5A"/>
    <w:rsid w:val="004D519E"/>
    <w:rsid w:val="004D5EAE"/>
    <w:rsid w:val="004D6136"/>
    <w:rsid w:val="004E0F24"/>
    <w:rsid w:val="004E1899"/>
    <w:rsid w:val="004E2DF9"/>
    <w:rsid w:val="004E51A3"/>
    <w:rsid w:val="004E6376"/>
    <w:rsid w:val="004E6B60"/>
    <w:rsid w:val="004E6F85"/>
    <w:rsid w:val="004E7A8C"/>
    <w:rsid w:val="004F01C3"/>
    <w:rsid w:val="004F0A25"/>
    <w:rsid w:val="004F0D08"/>
    <w:rsid w:val="004F1C8F"/>
    <w:rsid w:val="004F1DE0"/>
    <w:rsid w:val="004F595B"/>
    <w:rsid w:val="004F64CA"/>
    <w:rsid w:val="004F6F2A"/>
    <w:rsid w:val="004F7263"/>
    <w:rsid w:val="0050097C"/>
    <w:rsid w:val="00500B00"/>
    <w:rsid w:val="00500CEE"/>
    <w:rsid w:val="005013B8"/>
    <w:rsid w:val="005014F2"/>
    <w:rsid w:val="005017B1"/>
    <w:rsid w:val="005034C5"/>
    <w:rsid w:val="00504A12"/>
    <w:rsid w:val="00506854"/>
    <w:rsid w:val="00506F75"/>
    <w:rsid w:val="005075F3"/>
    <w:rsid w:val="00507FA1"/>
    <w:rsid w:val="005104E2"/>
    <w:rsid w:val="00513145"/>
    <w:rsid w:val="0051339F"/>
    <w:rsid w:val="00513D23"/>
    <w:rsid w:val="00514297"/>
    <w:rsid w:val="0051490E"/>
    <w:rsid w:val="005150BC"/>
    <w:rsid w:val="005152D1"/>
    <w:rsid w:val="0051691A"/>
    <w:rsid w:val="00517048"/>
    <w:rsid w:val="00520890"/>
    <w:rsid w:val="00520F9B"/>
    <w:rsid w:val="0052124C"/>
    <w:rsid w:val="0052538C"/>
    <w:rsid w:val="00526414"/>
    <w:rsid w:val="0052685E"/>
    <w:rsid w:val="0052726D"/>
    <w:rsid w:val="00527671"/>
    <w:rsid w:val="005336A9"/>
    <w:rsid w:val="0053685E"/>
    <w:rsid w:val="00536D69"/>
    <w:rsid w:val="00537395"/>
    <w:rsid w:val="005374EA"/>
    <w:rsid w:val="005405BF"/>
    <w:rsid w:val="005406FF"/>
    <w:rsid w:val="00541739"/>
    <w:rsid w:val="00541F43"/>
    <w:rsid w:val="00543235"/>
    <w:rsid w:val="005441FF"/>
    <w:rsid w:val="00550BAD"/>
    <w:rsid w:val="0055208C"/>
    <w:rsid w:val="005527AD"/>
    <w:rsid w:val="00552C5E"/>
    <w:rsid w:val="00553F6D"/>
    <w:rsid w:val="00553FCA"/>
    <w:rsid w:val="0055410F"/>
    <w:rsid w:val="005559DE"/>
    <w:rsid w:val="00555A6B"/>
    <w:rsid w:val="005579D1"/>
    <w:rsid w:val="005606ED"/>
    <w:rsid w:val="00563637"/>
    <w:rsid w:val="00564400"/>
    <w:rsid w:val="0056533F"/>
    <w:rsid w:val="00565F99"/>
    <w:rsid w:val="00573500"/>
    <w:rsid w:val="00576C23"/>
    <w:rsid w:val="0057754E"/>
    <w:rsid w:val="0057791B"/>
    <w:rsid w:val="00580408"/>
    <w:rsid w:val="0058073C"/>
    <w:rsid w:val="00582EA5"/>
    <w:rsid w:val="00583500"/>
    <w:rsid w:val="005841BA"/>
    <w:rsid w:val="0058542C"/>
    <w:rsid w:val="00585555"/>
    <w:rsid w:val="00587920"/>
    <w:rsid w:val="005910D9"/>
    <w:rsid w:val="00591231"/>
    <w:rsid w:val="00591C8E"/>
    <w:rsid w:val="00593716"/>
    <w:rsid w:val="00594810"/>
    <w:rsid w:val="00594AEE"/>
    <w:rsid w:val="00596E74"/>
    <w:rsid w:val="005974FE"/>
    <w:rsid w:val="00597800"/>
    <w:rsid w:val="00597A0A"/>
    <w:rsid w:val="005A1527"/>
    <w:rsid w:val="005A18FE"/>
    <w:rsid w:val="005A47A2"/>
    <w:rsid w:val="005A5440"/>
    <w:rsid w:val="005A6055"/>
    <w:rsid w:val="005A67AC"/>
    <w:rsid w:val="005A6D5B"/>
    <w:rsid w:val="005B070F"/>
    <w:rsid w:val="005B13F8"/>
    <w:rsid w:val="005B265B"/>
    <w:rsid w:val="005B35DE"/>
    <w:rsid w:val="005B418B"/>
    <w:rsid w:val="005B4195"/>
    <w:rsid w:val="005B5E24"/>
    <w:rsid w:val="005B5F8B"/>
    <w:rsid w:val="005B6256"/>
    <w:rsid w:val="005B63DC"/>
    <w:rsid w:val="005B7874"/>
    <w:rsid w:val="005C15BF"/>
    <w:rsid w:val="005C4767"/>
    <w:rsid w:val="005C5963"/>
    <w:rsid w:val="005C71E0"/>
    <w:rsid w:val="005D04EE"/>
    <w:rsid w:val="005D06DD"/>
    <w:rsid w:val="005D0F94"/>
    <w:rsid w:val="005D5872"/>
    <w:rsid w:val="005D5A2D"/>
    <w:rsid w:val="005D5FEC"/>
    <w:rsid w:val="005D669E"/>
    <w:rsid w:val="005D6F6E"/>
    <w:rsid w:val="005D7592"/>
    <w:rsid w:val="005E016F"/>
    <w:rsid w:val="005E06F4"/>
    <w:rsid w:val="005E0A40"/>
    <w:rsid w:val="005E1BD8"/>
    <w:rsid w:val="005E1F31"/>
    <w:rsid w:val="005E3C38"/>
    <w:rsid w:val="005E3CCE"/>
    <w:rsid w:val="005E533C"/>
    <w:rsid w:val="005E55F3"/>
    <w:rsid w:val="005E5E72"/>
    <w:rsid w:val="005E6B2D"/>
    <w:rsid w:val="005E702A"/>
    <w:rsid w:val="005F1251"/>
    <w:rsid w:val="005F1E4E"/>
    <w:rsid w:val="005F28AD"/>
    <w:rsid w:val="005F2BB6"/>
    <w:rsid w:val="005F3098"/>
    <w:rsid w:val="005F3513"/>
    <w:rsid w:val="005F4321"/>
    <w:rsid w:val="005F4DAB"/>
    <w:rsid w:val="005F58E7"/>
    <w:rsid w:val="005F5ADE"/>
    <w:rsid w:val="005F5C3C"/>
    <w:rsid w:val="005F5C7C"/>
    <w:rsid w:val="005F5DE9"/>
    <w:rsid w:val="005F5FD9"/>
    <w:rsid w:val="005F762D"/>
    <w:rsid w:val="005F7D07"/>
    <w:rsid w:val="0060010E"/>
    <w:rsid w:val="00600B26"/>
    <w:rsid w:val="00600BA1"/>
    <w:rsid w:val="00600DBF"/>
    <w:rsid w:val="00601757"/>
    <w:rsid w:val="00601B3D"/>
    <w:rsid w:val="00602568"/>
    <w:rsid w:val="006028E7"/>
    <w:rsid w:val="00603F01"/>
    <w:rsid w:val="00606312"/>
    <w:rsid w:val="0060682D"/>
    <w:rsid w:val="006069FD"/>
    <w:rsid w:val="00606A0E"/>
    <w:rsid w:val="00607201"/>
    <w:rsid w:val="00607D91"/>
    <w:rsid w:val="00610C34"/>
    <w:rsid w:val="006112C3"/>
    <w:rsid w:val="00612420"/>
    <w:rsid w:val="00614126"/>
    <w:rsid w:val="00614302"/>
    <w:rsid w:val="00615AC7"/>
    <w:rsid w:val="00615F6F"/>
    <w:rsid w:val="00621EA1"/>
    <w:rsid w:val="00624C43"/>
    <w:rsid w:val="00624EFB"/>
    <w:rsid w:val="00624F7A"/>
    <w:rsid w:val="00626D93"/>
    <w:rsid w:val="006274EF"/>
    <w:rsid w:val="00627516"/>
    <w:rsid w:val="0063175B"/>
    <w:rsid w:val="00631764"/>
    <w:rsid w:val="00633F42"/>
    <w:rsid w:val="00637CFB"/>
    <w:rsid w:val="0064035B"/>
    <w:rsid w:val="006405FB"/>
    <w:rsid w:val="00640CBB"/>
    <w:rsid w:val="00640CFD"/>
    <w:rsid w:val="00641BC2"/>
    <w:rsid w:val="00641C4D"/>
    <w:rsid w:val="00642098"/>
    <w:rsid w:val="00645AE2"/>
    <w:rsid w:val="00647CFA"/>
    <w:rsid w:val="00647E31"/>
    <w:rsid w:val="00651630"/>
    <w:rsid w:val="006534D9"/>
    <w:rsid w:val="00653593"/>
    <w:rsid w:val="0065409E"/>
    <w:rsid w:val="00654114"/>
    <w:rsid w:val="00654914"/>
    <w:rsid w:val="00655831"/>
    <w:rsid w:val="0065590F"/>
    <w:rsid w:val="006600DF"/>
    <w:rsid w:val="00660728"/>
    <w:rsid w:val="00660F90"/>
    <w:rsid w:val="00661A10"/>
    <w:rsid w:val="00662944"/>
    <w:rsid w:val="00663EE7"/>
    <w:rsid w:val="00664096"/>
    <w:rsid w:val="006663D2"/>
    <w:rsid w:val="00667416"/>
    <w:rsid w:val="006705FA"/>
    <w:rsid w:val="00671BA0"/>
    <w:rsid w:val="00671ED5"/>
    <w:rsid w:val="00672A63"/>
    <w:rsid w:val="00673908"/>
    <w:rsid w:val="00674DE4"/>
    <w:rsid w:val="00676C31"/>
    <w:rsid w:val="00676C6F"/>
    <w:rsid w:val="00677ADF"/>
    <w:rsid w:val="006805E2"/>
    <w:rsid w:val="00680713"/>
    <w:rsid w:val="006815CF"/>
    <w:rsid w:val="006817B8"/>
    <w:rsid w:val="00681B7F"/>
    <w:rsid w:val="0068287D"/>
    <w:rsid w:val="00682D7D"/>
    <w:rsid w:val="0068331F"/>
    <w:rsid w:val="0068423B"/>
    <w:rsid w:val="00687C44"/>
    <w:rsid w:val="00690821"/>
    <w:rsid w:val="00693D63"/>
    <w:rsid w:val="006946D8"/>
    <w:rsid w:val="00694D49"/>
    <w:rsid w:val="00694E71"/>
    <w:rsid w:val="00696A03"/>
    <w:rsid w:val="006A2DB0"/>
    <w:rsid w:val="006A314A"/>
    <w:rsid w:val="006A3D6A"/>
    <w:rsid w:val="006A3E7C"/>
    <w:rsid w:val="006A597F"/>
    <w:rsid w:val="006A75F2"/>
    <w:rsid w:val="006B07B4"/>
    <w:rsid w:val="006B158A"/>
    <w:rsid w:val="006B2075"/>
    <w:rsid w:val="006B323D"/>
    <w:rsid w:val="006B3279"/>
    <w:rsid w:val="006B4A0E"/>
    <w:rsid w:val="006B4FB8"/>
    <w:rsid w:val="006B6743"/>
    <w:rsid w:val="006B6C83"/>
    <w:rsid w:val="006C0480"/>
    <w:rsid w:val="006C1130"/>
    <w:rsid w:val="006C3C13"/>
    <w:rsid w:val="006C4DF6"/>
    <w:rsid w:val="006C6CB5"/>
    <w:rsid w:val="006C6E67"/>
    <w:rsid w:val="006C6E8F"/>
    <w:rsid w:val="006C71BE"/>
    <w:rsid w:val="006D03F3"/>
    <w:rsid w:val="006D0BA0"/>
    <w:rsid w:val="006D0F63"/>
    <w:rsid w:val="006D1401"/>
    <w:rsid w:val="006D1988"/>
    <w:rsid w:val="006D2ADA"/>
    <w:rsid w:val="006D2D23"/>
    <w:rsid w:val="006D3F5A"/>
    <w:rsid w:val="006D4435"/>
    <w:rsid w:val="006D4F5A"/>
    <w:rsid w:val="006D71EC"/>
    <w:rsid w:val="006D7E85"/>
    <w:rsid w:val="006E0BA5"/>
    <w:rsid w:val="006E0D07"/>
    <w:rsid w:val="006E1485"/>
    <w:rsid w:val="006E44C5"/>
    <w:rsid w:val="006E62A1"/>
    <w:rsid w:val="006E6636"/>
    <w:rsid w:val="006F0121"/>
    <w:rsid w:val="006F1A64"/>
    <w:rsid w:val="006F1B8F"/>
    <w:rsid w:val="006F2272"/>
    <w:rsid w:val="006F3323"/>
    <w:rsid w:val="006F3493"/>
    <w:rsid w:val="006F40A7"/>
    <w:rsid w:val="006F4B2D"/>
    <w:rsid w:val="006F66FD"/>
    <w:rsid w:val="006F67EB"/>
    <w:rsid w:val="006F6B31"/>
    <w:rsid w:val="006F712A"/>
    <w:rsid w:val="0070063A"/>
    <w:rsid w:val="0070074F"/>
    <w:rsid w:val="0070092C"/>
    <w:rsid w:val="00700B4B"/>
    <w:rsid w:val="00703559"/>
    <w:rsid w:val="00703A86"/>
    <w:rsid w:val="00706211"/>
    <w:rsid w:val="00706B93"/>
    <w:rsid w:val="00707433"/>
    <w:rsid w:val="00711AB8"/>
    <w:rsid w:val="00713B4A"/>
    <w:rsid w:val="00713FBF"/>
    <w:rsid w:val="00714360"/>
    <w:rsid w:val="00714581"/>
    <w:rsid w:val="00716F0B"/>
    <w:rsid w:val="007175AE"/>
    <w:rsid w:val="00717831"/>
    <w:rsid w:val="0072380B"/>
    <w:rsid w:val="007250E2"/>
    <w:rsid w:val="007259B8"/>
    <w:rsid w:val="00725BCC"/>
    <w:rsid w:val="00725E99"/>
    <w:rsid w:val="007263F0"/>
    <w:rsid w:val="0072642A"/>
    <w:rsid w:val="00726790"/>
    <w:rsid w:val="007269FA"/>
    <w:rsid w:val="0072793D"/>
    <w:rsid w:val="00730DD1"/>
    <w:rsid w:val="00731004"/>
    <w:rsid w:val="007311A1"/>
    <w:rsid w:val="00731991"/>
    <w:rsid w:val="00731E1E"/>
    <w:rsid w:val="00733015"/>
    <w:rsid w:val="007331A5"/>
    <w:rsid w:val="0073741A"/>
    <w:rsid w:val="00740CC3"/>
    <w:rsid w:val="007412F8"/>
    <w:rsid w:val="00742FE4"/>
    <w:rsid w:val="007431AD"/>
    <w:rsid w:val="0074394E"/>
    <w:rsid w:val="00743C97"/>
    <w:rsid w:val="00744FE2"/>
    <w:rsid w:val="00745777"/>
    <w:rsid w:val="0074623C"/>
    <w:rsid w:val="00750DEC"/>
    <w:rsid w:val="00750EDC"/>
    <w:rsid w:val="00751097"/>
    <w:rsid w:val="0075179B"/>
    <w:rsid w:val="007534C6"/>
    <w:rsid w:val="00753BD9"/>
    <w:rsid w:val="00754137"/>
    <w:rsid w:val="00756D64"/>
    <w:rsid w:val="00756FC9"/>
    <w:rsid w:val="007606C6"/>
    <w:rsid w:val="007667BA"/>
    <w:rsid w:val="00770208"/>
    <w:rsid w:val="007723EF"/>
    <w:rsid w:val="00773383"/>
    <w:rsid w:val="007741BA"/>
    <w:rsid w:val="0077448F"/>
    <w:rsid w:val="007747DC"/>
    <w:rsid w:val="00776D74"/>
    <w:rsid w:val="00777708"/>
    <w:rsid w:val="007777C6"/>
    <w:rsid w:val="007807A2"/>
    <w:rsid w:val="00780DB4"/>
    <w:rsid w:val="00780E84"/>
    <w:rsid w:val="00780F04"/>
    <w:rsid w:val="00781882"/>
    <w:rsid w:val="007825DE"/>
    <w:rsid w:val="00782F7C"/>
    <w:rsid w:val="00783DED"/>
    <w:rsid w:val="0078497D"/>
    <w:rsid w:val="00787C61"/>
    <w:rsid w:val="00790730"/>
    <w:rsid w:val="00791C02"/>
    <w:rsid w:val="007932CF"/>
    <w:rsid w:val="00793E19"/>
    <w:rsid w:val="00794037"/>
    <w:rsid w:val="00796736"/>
    <w:rsid w:val="00797545"/>
    <w:rsid w:val="007A1C08"/>
    <w:rsid w:val="007A1E28"/>
    <w:rsid w:val="007A42BC"/>
    <w:rsid w:val="007A442C"/>
    <w:rsid w:val="007A486E"/>
    <w:rsid w:val="007A5687"/>
    <w:rsid w:val="007A58FF"/>
    <w:rsid w:val="007A5CEB"/>
    <w:rsid w:val="007A64F5"/>
    <w:rsid w:val="007A6CDE"/>
    <w:rsid w:val="007A71F9"/>
    <w:rsid w:val="007A73D9"/>
    <w:rsid w:val="007B0272"/>
    <w:rsid w:val="007B0A60"/>
    <w:rsid w:val="007B32BA"/>
    <w:rsid w:val="007B3A19"/>
    <w:rsid w:val="007B41E2"/>
    <w:rsid w:val="007B4852"/>
    <w:rsid w:val="007B7127"/>
    <w:rsid w:val="007C15A1"/>
    <w:rsid w:val="007C1DD7"/>
    <w:rsid w:val="007C2FCF"/>
    <w:rsid w:val="007C3608"/>
    <w:rsid w:val="007C55FE"/>
    <w:rsid w:val="007C64C0"/>
    <w:rsid w:val="007C6FDA"/>
    <w:rsid w:val="007C72BC"/>
    <w:rsid w:val="007C7DF6"/>
    <w:rsid w:val="007D1109"/>
    <w:rsid w:val="007D3890"/>
    <w:rsid w:val="007D6E46"/>
    <w:rsid w:val="007D6E77"/>
    <w:rsid w:val="007E059B"/>
    <w:rsid w:val="007E31E0"/>
    <w:rsid w:val="007E4E4E"/>
    <w:rsid w:val="007E5812"/>
    <w:rsid w:val="007E5C52"/>
    <w:rsid w:val="007E5FA2"/>
    <w:rsid w:val="007E6CA6"/>
    <w:rsid w:val="007E7264"/>
    <w:rsid w:val="007E73B4"/>
    <w:rsid w:val="007F135E"/>
    <w:rsid w:val="007F1D7A"/>
    <w:rsid w:val="007F24A3"/>
    <w:rsid w:val="007F289A"/>
    <w:rsid w:val="007F28A5"/>
    <w:rsid w:val="007F412E"/>
    <w:rsid w:val="007F463B"/>
    <w:rsid w:val="007F5808"/>
    <w:rsid w:val="007F68B1"/>
    <w:rsid w:val="007F7492"/>
    <w:rsid w:val="008012E9"/>
    <w:rsid w:val="008018E3"/>
    <w:rsid w:val="00801A1A"/>
    <w:rsid w:val="00803442"/>
    <w:rsid w:val="00803694"/>
    <w:rsid w:val="008049E0"/>
    <w:rsid w:val="0080555A"/>
    <w:rsid w:val="00806681"/>
    <w:rsid w:val="008078AF"/>
    <w:rsid w:val="00810A16"/>
    <w:rsid w:val="00811102"/>
    <w:rsid w:val="00812A68"/>
    <w:rsid w:val="00812AF9"/>
    <w:rsid w:val="00812C1C"/>
    <w:rsid w:val="008134C3"/>
    <w:rsid w:val="008149E7"/>
    <w:rsid w:val="0081616D"/>
    <w:rsid w:val="0081619D"/>
    <w:rsid w:val="00817C7A"/>
    <w:rsid w:val="008206A9"/>
    <w:rsid w:val="00820920"/>
    <w:rsid w:val="008209B7"/>
    <w:rsid w:val="00821095"/>
    <w:rsid w:val="0082224F"/>
    <w:rsid w:val="008235EA"/>
    <w:rsid w:val="0082431B"/>
    <w:rsid w:val="0082437B"/>
    <w:rsid w:val="008244DF"/>
    <w:rsid w:val="00824592"/>
    <w:rsid w:val="00825E00"/>
    <w:rsid w:val="0082755D"/>
    <w:rsid w:val="00827F14"/>
    <w:rsid w:val="00830258"/>
    <w:rsid w:val="00830FE3"/>
    <w:rsid w:val="00834A66"/>
    <w:rsid w:val="00834FAC"/>
    <w:rsid w:val="0083565F"/>
    <w:rsid w:val="00836D8E"/>
    <w:rsid w:val="00837436"/>
    <w:rsid w:val="008401E4"/>
    <w:rsid w:val="00840CED"/>
    <w:rsid w:val="0084102B"/>
    <w:rsid w:val="00841F51"/>
    <w:rsid w:val="00842B03"/>
    <w:rsid w:val="0084449D"/>
    <w:rsid w:val="00845C42"/>
    <w:rsid w:val="008468FF"/>
    <w:rsid w:val="008478D2"/>
    <w:rsid w:val="00850721"/>
    <w:rsid w:val="00850BF5"/>
    <w:rsid w:val="00851015"/>
    <w:rsid w:val="0085165A"/>
    <w:rsid w:val="0085165C"/>
    <w:rsid w:val="00852FDB"/>
    <w:rsid w:val="00853028"/>
    <w:rsid w:val="008550D3"/>
    <w:rsid w:val="00857EE9"/>
    <w:rsid w:val="00860A19"/>
    <w:rsid w:val="008614E4"/>
    <w:rsid w:val="00862F22"/>
    <w:rsid w:val="008649B7"/>
    <w:rsid w:val="00867D37"/>
    <w:rsid w:val="0087095D"/>
    <w:rsid w:val="00870D2D"/>
    <w:rsid w:val="00870EF5"/>
    <w:rsid w:val="008722E9"/>
    <w:rsid w:val="008724D4"/>
    <w:rsid w:val="008724E9"/>
    <w:rsid w:val="00877D33"/>
    <w:rsid w:val="0088073D"/>
    <w:rsid w:val="00880B54"/>
    <w:rsid w:val="00882A45"/>
    <w:rsid w:val="00882D8E"/>
    <w:rsid w:val="00883254"/>
    <w:rsid w:val="00883EEB"/>
    <w:rsid w:val="0088422F"/>
    <w:rsid w:val="008842B9"/>
    <w:rsid w:val="0088579D"/>
    <w:rsid w:val="0088630E"/>
    <w:rsid w:val="008872A5"/>
    <w:rsid w:val="00887DB0"/>
    <w:rsid w:val="0089465A"/>
    <w:rsid w:val="00896138"/>
    <w:rsid w:val="0089792A"/>
    <w:rsid w:val="00897DD0"/>
    <w:rsid w:val="008A0140"/>
    <w:rsid w:val="008A054A"/>
    <w:rsid w:val="008A06E0"/>
    <w:rsid w:val="008A6011"/>
    <w:rsid w:val="008A6D6F"/>
    <w:rsid w:val="008A72E6"/>
    <w:rsid w:val="008A79B5"/>
    <w:rsid w:val="008B0BDC"/>
    <w:rsid w:val="008B1786"/>
    <w:rsid w:val="008B269B"/>
    <w:rsid w:val="008B3C00"/>
    <w:rsid w:val="008B3E00"/>
    <w:rsid w:val="008B5E4D"/>
    <w:rsid w:val="008B60DD"/>
    <w:rsid w:val="008C0312"/>
    <w:rsid w:val="008C0AF9"/>
    <w:rsid w:val="008C1318"/>
    <w:rsid w:val="008C15C3"/>
    <w:rsid w:val="008C3FAF"/>
    <w:rsid w:val="008C4626"/>
    <w:rsid w:val="008C5049"/>
    <w:rsid w:val="008C5227"/>
    <w:rsid w:val="008C5315"/>
    <w:rsid w:val="008C5921"/>
    <w:rsid w:val="008C63C8"/>
    <w:rsid w:val="008C6C39"/>
    <w:rsid w:val="008C77A9"/>
    <w:rsid w:val="008C7B18"/>
    <w:rsid w:val="008C7BFC"/>
    <w:rsid w:val="008D0D8A"/>
    <w:rsid w:val="008D1E12"/>
    <w:rsid w:val="008D4426"/>
    <w:rsid w:val="008D49CB"/>
    <w:rsid w:val="008D53DB"/>
    <w:rsid w:val="008D606C"/>
    <w:rsid w:val="008D6708"/>
    <w:rsid w:val="008D6723"/>
    <w:rsid w:val="008D6F26"/>
    <w:rsid w:val="008D7A45"/>
    <w:rsid w:val="008E0750"/>
    <w:rsid w:val="008E1D3B"/>
    <w:rsid w:val="008E48D3"/>
    <w:rsid w:val="008E4BB7"/>
    <w:rsid w:val="008E6315"/>
    <w:rsid w:val="008E7075"/>
    <w:rsid w:val="008E714D"/>
    <w:rsid w:val="008E77E1"/>
    <w:rsid w:val="008F032C"/>
    <w:rsid w:val="008F0F92"/>
    <w:rsid w:val="008F460C"/>
    <w:rsid w:val="008F5758"/>
    <w:rsid w:val="008F668C"/>
    <w:rsid w:val="008F79B3"/>
    <w:rsid w:val="008F7DD7"/>
    <w:rsid w:val="0090116A"/>
    <w:rsid w:val="0090281B"/>
    <w:rsid w:val="00904E06"/>
    <w:rsid w:val="00904E71"/>
    <w:rsid w:val="00904FC0"/>
    <w:rsid w:val="00905798"/>
    <w:rsid w:val="009058F3"/>
    <w:rsid w:val="00906E66"/>
    <w:rsid w:val="00907C74"/>
    <w:rsid w:val="00910B2D"/>
    <w:rsid w:val="00913258"/>
    <w:rsid w:val="009148A2"/>
    <w:rsid w:val="00915630"/>
    <w:rsid w:val="0091584E"/>
    <w:rsid w:val="00916564"/>
    <w:rsid w:val="00916985"/>
    <w:rsid w:val="00917CCC"/>
    <w:rsid w:val="0092073E"/>
    <w:rsid w:val="009207D9"/>
    <w:rsid w:val="00920CC0"/>
    <w:rsid w:val="00921DF0"/>
    <w:rsid w:val="00924EC9"/>
    <w:rsid w:val="00927787"/>
    <w:rsid w:val="00927F5D"/>
    <w:rsid w:val="009300D7"/>
    <w:rsid w:val="0093029D"/>
    <w:rsid w:val="00930CEA"/>
    <w:rsid w:val="009316D0"/>
    <w:rsid w:val="0093175A"/>
    <w:rsid w:val="00932745"/>
    <w:rsid w:val="00934044"/>
    <w:rsid w:val="00934206"/>
    <w:rsid w:val="00935C08"/>
    <w:rsid w:val="009363A1"/>
    <w:rsid w:val="00937144"/>
    <w:rsid w:val="00937D56"/>
    <w:rsid w:val="009401D2"/>
    <w:rsid w:val="00940617"/>
    <w:rsid w:val="0094079C"/>
    <w:rsid w:val="00940AAC"/>
    <w:rsid w:val="00941E55"/>
    <w:rsid w:val="00942C82"/>
    <w:rsid w:val="0095040B"/>
    <w:rsid w:val="0095128F"/>
    <w:rsid w:val="0095188D"/>
    <w:rsid w:val="0095229A"/>
    <w:rsid w:val="009527F7"/>
    <w:rsid w:val="009528E4"/>
    <w:rsid w:val="0095422C"/>
    <w:rsid w:val="00954C7C"/>
    <w:rsid w:val="00954D35"/>
    <w:rsid w:val="00955D7D"/>
    <w:rsid w:val="00955EE2"/>
    <w:rsid w:val="0095761C"/>
    <w:rsid w:val="00961087"/>
    <w:rsid w:val="00963403"/>
    <w:rsid w:val="009645AE"/>
    <w:rsid w:val="009646DE"/>
    <w:rsid w:val="00964E23"/>
    <w:rsid w:val="009703DC"/>
    <w:rsid w:val="00972002"/>
    <w:rsid w:val="009731E4"/>
    <w:rsid w:val="009735B3"/>
    <w:rsid w:val="00974949"/>
    <w:rsid w:val="009774FB"/>
    <w:rsid w:val="009803DE"/>
    <w:rsid w:val="00980AEC"/>
    <w:rsid w:val="0098130C"/>
    <w:rsid w:val="009827EE"/>
    <w:rsid w:val="00983E0C"/>
    <w:rsid w:val="009840A9"/>
    <w:rsid w:val="00986971"/>
    <w:rsid w:val="009869BC"/>
    <w:rsid w:val="00987B7C"/>
    <w:rsid w:val="00991439"/>
    <w:rsid w:val="009915BA"/>
    <w:rsid w:val="00992FC7"/>
    <w:rsid w:val="0099593C"/>
    <w:rsid w:val="00995CFE"/>
    <w:rsid w:val="009962C5"/>
    <w:rsid w:val="00996CD7"/>
    <w:rsid w:val="00996DE4"/>
    <w:rsid w:val="009973DD"/>
    <w:rsid w:val="009976E3"/>
    <w:rsid w:val="00997771"/>
    <w:rsid w:val="009A001D"/>
    <w:rsid w:val="009A154C"/>
    <w:rsid w:val="009A185E"/>
    <w:rsid w:val="009A25E9"/>
    <w:rsid w:val="009A282C"/>
    <w:rsid w:val="009A2878"/>
    <w:rsid w:val="009A4744"/>
    <w:rsid w:val="009A5450"/>
    <w:rsid w:val="009A5B15"/>
    <w:rsid w:val="009A70C2"/>
    <w:rsid w:val="009A71A0"/>
    <w:rsid w:val="009A796C"/>
    <w:rsid w:val="009B00B6"/>
    <w:rsid w:val="009B1300"/>
    <w:rsid w:val="009B147B"/>
    <w:rsid w:val="009B2071"/>
    <w:rsid w:val="009B3AD9"/>
    <w:rsid w:val="009B4764"/>
    <w:rsid w:val="009B4AC4"/>
    <w:rsid w:val="009B5539"/>
    <w:rsid w:val="009B6946"/>
    <w:rsid w:val="009B72BF"/>
    <w:rsid w:val="009B72C1"/>
    <w:rsid w:val="009C01E3"/>
    <w:rsid w:val="009C023C"/>
    <w:rsid w:val="009C0A88"/>
    <w:rsid w:val="009C0AF1"/>
    <w:rsid w:val="009C12D6"/>
    <w:rsid w:val="009C26F8"/>
    <w:rsid w:val="009C50F8"/>
    <w:rsid w:val="009C5D76"/>
    <w:rsid w:val="009C69D7"/>
    <w:rsid w:val="009C76FB"/>
    <w:rsid w:val="009C7F57"/>
    <w:rsid w:val="009D3A9E"/>
    <w:rsid w:val="009D3E47"/>
    <w:rsid w:val="009D4447"/>
    <w:rsid w:val="009E0875"/>
    <w:rsid w:val="009E12F1"/>
    <w:rsid w:val="009E1C70"/>
    <w:rsid w:val="009F0EAA"/>
    <w:rsid w:val="009F1C0C"/>
    <w:rsid w:val="009F31E3"/>
    <w:rsid w:val="009F3BC9"/>
    <w:rsid w:val="009F40D6"/>
    <w:rsid w:val="009F5235"/>
    <w:rsid w:val="009F6960"/>
    <w:rsid w:val="009F7066"/>
    <w:rsid w:val="00A00AC6"/>
    <w:rsid w:val="00A00C8F"/>
    <w:rsid w:val="00A030C6"/>
    <w:rsid w:val="00A0425A"/>
    <w:rsid w:val="00A0442C"/>
    <w:rsid w:val="00A048BD"/>
    <w:rsid w:val="00A05B2E"/>
    <w:rsid w:val="00A05E35"/>
    <w:rsid w:val="00A06952"/>
    <w:rsid w:val="00A06DD4"/>
    <w:rsid w:val="00A078E2"/>
    <w:rsid w:val="00A10943"/>
    <w:rsid w:val="00A12456"/>
    <w:rsid w:val="00A131CD"/>
    <w:rsid w:val="00A13B0A"/>
    <w:rsid w:val="00A150EE"/>
    <w:rsid w:val="00A152B2"/>
    <w:rsid w:val="00A17273"/>
    <w:rsid w:val="00A17E0A"/>
    <w:rsid w:val="00A21626"/>
    <w:rsid w:val="00A21A0C"/>
    <w:rsid w:val="00A21A3A"/>
    <w:rsid w:val="00A21B44"/>
    <w:rsid w:val="00A22E52"/>
    <w:rsid w:val="00A23124"/>
    <w:rsid w:val="00A25789"/>
    <w:rsid w:val="00A25C5B"/>
    <w:rsid w:val="00A26DB1"/>
    <w:rsid w:val="00A2704B"/>
    <w:rsid w:val="00A278A0"/>
    <w:rsid w:val="00A279E2"/>
    <w:rsid w:val="00A27FFD"/>
    <w:rsid w:val="00A301E4"/>
    <w:rsid w:val="00A32422"/>
    <w:rsid w:val="00A32951"/>
    <w:rsid w:val="00A335A7"/>
    <w:rsid w:val="00A34163"/>
    <w:rsid w:val="00A36CBC"/>
    <w:rsid w:val="00A403B8"/>
    <w:rsid w:val="00A40483"/>
    <w:rsid w:val="00A40A4E"/>
    <w:rsid w:val="00A40D1D"/>
    <w:rsid w:val="00A40DAA"/>
    <w:rsid w:val="00A41739"/>
    <w:rsid w:val="00A4263C"/>
    <w:rsid w:val="00A44BEC"/>
    <w:rsid w:val="00A45963"/>
    <w:rsid w:val="00A45F2C"/>
    <w:rsid w:val="00A466FE"/>
    <w:rsid w:val="00A508D2"/>
    <w:rsid w:val="00A50D02"/>
    <w:rsid w:val="00A547E7"/>
    <w:rsid w:val="00A55940"/>
    <w:rsid w:val="00A56032"/>
    <w:rsid w:val="00A57BCB"/>
    <w:rsid w:val="00A61C5D"/>
    <w:rsid w:val="00A6272D"/>
    <w:rsid w:val="00A64C40"/>
    <w:rsid w:val="00A67AD8"/>
    <w:rsid w:val="00A67BEB"/>
    <w:rsid w:val="00A70436"/>
    <w:rsid w:val="00A7054F"/>
    <w:rsid w:val="00A71848"/>
    <w:rsid w:val="00A71FE2"/>
    <w:rsid w:val="00A723FA"/>
    <w:rsid w:val="00A73999"/>
    <w:rsid w:val="00A76BE1"/>
    <w:rsid w:val="00A76E9F"/>
    <w:rsid w:val="00A76FA3"/>
    <w:rsid w:val="00A802A6"/>
    <w:rsid w:val="00A8127B"/>
    <w:rsid w:val="00A8193D"/>
    <w:rsid w:val="00A82E03"/>
    <w:rsid w:val="00A8358E"/>
    <w:rsid w:val="00A848D4"/>
    <w:rsid w:val="00A90357"/>
    <w:rsid w:val="00A9243C"/>
    <w:rsid w:val="00A928C4"/>
    <w:rsid w:val="00A94282"/>
    <w:rsid w:val="00A9439A"/>
    <w:rsid w:val="00A9490F"/>
    <w:rsid w:val="00A9503F"/>
    <w:rsid w:val="00A9530F"/>
    <w:rsid w:val="00A959E1"/>
    <w:rsid w:val="00A96A85"/>
    <w:rsid w:val="00A970A9"/>
    <w:rsid w:val="00A97178"/>
    <w:rsid w:val="00A9790B"/>
    <w:rsid w:val="00AA0841"/>
    <w:rsid w:val="00AA1D65"/>
    <w:rsid w:val="00AA3929"/>
    <w:rsid w:val="00AA61BF"/>
    <w:rsid w:val="00AA7F13"/>
    <w:rsid w:val="00AB0712"/>
    <w:rsid w:val="00AB0DB2"/>
    <w:rsid w:val="00AB0E90"/>
    <w:rsid w:val="00AB0FAB"/>
    <w:rsid w:val="00AB13C5"/>
    <w:rsid w:val="00AB2AB6"/>
    <w:rsid w:val="00AB2D50"/>
    <w:rsid w:val="00AB4E6D"/>
    <w:rsid w:val="00AB6A1B"/>
    <w:rsid w:val="00AB6AB9"/>
    <w:rsid w:val="00AB7A21"/>
    <w:rsid w:val="00AB7AF3"/>
    <w:rsid w:val="00AB7E3A"/>
    <w:rsid w:val="00AC2832"/>
    <w:rsid w:val="00AC3018"/>
    <w:rsid w:val="00AC329D"/>
    <w:rsid w:val="00AC4911"/>
    <w:rsid w:val="00AC4FA3"/>
    <w:rsid w:val="00AC5740"/>
    <w:rsid w:val="00AC585C"/>
    <w:rsid w:val="00AC6447"/>
    <w:rsid w:val="00AC6DA4"/>
    <w:rsid w:val="00AC6F0F"/>
    <w:rsid w:val="00AC715D"/>
    <w:rsid w:val="00AD04AE"/>
    <w:rsid w:val="00AD091F"/>
    <w:rsid w:val="00AD0A20"/>
    <w:rsid w:val="00AE072E"/>
    <w:rsid w:val="00AE250B"/>
    <w:rsid w:val="00AE2B81"/>
    <w:rsid w:val="00AE4300"/>
    <w:rsid w:val="00AE4620"/>
    <w:rsid w:val="00AE6C78"/>
    <w:rsid w:val="00AE6FAF"/>
    <w:rsid w:val="00AE7DA7"/>
    <w:rsid w:val="00AF0A2F"/>
    <w:rsid w:val="00AF128F"/>
    <w:rsid w:val="00AF36B0"/>
    <w:rsid w:val="00AF47D7"/>
    <w:rsid w:val="00AF59A7"/>
    <w:rsid w:val="00AF5CD0"/>
    <w:rsid w:val="00AF73BC"/>
    <w:rsid w:val="00AF7A40"/>
    <w:rsid w:val="00AF7ABD"/>
    <w:rsid w:val="00AF7D30"/>
    <w:rsid w:val="00B0214F"/>
    <w:rsid w:val="00B03395"/>
    <w:rsid w:val="00B04BAA"/>
    <w:rsid w:val="00B04C25"/>
    <w:rsid w:val="00B0607B"/>
    <w:rsid w:val="00B07DA9"/>
    <w:rsid w:val="00B100E4"/>
    <w:rsid w:val="00B10430"/>
    <w:rsid w:val="00B107FC"/>
    <w:rsid w:val="00B10871"/>
    <w:rsid w:val="00B111A5"/>
    <w:rsid w:val="00B113C5"/>
    <w:rsid w:val="00B11BBA"/>
    <w:rsid w:val="00B146A4"/>
    <w:rsid w:val="00B14963"/>
    <w:rsid w:val="00B14CB6"/>
    <w:rsid w:val="00B1508D"/>
    <w:rsid w:val="00B15264"/>
    <w:rsid w:val="00B1530C"/>
    <w:rsid w:val="00B1671D"/>
    <w:rsid w:val="00B16F34"/>
    <w:rsid w:val="00B1761A"/>
    <w:rsid w:val="00B20C13"/>
    <w:rsid w:val="00B2130D"/>
    <w:rsid w:val="00B22E4D"/>
    <w:rsid w:val="00B22E58"/>
    <w:rsid w:val="00B2332C"/>
    <w:rsid w:val="00B2458E"/>
    <w:rsid w:val="00B245F6"/>
    <w:rsid w:val="00B25367"/>
    <w:rsid w:val="00B25718"/>
    <w:rsid w:val="00B2704C"/>
    <w:rsid w:val="00B30339"/>
    <w:rsid w:val="00B308B6"/>
    <w:rsid w:val="00B30ACB"/>
    <w:rsid w:val="00B30CA9"/>
    <w:rsid w:val="00B3141E"/>
    <w:rsid w:val="00B31A3E"/>
    <w:rsid w:val="00B3242B"/>
    <w:rsid w:val="00B32AD4"/>
    <w:rsid w:val="00B32D9D"/>
    <w:rsid w:val="00B33902"/>
    <w:rsid w:val="00B35EC4"/>
    <w:rsid w:val="00B36F56"/>
    <w:rsid w:val="00B37740"/>
    <w:rsid w:val="00B400C1"/>
    <w:rsid w:val="00B40715"/>
    <w:rsid w:val="00B438D2"/>
    <w:rsid w:val="00B43EC0"/>
    <w:rsid w:val="00B44B0C"/>
    <w:rsid w:val="00B45764"/>
    <w:rsid w:val="00B46AA3"/>
    <w:rsid w:val="00B47267"/>
    <w:rsid w:val="00B474AE"/>
    <w:rsid w:val="00B4759F"/>
    <w:rsid w:val="00B4764C"/>
    <w:rsid w:val="00B47854"/>
    <w:rsid w:val="00B50E39"/>
    <w:rsid w:val="00B51349"/>
    <w:rsid w:val="00B51435"/>
    <w:rsid w:val="00B5152D"/>
    <w:rsid w:val="00B51827"/>
    <w:rsid w:val="00B52985"/>
    <w:rsid w:val="00B5393D"/>
    <w:rsid w:val="00B56833"/>
    <w:rsid w:val="00B56DCC"/>
    <w:rsid w:val="00B5725B"/>
    <w:rsid w:val="00B60205"/>
    <w:rsid w:val="00B6069F"/>
    <w:rsid w:val="00B61C3C"/>
    <w:rsid w:val="00B61F7D"/>
    <w:rsid w:val="00B62B0D"/>
    <w:rsid w:val="00B631F2"/>
    <w:rsid w:val="00B63C1B"/>
    <w:rsid w:val="00B6628A"/>
    <w:rsid w:val="00B666C1"/>
    <w:rsid w:val="00B668CD"/>
    <w:rsid w:val="00B66F8C"/>
    <w:rsid w:val="00B6746A"/>
    <w:rsid w:val="00B67724"/>
    <w:rsid w:val="00B70CA7"/>
    <w:rsid w:val="00B71129"/>
    <w:rsid w:val="00B71A33"/>
    <w:rsid w:val="00B71D9F"/>
    <w:rsid w:val="00B73502"/>
    <w:rsid w:val="00B73A14"/>
    <w:rsid w:val="00B743C4"/>
    <w:rsid w:val="00B75F0B"/>
    <w:rsid w:val="00B75FF3"/>
    <w:rsid w:val="00B7646F"/>
    <w:rsid w:val="00B76979"/>
    <w:rsid w:val="00B76FC6"/>
    <w:rsid w:val="00B77994"/>
    <w:rsid w:val="00B81383"/>
    <w:rsid w:val="00B816F8"/>
    <w:rsid w:val="00B81FB8"/>
    <w:rsid w:val="00B82C7A"/>
    <w:rsid w:val="00B82EFB"/>
    <w:rsid w:val="00B853B0"/>
    <w:rsid w:val="00B85623"/>
    <w:rsid w:val="00B85DD0"/>
    <w:rsid w:val="00B8617E"/>
    <w:rsid w:val="00B86625"/>
    <w:rsid w:val="00B90342"/>
    <w:rsid w:val="00B904DF"/>
    <w:rsid w:val="00B919C5"/>
    <w:rsid w:val="00B92DD3"/>
    <w:rsid w:val="00B9562C"/>
    <w:rsid w:val="00B95993"/>
    <w:rsid w:val="00B96CCC"/>
    <w:rsid w:val="00BA1BCF"/>
    <w:rsid w:val="00BA2EAC"/>
    <w:rsid w:val="00BA5DD2"/>
    <w:rsid w:val="00BA75AC"/>
    <w:rsid w:val="00BB084E"/>
    <w:rsid w:val="00BB0C53"/>
    <w:rsid w:val="00BB1C95"/>
    <w:rsid w:val="00BB1EAA"/>
    <w:rsid w:val="00BB1FFB"/>
    <w:rsid w:val="00BB2430"/>
    <w:rsid w:val="00BB4264"/>
    <w:rsid w:val="00BB461A"/>
    <w:rsid w:val="00BB54AE"/>
    <w:rsid w:val="00BC03DC"/>
    <w:rsid w:val="00BC1D33"/>
    <w:rsid w:val="00BC2428"/>
    <w:rsid w:val="00BC614C"/>
    <w:rsid w:val="00BC687E"/>
    <w:rsid w:val="00BC6A64"/>
    <w:rsid w:val="00BC75E0"/>
    <w:rsid w:val="00BD2A89"/>
    <w:rsid w:val="00BD2FFE"/>
    <w:rsid w:val="00BD3D47"/>
    <w:rsid w:val="00BD40AA"/>
    <w:rsid w:val="00BD511E"/>
    <w:rsid w:val="00BD67C0"/>
    <w:rsid w:val="00BD6D55"/>
    <w:rsid w:val="00BD74F5"/>
    <w:rsid w:val="00BD7834"/>
    <w:rsid w:val="00BE0887"/>
    <w:rsid w:val="00BE17EB"/>
    <w:rsid w:val="00BE3847"/>
    <w:rsid w:val="00BE4AC8"/>
    <w:rsid w:val="00BE5154"/>
    <w:rsid w:val="00BE5349"/>
    <w:rsid w:val="00BE580A"/>
    <w:rsid w:val="00BE5ACF"/>
    <w:rsid w:val="00BE6312"/>
    <w:rsid w:val="00BE6864"/>
    <w:rsid w:val="00BE78D2"/>
    <w:rsid w:val="00BF0943"/>
    <w:rsid w:val="00BF3163"/>
    <w:rsid w:val="00BF5003"/>
    <w:rsid w:val="00C00E99"/>
    <w:rsid w:val="00C0173F"/>
    <w:rsid w:val="00C02612"/>
    <w:rsid w:val="00C02634"/>
    <w:rsid w:val="00C038E7"/>
    <w:rsid w:val="00C03D82"/>
    <w:rsid w:val="00C04296"/>
    <w:rsid w:val="00C04E62"/>
    <w:rsid w:val="00C0691E"/>
    <w:rsid w:val="00C10D30"/>
    <w:rsid w:val="00C11DB8"/>
    <w:rsid w:val="00C129A0"/>
    <w:rsid w:val="00C14EB6"/>
    <w:rsid w:val="00C175EF"/>
    <w:rsid w:val="00C1782F"/>
    <w:rsid w:val="00C17B65"/>
    <w:rsid w:val="00C20509"/>
    <w:rsid w:val="00C20F33"/>
    <w:rsid w:val="00C21BCA"/>
    <w:rsid w:val="00C21C6B"/>
    <w:rsid w:val="00C23B21"/>
    <w:rsid w:val="00C26074"/>
    <w:rsid w:val="00C3038B"/>
    <w:rsid w:val="00C3092E"/>
    <w:rsid w:val="00C30949"/>
    <w:rsid w:val="00C321F6"/>
    <w:rsid w:val="00C32E17"/>
    <w:rsid w:val="00C33CD0"/>
    <w:rsid w:val="00C349A6"/>
    <w:rsid w:val="00C35ADF"/>
    <w:rsid w:val="00C37544"/>
    <w:rsid w:val="00C40C13"/>
    <w:rsid w:val="00C416AA"/>
    <w:rsid w:val="00C42264"/>
    <w:rsid w:val="00C42C36"/>
    <w:rsid w:val="00C45947"/>
    <w:rsid w:val="00C45C7D"/>
    <w:rsid w:val="00C4747C"/>
    <w:rsid w:val="00C47948"/>
    <w:rsid w:val="00C501BD"/>
    <w:rsid w:val="00C50D86"/>
    <w:rsid w:val="00C51B86"/>
    <w:rsid w:val="00C51BFE"/>
    <w:rsid w:val="00C52CAD"/>
    <w:rsid w:val="00C55FEE"/>
    <w:rsid w:val="00C612C6"/>
    <w:rsid w:val="00C62CBA"/>
    <w:rsid w:val="00C63416"/>
    <w:rsid w:val="00C63B08"/>
    <w:rsid w:val="00C6403B"/>
    <w:rsid w:val="00C65FBC"/>
    <w:rsid w:val="00C666F2"/>
    <w:rsid w:val="00C66C1E"/>
    <w:rsid w:val="00C70135"/>
    <w:rsid w:val="00C70B33"/>
    <w:rsid w:val="00C71E1A"/>
    <w:rsid w:val="00C720F4"/>
    <w:rsid w:val="00C72CEB"/>
    <w:rsid w:val="00C73657"/>
    <w:rsid w:val="00C74651"/>
    <w:rsid w:val="00C7662B"/>
    <w:rsid w:val="00C773E8"/>
    <w:rsid w:val="00C77B6F"/>
    <w:rsid w:val="00C77F91"/>
    <w:rsid w:val="00C81CC5"/>
    <w:rsid w:val="00C83B2F"/>
    <w:rsid w:val="00C843DA"/>
    <w:rsid w:val="00C84868"/>
    <w:rsid w:val="00C849B0"/>
    <w:rsid w:val="00C859AE"/>
    <w:rsid w:val="00C87B2F"/>
    <w:rsid w:val="00C904D7"/>
    <w:rsid w:val="00C90500"/>
    <w:rsid w:val="00C942AB"/>
    <w:rsid w:val="00C944FA"/>
    <w:rsid w:val="00C949FD"/>
    <w:rsid w:val="00C958E3"/>
    <w:rsid w:val="00C960C5"/>
    <w:rsid w:val="00C96830"/>
    <w:rsid w:val="00CA0530"/>
    <w:rsid w:val="00CA31D1"/>
    <w:rsid w:val="00CA3302"/>
    <w:rsid w:val="00CA4465"/>
    <w:rsid w:val="00CA5EEA"/>
    <w:rsid w:val="00CA6C1A"/>
    <w:rsid w:val="00CA700C"/>
    <w:rsid w:val="00CA7A7C"/>
    <w:rsid w:val="00CA7B97"/>
    <w:rsid w:val="00CB01B4"/>
    <w:rsid w:val="00CB0207"/>
    <w:rsid w:val="00CB0E8A"/>
    <w:rsid w:val="00CB0EE2"/>
    <w:rsid w:val="00CB11D0"/>
    <w:rsid w:val="00CB1F1B"/>
    <w:rsid w:val="00CB3805"/>
    <w:rsid w:val="00CB3C78"/>
    <w:rsid w:val="00CB460A"/>
    <w:rsid w:val="00CB61F1"/>
    <w:rsid w:val="00CB71A9"/>
    <w:rsid w:val="00CB78F2"/>
    <w:rsid w:val="00CC2ABA"/>
    <w:rsid w:val="00CC3739"/>
    <w:rsid w:val="00CC4554"/>
    <w:rsid w:val="00CC4B91"/>
    <w:rsid w:val="00CC787D"/>
    <w:rsid w:val="00CD2378"/>
    <w:rsid w:val="00CD2905"/>
    <w:rsid w:val="00CD348C"/>
    <w:rsid w:val="00CD6F2F"/>
    <w:rsid w:val="00CE07DC"/>
    <w:rsid w:val="00CE282A"/>
    <w:rsid w:val="00CE3B76"/>
    <w:rsid w:val="00CE4D08"/>
    <w:rsid w:val="00CE7ACA"/>
    <w:rsid w:val="00CF163D"/>
    <w:rsid w:val="00CF1841"/>
    <w:rsid w:val="00CF196A"/>
    <w:rsid w:val="00CF26BA"/>
    <w:rsid w:val="00CF318E"/>
    <w:rsid w:val="00CF4787"/>
    <w:rsid w:val="00CF4BD0"/>
    <w:rsid w:val="00CF75C7"/>
    <w:rsid w:val="00CF772B"/>
    <w:rsid w:val="00D001D5"/>
    <w:rsid w:val="00D00A0C"/>
    <w:rsid w:val="00D00E45"/>
    <w:rsid w:val="00D02B25"/>
    <w:rsid w:val="00D0351B"/>
    <w:rsid w:val="00D045A7"/>
    <w:rsid w:val="00D05E93"/>
    <w:rsid w:val="00D06539"/>
    <w:rsid w:val="00D067CB"/>
    <w:rsid w:val="00D06A78"/>
    <w:rsid w:val="00D06E98"/>
    <w:rsid w:val="00D07709"/>
    <w:rsid w:val="00D102FA"/>
    <w:rsid w:val="00D11FA3"/>
    <w:rsid w:val="00D12F48"/>
    <w:rsid w:val="00D13DDF"/>
    <w:rsid w:val="00D142F4"/>
    <w:rsid w:val="00D14B14"/>
    <w:rsid w:val="00D1578D"/>
    <w:rsid w:val="00D16744"/>
    <w:rsid w:val="00D17A28"/>
    <w:rsid w:val="00D203CE"/>
    <w:rsid w:val="00D21034"/>
    <w:rsid w:val="00D21403"/>
    <w:rsid w:val="00D228F6"/>
    <w:rsid w:val="00D23A14"/>
    <w:rsid w:val="00D23B80"/>
    <w:rsid w:val="00D23E73"/>
    <w:rsid w:val="00D2431D"/>
    <w:rsid w:val="00D24C5F"/>
    <w:rsid w:val="00D25B8B"/>
    <w:rsid w:val="00D26F9C"/>
    <w:rsid w:val="00D27A1B"/>
    <w:rsid w:val="00D30E13"/>
    <w:rsid w:val="00D330D2"/>
    <w:rsid w:val="00D33C2F"/>
    <w:rsid w:val="00D33DCA"/>
    <w:rsid w:val="00D348C5"/>
    <w:rsid w:val="00D36674"/>
    <w:rsid w:val="00D36A1A"/>
    <w:rsid w:val="00D37539"/>
    <w:rsid w:val="00D37908"/>
    <w:rsid w:val="00D401EB"/>
    <w:rsid w:val="00D40497"/>
    <w:rsid w:val="00D40B14"/>
    <w:rsid w:val="00D40C52"/>
    <w:rsid w:val="00D40F80"/>
    <w:rsid w:val="00D41C6F"/>
    <w:rsid w:val="00D43C9F"/>
    <w:rsid w:val="00D45997"/>
    <w:rsid w:val="00D45F2F"/>
    <w:rsid w:val="00D46E50"/>
    <w:rsid w:val="00D513D5"/>
    <w:rsid w:val="00D51CE5"/>
    <w:rsid w:val="00D534B7"/>
    <w:rsid w:val="00D53D64"/>
    <w:rsid w:val="00D54A8E"/>
    <w:rsid w:val="00D54CB5"/>
    <w:rsid w:val="00D577D8"/>
    <w:rsid w:val="00D5794B"/>
    <w:rsid w:val="00D57FBA"/>
    <w:rsid w:val="00D6058A"/>
    <w:rsid w:val="00D60A87"/>
    <w:rsid w:val="00D615B9"/>
    <w:rsid w:val="00D61677"/>
    <w:rsid w:val="00D6230C"/>
    <w:rsid w:val="00D634D6"/>
    <w:rsid w:val="00D65123"/>
    <w:rsid w:val="00D67D43"/>
    <w:rsid w:val="00D67EFD"/>
    <w:rsid w:val="00D72473"/>
    <w:rsid w:val="00D7367B"/>
    <w:rsid w:val="00D74DF3"/>
    <w:rsid w:val="00D74E61"/>
    <w:rsid w:val="00D77F64"/>
    <w:rsid w:val="00D80B69"/>
    <w:rsid w:val="00D80B94"/>
    <w:rsid w:val="00D80E84"/>
    <w:rsid w:val="00D81D06"/>
    <w:rsid w:val="00D82773"/>
    <w:rsid w:val="00D82F81"/>
    <w:rsid w:val="00D82FFA"/>
    <w:rsid w:val="00D83E94"/>
    <w:rsid w:val="00D850E3"/>
    <w:rsid w:val="00D85226"/>
    <w:rsid w:val="00D87064"/>
    <w:rsid w:val="00D9180F"/>
    <w:rsid w:val="00D91E5F"/>
    <w:rsid w:val="00D9255B"/>
    <w:rsid w:val="00D93D46"/>
    <w:rsid w:val="00D943C4"/>
    <w:rsid w:val="00D959BE"/>
    <w:rsid w:val="00D96486"/>
    <w:rsid w:val="00D96C23"/>
    <w:rsid w:val="00D973CC"/>
    <w:rsid w:val="00DA04CC"/>
    <w:rsid w:val="00DA0982"/>
    <w:rsid w:val="00DA2A64"/>
    <w:rsid w:val="00DA38C2"/>
    <w:rsid w:val="00DA531D"/>
    <w:rsid w:val="00DA7250"/>
    <w:rsid w:val="00DA7794"/>
    <w:rsid w:val="00DB06CA"/>
    <w:rsid w:val="00DB0E75"/>
    <w:rsid w:val="00DB1A83"/>
    <w:rsid w:val="00DB1AB0"/>
    <w:rsid w:val="00DB1D4C"/>
    <w:rsid w:val="00DB2C64"/>
    <w:rsid w:val="00DB6149"/>
    <w:rsid w:val="00DB65E9"/>
    <w:rsid w:val="00DC0387"/>
    <w:rsid w:val="00DC3749"/>
    <w:rsid w:val="00DC3938"/>
    <w:rsid w:val="00DC734B"/>
    <w:rsid w:val="00DC7B7F"/>
    <w:rsid w:val="00DD0FA1"/>
    <w:rsid w:val="00DD2B8B"/>
    <w:rsid w:val="00DD2CF2"/>
    <w:rsid w:val="00DD2D89"/>
    <w:rsid w:val="00DD2D8F"/>
    <w:rsid w:val="00DD38EF"/>
    <w:rsid w:val="00DD44C4"/>
    <w:rsid w:val="00DD5369"/>
    <w:rsid w:val="00DD7A3F"/>
    <w:rsid w:val="00DE04AE"/>
    <w:rsid w:val="00DE1A9D"/>
    <w:rsid w:val="00DE1CED"/>
    <w:rsid w:val="00DE2233"/>
    <w:rsid w:val="00DE346D"/>
    <w:rsid w:val="00DE3B78"/>
    <w:rsid w:val="00DE3C4A"/>
    <w:rsid w:val="00DE412B"/>
    <w:rsid w:val="00DE5C53"/>
    <w:rsid w:val="00DE637C"/>
    <w:rsid w:val="00DE7085"/>
    <w:rsid w:val="00DE70DB"/>
    <w:rsid w:val="00DF0B03"/>
    <w:rsid w:val="00DF28BA"/>
    <w:rsid w:val="00DF2B8E"/>
    <w:rsid w:val="00DF3450"/>
    <w:rsid w:val="00DF48A5"/>
    <w:rsid w:val="00DF68AE"/>
    <w:rsid w:val="00DF7381"/>
    <w:rsid w:val="00DF7E1C"/>
    <w:rsid w:val="00E014C6"/>
    <w:rsid w:val="00E016A7"/>
    <w:rsid w:val="00E0254B"/>
    <w:rsid w:val="00E029E4"/>
    <w:rsid w:val="00E03D29"/>
    <w:rsid w:val="00E042C3"/>
    <w:rsid w:val="00E04EB6"/>
    <w:rsid w:val="00E05AB3"/>
    <w:rsid w:val="00E07043"/>
    <w:rsid w:val="00E07686"/>
    <w:rsid w:val="00E116AB"/>
    <w:rsid w:val="00E11A9F"/>
    <w:rsid w:val="00E12153"/>
    <w:rsid w:val="00E12166"/>
    <w:rsid w:val="00E122B9"/>
    <w:rsid w:val="00E12739"/>
    <w:rsid w:val="00E12A08"/>
    <w:rsid w:val="00E139EA"/>
    <w:rsid w:val="00E14821"/>
    <w:rsid w:val="00E14957"/>
    <w:rsid w:val="00E15843"/>
    <w:rsid w:val="00E15E6B"/>
    <w:rsid w:val="00E2172C"/>
    <w:rsid w:val="00E2283A"/>
    <w:rsid w:val="00E242BE"/>
    <w:rsid w:val="00E250AB"/>
    <w:rsid w:val="00E25296"/>
    <w:rsid w:val="00E2628F"/>
    <w:rsid w:val="00E268DD"/>
    <w:rsid w:val="00E26A50"/>
    <w:rsid w:val="00E26EA3"/>
    <w:rsid w:val="00E27ACF"/>
    <w:rsid w:val="00E300C5"/>
    <w:rsid w:val="00E3043A"/>
    <w:rsid w:val="00E304E8"/>
    <w:rsid w:val="00E30A3D"/>
    <w:rsid w:val="00E30D9A"/>
    <w:rsid w:val="00E3116C"/>
    <w:rsid w:val="00E31E94"/>
    <w:rsid w:val="00E32884"/>
    <w:rsid w:val="00E34535"/>
    <w:rsid w:val="00E35538"/>
    <w:rsid w:val="00E35EBD"/>
    <w:rsid w:val="00E36550"/>
    <w:rsid w:val="00E36E65"/>
    <w:rsid w:val="00E3708E"/>
    <w:rsid w:val="00E37A7C"/>
    <w:rsid w:val="00E37A8D"/>
    <w:rsid w:val="00E401EB"/>
    <w:rsid w:val="00E41016"/>
    <w:rsid w:val="00E45AE0"/>
    <w:rsid w:val="00E46892"/>
    <w:rsid w:val="00E47285"/>
    <w:rsid w:val="00E4756A"/>
    <w:rsid w:val="00E505A6"/>
    <w:rsid w:val="00E510BF"/>
    <w:rsid w:val="00E51AC2"/>
    <w:rsid w:val="00E531B4"/>
    <w:rsid w:val="00E54700"/>
    <w:rsid w:val="00E55C43"/>
    <w:rsid w:val="00E61303"/>
    <w:rsid w:val="00E63148"/>
    <w:rsid w:val="00E63544"/>
    <w:rsid w:val="00E63877"/>
    <w:rsid w:val="00E65C1F"/>
    <w:rsid w:val="00E66525"/>
    <w:rsid w:val="00E6733A"/>
    <w:rsid w:val="00E70BB3"/>
    <w:rsid w:val="00E713F6"/>
    <w:rsid w:val="00E7338D"/>
    <w:rsid w:val="00E735B3"/>
    <w:rsid w:val="00E74049"/>
    <w:rsid w:val="00E74617"/>
    <w:rsid w:val="00E747B1"/>
    <w:rsid w:val="00E74D81"/>
    <w:rsid w:val="00E74F23"/>
    <w:rsid w:val="00E75936"/>
    <w:rsid w:val="00E770BC"/>
    <w:rsid w:val="00E77CC9"/>
    <w:rsid w:val="00E8036B"/>
    <w:rsid w:val="00E80961"/>
    <w:rsid w:val="00E81326"/>
    <w:rsid w:val="00E81353"/>
    <w:rsid w:val="00E8147F"/>
    <w:rsid w:val="00E81CED"/>
    <w:rsid w:val="00E83D78"/>
    <w:rsid w:val="00E83F76"/>
    <w:rsid w:val="00E85AFC"/>
    <w:rsid w:val="00E86035"/>
    <w:rsid w:val="00E86154"/>
    <w:rsid w:val="00E8646F"/>
    <w:rsid w:val="00E86988"/>
    <w:rsid w:val="00E87501"/>
    <w:rsid w:val="00E87E4D"/>
    <w:rsid w:val="00E91321"/>
    <w:rsid w:val="00E91D07"/>
    <w:rsid w:val="00E92409"/>
    <w:rsid w:val="00E926F2"/>
    <w:rsid w:val="00E9346B"/>
    <w:rsid w:val="00E95F8A"/>
    <w:rsid w:val="00E96413"/>
    <w:rsid w:val="00E97F11"/>
    <w:rsid w:val="00EA0ACC"/>
    <w:rsid w:val="00EA0E06"/>
    <w:rsid w:val="00EA1461"/>
    <w:rsid w:val="00EA447E"/>
    <w:rsid w:val="00EA65B4"/>
    <w:rsid w:val="00EA758C"/>
    <w:rsid w:val="00EB0BC3"/>
    <w:rsid w:val="00EB0E81"/>
    <w:rsid w:val="00EB1158"/>
    <w:rsid w:val="00EB19E4"/>
    <w:rsid w:val="00EB223D"/>
    <w:rsid w:val="00EB2486"/>
    <w:rsid w:val="00EB301A"/>
    <w:rsid w:val="00EB3644"/>
    <w:rsid w:val="00EB4EC9"/>
    <w:rsid w:val="00EB6B21"/>
    <w:rsid w:val="00EB712D"/>
    <w:rsid w:val="00EC0ECA"/>
    <w:rsid w:val="00EC1A05"/>
    <w:rsid w:val="00EC1A8C"/>
    <w:rsid w:val="00EC36C1"/>
    <w:rsid w:val="00EC3773"/>
    <w:rsid w:val="00EC3E17"/>
    <w:rsid w:val="00EC57C1"/>
    <w:rsid w:val="00EC6C54"/>
    <w:rsid w:val="00EC7B6E"/>
    <w:rsid w:val="00ED075B"/>
    <w:rsid w:val="00ED1E04"/>
    <w:rsid w:val="00ED407F"/>
    <w:rsid w:val="00ED568F"/>
    <w:rsid w:val="00EE1B3E"/>
    <w:rsid w:val="00EE2A38"/>
    <w:rsid w:val="00EE3CA9"/>
    <w:rsid w:val="00EE3FFF"/>
    <w:rsid w:val="00EE5CCD"/>
    <w:rsid w:val="00EE5EAC"/>
    <w:rsid w:val="00EE71C7"/>
    <w:rsid w:val="00EF05B9"/>
    <w:rsid w:val="00EF06F3"/>
    <w:rsid w:val="00EF0BA7"/>
    <w:rsid w:val="00EF1BBF"/>
    <w:rsid w:val="00EF2E9F"/>
    <w:rsid w:val="00EF34F7"/>
    <w:rsid w:val="00EF4753"/>
    <w:rsid w:val="00EF4CDA"/>
    <w:rsid w:val="00EF5892"/>
    <w:rsid w:val="00F00EAA"/>
    <w:rsid w:val="00F0177F"/>
    <w:rsid w:val="00F02E14"/>
    <w:rsid w:val="00F041BD"/>
    <w:rsid w:val="00F04D01"/>
    <w:rsid w:val="00F05FDC"/>
    <w:rsid w:val="00F06A14"/>
    <w:rsid w:val="00F06D5D"/>
    <w:rsid w:val="00F102FE"/>
    <w:rsid w:val="00F10D3C"/>
    <w:rsid w:val="00F113FF"/>
    <w:rsid w:val="00F14683"/>
    <w:rsid w:val="00F15529"/>
    <w:rsid w:val="00F209A1"/>
    <w:rsid w:val="00F22458"/>
    <w:rsid w:val="00F22480"/>
    <w:rsid w:val="00F253C6"/>
    <w:rsid w:val="00F260C9"/>
    <w:rsid w:val="00F27B51"/>
    <w:rsid w:val="00F3267C"/>
    <w:rsid w:val="00F3301D"/>
    <w:rsid w:val="00F33138"/>
    <w:rsid w:val="00F335F6"/>
    <w:rsid w:val="00F34796"/>
    <w:rsid w:val="00F34B4E"/>
    <w:rsid w:val="00F34FF3"/>
    <w:rsid w:val="00F3517A"/>
    <w:rsid w:val="00F352CE"/>
    <w:rsid w:val="00F353ED"/>
    <w:rsid w:val="00F37071"/>
    <w:rsid w:val="00F37B31"/>
    <w:rsid w:val="00F42664"/>
    <w:rsid w:val="00F42BAA"/>
    <w:rsid w:val="00F42E28"/>
    <w:rsid w:val="00F43135"/>
    <w:rsid w:val="00F4488E"/>
    <w:rsid w:val="00F44B2B"/>
    <w:rsid w:val="00F45184"/>
    <w:rsid w:val="00F462E3"/>
    <w:rsid w:val="00F47B05"/>
    <w:rsid w:val="00F50BEB"/>
    <w:rsid w:val="00F5636F"/>
    <w:rsid w:val="00F571FB"/>
    <w:rsid w:val="00F61FBF"/>
    <w:rsid w:val="00F6304F"/>
    <w:rsid w:val="00F6313F"/>
    <w:rsid w:val="00F6647F"/>
    <w:rsid w:val="00F702B5"/>
    <w:rsid w:val="00F7147D"/>
    <w:rsid w:val="00F71901"/>
    <w:rsid w:val="00F72135"/>
    <w:rsid w:val="00F72C7A"/>
    <w:rsid w:val="00F74046"/>
    <w:rsid w:val="00F740C5"/>
    <w:rsid w:val="00F743A1"/>
    <w:rsid w:val="00F743B5"/>
    <w:rsid w:val="00F743C0"/>
    <w:rsid w:val="00F752BB"/>
    <w:rsid w:val="00F75772"/>
    <w:rsid w:val="00F7587D"/>
    <w:rsid w:val="00F76C20"/>
    <w:rsid w:val="00F76E84"/>
    <w:rsid w:val="00F77392"/>
    <w:rsid w:val="00F774CC"/>
    <w:rsid w:val="00F77EA8"/>
    <w:rsid w:val="00F805DE"/>
    <w:rsid w:val="00F80F00"/>
    <w:rsid w:val="00F814C7"/>
    <w:rsid w:val="00F820F7"/>
    <w:rsid w:val="00F83290"/>
    <w:rsid w:val="00F92331"/>
    <w:rsid w:val="00F9368C"/>
    <w:rsid w:val="00F93A64"/>
    <w:rsid w:val="00F94A73"/>
    <w:rsid w:val="00F96C11"/>
    <w:rsid w:val="00F9793E"/>
    <w:rsid w:val="00FA142A"/>
    <w:rsid w:val="00FA1BCB"/>
    <w:rsid w:val="00FA6A02"/>
    <w:rsid w:val="00FB0480"/>
    <w:rsid w:val="00FB1F26"/>
    <w:rsid w:val="00FB296B"/>
    <w:rsid w:val="00FB3097"/>
    <w:rsid w:val="00FB4E3E"/>
    <w:rsid w:val="00FB6BF9"/>
    <w:rsid w:val="00FB73C3"/>
    <w:rsid w:val="00FB771E"/>
    <w:rsid w:val="00FB775A"/>
    <w:rsid w:val="00FB7BFC"/>
    <w:rsid w:val="00FB7F4E"/>
    <w:rsid w:val="00FC00D1"/>
    <w:rsid w:val="00FC0203"/>
    <w:rsid w:val="00FC0C0F"/>
    <w:rsid w:val="00FC10BA"/>
    <w:rsid w:val="00FC2C80"/>
    <w:rsid w:val="00FC45D7"/>
    <w:rsid w:val="00FC4846"/>
    <w:rsid w:val="00FC5913"/>
    <w:rsid w:val="00FC6685"/>
    <w:rsid w:val="00FC7899"/>
    <w:rsid w:val="00FC7992"/>
    <w:rsid w:val="00FD14C0"/>
    <w:rsid w:val="00FD19E3"/>
    <w:rsid w:val="00FD1C6C"/>
    <w:rsid w:val="00FD218D"/>
    <w:rsid w:val="00FD260E"/>
    <w:rsid w:val="00FD2FB3"/>
    <w:rsid w:val="00FD4491"/>
    <w:rsid w:val="00FD5600"/>
    <w:rsid w:val="00FD62D1"/>
    <w:rsid w:val="00FD7280"/>
    <w:rsid w:val="00FE1127"/>
    <w:rsid w:val="00FE171E"/>
    <w:rsid w:val="00FE1933"/>
    <w:rsid w:val="00FE2133"/>
    <w:rsid w:val="00FE2AE0"/>
    <w:rsid w:val="00FE2E85"/>
    <w:rsid w:val="00FE3E21"/>
    <w:rsid w:val="00FE5104"/>
    <w:rsid w:val="00FE6C08"/>
    <w:rsid w:val="00FF35A4"/>
    <w:rsid w:val="00FF44AF"/>
    <w:rsid w:val="00FF4E14"/>
    <w:rsid w:val="00FF6F13"/>
    <w:rsid w:val="00FF7F0E"/>
    <w:rsid w:val="013C06BC"/>
    <w:rsid w:val="01565C22"/>
    <w:rsid w:val="01687703"/>
    <w:rsid w:val="01695955"/>
    <w:rsid w:val="020C1BCC"/>
    <w:rsid w:val="02194C8C"/>
    <w:rsid w:val="02320156"/>
    <w:rsid w:val="02493090"/>
    <w:rsid w:val="02900CBF"/>
    <w:rsid w:val="02C600A3"/>
    <w:rsid w:val="02E96621"/>
    <w:rsid w:val="030F6088"/>
    <w:rsid w:val="031F2043"/>
    <w:rsid w:val="034A5312"/>
    <w:rsid w:val="035C0886"/>
    <w:rsid w:val="03990047"/>
    <w:rsid w:val="03B60BF9"/>
    <w:rsid w:val="03C87906"/>
    <w:rsid w:val="04253689"/>
    <w:rsid w:val="04E92909"/>
    <w:rsid w:val="04EB042F"/>
    <w:rsid w:val="058C7E64"/>
    <w:rsid w:val="05EB2ECD"/>
    <w:rsid w:val="0631636D"/>
    <w:rsid w:val="0696086E"/>
    <w:rsid w:val="06D005BC"/>
    <w:rsid w:val="07335C01"/>
    <w:rsid w:val="07A0163F"/>
    <w:rsid w:val="07A62D33"/>
    <w:rsid w:val="07F32C84"/>
    <w:rsid w:val="08193505"/>
    <w:rsid w:val="082A680D"/>
    <w:rsid w:val="08582F9E"/>
    <w:rsid w:val="08B217D0"/>
    <w:rsid w:val="08EE4992"/>
    <w:rsid w:val="09AF2373"/>
    <w:rsid w:val="09BA028A"/>
    <w:rsid w:val="09D92F4C"/>
    <w:rsid w:val="09F90E9A"/>
    <w:rsid w:val="0A002BCE"/>
    <w:rsid w:val="0A1002DE"/>
    <w:rsid w:val="0A122902"/>
    <w:rsid w:val="0A1B3564"/>
    <w:rsid w:val="0A293A44"/>
    <w:rsid w:val="0A79472F"/>
    <w:rsid w:val="0ACA09CB"/>
    <w:rsid w:val="0ACE48A4"/>
    <w:rsid w:val="0AD11E75"/>
    <w:rsid w:val="0AF82826"/>
    <w:rsid w:val="0AF87123"/>
    <w:rsid w:val="0B161F7E"/>
    <w:rsid w:val="0B267267"/>
    <w:rsid w:val="0B4B60CB"/>
    <w:rsid w:val="0B5B41B2"/>
    <w:rsid w:val="0B771748"/>
    <w:rsid w:val="0C096A00"/>
    <w:rsid w:val="0C126BE9"/>
    <w:rsid w:val="0D1268DA"/>
    <w:rsid w:val="0D4B23B2"/>
    <w:rsid w:val="0D7B1170"/>
    <w:rsid w:val="0DE10B00"/>
    <w:rsid w:val="0E075CE5"/>
    <w:rsid w:val="0E131F7E"/>
    <w:rsid w:val="0E2A1FC8"/>
    <w:rsid w:val="0EDD34DE"/>
    <w:rsid w:val="0EE073A0"/>
    <w:rsid w:val="0EEA79A9"/>
    <w:rsid w:val="0F016436"/>
    <w:rsid w:val="0F1D1B2D"/>
    <w:rsid w:val="0F5E772E"/>
    <w:rsid w:val="0F706100"/>
    <w:rsid w:val="0FB75ADD"/>
    <w:rsid w:val="0FC12B51"/>
    <w:rsid w:val="101A606C"/>
    <w:rsid w:val="1026584C"/>
    <w:rsid w:val="10280789"/>
    <w:rsid w:val="10485343"/>
    <w:rsid w:val="10770300"/>
    <w:rsid w:val="10ED53C5"/>
    <w:rsid w:val="10F53F00"/>
    <w:rsid w:val="11265ED8"/>
    <w:rsid w:val="11274AFD"/>
    <w:rsid w:val="11815F82"/>
    <w:rsid w:val="11A63179"/>
    <w:rsid w:val="11BD3DD3"/>
    <w:rsid w:val="11DD7458"/>
    <w:rsid w:val="11F8062F"/>
    <w:rsid w:val="12081E09"/>
    <w:rsid w:val="1227728C"/>
    <w:rsid w:val="124F38B4"/>
    <w:rsid w:val="125A3098"/>
    <w:rsid w:val="128D0D77"/>
    <w:rsid w:val="12906AB9"/>
    <w:rsid w:val="12C04159"/>
    <w:rsid w:val="12C81DAF"/>
    <w:rsid w:val="132536A6"/>
    <w:rsid w:val="1341057C"/>
    <w:rsid w:val="134402D3"/>
    <w:rsid w:val="13443CBF"/>
    <w:rsid w:val="134F0723"/>
    <w:rsid w:val="13524724"/>
    <w:rsid w:val="13575D4F"/>
    <w:rsid w:val="13736000"/>
    <w:rsid w:val="1387198E"/>
    <w:rsid w:val="139115F3"/>
    <w:rsid w:val="13916B47"/>
    <w:rsid w:val="13A40DD7"/>
    <w:rsid w:val="13B056F5"/>
    <w:rsid w:val="13B32A60"/>
    <w:rsid w:val="13EA52F2"/>
    <w:rsid w:val="144D1F45"/>
    <w:rsid w:val="14593607"/>
    <w:rsid w:val="149A214A"/>
    <w:rsid w:val="15061699"/>
    <w:rsid w:val="15181112"/>
    <w:rsid w:val="15213D69"/>
    <w:rsid w:val="157103AC"/>
    <w:rsid w:val="159E3029"/>
    <w:rsid w:val="15CA3A63"/>
    <w:rsid w:val="15D77210"/>
    <w:rsid w:val="160A4DF9"/>
    <w:rsid w:val="1650309F"/>
    <w:rsid w:val="168129A1"/>
    <w:rsid w:val="168F2E03"/>
    <w:rsid w:val="16DA5C38"/>
    <w:rsid w:val="16EC08C8"/>
    <w:rsid w:val="17081314"/>
    <w:rsid w:val="173024DB"/>
    <w:rsid w:val="174073CE"/>
    <w:rsid w:val="17481491"/>
    <w:rsid w:val="175022EC"/>
    <w:rsid w:val="178D35C8"/>
    <w:rsid w:val="179E6EB4"/>
    <w:rsid w:val="17B42626"/>
    <w:rsid w:val="17E0065E"/>
    <w:rsid w:val="182A4EC1"/>
    <w:rsid w:val="18402764"/>
    <w:rsid w:val="186C33DA"/>
    <w:rsid w:val="18E90CD1"/>
    <w:rsid w:val="18EC5701"/>
    <w:rsid w:val="194A5865"/>
    <w:rsid w:val="19564BB6"/>
    <w:rsid w:val="19894775"/>
    <w:rsid w:val="19DC411A"/>
    <w:rsid w:val="1A1A42C3"/>
    <w:rsid w:val="1A293CC6"/>
    <w:rsid w:val="1A563754"/>
    <w:rsid w:val="1A670100"/>
    <w:rsid w:val="1ACE63D1"/>
    <w:rsid w:val="1B1060C7"/>
    <w:rsid w:val="1B59213E"/>
    <w:rsid w:val="1BC301E9"/>
    <w:rsid w:val="1BC63EC5"/>
    <w:rsid w:val="1BF63E31"/>
    <w:rsid w:val="1C232942"/>
    <w:rsid w:val="1C2C01A7"/>
    <w:rsid w:val="1C554E2B"/>
    <w:rsid w:val="1C6449AB"/>
    <w:rsid w:val="1C662D65"/>
    <w:rsid w:val="1C671C08"/>
    <w:rsid w:val="1C676ADD"/>
    <w:rsid w:val="1C6F7DC7"/>
    <w:rsid w:val="1C760ACE"/>
    <w:rsid w:val="1C8431EB"/>
    <w:rsid w:val="1CB37298"/>
    <w:rsid w:val="1CDF0421"/>
    <w:rsid w:val="1D2A5EA6"/>
    <w:rsid w:val="1D757240"/>
    <w:rsid w:val="1DA970DC"/>
    <w:rsid w:val="1DD67347"/>
    <w:rsid w:val="1DDA6E3B"/>
    <w:rsid w:val="1DE15427"/>
    <w:rsid w:val="1E0068A1"/>
    <w:rsid w:val="1E4A67E6"/>
    <w:rsid w:val="1E7D4396"/>
    <w:rsid w:val="1E8A0D83"/>
    <w:rsid w:val="1E8E0351"/>
    <w:rsid w:val="1ED34327"/>
    <w:rsid w:val="1EEC5078"/>
    <w:rsid w:val="1F5F5D29"/>
    <w:rsid w:val="1F6D7F66"/>
    <w:rsid w:val="1F7D0331"/>
    <w:rsid w:val="1F8919D6"/>
    <w:rsid w:val="1FB85E27"/>
    <w:rsid w:val="1FD77AD6"/>
    <w:rsid w:val="1FF1763D"/>
    <w:rsid w:val="200F2A21"/>
    <w:rsid w:val="202623FB"/>
    <w:rsid w:val="20831A0C"/>
    <w:rsid w:val="210E7527"/>
    <w:rsid w:val="21423675"/>
    <w:rsid w:val="21A42B6A"/>
    <w:rsid w:val="21D0487F"/>
    <w:rsid w:val="22124DF5"/>
    <w:rsid w:val="22B67E76"/>
    <w:rsid w:val="22B91715"/>
    <w:rsid w:val="23215EA2"/>
    <w:rsid w:val="232748D0"/>
    <w:rsid w:val="233765B3"/>
    <w:rsid w:val="23AB5501"/>
    <w:rsid w:val="24330EA7"/>
    <w:rsid w:val="24547947"/>
    <w:rsid w:val="246B71A9"/>
    <w:rsid w:val="24CB6B1F"/>
    <w:rsid w:val="24F91CC5"/>
    <w:rsid w:val="258E3839"/>
    <w:rsid w:val="25A53AC6"/>
    <w:rsid w:val="25CD1B9F"/>
    <w:rsid w:val="25EB32F3"/>
    <w:rsid w:val="260B4D60"/>
    <w:rsid w:val="26172C36"/>
    <w:rsid w:val="261902E4"/>
    <w:rsid w:val="26AD6CFE"/>
    <w:rsid w:val="26B3370A"/>
    <w:rsid w:val="26C01894"/>
    <w:rsid w:val="26C475B8"/>
    <w:rsid w:val="26E1123A"/>
    <w:rsid w:val="26E72CF4"/>
    <w:rsid w:val="26F720EC"/>
    <w:rsid w:val="27CB4C89"/>
    <w:rsid w:val="283C7070"/>
    <w:rsid w:val="2849781D"/>
    <w:rsid w:val="286345FC"/>
    <w:rsid w:val="289326AB"/>
    <w:rsid w:val="28A6098D"/>
    <w:rsid w:val="28E15404"/>
    <w:rsid w:val="29057462"/>
    <w:rsid w:val="292D0766"/>
    <w:rsid w:val="29347D47"/>
    <w:rsid w:val="297D16EE"/>
    <w:rsid w:val="29AA380A"/>
    <w:rsid w:val="29BB2216"/>
    <w:rsid w:val="2A1C0B2C"/>
    <w:rsid w:val="2A4E11F7"/>
    <w:rsid w:val="2A4F1EA0"/>
    <w:rsid w:val="2A5B75A6"/>
    <w:rsid w:val="2A7725E1"/>
    <w:rsid w:val="2A8B541C"/>
    <w:rsid w:val="2A9E191C"/>
    <w:rsid w:val="2B37121D"/>
    <w:rsid w:val="2B79342F"/>
    <w:rsid w:val="2BAE2033"/>
    <w:rsid w:val="2C1C5C89"/>
    <w:rsid w:val="2C363DD6"/>
    <w:rsid w:val="2C7F4E7C"/>
    <w:rsid w:val="2C9B2814"/>
    <w:rsid w:val="2CE675AA"/>
    <w:rsid w:val="2D0F291C"/>
    <w:rsid w:val="2D326217"/>
    <w:rsid w:val="2D542766"/>
    <w:rsid w:val="2DBD6A25"/>
    <w:rsid w:val="2DDD6BFF"/>
    <w:rsid w:val="2E38053C"/>
    <w:rsid w:val="2E392417"/>
    <w:rsid w:val="2E6828E8"/>
    <w:rsid w:val="2EB23BE8"/>
    <w:rsid w:val="2EB711FE"/>
    <w:rsid w:val="2FA21DAB"/>
    <w:rsid w:val="2FD44032"/>
    <w:rsid w:val="302412AD"/>
    <w:rsid w:val="30564BAD"/>
    <w:rsid w:val="30752051"/>
    <w:rsid w:val="307C561F"/>
    <w:rsid w:val="30845965"/>
    <w:rsid w:val="30BE53AB"/>
    <w:rsid w:val="30E31486"/>
    <w:rsid w:val="310177D0"/>
    <w:rsid w:val="31232462"/>
    <w:rsid w:val="3146091A"/>
    <w:rsid w:val="31564CDD"/>
    <w:rsid w:val="318D42E8"/>
    <w:rsid w:val="31B634A0"/>
    <w:rsid w:val="31C92458"/>
    <w:rsid w:val="31EF0CAF"/>
    <w:rsid w:val="31FD6E89"/>
    <w:rsid w:val="32295B32"/>
    <w:rsid w:val="322D57A6"/>
    <w:rsid w:val="32446B29"/>
    <w:rsid w:val="32813A56"/>
    <w:rsid w:val="328E73E5"/>
    <w:rsid w:val="32F1053C"/>
    <w:rsid w:val="3308002B"/>
    <w:rsid w:val="330C763F"/>
    <w:rsid w:val="33264BA4"/>
    <w:rsid w:val="33776CCF"/>
    <w:rsid w:val="33883169"/>
    <w:rsid w:val="33A1247D"/>
    <w:rsid w:val="33AF0E54"/>
    <w:rsid w:val="33AF1889"/>
    <w:rsid w:val="33E12879"/>
    <w:rsid w:val="340C3D9A"/>
    <w:rsid w:val="34366C11"/>
    <w:rsid w:val="347930B0"/>
    <w:rsid w:val="34825FD9"/>
    <w:rsid w:val="349124F1"/>
    <w:rsid w:val="34B6046E"/>
    <w:rsid w:val="34C06933"/>
    <w:rsid w:val="34C21832"/>
    <w:rsid w:val="34D643A8"/>
    <w:rsid w:val="34E61D37"/>
    <w:rsid w:val="35151D0D"/>
    <w:rsid w:val="35550498"/>
    <w:rsid w:val="35A818A1"/>
    <w:rsid w:val="35FE22B0"/>
    <w:rsid w:val="360B09C0"/>
    <w:rsid w:val="361540FA"/>
    <w:rsid w:val="3627557C"/>
    <w:rsid w:val="363878BE"/>
    <w:rsid w:val="365E4655"/>
    <w:rsid w:val="36642B93"/>
    <w:rsid w:val="36965B9D"/>
    <w:rsid w:val="36F432F9"/>
    <w:rsid w:val="373C4E2B"/>
    <w:rsid w:val="3751010D"/>
    <w:rsid w:val="379A5BFC"/>
    <w:rsid w:val="38216165"/>
    <w:rsid w:val="382E4D93"/>
    <w:rsid w:val="38832B12"/>
    <w:rsid w:val="388F0AF6"/>
    <w:rsid w:val="38E73175"/>
    <w:rsid w:val="39520F2A"/>
    <w:rsid w:val="39AB340D"/>
    <w:rsid w:val="39AD6E7C"/>
    <w:rsid w:val="39C40C73"/>
    <w:rsid w:val="39E44E71"/>
    <w:rsid w:val="39FA666B"/>
    <w:rsid w:val="3A2A7900"/>
    <w:rsid w:val="3AAB74D5"/>
    <w:rsid w:val="3B0A6B5A"/>
    <w:rsid w:val="3B2E468C"/>
    <w:rsid w:val="3B824942"/>
    <w:rsid w:val="3B8701AA"/>
    <w:rsid w:val="3BAE09F6"/>
    <w:rsid w:val="3BBC60A6"/>
    <w:rsid w:val="3BC95048"/>
    <w:rsid w:val="3BC95973"/>
    <w:rsid w:val="3C0018AF"/>
    <w:rsid w:val="3C1F4887"/>
    <w:rsid w:val="3C3B7168"/>
    <w:rsid w:val="3C681D8A"/>
    <w:rsid w:val="3CC94E26"/>
    <w:rsid w:val="3CCA034E"/>
    <w:rsid w:val="3CE132E0"/>
    <w:rsid w:val="3D9A6E6F"/>
    <w:rsid w:val="3D9D5D21"/>
    <w:rsid w:val="3DE76D03"/>
    <w:rsid w:val="3E1201FF"/>
    <w:rsid w:val="3E1673F1"/>
    <w:rsid w:val="3E504334"/>
    <w:rsid w:val="3E6D1A7C"/>
    <w:rsid w:val="3E6E11AD"/>
    <w:rsid w:val="3EA66B99"/>
    <w:rsid w:val="3EB8348F"/>
    <w:rsid w:val="3ECB47A3"/>
    <w:rsid w:val="3EF1250A"/>
    <w:rsid w:val="3F787E82"/>
    <w:rsid w:val="3F942E96"/>
    <w:rsid w:val="3FB3156E"/>
    <w:rsid w:val="3FB5467E"/>
    <w:rsid w:val="3FBB3EE8"/>
    <w:rsid w:val="3FC92B3F"/>
    <w:rsid w:val="3FCB068C"/>
    <w:rsid w:val="3FEB51AC"/>
    <w:rsid w:val="402572D9"/>
    <w:rsid w:val="403F72A5"/>
    <w:rsid w:val="40BD701A"/>
    <w:rsid w:val="40E03D85"/>
    <w:rsid w:val="40E65973"/>
    <w:rsid w:val="40FF60E1"/>
    <w:rsid w:val="41210759"/>
    <w:rsid w:val="416C5E78"/>
    <w:rsid w:val="41AA69A0"/>
    <w:rsid w:val="41C0037E"/>
    <w:rsid w:val="41E62C98"/>
    <w:rsid w:val="42042555"/>
    <w:rsid w:val="4213632D"/>
    <w:rsid w:val="42564613"/>
    <w:rsid w:val="425C413F"/>
    <w:rsid w:val="426F40A9"/>
    <w:rsid w:val="42843695"/>
    <w:rsid w:val="42CB20FE"/>
    <w:rsid w:val="42D82577"/>
    <w:rsid w:val="432509D4"/>
    <w:rsid w:val="43790D20"/>
    <w:rsid w:val="43AE02D0"/>
    <w:rsid w:val="43D969CA"/>
    <w:rsid w:val="43EB1F17"/>
    <w:rsid w:val="44316F05"/>
    <w:rsid w:val="445C495B"/>
    <w:rsid w:val="44631ACD"/>
    <w:rsid w:val="44817E8C"/>
    <w:rsid w:val="448C5F20"/>
    <w:rsid w:val="44A6665F"/>
    <w:rsid w:val="44AE49FA"/>
    <w:rsid w:val="44B738AE"/>
    <w:rsid w:val="451A5BEB"/>
    <w:rsid w:val="45242AC5"/>
    <w:rsid w:val="45390E38"/>
    <w:rsid w:val="455B3EA8"/>
    <w:rsid w:val="45694B34"/>
    <w:rsid w:val="457F2052"/>
    <w:rsid w:val="45C81AEB"/>
    <w:rsid w:val="45DB35CC"/>
    <w:rsid w:val="45F214B1"/>
    <w:rsid w:val="468926B2"/>
    <w:rsid w:val="4691609A"/>
    <w:rsid w:val="46F04E55"/>
    <w:rsid w:val="475461E9"/>
    <w:rsid w:val="47710D74"/>
    <w:rsid w:val="479B1FCF"/>
    <w:rsid w:val="47F00E85"/>
    <w:rsid w:val="480C3646"/>
    <w:rsid w:val="4813583B"/>
    <w:rsid w:val="481C4F33"/>
    <w:rsid w:val="48257859"/>
    <w:rsid w:val="482B2E93"/>
    <w:rsid w:val="48347F7E"/>
    <w:rsid w:val="48427933"/>
    <w:rsid w:val="485A4BF0"/>
    <w:rsid w:val="487B5C28"/>
    <w:rsid w:val="48800D9F"/>
    <w:rsid w:val="48B9206B"/>
    <w:rsid w:val="48D77FF8"/>
    <w:rsid w:val="49C81954"/>
    <w:rsid w:val="49CF6CE3"/>
    <w:rsid w:val="49FE7374"/>
    <w:rsid w:val="4A0B68E8"/>
    <w:rsid w:val="4A315EB1"/>
    <w:rsid w:val="4A8A3813"/>
    <w:rsid w:val="4A9D3546"/>
    <w:rsid w:val="4A9F40E0"/>
    <w:rsid w:val="4ACE14E4"/>
    <w:rsid w:val="4AE90539"/>
    <w:rsid w:val="4B865D88"/>
    <w:rsid w:val="4B8B33E4"/>
    <w:rsid w:val="4BC028A6"/>
    <w:rsid w:val="4BE535A5"/>
    <w:rsid w:val="4BE55708"/>
    <w:rsid w:val="4C5C06FC"/>
    <w:rsid w:val="4C875B78"/>
    <w:rsid w:val="4CA74D6F"/>
    <w:rsid w:val="4CB335FA"/>
    <w:rsid w:val="4CFD207A"/>
    <w:rsid w:val="4D5A127B"/>
    <w:rsid w:val="4D7D140D"/>
    <w:rsid w:val="4D92310A"/>
    <w:rsid w:val="4DC31516"/>
    <w:rsid w:val="4DE93A1E"/>
    <w:rsid w:val="4E1B7EFD"/>
    <w:rsid w:val="4E5617E8"/>
    <w:rsid w:val="4E5C54C6"/>
    <w:rsid w:val="4E6D629F"/>
    <w:rsid w:val="4ED65279"/>
    <w:rsid w:val="4F2602E8"/>
    <w:rsid w:val="4F294A17"/>
    <w:rsid w:val="4F520BE3"/>
    <w:rsid w:val="4F577A17"/>
    <w:rsid w:val="4F9547EC"/>
    <w:rsid w:val="4FBA06F6"/>
    <w:rsid w:val="4FE56ADB"/>
    <w:rsid w:val="50212422"/>
    <w:rsid w:val="50252F29"/>
    <w:rsid w:val="502D3839"/>
    <w:rsid w:val="50475A65"/>
    <w:rsid w:val="507A27B0"/>
    <w:rsid w:val="50974594"/>
    <w:rsid w:val="50F24372"/>
    <w:rsid w:val="514E559A"/>
    <w:rsid w:val="515C07F3"/>
    <w:rsid w:val="515F1555"/>
    <w:rsid w:val="517A638F"/>
    <w:rsid w:val="51897D7E"/>
    <w:rsid w:val="51A01BF2"/>
    <w:rsid w:val="51B15059"/>
    <w:rsid w:val="51F36D96"/>
    <w:rsid w:val="52065E75"/>
    <w:rsid w:val="520B3BBE"/>
    <w:rsid w:val="525A3ACB"/>
    <w:rsid w:val="528B0128"/>
    <w:rsid w:val="5318796C"/>
    <w:rsid w:val="538708F0"/>
    <w:rsid w:val="539D45B7"/>
    <w:rsid w:val="53B51B2A"/>
    <w:rsid w:val="54084B3B"/>
    <w:rsid w:val="54A3112E"/>
    <w:rsid w:val="54A84FC1"/>
    <w:rsid w:val="54CA5C89"/>
    <w:rsid w:val="54CC7B04"/>
    <w:rsid w:val="5516017D"/>
    <w:rsid w:val="55574166"/>
    <w:rsid w:val="55846DB9"/>
    <w:rsid w:val="55B915A0"/>
    <w:rsid w:val="55D0363C"/>
    <w:rsid w:val="56162A9B"/>
    <w:rsid w:val="56252932"/>
    <w:rsid w:val="564927D4"/>
    <w:rsid w:val="566413BC"/>
    <w:rsid w:val="56690780"/>
    <w:rsid w:val="5682597C"/>
    <w:rsid w:val="56AE3B72"/>
    <w:rsid w:val="577501F0"/>
    <w:rsid w:val="579A39E2"/>
    <w:rsid w:val="57CA365B"/>
    <w:rsid w:val="57F87DE5"/>
    <w:rsid w:val="58074CDC"/>
    <w:rsid w:val="580C1D0B"/>
    <w:rsid w:val="58586514"/>
    <w:rsid w:val="58A96235"/>
    <w:rsid w:val="58C61EBA"/>
    <w:rsid w:val="58DB1DAA"/>
    <w:rsid w:val="58FF53CC"/>
    <w:rsid w:val="59246A25"/>
    <w:rsid w:val="59346BED"/>
    <w:rsid w:val="59417F91"/>
    <w:rsid w:val="5947124D"/>
    <w:rsid w:val="595A1E5A"/>
    <w:rsid w:val="596F60AE"/>
    <w:rsid w:val="599F7857"/>
    <w:rsid w:val="59F800B5"/>
    <w:rsid w:val="5A6F25A8"/>
    <w:rsid w:val="5A755255"/>
    <w:rsid w:val="5A89319F"/>
    <w:rsid w:val="5A951B44"/>
    <w:rsid w:val="5AA865B6"/>
    <w:rsid w:val="5AA91A93"/>
    <w:rsid w:val="5AF613E9"/>
    <w:rsid w:val="5B187A6A"/>
    <w:rsid w:val="5B585E70"/>
    <w:rsid w:val="5B77749C"/>
    <w:rsid w:val="5B8D1573"/>
    <w:rsid w:val="5B8D2C85"/>
    <w:rsid w:val="5BB374F9"/>
    <w:rsid w:val="5BFB631F"/>
    <w:rsid w:val="5C1271C4"/>
    <w:rsid w:val="5C4211DC"/>
    <w:rsid w:val="5C43050E"/>
    <w:rsid w:val="5C69633C"/>
    <w:rsid w:val="5C8A1451"/>
    <w:rsid w:val="5CC35474"/>
    <w:rsid w:val="5CC57807"/>
    <w:rsid w:val="5CEB0141"/>
    <w:rsid w:val="5D2973B3"/>
    <w:rsid w:val="5D6D6DA8"/>
    <w:rsid w:val="5D9C143B"/>
    <w:rsid w:val="5D9F1091"/>
    <w:rsid w:val="5DBB56F5"/>
    <w:rsid w:val="5E1D29DD"/>
    <w:rsid w:val="5E232FBD"/>
    <w:rsid w:val="5EE66132"/>
    <w:rsid w:val="5EE74A73"/>
    <w:rsid w:val="5F2D2DAB"/>
    <w:rsid w:val="5F675F94"/>
    <w:rsid w:val="5F8253D1"/>
    <w:rsid w:val="5F914D93"/>
    <w:rsid w:val="5F9E149B"/>
    <w:rsid w:val="5FC12CD9"/>
    <w:rsid w:val="5FEA3333"/>
    <w:rsid w:val="60692DB6"/>
    <w:rsid w:val="606C77EB"/>
    <w:rsid w:val="6094289E"/>
    <w:rsid w:val="60C9553B"/>
    <w:rsid w:val="6125247C"/>
    <w:rsid w:val="614E0843"/>
    <w:rsid w:val="619C7D89"/>
    <w:rsid w:val="61E67129"/>
    <w:rsid w:val="61EC795D"/>
    <w:rsid w:val="620D46B6"/>
    <w:rsid w:val="622A34BA"/>
    <w:rsid w:val="62375BD7"/>
    <w:rsid w:val="6285366A"/>
    <w:rsid w:val="628C1A7E"/>
    <w:rsid w:val="629504EF"/>
    <w:rsid w:val="62C52604"/>
    <w:rsid w:val="62EA2C49"/>
    <w:rsid w:val="632C3261"/>
    <w:rsid w:val="63A64B86"/>
    <w:rsid w:val="63DA2CBD"/>
    <w:rsid w:val="642F2FDE"/>
    <w:rsid w:val="644C5216"/>
    <w:rsid w:val="649E3CEB"/>
    <w:rsid w:val="64BF69F9"/>
    <w:rsid w:val="64F8789F"/>
    <w:rsid w:val="652060DB"/>
    <w:rsid w:val="65361063"/>
    <w:rsid w:val="653F54CE"/>
    <w:rsid w:val="65873C12"/>
    <w:rsid w:val="65940F65"/>
    <w:rsid w:val="65D07668"/>
    <w:rsid w:val="65F26606"/>
    <w:rsid w:val="65F31E15"/>
    <w:rsid w:val="66434E23"/>
    <w:rsid w:val="66A30950"/>
    <w:rsid w:val="66C43BD1"/>
    <w:rsid w:val="6704280D"/>
    <w:rsid w:val="67191D4F"/>
    <w:rsid w:val="67293580"/>
    <w:rsid w:val="67370E01"/>
    <w:rsid w:val="67461CBB"/>
    <w:rsid w:val="67515045"/>
    <w:rsid w:val="67674F12"/>
    <w:rsid w:val="678A0557"/>
    <w:rsid w:val="679D472E"/>
    <w:rsid w:val="68487C54"/>
    <w:rsid w:val="684D3A5E"/>
    <w:rsid w:val="688D02FE"/>
    <w:rsid w:val="68916F26"/>
    <w:rsid w:val="68953657"/>
    <w:rsid w:val="68C83A2C"/>
    <w:rsid w:val="68CC52CB"/>
    <w:rsid w:val="68EC08A0"/>
    <w:rsid w:val="69204F42"/>
    <w:rsid w:val="69381E3E"/>
    <w:rsid w:val="69665C25"/>
    <w:rsid w:val="69715E72"/>
    <w:rsid w:val="69916BFD"/>
    <w:rsid w:val="69B61AD7"/>
    <w:rsid w:val="6A0E546F"/>
    <w:rsid w:val="6A18540D"/>
    <w:rsid w:val="6A276531"/>
    <w:rsid w:val="6A2E3D04"/>
    <w:rsid w:val="6A42113E"/>
    <w:rsid w:val="6A6A028D"/>
    <w:rsid w:val="6A8E1C15"/>
    <w:rsid w:val="6AA6335D"/>
    <w:rsid w:val="6AB97AD1"/>
    <w:rsid w:val="6AEF1CD4"/>
    <w:rsid w:val="6B8526DD"/>
    <w:rsid w:val="6BAE57F3"/>
    <w:rsid w:val="6C3513D9"/>
    <w:rsid w:val="6C692E30"/>
    <w:rsid w:val="6C8E2897"/>
    <w:rsid w:val="6C924135"/>
    <w:rsid w:val="6CC22712"/>
    <w:rsid w:val="6CD40BF2"/>
    <w:rsid w:val="6CD624F9"/>
    <w:rsid w:val="6CDF0C21"/>
    <w:rsid w:val="6CE10C19"/>
    <w:rsid w:val="6DAD7E2A"/>
    <w:rsid w:val="6DD556EC"/>
    <w:rsid w:val="6E031E0D"/>
    <w:rsid w:val="6E290AC9"/>
    <w:rsid w:val="6E641B01"/>
    <w:rsid w:val="6E6E0BD2"/>
    <w:rsid w:val="6E9D5013"/>
    <w:rsid w:val="6ED86EC0"/>
    <w:rsid w:val="6F0954AB"/>
    <w:rsid w:val="6F237E2D"/>
    <w:rsid w:val="6F2614AD"/>
    <w:rsid w:val="6F394D8D"/>
    <w:rsid w:val="6F8F7052"/>
    <w:rsid w:val="6F916EB6"/>
    <w:rsid w:val="6F9401C4"/>
    <w:rsid w:val="6FA523D2"/>
    <w:rsid w:val="6FCC5BB0"/>
    <w:rsid w:val="706007DE"/>
    <w:rsid w:val="70D62FF8"/>
    <w:rsid w:val="71257C6E"/>
    <w:rsid w:val="712E59AB"/>
    <w:rsid w:val="71325EE7"/>
    <w:rsid w:val="715F0460"/>
    <w:rsid w:val="717B3689"/>
    <w:rsid w:val="717C53B4"/>
    <w:rsid w:val="725C205C"/>
    <w:rsid w:val="72816160"/>
    <w:rsid w:val="7298621E"/>
    <w:rsid w:val="72A72905"/>
    <w:rsid w:val="72CE69D3"/>
    <w:rsid w:val="72CF35DD"/>
    <w:rsid w:val="72D3766C"/>
    <w:rsid w:val="72E231CE"/>
    <w:rsid w:val="7371412C"/>
    <w:rsid w:val="739A7CE5"/>
    <w:rsid w:val="739B0315"/>
    <w:rsid w:val="73C216F3"/>
    <w:rsid w:val="73C80523"/>
    <w:rsid w:val="74AA5DAF"/>
    <w:rsid w:val="7510653F"/>
    <w:rsid w:val="75910A5F"/>
    <w:rsid w:val="75B93A72"/>
    <w:rsid w:val="75ED3612"/>
    <w:rsid w:val="7600719F"/>
    <w:rsid w:val="761B272E"/>
    <w:rsid w:val="76864162"/>
    <w:rsid w:val="76DA6A34"/>
    <w:rsid w:val="76EA3311"/>
    <w:rsid w:val="76F1414E"/>
    <w:rsid w:val="76F300F0"/>
    <w:rsid w:val="7705322F"/>
    <w:rsid w:val="770C2D36"/>
    <w:rsid w:val="772F0908"/>
    <w:rsid w:val="77531460"/>
    <w:rsid w:val="77D261FF"/>
    <w:rsid w:val="77E12415"/>
    <w:rsid w:val="77E42DA6"/>
    <w:rsid w:val="782019FA"/>
    <w:rsid w:val="784C1F84"/>
    <w:rsid w:val="78670697"/>
    <w:rsid w:val="787815A1"/>
    <w:rsid w:val="7891670E"/>
    <w:rsid w:val="78A91184"/>
    <w:rsid w:val="78C62B34"/>
    <w:rsid w:val="79012508"/>
    <w:rsid w:val="79224A93"/>
    <w:rsid w:val="7955260E"/>
    <w:rsid w:val="799617F4"/>
    <w:rsid w:val="79BD656A"/>
    <w:rsid w:val="79D91008"/>
    <w:rsid w:val="79FA77BE"/>
    <w:rsid w:val="7A1C5986"/>
    <w:rsid w:val="7A4A417E"/>
    <w:rsid w:val="7A7F3414"/>
    <w:rsid w:val="7A903C7E"/>
    <w:rsid w:val="7A910122"/>
    <w:rsid w:val="7AC5601E"/>
    <w:rsid w:val="7B4A647A"/>
    <w:rsid w:val="7BC755BA"/>
    <w:rsid w:val="7BEA24DC"/>
    <w:rsid w:val="7BF90D20"/>
    <w:rsid w:val="7BFA592C"/>
    <w:rsid w:val="7BFB25BE"/>
    <w:rsid w:val="7C0A79A5"/>
    <w:rsid w:val="7C896BD7"/>
    <w:rsid w:val="7CCB62F5"/>
    <w:rsid w:val="7D80447E"/>
    <w:rsid w:val="7DEB18F7"/>
    <w:rsid w:val="7DFE575D"/>
    <w:rsid w:val="7E3F1C43"/>
    <w:rsid w:val="7E46243B"/>
    <w:rsid w:val="7E651FE7"/>
    <w:rsid w:val="7E8432F5"/>
    <w:rsid w:val="7EA83C8C"/>
    <w:rsid w:val="7F313C82"/>
    <w:rsid w:val="7F721BA4"/>
    <w:rsid w:val="7F8A3392"/>
    <w:rsid w:val="7FFD1D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line="360" w:lineRule="auto"/>
      <w:jc w:val="center"/>
      <w:outlineLvl w:val="0"/>
    </w:pPr>
    <w:rPr>
      <w:b/>
      <w:kern w:val="44"/>
      <w:sz w:val="36"/>
      <w:szCs w:val="20"/>
    </w:rPr>
  </w:style>
  <w:style w:type="paragraph" w:styleId="3">
    <w:name w:val="heading 2"/>
    <w:basedOn w:val="1"/>
    <w:next w:val="1"/>
    <w:link w:val="55"/>
    <w:qFormat/>
    <w:uiPriority w:val="0"/>
    <w:pPr>
      <w:keepNext/>
      <w:keepLines/>
      <w:widowControl/>
      <w:adjustRightInd w:val="0"/>
      <w:snapToGrid w:val="0"/>
      <w:spacing w:beforeLines="200" w:afterLines="50" w:line="360" w:lineRule="auto"/>
      <w:jc w:val="center"/>
      <w:outlineLvl w:val="1"/>
    </w:pPr>
    <w:rPr>
      <w:rFonts w:ascii="Arial" w:hAnsi="Arial"/>
      <w:b/>
      <w:kern w:val="0"/>
      <w:sz w:val="32"/>
      <w:szCs w:val="20"/>
    </w:rPr>
  </w:style>
  <w:style w:type="paragraph" w:styleId="4">
    <w:name w:val="heading 3"/>
    <w:basedOn w:val="1"/>
    <w:next w:val="1"/>
    <w:link w:val="56"/>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0"/>
    <w:pPr>
      <w:spacing w:before="160" w:after="160" w:line="600" w:lineRule="exact"/>
      <w:jc w:val="left"/>
      <w:outlineLvl w:val="3"/>
    </w:pPr>
    <w:rPr>
      <w:rFonts w:ascii="宋体" w:hAnsi="宋体"/>
      <w:color w:val="000000"/>
      <w:spacing w:val="10"/>
      <w:kern w:val="24"/>
      <w:sz w:val="24"/>
    </w:rPr>
  </w:style>
  <w:style w:type="paragraph" w:styleId="6">
    <w:name w:val="heading 5"/>
    <w:basedOn w:val="1"/>
    <w:next w:val="7"/>
    <w:link w:val="58"/>
    <w:qFormat/>
    <w:uiPriority w:val="0"/>
    <w:pPr>
      <w:keepNext/>
      <w:keepLines/>
      <w:spacing w:before="160" w:after="160" w:line="540" w:lineRule="exact"/>
      <w:outlineLvl w:val="4"/>
    </w:pPr>
    <w:rPr>
      <w:spacing w:val="12"/>
      <w:sz w:val="24"/>
      <w:szCs w:val="20"/>
    </w:rPr>
  </w:style>
  <w:style w:type="paragraph" w:styleId="8">
    <w:name w:val="heading 6"/>
    <w:basedOn w:val="1"/>
    <w:next w:val="7"/>
    <w:link w:val="60"/>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9">
    <w:name w:val="heading 7"/>
    <w:basedOn w:val="1"/>
    <w:next w:val="7"/>
    <w:link w:val="61"/>
    <w:qFormat/>
    <w:uiPriority w:val="0"/>
    <w:pPr>
      <w:keepNext/>
      <w:keepLines/>
      <w:numPr>
        <w:ilvl w:val="6"/>
        <w:numId w:val="1"/>
      </w:numPr>
      <w:spacing w:before="240" w:after="64" w:line="320" w:lineRule="auto"/>
      <w:jc w:val="left"/>
      <w:outlineLvl w:val="6"/>
    </w:pPr>
    <w:rPr>
      <w:b/>
      <w:bCs/>
      <w:spacing w:val="6"/>
      <w:sz w:val="24"/>
    </w:rPr>
  </w:style>
  <w:style w:type="paragraph" w:styleId="10">
    <w:name w:val="heading 8"/>
    <w:basedOn w:val="1"/>
    <w:next w:val="7"/>
    <w:link w:val="62"/>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1">
    <w:name w:val="heading 9"/>
    <w:basedOn w:val="1"/>
    <w:next w:val="7"/>
    <w:link w:val="63"/>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47">
    <w:name w:val="Default Paragraph Font"/>
    <w:unhideWhenUsed/>
    <w:qFormat/>
    <w:uiPriority w:val="1"/>
  </w:style>
  <w:style w:type="table" w:default="1" w:styleId="45">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7">
    <w:name w:val="Normal Indent"/>
    <w:basedOn w:val="1"/>
    <w:link w:val="59"/>
    <w:qFormat/>
    <w:uiPriority w:val="0"/>
    <w:pPr>
      <w:ind w:firstLine="420" w:firstLineChars="200"/>
    </w:pPr>
  </w:style>
  <w:style w:type="paragraph" w:styleId="12">
    <w:name w:val="toc 7"/>
    <w:basedOn w:val="1"/>
    <w:next w:val="1"/>
    <w:qFormat/>
    <w:uiPriority w:val="0"/>
    <w:pPr>
      <w:ind w:left="1260"/>
      <w:jc w:val="left"/>
    </w:pPr>
    <w:rPr>
      <w:rFonts w:ascii="Calibri" w:hAnsi="Calibri" w:eastAsia="宋体"/>
      <w:sz w:val="18"/>
      <w:szCs w:val="18"/>
    </w:rPr>
  </w:style>
  <w:style w:type="paragraph" w:styleId="13">
    <w:name w:val="caption"/>
    <w:basedOn w:val="1"/>
    <w:next w:val="1"/>
    <w:qFormat/>
    <w:uiPriority w:val="0"/>
    <w:pPr>
      <w:spacing w:before="152" w:after="160"/>
    </w:pPr>
    <w:rPr>
      <w:rFonts w:ascii="Arial" w:hAnsi="Arial" w:eastAsia="黑体"/>
      <w:sz w:val="20"/>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qFormat/>
    <w:uiPriority w:val="99"/>
    <w:pPr>
      <w:jc w:val="left"/>
    </w:pPr>
  </w:style>
  <w:style w:type="paragraph" w:styleId="16">
    <w:name w:val="Body Text 3"/>
    <w:basedOn w:val="1"/>
    <w:link w:val="66"/>
    <w:qFormat/>
    <w:uiPriority w:val="99"/>
    <w:pPr>
      <w:spacing w:beforeLines="100" w:afterLines="100" w:line="400" w:lineRule="exact"/>
    </w:pPr>
    <w:rPr>
      <w:rFonts w:ascii="宋体" w:hAnsi="宋体"/>
      <w:sz w:val="24"/>
    </w:rPr>
  </w:style>
  <w:style w:type="paragraph" w:styleId="17">
    <w:name w:val="Body Text"/>
    <w:basedOn w:val="1"/>
    <w:next w:val="1"/>
    <w:link w:val="67"/>
    <w:qFormat/>
    <w:uiPriority w:val="0"/>
    <w:pPr>
      <w:spacing w:line="360" w:lineRule="auto"/>
    </w:pPr>
    <w:rPr>
      <w:rFonts w:eastAsia="黑体"/>
      <w:b/>
      <w:spacing w:val="6"/>
      <w:sz w:val="36"/>
      <w:szCs w:val="20"/>
    </w:rPr>
  </w:style>
  <w:style w:type="paragraph" w:styleId="18">
    <w:name w:val="Body Text Indent"/>
    <w:basedOn w:val="1"/>
    <w:link w:val="68"/>
    <w:qFormat/>
    <w:uiPriority w:val="0"/>
    <w:pPr>
      <w:ind w:left="281" w:leftChars="134"/>
    </w:pPr>
    <w:rPr>
      <w:sz w:val="28"/>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tabs>
        <w:tab w:val="left" w:pos="1620"/>
      </w:tabs>
      <w:spacing w:line="360" w:lineRule="auto"/>
      <w:ind w:left="420" w:right="12" w:rightChars="12" w:firstLine="525"/>
      <w:jc w:val="left"/>
    </w:pPr>
    <w:rPr>
      <w:rFonts w:ascii="宋体" w:hAnsi="宋体"/>
      <w:kern w:val="0"/>
      <w:sz w:val="24"/>
      <w:szCs w:val="22"/>
      <w:lang w:eastAsia="en-US"/>
    </w:rPr>
  </w:style>
  <w:style w:type="paragraph" w:styleId="21">
    <w:name w:val="List Bullet 2"/>
    <w:basedOn w:val="1"/>
    <w:qFormat/>
    <w:uiPriority w:val="0"/>
    <w:pPr>
      <w:tabs>
        <w:tab w:val="left" w:pos="780"/>
      </w:tabs>
      <w:spacing w:line="460" w:lineRule="exact"/>
      <w:ind w:left="780" w:leftChars="200" w:hanging="360" w:hangingChars="200"/>
    </w:pPr>
    <w:rPr>
      <w:spacing w:val="12"/>
      <w:sz w:val="24"/>
      <w:szCs w:val="20"/>
    </w:rPr>
  </w:style>
  <w:style w:type="paragraph" w:styleId="22">
    <w:name w:val="index 4"/>
    <w:basedOn w:val="1"/>
    <w:next w:val="1"/>
    <w:qFormat/>
    <w:uiPriority w:val="0"/>
    <w:pPr>
      <w:ind w:left="600" w:leftChars="600"/>
    </w:pPr>
    <w:rPr>
      <w:rFonts w:ascii="Calibri" w:hAnsi="Calibri"/>
    </w:rPr>
  </w:style>
  <w:style w:type="paragraph" w:styleId="23">
    <w:name w:val="toc 5"/>
    <w:basedOn w:val="1"/>
    <w:next w:val="1"/>
    <w:qFormat/>
    <w:uiPriority w:val="0"/>
    <w:pPr>
      <w:ind w:left="840"/>
      <w:jc w:val="left"/>
    </w:pPr>
    <w:rPr>
      <w:rFonts w:ascii="Calibri" w:hAnsi="Calibri" w:eastAsia="宋体"/>
      <w:sz w:val="18"/>
      <w:szCs w:val="18"/>
    </w:rPr>
  </w:style>
  <w:style w:type="paragraph" w:styleId="24">
    <w:name w:val="toc 3"/>
    <w:basedOn w:val="1"/>
    <w:next w:val="1"/>
    <w:unhideWhenUsed/>
    <w:qFormat/>
    <w:uiPriority w:val="39"/>
    <w:pPr>
      <w:ind w:left="420"/>
      <w:jc w:val="left"/>
    </w:pPr>
    <w:rPr>
      <w:rFonts w:ascii="Calibri" w:hAnsi="Calibri" w:eastAsia="宋体"/>
      <w:i/>
      <w:iCs/>
      <w:sz w:val="20"/>
      <w:szCs w:val="20"/>
    </w:rPr>
  </w:style>
  <w:style w:type="paragraph" w:styleId="25">
    <w:name w:val="Plain Text"/>
    <w:basedOn w:val="1"/>
    <w:link w:val="69"/>
    <w:qFormat/>
    <w:uiPriority w:val="0"/>
    <w:rPr>
      <w:rFonts w:ascii="宋体" w:hAnsi="Courier New"/>
      <w:szCs w:val="20"/>
    </w:rPr>
  </w:style>
  <w:style w:type="paragraph" w:styleId="26">
    <w:name w:val="toc 8"/>
    <w:basedOn w:val="1"/>
    <w:next w:val="1"/>
    <w:qFormat/>
    <w:uiPriority w:val="0"/>
    <w:pPr>
      <w:ind w:left="1470"/>
      <w:jc w:val="left"/>
    </w:pPr>
    <w:rPr>
      <w:rFonts w:ascii="Calibri" w:hAnsi="Calibri" w:eastAsia="宋体"/>
      <w:sz w:val="18"/>
      <w:szCs w:val="18"/>
    </w:rPr>
  </w:style>
  <w:style w:type="paragraph" w:styleId="27">
    <w:name w:val="Date"/>
    <w:basedOn w:val="1"/>
    <w:next w:val="1"/>
    <w:link w:val="70"/>
    <w:qFormat/>
    <w:uiPriority w:val="0"/>
    <w:pPr>
      <w:ind w:left="100" w:leftChars="2500"/>
    </w:pPr>
    <w:rPr>
      <w:sz w:val="24"/>
    </w:rPr>
  </w:style>
  <w:style w:type="paragraph" w:styleId="28">
    <w:name w:val="Body Text Indent 2"/>
    <w:basedOn w:val="1"/>
    <w:link w:val="71"/>
    <w:qFormat/>
    <w:uiPriority w:val="0"/>
    <w:pPr>
      <w:ind w:firstLine="538" w:firstLineChars="192"/>
    </w:pPr>
    <w:rPr>
      <w:color w:val="FF0000"/>
      <w:sz w:val="28"/>
    </w:rPr>
  </w:style>
  <w:style w:type="paragraph" w:styleId="29">
    <w:name w:val="Balloon Text"/>
    <w:basedOn w:val="1"/>
    <w:link w:val="72"/>
    <w:qFormat/>
    <w:uiPriority w:val="0"/>
    <w:rPr>
      <w:sz w:val="18"/>
      <w:szCs w:val="18"/>
    </w:rPr>
  </w:style>
  <w:style w:type="paragraph" w:styleId="30">
    <w:name w:val="footer"/>
    <w:basedOn w:val="1"/>
    <w:link w:val="73"/>
    <w:qFormat/>
    <w:uiPriority w:val="99"/>
    <w:pPr>
      <w:tabs>
        <w:tab w:val="center" w:pos="4153"/>
        <w:tab w:val="right" w:pos="8306"/>
      </w:tabs>
      <w:snapToGrid w:val="0"/>
      <w:jc w:val="left"/>
    </w:pPr>
    <w:rPr>
      <w:sz w:val="18"/>
      <w:szCs w:val="18"/>
    </w:rPr>
  </w:style>
  <w:style w:type="paragraph" w:styleId="31">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2">
    <w:name w:val="Signature"/>
    <w:basedOn w:val="1"/>
    <w:qFormat/>
    <w:uiPriority w:val="0"/>
    <w:pPr>
      <w:spacing w:line="460" w:lineRule="exact"/>
      <w:ind w:left="100" w:leftChars="2100" w:firstLine="200" w:firstLineChars="200"/>
    </w:pPr>
    <w:rPr>
      <w:spacing w:val="12"/>
      <w:sz w:val="24"/>
      <w:szCs w:val="20"/>
    </w:rPr>
  </w:style>
  <w:style w:type="paragraph" w:styleId="33">
    <w:name w:val="toc 1"/>
    <w:basedOn w:val="1"/>
    <w:next w:val="1"/>
    <w:qFormat/>
    <w:uiPriority w:val="39"/>
    <w:pPr>
      <w:spacing w:line="360" w:lineRule="exact"/>
    </w:pPr>
    <w:rPr>
      <w:rFonts w:ascii="Arial" w:hAnsi="Arial" w:cs="Arial"/>
      <w:snapToGrid w:val="0"/>
      <w:kern w:val="0"/>
    </w:rPr>
  </w:style>
  <w:style w:type="paragraph" w:styleId="34">
    <w:name w:val="toc 4"/>
    <w:basedOn w:val="1"/>
    <w:next w:val="1"/>
    <w:qFormat/>
    <w:uiPriority w:val="0"/>
    <w:pPr>
      <w:ind w:left="630"/>
      <w:jc w:val="left"/>
    </w:pPr>
    <w:rPr>
      <w:rFonts w:ascii="Calibri" w:hAnsi="Calibri" w:eastAsia="宋体"/>
      <w:sz w:val="18"/>
      <w:szCs w:val="18"/>
    </w:rPr>
  </w:style>
  <w:style w:type="paragraph" w:styleId="35">
    <w:name w:val="Subtitle"/>
    <w:basedOn w:val="1"/>
    <w:next w:val="1"/>
    <w:link w:val="75"/>
    <w:qFormat/>
    <w:uiPriority w:val="0"/>
    <w:pPr>
      <w:spacing w:before="240" w:after="60" w:line="312" w:lineRule="auto"/>
      <w:jc w:val="center"/>
      <w:outlineLvl w:val="1"/>
    </w:pPr>
    <w:rPr>
      <w:rFonts w:ascii="Cambria" w:hAnsi="Cambria"/>
      <w:b/>
      <w:bCs/>
      <w:kern w:val="28"/>
      <w:sz w:val="32"/>
      <w:szCs w:val="32"/>
    </w:rPr>
  </w:style>
  <w:style w:type="paragraph" w:styleId="36">
    <w:name w:val="toc 6"/>
    <w:basedOn w:val="1"/>
    <w:next w:val="1"/>
    <w:qFormat/>
    <w:uiPriority w:val="0"/>
    <w:pPr>
      <w:ind w:left="1050"/>
      <w:jc w:val="left"/>
    </w:pPr>
    <w:rPr>
      <w:rFonts w:ascii="Calibri" w:hAnsi="Calibri" w:eastAsia="宋体"/>
      <w:sz w:val="18"/>
      <w:szCs w:val="18"/>
    </w:rPr>
  </w:style>
  <w:style w:type="paragraph" w:styleId="37">
    <w:name w:val="Body Text Indent 3"/>
    <w:basedOn w:val="1"/>
    <w:link w:val="76"/>
    <w:qFormat/>
    <w:uiPriority w:val="0"/>
    <w:pPr>
      <w:spacing w:line="580" w:lineRule="exact"/>
      <w:ind w:firstLine="538" w:firstLineChars="192"/>
    </w:pPr>
    <w:rPr>
      <w:sz w:val="28"/>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rFonts w:ascii="Calibri" w:hAnsi="Calibri" w:eastAsia="宋体"/>
      <w:sz w:val="18"/>
      <w:szCs w:val="18"/>
    </w:rPr>
  </w:style>
  <w:style w:type="paragraph" w:styleId="40">
    <w:name w:val="Body Text 2"/>
    <w:basedOn w:val="1"/>
    <w:qFormat/>
    <w:uiPriority w:val="0"/>
    <w:pPr>
      <w:snapToGrid w:val="0"/>
      <w:spacing w:line="400" w:lineRule="exact"/>
    </w:pPr>
    <w:rPr>
      <w:rFonts w:ascii="宋体" w:hAnsi="宋体"/>
      <w:b/>
      <w:bCs/>
      <w:color w:val="0000FF"/>
      <w:sz w:val="24"/>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Title"/>
    <w:basedOn w:val="1"/>
    <w:next w:val="1"/>
    <w:link w:val="79"/>
    <w:qFormat/>
    <w:uiPriority w:val="0"/>
    <w:pPr>
      <w:spacing w:before="240" w:after="60"/>
      <w:jc w:val="center"/>
      <w:outlineLvl w:val="0"/>
    </w:pPr>
    <w:rPr>
      <w:rFonts w:ascii="Cambria" w:hAnsi="Cambria"/>
      <w:b/>
      <w:bCs/>
      <w:kern w:val="0"/>
      <w:sz w:val="32"/>
      <w:szCs w:val="32"/>
    </w:rPr>
  </w:style>
  <w:style w:type="paragraph" w:styleId="43">
    <w:name w:val="annotation subject"/>
    <w:basedOn w:val="15"/>
    <w:next w:val="15"/>
    <w:link w:val="78"/>
    <w:qFormat/>
    <w:uiPriority w:val="0"/>
    <w:rPr>
      <w:b/>
      <w:bCs/>
    </w:rPr>
  </w:style>
  <w:style w:type="paragraph" w:styleId="44">
    <w:name w:val="Body Text First Indent"/>
    <w:basedOn w:val="17"/>
    <w:next w:val="36"/>
    <w:qFormat/>
    <w:uiPriority w:val="0"/>
    <w:pPr>
      <w:ind w:firstLine="420" w:firstLineChars="100"/>
    </w:p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99"/>
    <w:rPr>
      <w:color w:val="954F72"/>
      <w:u w:val="single"/>
    </w:rPr>
  </w:style>
  <w:style w:type="character" w:styleId="51">
    <w:name w:val="Emphasis"/>
    <w:qFormat/>
    <w:uiPriority w:val="0"/>
    <w:rPr>
      <w:i/>
      <w:iCs/>
    </w:rPr>
  </w:style>
  <w:style w:type="character" w:styleId="52">
    <w:name w:val="Hyperlink"/>
    <w:qFormat/>
    <w:uiPriority w:val="99"/>
    <w:rPr>
      <w:color w:val="000080"/>
      <w:u w:val="none"/>
    </w:rPr>
  </w:style>
  <w:style w:type="character" w:styleId="53">
    <w:name w:val="annotation reference"/>
    <w:qFormat/>
    <w:uiPriority w:val="0"/>
    <w:rPr>
      <w:sz w:val="21"/>
      <w:szCs w:val="21"/>
    </w:rPr>
  </w:style>
  <w:style w:type="character" w:customStyle="1" w:styleId="54">
    <w:name w:val="标题 1 字符"/>
    <w:link w:val="2"/>
    <w:qFormat/>
    <w:uiPriority w:val="0"/>
    <w:rPr>
      <w:b/>
      <w:kern w:val="44"/>
      <w:sz w:val="36"/>
    </w:rPr>
  </w:style>
  <w:style w:type="character" w:customStyle="1" w:styleId="55">
    <w:name w:val="标题 2 字符1"/>
    <w:link w:val="3"/>
    <w:qFormat/>
    <w:uiPriority w:val="0"/>
    <w:rPr>
      <w:rFonts w:ascii="Arial" w:hAnsi="Arial"/>
      <w:b/>
      <w:sz w:val="32"/>
    </w:rPr>
  </w:style>
  <w:style w:type="character" w:customStyle="1" w:styleId="56">
    <w:name w:val="标题 3 字符"/>
    <w:link w:val="4"/>
    <w:qFormat/>
    <w:uiPriority w:val="0"/>
    <w:rPr>
      <w:b/>
      <w:bCs/>
      <w:kern w:val="2"/>
      <w:sz w:val="32"/>
      <w:szCs w:val="32"/>
    </w:rPr>
  </w:style>
  <w:style w:type="character" w:customStyle="1" w:styleId="57">
    <w:name w:val="标题 4 字符1"/>
    <w:link w:val="5"/>
    <w:qFormat/>
    <w:locked/>
    <w:uiPriority w:val="0"/>
    <w:rPr>
      <w:rFonts w:ascii="宋体" w:hAnsi="宋体"/>
      <w:color w:val="000000"/>
      <w:spacing w:val="10"/>
      <w:kern w:val="24"/>
      <w:sz w:val="24"/>
      <w:szCs w:val="24"/>
    </w:rPr>
  </w:style>
  <w:style w:type="character" w:customStyle="1" w:styleId="58">
    <w:name w:val="标题 5 字符"/>
    <w:link w:val="6"/>
    <w:qFormat/>
    <w:locked/>
    <w:uiPriority w:val="0"/>
    <w:rPr>
      <w:spacing w:val="12"/>
      <w:kern w:val="2"/>
      <w:sz w:val="24"/>
    </w:rPr>
  </w:style>
  <w:style w:type="character" w:customStyle="1" w:styleId="59">
    <w:name w:val="正文缩进 字符1"/>
    <w:link w:val="7"/>
    <w:qFormat/>
    <w:uiPriority w:val="0"/>
    <w:rPr>
      <w:kern w:val="2"/>
      <w:sz w:val="21"/>
      <w:szCs w:val="24"/>
    </w:rPr>
  </w:style>
  <w:style w:type="character" w:customStyle="1" w:styleId="60">
    <w:name w:val="标题 6 字符"/>
    <w:link w:val="8"/>
    <w:qFormat/>
    <w:uiPriority w:val="0"/>
    <w:rPr>
      <w:rFonts w:ascii="Arial" w:hAnsi="Arial" w:eastAsia="黑体"/>
      <w:b/>
      <w:bCs/>
      <w:spacing w:val="6"/>
      <w:kern w:val="2"/>
      <w:sz w:val="24"/>
      <w:szCs w:val="24"/>
    </w:rPr>
  </w:style>
  <w:style w:type="character" w:customStyle="1" w:styleId="61">
    <w:name w:val="标题 7 字符"/>
    <w:link w:val="9"/>
    <w:qFormat/>
    <w:uiPriority w:val="0"/>
    <w:rPr>
      <w:b/>
      <w:bCs/>
      <w:spacing w:val="6"/>
      <w:kern w:val="2"/>
      <w:sz w:val="24"/>
      <w:szCs w:val="24"/>
    </w:rPr>
  </w:style>
  <w:style w:type="character" w:customStyle="1" w:styleId="62">
    <w:name w:val="标题 8 字符"/>
    <w:link w:val="10"/>
    <w:qFormat/>
    <w:uiPriority w:val="0"/>
    <w:rPr>
      <w:rFonts w:ascii="Arial" w:hAnsi="Arial" w:eastAsia="黑体"/>
      <w:spacing w:val="6"/>
      <w:kern w:val="2"/>
      <w:sz w:val="24"/>
      <w:szCs w:val="24"/>
    </w:rPr>
  </w:style>
  <w:style w:type="character" w:customStyle="1" w:styleId="63">
    <w:name w:val="标题 9 字符"/>
    <w:link w:val="11"/>
    <w:qFormat/>
    <w:locked/>
    <w:uiPriority w:val="0"/>
    <w:rPr>
      <w:rFonts w:ascii="Arial" w:hAnsi="Arial" w:eastAsia="黑体"/>
      <w:spacing w:val="6"/>
      <w:kern w:val="2"/>
      <w:sz w:val="24"/>
      <w:szCs w:val="24"/>
    </w:rPr>
  </w:style>
  <w:style w:type="character" w:customStyle="1" w:styleId="64">
    <w:name w:val="文档结构图 字符"/>
    <w:link w:val="14"/>
    <w:qFormat/>
    <w:uiPriority w:val="0"/>
    <w:rPr>
      <w:kern w:val="2"/>
      <w:sz w:val="21"/>
      <w:szCs w:val="24"/>
      <w:shd w:val="clear" w:color="auto" w:fill="000080"/>
    </w:rPr>
  </w:style>
  <w:style w:type="character" w:customStyle="1" w:styleId="65">
    <w:name w:val="批注文字 字符"/>
    <w:link w:val="15"/>
    <w:qFormat/>
    <w:uiPriority w:val="99"/>
    <w:rPr>
      <w:kern w:val="2"/>
      <w:sz w:val="21"/>
      <w:szCs w:val="24"/>
    </w:rPr>
  </w:style>
  <w:style w:type="character" w:customStyle="1" w:styleId="66">
    <w:name w:val="正文文本 3 字符"/>
    <w:link w:val="16"/>
    <w:qFormat/>
    <w:locked/>
    <w:uiPriority w:val="99"/>
    <w:rPr>
      <w:rFonts w:ascii="宋体" w:hAnsi="宋体"/>
      <w:kern w:val="2"/>
      <w:sz w:val="24"/>
      <w:szCs w:val="24"/>
    </w:rPr>
  </w:style>
  <w:style w:type="character" w:customStyle="1" w:styleId="67">
    <w:name w:val="正文文本 字符"/>
    <w:link w:val="17"/>
    <w:qFormat/>
    <w:uiPriority w:val="0"/>
    <w:rPr>
      <w:rFonts w:hint="default" w:ascii="Times New Roman" w:hAnsi="Times New Roman" w:eastAsia="宋体" w:cs="Times New Roman"/>
      <w:kern w:val="2"/>
      <w:sz w:val="21"/>
      <w:szCs w:val="24"/>
    </w:rPr>
  </w:style>
  <w:style w:type="character" w:customStyle="1" w:styleId="68">
    <w:name w:val="正文文本缩进 字符"/>
    <w:link w:val="18"/>
    <w:qFormat/>
    <w:uiPriority w:val="0"/>
    <w:rPr>
      <w:kern w:val="2"/>
      <w:sz w:val="28"/>
      <w:szCs w:val="24"/>
    </w:rPr>
  </w:style>
  <w:style w:type="character" w:customStyle="1" w:styleId="69">
    <w:name w:val="纯文本 字符1"/>
    <w:link w:val="25"/>
    <w:qFormat/>
    <w:uiPriority w:val="99"/>
    <w:rPr>
      <w:rFonts w:ascii="宋体" w:hAnsi="Courier New" w:eastAsia="宋体"/>
      <w:kern w:val="2"/>
      <w:sz w:val="21"/>
      <w:lang w:val="en-US" w:eastAsia="zh-CN" w:bidi="ar-SA"/>
    </w:rPr>
  </w:style>
  <w:style w:type="character" w:customStyle="1" w:styleId="70">
    <w:name w:val="日期 字符"/>
    <w:link w:val="27"/>
    <w:qFormat/>
    <w:uiPriority w:val="0"/>
    <w:rPr>
      <w:kern w:val="2"/>
      <w:sz w:val="24"/>
      <w:szCs w:val="24"/>
    </w:rPr>
  </w:style>
  <w:style w:type="character" w:customStyle="1" w:styleId="71">
    <w:name w:val="正文文本缩进 2 字符"/>
    <w:link w:val="28"/>
    <w:qFormat/>
    <w:uiPriority w:val="0"/>
    <w:rPr>
      <w:color w:val="FF0000"/>
      <w:kern w:val="2"/>
      <w:sz w:val="28"/>
      <w:szCs w:val="24"/>
    </w:rPr>
  </w:style>
  <w:style w:type="character" w:customStyle="1" w:styleId="72">
    <w:name w:val="批注框文本 字符"/>
    <w:link w:val="29"/>
    <w:qFormat/>
    <w:uiPriority w:val="0"/>
    <w:rPr>
      <w:kern w:val="2"/>
      <w:sz w:val="18"/>
      <w:szCs w:val="18"/>
    </w:rPr>
  </w:style>
  <w:style w:type="character" w:customStyle="1" w:styleId="73">
    <w:name w:val="页脚 字符1"/>
    <w:link w:val="30"/>
    <w:qFormat/>
    <w:uiPriority w:val="99"/>
    <w:rPr>
      <w:rFonts w:eastAsia="宋体"/>
      <w:kern w:val="2"/>
      <w:sz w:val="18"/>
      <w:szCs w:val="18"/>
      <w:lang w:val="en-US" w:eastAsia="zh-CN" w:bidi="ar-SA"/>
    </w:rPr>
  </w:style>
  <w:style w:type="character" w:customStyle="1" w:styleId="74">
    <w:name w:val="页眉 字符"/>
    <w:link w:val="31"/>
    <w:qFormat/>
    <w:uiPriority w:val="0"/>
    <w:rPr>
      <w:kern w:val="2"/>
      <w:sz w:val="18"/>
      <w:szCs w:val="18"/>
    </w:rPr>
  </w:style>
  <w:style w:type="character" w:customStyle="1" w:styleId="75">
    <w:name w:val="副标题 字符"/>
    <w:link w:val="35"/>
    <w:qFormat/>
    <w:uiPriority w:val="0"/>
    <w:rPr>
      <w:rFonts w:ascii="Cambria" w:hAnsi="Cambria"/>
      <w:b/>
      <w:bCs/>
      <w:kern w:val="28"/>
      <w:sz w:val="32"/>
      <w:szCs w:val="32"/>
    </w:rPr>
  </w:style>
  <w:style w:type="character" w:customStyle="1" w:styleId="76">
    <w:name w:val="正文文本缩进 3 字符"/>
    <w:link w:val="37"/>
    <w:qFormat/>
    <w:uiPriority w:val="0"/>
    <w:rPr>
      <w:kern w:val="2"/>
      <w:sz w:val="28"/>
      <w:szCs w:val="24"/>
    </w:rPr>
  </w:style>
  <w:style w:type="character" w:customStyle="1" w:styleId="77">
    <w:name w:val="标题 Char2"/>
    <w:link w:val="42"/>
    <w:qFormat/>
    <w:uiPriority w:val="0"/>
    <w:rPr>
      <w:rFonts w:ascii="等线 Light" w:hAnsi="等线 Light" w:eastAsia="宋体" w:cs="Times New Roman"/>
      <w:b/>
      <w:bCs/>
      <w:kern w:val="2"/>
      <w:sz w:val="32"/>
      <w:szCs w:val="32"/>
    </w:rPr>
  </w:style>
  <w:style w:type="character" w:customStyle="1" w:styleId="78">
    <w:name w:val="批注主题 字符"/>
    <w:link w:val="43"/>
    <w:qFormat/>
    <w:uiPriority w:val="0"/>
    <w:rPr>
      <w:b/>
      <w:bCs/>
      <w:kern w:val="2"/>
      <w:sz w:val="21"/>
      <w:szCs w:val="24"/>
    </w:rPr>
  </w:style>
  <w:style w:type="character" w:customStyle="1" w:styleId="79">
    <w:name w:val="标题 字符"/>
    <w:link w:val="42"/>
    <w:qFormat/>
    <w:locked/>
    <w:uiPriority w:val="0"/>
    <w:rPr>
      <w:rFonts w:ascii="Cambria" w:hAnsi="Cambria"/>
      <w:b/>
      <w:bCs/>
      <w:sz w:val="32"/>
      <w:szCs w:val="32"/>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No Spacing1"/>
    <w:basedOn w:val="1"/>
    <w:qFormat/>
    <w:uiPriority w:val="0"/>
    <w:pPr>
      <w:widowControl w:val="0"/>
      <w:jc w:val="both"/>
    </w:pPr>
    <w:rPr>
      <w:rFonts w:ascii="Calibri" w:hAnsi="Calibri"/>
      <w:kern w:val="2"/>
      <w:sz w:val="21"/>
      <w:szCs w:val="22"/>
      <w:lang w:val="en-US" w:eastAsia="zh-CN" w:bidi="ar-SA"/>
    </w:rPr>
  </w:style>
  <w:style w:type="paragraph" w:customStyle="1" w:styleId="82">
    <w:name w:val="_Style 2"/>
    <w:basedOn w:val="1"/>
    <w:qFormat/>
    <w:uiPriority w:val="34"/>
    <w:pPr>
      <w:ind w:firstLine="420" w:firstLineChars="200"/>
    </w:pPr>
    <w:rPr>
      <w:rFonts w:ascii="Calibri" w:hAnsi="Calibri"/>
    </w:rPr>
  </w:style>
  <w:style w:type="character" w:customStyle="1" w:styleId="83">
    <w:name w:val="页码1"/>
    <w:qFormat/>
    <w:uiPriority w:val="0"/>
  </w:style>
  <w:style w:type="character" w:customStyle="1" w:styleId="84">
    <w:name w:val="列表段落 字符"/>
    <w:link w:val="85"/>
    <w:qFormat/>
    <w:locked/>
    <w:uiPriority w:val="34"/>
    <w:rPr>
      <w:rFonts w:ascii="Calibri" w:hAnsi="Calibri"/>
      <w:kern w:val="2"/>
      <w:sz w:val="21"/>
      <w:szCs w:val="22"/>
    </w:rPr>
  </w:style>
  <w:style w:type="paragraph" w:styleId="85">
    <w:name w:val="List Paragraph"/>
    <w:basedOn w:val="1"/>
    <w:link w:val="84"/>
    <w:qFormat/>
    <w:uiPriority w:val="34"/>
    <w:pPr>
      <w:ind w:firstLine="420" w:firstLineChars="200"/>
    </w:pPr>
    <w:rPr>
      <w:rFonts w:ascii="Calibri" w:hAnsi="Calibri"/>
      <w:szCs w:val="22"/>
    </w:rPr>
  </w:style>
  <w:style w:type="character" w:customStyle="1" w:styleId="86">
    <w:name w:val="列表项目符号2 Char"/>
    <w:link w:val="87"/>
    <w:qFormat/>
    <w:uiPriority w:val="0"/>
    <w:rPr>
      <w:sz w:val="24"/>
      <w:szCs w:val="24"/>
    </w:rPr>
  </w:style>
  <w:style w:type="paragraph" w:customStyle="1" w:styleId="87">
    <w:name w:val="列表项目符号2"/>
    <w:basedOn w:val="1"/>
    <w:link w:val="86"/>
    <w:qFormat/>
    <w:uiPriority w:val="0"/>
    <w:pPr>
      <w:tabs>
        <w:tab w:val="left" w:pos="978"/>
      </w:tabs>
      <w:adjustRightInd w:val="0"/>
      <w:spacing w:line="360" w:lineRule="auto"/>
      <w:ind w:left="978" w:hanging="420"/>
      <w:textAlignment w:val="baseline"/>
    </w:pPr>
    <w:rPr>
      <w:kern w:val="0"/>
      <w:sz w:val="24"/>
    </w:rPr>
  </w:style>
  <w:style w:type="character" w:customStyle="1" w:styleId="88">
    <w:name w:val="标题 字符1"/>
    <w:qFormat/>
    <w:uiPriority w:val="10"/>
    <w:rPr>
      <w:rFonts w:ascii="等线 Light" w:hAnsi="等线 Light" w:cs="Times New Roman"/>
      <w:b/>
      <w:bCs/>
      <w:kern w:val="2"/>
      <w:sz w:val="32"/>
      <w:szCs w:val="32"/>
    </w:rPr>
  </w:style>
  <w:style w:type="character" w:customStyle="1" w:styleId="89">
    <w:name w:val="正文缩进 字符"/>
    <w:qFormat/>
    <w:uiPriority w:val="0"/>
    <w:rPr>
      <w:kern w:val="2"/>
      <w:sz w:val="21"/>
      <w:szCs w:val="24"/>
    </w:rPr>
  </w:style>
  <w:style w:type="character" w:customStyle="1" w:styleId="90">
    <w:name w:val="纯文本 Char1"/>
    <w:link w:val="91"/>
    <w:qFormat/>
    <w:uiPriority w:val="0"/>
    <w:rPr>
      <w:rFonts w:ascii="宋体" w:hAnsi="Courier New"/>
      <w:kern w:val="2"/>
      <w:sz w:val="21"/>
      <w:szCs w:val="22"/>
    </w:rPr>
  </w:style>
  <w:style w:type="paragraph" w:customStyle="1" w:styleId="91">
    <w:name w:val="纯文本1"/>
    <w:basedOn w:val="1"/>
    <w:link w:val="90"/>
    <w:qFormat/>
    <w:uiPriority w:val="0"/>
    <w:rPr>
      <w:rFonts w:ascii="宋体" w:hAnsi="Courier New"/>
      <w:szCs w:val="22"/>
    </w:rPr>
  </w:style>
  <w:style w:type="character" w:customStyle="1" w:styleId="92">
    <w:name w:val="font21"/>
    <w:qFormat/>
    <w:uiPriority w:val="0"/>
    <w:rPr>
      <w:rFonts w:hint="eastAsia" w:ascii="宋体" w:hAnsi="宋体" w:eastAsia="宋体" w:cs="宋体"/>
      <w:color w:val="000000"/>
      <w:sz w:val="20"/>
      <w:szCs w:val="20"/>
      <w:u w:val="none"/>
    </w:rPr>
  </w:style>
  <w:style w:type="character" w:customStyle="1" w:styleId="93">
    <w:name w:val="纯文本 字符"/>
    <w:qFormat/>
    <w:uiPriority w:val="0"/>
    <w:rPr>
      <w:rFonts w:ascii="宋体" w:hAnsi="Courier New" w:eastAsia="宋体" w:cs="Courier New"/>
      <w:szCs w:val="21"/>
    </w:rPr>
  </w:style>
  <w:style w:type="character" w:customStyle="1" w:styleId="94">
    <w:name w:val="页脚 字符"/>
    <w:qFormat/>
    <w:uiPriority w:val="0"/>
  </w:style>
  <w:style w:type="character" w:customStyle="1" w:styleId="95">
    <w:name w:val="zbggmain style9"/>
    <w:qFormat/>
    <w:uiPriority w:val="0"/>
  </w:style>
  <w:style w:type="character" w:customStyle="1" w:styleId="96">
    <w:name w:val="font11"/>
    <w:qFormat/>
    <w:uiPriority w:val="0"/>
    <w:rPr>
      <w:rFonts w:hint="eastAsia" w:ascii="宋体" w:hAnsi="宋体" w:eastAsia="宋体" w:cs="宋体"/>
      <w:color w:val="000000"/>
      <w:sz w:val="20"/>
      <w:szCs w:val="20"/>
      <w:u w:val="none"/>
      <w:vertAlign w:val="superscript"/>
    </w:rPr>
  </w:style>
  <w:style w:type="character" w:customStyle="1" w:styleId="97">
    <w:name w:val="font31"/>
    <w:qFormat/>
    <w:uiPriority w:val="0"/>
    <w:rPr>
      <w:rFonts w:hint="eastAsia" w:ascii="宋体" w:hAnsi="宋体" w:eastAsia="宋体" w:cs="宋体"/>
      <w:color w:val="000000"/>
      <w:sz w:val="20"/>
      <w:szCs w:val="20"/>
      <w:u w:val="none"/>
    </w:rPr>
  </w:style>
  <w:style w:type="character" w:customStyle="1" w:styleId="98">
    <w:name w:val="纯文本 Char Char Char1"/>
    <w:qFormat/>
    <w:uiPriority w:val="0"/>
    <w:rPr>
      <w:rFonts w:ascii="宋体" w:hAnsi="Courier New" w:eastAsia="宋体" w:cs="Courier New"/>
      <w:kern w:val="2"/>
      <w:sz w:val="21"/>
      <w:szCs w:val="21"/>
      <w:lang w:val="en-US" w:eastAsia="zh-CN" w:bidi="ar-SA"/>
    </w:rPr>
  </w:style>
  <w:style w:type="paragraph" w:customStyle="1" w:styleId="99">
    <w:name w:val="列出段落1"/>
    <w:basedOn w:val="1"/>
    <w:qFormat/>
    <w:uiPriority w:val="0"/>
    <w:pPr>
      <w:ind w:firstLine="420" w:firstLineChars="200"/>
    </w:pPr>
  </w:style>
  <w:style w:type="paragraph" w:customStyle="1" w:styleId="100">
    <w:name w:val="Char2"/>
    <w:basedOn w:val="1"/>
    <w:qFormat/>
    <w:uiPriority w:val="0"/>
    <w:rPr>
      <w:rFonts w:ascii="仿宋_GB2312" w:eastAsia="仿宋_GB2312"/>
      <w:b/>
      <w:sz w:val="32"/>
      <w:szCs w:val="32"/>
    </w:rPr>
  </w:style>
  <w:style w:type="paragraph" w:customStyle="1" w:styleId="101">
    <w:name w:val="标书正文"/>
    <w:basedOn w:val="17"/>
    <w:qFormat/>
    <w:uiPriority w:val="0"/>
    <w:pPr>
      <w:adjustRightInd w:val="0"/>
      <w:snapToGrid w:val="0"/>
      <w:spacing w:line="400" w:lineRule="exact"/>
      <w:ind w:firstLine="1276"/>
    </w:pPr>
    <w:rPr>
      <w:rFonts w:ascii="宋体" w:hAnsi="宋体"/>
      <w:b w:val="0"/>
      <w:spacing w:val="0"/>
      <w:kern w:val="0"/>
      <w:sz w:val="24"/>
    </w:rPr>
  </w:style>
  <w:style w:type="paragraph" w:customStyle="1" w:styleId="102">
    <w:name w:val="_Style 101"/>
    <w:qFormat/>
    <w:uiPriority w:val="0"/>
    <w:rPr>
      <w:rFonts w:ascii="Times New Roman" w:hAnsi="Times New Roman" w:eastAsia="宋体" w:cs="Times New Roman"/>
      <w:kern w:val="2"/>
      <w:sz w:val="21"/>
      <w:szCs w:val="24"/>
      <w:lang w:val="en-US" w:eastAsia="zh-CN" w:bidi="ar-SA"/>
    </w:rPr>
  </w:style>
  <w:style w:type="paragraph" w:customStyle="1" w:styleId="103">
    <w:name w:val="样式1"/>
    <w:basedOn w:val="1"/>
    <w:qFormat/>
    <w:uiPriority w:val="0"/>
    <w:pPr>
      <w:spacing w:before="120" w:after="120" w:line="300" w:lineRule="auto"/>
    </w:pPr>
    <w:rPr>
      <w:rFonts w:ascii="宋体" w:hAnsi="宋体"/>
      <w:b/>
      <w:sz w:val="24"/>
      <w:szCs w:val="20"/>
    </w:rPr>
  </w:style>
  <w:style w:type="paragraph" w:customStyle="1" w:styleId="104">
    <w:name w:val="样式 标题 3 + 非加粗 自动设置"/>
    <w:basedOn w:val="4"/>
    <w:qFormat/>
    <w:uiPriority w:val="0"/>
    <w:pPr>
      <w:spacing w:before="120" w:after="120" w:line="700" w:lineRule="exact"/>
      <w:jc w:val="left"/>
    </w:pPr>
    <w:rPr>
      <w:rFonts w:ascii="宋体" w:hAnsi="宋体"/>
      <w:b w:val="0"/>
      <w:bCs w:val="0"/>
      <w:spacing w:val="10"/>
      <w:kern w:val="24"/>
      <w:sz w:val="28"/>
    </w:rPr>
  </w:style>
  <w:style w:type="paragraph" w:customStyle="1" w:styleId="105">
    <w:name w:val="正文（项目编号）"/>
    <w:basedOn w:val="1"/>
    <w:qFormat/>
    <w:uiPriority w:val="0"/>
    <w:pPr>
      <w:numPr>
        <w:ilvl w:val="0"/>
        <w:numId w:val="2"/>
      </w:numPr>
      <w:spacing w:line="480" w:lineRule="exact"/>
    </w:pPr>
    <w:rPr>
      <w:bCs/>
      <w:sz w:val="28"/>
      <w:szCs w:val="20"/>
    </w:rPr>
  </w:style>
  <w:style w:type="paragraph" w:customStyle="1" w:styleId="106">
    <w:name w:val="小节"/>
    <w:basedOn w:val="4"/>
    <w:qFormat/>
    <w:uiPriority w:val="0"/>
    <w:pPr>
      <w:spacing w:before="200" w:after="200" w:line="560" w:lineRule="exact"/>
      <w:jc w:val="left"/>
    </w:pPr>
    <w:rPr>
      <w:rFonts w:ascii="宋体" w:hAnsi="宋体"/>
      <w:bCs w:val="0"/>
      <w:color w:val="000000"/>
      <w:spacing w:val="10"/>
      <w:kern w:val="24"/>
      <w:sz w:val="28"/>
    </w:rPr>
  </w:style>
  <w:style w:type="paragraph" w:customStyle="1" w:styleId="107">
    <w:name w:val="1正文首行缩进"/>
    <w:basedOn w:val="1"/>
    <w:qFormat/>
    <w:uiPriority w:val="0"/>
    <w:pPr>
      <w:spacing w:line="460" w:lineRule="atLeast"/>
      <w:ind w:firstLine="200" w:firstLineChars="200"/>
    </w:pPr>
    <w:rPr>
      <w:rFonts w:ascii="宋体" w:hAnsi="宋体"/>
      <w:sz w:val="24"/>
    </w:rPr>
  </w:style>
  <w:style w:type="paragraph" w:customStyle="1" w:styleId="108">
    <w:name w:val="普通(网站)1"/>
    <w:basedOn w:val="1"/>
    <w:qFormat/>
    <w:uiPriority w:val="0"/>
    <w:pPr>
      <w:widowControl/>
      <w:spacing w:before="100" w:beforeAutospacing="1" w:after="100" w:afterAutospacing="1"/>
    </w:pPr>
    <w:rPr>
      <w:rFonts w:hint="eastAsia" w:ascii="宋体" w:hAnsi="宋体" w:eastAsia="²Ó©úÅé"/>
      <w:kern w:val="0"/>
      <w:sz w:val="24"/>
      <w:szCs w:val="20"/>
    </w:rPr>
  </w:style>
  <w:style w:type="paragraph" w:customStyle="1" w:styleId="109">
    <w:name w:val="标书标题2"/>
    <w:basedOn w:val="3"/>
    <w:qFormat/>
    <w:uiPriority w:val="0"/>
    <w:pPr>
      <w:keepLines w:val="0"/>
      <w:tabs>
        <w:tab w:val="left" w:pos="567"/>
      </w:tabs>
      <w:spacing w:beforeLines="50" w:afterLines="0" w:line="300" w:lineRule="auto"/>
      <w:ind w:left="567" w:hanging="567"/>
      <w:jc w:val="left"/>
    </w:pPr>
    <w:rPr>
      <w:rFonts w:ascii="Arial Narrow" w:hAnsi="Arial Narrow" w:eastAsia="仿宋_GB2312"/>
      <w:sz w:val="28"/>
    </w:rPr>
  </w:style>
  <w:style w:type="paragraph" w:customStyle="1" w:styleId="110">
    <w:name w:val="列出段落2"/>
    <w:basedOn w:val="1"/>
    <w:qFormat/>
    <w:uiPriority w:val="0"/>
    <w:pPr>
      <w:ind w:firstLine="420" w:firstLineChars="200"/>
    </w:pPr>
  </w:style>
  <w:style w:type="paragraph" w:customStyle="1" w:styleId="111">
    <w:name w:val="默认段落字体 Para Char Char Char Char Char Char Char"/>
    <w:basedOn w:val="1"/>
    <w:qFormat/>
    <w:uiPriority w:val="0"/>
    <w:rPr>
      <w:rFonts w:ascii="Tahoma" w:hAnsi="Tahoma"/>
      <w:sz w:val="24"/>
      <w:szCs w:val="20"/>
    </w:rPr>
  </w:style>
  <w:style w:type="paragraph" w:customStyle="1" w:styleId="112">
    <w:name w:val="简单回函地址"/>
    <w:basedOn w:val="1"/>
    <w:qFormat/>
    <w:uiPriority w:val="0"/>
    <w:pPr>
      <w:spacing w:line="460" w:lineRule="exact"/>
      <w:ind w:firstLine="200" w:firstLineChars="200"/>
    </w:pPr>
    <w:rPr>
      <w:spacing w:val="12"/>
      <w:sz w:val="24"/>
      <w:szCs w:val="20"/>
    </w:rPr>
  </w:style>
  <w:style w:type="paragraph" w:customStyle="1" w:styleId="113">
    <w:name w:val="章正文"/>
    <w:basedOn w:val="1"/>
    <w:qFormat/>
    <w:uiPriority w:val="0"/>
    <w:pPr>
      <w:spacing w:beforeLines="50" w:after="120" w:line="300" w:lineRule="auto"/>
      <w:ind w:firstLine="480"/>
    </w:pPr>
    <w:rPr>
      <w:rFonts w:ascii="Helvetica" w:hAnsi="Helvetica"/>
      <w:kern w:val="0"/>
      <w:sz w:val="24"/>
    </w:rPr>
  </w:style>
  <w:style w:type="paragraph" w:customStyle="1" w:styleId="11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5">
    <w:name w:val="bullets (T)"/>
    <w:basedOn w:val="1"/>
    <w:qFormat/>
    <w:uiPriority w:val="0"/>
    <w:pPr>
      <w:numPr>
        <w:ilvl w:val="0"/>
        <w:numId w:val="3"/>
      </w:numPr>
      <w:spacing w:after="100" w:line="240" w:lineRule="exact"/>
    </w:pPr>
    <w:rPr>
      <w:snapToGrid w:val="0"/>
      <w:color w:val="000000"/>
      <w:sz w:val="20"/>
      <w:szCs w:val="20"/>
    </w:rPr>
  </w:style>
  <w:style w:type="paragraph" w:customStyle="1" w:styleId="116">
    <w:name w:val="2"/>
    <w:basedOn w:val="1"/>
    <w:next w:val="1"/>
    <w:qFormat/>
    <w:uiPriority w:val="39"/>
    <w:pPr>
      <w:ind w:left="420" w:leftChars="200"/>
    </w:pPr>
  </w:style>
  <w:style w:type="paragraph" w:customStyle="1" w:styleId="117">
    <w:name w:val="WPSOffice手动目录 1"/>
    <w:qFormat/>
    <w:uiPriority w:val="0"/>
    <w:rPr>
      <w:rFonts w:ascii="Times New Roman" w:hAnsi="Times New Roman" w:eastAsia="宋体" w:cs="Times New Roman"/>
      <w:lang w:val="en-US" w:eastAsia="zh-CN" w:bidi="ar-SA"/>
    </w:rPr>
  </w:style>
  <w:style w:type="paragraph" w:customStyle="1" w:styleId="118">
    <w:name w:val="PP 行"/>
    <w:basedOn w:val="32"/>
    <w:qFormat/>
    <w:uiPriority w:val="0"/>
  </w:style>
  <w:style w:type="paragraph" w:customStyle="1" w:styleId="119">
    <w:name w:val="节"/>
    <w:basedOn w:val="3"/>
    <w:qFormat/>
    <w:uiPriority w:val="0"/>
    <w:pPr>
      <w:widowControl w:val="0"/>
      <w:adjustRightInd/>
      <w:snapToGrid/>
      <w:spacing w:beforeLines="0" w:afterLines="0" w:line="720" w:lineRule="exact"/>
    </w:pPr>
    <w:rPr>
      <w:rFonts w:eastAsia="黑体"/>
      <w:b w:val="0"/>
      <w:spacing w:val="14"/>
      <w:kern w:val="24"/>
    </w:rPr>
  </w:style>
  <w:style w:type="paragraph" w:customStyle="1" w:styleId="120">
    <w:name w:val="p0"/>
    <w:basedOn w:val="1"/>
    <w:qFormat/>
    <w:uiPriority w:val="0"/>
    <w:pPr>
      <w:widowControl/>
    </w:pPr>
    <w:rPr>
      <w:kern w:val="0"/>
      <w:szCs w:val="21"/>
    </w:rPr>
  </w:style>
  <w:style w:type="paragraph" w:customStyle="1" w:styleId="121">
    <w:name w:val="页脚1"/>
    <w:basedOn w:val="1"/>
    <w:qFormat/>
    <w:uiPriority w:val="0"/>
    <w:pPr>
      <w:tabs>
        <w:tab w:val="center" w:pos="4153"/>
        <w:tab w:val="right" w:pos="8306"/>
      </w:tabs>
      <w:snapToGrid w:val="0"/>
    </w:pPr>
    <w:rPr>
      <w:rFonts w:ascii="Courier" w:hAnsi="Courier"/>
      <w:kern w:val="0"/>
      <w:sz w:val="18"/>
      <w:szCs w:val="20"/>
    </w:rPr>
  </w:style>
  <w:style w:type="paragraph" w:customStyle="1" w:styleId="122">
    <w:name w:val="样式3"/>
    <w:basedOn w:val="25"/>
    <w:qFormat/>
    <w:uiPriority w:val="0"/>
    <w:pPr>
      <w:adjustRightInd w:val="0"/>
      <w:spacing w:line="0" w:lineRule="atLeast"/>
      <w:textAlignment w:val="baseline"/>
      <w:outlineLvl w:val="0"/>
    </w:pPr>
    <w:rPr>
      <w:sz w:val="28"/>
    </w:rPr>
  </w:style>
  <w:style w:type="paragraph" w:customStyle="1" w:styleId="123">
    <w:name w:val="样式 标题 3 + 红色"/>
    <w:basedOn w:val="4"/>
    <w:qFormat/>
    <w:uiPriority w:val="0"/>
    <w:pPr>
      <w:spacing w:before="120" w:after="120" w:line="700" w:lineRule="exact"/>
      <w:jc w:val="left"/>
    </w:pPr>
    <w:rPr>
      <w:rFonts w:ascii="宋体" w:hAnsi="宋体"/>
      <w:color w:val="FF0000"/>
      <w:spacing w:val="10"/>
      <w:kern w:val="24"/>
      <w:sz w:val="28"/>
    </w:rPr>
  </w:style>
  <w:style w:type="paragraph" w:customStyle="1" w:styleId="124">
    <w:name w:val="my title2"/>
    <w:basedOn w:val="1"/>
    <w:qFormat/>
    <w:uiPriority w:val="0"/>
    <w:pPr>
      <w:widowControl/>
    </w:pPr>
    <w:rPr>
      <w:rFonts w:eastAsia="仿宋_GB2312"/>
      <w:kern w:val="0"/>
      <w:sz w:val="24"/>
      <w:szCs w:val="20"/>
    </w:rPr>
  </w:style>
  <w:style w:type="paragraph" w:customStyle="1" w:styleId="125">
    <w:name w:val="正文文字格式"/>
    <w:basedOn w:val="1"/>
    <w:qFormat/>
    <w:uiPriority w:val="0"/>
    <w:pPr>
      <w:spacing w:line="460" w:lineRule="exact"/>
      <w:ind w:firstLine="505"/>
      <w:jc w:val="left"/>
    </w:pPr>
    <w:rPr>
      <w:rFonts w:ascii="宋体"/>
      <w:kern w:val="24"/>
      <w:sz w:val="24"/>
      <w:szCs w:val="20"/>
    </w:rPr>
  </w:style>
  <w:style w:type="paragraph" w:customStyle="1" w:styleId="126">
    <w:name w:val="样式 正文（首行缩进两字） + 首行缩进:  2 字符"/>
    <w:basedOn w:val="7"/>
    <w:qFormat/>
    <w:uiPriority w:val="0"/>
    <w:pPr>
      <w:spacing w:line="460" w:lineRule="exact"/>
      <w:ind w:firstLine="536"/>
    </w:pPr>
    <w:rPr>
      <w:rFonts w:cs="宋体"/>
      <w:spacing w:val="6"/>
      <w:kern w:val="24"/>
      <w:sz w:val="24"/>
    </w:rPr>
  </w:style>
  <w:style w:type="paragraph" w:customStyle="1" w:styleId="127">
    <w:name w:val="正文文字表格居中"/>
    <w:basedOn w:val="1"/>
    <w:next w:val="40"/>
    <w:qFormat/>
    <w:uiPriority w:val="0"/>
    <w:pPr>
      <w:spacing w:line="400" w:lineRule="exact"/>
      <w:jc w:val="center"/>
    </w:pPr>
    <w:rPr>
      <w:b/>
      <w:bCs/>
      <w:sz w:val="24"/>
    </w:rPr>
  </w:style>
  <w:style w:type="paragraph" w:customStyle="1" w:styleId="12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2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0">
    <w:name w:val="1"/>
    <w:basedOn w:val="1"/>
    <w:next w:val="18"/>
    <w:qFormat/>
    <w:uiPriority w:val="0"/>
    <w:pPr>
      <w:widowControl/>
      <w:autoSpaceDE w:val="0"/>
      <w:autoSpaceDN w:val="0"/>
      <w:spacing w:line="440" w:lineRule="atLeast"/>
      <w:ind w:firstLine="465" w:firstLineChars="200"/>
      <w:textAlignment w:val="bottom"/>
    </w:pPr>
    <w:rPr>
      <w:spacing w:val="12"/>
      <w:sz w:val="24"/>
      <w:szCs w:val="20"/>
    </w:rPr>
  </w:style>
  <w:style w:type="paragraph" w:customStyle="1" w:styleId="131">
    <w:name w:val="_Style 130"/>
    <w:basedOn w:val="2"/>
    <w:next w:val="1"/>
    <w:qFormat/>
    <w:uiPriority w:val="0"/>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132">
    <w:name w:val="Indent a)"/>
    <w:basedOn w:val="1"/>
    <w:qFormat/>
    <w:uiPriority w:val="0"/>
    <w:pPr>
      <w:widowControl/>
      <w:tabs>
        <w:tab w:val="left" w:pos="1843"/>
        <w:tab w:val="right" w:pos="9072"/>
      </w:tabs>
      <w:suppressAutoHyphens/>
      <w:spacing w:line="360" w:lineRule="auto"/>
      <w:ind w:right="-21" w:rightChars="-10"/>
    </w:pPr>
    <w:rPr>
      <w:rFonts w:ascii="宋体" w:hAnsi="宋体"/>
      <w:b/>
      <w:sz w:val="24"/>
    </w:rPr>
  </w:style>
  <w:style w:type="paragraph" w:customStyle="1" w:styleId="133">
    <w:name w:val="标书标题4"/>
    <w:basedOn w:val="5"/>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134">
    <w:name w:val="表格正文"/>
    <w:qFormat/>
    <w:uiPriority w:val="0"/>
    <w:pPr>
      <w:snapToGrid w:val="0"/>
      <w:spacing w:before="60" w:after="60"/>
      <w:ind w:left="11"/>
      <w:jc w:val="center"/>
    </w:pPr>
    <w:rPr>
      <w:rFonts w:ascii="Times New Roman" w:hAnsi="Times New Roman" w:eastAsia="宋体" w:cs="Times New Roman"/>
      <w:sz w:val="21"/>
      <w:lang w:val="en-US" w:eastAsia="zh-CN" w:bidi="ar-SA"/>
    </w:rPr>
  </w:style>
  <w:style w:type="paragraph" w:customStyle="1" w:styleId="135">
    <w:name w:val="正文2"/>
    <w:basedOn w:val="1"/>
    <w:qFormat/>
    <w:uiPriority w:val="0"/>
    <w:pPr>
      <w:tabs>
        <w:tab w:val="left" w:pos="360"/>
      </w:tabs>
      <w:spacing w:line="480" w:lineRule="exact"/>
      <w:outlineLvl w:val="2"/>
    </w:pPr>
    <w:rPr>
      <w:sz w:val="28"/>
      <w:szCs w:val="20"/>
    </w:rPr>
  </w:style>
  <w:style w:type="paragraph" w:customStyle="1" w:styleId="136">
    <w:name w:val="报告正文"/>
    <w:basedOn w:val="1"/>
    <w:qFormat/>
    <w:uiPriority w:val="0"/>
    <w:pPr>
      <w:spacing w:beforeLines="50" w:afterLines="50" w:line="240" w:lineRule="atLeast"/>
      <w:ind w:firstLine="480" w:firstLineChars="200"/>
    </w:pPr>
    <w:rPr>
      <w:sz w:val="24"/>
    </w:rPr>
  </w:style>
  <w:style w:type="paragraph" w:customStyle="1" w:styleId="137">
    <w:name w:val="标书标题3"/>
    <w:basedOn w:val="4"/>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38">
    <w:name w:val="3"/>
    <w:basedOn w:val="1"/>
    <w:qFormat/>
    <w:uiPriority w:val="0"/>
    <w:pPr>
      <w:adjustRightInd w:val="0"/>
      <w:spacing w:line="312" w:lineRule="atLeast"/>
      <w:ind w:left="1134" w:hanging="566"/>
      <w:textAlignment w:val="baseline"/>
    </w:pPr>
    <w:rPr>
      <w:rFonts w:ascii="昆仑楷体" w:eastAsia="昆仑楷体"/>
      <w:kern w:val="0"/>
      <w:sz w:val="24"/>
      <w:szCs w:val="20"/>
    </w:rPr>
  </w:style>
  <w:style w:type="paragraph" w:customStyle="1" w:styleId="139">
    <w:name w:val=" Char2"/>
    <w:basedOn w:val="1"/>
    <w:qFormat/>
    <w:uiPriority w:val="0"/>
    <w:rPr>
      <w:rFonts w:ascii="仿宋_GB2312" w:eastAsia="仿宋_GB2312"/>
      <w:b/>
      <w:sz w:val="32"/>
      <w:szCs w:val="32"/>
    </w:rPr>
  </w:style>
  <w:style w:type="paragraph" w:customStyle="1" w:styleId="140">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1">
    <w:name w:val="表内文字"/>
    <w:basedOn w:val="1"/>
    <w:qFormat/>
    <w:uiPriority w:val="0"/>
    <w:pPr>
      <w:jc w:val="center"/>
    </w:pPr>
    <w:rPr>
      <w:rFonts w:ascii="仿宋_GB2312" w:eastAsia="仿宋_GB2312"/>
      <w:sz w:val="24"/>
    </w:rPr>
  </w:style>
  <w:style w:type="paragraph" w:customStyle="1" w:styleId="142">
    <w:name w:val="Body Text Indent"/>
    <w:basedOn w:val="1"/>
    <w:qFormat/>
    <w:uiPriority w:val="0"/>
    <w:pPr>
      <w:spacing w:line="200" w:lineRule="exact"/>
      <w:ind w:firstLine="301"/>
    </w:pPr>
    <w:rPr>
      <w:rFonts w:ascii="宋体" w:hAnsi="Courier New"/>
      <w:spacing w:val="-4"/>
      <w:sz w:val="18"/>
      <w:szCs w:val="20"/>
    </w:rPr>
  </w:style>
  <w:style w:type="paragraph" w:customStyle="1" w:styleId="143">
    <w:name w:val="Body Text 21"/>
    <w:basedOn w:val="1"/>
    <w:next w:val="1"/>
    <w:qFormat/>
    <w:uiPriority w:val="0"/>
    <w:pPr>
      <w:widowControl/>
      <w:spacing w:line="300" w:lineRule="auto"/>
      <w:jc w:val="center"/>
    </w:pPr>
    <w:rPr>
      <w:rFonts w:ascii="宋体"/>
      <w:color w:val="000000"/>
      <w:sz w:val="24"/>
      <w:szCs w:val="20"/>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标题 11"/>
    <w:basedOn w:val="1"/>
    <w:next w:val="1"/>
    <w:qFormat/>
    <w:uiPriority w:val="0"/>
    <w:pPr>
      <w:spacing w:line="480" w:lineRule="auto"/>
      <w:jc w:val="center"/>
      <w:outlineLvl w:val="0"/>
    </w:pPr>
    <w:rPr>
      <w:b/>
      <w:kern w:val="44"/>
      <w:sz w:val="36"/>
      <w:szCs w:val="20"/>
    </w:rPr>
  </w:style>
  <w:style w:type="character" w:customStyle="1" w:styleId="146">
    <w:name w:val="_Style 145"/>
    <w:unhideWhenUsed/>
    <w:qFormat/>
    <w:uiPriority w:val="99"/>
    <w:rPr>
      <w:color w:val="808080"/>
      <w:shd w:val="clear" w:color="auto" w:fill="E6E6E6"/>
    </w:rPr>
  </w:style>
  <w:style w:type="paragraph" w:customStyle="1" w:styleId="147">
    <w:name w:val="纯文本2"/>
    <w:basedOn w:val="1"/>
    <w:qFormat/>
    <w:uiPriority w:val="0"/>
    <w:pPr>
      <w:adjustRightInd w:val="0"/>
      <w:spacing w:line="240" w:lineRule="auto"/>
      <w:textAlignment w:val="baseline"/>
    </w:pPr>
    <w:rPr>
      <w:rFonts w:ascii="宋体" w:hAnsi="Courier New" w:eastAsia="楷体_GB2312"/>
      <w:sz w:val="26"/>
      <w:szCs w:val="20"/>
    </w:rPr>
  </w:style>
  <w:style w:type="paragraph" w:customStyle="1" w:styleId="1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50">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51">
    <w:name w:val="纯文本 字符3"/>
    <w:qFormat/>
    <w:locked/>
    <w:uiPriority w:val="0"/>
    <w:rPr>
      <w:rFonts w:ascii="宋体" w:hAnsi="Courier New" w:eastAsia="宋体"/>
    </w:rPr>
  </w:style>
  <w:style w:type="character" w:customStyle="1" w:styleId="152">
    <w:name w:val="批注文字 Char Char"/>
    <w:qFormat/>
    <w:uiPriority w:val="0"/>
    <w:rPr>
      <w:rFonts w:ascii="宋体" w:hAnsi="Times New Roman" w:eastAsia="宋体" w:cs="Times New Roman"/>
      <w:sz w:val="28"/>
      <w:szCs w:val="20"/>
    </w:rPr>
  </w:style>
  <w:style w:type="character" w:customStyle="1" w:styleId="153">
    <w:name w:val="ca-341"/>
    <w:qFormat/>
    <w:uiPriority w:val="0"/>
    <w:rPr>
      <w:rFonts w:hint="eastAsia" w:ascii="宋体" w:hAnsi="宋体" w:eastAsia="宋体"/>
      <w:color w:val="000000"/>
      <w:sz w:val="20"/>
      <w:szCs w:val="20"/>
    </w:rPr>
  </w:style>
  <w:style w:type="character" w:customStyle="1" w:styleId="154">
    <w:name w:val="_Style 153"/>
    <w:qFormat/>
    <w:uiPriority w:val="0"/>
    <w:rPr>
      <w:i/>
      <w:iCs/>
      <w:color w:val="808080"/>
    </w:rPr>
  </w:style>
  <w:style w:type="character" w:customStyle="1" w:styleId="155">
    <w:name w:val="标题5 Char Char"/>
    <w:link w:val="156"/>
    <w:qFormat/>
    <w:uiPriority w:val="0"/>
    <w:rPr>
      <w:rFonts w:ascii="Arial" w:hAnsi="Arial"/>
      <w:b/>
      <w:bCs/>
      <w:sz w:val="24"/>
      <w:szCs w:val="32"/>
    </w:rPr>
  </w:style>
  <w:style w:type="paragraph" w:customStyle="1" w:styleId="156">
    <w:name w:val="标题5"/>
    <w:basedOn w:val="4"/>
    <w:link w:val="155"/>
    <w:qFormat/>
    <w:uiPriority w:val="0"/>
    <w:pPr>
      <w:spacing w:line="413" w:lineRule="auto"/>
    </w:pPr>
    <w:rPr>
      <w:rFonts w:ascii="Arial" w:hAnsi="Arial"/>
      <w:kern w:val="0"/>
      <w:sz w:val="24"/>
    </w:rPr>
  </w:style>
  <w:style w:type="character" w:customStyle="1" w:styleId="157">
    <w:name w:val="文档结构图 字符1"/>
    <w:qFormat/>
    <w:uiPriority w:val="99"/>
    <w:rPr>
      <w:rFonts w:ascii="Microsoft YaHei UI" w:eastAsia="Microsoft YaHei UI"/>
      <w:sz w:val="18"/>
      <w:szCs w:val="18"/>
    </w:rPr>
  </w:style>
  <w:style w:type="character" w:customStyle="1" w:styleId="158">
    <w:name w:val="引用 字符1"/>
    <w:qFormat/>
    <w:uiPriority w:val="29"/>
    <w:rPr>
      <w:i/>
      <w:iCs/>
      <w:color w:val="404040"/>
      <w:sz w:val="24"/>
      <w:szCs w:val="24"/>
    </w:rPr>
  </w:style>
  <w:style w:type="character" w:customStyle="1" w:styleId="159">
    <w:name w:val="s3"/>
    <w:qFormat/>
    <w:uiPriority w:val="0"/>
  </w:style>
  <w:style w:type="character" w:customStyle="1" w:styleId="160">
    <w:name w:val="批注主题 Char1"/>
    <w:qFormat/>
    <w:uiPriority w:val="0"/>
    <w:rPr>
      <w:b/>
      <w:bCs/>
      <w:kern w:val="2"/>
      <w:sz w:val="21"/>
      <w:szCs w:val="22"/>
    </w:rPr>
  </w:style>
  <w:style w:type="character" w:customStyle="1" w:styleId="161">
    <w:name w:val="纯文本 字符2"/>
    <w:qFormat/>
    <w:locked/>
    <w:uiPriority w:val="0"/>
    <w:rPr>
      <w:rFonts w:ascii="宋体" w:hAnsi="Courier New" w:eastAsia="宋体"/>
    </w:rPr>
  </w:style>
  <w:style w:type="character" w:customStyle="1" w:styleId="162">
    <w:name w:val="样式 正文文本 Char"/>
    <w:link w:val="163"/>
    <w:qFormat/>
    <w:uiPriority w:val="0"/>
    <w:rPr>
      <w:rFonts w:ascii="Arial" w:hAnsi="Arial"/>
      <w:color w:val="000000"/>
      <w:kern w:val="2"/>
      <w:sz w:val="21"/>
    </w:rPr>
  </w:style>
  <w:style w:type="paragraph" w:customStyle="1" w:styleId="163">
    <w:name w:val="样式 正文文本"/>
    <w:basedOn w:val="1"/>
    <w:link w:val="162"/>
    <w:qFormat/>
    <w:uiPriority w:val="0"/>
    <w:pPr>
      <w:adjustRightInd w:val="0"/>
      <w:snapToGrid w:val="0"/>
      <w:spacing w:line="400" w:lineRule="exact"/>
    </w:pPr>
    <w:rPr>
      <w:rFonts w:ascii="Arial" w:hAnsi="Arial"/>
      <w:color w:val="000000"/>
      <w:szCs w:val="20"/>
    </w:rPr>
  </w:style>
  <w:style w:type="character" w:customStyle="1" w:styleId="164">
    <w:name w:val="_Style 163"/>
    <w:qFormat/>
    <w:uiPriority w:val="0"/>
    <w:rPr>
      <w:smallCaps/>
      <w:color w:val="C0504D"/>
      <w:u w:val="single"/>
    </w:rPr>
  </w:style>
  <w:style w:type="character" w:customStyle="1" w:styleId="165">
    <w:name w:val="引用 Char1"/>
    <w:qFormat/>
    <w:uiPriority w:val="29"/>
    <w:rPr>
      <w:rFonts w:ascii="宋体"/>
      <w:i/>
      <w:iCs/>
      <w:color w:val="000000"/>
      <w:kern w:val="2"/>
      <w:sz w:val="28"/>
    </w:rPr>
  </w:style>
  <w:style w:type="character" w:customStyle="1" w:styleId="166">
    <w:name w:val="个人答复风格"/>
    <w:qFormat/>
    <w:uiPriority w:val="0"/>
    <w:rPr>
      <w:rFonts w:ascii="Arial" w:hAnsi="Arial" w:eastAsia="宋体" w:cs="Arial"/>
      <w:color w:val="auto"/>
      <w:sz w:val="20"/>
    </w:rPr>
  </w:style>
  <w:style w:type="character" w:customStyle="1" w:styleId="167">
    <w:name w:val="正文文本 Char"/>
    <w:qFormat/>
    <w:locked/>
    <w:uiPriority w:val="0"/>
    <w:rPr>
      <w:rFonts w:ascii="Times New Roman" w:hAnsi="Times New Roman" w:cs="Times New Roman"/>
      <w:kern w:val="0"/>
      <w:sz w:val="24"/>
      <w:szCs w:val="24"/>
    </w:rPr>
  </w:style>
  <w:style w:type="character" w:customStyle="1" w:styleId="168">
    <w:name w:val="批注框文本 Char1"/>
    <w:qFormat/>
    <w:uiPriority w:val="0"/>
    <w:rPr>
      <w:kern w:val="2"/>
      <w:sz w:val="18"/>
      <w:szCs w:val="18"/>
    </w:rPr>
  </w:style>
  <w:style w:type="character" w:customStyle="1" w:styleId="169">
    <w:name w:val="_Style 168"/>
    <w:qFormat/>
    <w:uiPriority w:val="0"/>
    <w:rPr>
      <w:b/>
      <w:bCs/>
      <w:i/>
      <w:iCs/>
      <w:color w:val="4F81BD"/>
    </w:rPr>
  </w:style>
  <w:style w:type="character" w:customStyle="1" w:styleId="170">
    <w:name w:val="个人撰写风格"/>
    <w:qFormat/>
    <w:uiPriority w:val="0"/>
    <w:rPr>
      <w:rFonts w:ascii="Arial" w:hAnsi="Arial" w:eastAsia="宋体" w:cs="Arial"/>
      <w:color w:val="auto"/>
      <w:sz w:val="20"/>
    </w:rPr>
  </w:style>
  <w:style w:type="character" w:customStyle="1" w:styleId="171">
    <w:name w:val="标题 4 字符"/>
    <w:qFormat/>
    <w:locked/>
    <w:uiPriority w:val="0"/>
    <w:rPr>
      <w:rFonts w:ascii="Cambria" w:hAnsi="Cambria" w:eastAsia="宋体" w:cs="Times New Roman"/>
      <w:b/>
      <w:bCs/>
      <w:kern w:val="0"/>
      <w:sz w:val="28"/>
      <w:szCs w:val="28"/>
    </w:rPr>
  </w:style>
  <w:style w:type="character" w:customStyle="1" w:styleId="172">
    <w:name w:val="批注文字 字符1"/>
    <w:semiHidden/>
    <w:qFormat/>
    <w:uiPriority w:val="99"/>
    <w:rPr>
      <w:rFonts w:ascii="宋体" w:hAnsi="Times New Roman" w:eastAsia="宋体" w:cs="Times New Roman"/>
      <w:sz w:val="28"/>
      <w:szCs w:val="20"/>
    </w:rPr>
  </w:style>
  <w:style w:type="character" w:customStyle="1" w:styleId="173">
    <w:name w:val="ca-111"/>
    <w:qFormat/>
    <w:uiPriority w:val="0"/>
    <w:rPr>
      <w:rFonts w:hint="default" w:ascii="Times New Roman" w:hAnsi="Times New Roman" w:cs="Times New Roman"/>
      <w:color w:val="000000"/>
      <w:sz w:val="30"/>
      <w:szCs w:val="30"/>
    </w:rPr>
  </w:style>
  <w:style w:type="character" w:customStyle="1" w:styleId="174">
    <w:name w:val="正文文本缩进 2 字符1"/>
    <w:qFormat/>
    <w:uiPriority w:val="99"/>
    <w:rPr>
      <w:sz w:val="24"/>
      <w:szCs w:val="24"/>
    </w:rPr>
  </w:style>
  <w:style w:type="character" w:customStyle="1" w:styleId="175">
    <w:name w:val="明显引用 字符"/>
    <w:link w:val="176"/>
    <w:qFormat/>
    <w:uiPriority w:val="0"/>
    <w:rPr>
      <w:b/>
      <w:bCs/>
      <w:i/>
      <w:iCs/>
      <w:color w:val="4F81BD"/>
    </w:rPr>
  </w:style>
  <w:style w:type="paragraph" w:styleId="176">
    <w:name w:val="Intense Quote"/>
    <w:basedOn w:val="1"/>
    <w:next w:val="1"/>
    <w:link w:val="175"/>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7">
    <w:name w:val="明显引用 字符1"/>
    <w:qFormat/>
    <w:uiPriority w:val="30"/>
    <w:rPr>
      <w:i/>
      <w:iCs/>
      <w:color w:val="4472C4"/>
      <w:kern w:val="2"/>
      <w:sz w:val="21"/>
      <w:szCs w:val="24"/>
    </w:rPr>
  </w:style>
  <w:style w:type="character" w:customStyle="1" w:styleId="178">
    <w:name w:val="标题4 Char Char"/>
    <w:link w:val="179"/>
    <w:qFormat/>
    <w:uiPriority w:val="0"/>
    <w:rPr>
      <w:rFonts w:ascii="Arial" w:hAnsi="Arial"/>
      <w:b/>
      <w:bCs/>
      <w:sz w:val="24"/>
      <w:szCs w:val="32"/>
    </w:rPr>
  </w:style>
  <w:style w:type="paragraph" w:customStyle="1" w:styleId="179">
    <w:name w:val="标题4"/>
    <w:basedOn w:val="3"/>
    <w:next w:val="22"/>
    <w:link w:val="178"/>
    <w:qFormat/>
    <w:uiPriority w:val="0"/>
    <w:pPr>
      <w:widowControl w:val="0"/>
      <w:adjustRightInd/>
      <w:snapToGrid/>
      <w:spacing w:before="260" w:beforeLines="0" w:after="260" w:afterLines="0" w:line="413" w:lineRule="auto"/>
      <w:jc w:val="both"/>
    </w:pPr>
    <w:rPr>
      <w:bCs/>
      <w:sz w:val="24"/>
      <w:szCs w:val="32"/>
    </w:rPr>
  </w:style>
  <w:style w:type="character" w:customStyle="1" w:styleId="180">
    <w:name w:val="批注文字 Char"/>
    <w:qFormat/>
    <w:uiPriority w:val="99"/>
    <w:rPr>
      <w:sz w:val="24"/>
      <w:szCs w:val="24"/>
    </w:rPr>
  </w:style>
  <w:style w:type="character" w:customStyle="1" w:styleId="181">
    <w:name w:val="副标题 Char"/>
    <w:qFormat/>
    <w:uiPriority w:val="0"/>
    <w:rPr>
      <w:rFonts w:ascii="Cambria" w:hAnsi="Cambria"/>
      <w:b/>
      <w:bCs/>
      <w:kern w:val="28"/>
      <w:sz w:val="32"/>
      <w:szCs w:val="32"/>
    </w:rPr>
  </w:style>
  <w:style w:type="character" w:customStyle="1" w:styleId="182">
    <w:name w:val="正文文本缩进 字符1"/>
    <w:qFormat/>
    <w:uiPriority w:val="99"/>
    <w:rPr>
      <w:sz w:val="24"/>
      <w:szCs w:val="24"/>
    </w:rPr>
  </w:style>
  <w:style w:type="character" w:customStyle="1" w:styleId="183">
    <w:name w:val="文档结构图 Char1"/>
    <w:qFormat/>
    <w:uiPriority w:val="0"/>
    <w:rPr>
      <w:rFonts w:ascii="宋体"/>
      <w:kern w:val="2"/>
      <w:sz w:val="18"/>
      <w:szCs w:val="18"/>
    </w:rPr>
  </w:style>
  <w:style w:type="character" w:customStyle="1" w:styleId="184">
    <w:name w:val="明显引用 Char1"/>
    <w:qFormat/>
    <w:uiPriority w:val="30"/>
    <w:rPr>
      <w:rFonts w:ascii="宋体"/>
      <w:b/>
      <w:bCs/>
      <w:i/>
      <w:iCs/>
      <w:color w:val="4F81BD"/>
      <w:kern w:val="2"/>
      <w:sz w:val="28"/>
    </w:rPr>
  </w:style>
  <w:style w:type="character" w:customStyle="1" w:styleId="185">
    <w:name w:val="副标题 字符1"/>
    <w:qFormat/>
    <w:uiPriority w:val="11"/>
    <w:rPr>
      <w:rFonts w:ascii="等线 Light" w:hAnsi="等线 Light" w:cs="Times New Roman"/>
      <w:b/>
      <w:bCs/>
      <w:kern w:val="28"/>
      <w:sz w:val="32"/>
      <w:szCs w:val="32"/>
    </w:rPr>
  </w:style>
  <w:style w:type="character" w:customStyle="1" w:styleId="186">
    <w:name w:val="ca-521"/>
    <w:qFormat/>
    <w:uiPriority w:val="0"/>
    <w:rPr>
      <w:rFonts w:ascii="宋体" w:hAnsi="宋体" w:eastAsia="宋体"/>
      <w:b/>
      <w:spacing w:val="-20"/>
      <w:sz w:val="36"/>
    </w:rPr>
  </w:style>
  <w:style w:type="character" w:customStyle="1" w:styleId="187">
    <w:name w:val="文档结构图 Char2"/>
    <w:qFormat/>
    <w:uiPriority w:val="99"/>
    <w:rPr>
      <w:rFonts w:ascii="宋体"/>
      <w:kern w:val="2"/>
      <w:sz w:val="18"/>
      <w:szCs w:val="18"/>
    </w:rPr>
  </w:style>
  <w:style w:type="character" w:customStyle="1" w:styleId="188">
    <w:name w:val="正文文本 Char1"/>
    <w:qFormat/>
    <w:uiPriority w:val="0"/>
    <w:rPr>
      <w:kern w:val="2"/>
      <w:sz w:val="21"/>
      <w:szCs w:val="22"/>
    </w:rPr>
  </w:style>
  <w:style w:type="character" w:customStyle="1" w:styleId="189">
    <w:name w:val="引用 字符"/>
    <w:link w:val="190"/>
    <w:qFormat/>
    <w:uiPriority w:val="0"/>
    <w:rPr>
      <w:i/>
      <w:iCs/>
      <w:color w:val="000000"/>
    </w:rPr>
  </w:style>
  <w:style w:type="paragraph" w:styleId="190">
    <w:name w:val="Quote"/>
    <w:basedOn w:val="1"/>
    <w:next w:val="1"/>
    <w:link w:val="189"/>
    <w:qFormat/>
    <w:uiPriority w:val="0"/>
    <w:rPr>
      <w:i/>
      <w:iCs/>
      <w:color w:val="000000"/>
      <w:kern w:val="0"/>
      <w:sz w:val="20"/>
      <w:szCs w:val="20"/>
    </w:rPr>
  </w:style>
  <w:style w:type="character" w:customStyle="1" w:styleId="191">
    <w:name w:val="引用 字符2"/>
    <w:qFormat/>
    <w:uiPriority w:val="99"/>
    <w:rPr>
      <w:i/>
      <w:iCs/>
      <w:color w:val="404040"/>
      <w:kern w:val="2"/>
      <w:sz w:val="21"/>
      <w:szCs w:val="24"/>
    </w:rPr>
  </w:style>
  <w:style w:type="character" w:customStyle="1" w:styleId="192">
    <w:name w:val="htd01"/>
    <w:qFormat/>
    <w:uiPriority w:val="0"/>
  </w:style>
  <w:style w:type="character" w:customStyle="1" w:styleId="193">
    <w:name w:val="日期 字符1"/>
    <w:qFormat/>
    <w:uiPriority w:val="99"/>
    <w:rPr>
      <w:sz w:val="24"/>
      <w:szCs w:val="24"/>
    </w:rPr>
  </w:style>
  <w:style w:type="character" w:customStyle="1" w:styleId="194">
    <w:name w:val="标题 Char"/>
    <w:qFormat/>
    <w:uiPriority w:val="0"/>
    <w:rPr>
      <w:rFonts w:ascii="Cambria" w:hAnsi="Cambria"/>
      <w:b/>
      <w:bCs/>
      <w:kern w:val="2"/>
      <w:sz w:val="32"/>
      <w:szCs w:val="32"/>
    </w:rPr>
  </w:style>
  <w:style w:type="character" w:customStyle="1" w:styleId="195">
    <w:name w:val="日期 Char1"/>
    <w:qFormat/>
    <w:uiPriority w:val="0"/>
    <w:rPr>
      <w:kern w:val="2"/>
      <w:sz w:val="21"/>
      <w:szCs w:val="22"/>
    </w:rPr>
  </w:style>
  <w:style w:type="character" w:customStyle="1" w:styleId="196">
    <w:name w:val="textcontents"/>
    <w:qFormat/>
    <w:uiPriority w:val="0"/>
    <w:rPr>
      <w:rFonts w:cs="Times New Roman"/>
    </w:rPr>
  </w:style>
  <w:style w:type="character" w:customStyle="1" w:styleId="197">
    <w:name w:val="正文文本缩进 3 字符1"/>
    <w:qFormat/>
    <w:uiPriority w:val="99"/>
    <w:rPr>
      <w:sz w:val="16"/>
      <w:szCs w:val="16"/>
    </w:rPr>
  </w:style>
  <w:style w:type="character" w:customStyle="1" w:styleId="198">
    <w:name w:val="_Style 197"/>
    <w:qFormat/>
    <w:uiPriority w:val="0"/>
    <w:rPr>
      <w:b/>
      <w:bCs/>
      <w:smallCaps/>
      <w:spacing w:val="5"/>
    </w:rPr>
  </w:style>
  <w:style w:type="character" w:customStyle="1" w:styleId="199">
    <w:name w:val="标题 9 Char"/>
    <w:qFormat/>
    <w:uiPriority w:val="0"/>
    <w:rPr>
      <w:rFonts w:ascii="Cambria" w:hAnsi="Cambria" w:eastAsia="宋体"/>
      <w:kern w:val="2"/>
      <w:sz w:val="21"/>
      <w:lang w:val="en-US" w:eastAsia="zh-CN"/>
    </w:rPr>
  </w:style>
  <w:style w:type="character" w:customStyle="1" w:styleId="200">
    <w:name w:val="_Style 199"/>
    <w:qFormat/>
    <w:uiPriority w:val="0"/>
    <w:rPr>
      <w:b/>
      <w:bCs/>
      <w:smallCaps/>
      <w:color w:val="C0504D"/>
      <w:spacing w:val="5"/>
      <w:u w:val="single"/>
    </w:rPr>
  </w:style>
  <w:style w:type="paragraph" w:customStyle="1" w:styleId="201">
    <w:name w:val="p15"/>
    <w:basedOn w:val="1"/>
    <w:qFormat/>
    <w:uiPriority w:val="0"/>
    <w:pPr>
      <w:widowControl/>
      <w:ind w:firstLine="420"/>
    </w:pPr>
    <w:rPr>
      <w:rFonts w:ascii="Calibri" w:hAnsi="Calibri" w:cs="宋体"/>
      <w:kern w:val="0"/>
      <w:sz w:val="28"/>
      <w:szCs w:val="21"/>
    </w:rPr>
  </w:style>
  <w:style w:type="paragraph" w:customStyle="1" w:styleId="20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03">
    <w:name w:val="CM25"/>
    <w:basedOn w:val="204"/>
    <w:next w:val="204"/>
    <w:qFormat/>
    <w:uiPriority w:val="0"/>
    <w:pPr>
      <w:spacing w:line="440" w:lineRule="atLeast"/>
    </w:pPr>
    <w:rPr>
      <w:color w:val="auto"/>
    </w:rPr>
  </w:style>
  <w:style w:type="paragraph" w:customStyle="1" w:styleId="20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5">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06">
    <w:name w:val="样式 标题 3 + 段前: 7.8 磅"/>
    <w:basedOn w:val="4"/>
    <w:qFormat/>
    <w:uiPriority w:val="0"/>
    <w:pPr>
      <w:keepNext w:val="0"/>
      <w:keepLines w:val="0"/>
      <w:tabs>
        <w:tab w:val="left" w:pos="1280"/>
      </w:tabs>
      <w:spacing w:before="156" w:after="0" w:line="360" w:lineRule="auto"/>
      <w:ind w:left="1280" w:hanging="720"/>
    </w:pPr>
    <w:rPr>
      <w:rFonts w:hAnsi="Calibri" w:cs="宋体"/>
      <w:b w:val="0"/>
      <w:bCs w:val="0"/>
      <w:sz w:val="24"/>
      <w:szCs w:val="20"/>
    </w:rPr>
  </w:style>
  <w:style w:type="paragraph" w:customStyle="1" w:styleId="207">
    <w:name w:val="CM44"/>
    <w:basedOn w:val="204"/>
    <w:next w:val="204"/>
    <w:qFormat/>
    <w:uiPriority w:val="0"/>
    <w:pPr>
      <w:spacing w:line="440" w:lineRule="atLeast"/>
    </w:pPr>
    <w:rPr>
      <w:color w:val="auto"/>
    </w:rPr>
  </w:style>
  <w:style w:type="paragraph" w:customStyle="1" w:styleId="208">
    <w:name w:val="默认段落字体 Para Char"/>
    <w:basedOn w:val="1"/>
    <w:qFormat/>
    <w:uiPriority w:val="0"/>
    <w:pPr>
      <w:tabs>
        <w:tab w:val="left" w:pos="1080"/>
      </w:tabs>
      <w:ind w:left="1080" w:hanging="360"/>
    </w:pPr>
    <w:rPr>
      <w:rFonts w:ascii="Calibri" w:hAnsi="Calibri"/>
    </w:rPr>
  </w:style>
  <w:style w:type="paragraph" w:customStyle="1" w:styleId="209">
    <w:name w:val="Table Paragraph"/>
    <w:basedOn w:val="1"/>
    <w:qFormat/>
    <w:uiPriority w:val="1"/>
    <w:pPr>
      <w:autoSpaceDE w:val="0"/>
      <w:autoSpaceDN w:val="0"/>
      <w:adjustRightInd w:val="0"/>
      <w:jc w:val="left"/>
    </w:pPr>
    <w:rPr>
      <w:rFonts w:ascii="Calibri" w:hAnsi="Calibri"/>
      <w:kern w:val="0"/>
      <w:sz w:val="24"/>
    </w:rPr>
  </w:style>
  <w:style w:type="paragraph" w:customStyle="1" w:styleId="210">
    <w:name w:val="样式 标题 2 + Times New Roman 四号 非加粗 段前: 5 磅 段后: 0 磅 行距: 固定值 20..."/>
    <w:basedOn w:val="3"/>
    <w:qFormat/>
    <w:uiPriority w:val="0"/>
    <w:pPr>
      <w:widowControl w:val="0"/>
      <w:adjustRightInd/>
      <w:snapToGrid/>
      <w:spacing w:before="100" w:beforeLines="0" w:afterLines="0" w:line="400" w:lineRule="exact"/>
      <w:jc w:val="both"/>
    </w:pPr>
    <w:rPr>
      <w:rFonts w:ascii="Times New Roman" w:hAnsi="Cambria" w:eastAsia="黑体"/>
      <w:bCs/>
      <w:sz w:val="28"/>
    </w:rPr>
  </w:style>
  <w:style w:type="paragraph" w:customStyle="1" w:styleId="211">
    <w:name w:val="Blockquote"/>
    <w:basedOn w:val="1"/>
    <w:qFormat/>
    <w:uiPriority w:val="0"/>
    <w:pPr>
      <w:autoSpaceDE w:val="0"/>
      <w:autoSpaceDN w:val="0"/>
      <w:adjustRightInd w:val="0"/>
      <w:spacing w:before="100" w:after="100"/>
      <w:ind w:left="360" w:right="360"/>
      <w:jc w:val="left"/>
    </w:pPr>
    <w:rPr>
      <w:rFonts w:ascii="Calibri" w:hAnsi="Calibri" w:eastAsia="仿宋_GB2312"/>
      <w:kern w:val="0"/>
      <w:sz w:val="24"/>
      <w:szCs w:val="20"/>
    </w:rPr>
  </w:style>
  <w:style w:type="paragraph" w:customStyle="1" w:styleId="212">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0"/>
    </w:rPr>
  </w:style>
  <w:style w:type="paragraph" w:customStyle="1" w:styleId="213">
    <w:name w:val="空半行"/>
    <w:basedOn w:val="1"/>
    <w:qFormat/>
    <w:uiPriority w:val="0"/>
    <w:pPr>
      <w:adjustRightInd w:val="0"/>
      <w:spacing w:line="120" w:lineRule="exact"/>
      <w:textAlignment w:val="baseline"/>
    </w:pPr>
    <w:rPr>
      <w:rFonts w:ascii="Calibri" w:hAnsi="Calibri" w:eastAsia="仿宋_GB2312"/>
      <w:color w:val="FFFFFF"/>
      <w:kern w:val="0"/>
      <w:sz w:val="30"/>
      <w:szCs w:val="20"/>
    </w:rPr>
  </w:style>
  <w:style w:type="paragraph" w:styleId="21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_Style 70"/>
    <w:basedOn w:val="1"/>
    <w:next w:val="1"/>
    <w:unhideWhenUsed/>
    <w:qFormat/>
    <w:uiPriority w:val="39"/>
    <w:pPr>
      <w:widowControl/>
      <w:spacing w:after="100" w:line="259" w:lineRule="auto"/>
      <w:jc w:val="left"/>
    </w:pPr>
    <w:rPr>
      <w:rFonts w:ascii="等线" w:hAnsi="等线" w:eastAsia="等线"/>
      <w:kern w:val="0"/>
      <w:sz w:val="22"/>
      <w:szCs w:val="22"/>
    </w:rPr>
  </w:style>
  <w:style w:type="paragraph" w:customStyle="1" w:styleId="2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CM99"/>
    <w:basedOn w:val="204"/>
    <w:next w:val="204"/>
    <w:qFormat/>
    <w:uiPriority w:val="0"/>
    <w:rPr>
      <w:color w:val="auto"/>
    </w:rPr>
  </w:style>
  <w:style w:type="paragraph" w:customStyle="1" w:styleId="219">
    <w:name w:val="CM24"/>
    <w:basedOn w:val="204"/>
    <w:next w:val="204"/>
    <w:qFormat/>
    <w:uiPriority w:val="0"/>
    <w:pPr>
      <w:spacing w:line="440" w:lineRule="atLeast"/>
    </w:pPr>
    <w:rPr>
      <w:color w:val="auto"/>
    </w:rPr>
  </w:style>
  <w:style w:type="paragraph" w:customStyle="1" w:styleId="220">
    <w:name w:val="列出段落3"/>
    <w:basedOn w:val="1"/>
    <w:qFormat/>
    <w:uiPriority w:val="0"/>
    <w:pPr>
      <w:ind w:firstLine="420" w:firstLineChars="200"/>
    </w:pPr>
    <w:rPr>
      <w:rFonts w:ascii="Calibri" w:hAnsi="Calibri"/>
      <w:szCs w:val="22"/>
    </w:rPr>
  </w:style>
  <w:style w:type="paragraph" w:customStyle="1" w:styleId="22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Other|1"/>
    <w:basedOn w:val="1"/>
    <w:qFormat/>
    <w:uiPriority w:val="0"/>
    <w:pPr>
      <w:shd w:val="clear" w:color="auto" w:fill="FFFFFF"/>
      <w:autoSpaceDE w:val="0"/>
      <w:autoSpaceDN w:val="0"/>
      <w:adjustRightInd w:val="0"/>
      <w:spacing w:line="524" w:lineRule="exact"/>
      <w:jc w:val="left"/>
    </w:pPr>
    <w:rPr>
      <w:rFonts w:ascii="MingLiU" w:hAnsi="MingLiU" w:eastAsia="MingLiU" w:cs="宋体"/>
      <w:kern w:val="0"/>
      <w:sz w:val="24"/>
    </w:rPr>
  </w:style>
  <w:style w:type="paragraph" w:customStyle="1" w:styleId="223">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color w:val="2F5496"/>
      <w:kern w:val="0"/>
      <w:sz w:val="32"/>
      <w:szCs w:val="32"/>
    </w:rPr>
  </w:style>
  <w:style w:type="paragraph" w:customStyle="1" w:styleId="224">
    <w:name w:val="style1"/>
    <w:basedOn w:val="1"/>
    <w:qFormat/>
    <w:uiPriority w:val="0"/>
    <w:pPr>
      <w:widowControl/>
      <w:spacing w:before="100" w:beforeAutospacing="1" w:after="100" w:afterAutospacing="1"/>
      <w:jc w:val="left"/>
    </w:pPr>
    <w:rPr>
      <w:rFonts w:ascii="宋体" w:hAnsi="宋体" w:cs="宋体"/>
      <w:kern w:val="0"/>
      <w:sz w:val="24"/>
    </w:rPr>
  </w:style>
  <w:style w:type="table" w:customStyle="1" w:styleId="225">
    <w:name w:val="网格型1"/>
    <w:basedOn w:val="45"/>
    <w:unhideWhenUsed/>
    <w:qFormat/>
    <w:uiPriority w:val="39"/>
    <w:rPr>
      <w:rFonts w:hint="default"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6">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227">
    <w:name w:val="页脚 Char"/>
    <w:qFormat/>
    <w:uiPriority w:val="99"/>
    <w:rPr>
      <w:rFonts w:eastAsia="Calibri"/>
      <w:sz w:val="21"/>
    </w:rPr>
  </w:style>
  <w:style w:type="character" w:customStyle="1" w:styleId="228">
    <w:name w:val="标题 2 字符"/>
    <w:qFormat/>
    <w:uiPriority w:val="0"/>
    <w:rPr>
      <w:rFonts w:ascii="Arial" w:hAnsi="Arial"/>
      <w:b/>
      <w:sz w:val="32"/>
    </w:rPr>
  </w:style>
  <w:style w:type="character" w:customStyle="1" w:styleId="229">
    <w:name w:val="18"/>
    <w:qFormat/>
    <w:uiPriority w:val="0"/>
    <w:rPr>
      <w:rFonts w:hint="default" w:ascii="Arial" w:hAnsi="Arial" w:eastAsia="黑体" w:cs="Arial"/>
      <w:b/>
      <w:bCs/>
      <w:kern w:val="2"/>
      <w:sz w:val="32"/>
      <w:szCs w:val="32"/>
    </w:rPr>
  </w:style>
  <w:style w:type="character" w:customStyle="1" w:styleId="230">
    <w:name w:val="样式10 Char"/>
    <w:link w:val="231"/>
    <w:qFormat/>
    <w:uiPriority w:val="99"/>
    <w:rPr>
      <w:b/>
      <w:kern w:val="2"/>
      <w:sz w:val="24"/>
      <w:szCs w:val="24"/>
    </w:rPr>
  </w:style>
  <w:style w:type="paragraph" w:customStyle="1" w:styleId="231">
    <w:name w:val="样式10"/>
    <w:basedOn w:val="1"/>
    <w:link w:val="230"/>
    <w:qFormat/>
    <w:uiPriority w:val="99"/>
    <w:pPr>
      <w:spacing w:line="360" w:lineRule="auto"/>
    </w:pPr>
    <w:rPr>
      <w:b/>
      <w:sz w:val="24"/>
    </w:rPr>
  </w:style>
  <w:style w:type="paragraph" w:customStyle="1" w:styleId="232">
    <w:name w:val="内文正文"/>
    <w:qFormat/>
    <w:uiPriority w:val="0"/>
    <w:pPr>
      <w:autoSpaceDE w:val="0"/>
      <w:autoSpaceDN w:val="0"/>
      <w:spacing w:line="400" w:lineRule="exact"/>
      <w:ind w:firstLine="200" w:firstLineChars="200"/>
      <w:jc w:val="both"/>
      <w:textAlignment w:val="bottom"/>
    </w:pPr>
    <w:rPr>
      <w:rFonts w:ascii="宋体" w:hAnsi="???|CS?o｡ﾀ?" w:eastAsia="宋体" w:cs="宋体"/>
      <w:sz w:val="21"/>
      <w:lang w:val="en-US" w:eastAsia="zh-CN" w:bidi="ar-SA"/>
    </w:rPr>
  </w:style>
  <w:style w:type="table" w:customStyle="1" w:styleId="233">
    <w:name w:val="网格型2"/>
    <w:basedOn w:val="45"/>
    <w:qFormat/>
    <w:uiPriority w:val="99"/>
    <w:pPr>
      <w:widowControl w:val="0"/>
      <w:jc w:val="both"/>
    </w:pPr>
    <w:rPr>
      <w:rFonts w:hint="default"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1209&#31454;&#26631;&#25991;&#20214;-&#20004;&#26696;&#19987;&#39033;&#27861;&#24459;&#26381;&#21153;&#37319;&#36141;&#65288;&#36992;&#35831;&#31454;&#20215;&#65289;(&#20195;&#29702;02)(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1209竞标文件-两案专项法律服务采购（邀请竞价）(代理02)(1).dot</Template>
  <Pages>55</Pages>
  <Words>23195</Words>
  <Characters>24347</Characters>
  <Lines>251</Lines>
  <Paragraphs>70</Paragraphs>
  <TotalTime>0</TotalTime>
  <ScaleCrop>false</ScaleCrop>
  <LinksUpToDate>false</LinksUpToDate>
  <CharactersWithSpaces>26106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2024-12-09T13:12:00Z</dcterms:created>
  <dc:creator>孙行者</dc:creator>
  <cp:lastModifiedBy>yyy</cp:lastModifiedBy>
  <dcterms:modified xsi:type="dcterms:W3CDTF">2024-12-16T02:16:46Z</dcterms:modified>
  <dc:title>无</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A8FCF13936F84DF69F073AA929818096_13</vt:lpwstr>
  </property>
</Properties>
</file>