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E325F">
      <w:pPr>
        <w:pStyle w:val="2"/>
        <w:rPr>
          <w:rFonts w:hint="eastAsia" w:ascii="宋体" w:hAnsi="宋体" w:eastAsia="宋体" w:cs="宋体"/>
          <w:sz w:val="36"/>
          <w:szCs w:val="36"/>
          <w:lang w:eastAsia="zh-CN"/>
        </w:rPr>
      </w:pPr>
      <w:r>
        <w:rPr>
          <w:rFonts w:hint="eastAsia" w:ascii="宋体" w:hAnsi="宋体" w:eastAsia="宋体" w:cs="宋体"/>
          <w:sz w:val="36"/>
          <w:szCs w:val="36"/>
          <w:lang w:eastAsia="zh-CN"/>
        </w:rPr>
        <w:t>2024年度富春湾集团国有资产评估中介机构招标项目</w:t>
      </w:r>
    </w:p>
    <w:p w14:paraId="34E87443">
      <w:pPr>
        <w:pStyle w:val="2"/>
        <w:rPr>
          <w:rFonts w:hint="eastAsia" w:ascii="宋体" w:hAnsi="宋体" w:eastAsia="宋体" w:cs="宋体"/>
        </w:rPr>
      </w:pPr>
      <w:r>
        <w:rPr>
          <w:rFonts w:hint="eastAsia" w:ascii="宋体" w:hAnsi="宋体" w:eastAsia="宋体" w:cs="宋体"/>
        </w:rPr>
        <w:t xml:space="preserve">   （非政府采购项目）</w:t>
      </w:r>
    </w:p>
    <w:p w14:paraId="0AC832AF">
      <w:pPr>
        <w:spacing w:before="120"/>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lang w:eastAsia="zh-CN"/>
        </w:rPr>
        <w:t>FCW20240046-1</w:t>
      </w:r>
    </w:p>
    <w:p w14:paraId="364C9D11">
      <w:pPr>
        <w:pStyle w:val="23"/>
        <w:rPr>
          <w:rFonts w:hint="eastAsia"/>
        </w:rPr>
      </w:pPr>
    </w:p>
    <w:p w14:paraId="66AE9ECA">
      <w:pPr>
        <w:spacing w:before="120" w:after="100" w:afterAutospacing="1" w:line="8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公</w:t>
      </w:r>
    </w:p>
    <w:p w14:paraId="5F2E9E15">
      <w:pPr>
        <w:spacing w:before="120" w:after="100" w:afterAutospacing="1" w:line="8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开</w:t>
      </w:r>
    </w:p>
    <w:p w14:paraId="21FEFBB9">
      <w:pPr>
        <w:spacing w:before="120" w:after="100" w:afterAutospacing="1" w:line="8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招</w:t>
      </w:r>
    </w:p>
    <w:p w14:paraId="7E961FEA">
      <w:pPr>
        <w:spacing w:before="120" w:after="100" w:afterAutospacing="1" w:line="8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标</w:t>
      </w:r>
    </w:p>
    <w:p w14:paraId="0653CF91">
      <w:pPr>
        <w:spacing w:before="120" w:after="100" w:afterAutospacing="1" w:line="8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文</w:t>
      </w:r>
    </w:p>
    <w:p w14:paraId="775BF4C7">
      <w:pPr>
        <w:spacing w:before="120" w:after="100" w:afterAutospacing="1" w:line="800" w:lineRule="exact"/>
        <w:ind w:right="-108"/>
        <w:jc w:val="center"/>
        <w:rPr>
          <w:rFonts w:hint="eastAsia" w:ascii="宋体" w:hAnsi="宋体" w:eastAsia="宋体" w:cs="宋体"/>
          <w:b/>
          <w:spacing w:val="40"/>
          <w:sz w:val="84"/>
          <w:szCs w:val="84"/>
        </w:rPr>
      </w:pPr>
      <w:r>
        <w:rPr>
          <w:rFonts w:hint="eastAsia" w:ascii="宋体" w:hAnsi="宋体" w:eastAsia="宋体" w:cs="宋体"/>
          <w:b/>
          <w:spacing w:val="40"/>
          <w:sz w:val="84"/>
          <w:szCs w:val="84"/>
        </w:rPr>
        <w:t>件</w:t>
      </w:r>
    </w:p>
    <w:p w14:paraId="75593FF5">
      <w:pPr>
        <w:spacing w:before="120" w:after="100" w:afterAutospacing="1" w:line="800" w:lineRule="exact"/>
        <w:ind w:right="-108"/>
        <w:jc w:val="center"/>
        <w:rPr>
          <w:rFonts w:hint="eastAsia" w:ascii="宋体" w:hAnsi="宋体" w:eastAsia="宋体" w:cs="宋体"/>
          <w:b/>
          <w:spacing w:val="40"/>
          <w:sz w:val="84"/>
          <w:szCs w:val="84"/>
        </w:rPr>
      </w:pPr>
    </w:p>
    <w:p w14:paraId="7E35AB7E">
      <w:pPr>
        <w:pStyle w:val="13"/>
        <w:spacing w:before="156" w:after="156" w:line="360" w:lineRule="auto"/>
        <w:jc w:val="center"/>
        <w:rPr>
          <w:rFonts w:hint="eastAsia" w:ascii="宋体" w:hAnsi="宋体" w:eastAsia="宋体" w:cs="宋体"/>
          <w:sz w:val="32"/>
          <w:szCs w:val="32"/>
        </w:rPr>
      </w:pPr>
      <w:r>
        <w:rPr>
          <w:rFonts w:hint="eastAsia" w:ascii="宋体" w:hAnsi="宋体" w:eastAsia="宋体" w:cs="宋体"/>
          <w:sz w:val="32"/>
          <w:szCs w:val="32"/>
        </w:rPr>
        <w:t>采购人：杭州富春湾新城建设投资集团有限公司(盖章)</w:t>
      </w:r>
    </w:p>
    <w:p w14:paraId="0CCA24A0">
      <w:pPr>
        <w:spacing w:line="500" w:lineRule="exact"/>
        <w:ind w:right="105"/>
        <w:jc w:val="center"/>
        <w:rPr>
          <w:rFonts w:hint="eastAsia" w:ascii="宋体" w:hAnsi="宋体" w:eastAsia="宋体" w:cs="宋体"/>
          <w:sz w:val="32"/>
          <w:szCs w:val="32"/>
        </w:rPr>
      </w:pPr>
      <w:r>
        <w:rPr>
          <w:rFonts w:hint="eastAsia" w:ascii="宋体" w:hAnsi="宋体" w:eastAsia="宋体" w:cs="宋体"/>
          <w:sz w:val="32"/>
          <w:szCs w:val="32"/>
        </w:rPr>
        <w:t>采购代理机构：</w:t>
      </w:r>
      <w:r>
        <w:rPr>
          <w:rFonts w:hint="eastAsia" w:ascii="宋体" w:hAnsi="宋体" w:eastAsia="宋体" w:cs="宋体"/>
          <w:sz w:val="32"/>
          <w:szCs w:val="32"/>
          <w:lang w:eastAsia="zh-CN"/>
        </w:rPr>
        <w:t>杭州广厦建筑咨询有限公司</w:t>
      </w:r>
      <w:r>
        <w:rPr>
          <w:rFonts w:hint="eastAsia" w:ascii="宋体" w:hAnsi="宋体" w:eastAsia="宋体" w:cs="宋体"/>
          <w:sz w:val="32"/>
          <w:szCs w:val="32"/>
        </w:rPr>
        <w:t>(盖章)</w:t>
      </w:r>
    </w:p>
    <w:p w14:paraId="5162BB65">
      <w:pPr>
        <w:spacing w:line="500" w:lineRule="exact"/>
        <w:ind w:right="105"/>
        <w:jc w:val="center"/>
        <w:rPr>
          <w:rFonts w:hint="eastAsia" w:ascii="宋体" w:hAnsi="宋体" w:eastAsia="宋体" w:cs="宋体"/>
          <w:sz w:val="32"/>
          <w:szCs w:val="32"/>
        </w:rPr>
      </w:pPr>
    </w:p>
    <w:p w14:paraId="3CA95E9C">
      <w:pPr>
        <w:spacing w:line="500" w:lineRule="exact"/>
        <w:ind w:right="105"/>
        <w:jc w:val="center"/>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4</w:t>
      </w:r>
      <w:r>
        <w:rPr>
          <w:rFonts w:hint="eastAsia" w:ascii="宋体" w:hAnsi="宋体" w:eastAsia="宋体" w:cs="宋体"/>
          <w:sz w:val="32"/>
          <w:szCs w:val="32"/>
        </w:rPr>
        <w:t>年</w:t>
      </w:r>
      <w:r>
        <w:rPr>
          <w:rFonts w:hint="eastAsia" w:ascii="宋体" w:hAnsi="宋体" w:eastAsia="宋体" w:cs="宋体"/>
          <w:sz w:val="32"/>
          <w:szCs w:val="32"/>
          <w:lang w:val="en-US" w:eastAsia="zh-CN"/>
        </w:rPr>
        <w:t>08</w:t>
      </w:r>
      <w:r>
        <w:rPr>
          <w:rFonts w:hint="eastAsia" w:ascii="宋体" w:hAnsi="宋体" w:eastAsia="宋体" w:cs="宋体"/>
          <w:sz w:val="32"/>
          <w:szCs w:val="32"/>
        </w:rPr>
        <w:t xml:space="preserve">月 </w:t>
      </w:r>
    </w:p>
    <w:p w14:paraId="16344C6C">
      <w:pPr>
        <w:spacing w:before="120"/>
        <w:rPr>
          <w:rFonts w:hint="eastAsia" w:ascii="宋体" w:hAnsi="宋体" w:eastAsia="宋体" w:cs="宋体"/>
          <w:color w:val="FF0000"/>
          <w:sz w:val="30"/>
          <w:szCs w:val="30"/>
        </w:rPr>
      </w:pPr>
    </w:p>
    <w:p w14:paraId="74A65E79">
      <w:pPr>
        <w:pStyle w:val="13"/>
        <w:spacing w:before="156" w:after="156" w:line="360" w:lineRule="auto"/>
        <w:ind w:left="2143" w:hanging="883"/>
        <w:jc w:val="center"/>
        <w:rPr>
          <w:rFonts w:hint="eastAsia" w:ascii="宋体" w:hAnsi="宋体" w:eastAsia="宋体" w:cs="宋体"/>
          <w:b/>
          <w:sz w:val="44"/>
          <w:szCs w:val="44"/>
        </w:rPr>
      </w:pPr>
    </w:p>
    <w:p w14:paraId="5871A5CB">
      <w:pPr>
        <w:pStyle w:val="13"/>
        <w:spacing w:before="156" w:after="156" w:line="360" w:lineRule="auto"/>
        <w:ind w:left="2143" w:hanging="883"/>
        <w:jc w:val="center"/>
        <w:rPr>
          <w:rFonts w:hint="eastAsia" w:ascii="宋体" w:hAnsi="宋体" w:eastAsia="宋体" w:cs="宋体"/>
          <w:b/>
          <w:sz w:val="44"/>
          <w:szCs w:val="44"/>
        </w:rPr>
      </w:pPr>
    </w:p>
    <w:p w14:paraId="0EF3E358">
      <w:pPr>
        <w:pStyle w:val="13"/>
        <w:spacing w:before="156" w:after="156" w:line="360" w:lineRule="auto"/>
        <w:ind w:left="885" w:hanging="885"/>
        <w:jc w:val="center"/>
        <w:rPr>
          <w:rFonts w:hint="eastAsia" w:ascii="宋体" w:hAnsi="宋体" w:eastAsia="宋体" w:cs="宋体"/>
          <w:b/>
          <w:sz w:val="44"/>
          <w:szCs w:val="44"/>
        </w:rPr>
      </w:pPr>
      <w:r>
        <w:rPr>
          <w:rFonts w:hint="eastAsia" w:ascii="宋体" w:hAnsi="宋体" w:eastAsia="宋体" w:cs="宋体"/>
          <w:b/>
          <w:sz w:val="44"/>
          <w:szCs w:val="44"/>
        </w:rPr>
        <w:t>目    录</w:t>
      </w:r>
    </w:p>
    <w:p w14:paraId="502186C6">
      <w:pPr>
        <w:pStyle w:val="13"/>
        <w:spacing w:before="156" w:after="156" w:line="360" w:lineRule="auto"/>
        <w:ind w:left="1900" w:hanging="640"/>
        <w:jc w:val="center"/>
        <w:rPr>
          <w:rFonts w:hint="eastAsia" w:ascii="宋体" w:hAnsi="宋体" w:eastAsia="宋体" w:cs="宋体"/>
          <w:sz w:val="32"/>
          <w:szCs w:val="32"/>
        </w:rPr>
      </w:pPr>
    </w:p>
    <w:p w14:paraId="1A4EC661">
      <w:pPr>
        <w:spacing w:before="120" w:line="4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第一章    招标公告………………………………………………3</w:t>
      </w:r>
    </w:p>
    <w:p w14:paraId="1E38C4DA">
      <w:pPr>
        <w:spacing w:before="120" w:line="4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第二章    投标人须知……………………………………………8</w:t>
      </w:r>
    </w:p>
    <w:p w14:paraId="5012F7B6">
      <w:pPr>
        <w:spacing w:before="120" w:line="4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第三章    评标办法及评分标准…………………………………27</w:t>
      </w:r>
    </w:p>
    <w:p w14:paraId="7C9FD11F">
      <w:pPr>
        <w:spacing w:before="120" w:line="4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第四章    采购需求………………………………………………31</w:t>
      </w:r>
    </w:p>
    <w:p w14:paraId="157364F7">
      <w:pPr>
        <w:spacing w:before="120" w:line="4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第五章    杭州市富阳区国资（政府）采购合同主要条款……33</w:t>
      </w:r>
    </w:p>
    <w:p w14:paraId="1A77AE14">
      <w:pPr>
        <w:spacing w:before="120" w:line="480" w:lineRule="exact"/>
        <w:ind w:firstLine="600" w:firstLineChars="200"/>
        <w:rPr>
          <w:rFonts w:hint="eastAsia" w:ascii="宋体" w:hAnsi="宋体" w:eastAsia="宋体" w:cs="宋体"/>
          <w:sz w:val="30"/>
          <w:szCs w:val="30"/>
        </w:rPr>
      </w:pPr>
      <w:r>
        <w:rPr>
          <w:rFonts w:hint="eastAsia" w:ascii="宋体" w:hAnsi="宋体" w:eastAsia="宋体" w:cs="宋体"/>
          <w:sz w:val="30"/>
          <w:szCs w:val="30"/>
        </w:rPr>
        <w:t>第六章    投标文件格式附件……………………………………37</w:t>
      </w:r>
    </w:p>
    <w:p w14:paraId="07391BA3">
      <w:pPr>
        <w:rPr>
          <w:rFonts w:hint="eastAsia" w:ascii="宋体" w:hAnsi="宋体" w:eastAsia="宋体" w:cs="宋体"/>
          <w:color w:val="FF0000"/>
        </w:rPr>
      </w:pPr>
    </w:p>
    <w:p w14:paraId="7055C73A">
      <w:pPr>
        <w:pStyle w:val="2"/>
        <w:rPr>
          <w:rFonts w:hint="eastAsia" w:ascii="宋体" w:hAnsi="宋体" w:eastAsia="宋体" w:cs="宋体"/>
        </w:rPr>
      </w:pPr>
      <w:r>
        <w:rPr>
          <w:rFonts w:hint="eastAsia" w:ascii="宋体" w:hAnsi="宋体" w:eastAsia="宋体" w:cs="宋体"/>
          <w:sz w:val="32"/>
          <w:szCs w:val="32"/>
        </w:rPr>
        <w:t xml:space="preserve">                                                                 </w:t>
      </w:r>
      <w:r>
        <w:rPr>
          <w:rFonts w:hint="eastAsia" w:ascii="宋体" w:hAnsi="宋体" w:eastAsia="宋体" w:cs="宋体"/>
          <w:sz w:val="32"/>
          <w:szCs w:val="32"/>
        </w:rPr>
        <w:br w:type="page"/>
      </w:r>
      <w:bookmarkStart w:id="0" w:name="_Toc1382136464"/>
      <w:r>
        <w:rPr>
          <w:rFonts w:hint="eastAsia" w:ascii="宋体" w:hAnsi="宋体" w:eastAsia="宋体" w:cs="宋体"/>
        </w:rPr>
        <w:t>第一章  招标公告</w:t>
      </w:r>
      <w:bookmarkEnd w:id="0"/>
      <w:r>
        <w:rPr>
          <w:rFonts w:hint="eastAsia" w:ascii="宋体" w:hAnsi="宋体" w:eastAsia="宋体" w:cs="宋体"/>
        </w:rPr>
        <w:t>（非政府采购项目）</w:t>
      </w:r>
    </w:p>
    <w:p w14:paraId="401F48BB">
      <w:pPr>
        <w:ind w:firstLine="480" w:firstLineChars="200"/>
        <w:rPr>
          <w:rFonts w:hint="eastAsia" w:ascii="宋体" w:hAnsi="宋体" w:eastAsia="宋体" w:cs="宋体"/>
        </w:rPr>
      </w:pPr>
      <w:r>
        <w:rPr>
          <w:rFonts w:hint="eastAsia" w:ascii="宋体" w:hAnsi="宋体" w:eastAsia="宋体" w:cs="宋体"/>
        </w:rPr>
        <w:t>根据采购相关规定及富阳区属国企采购相关文件规定，受杭州富春湾新城建设投资集团有限公司委托，现就“</w:t>
      </w:r>
      <w:r>
        <w:rPr>
          <w:rFonts w:hint="eastAsia" w:ascii="宋体" w:hAnsi="宋体" w:eastAsia="宋体" w:cs="宋体"/>
          <w:lang w:eastAsia="zh-CN"/>
        </w:rPr>
        <w:t>2024年度富春湾集团国有资产评估中介机构招标项目</w:t>
      </w:r>
      <w:r>
        <w:rPr>
          <w:rFonts w:hint="eastAsia" w:ascii="宋体" w:hAnsi="宋体" w:eastAsia="宋体" w:cs="宋体"/>
        </w:rPr>
        <w:t>”项目进行公开招标采购，欢迎符合要求的投标人前来投标。本项目的潜在投标人应在乐采云平台（www.lecaiyun.com）获取（下载）招标文件，并于</w:t>
      </w:r>
      <w:r>
        <w:rPr>
          <w:rFonts w:hint="eastAsia" w:ascii="宋体" w:hAnsi="宋体" w:eastAsia="宋体" w:cs="宋体"/>
          <w:color w:val="0000FF"/>
          <w:lang w:val="en-US" w:eastAsia="zh-CN"/>
        </w:rPr>
        <w:t>2024</w:t>
      </w:r>
      <w:r>
        <w:rPr>
          <w:rFonts w:hint="eastAsia" w:ascii="宋体" w:hAnsi="宋体" w:eastAsia="宋体" w:cs="宋体"/>
          <w:color w:val="0000FF"/>
        </w:rPr>
        <w:t>年</w:t>
      </w:r>
      <w:r>
        <w:rPr>
          <w:rFonts w:hint="eastAsia" w:ascii="宋体" w:hAnsi="宋体" w:eastAsia="宋体" w:cs="宋体"/>
          <w:color w:val="0000FF"/>
          <w:lang w:val="en-US" w:eastAsia="zh-CN"/>
        </w:rPr>
        <w:t>09</w:t>
      </w:r>
      <w:r>
        <w:rPr>
          <w:rFonts w:hint="eastAsia" w:ascii="宋体" w:hAnsi="宋体" w:eastAsia="宋体" w:cs="宋体"/>
          <w:color w:val="0000FF"/>
        </w:rPr>
        <w:t>月</w:t>
      </w:r>
      <w:r>
        <w:rPr>
          <w:rFonts w:hint="eastAsia" w:ascii="宋体" w:hAnsi="宋体" w:eastAsia="宋体" w:cs="宋体"/>
          <w:color w:val="0000FF"/>
          <w:lang w:val="en-US" w:eastAsia="zh-CN"/>
        </w:rPr>
        <w:t>18</w:t>
      </w:r>
      <w:r>
        <w:rPr>
          <w:rFonts w:hint="eastAsia" w:ascii="宋体" w:hAnsi="宋体" w:eastAsia="宋体" w:cs="宋体"/>
          <w:color w:val="0000FF"/>
        </w:rPr>
        <w:t>日</w:t>
      </w:r>
      <w:r>
        <w:rPr>
          <w:rFonts w:hint="eastAsia" w:ascii="宋体" w:hAnsi="宋体" w:eastAsia="宋体" w:cs="宋体"/>
          <w:color w:val="0000FF"/>
          <w:lang w:val="en-US" w:eastAsia="zh-CN"/>
        </w:rPr>
        <w:t>09</w:t>
      </w:r>
      <w:r>
        <w:rPr>
          <w:rFonts w:hint="eastAsia" w:ascii="宋体" w:hAnsi="宋体" w:eastAsia="宋体" w:cs="宋体"/>
          <w:color w:val="0000FF"/>
        </w:rPr>
        <w:t>时</w:t>
      </w:r>
      <w:r>
        <w:rPr>
          <w:rFonts w:hint="eastAsia" w:ascii="宋体" w:hAnsi="宋体" w:eastAsia="宋体" w:cs="宋体"/>
          <w:color w:val="0000FF"/>
          <w:lang w:val="en-US" w:eastAsia="zh-CN"/>
        </w:rPr>
        <w:t>00</w:t>
      </w:r>
      <w:r>
        <w:rPr>
          <w:rFonts w:hint="eastAsia" w:ascii="宋体" w:hAnsi="宋体" w:eastAsia="宋体" w:cs="宋体"/>
          <w:color w:val="0000FF"/>
        </w:rPr>
        <w:t>分00秒</w:t>
      </w:r>
      <w:r>
        <w:rPr>
          <w:rFonts w:hint="eastAsia" w:ascii="宋体" w:hAnsi="宋体" w:eastAsia="宋体" w:cs="宋体"/>
        </w:rPr>
        <w:t>（北京时间）前递交（上传）投标文件。</w:t>
      </w:r>
    </w:p>
    <w:p w14:paraId="760817FD">
      <w:pPr>
        <w:ind w:firstLine="482" w:firstLineChars="200"/>
        <w:rPr>
          <w:rFonts w:hint="eastAsia" w:ascii="宋体" w:hAnsi="宋体" w:eastAsia="宋体" w:cs="宋体"/>
          <w:b/>
          <w:bCs/>
          <w:lang w:eastAsia="zh-CN"/>
        </w:rPr>
      </w:pPr>
      <w:r>
        <w:rPr>
          <w:rFonts w:hint="eastAsia" w:ascii="宋体" w:hAnsi="宋体" w:eastAsia="宋体" w:cs="宋体"/>
          <w:b/>
          <w:bCs/>
        </w:rPr>
        <w:t>一、项目名称：</w:t>
      </w:r>
      <w:r>
        <w:rPr>
          <w:rFonts w:hint="eastAsia" w:ascii="宋体" w:hAnsi="宋体" w:eastAsia="宋体" w:cs="宋体"/>
          <w:lang w:eastAsia="zh-CN"/>
        </w:rPr>
        <w:t>2024年度富春湾集团国有资产评估中介机构招标项目</w:t>
      </w:r>
    </w:p>
    <w:p w14:paraId="3950B58A">
      <w:pPr>
        <w:ind w:firstLine="482" w:firstLineChars="200"/>
        <w:rPr>
          <w:rFonts w:hint="eastAsia" w:ascii="宋体" w:hAnsi="宋体" w:eastAsia="宋体" w:cs="宋体"/>
          <w:b/>
          <w:bCs/>
          <w:color w:val="auto"/>
          <w:lang w:eastAsia="zh-CN"/>
        </w:rPr>
      </w:pPr>
      <w:r>
        <w:rPr>
          <w:rFonts w:hint="eastAsia" w:ascii="宋体" w:hAnsi="宋体" w:eastAsia="宋体" w:cs="宋体"/>
          <w:b/>
          <w:bCs/>
          <w:color w:val="auto"/>
        </w:rPr>
        <w:t>二、项目编号：</w:t>
      </w:r>
      <w:r>
        <w:rPr>
          <w:rFonts w:hint="eastAsia" w:ascii="宋体" w:hAnsi="宋体" w:eastAsia="宋体" w:cs="宋体"/>
          <w:b/>
          <w:bCs/>
          <w:color w:val="auto"/>
          <w:lang w:eastAsia="zh-CN"/>
        </w:rPr>
        <w:t>FCW20240046-1</w:t>
      </w:r>
    </w:p>
    <w:p w14:paraId="7BE5FB0D">
      <w:pPr>
        <w:ind w:firstLine="482" w:firstLineChars="200"/>
        <w:rPr>
          <w:rFonts w:hint="eastAsia" w:ascii="宋体" w:hAnsi="宋体" w:eastAsia="宋体" w:cs="宋体"/>
          <w:b/>
          <w:bCs/>
        </w:rPr>
      </w:pPr>
      <w:r>
        <w:rPr>
          <w:rFonts w:hint="eastAsia" w:ascii="宋体" w:hAnsi="宋体" w:eastAsia="宋体" w:cs="宋体"/>
          <w:b/>
          <w:bCs/>
        </w:rPr>
        <w:t>三、采购方式：</w:t>
      </w:r>
      <w:r>
        <w:rPr>
          <w:rFonts w:hint="eastAsia" w:ascii="宋体" w:hAnsi="宋体" w:eastAsia="宋体" w:cs="宋体"/>
        </w:rPr>
        <w:t>公开招标</w:t>
      </w:r>
    </w:p>
    <w:p w14:paraId="5BC2EEDF">
      <w:pPr>
        <w:ind w:firstLine="482" w:firstLineChars="200"/>
        <w:rPr>
          <w:rFonts w:hint="eastAsia" w:ascii="宋体" w:hAnsi="宋体" w:eastAsia="宋体" w:cs="宋体"/>
          <w:b/>
          <w:bCs/>
        </w:rPr>
      </w:pPr>
      <w:r>
        <w:rPr>
          <w:rFonts w:hint="eastAsia" w:ascii="宋体" w:hAnsi="宋体" w:eastAsia="宋体" w:cs="宋体"/>
          <w:b/>
          <w:bCs/>
        </w:rPr>
        <w:t>四、采购内容及数量：（详见采购需求）</w:t>
      </w:r>
    </w:p>
    <w:tbl>
      <w:tblPr>
        <w:tblStyle w:val="24"/>
        <w:tblW w:w="10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36"/>
        <w:gridCol w:w="615"/>
        <w:gridCol w:w="585"/>
        <w:gridCol w:w="1470"/>
        <w:gridCol w:w="2445"/>
        <w:gridCol w:w="3010"/>
        <w:gridCol w:w="600"/>
      </w:tblGrid>
      <w:tr w14:paraId="6779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55FCAD62">
            <w:pPr>
              <w:jc w:val="center"/>
              <w:rPr>
                <w:rFonts w:hint="eastAsia" w:ascii="宋体" w:hAnsi="宋体" w:eastAsia="宋体" w:cs="宋体"/>
              </w:rPr>
            </w:pPr>
            <w:r>
              <w:rPr>
                <w:rFonts w:hint="eastAsia" w:ascii="宋体" w:hAnsi="宋体" w:eastAsia="宋体" w:cs="宋体"/>
              </w:rPr>
              <w:t>序号</w:t>
            </w:r>
          </w:p>
        </w:tc>
        <w:tc>
          <w:tcPr>
            <w:tcW w:w="1236" w:type="dxa"/>
            <w:vAlign w:val="center"/>
          </w:tcPr>
          <w:p w14:paraId="7254891A">
            <w:pPr>
              <w:jc w:val="center"/>
              <w:rPr>
                <w:rFonts w:hint="eastAsia" w:ascii="宋体" w:hAnsi="宋体" w:eastAsia="宋体" w:cs="宋体"/>
              </w:rPr>
            </w:pPr>
            <w:r>
              <w:rPr>
                <w:rFonts w:hint="eastAsia" w:ascii="宋体" w:hAnsi="宋体" w:eastAsia="宋体" w:cs="宋体"/>
              </w:rPr>
              <w:t>项目名称</w:t>
            </w:r>
          </w:p>
        </w:tc>
        <w:tc>
          <w:tcPr>
            <w:tcW w:w="615" w:type="dxa"/>
            <w:vAlign w:val="center"/>
          </w:tcPr>
          <w:p w14:paraId="76C82AFA">
            <w:pPr>
              <w:jc w:val="center"/>
              <w:rPr>
                <w:rFonts w:hint="eastAsia" w:ascii="宋体" w:hAnsi="宋体" w:eastAsia="宋体" w:cs="宋体"/>
              </w:rPr>
            </w:pPr>
            <w:r>
              <w:rPr>
                <w:rFonts w:hint="eastAsia" w:ascii="宋体" w:hAnsi="宋体" w:eastAsia="宋体" w:cs="宋体"/>
              </w:rPr>
              <w:t>数量</w:t>
            </w:r>
          </w:p>
        </w:tc>
        <w:tc>
          <w:tcPr>
            <w:tcW w:w="585" w:type="dxa"/>
            <w:vAlign w:val="center"/>
          </w:tcPr>
          <w:p w14:paraId="13090D72">
            <w:pPr>
              <w:jc w:val="center"/>
              <w:rPr>
                <w:rFonts w:hint="eastAsia" w:ascii="宋体" w:hAnsi="宋体" w:eastAsia="宋体" w:cs="宋体"/>
              </w:rPr>
            </w:pPr>
            <w:r>
              <w:rPr>
                <w:rFonts w:hint="eastAsia" w:ascii="宋体" w:hAnsi="宋体" w:eastAsia="宋体" w:cs="宋体"/>
              </w:rPr>
              <w:t>单位</w:t>
            </w:r>
          </w:p>
        </w:tc>
        <w:tc>
          <w:tcPr>
            <w:tcW w:w="1470" w:type="dxa"/>
            <w:vAlign w:val="center"/>
          </w:tcPr>
          <w:p w14:paraId="0EA610AC">
            <w:pPr>
              <w:jc w:val="center"/>
              <w:rPr>
                <w:rFonts w:hint="eastAsia" w:ascii="宋体" w:hAnsi="宋体" w:eastAsia="宋体" w:cs="宋体"/>
                <w:color w:val="FF0000"/>
              </w:rPr>
            </w:pPr>
            <w:r>
              <w:rPr>
                <w:rFonts w:hint="eastAsia" w:ascii="宋体" w:hAnsi="宋体" w:eastAsia="宋体" w:cs="宋体"/>
              </w:rPr>
              <w:t>预算价</w:t>
            </w:r>
          </w:p>
        </w:tc>
        <w:tc>
          <w:tcPr>
            <w:tcW w:w="2445" w:type="dxa"/>
            <w:vAlign w:val="center"/>
          </w:tcPr>
          <w:p w14:paraId="66FC7D52">
            <w:pPr>
              <w:jc w:val="center"/>
              <w:rPr>
                <w:rFonts w:hint="eastAsia" w:ascii="宋体" w:hAnsi="宋体" w:eastAsia="宋体" w:cs="宋体"/>
              </w:rPr>
            </w:pPr>
            <w:r>
              <w:rPr>
                <w:rFonts w:hint="eastAsia" w:ascii="宋体" w:hAnsi="宋体" w:eastAsia="宋体" w:cs="宋体"/>
              </w:rPr>
              <w:t>最高限价</w:t>
            </w:r>
          </w:p>
        </w:tc>
        <w:tc>
          <w:tcPr>
            <w:tcW w:w="3010" w:type="dxa"/>
            <w:vAlign w:val="center"/>
          </w:tcPr>
          <w:p w14:paraId="1E08D2B6">
            <w:pPr>
              <w:jc w:val="center"/>
              <w:rPr>
                <w:rFonts w:hint="eastAsia" w:ascii="宋体" w:hAnsi="宋体" w:eastAsia="宋体" w:cs="宋体"/>
              </w:rPr>
            </w:pPr>
            <w:r>
              <w:rPr>
                <w:rFonts w:hint="eastAsia" w:ascii="宋体" w:hAnsi="宋体" w:eastAsia="宋体" w:cs="宋体"/>
              </w:rPr>
              <w:t>简要规格描述</w:t>
            </w:r>
          </w:p>
        </w:tc>
        <w:tc>
          <w:tcPr>
            <w:tcW w:w="600" w:type="dxa"/>
            <w:vAlign w:val="center"/>
          </w:tcPr>
          <w:p w14:paraId="6FF4C177">
            <w:pPr>
              <w:jc w:val="center"/>
              <w:rPr>
                <w:rFonts w:hint="eastAsia" w:ascii="宋体" w:hAnsi="宋体" w:eastAsia="宋体" w:cs="宋体"/>
              </w:rPr>
            </w:pPr>
            <w:r>
              <w:rPr>
                <w:rFonts w:hint="eastAsia" w:ascii="宋体" w:hAnsi="宋体" w:eastAsia="宋体" w:cs="宋体"/>
              </w:rPr>
              <w:t>备注</w:t>
            </w:r>
          </w:p>
        </w:tc>
      </w:tr>
      <w:tr w14:paraId="5C45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696" w:type="dxa"/>
            <w:vAlign w:val="center"/>
          </w:tcPr>
          <w:p w14:paraId="3B63A1EA">
            <w:pPr>
              <w:jc w:val="center"/>
              <w:rPr>
                <w:rFonts w:hint="eastAsia" w:ascii="宋体" w:hAnsi="宋体" w:eastAsia="宋体" w:cs="宋体"/>
              </w:rPr>
            </w:pPr>
            <w:r>
              <w:rPr>
                <w:rFonts w:hint="eastAsia" w:ascii="宋体" w:hAnsi="宋体" w:eastAsia="宋体" w:cs="宋体"/>
              </w:rPr>
              <w:t>1</w:t>
            </w:r>
          </w:p>
        </w:tc>
        <w:tc>
          <w:tcPr>
            <w:tcW w:w="1236" w:type="dxa"/>
            <w:vAlign w:val="center"/>
          </w:tcPr>
          <w:p w14:paraId="3EF98631">
            <w:pPr>
              <w:keepNext w:val="0"/>
              <w:keepLines w:val="0"/>
              <w:pageBreakBefore w:val="0"/>
              <w:widowControl w:val="0"/>
              <w:kinsoku/>
              <w:wordWrap w:val="0"/>
              <w:overflowPunct/>
              <w:topLinePunct/>
              <w:autoSpaceDE/>
              <w:autoSpaceDN/>
              <w:bidi w:val="0"/>
              <w:adjustRightInd/>
              <w:snapToGrid/>
              <w:spacing w:line="280" w:lineRule="exact"/>
              <w:jc w:val="center"/>
              <w:textAlignment w:val="auto"/>
              <w:rPr>
                <w:rFonts w:hint="eastAsia" w:ascii="宋体" w:hAnsi="宋体" w:eastAsia="宋体" w:cs="宋体"/>
                <w:bCs/>
                <w:lang w:eastAsia="zh-CN"/>
              </w:rPr>
            </w:pPr>
            <w:r>
              <w:rPr>
                <w:rFonts w:hint="eastAsia" w:ascii="宋体" w:hAnsi="宋体" w:eastAsia="宋体" w:cs="宋体"/>
                <w:lang w:eastAsia="zh-CN"/>
              </w:rPr>
              <w:t>2024年度富春湾集团国有资产评估中介机构招标项目</w:t>
            </w:r>
          </w:p>
        </w:tc>
        <w:tc>
          <w:tcPr>
            <w:tcW w:w="615" w:type="dxa"/>
            <w:vAlign w:val="center"/>
          </w:tcPr>
          <w:p w14:paraId="64B3BB36">
            <w:pPr>
              <w:keepNext w:val="0"/>
              <w:keepLines w:val="0"/>
              <w:pageBreakBefore w:val="0"/>
              <w:widowControl w:val="0"/>
              <w:kinsoku/>
              <w:overflowPunct/>
              <w:autoSpaceDE/>
              <w:autoSpaceDN/>
              <w:bidi w:val="0"/>
              <w:adjustRightInd/>
              <w:snapToGrid/>
              <w:spacing w:line="280" w:lineRule="exact"/>
              <w:jc w:val="center"/>
              <w:textAlignment w:val="auto"/>
              <w:rPr>
                <w:rFonts w:hint="eastAsia" w:ascii="宋体" w:hAnsi="宋体" w:eastAsia="宋体" w:cs="宋体"/>
              </w:rPr>
            </w:pPr>
            <w:r>
              <w:rPr>
                <w:rFonts w:hint="eastAsia" w:ascii="宋体" w:hAnsi="宋体" w:eastAsia="宋体" w:cs="宋体"/>
              </w:rPr>
              <w:t>1</w:t>
            </w:r>
          </w:p>
        </w:tc>
        <w:tc>
          <w:tcPr>
            <w:tcW w:w="585" w:type="dxa"/>
            <w:vAlign w:val="center"/>
          </w:tcPr>
          <w:p w14:paraId="1B260B27">
            <w:pPr>
              <w:keepNext w:val="0"/>
              <w:keepLines w:val="0"/>
              <w:pageBreakBefore w:val="0"/>
              <w:widowControl w:val="0"/>
              <w:kinsoku/>
              <w:overflowPunct/>
              <w:autoSpaceDE/>
              <w:autoSpaceDN/>
              <w:bidi w:val="0"/>
              <w:adjustRightInd/>
              <w:snapToGrid/>
              <w:spacing w:line="280" w:lineRule="exact"/>
              <w:jc w:val="center"/>
              <w:textAlignment w:val="auto"/>
              <w:rPr>
                <w:rFonts w:hint="eastAsia" w:ascii="宋体" w:hAnsi="宋体" w:eastAsia="宋体" w:cs="宋体"/>
              </w:rPr>
            </w:pPr>
            <w:r>
              <w:rPr>
                <w:rFonts w:hint="eastAsia" w:ascii="宋体" w:hAnsi="宋体" w:eastAsia="宋体" w:cs="宋体"/>
              </w:rPr>
              <w:t>项</w:t>
            </w:r>
          </w:p>
        </w:tc>
        <w:tc>
          <w:tcPr>
            <w:tcW w:w="1470" w:type="dxa"/>
            <w:vAlign w:val="center"/>
          </w:tcPr>
          <w:p w14:paraId="740F344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color w:val="auto"/>
              </w:rPr>
            </w:pPr>
            <w:r>
              <w:rPr>
                <w:rFonts w:hint="eastAsia" w:ascii="宋体" w:hAnsi="宋体" w:eastAsia="宋体" w:cs="宋体"/>
                <w:color w:val="auto"/>
              </w:rPr>
              <w:t>暂定</w:t>
            </w:r>
            <w:r>
              <w:rPr>
                <w:rFonts w:hint="eastAsia" w:ascii="宋体" w:hAnsi="宋体" w:eastAsia="宋体" w:cs="宋体"/>
                <w:color w:val="auto"/>
                <w:sz w:val="24"/>
                <w:szCs w:val="24"/>
                <w:highlight w:val="none"/>
                <w:lang w:val="en-US" w:eastAsia="zh-CN"/>
              </w:rPr>
              <w:t>80万元</w:t>
            </w:r>
            <w:r>
              <w:rPr>
                <w:rFonts w:hint="eastAsia" w:ascii="宋体" w:hAnsi="宋体" w:eastAsia="宋体" w:cs="宋体"/>
                <w:color w:val="auto"/>
              </w:rPr>
              <w:t>（具体以实际结算为准</w:t>
            </w:r>
            <w:r>
              <w:rPr>
                <w:rFonts w:hint="eastAsia" w:ascii="宋体" w:hAnsi="宋体" w:eastAsia="宋体" w:cs="宋体"/>
                <w:color w:val="auto"/>
                <w:lang w:eastAsia="zh-CN"/>
              </w:rPr>
              <w:t>，</w:t>
            </w:r>
            <w:r>
              <w:rPr>
                <w:rFonts w:hint="eastAsia" w:ascii="宋体" w:hAnsi="宋体" w:eastAsia="宋体" w:cs="宋体"/>
                <w:color w:val="auto"/>
              </w:rPr>
              <w:t>单件标的资产评估费最高不超过15万元）</w:t>
            </w:r>
          </w:p>
        </w:tc>
        <w:tc>
          <w:tcPr>
            <w:tcW w:w="2445" w:type="dxa"/>
            <w:vAlign w:val="center"/>
          </w:tcPr>
          <w:p w14:paraId="2F44C273">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rPr>
            </w:pPr>
            <w:r>
              <w:rPr>
                <w:rFonts w:hint="eastAsia" w:ascii="宋体" w:hAnsi="宋体" w:eastAsia="宋体" w:cs="宋体"/>
                <w:color w:val="auto"/>
              </w:rPr>
              <w:t>按照《浙江省物价局关于资产评估收费问题的通知》（浙价服[2011] 90号）收费标准的30%计取。（资产评估单项评估服务费不足1500元的按1500 元计取；单件标的资产评估费最高不超过15万元）</w:t>
            </w:r>
          </w:p>
        </w:tc>
        <w:tc>
          <w:tcPr>
            <w:tcW w:w="3010" w:type="dxa"/>
            <w:vAlign w:val="center"/>
          </w:tcPr>
          <w:p w14:paraId="58F4B72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rPr>
            </w:pPr>
            <w:r>
              <w:rPr>
                <w:rFonts w:hint="eastAsia" w:ascii="宋体" w:hAnsi="宋体" w:eastAsia="宋体" w:cs="宋体"/>
                <w:color w:val="auto"/>
              </w:rPr>
              <w:t>本项目招标内容为富春湾新城集团区域范围内资产评估及资产处置评估。评估内容：属地乡镇（街道）涉及的承包租赁资产经营的资产评估、资产拍卖、转让、破产清算的资产评估、抵押贷款、经济担保的资产评估、纳税的资产评估、其他内容的资产评估。</w:t>
            </w:r>
          </w:p>
        </w:tc>
        <w:tc>
          <w:tcPr>
            <w:tcW w:w="600" w:type="dxa"/>
            <w:vAlign w:val="center"/>
          </w:tcPr>
          <w:p w14:paraId="2A3AB851">
            <w:pPr>
              <w:jc w:val="center"/>
              <w:rPr>
                <w:rFonts w:hint="eastAsia" w:ascii="宋体" w:hAnsi="宋体" w:eastAsia="宋体" w:cs="宋体"/>
              </w:rPr>
            </w:pPr>
          </w:p>
        </w:tc>
      </w:tr>
    </w:tbl>
    <w:p w14:paraId="6BCB1F64">
      <w:pPr>
        <w:widowControl/>
        <w:ind w:firstLine="477" w:firstLineChars="198"/>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注：本项目最终</w:t>
      </w:r>
      <w:r>
        <w:rPr>
          <w:rFonts w:hint="eastAsia" w:ascii="宋体" w:hAnsi="宋体" w:eastAsia="宋体" w:cs="宋体"/>
          <w:b/>
          <w:bCs/>
          <w:color w:val="auto"/>
          <w:sz w:val="24"/>
          <w:szCs w:val="24"/>
        </w:rPr>
        <w:t>推荐综合得分排序</w:t>
      </w:r>
      <w:r>
        <w:rPr>
          <w:rFonts w:hint="eastAsia" w:ascii="宋体" w:hAnsi="宋体" w:eastAsia="宋体" w:cs="宋体"/>
          <w:b/>
          <w:bCs/>
          <w:color w:val="auto"/>
          <w:sz w:val="24"/>
          <w:szCs w:val="24"/>
          <w:lang w:val="en-US" w:eastAsia="zh-CN"/>
        </w:rPr>
        <w:t>排名前三的</w:t>
      </w:r>
      <w:r>
        <w:rPr>
          <w:rFonts w:hint="eastAsia" w:ascii="宋体" w:hAnsi="宋体" w:eastAsia="宋体" w:cs="宋体"/>
          <w:b/>
          <w:bCs/>
          <w:color w:val="auto"/>
          <w:sz w:val="24"/>
          <w:szCs w:val="24"/>
        </w:rPr>
        <w:t>为中标候选人</w:t>
      </w:r>
      <w:r>
        <w:rPr>
          <w:rFonts w:hint="eastAsia" w:ascii="宋体" w:hAnsi="宋体" w:eastAsia="宋体" w:cs="宋体"/>
          <w:b/>
          <w:bCs/>
          <w:color w:val="auto"/>
          <w:sz w:val="24"/>
          <w:szCs w:val="24"/>
          <w:lang w:eastAsia="zh-CN"/>
        </w:rPr>
        <w:t>。</w:t>
      </w:r>
    </w:p>
    <w:p w14:paraId="1B87BFA6">
      <w:pPr>
        <w:widowControl/>
        <w:ind w:firstLine="477" w:firstLineChars="198"/>
        <w:jc w:val="left"/>
        <w:rPr>
          <w:rFonts w:hint="eastAsia" w:ascii="宋体" w:hAnsi="宋体" w:eastAsia="宋体" w:cs="宋体"/>
          <w:b/>
          <w:bCs/>
          <w:color w:val="auto"/>
        </w:rPr>
      </w:pPr>
      <w:r>
        <w:rPr>
          <w:rFonts w:hint="eastAsia" w:ascii="宋体" w:hAnsi="宋体" w:eastAsia="宋体" w:cs="宋体"/>
          <w:b/>
          <w:bCs/>
          <w:color w:val="auto"/>
        </w:rPr>
        <w:t>服务期：一年。</w:t>
      </w:r>
    </w:p>
    <w:p w14:paraId="389823D8">
      <w:pPr>
        <w:widowControl/>
        <w:ind w:firstLine="477" w:firstLineChars="198"/>
        <w:jc w:val="left"/>
        <w:rPr>
          <w:rFonts w:hint="eastAsia" w:ascii="宋体" w:hAnsi="宋体" w:eastAsia="宋体" w:cs="宋体"/>
          <w:b/>
          <w:bCs/>
        </w:rPr>
      </w:pPr>
      <w:r>
        <w:rPr>
          <w:rFonts w:hint="eastAsia" w:ascii="宋体" w:hAnsi="宋体" w:eastAsia="宋体" w:cs="宋体"/>
          <w:b/>
          <w:bCs/>
        </w:rPr>
        <w:t>质量要求：合格。</w:t>
      </w:r>
    </w:p>
    <w:p w14:paraId="3D0CE61A">
      <w:pPr>
        <w:ind w:firstLine="482" w:firstLineChars="200"/>
        <w:rPr>
          <w:rFonts w:hint="eastAsia" w:ascii="宋体" w:hAnsi="宋体" w:eastAsia="宋体" w:cs="宋体"/>
          <w:b/>
          <w:bCs/>
        </w:rPr>
      </w:pPr>
      <w:r>
        <w:rPr>
          <w:rFonts w:hint="eastAsia" w:ascii="宋体" w:hAnsi="宋体" w:eastAsia="宋体" w:cs="宋体"/>
          <w:b/>
          <w:bCs/>
        </w:rPr>
        <w:t>五、合格投标人的资格要求</w:t>
      </w:r>
    </w:p>
    <w:p w14:paraId="2E9CDC1C">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符合《中华人民共和国政府采购法》第二十二条之规定，在中华人民共和国境内注册，且符合、承认并承诺履行本采购文件各项规定，具有生产或经营本项目产品的厂家或具有销售能力的供应商，所提供的货物和服务须在我国境内合法生产或销售的：</w:t>
      </w:r>
    </w:p>
    <w:p w14:paraId="43CC2694">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rPr>
        <w:t>（1）具有独立承担民事责任的能力；</w:t>
      </w:r>
    </w:p>
    <w:p w14:paraId="70C67215">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rPr>
        <w:t>（2）具有良好的商业信誉和健全的财务会计制度；</w:t>
      </w:r>
    </w:p>
    <w:p w14:paraId="5855C8B3">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rPr>
        <w:t>（3）具有履行合同所必需的场地、设备和专业技术能力；</w:t>
      </w:r>
    </w:p>
    <w:p w14:paraId="4D839EDF">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rPr>
        <w:t>（4）有依法缴纳税收和社会保障资金的良好记录；</w:t>
      </w:r>
    </w:p>
    <w:p w14:paraId="42557367">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rPr>
        <w:t>（5）参加政府采购活动前三年内，在经营活动中没有重大违法记录；</w:t>
      </w:r>
    </w:p>
    <w:p w14:paraId="78BCC154">
      <w:pPr>
        <w:keepNext w:val="0"/>
        <w:keepLines w:val="0"/>
        <w:pageBreakBefore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rPr>
      </w:pPr>
      <w:r>
        <w:rPr>
          <w:rFonts w:hint="eastAsia" w:ascii="宋体" w:hAnsi="宋体" w:eastAsia="宋体" w:cs="宋体"/>
        </w:rPr>
        <w:t>（6）法律、行政法规规定的其他条件。</w:t>
      </w:r>
    </w:p>
    <w:p w14:paraId="1FCAC3C6">
      <w:pPr>
        <w:pStyle w:val="21"/>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2.未被“信用中国”（www.creditchina.gov.cn）、中国政府采购网（www.ccgp.gov.cn）列入失信被执行人、重大税收违法案件当事人名单、政府采购严重违法失信行为记录名单；</w:t>
      </w:r>
    </w:p>
    <w:p w14:paraId="4C41D3D8">
      <w:pPr>
        <w:pStyle w:val="21"/>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3.特定资格条件：无；</w:t>
      </w:r>
    </w:p>
    <w:p w14:paraId="53F92FE9">
      <w:pPr>
        <w:pStyle w:val="21"/>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D992133">
      <w:pPr>
        <w:pStyle w:val="21"/>
        <w:keepNext w:val="0"/>
        <w:keepLines w:val="0"/>
        <w:pageBreakBefore w:val="0"/>
        <w:widowControl/>
        <w:kinsoku/>
        <w:wordWrap/>
        <w:overflowPunct/>
        <w:topLinePunct w:val="0"/>
        <w:autoSpaceDE/>
        <w:autoSpaceDN/>
        <w:bidi w:val="0"/>
        <w:adjustRightInd/>
        <w:snapToGrid/>
        <w:spacing w:beforeAutospacing="0" w:after="0" w:afterAutospacing="0" w:line="440" w:lineRule="exac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5.本项目不允许联合体投标。</w:t>
      </w:r>
    </w:p>
    <w:p w14:paraId="74C0EADA">
      <w:pPr>
        <w:ind w:firstLine="482" w:firstLineChars="200"/>
        <w:jc w:val="left"/>
        <w:rPr>
          <w:rFonts w:hint="eastAsia" w:ascii="宋体" w:hAnsi="宋体" w:eastAsia="宋体" w:cs="宋体"/>
        </w:rPr>
      </w:pPr>
      <w:r>
        <w:rPr>
          <w:rFonts w:hint="eastAsia" w:ascii="宋体" w:hAnsi="宋体" w:eastAsia="宋体" w:cs="宋体"/>
          <w:b/>
          <w:bCs/>
        </w:rPr>
        <w:t>六、获取招标文件的时间期限、地点、方式及招标文件售价：</w:t>
      </w:r>
    </w:p>
    <w:p w14:paraId="51F40E0A">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1.时间期限：</w:t>
      </w:r>
      <w:r>
        <w:rPr>
          <w:rFonts w:hint="eastAsia" w:ascii="宋体" w:hAnsi="宋体" w:eastAsia="宋体" w:cs="宋体"/>
          <w:color w:val="0000FF"/>
          <w:sz w:val="24"/>
          <w:szCs w:val="24"/>
          <w:u w:val="single"/>
        </w:rPr>
        <w:t xml:space="preserve"> 202</w:t>
      </w:r>
      <w:r>
        <w:rPr>
          <w:rFonts w:hint="eastAsia" w:ascii="宋体" w:hAnsi="宋体" w:eastAsia="宋体" w:cs="宋体"/>
          <w:color w:val="0000FF"/>
          <w:sz w:val="24"/>
          <w:szCs w:val="24"/>
          <w:u w:val="single"/>
          <w:lang w:val="en-US" w:eastAsia="zh-CN"/>
        </w:rPr>
        <w:t>4</w:t>
      </w:r>
      <w:r>
        <w:rPr>
          <w:rFonts w:hint="eastAsia" w:ascii="宋体" w:hAnsi="宋体" w:eastAsia="宋体" w:cs="宋体"/>
          <w:color w:val="0000FF"/>
          <w:sz w:val="24"/>
          <w:szCs w:val="24"/>
          <w:u w:val="single"/>
        </w:rPr>
        <w:t>年</w:t>
      </w:r>
      <w:r>
        <w:rPr>
          <w:rFonts w:hint="eastAsia" w:ascii="宋体" w:hAnsi="宋体" w:eastAsia="宋体" w:cs="宋体"/>
          <w:color w:val="0000FF"/>
          <w:sz w:val="24"/>
          <w:szCs w:val="24"/>
          <w:u w:val="single"/>
          <w:lang w:val="en-US" w:eastAsia="zh-CN"/>
        </w:rPr>
        <w:t>08</w:t>
      </w:r>
      <w:r>
        <w:rPr>
          <w:rFonts w:hint="eastAsia" w:ascii="宋体" w:hAnsi="宋体" w:eastAsia="宋体" w:cs="宋体"/>
          <w:color w:val="0000FF"/>
          <w:sz w:val="24"/>
          <w:szCs w:val="24"/>
          <w:u w:val="single"/>
        </w:rPr>
        <w:t>月</w:t>
      </w:r>
      <w:r>
        <w:rPr>
          <w:rFonts w:hint="eastAsia" w:ascii="宋体" w:hAnsi="宋体" w:eastAsia="宋体" w:cs="宋体"/>
          <w:color w:val="0000FF"/>
          <w:sz w:val="24"/>
          <w:szCs w:val="24"/>
          <w:u w:val="single"/>
          <w:lang w:val="en-US" w:eastAsia="zh-CN"/>
        </w:rPr>
        <w:t>28</w:t>
      </w:r>
      <w:r>
        <w:rPr>
          <w:rFonts w:hint="eastAsia" w:ascii="宋体" w:hAnsi="宋体" w:eastAsia="宋体" w:cs="宋体"/>
          <w:color w:val="0000FF"/>
          <w:sz w:val="24"/>
          <w:szCs w:val="24"/>
          <w:u w:val="single"/>
        </w:rPr>
        <w:t xml:space="preserve">日 </w:t>
      </w:r>
      <w:r>
        <w:rPr>
          <w:rFonts w:hint="eastAsia" w:ascii="宋体" w:hAnsi="宋体" w:eastAsia="宋体" w:cs="宋体"/>
          <w:color w:val="0000FF"/>
          <w:sz w:val="24"/>
          <w:szCs w:val="24"/>
        </w:rPr>
        <w:t>至</w:t>
      </w:r>
      <w:r>
        <w:rPr>
          <w:rFonts w:hint="eastAsia" w:ascii="宋体" w:hAnsi="宋体" w:eastAsia="宋体" w:cs="宋体"/>
          <w:color w:val="0000FF"/>
          <w:sz w:val="24"/>
          <w:szCs w:val="24"/>
          <w:u w:val="single"/>
        </w:rPr>
        <w:t xml:space="preserve"> 202</w:t>
      </w:r>
      <w:r>
        <w:rPr>
          <w:rFonts w:hint="eastAsia" w:ascii="宋体" w:hAnsi="宋体" w:eastAsia="宋体" w:cs="宋体"/>
          <w:color w:val="0000FF"/>
          <w:sz w:val="24"/>
          <w:szCs w:val="24"/>
          <w:u w:val="single"/>
          <w:lang w:val="en-US" w:eastAsia="zh-CN"/>
        </w:rPr>
        <w:t>4</w:t>
      </w:r>
      <w:r>
        <w:rPr>
          <w:rFonts w:hint="eastAsia" w:ascii="宋体" w:hAnsi="宋体" w:eastAsia="宋体" w:cs="宋体"/>
          <w:color w:val="0000FF"/>
          <w:sz w:val="24"/>
          <w:szCs w:val="24"/>
          <w:u w:val="single"/>
        </w:rPr>
        <w:t>年</w:t>
      </w:r>
      <w:r>
        <w:rPr>
          <w:rFonts w:hint="eastAsia" w:ascii="宋体" w:hAnsi="宋体" w:eastAsia="宋体" w:cs="宋体"/>
          <w:color w:val="0000FF"/>
          <w:sz w:val="24"/>
          <w:szCs w:val="24"/>
          <w:u w:val="single"/>
          <w:lang w:val="en-US" w:eastAsia="zh-CN"/>
        </w:rPr>
        <w:t>09</w:t>
      </w:r>
      <w:r>
        <w:rPr>
          <w:rFonts w:hint="eastAsia" w:ascii="宋体" w:hAnsi="宋体" w:eastAsia="宋体" w:cs="宋体"/>
          <w:color w:val="0000FF"/>
          <w:sz w:val="24"/>
          <w:szCs w:val="24"/>
          <w:u w:val="single"/>
        </w:rPr>
        <w:t>月</w:t>
      </w:r>
      <w:r>
        <w:rPr>
          <w:rFonts w:hint="eastAsia" w:ascii="宋体" w:hAnsi="宋体" w:eastAsia="宋体" w:cs="宋体"/>
          <w:color w:val="0000FF"/>
          <w:sz w:val="24"/>
          <w:szCs w:val="24"/>
          <w:u w:val="single"/>
          <w:lang w:val="en-US" w:eastAsia="zh-CN"/>
        </w:rPr>
        <w:t>18</w:t>
      </w:r>
      <w:r>
        <w:rPr>
          <w:rFonts w:hint="eastAsia" w:ascii="宋体" w:hAnsi="宋体" w:eastAsia="宋体" w:cs="宋体"/>
          <w:color w:val="0000FF"/>
          <w:sz w:val="24"/>
          <w:szCs w:val="24"/>
          <w:u w:val="single"/>
        </w:rPr>
        <w:t>日</w:t>
      </w:r>
      <w:r>
        <w:rPr>
          <w:rFonts w:hint="eastAsia" w:ascii="宋体" w:hAnsi="宋体" w:eastAsia="宋体" w:cs="宋体"/>
          <w:color w:val="0000FF"/>
          <w:sz w:val="24"/>
          <w:szCs w:val="24"/>
          <w:u w:val="single"/>
          <w:lang w:val="en-US" w:eastAsia="zh-CN"/>
        </w:rPr>
        <w:t>09</w:t>
      </w:r>
      <w:r>
        <w:rPr>
          <w:rFonts w:hint="eastAsia" w:ascii="宋体" w:hAnsi="宋体" w:eastAsia="宋体" w:cs="宋体"/>
          <w:color w:val="0000FF"/>
          <w:sz w:val="24"/>
          <w:szCs w:val="24"/>
          <w:u w:val="single"/>
          <w:lang w:eastAsia="zh-CN"/>
        </w:rPr>
        <w:t>时</w:t>
      </w:r>
      <w:r>
        <w:rPr>
          <w:rFonts w:hint="eastAsia" w:ascii="宋体" w:hAnsi="宋体" w:eastAsia="宋体" w:cs="宋体"/>
          <w:color w:val="0000FF"/>
          <w:sz w:val="24"/>
          <w:szCs w:val="24"/>
          <w:u w:val="single"/>
          <w:lang w:val="en-US" w:eastAsia="zh-CN"/>
        </w:rPr>
        <w:t>00分00秒</w:t>
      </w:r>
      <w:r>
        <w:rPr>
          <w:rFonts w:hint="eastAsia" w:ascii="宋体" w:hAnsi="宋体" w:eastAsia="宋体" w:cs="宋体"/>
          <w:color w:val="0000FF"/>
          <w:sz w:val="24"/>
          <w:szCs w:val="24"/>
        </w:rPr>
        <w:t>，</w:t>
      </w:r>
      <w:r>
        <w:rPr>
          <w:rFonts w:hint="eastAsia" w:ascii="宋体" w:hAnsi="宋体" w:eastAsia="宋体" w:cs="宋体"/>
          <w:color w:val="000000"/>
          <w:sz w:val="24"/>
          <w:szCs w:val="24"/>
        </w:rPr>
        <w:t>每天上午</w:t>
      </w:r>
      <w:r>
        <w:rPr>
          <w:rFonts w:hint="eastAsia" w:ascii="宋体" w:hAnsi="宋体" w:eastAsia="宋体" w:cs="宋体"/>
          <w:color w:val="000000"/>
          <w:sz w:val="24"/>
          <w:szCs w:val="24"/>
          <w:u w:val="single"/>
        </w:rPr>
        <w:t xml:space="preserve"> 00:00至12:00 </w:t>
      </w:r>
      <w:r>
        <w:rPr>
          <w:rFonts w:hint="eastAsia" w:ascii="宋体" w:hAnsi="宋体" w:eastAsia="宋体" w:cs="宋体"/>
          <w:color w:val="000000"/>
          <w:sz w:val="24"/>
          <w:szCs w:val="24"/>
        </w:rPr>
        <w:t>，下午</w:t>
      </w:r>
      <w:r>
        <w:rPr>
          <w:rFonts w:hint="eastAsia" w:ascii="宋体" w:hAnsi="宋体" w:eastAsia="宋体" w:cs="宋体"/>
          <w:color w:val="000000"/>
          <w:sz w:val="24"/>
          <w:szCs w:val="24"/>
          <w:u w:val="single"/>
        </w:rPr>
        <w:t xml:space="preserve"> 12:00至23:59 </w:t>
      </w:r>
      <w:r>
        <w:rPr>
          <w:rFonts w:hint="eastAsia" w:ascii="宋体" w:hAnsi="宋体" w:eastAsia="宋体" w:cs="宋体"/>
          <w:color w:val="auto"/>
          <w:sz w:val="24"/>
          <w:szCs w:val="24"/>
          <w:highlight w:val="none"/>
        </w:rPr>
        <w:t>（北京时间，线上获取法定节假日均可，线下获取文件法定节假日除外）</w:t>
      </w:r>
      <w:r>
        <w:rPr>
          <w:rFonts w:hint="eastAsia" w:ascii="宋体" w:hAnsi="宋体" w:eastAsia="宋体" w:cs="宋体"/>
          <w:color w:val="auto"/>
          <w:sz w:val="24"/>
          <w:szCs w:val="24"/>
          <w:highlight w:val="none"/>
          <w:lang w:eastAsia="zh-CN"/>
        </w:rPr>
        <w:t>。</w:t>
      </w:r>
    </w:p>
    <w:p w14:paraId="0A9F95D5">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w:t>
      </w:r>
      <w:r>
        <w:rPr>
          <w:rFonts w:hint="eastAsia" w:ascii="宋体" w:hAnsi="宋体" w:eastAsia="宋体" w:cs="宋体"/>
          <w:color w:val="000000"/>
          <w:sz w:val="24"/>
          <w:szCs w:val="24"/>
        </w:rPr>
        <w:t>（网址）</w:t>
      </w:r>
      <w:r>
        <w:rPr>
          <w:rFonts w:hint="eastAsia" w:ascii="宋体" w:hAnsi="宋体" w:eastAsia="宋体" w:cs="宋体"/>
          <w:color w:val="auto"/>
          <w:sz w:val="24"/>
          <w:szCs w:val="24"/>
          <w:highlight w:val="none"/>
        </w:rPr>
        <w:t>：</w:t>
      </w:r>
      <w:r>
        <w:rPr>
          <w:rFonts w:hint="eastAsia" w:ascii="宋体" w:hAnsi="宋体" w:eastAsia="宋体" w:cs="宋体"/>
        </w:rPr>
        <w:t>乐采云平台（www.lecaiyun.com）</w:t>
      </w:r>
      <w:r>
        <w:rPr>
          <w:rFonts w:hint="eastAsia" w:ascii="宋体" w:hAnsi="宋体" w:eastAsia="宋体" w:cs="宋体"/>
          <w:color w:val="auto"/>
          <w:sz w:val="24"/>
          <w:highlight w:val="none"/>
        </w:rPr>
        <w:t>（非政府采购）</w:t>
      </w:r>
      <w:r>
        <w:rPr>
          <w:rFonts w:hint="eastAsia" w:ascii="宋体" w:hAnsi="宋体" w:eastAsia="宋体" w:cs="宋体"/>
          <w:color w:val="auto"/>
          <w:sz w:val="24"/>
          <w:szCs w:val="24"/>
          <w:highlight w:val="none"/>
        </w:rPr>
        <w:t>；</w:t>
      </w:r>
    </w:p>
    <w:p w14:paraId="4233D5AB">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方式：在线申请获取招标文件。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14:paraId="3F94F592">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4.售价：免费</w:t>
      </w:r>
    </w:p>
    <w:p w14:paraId="7DC6766E">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5.供应商获取招标文件时须提交的文件资料：无；</w:t>
      </w:r>
    </w:p>
    <w:p w14:paraId="051D29A6">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6.提示：</w:t>
      </w:r>
    </w:p>
    <w:p w14:paraId="48DAF96E">
      <w:pPr>
        <w:pStyle w:val="13"/>
        <w:keepNext w:val="0"/>
        <w:keepLines w:val="0"/>
        <w:pageBreakBefore w:val="0"/>
        <w:widowControl w:val="0"/>
        <w:kinsoku/>
        <w:wordWrap/>
        <w:overflowPunct/>
        <w:topLinePunct w:val="0"/>
        <w:autoSpaceDE/>
        <w:autoSpaceDN/>
        <w:bidi w:val="0"/>
        <w:adjustRightInd/>
        <w:snapToGrid/>
        <w:spacing w:before="0" w:beforeLines="0" w:afterLines="0" w:line="440" w:lineRule="exact"/>
        <w:ind w:firstLine="480" w:firstLineChars="200"/>
        <w:textAlignment w:val="auto"/>
        <w:rPr>
          <w:rFonts w:hint="eastAsia" w:ascii="宋体" w:hAnsi="宋体" w:eastAsia="宋体" w:cs="宋体"/>
          <w:color w:val="auto"/>
          <w:kern w:val="2"/>
          <w:highlight w:val="none"/>
          <w:u w:val="single"/>
        </w:rPr>
      </w:pPr>
      <w:r>
        <w:rPr>
          <w:rFonts w:hint="eastAsia" w:ascii="宋体" w:hAnsi="宋体" w:eastAsia="宋体" w:cs="宋体"/>
          <w:color w:val="auto"/>
          <w:kern w:val="2"/>
          <w:highlight w:val="none"/>
        </w:rPr>
        <w:t>（1）采购人、采购代理机构依托</w:t>
      </w:r>
      <w:r>
        <w:rPr>
          <w:rFonts w:hint="eastAsia" w:ascii="宋体" w:hAnsi="宋体" w:eastAsia="宋体" w:cs="宋体"/>
        </w:rPr>
        <w:t>乐采云平台（www.lecaiyun.com）</w:t>
      </w:r>
      <w:r>
        <w:rPr>
          <w:rFonts w:hint="eastAsia" w:ascii="宋体" w:hAnsi="宋体" w:eastAsia="宋体" w:cs="宋体"/>
          <w:color w:val="auto"/>
          <w:kern w:val="2"/>
          <w:highlight w:val="none"/>
        </w:rPr>
        <w:t>完成本项目的电子交易活动，平台不接受未按上述方式获取招标文件的供应商进行投标活动；</w:t>
      </w:r>
    </w:p>
    <w:p w14:paraId="1E7FAF2F">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（2）对未按上述方式获取招标文件的供应商对该文件提出的质疑，采购人或</w:t>
      </w:r>
      <w:r>
        <w:rPr>
          <w:rFonts w:hint="eastAsia" w:ascii="宋体" w:hAnsi="宋体" w:eastAsia="宋体" w:cs="宋体"/>
          <w:color w:val="000000"/>
          <w:sz w:val="24"/>
          <w:szCs w:val="24"/>
        </w:rPr>
        <w:t>采购代理机构</w:t>
      </w:r>
      <w:r>
        <w:rPr>
          <w:rFonts w:hint="eastAsia" w:ascii="宋体" w:hAnsi="宋体" w:eastAsia="宋体" w:cs="宋体"/>
          <w:color w:val="auto"/>
          <w:sz w:val="24"/>
          <w:szCs w:val="24"/>
          <w:highlight w:val="none"/>
        </w:rPr>
        <w:t>将不予处理；</w:t>
      </w:r>
    </w:p>
    <w:p w14:paraId="6EC6DF44">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（3）采购人或者</w:t>
      </w:r>
      <w:r>
        <w:rPr>
          <w:rFonts w:hint="eastAsia" w:ascii="宋体" w:hAnsi="宋体" w:eastAsia="宋体" w:cs="宋体"/>
          <w:color w:val="000000"/>
          <w:sz w:val="24"/>
          <w:szCs w:val="24"/>
        </w:rPr>
        <w:t>采购代理机构</w:t>
      </w:r>
      <w:r>
        <w:rPr>
          <w:rFonts w:hint="eastAsia" w:ascii="宋体" w:hAnsi="宋体" w:eastAsia="宋体" w:cs="宋体"/>
          <w:color w:val="auto"/>
          <w:sz w:val="24"/>
          <w:szCs w:val="24"/>
          <w:highlight w:val="none"/>
        </w:rPr>
        <w:t>对已发出的招标文件等进行必要的澄清或者修改的，采购人或者</w:t>
      </w:r>
      <w:r>
        <w:rPr>
          <w:rFonts w:hint="eastAsia" w:ascii="宋体" w:hAnsi="宋体" w:eastAsia="宋体" w:cs="宋体"/>
          <w:color w:val="000000"/>
          <w:sz w:val="24"/>
          <w:szCs w:val="24"/>
        </w:rPr>
        <w:t>采购代理机构</w:t>
      </w:r>
      <w:r>
        <w:rPr>
          <w:rFonts w:hint="eastAsia" w:ascii="宋体" w:hAnsi="宋体" w:eastAsia="宋体" w:cs="宋体"/>
          <w:color w:val="auto"/>
          <w:sz w:val="24"/>
          <w:szCs w:val="24"/>
          <w:highlight w:val="none"/>
        </w:rPr>
        <w:t>将无法通过</w:t>
      </w:r>
      <w:r>
        <w:rPr>
          <w:rFonts w:hint="eastAsia" w:ascii="宋体" w:hAnsi="宋体" w:eastAsia="宋体" w:cs="宋体"/>
        </w:rPr>
        <w:t>乐采云平台（www.lecaiyun.com）</w:t>
      </w:r>
      <w:r>
        <w:rPr>
          <w:rFonts w:hint="eastAsia" w:ascii="宋体" w:hAnsi="宋体" w:eastAsia="宋体" w:cs="宋体"/>
          <w:color w:val="auto"/>
          <w:sz w:val="24"/>
          <w:szCs w:val="24"/>
          <w:highlight w:val="none"/>
        </w:rPr>
        <w:t>通知未按上述方式获取招标文件的供应商；</w:t>
      </w:r>
    </w:p>
    <w:p w14:paraId="6BD4250E">
      <w:pPr>
        <w:keepNext w:val="0"/>
        <w:keepLines w:val="0"/>
        <w:pageBreakBefore w:val="0"/>
        <w:widowControl w:val="0"/>
        <w:kinsoku/>
        <w:wordWrap/>
        <w:overflowPunct/>
        <w:topLinePunct w:val="0"/>
        <w:autoSpaceDE/>
        <w:autoSpaceDN/>
        <w:bidi w:val="0"/>
        <w:adjustRightInd/>
        <w:snapToGrid/>
        <w:spacing w:before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（4）招标公告所附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文件仅供阅览使用，供应商只有在“</w:t>
      </w:r>
      <w:r>
        <w:rPr>
          <w:rFonts w:hint="eastAsia" w:ascii="宋体" w:hAnsi="宋体" w:eastAsia="宋体" w:cs="宋体"/>
          <w:color w:val="auto"/>
          <w:sz w:val="24"/>
          <w:szCs w:val="24"/>
          <w:highlight w:val="none"/>
          <w:lang w:val="en-US" w:eastAsia="zh-CN"/>
        </w:rPr>
        <w:t>乐采</w:t>
      </w:r>
      <w:r>
        <w:rPr>
          <w:rFonts w:hint="eastAsia" w:ascii="宋体" w:hAnsi="宋体" w:eastAsia="宋体" w:cs="宋体"/>
          <w:color w:val="auto"/>
          <w:sz w:val="24"/>
          <w:szCs w:val="24"/>
          <w:highlight w:val="none"/>
        </w:rPr>
        <w:t>云平台”完成获取采购文件申请并下载了采购文件后才被视为合法获取了采购文件，否则投标将被拒绝。（供应商获取采购文件时间以供应商完成获取采购文件申请后下载采购文件的时间为准）。</w:t>
      </w:r>
    </w:p>
    <w:p w14:paraId="0469FFE0">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注：请供应商按上述要求获取</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文件，如未在“</w:t>
      </w:r>
      <w:r>
        <w:rPr>
          <w:rFonts w:hint="eastAsia" w:ascii="宋体" w:hAnsi="宋体" w:eastAsia="宋体" w:cs="宋体"/>
          <w:color w:val="auto"/>
          <w:sz w:val="24"/>
          <w:szCs w:val="24"/>
          <w:highlight w:val="none"/>
          <w:lang w:val="en-US" w:eastAsia="zh-CN"/>
        </w:rPr>
        <w:t>乐采云</w:t>
      </w:r>
      <w:r>
        <w:rPr>
          <w:rFonts w:hint="eastAsia" w:ascii="宋体" w:hAnsi="宋体" w:eastAsia="宋体" w:cs="宋体"/>
          <w:color w:val="auto"/>
          <w:sz w:val="24"/>
          <w:szCs w:val="24"/>
          <w:highlight w:val="none"/>
        </w:rPr>
        <w:t>”系统内完成相关流程，引起的投标无效责任自负。</w:t>
      </w:r>
    </w:p>
    <w:p w14:paraId="02A33EDC">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不提供招标文件纸质版。</w:t>
      </w:r>
    </w:p>
    <w:p w14:paraId="1606EF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rPr>
      </w:pPr>
      <w:r>
        <w:rPr>
          <w:rFonts w:hint="eastAsia" w:ascii="宋体" w:hAnsi="宋体" w:eastAsia="宋体" w:cs="宋体"/>
          <w:color w:val="auto"/>
          <w:sz w:val="24"/>
          <w:szCs w:val="24"/>
          <w:highlight w:val="none"/>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3FF94F99">
      <w:pPr>
        <w:keepNext w:val="0"/>
        <w:keepLines w:val="0"/>
        <w:pageBreakBefore w:val="0"/>
        <w:widowControl w:val="0"/>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u w:val="single"/>
        </w:rPr>
      </w:pPr>
      <w:r>
        <w:rPr>
          <w:rFonts w:hint="eastAsia" w:ascii="宋体" w:hAnsi="宋体" w:eastAsia="宋体" w:cs="宋体"/>
          <w:b/>
          <w:bCs/>
        </w:rPr>
        <w:t>七、电子招投标的说明</w:t>
      </w:r>
    </w:p>
    <w:p w14:paraId="1D8344B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rPr>
      </w:pPr>
      <w:r>
        <w:rPr>
          <w:rFonts w:hint="eastAsia" w:ascii="宋体" w:hAnsi="宋体" w:eastAsia="宋体" w:cs="宋体"/>
        </w:rPr>
        <w:t>1.电子招投标：本项目以数据电文形式，依托“乐采云平台（www.lecaiyun.com）”进行招投标活动，各投标人应按照本项目招标文件和乐采云平台的要求编制、加密并递交投标文件，不接受纸质投标文件。</w:t>
      </w:r>
    </w:p>
    <w:p w14:paraId="72F863B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rPr>
      </w:pPr>
      <w:r>
        <w:rPr>
          <w:rFonts w:hint="eastAsia" w:ascii="宋体" w:hAnsi="宋体" w:eastAsia="宋体" w:cs="宋体"/>
        </w:rPr>
        <w:t>2.投标准备：</w:t>
      </w:r>
    </w:p>
    <w:p w14:paraId="467266B9">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rPr>
      </w:pPr>
      <w:r>
        <w:rPr>
          <w:rFonts w:hint="eastAsia" w:ascii="宋体" w:hAnsi="宋体" w:eastAsia="宋体" w:cs="宋体"/>
        </w:rPr>
        <w:t>①注册账号--点击“商家入驻”，进行采购供应商资料填写，通过初审及终审公示后可成为正式供应商；</w:t>
      </w:r>
    </w:p>
    <w:p w14:paraId="4A40D53A">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宋体" w:hAnsi="宋体" w:eastAsia="宋体" w:cs="宋体"/>
        </w:rPr>
      </w:pPr>
      <w:r>
        <w:rPr>
          <w:rFonts w:hint="eastAsia" w:ascii="宋体" w:hAnsi="宋体" w:eastAsia="宋体" w:cs="宋体"/>
        </w:rPr>
        <w:t>②申领CA数字证书---申领流程详见“浙江政府采购网-下载专区-电子交易客户端-CA驱动和申领流程”：投标人应在开标前完成CA数字证书办理，完成CA数字证书办理预计1-2周左右，各投标人应充分考虑办理时间等因素。</w:t>
      </w:r>
    </w:p>
    <w:p w14:paraId="7DD09AC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rPr>
      </w:pPr>
      <w:r>
        <w:rPr>
          <w:rFonts w:hint="eastAsia" w:ascii="宋体" w:hAnsi="宋体" w:eastAsia="宋体" w:cs="宋体"/>
        </w:rPr>
        <w:t xml:space="preserve">办理流程详见:CA管理操作指南  </w:t>
      </w:r>
      <w:r>
        <w:rPr>
          <w:rFonts w:hint="eastAsia" w:ascii="宋体" w:hAnsi="宋体" w:eastAsia="宋体" w:cs="宋体"/>
        </w:rPr>
        <w:fldChar w:fldCharType="begin"/>
      </w:r>
      <w:r>
        <w:rPr>
          <w:rFonts w:hint="eastAsia" w:ascii="宋体" w:hAnsi="宋体" w:eastAsia="宋体" w:cs="宋体"/>
        </w:rPr>
        <w:instrText xml:space="preserve"> HYPERLINK "https://service.zcygov.cn/" \l "/knowledges/cm2eqWwBFdiHxlNd_otq/lwV6GXABiyELHE-oVMj3" </w:instrText>
      </w:r>
      <w:r>
        <w:rPr>
          <w:rFonts w:hint="eastAsia" w:ascii="宋体" w:hAnsi="宋体" w:eastAsia="宋体" w:cs="宋体"/>
        </w:rPr>
        <w:fldChar w:fldCharType="separate"/>
      </w:r>
      <w:r>
        <w:rPr>
          <w:rFonts w:hint="eastAsia" w:ascii="宋体" w:hAnsi="宋体" w:eastAsia="宋体" w:cs="宋体"/>
        </w:rPr>
        <w:t>https://service.zcygov.cn/#/knowledges/cm2eqWwBFdiHxlNd_otq/lwV6GXABiyELHE-oVMj3</w:t>
      </w:r>
      <w:r>
        <w:rPr>
          <w:rFonts w:hint="eastAsia" w:ascii="宋体" w:hAnsi="宋体" w:eastAsia="宋体" w:cs="宋体"/>
        </w:rPr>
        <w:fldChar w:fldCharType="end"/>
      </w:r>
    </w:p>
    <w:p w14:paraId="68AD24C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rPr>
      </w:pPr>
      <w:r>
        <w:rPr>
          <w:rFonts w:hint="eastAsia" w:ascii="宋体" w:hAnsi="宋体" w:eastAsia="宋体" w:cs="宋体"/>
        </w:rPr>
        <w:t>CA相关热点问题TOP专题页https://service.zcygov.cn/#/knowledges/depk120BkjoVoiMyPhAJ/8QejCnEBiyELHE-ohzp-</w:t>
      </w:r>
    </w:p>
    <w:p w14:paraId="4C053693">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rPr>
      </w:pPr>
      <w:r>
        <w:rPr>
          <w:rFonts w:hint="eastAsia" w:ascii="宋体" w:hAnsi="宋体" w:eastAsia="宋体" w:cs="宋体"/>
          <w:b/>
          <w:bCs/>
        </w:rPr>
        <w:t>③安装“电子交易客户端”----投标人通过</w:t>
      </w:r>
      <w:r>
        <w:rPr>
          <w:rFonts w:hint="eastAsia" w:ascii="宋体" w:hAnsi="宋体" w:eastAsia="宋体" w:cs="宋体"/>
          <w:b/>
          <w:bCs/>
          <w:lang w:val="en-US" w:eastAsia="zh-CN"/>
        </w:rPr>
        <w:t>乐采云</w:t>
      </w:r>
      <w:r>
        <w:rPr>
          <w:rFonts w:hint="eastAsia" w:ascii="宋体" w:hAnsi="宋体" w:eastAsia="宋体" w:cs="宋体"/>
          <w:b/>
          <w:bCs/>
        </w:rPr>
        <w:t>平台电子投标工具制作投标文件，前往“</w:t>
      </w:r>
      <w:r>
        <w:rPr>
          <w:rFonts w:hint="eastAsia" w:ascii="宋体" w:hAnsi="宋体" w:eastAsia="宋体" w:cs="宋体"/>
          <w:b/>
          <w:bCs/>
          <w:u w:val="single"/>
        </w:rPr>
        <w:t>https://b.zhengcaiyun.cn/luban/category?parentId=550045&amp;childrenCode=qicaiCategory17&amp;utm=luban.luban-PC-39026.959-pc-websitegroup-navBar-front.8.c8789bc0520b11efb86dbfa49a87be0d）</w:t>
      </w:r>
      <w:r>
        <w:rPr>
          <w:rFonts w:hint="eastAsia" w:ascii="宋体" w:hAnsi="宋体" w:eastAsia="宋体" w:cs="宋体"/>
          <w:b/>
          <w:bCs/>
        </w:rPr>
        <w:t>”进行下载并安装。</w:t>
      </w:r>
    </w:p>
    <w:p w14:paraId="4C5FBF9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rPr>
      </w:pPr>
      <w:r>
        <w:rPr>
          <w:rFonts w:hint="eastAsia" w:ascii="宋体" w:hAnsi="宋体" w:eastAsia="宋体" w:cs="宋体"/>
        </w:rPr>
        <w:t>3.招标文件的获取：使用账号登录或者使用CA登录</w:t>
      </w:r>
      <w:r>
        <w:rPr>
          <w:rFonts w:hint="eastAsia" w:ascii="宋体" w:hAnsi="宋体" w:eastAsia="宋体" w:cs="宋体"/>
          <w:lang w:val="en-US" w:eastAsia="zh-CN"/>
        </w:rPr>
        <w:t>乐采云</w:t>
      </w:r>
      <w:r>
        <w:rPr>
          <w:rFonts w:hint="eastAsia" w:ascii="宋体" w:hAnsi="宋体" w:eastAsia="宋体" w:cs="宋体"/>
        </w:rPr>
        <w:t>平台；进入“项目采购”应用，在获取采购文件菜单中选择项目，获取招标文件。</w:t>
      </w:r>
    </w:p>
    <w:p w14:paraId="1BA962C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rPr>
      </w:pPr>
      <w:r>
        <w:rPr>
          <w:rFonts w:hint="eastAsia" w:ascii="宋体" w:hAnsi="宋体" w:eastAsia="宋体" w:cs="宋体"/>
        </w:rPr>
        <w:t>4.投标文件的制作：在“</w:t>
      </w:r>
      <w:r>
        <w:rPr>
          <w:rFonts w:hint="eastAsia" w:ascii="宋体" w:hAnsi="宋体" w:eastAsia="宋体" w:cs="宋体"/>
          <w:lang w:val="en-US" w:eastAsia="zh-CN"/>
        </w:rPr>
        <w:t>乐采云</w:t>
      </w:r>
      <w:r>
        <w:rPr>
          <w:rFonts w:hint="eastAsia" w:ascii="宋体" w:hAnsi="宋体" w:eastAsia="宋体" w:cs="宋体"/>
        </w:rPr>
        <w:t>电子交易客户端”中完成“填写基本信息”、“导入投标文件”、“标书关联”、“标书检查”、“电子签名”、“生成电子标书”等操作。</w:t>
      </w:r>
    </w:p>
    <w:p w14:paraId="5C9F1C0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rPr>
      </w:pPr>
      <w:r>
        <w:rPr>
          <w:rFonts w:hint="eastAsia" w:ascii="宋体" w:hAnsi="宋体" w:eastAsia="宋体" w:cs="宋体"/>
        </w:rPr>
        <w:t>5.投标文件的传输递交：投标人在投标截止时间前将加密的投标文件上传至</w:t>
      </w:r>
      <w:r>
        <w:rPr>
          <w:rFonts w:hint="eastAsia" w:ascii="宋体" w:hAnsi="宋体" w:eastAsia="宋体" w:cs="宋体"/>
          <w:lang w:val="en-US" w:eastAsia="zh-CN"/>
        </w:rPr>
        <w:t>乐采云</w:t>
      </w:r>
      <w:r>
        <w:rPr>
          <w:rFonts w:hint="eastAsia" w:ascii="宋体" w:hAnsi="宋体" w:eastAsia="宋体" w:cs="宋体"/>
        </w:rPr>
        <w:t>平台。</w:t>
      </w:r>
    </w:p>
    <w:p w14:paraId="19A908F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rPr>
      </w:pPr>
      <w:r>
        <w:rPr>
          <w:rFonts w:hint="eastAsia" w:ascii="宋体" w:hAnsi="宋体" w:eastAsia="宋体" w:cs="宋体"/>
        </w:rPr>
        <w:t>6.投标文件的解密：投标人按照平台提示和招标文件的规定在开标时间起30分钟内完成在线解密。</w:t>
      </w:r>
    </w:p>
    <w:p w14:paraId="7168566E">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rPr>
      </w:pPr>
      <w:r>
        <w:rPr>
          <w:rFonts w:hint="eastAsia" w:ascii="宋体" w:hAnsi="宋体" w:eastAsia="宋体" w:cs="宋体"/>
        </w:rPr>
        <w:t>7.具体操作指南：详见</w:t>
      </w:r>
      <w:r>
        <w:rPr>
          <w:rFonts w:hint="eastAsia" w:ascii="宋体" w:hAnsi="宋体" w:eastAsia="宋体" w:cs="宋体"/>
          <w:lang w:val="en-US" w:eastAsia="zh-CN"/>
        </w:rPr>
        <w:t>政采云</w:t>
      </w:r>
      <w:r>
        <w:rPr>
          <w:rFonts w:hint="eastAsia" w:ascii="宋体" w:hAnsi="宋体" w:eastAsia="宋体" w:cs="宋体"/>
        </w:rPr>
        <w:t xml:space="preserve">平台“服务中心-帮助文档-项目采购-操作流程-电子招投标-政府采购项目电子交易管理操作指南-供应商”：浙江省政府采购项目电子交易平台学习专题  </w:t>
      </w:r>
      <w:r>
        <w:rPr>
          <w:rFonts w:hint="eastAsia" w:ascii="宋体" w:hAnsi="宋体" w:eastAsia="宋体" w:cs="宋体"/>
        </w:rPr>
        <w:fldChar w:fldCharType="begin"/>
      </w:r>
      <w:r>
        <w:rPr>
          <w:rFonts w:hint="eastAsia" w:ascii="宋体" w:hAnsi="宋体" w:eastAsia="宋体" w:cs="宋体"/>
        </w:rPr>
        <w:instrText xml:space="preserve"> HYPERLINK "https://edu.zcygov.cn/luban/e-biding" </w:instrText>
      </w:r>
      <w:r>
        <w:rPr>
          <w:rFonts w:hint="eastAsia" w:ascii="宋体" w:hAnsi="宋体" w:eastAsia="宋体" w:cs="宋体"/>
        </w:rPr>
        <w:fldChar w:fldCharType="separate"/>
      </w:r>
      <w:r>
        <w:rPr>
          <w:rFonts w:hint="eastAsia" w:ascii="宋体" w:hAnsi="宋体" w:eastAsia="宋体" w:cs="宋体"/>
        </w:rPr>
        <w:t>https://edu.zcygov.cn/luban/e-biding。</w:t>
      </w:r>
      <w:r>
        <w:rPr>
          <w:rFonts w:hint="eastAsia" w:ascii="宋体" w:hAnsi="宋体" w:eastAsia="宋体" w:cs="宋体"/>
        </w:rPr>
        <w:fldChar w:fldCharType="end"/>
      </w:r>
    </w:p>
    <w:p w14:paraId="7C4E01A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rPr>
      </w:pPr>
      <w:r>
        <w:rPr>
          <w:rFonts w:hint="eastAsia" w:ascii="宋体" w:hAnsi="宋体" w:eastAsia="宋体" w:cs="宋体"/>
        </w:rPr>
        <w:t>8.供应商在使用系统进行投标的过程中遇到涉及平台使用的任何问题，可致电政采云平台技术支持热线咨询，联系方式：</w:t>
      </w:r>
      <w:r>
        <w:rPr>
          <w:rFonts w:hint="eastAsia" w:ascii="宋体" w:hAnsi="宋体" w:eastAsia="宋体" w:cs="宋体"/>
          <w:lang w:val="en-US" w:eastAsia="zh-CN"/>
        </w:rPr>
        <w:t>95763</w:t>
      </w:r>
      <w:r>
        <w:rPr>
          <w:rFonts w:hint="eastAsia" w:ascii="宋体" w:hAnsi="宋体" w:eastAsia="宋体" w:cs="宋体"/>
        </w:rPr>
        <w:t>。</w:t>
      </w:r>
    </w:p>
    <w:p w14:paraId="68AA5936">
      <w:pPr>
        <w:pageBreakBefore w:val="0"/>
        <w:widowControl w:val="0"/>
        <w:kinsoku/>
        <w:wordWrap/>
        <w:overflowPunct/>
        <w:topLinePunct/>
        <w:autoSpaceDE/>
        <w:autoSpaceDN/>
        <w:bidi w:val="0"/>
        <w:adjustRightInd/>
        <w:snapToGrid w:val="0"/>
        <w:spacing w:line="440" w:lineRule="exact"/>
        <w:ind w:firstLine="482" w:firstLineChars="200"/>
        <w:jc w:val="left"/>
        <w:textAlignment w:val="auto"/>
        <w:rPr>
          <w:rFonts w:hint="eastAsia" w:ascii="宋体" w:hAnsi="宋体" w:eastAsia="宋体" w:cs="宋体"/>
        </w:rPr>
      </w:pPr>
      <w:r>
        <w:rPr>
          <w:rFonts w:hint="eastAsia" w:ascii="宋体" w:hAnsi="宋体" w:eastAsia="宋体" w:cs="宋体"/>
          <w:b/>
          <w:bCs/>
        </w:rPr>
        <w:t>八、投标截止时间和地点</w:t>
      </w:r>
      <w:r>
        <w:rPr>
          <w:rFonts w:hint="eastAsia" w:ascii="宋体" w:hAnsi="宋体" w:eastAsia="宋体" w:cs="宋体"/>
          <w:b/>
        </w:rPr>
        <w:t>：</w:t>
      </w:r>
    </w:p>
    <w:p w14:paraId="79F4E3D3">
      <w:pPr>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FF0000"/>
        </w:rPr>
      </w:pPr>
      <w:r>
        <w:rPr>
          <w:rFonts w:hint="eastAsia" w:ascii="宋体" w:hAnsi="宋体" w:eastAsia="宋体" w:cs="宋体"/>
        </w:rPr>
        <w:t>1.投标截止时间：</w:t>
      </w:r>
      <w:r>
        <w:rPr>
          <w:rFonts w:hint="eastAsia" w:ascii="宋体" w:hAnsi="宋体" w:eastAsia="宋体" w:cs="宋体"/>
          <w:color w:val="0000FF"/>
        </w:rPr>
        <w:t>20</w:t>
      </w:r>
      <w:r>
        <w:rPr>
          <w:rFonts w:hint="eastAsia" w:ascii="宋体" w:hAnsi="宋体" w:eastAsia="宋体" w:cs="宋体"/>
          <w:color w:val="0000FF"/>
          <w:lang w:val="en-US" w:eastAsia="zh-CN"/>
        </w:rPr>
        <w:t>24</w:t>
      </w:r>
      <w:r>
        <w:rPr>
          <w:rFonts w:hint="eastAsia" w:ascii="宋体" w:hAnsi="宋体" w:eastAsia="宋体" w:cs="宋体"/>
          <w:color w:val="0000FF"/>
        </w:rPr>
        <w:t>年</w:t>
      </w:r>
      <w:r>
        <w:rPr>
          <w:rFonts w:hint="eastAsia" w:ascii="宋体" w:hAnsi="宋体" w:eastAsia="宋体" w:cs="宋体"/>
          <w:color w:val="0000FF"/>
          <w:lang w:val="en-US" w:eastAsia="zh-CN"/>
        </w:rPr>
        <w:t>09</w:t>
      </w:r>
      <w:r>
        <w:rPr>
          <w:rFonts w:hint="eastAsia" w:ascii="宋体" w:hAnsi="宋体" w:eastAsia="宋体" w:cs="宋体"/>
          <w:color w:val="0000FF"/>
        </w:rPr>
        <w:t>月</w:t>
      </w:r>
      <w:r>
        <w:rPr>
          <w:rFonts w:hint="eastAsia" w:ascii="宋体" w:hAnsi="宋体" w:eastAsia="宋体" w:cs="宋体"/>
          <w:color w:val="0000FF"/>
          <w:lang w:val="en-US" w:eastAsia="zh-CN"/>
        </w:rPr>
        <w:t>18</w:t>
      </w:r>
      <w:r>
        <w:rPr>
          <w:rFonts w:hint="eastAsia" w:ascii="宋体" w:hAnsi="宋体" w:eastAsia="宋体" w:cs="宋体"/>
          <w:color w:val="0000FF"/>
        </w:rPr>
        <w:t>日09时00分00秒</w:t>
      </w:r>
      <w:r>
        <w:rPr>
          <w:rFonts w:hint="eastAsia" w:ascii="宋体" w:hAnsi="宋体" w:eastAsia="宋体" w:cs="宋体"/>
          <w:color w:val="0000FF"/>
          <w:kern w:val="0"/>
          <w:sz w:val="24"/>
          <w:szCs w:val="24"/>
          <w:highlight w:val="none"/>
        </w:rPr>
        <w:t>（北京时间）</w:t>
      </w:r>
      <w:r>
        <w:rPr>
          <w:rFonts w:hint="eastAsia" w:ascii="宋体" w:hAnsi="宋体" w:eastAsia="宋体" w:cs="宋体"/>
          <w:color w:val="0000FF"/>
        </w:rPr>
        <w:t>。</w:t>
      </w:r>
    </w:p>
    <w:p w14:paraId="35315C75">
      <w:pPr>
        <w:pageBreakBefore w:val="0"/>
        <w:widowControl w:val="0"/>
        <w:kinsoku/>
        <w:wordWrap/>
        <w:overflowPunct/>
        <w:autoSpaceDE/>
        <w:autoSpaceDN/>
        <w:bidi w:val="0"/>
        <w:adjustRightInd/>
        <w:spacing w:line="440" w:lineRule="exact"/>
        <w:ind w:firstLine="480" w:firstLineChars="200"/>
        <w:textAlignment w:val="auto"/>
        <w:rPr>
          <w:rFonts w:hint="eastAsia" w:ascii="宋体" w:hAnsi="宋体" w:eastAsia="宋体" w:cs="宋体"/>
        </w:rPr>
      </w:pPr>
      <w:r>
        <w:rPr>
          <w:rFonts w:hint="eastAsia" w:ascii="宋体" w:hAnsi="宋体" w:eastAsia="宋体" w:cs="宋体"/>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3E27A79D">
      <w:pPr>
        <w:pageBreakBefore w:val="0"/>
        <w:widowControl w:val="0"/>
        <w:kinsoku/>
        <w:wordWrap/>
        <w:overflowPunct/>
        <w:autoSpaceDE/>
        <w:autoSpaceDN/>
        <w:bidi w:val="0"/>
        <w:adjustRightInd/>
        <w:spacing w:line="440" w:lineRule="exact"/>
        <w:ind w:firstLine="480" w:firstLineChars="200"/>
        <w:textAlignment w:val="auto"/>
        <w:rPr>
          <w:rFonts w:hint="eastAsia" w:ascii="宋体" w:hAnsi="宋体" w:eastAsia="宋体" w:cs="宋体"/>
        </w:rPr>
      </w:pPr>
      <w:bookmarkStart w:id="1" w:name="B27_开标地点"/>
      <w:r>
        <w:rPr>
          <w:rFonts w:hint="eastAsia" w:ascii="宋体" w:hAnsi="宋体" w:eastAsia="宋体" w:cs="宋体"/>
        </w:rPr>
        <w:t>3.投标地点：</w:t>
      </w:r>
      <w:bookmarkEnd w:id="1"/>
      <w:r>
        <w:rPr>
          <w:rFonts w:hint="eastAsia" w:ascii="宋体" w:hAnsi="宋体" w:eastAsia="宋体" w:cs="宋体"/>
        </w:rPr>
        <w:t>乐采云平台（www.lecaiyun.com），本项目采用全流程电子化交易，无须参加现场开标会。</w:t>
      </w:r>
    </w:p>
    <w:p w14:paraId="23847E14">
      <w:pPr>
        <w:pageBreakBefore w:val="0"/>
        <w:widowControl w:val="0"/>
        <w:kinsoku/>
        <w:wordWrap/>
        <w:overflowPunct/>
        <w:autoSpaceDE/>
        <w:autoSpaceDN/>
        <w:bidi w:val="0"/>
        <w:adjustRightInd/>
        <w:snapToGrid w:val="0"/>
        <w:spacing w:line="440" w:lineRule="exact"/>
        <w:ind w:firstLine="482" w:firstLineChars="200"/>
        <w:textAlignment w:val="auto"/>
        <w:rPr>
          <w:rFonts w:hint="eastAsia" w:ascii="宋体" w:hAnsi="宋体" w:eastAsia="宋体" w:cs="宋体"/>
          <w:b/>
        </w:rPr>
      </w:pPr>
      <w:r>
        <w:rPr>
          <w:rFonts w:hint="eastAsia" w:ascii="宋体" w:hAnsi="宋体" w:eastAsia="宋体" w:cs="宋体"/>
          <w:b/>
        </w:rPr>
        <w:t>九、开标时间和地点：</w:t>
      </w:r>
    </w:p>
    <w:p w14:paraId="3639785A">
      <w:pPr>
        <w:pageBreakBefore w:val="0"/>
        <w:widowControl w:val="0"/>
        <w:kinsoku/>
        <w:wordWrap/>
        <w:overflowPunct/>
        <w:autoSpaceDE/>
        <w:autoSpaceDN/>
        <w:bidi w:val="0"/>
        <w:adjustRightInd/>
        <w:spacing w:line="440" w:lineRule="exact"/>
        <w:ind w:firstLine="480" w:firstLineChars="200"/>
        <w:textAlignment w:val="auto"/>
        <w:rPr>
          <w:rFonts w:hint="eastAsia" w:ascii="宋体" w:hAnsi="宋体" w:eastAsia="宋体" w:cs="宋体"/>
        </w:rPr>
      </w:pPr>
      <w:r>
        <w:rPr>
          <w:rFonts w:hint="eastAsia" w:ascii="宋体" w:hAnsi="宋体" w:eastAsia="宋体" w:cs="宋体"/>
        </w:rPr>
        <w:t>1.开标时间：</w:t>
      </w:r>
      <w:r>
        <w:rPr>
          <w:rFonts w:hint="eastAsia" w:ascii="宋体" w:hAnsi="宋体" w:eastAsia="宋体" w:cs="宋体"/>
          <w:color w:val="0000FF"/>
        </w:rPr>
        <w:t>20</w:t>
      </w:r>
      <w:r>
        <w:rPr>
          <w:rFonts w:hint="eastAsia" w:ascii="宋体" w:hAnsi="宋体" w:eastAsia="宋体" w:cs="宋体"/>
          <w:color w:val="0000FF"/>
          <w:lang w:val="en-US" w:eastAsia="zh-CN"/>
        </w:rPr>
        <w:t>24</w:t>
      </w:r>
      <w:r>
        <w:rPr>
          <w:rFonts w:hint="eastAsia" w:ascii="宋体" w:hAnsi="宋体" w:eastAsia="宋体" w:cs="宋体"/>
          <w:color w:val="0000FF"/>
        </w:rPr>
        <w:t>年</w:t>
      </w:r>
      <w:r>
        <w:rPr>
          <w:rFonts w:hint="eastAsia" w:ascii="宋体" w:hAnsi="宋体" w:eastAsia="宋体" w:cs="宋体"/>
          <w:color w:val="0000FF"/>
          <w:lang w:val="en-US" w:eastAsia="zh-CN"/>
        </w:rPr>
        <w:t>09</w:t>
      </w:r>
      <w:r>
        <w:rPr>
          <w:rFonts w:hint="eastAsia" w:ascii="宋体" w:hAnsi="宋体" w:eastAsia="宋体" w:cs="宋体"/>
          <w:color w:val="0000FF"/>
        </w:rPr>
        <w:t>月</w:t>
      </w:r>
      <w:r>
        <w:rPr>
          <w:rFonts w:hint="eastAsia" w:ascii="宋体" w:hAnsi="宋体" w:eastAsia="宋体" w:cs="宋体"/>
          <w:color w:val="0000FF"/>
          <w:lang w:val="en-US" w:eastAsia="zh-CN"/>
        </w:rPr>
        <w:t>18</w:t>
      </w:r>
      <w:r>
        <w:rPr>
          <w:rFonts w:hint="eastAsia" w:ascii="宋体" w:hAnsi="宋体" w:eastAsia="宋体" w:cs="宋体"/>
          <w:color w:val="0000FF"/>
        </w:rPr>
        <w:t>日09时00分00秒</w:t>
      </w:r>
      <w:r>
        <w:rPr>
          <w:rFonts w:hint="eastAsia" w:ascii="宋体" w:hAnsi="宋体" w:eastAsia="宋体" w:cs="宋体"/>
          <w:color w:val="0000FF"/>
          <w:kern w:val="0"/>
          <w:sz w:val="24"/>
          <w:szCs w:val="24"/>
          <w:highlight w:val="none"/>
        </w:rPr>
        <w:t>（北京时间）</w:t>
      </w:r>
      <w:r>
        <w:rPr>
          <w:rFonts w:hint="eastAsia" w:ascii="宋体" w:hAnsi="宋体" w:eastAsia="宋体" w:cs="宋体"/>
        </w:rPr>
        <w:t>。</w:t>
      </w:r>
      <w:r>
        <w:rPr>
          <w:rFonts w:hint="eastAsia" w:ascii="宋体" w:hAnsi="宋体" w:eastAsia="宋体" w:cs="宋体"/>
        </w:rPr>
        <w:tab/>
      </w:r>
    </w:p>
    <w:p w14:paraId="18A3A22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rPr>
      </w:pPr>
      <w:r>
        <w:rPr>
          <w:rFonts w:hint="eastAsia" w:ascii="宋体" w:hAnsi="宋体" w:eastAsia="宋体" w:cs="宋体"/>
        </w:rPr>
        <w:t>2.开标地点：</w:t>
      </w:r>
      <w:r>
        <w:rPr>
          <w:rFonts w:hint="eastAsia" w:ascii="宋体" w:hAnsi="宋体" w:eastAsia="宋体" w:cs="宋体"/>
          <w:color w:val="auto"/>
          <w:sz w:val="24"/>
          <w:szCs w:val="24"/>
          <w:highlight w:val="none"/>
        </w:rPr>
        <w:t>杭州广厦建筑咨询有限公司开标室（杭州市富阳区鹿山街道金鹿路269号鹿山时代C幢5楼505室）</w:t>
      </w:r>
      <w:r>
        <w:rPr>
          <w:rFonts w:hint="eastAsia" w:ascii="宋体" w:hAnsi="宋体" w:eastAsia="宋体" w:cs="宋体"/>
          <w:color w:val="auto"/>
          <w:sz w:val="24"/>
          <w:szCs w:val="24"/>
          <w:highlight w:val="none"/>
          <w:lang w:eastAsia="zh-CN"/>
        </w:rPr>
        <w:t>；</w:t>
      </w:r>
      <w:r>
        <w:rPr>
          <w:rFonts w:hint="eastAsia" w:ascii="宋体" w:hAnsi="宋体" w:eastAsia="宋体" w:cs="宋体"/>
        </w:rPr>
        <w:t>乐采云平台（www.lecaiyun.com）</w:t>
      </w:r>
      <w:r>
        <w:rPr>
          <w:rFonts w:hint="eastAsia" w:ascii="宋体" w:hAnsi="宋体" w:eastAsia="宋体" w:cs="宋体"/>
          <w:color w:val="auto"/>
          <w:sz w:val="24"/>
          <w:szCs w:val="24"/>
          <w:highlight w:val="none"/>
        </w:rPr>
        <w:t>。</w:t>
      </w:r>
    </w:p>
    <w:p w14:paraId="573E985F">
      <w:pPr>
        <w:pStyle w:val="3"/>
        <w:pageBreakBefore w:val="0"/>
        <w:widowControl w:val="0"/>
        <w:kinsoku/>
        <w:wordWrap/>
        <w:overflowPunct/>
        <w:autoSpaceDE/>
        <w:autoSpaceDN/>
        <w:bidi w:val="0"/>
        <w:adjustRightInd/>
        <w:spacing w:before="0" w:after="0" w:line="440" w:lineRule="exact"/>
        <w:ind w:left="572" w:leftChars="200" w:hanging="92" w:hangingChars="38"/>
        <w:jc w:val="both"/>
        <w:textAlignment w:val="auto"/>
        <w:rPr>
          <w:rFonts w:hint="eastAsia" w:ascii="宋体" w:hAnsi="宋体" w:eastAsia="宋体" w:cs="宋体"/>
          <w:b w:val="0"/>
          <w:bCs w:val="0"/>
          <w:sz w:val="24"/>
          <w:szCs w:val="24"/>
        </w:rPr>
      </w:pPr>
      <w:r>
        <w:rPr>
          <w:rFonts w:hint="eastAsia" w:ascii="宋体" w:hAnsi="宋体" w:eastAsia="宋体" w:cs="宋体"/>
          <w:sz w:val="24"/>
          <w:szCs w:val="24"/>
        </w:rPr>
        <w:t>十、本项目招标文件公告期限为</w:t>
      </w:r>
      <w:r>
        <w:rPr>
          <w:rFonts w:hint="eastAsia" w:ascii="宋体" w:hAnsi="宋体" w:eastAsia="宋体" w:cs="宋体"/>
          <w:b w:val="0"/>
          <w:bCs w:val="0"/>
          <w:sz w:val="24"/>
          <w:szCs w:val="24"/>
        </w:rPr>
        <w:t>：本公告发布之日起五个工作日。</w:t>
      </w:r>
    </w:p>
    <w:p w14:paraId="4566EB62">
      <w:pPr>
        <w:pStyle w:val="3"/>
        <w:pageBreakBefore w:val="0"/>
        <w:widowControl w:val="0"/>
        <w:kinsoku/>
        <w:wordWrap/>
        <w:overflowPunct/>
        <w:autoSpaceDE/>
        <w:autoSpaceDN/>
        <w:bidi w:val="0"/>
        <w:adjustRightInd/>
        <w:spacing w:before="0" w:after="0" w:line="440" w:lineRule="exact"/>
        <w:ind w:left="572" w:leftChars="200" w:hanging="92" w:hangingChars="38"/>
        <w:jc w:val="both"/>
        <w:textAlignment w:val="auto"/>
        <w:rPr>
          <w:rFonts w:hint="eastAsia" w:ascii="宋体" w:hAnsi="宋体" w:eastAsia="宋体" w:cs="宋体"/>
          <w:sz w:val="24"/>
          <w:szCs w:val="24"/>
        </w:rPr>
      </w:pPr>
      <w:r>
        <w:rPr>
          <w:rFonts w:hint="eastAsia" w:ascii="宋体" w:hAnsi="宋体" w:eastAsia="宋体" w:cs="宋体"/>
          <w:sz w:val="24"/>
          <w:szCs w:val="24"/>
        </w:rPr>
        <w:t>十一、其他补充事宜</w:t>
      </w:r>
    </w:p>
    <w:p w14:paraId="44D37C8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1.供应商认为采购文件使自己的权益受到损害的，可以自获取采购文件之日或者采购文件</w:t>
      </w:r>
      <w:r>
        <w:rPr>
          <w:rFonts w:hint="eastAsia" w:ascii="宋体" w:hAnsi="宋体" w:eastAsia="宋体" w:cs="宋体"/>
          <w:b/>
          <w:bCs/>
          <w:color w:val="auto"/>
          <w:sz w:val="24"/>
          <w:szCs w:val="24"/>
          <w:highlight w:val="none"/>
        </w:rPr>
        <w:t>公告期限届满之日（公告期限届满后获取采购文件的，以公告期限届满之日为准）起7个工作日内</w:t>
      </w:r>
      <w:r>
        <w:rPr>
          <w:rFonts w:hint="eastAsia" w:ascii="宋体" w:hAnsi="宋体" w:eastAsia="宋体" w:cs="宋体"/>
          <w:color w:val="auto"/>
          <w:sz w:val="24"/>
          <w:szCs w:val="24"/>
          <w:highlight w:val="none"/>
        </w:rPr>
        <w:t>，以书面形式向采购人和采购代理机构提出质疑。质疑供应商对采购人、采购代理机构的答复不满意或者采购人、采购代理机构未在规定的时间内作出答复的，可以在答复期满后十五个工作日内向同级国资采购监督管理部门投诉。质疑函范本、投诉书范本请到浙江政府采购网下载专区下载。</w:t>
      </w:r>
    </w:p>
    <w:p w14:paraId="6277234C">
      <w:pPr>
        <w:pStyle w:val="5"/>
        <w:pageBreakBefore w:val="0"/>
        <w:widowControl w:val="0"/>
        <w:kinsoku/>
        <w:wordWrap/>
        <w:overflowPunct/>
        <w:topLinePunct w:val="0"/>
        <w:autoSpaceDE/>
        <w:autoSpaceDN/>
        <w:bidi w:val="0"/>
        <w:adjustRightInd/>
        <w:spacing w:after="0" w:line="440" w:lineRule="exact"/>
        <w:ind w:left="0" w:leftChars="0" w:firstLine="464"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2.落实政府采购政策：详见招标文件投标人须知。</w:t>
      </w:r>
    </w:p>
    <w:p w14:paraId="39137F3E">
      <w:pPr>
        <w:widowControl/>
        <w:ind w:firstLine="482" w:firstLineChars="200"/>
        <w:jc w:val="left"/>
        <w:rPr>
          <w:rFonts w:hint="eastAsia" w:ascii="宋体" w:hAnsi="宋体" w:eastAsia="宋体" w:cs="宋体"/>
          <w:b/>
          <w:bCs/>
          <w:kern w:val="0"/>
        </w:rPr>
      </w:pPr>
      <w:r>
        <w:rPr>
          <w:rFonts w:hint="eastAsia" w:ascii="宋体" w:hAnsi="宋体" w:eastAsia="宋体" w:cs="宋体"/>
          <w:b/>
        </w:rPr>
        <w:t>十二、业务咨询：</w:t>
      </w:r>
      <w:r>
        <w:rPr>
          <w:rStyle w:val="27"/>
          <w:rFonts w:hint="eastAsia" w:ascii="宋体" w:hAnsi="宋体" w:eastAsia="宋体" w:cs="宋体"/>
        </w:rPr>
        <w:t>对本次招标提出询问、质疑、投诉，请按以下方式联系。</w:t>
      </w:r>
    </w:p>
    <w:p w14:paraId="61C425A3">
      <w:pPr>
        <w:ind w:firstLine="480" w:firstLineChars="200"/>
        <w:rPr>
          <w:rFonts w:hint="eastAsia" w:ascii="宋体" w:hAnsi="宋体" w:eastAsia="宋体" w:cs="宋体"/>
        </w:rPr>
      </w:pPr>
      <w:r>
        <w:rPr>
          <w:rFonts w:hint="eastAsia" w:ascii="宋体" w:hAnsi="宋体" w:eastAsia="宋体" w:cs="宋体"/>
        </w:rPr>
        <w:t>1.采购人信息</w:t>
      </w:r>
    </w:p>
    <w:p w14:paraId="0DC9DD6C">
      <w:pPr>
        <w:ind w:firstLine="480" w:firstLineChars="200"/>
        <w:rPr>
          <w:rFonts w:hint="eastAsia" w:ascii="宋体" w:hAnsi="宋体" w:eastAsia="宋体" w:cs="宋体"/>
        </w:rPr>
      </w:pPr>
      <w:r>
        <w:rPr>
          <w:rFonts w:hint="eastAsia" w:ascii="宋体" w:hAnsi="宋体" w:eastAsia="宋体" w:cs="宋体"/>
        </w:rPr>
        <w:t>名  称：杭州富春湾新城建设投资集团有限公司</w:t>
      </w:r>
    </w:p>
    <w:p w14:paraId="7F69A42F">
      <w:pPr>
        <w:ind w:firstLine="480" w:firstLineChars="200"/>
        <w:rPr>
          <w:rFonts w:hint="eastAsia" w:ascii="宋体" w:hAnsi="宋体" w:eastAsia="宋体" w:cs="宋体"/>
        </w:rPr>
      </w:pPr>
      <w:r>
        <w:rPr>
          <w:rFonts w:hint="eastAsia" w:ascii="宋体" w:hAnsi="宋体" w:eastAsia="宋体" w:cs="宋体"/>
        </w:rPr>
        <w:t>地  址：杭州市富阳区大桥南路客运南站6楼</w:t>
      </w:r>
    </w:p>
    <w:p w14:paraId="39ED8A58">
      <w:pPr>
        <w:ind w:firstLine="480" w:firstLineChars="200"/>
        <w:rPr>
          <w:rFonts w:hint="eastAsia" w:ascii="宋体" w:hAnsi="宋体" w:eastAsia="宋体" w:cs="宋体"/>
        </w:rPr>
      </w:pPr>
      <w:r>
        <w:rPr>
          <w:rFonts w:hint="eastAsia" w:ascii="宋体" w:hAnsi="宋体" w:eastAsia="宋体" w:cs="宋体"/>
        </w:rPr>
        <w:t>项目联系方式（询问）：0571-61702863</w:t>
      </w:r>
    </w:p>
    <w:p w14:paraId="27FA0454">
      <w:pPr>
        <w:ind w:firstLine="480" w:firstLineChars="200"/>
        <w:rPr>
          <w:rFonts w:hint="eastAsia" w:ascii="宋体" w:hAnsi="宋体" w:eastAsia="宋体" w:cs="宋体"/>
        </w:rPr>
      </w:pPr>
      <w:r>
        <w:rPr>
          <w:rFonts w:hint="eastAsia" w:ascii="宋体" w:hAnsi="宋体" w:eastAsia="宋体" w:cs="宋体"/>
        </w:rPr>
        <w:t>2.采购代理机构信息</w:t>
      </w:r>
    </w:p>
    <w:p w14:paraId="6A9EAC08">
      <w:pPr>
        <w:ind w:firstLine="480"/>
        <w:rPr>
          <w:rFonts w:hint="eastAsia" w:ascii="宋体" w:hAnsi="宋体" w:eastAsia="宋体" w:cs="宋体"/>
        </w:rPr>
      </w:pPr>
      <w:r>
        <w:rPr>
          <w:rFonts w:hint="eastAsia" w:ascii="宋体" w:hAnsi="宋体" w:eastAsia="宋体" w:cs="宋体"/>
        </w:rPr>
        <w:t>名  称：</w:t>
      </w:r>
      <w:r>
        <w:rPr>
          <w:rFonts w:hint="eastAsia" w:ascii="宋体" w:hAnsi="宋体" w:eastAsia="宋体" w:cs="宋体"/>
          <w:lang w:eastAsia="zh-CN"/>
        </w:rPr>
        <w:t>杭州广厦建筑咨询有限公司</w:t>
      </w:r>
      <w:r>
        <w:rPr>
          <w:rFonts w:hint="eastAsia" w:ascii="宋体" w:hAnsi="宋体" w:eastAsia="宋体" w:cs="宋体"/>
        </w:rPr>
        <w:t xml:space="preserve"> </w:t>
      </w:r>
    </w:p>
    <w:p w14:paraId="3DEECF18">
      <w:pPr>
        <w:ind w:firstLine="480"/>
        <w:rPr>
          <w:rFonts w:hint="eastAsia" w:ascii="宋体" w:hAnsi="宋体" w:eastAsia="宋体" w:cs="宋体"/>
        </w:rPr>
      </w:pPr>
      <w:r>
        <w:rPr>
          <w:rFonts w:hint="eastAsia" w:ascii="宋体" w:hAnsi="宋体" w:eastAsia="宋体" w:cs="宋体"/>
        </w:rPr>
        <w:t>地  址：</w:t>
      </w:r>
      <w:r>
        <w:rPr>
          <w:rFonts w:hint="eastAsia" w:ascii="宋体" w:hAnsi="宋体" w:eastAsia="宋体" w:cs="宋体"/>
          <w:color w:val="auto"/>
          <w:sz w:val="24"/>
          <w:szCs w:val="24"/>
          <w:highlight w:val="none"/>
        </w:rPr>
        <w:t>杭州市富阳区鹿山街道金鹿路269号鹿山时代C幢5楼505室</w:t>
      </w:r>
    </w:p>
    <w:p w14:paraId="24E725E3">
      <w:pPr>
        <w:rPr>
          <w:rFonts w:hint="eastAsia" w:ascii="宋体" w:hAnsi="宋体" w:eastAsia="宋体" w:cs="宋体"/>
        </w:rPr>
      </w:pPr>
      <w:r>
        <w:rPr>
          <w:rFonts w:hint="eastAsia" w:ascii="宋体" w:hAnsi="宋体" w:eastAsia="宋体" w:cs="宋体"/>
        </w:rPr>
        <w:t xml:space="preserve">    邮  箱：</w:t>
      </w:r>
      <w:r>
        <w:rPr>
          <w:rFonts w:hint="eastAsia" w:ascii="宋体" w:hAnsi="宋体" w:eastAsia="宋体" w:cs="宋体"/>
          <w:lang w:val="en-US" w:eastAsia="zh-CN"/>
        </w:rPr>
        <w:t>330440593</w:t>
      </w:r>
      <w:r>
        <w:rPr>
          <w:rFonts w:hint="eastAsia" w:ascii="宋体" w:hAnsi="宋体" w:eastAsia="宋体" w:cs="宋体"/>
        </w:rPr>
        <w:t>@qq.com</w:t>
      </w:r>
    </w:p>
    <w:p w14:paraId="79ECDC17">
      <w:pPr>
        <w:ind w:firstLine="480"/>
        <w:rPr>
          <w:rFonts w:hint="eastAsia" w:ascii="宋体" w:hAnsi="宋体" w:eastAsia="宋体" w:cs="宋体"/>
          <w:lang w:eastAsia="zh-CN"/>
        </w:rPr>
      </w:pPr>
      <w:r>
        <w:rPr>
          <w:rFonts w:hint="eastAsia" w:ascii="宋体" w:hAnsi="宋体" w:eastAsia="宋体" w:cs="宋体"/>
        </w:rPr>
        <w:t>项目联系人（询问）：</w:t>
      </w:r>
      <w:r>
        <w:rPr>
          <w:rFonts w:hint="eastAsia" w:ascii="宋体" w:hAnsi="宋体" w:eastAsia="宋体" w:cs="宋体"/>
          <w:lang w:val="en-US" w:eastAsia="zh-CN"/>
        </w:rPr>
        <w:t>陈慧</w:t>
      </w:r>
    </w:p>
    <w:p w14:paraId="1C65BC07">
      <w:pPr>
        <w:ind w:firstLine="480"/>
        <w:rPr>
          <w:rFonts w:hint="eastAsia" w:ascii="宋体" w:hAnsi="宋体" w:eastAsia="宋体" w:cs="宋体"/>
          <w:lang w:val="en-US" w:eastAsia="zh-CN"/>
        </w:rPr>
      </w:pPr>
      <w:r>
        <w:rPr>
          <w:rFonts w:hint="eastAsia" w:ascii="宋体" w:hAnsi="宋体" w:eastAsia="宋体" w:cs="宋体"/>
        </w:rPr>
        <w:t>项目联系方式（询问）：0571-</w:t>
      </w:r>
      <w:r>
        <w:rPr>
          <w:rFonts w:hint="eastAsia" w:ascii="宋体" w:hAnsi="宋体" w:eastAsia="宋体" w:cs="宋体"/>
          <w:lang w:val="en-US" w:eastAsia="zh-CN"/>
        </w:rPr>
        <w:t>63155358</w:t>
      </w:r>
    </w:p>
    <w:p w14:paraId="38EA0DD4">
      <w:pPr>
        <w:ind w:firstLine="482" w:firstLineChars="200"/>
        <w:rPr>
          <w:rFonts w:hint="eastAsia" w:ascii="宋体" w:hAnsi="宋体" w:eastAsia="宋体" w:cs="宋体"/>
          <w:b/>
          <w:bCs/>
        </w:rPr>
      </w:pPr>
    </w:p>
    <w:p w14:paraId="6021121F">
      <w:pPr>
        <w:ind w:firstLine="482" w:firstLineChars="200"/>
        <w:rPr>
          <w:rFonts w:hint="eastAsia" w:ascii="宋体" w:hAnsi="宋体" w:eastAsia="宋体" w:cs="宋体"/>
          <w:b/>
          <w:bCs/>
        </w:rPr>
      </w:pPr>
    </w:p>
    <w:p w14:paraId="1CB329A8">
      <w:pPr>
        <w:ind w:firstLine="482" w:firstLineChars="200"/>
        <w:rPr>
          <w:rFonts w:hint="eastAsia" w:ascii="宋体" w:hAnsi="宋体" w:eastAsia="宋体" w:cs="宋体"/>
          <w:b/>
          <w:bCs/>
        </w:rPr>
      </w:pPr>
      <w:r>
        <w:rPr>
          <w:rFonts w:hint="eastAsia" w:ascii="宋体" w:hAnsi="宋体" w:eastAsia="宋体" w:cs="宋体"/>
          <w:b/>
          <w:bCs/>
        </w:rPr>
        <w:t>若对项目采购电子交易系统操作有疑问，可登录乐采云平台（www.lecaiyun.com），点击右侧咨询小采，获取采小蜜智能服务管家帮助，或拨打政采云服务热线95763获取热线服务帮助。</w:t>
      </w:r>
    </w:p>
    <w:p w14:paraId="60F9EEA1">
      <w:pPr>
        <w:ind w:firstLine="482" w:firstLineChars="200"/>
        <w:rPr>
          <w:rFonts w:hint="default" w:ascii="宋体" w:hAnsi="宋体" w:eastAsia="宋体" w:cs="宋体"/>
          <w:b/>
          <w:bCs/>
          <w:lang w:val="en-US" w:eastAsia="zh-CN"/>
        </w:rPr>
      </w:pPr>
      <w:r>
        <w:rPr>
          <w:rFonts w:hint="eastAsia" w:ascii="宋体" w:hAnsi="宋体" w:eastAsia="宋体" w:cs="宋体"/>
          <w:b/>
          <w:bCs/>
        </w:rPr>
        <w:t>CA问题联系电话（人工）：汇信CA 400-888-4636；天谷CA 400-087-8198。</w:t>
      </w:r>
    </w:p>
    <w:p w14:paraId="2948DD68">
      <w:pPr>
        <w:rPr>
          <w:rFonts w:hint="eastAsia" w:ascii="宋体" w:hAnsi="宋体" w:eastAsia="宋体" w:cs="宋体"/>
          <w:color w:val="FF0000"/>
        </w:rPr>
      </w:pPr>
      <w:r>
        <w:rPr>
          <w:rFonts w:hint="eastAsia" w:ascii="宋体" w:hAnsi="宋体" w:eastAsia="宋体" w:cs="宋体"/>
        </w:rPr>
        <w:t xml:space="preserve">  </w:t>
      </w:r>
    </w:p>
    <w:p w14:paraId="0DFCFBBF">
      <w:pPr>
        <w:jc w:val="right"/>
        <w:rPr>
          <w:rFonts w:hint="eastAsia" w:ascii="宋体" w:hAnsi="宋体" w:eastAsia="宋体" w:cs="宋体"/>
        </w:rPr>
      </w:pPr>
      <w:r>
        <w:rPr>
          <w:rFonts w:hint="eastAsia" w:ascii="宋体" w:hAnsi="宋体" w:eastAsia="宋体" w:cs="宋体"/>
        </w:rPr>
        <w:t>杭州富春湾新城建设投资集团有限公司</w:t>
      </w:r>
    </w:p>
    <w:p w14:paraId="6C7C9662">
      <w:pPr>
        <w:jc w:val="right"/>
        <w:rPr>
          <w:rFonts w:hint="eastAsia" w:ascii="宋体" w:hAnsi="宋体" w:eastAsia="宋体" w:cs="宋体"/>
          <w:lang w:eastAsia="zh-CN"/>
        </w:rPr>
      </w:pPr>
      <w:r>
        <w:rPr>
          <w:rFonts w:hint="eastAsia" w:ascii="宋体" w:hAnsi="宋体" w:eastAsia="宋体" w:cs="宋体"/>
          <w:lang w:eastAsia="zh-CN"/>
        </w:rPr>
        <w:t>杭州广厦建筑咨询有限公司</w:t>
      </w:r>
    </w:p>
    <w:p w14:paraId="21123BC7">
      <w:pPr>
        <w:jc w:val="right"/>
        <w:rPr>
          <w:rFonts w:hint="eastAsia" w:ascii="宋体" w:hAnsi="宋体" w:eastAsia="宋体" w:cs="宋体"/>
          <w:color w:val="0000FF"/>
        </w:rPr>
      </w:pPr>
      <w:r>
        <w:rPr>
          <w:rFonts w:hint="eastAsia" w:ascii="宋体" w:hAnsi="宋体" w:eastAsia="宋体" w:cs="宋体"/>
          <w:color w:val="0000FF"/>
        </w:rPr>
        <w:t xml:space="preserve">  </w:t>
      </w:r>
      <w:r>
        <w:rPr>
          <w:rFonts w:hint="eastAsia" w:ascii="宋体" w:hAnsi="宋体" w:eastAsia="宋体" w:cs="宋体"/>
          <w:color w:val="0000FF"/>
          <w:lang w:val="en-US" w:eastAsia="zh-CN"/>
        </w:rPr>
        <w:t>2024</w:t>
      </w:r>
      <w:r>
        <w:rPr>
          <w:rFonts w:hint="eastAsia" w:ascii="宋体" w:hAnsi="宋体" w:eastAsia="宋体" w:cs="宋体"/>
          <w:color w:val="0000FF"/>
        </w:rPr>
        <w:t>年</w:t>
      </w:r>
      <w:r>
        <w:rPr>
          <w:rFonts w:hint="eastAsia" w:ascii="宋体" w:hAnsi="宋体" w:eastAsia="宋体" w:cs="宋体"/>
          <w:color w:val="0000FF"/>
          <w:lang w:val="en-US" w:eastAsia="zh-CN"/>
        </w:rPr>
        <w:t>08</w:t>
      </w:r>
      <w:r>
        <w:rPr>
          <w:rFonts w:hint="eastAsia" w:ascii="宋体" w:hAnsi="宋体" w:eastAsia="宋体" w:cs="宋体"/>
          <w:color w:val="0000FF"/>
        </w:rPr>
        <w:t>月</w:t>
      </w:r>
      <w:r>
        <w:rPr>
          <w:rFonts w:hint="eastAsia" w:ascii="宋体" w:hAnsi="宋体" w:eastAsia="宋体" w:cs="宋体"/>
          <w:color w:val="0000FF"/>
          <w:lang w:val="en-US" w:eastAsia="zh-CN"/>
        </w:rPr>
        <w:t>28</w:t>
      </w:r>
      <w:r>
        <w:rPr>
          <w:rFonts w:hint="eastAsia" w:ascii="宋体" w:hAnsi="宋体" w:eastAsia="宋体" w:cs="宋体"/>
          <w:color w:val="0000FF"/>
        </w:rPr>
        <w:t>日</w:t>
      </w:r>
    </w:p>
    <w:p w14:paraId="0706286E">
      <w:pPr>
        <w:rPr>
          <w:rFonts w:hint="eastAsia" w:ascii="宋体" w:hAnsi="宋体" w:eastAsia="宋体" w:cs="宋体"/>
          <w:b/>
          <w:sz w:val="36"/>
          <w:szCs w:val="36"/>
        </w:rPr>
      </w:pPr>
      <w:r>
        <w:rPr>
          <w:rFonts w:hint="eastAsia" w:ascii="宋体" w:hAnsi="宋体" w:eastAsia="宋体" w:cs="宋体"/>
          <w:b/>
          <w:sz w:val="36"/>
          <w:szCs w:val="36"/>
        </w:rPr>
        <w:br w:type="page"/>
      </w:r>
    </w:p>
    <w:p w14:paraId="587CB8D1">
      <w:pPr>
        <w:pStyle w:val="2"/>
        <w:rPr>
          <w:rFonts w:hint="eastAsia" w:ascii="宋体" w:hAnsi="宋体" w:eastAsia="宋体" w:cs="宋体"/>
        </w:rPr>
      </w:pPr>
      <w:bookmarkStart w:id="2" w:name="_Toc236940849"/>
      <w:r>
        <w:rPr>
          <w:rFonts w:hint="eastAsia" w:ascii="宋体" w:hAnsi="宋体" w:eastAsia="宋体" w:cs="宋体"/>
        </w:rPr>
        <w:t>第二章  投标人须知</w:t>
      </w:r>
      <w:bookmarkEnd w:id="2"/>
    </w:p>
    <w:p w14:paraId="7EFEF25C">
      <w:pPr>
        <w:pStyle w:val="3"/>
        <w:spacing w:before="0" w:after="0" w:line="360" w:lineRule="auto"/>
        <w:ind w:left="578" w:hanging="578"/>
        <w:rPr>
          <w:rFonts w:hint="eastAsia" w:ascii="宋体" w:hAnsi="宋体" w:eastAsia="宋体" w:cs="宋体"/>
        </w:rPr>
      </w:pPr>
      <w:r>
        <w:rPr>
          <w:rFonts w:hint="eastAsia" w:ascii="宋体" w:hAnsi="宋体" w:eastAsia="宋体" w:cs="宋体"/>
        </w:rPr>
        <w:t>前附表</w:t>
      </w:r>
    </w:p>
    <w:tbl>
      <w:tblPr>
        <w:tblStyle w:val="24"/>
        <w:tblW w:w="10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00"/>
        <w:gridCol w:w="1661"/>
        <w:gridCol w:w="4159"/>
        <w:gridCol w:w="1100"/>
        <w:gridCol w:w="2678"/>
      </w:tblGrid>
      <w:tr w14:paraId="71F9E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33FE78BC">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9598" w:type="dxa"/>
            <w:gridSpan w:val="4"/>
            <w:noWrap w:val="0"/>
            <w:vAlign w:val="center"/>
          </w:tcPr>
          <w:p w14:paraId="2A2CD623">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内容说明及要求</w:t>
            </w:r>
          </w:p>
        </w:tc>
      </w:tr>
      <w:tr w14:paraId="742AFB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2" w:hRule="atLeast"/>
          <w:jc w:val="center"/>
        </w:trPr>
        <w:tc>
          <w:tcPr>
            <w:tcW w:w="700" w:type="dxa"/>
            <w:noWrap w:val="0"/>
            <w:vAlign w:val="center"/>
          </w:tcPr>
          <w:p w14:paraId="54493284">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1</w:t>
            </w:r>
          </w:p>
        </w:tc>
        <w:tc>
          <w:tcPr>
            <w:tcW w:w="1661" w:type="dxa"/>
            <w:noWrap w:val="0"/>
            <w:vAlign w:val="center"/>
          </w:tcPr>
          <w:p w14:paraId="130C8871">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项目名称</w:t>
            </w:r>
          </w:p>
        </w:tc>
        <w:tc>
          <w:tcPr>
            <w:tcW w:w="4159" w:type="dxa"/>
            <w:noWrap w:val="0"/>
            <w:vAlign w:val="center"/>
          </w:tcPr>
          <w:p w14:paraId="543291AE">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lang w:eastAsia="zh-CN"/>
              </w:rPr>
              <w:t>2024年度富春湾集团国有资产评估中介机构招标项目</w:t>
            </w:r>
          </w:p>
        </w:tc>
        <w:tc>
          <w:tcPr>
            <w:tcW w:w="1100" w:type="dxa"/>
            <w:noWrap w:val="0"/>
            <w:vAlign w:val="center"/>
          </w:tcPr>
          <w:p w14:paraId="034B3BE1">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2"/>
                <w:szCs w:val="22"/>
                <w:highlight w:val="none"/>
              </w:rPr>
              <w:t>项目编号</w:t>
            </w:r>
          </w:p>
        </w:tc>
        <w:tc>
          <w:tcPr>
            <w:tcW w:w="2678" w:type="dxa"/>
            <w:noWrap w:val="0"/>
            <w:vAlign w:val="center"/>
          </w:tcPr>
          <w:p w14:paraId="5ABE441A">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FCW20240046-1</w:t>
            </w:r>
          </w:p>
        </w:tc>
      </w:tr>
      <w:tr w14:paraId="335877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5D950A48">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2</w:t>
            </w:r>
          </w:p>
        </w:tc>
        <w:tc>
          <w:tcPr>
            <w:tcW w:w="1661" w:type="dxa"/>
            <w:noWrap w:val="0"/>
            <w:vAlign w:val="center"/>
          </w:tcPr>
          <w:p w14:paraId="60C1C536">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采购人</w:t>
            </w:r>
          </w:p>
        </w:tc>
        <w:tc>
          <w:tcPr>
            <w:tcW w:w="7937" w:type="dxa"/>
            <w:gridSpan w:val="3"/>
            <w:noWrap w:val="0"/>
            <w:vAlign w:val="center"/>
          </w:tcPr>
          <w:p w14:paraId="4C940CC7">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杭州富春湾新城建设投资集团有限公司</w:t>
            </w:r>
          </w:p>
        </w:tc>
      </w:tr>
      <w:tr w14:paraId="7BAF7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72" w:hRule="atLeast"/>
          <w:jc w:val="center"/>
        </w:trPr>
        <w:tc>
          <w:tcPr>
            <w:tcW w:w="700" w:type="dxa"/>
            <w:noWrap w:val="0"/>
            <w:vAlign w:val="center"/>
          </w:tcPr>
          <w:p w14:paraId="5002CB7B">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3</w:t>
            </w:r>
          </w:p>
        </w:tc>
        <w:tc>
          <w:tcPr>
            <w:tcW w:w="1661" w:type="dxa"/>
            <w:noWrap w:val="0"/>
            <w:vAlign w:val="center"/>
          </w:tcPr>
          <w:p w14:paraId="57F4783A">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color w:val="auto"/>
                <w:sz w:val="22"/>
                <w:szCs w:val="22"/>
                <w:highlight w:val="none"/>
              </w:rPr>
              <w:t>项目概况</w:t>
            </w:r>
          </w:p>
        </w:tc>
        <w:tc>
          <w:tcPr>
            <w:tcW w:w="7937" w:type="dxa"/>
            <w:gridSpan w:val="3"/>
            <w:noWrap w:val="0"/>
            <w:vAlign w:val="center"/>
          </w:tcPr>
          <w:p w14:paraId="524F642F">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本项目招标内容为</w:t>
            </w:r>
            <w:r>
              <w:rPr>
                <w:rFonts w:hint="eastAsia" w:ascii="宋体" w:hAnsi="宋体" w:eastAsia="宋体" w:cs="宋体"/>
                <w:bCs/>
                <w:color w:val="auto"/>
                <w:sz w:val="24"/>
                <w:szCs w:val="24"/>
                <w:highlight w:val="none"/>
                <w:lang w:val="en-US" w:eastAsia="zh-CN"/>
              </w:rPr>
              <w:t>2024年度</w:t>
            </w:r>
            <w:r>
              <w:rPr>
                <w:rFonts w:hint="eastAsia" w:ascii="宋体" w:hAnsi="宋体" w:eastAsia="宋体" w:cs="宋体"/>
                <w:bCs/>
                <w:color w:val="auto"/>
                <w:sz w:val="24"/>
                <w:szCs w:val="24"/>
                <w:highlight w:val="none"/>
              </w:rPr>
              <w:t>富春湾新城集团区域范围内资产评估及资产处置评估。</w:t>
            </w:r>
            <w:r>
              <w:rPr>
                <w:rFonts w:hint="eastAsia" w:ascii="宋体" w:hAnsi="宋体" w:eastAsia="宋体" w:cs="宋体"/>
                <w:bCs/>
                <w:color w:val="auto"/>
                <w:sz w:val="24"/>
                <w:szCs w:val="24"/>
                <w:highlight w:val="none"/>
                <w:lang w:val="en-US" w:eastAsia="zh-CN"/>
              </w:rPr>
              <w:t>包括但不限于</w:t>
            </w:r>
            <w:r>
              <w:rPr>
                <w:rFonts w:hint="eastAsia" w:ascii="宋体" w:hAnsi="宋体" w:eastAsia="宋体" w:cs="宋体"/>
                <w:bCs/>
                <w:color w:val="auto"/>
                <w:sz w:val="24"/>
                <w:szCs w:val="24"/>
                <w:highlight w:val="none"/>
              </w:rPr>
              <w:t>属地乡镇（街道）涉及的承包租赁资产经营的资产评估、资产拍卖、转让、破产清算的资产评估、抵押贷款、经济担保的资产评估、纳税的资产评估、其他内容的资产评估。</w:t>
            </w:r>
          </w:p>
        </w:tc>
      </w:tr>
      <w:tr w14:paraId="04DFB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66" w:hRule="atLeast"/>
          <w:jc w:val="center"/>
        </w:trPr>
        <w:tc>
          <w:tcPr>
            <w:tcW w:w="700" w:type="dxa"/>
            <w:noWrap w:val="0"/>
            <w:vAlign w:val="center"/>
          </w:tcPr>
          <w:p w14:paraId="47C2E968">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4</w:t>
            </w:r>
          </w:p>
        </w:tc>
        <w:tc>
          <w:tcPr>
            <w:tcW w:w="1661" w:type="dxa"/>
            <w:noWrap w:val="0"/>
            <w:vAlign w:val="center"/>
          </w:tcPr>
          <w:p w14:paraId="0D189E1A">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资金来源与预算</w:t>
            </w:r>
          </w:p>
        </w:tc>
        <w:tc>
          <w:tcPr>
            <w:tcW w:w="7937" w:type="dxa"/>
            <w:gridSpan w:val="3"/>
            <w:noWrap w:val="0"/>
            <w:vAlign w:val="center"/>
          </w:tcPr>
          <w:p w14:paraId="49AE818B">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（1）资金来源：自筹资金。</w:t>
            </w:r>
          </w:p>
          <w:p w14:paraId="164A9442">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（2）项目预算：</w:t>
            </w:r>
            <w:r>
              <w:rPr>
                <w:rFonts w:hint="eastAsia" w:ascii="宋体" w:hAnsi="宋体" w:eastAsia="宋体" w:cs="宋体"/>
                <w:color w:val="auto"/>
              </w:rPr>
              <w:t>暂定</w:t>
            </w:r>
            <w:r>
              <w:rPr>
                <w:rFonts w:hint="eastAsia" w:ascii="宋体" w:hAnsi="宋体" w:eastAsia="宋体" w:cs="宋体"/>
                <w:color w:val="auto"/>
                <w:lang w:val="en-US" w:eastAsia="zh-CN"/>
              </w:rPr>
              <w:t>80</w:t>
            </w:r>
            <w:r>
              <w:rPr>
                <w:rFonts w:hint="eastAsia" w:ascii="宋体" w:hAnsi="宋体" w:eastAsia="宋体" w:cs="宋体"/>
                <w:color w:val="auto"/>
              </w:rPr>
              <w:t>万</w:t>
            </w:r>
            <w:r>
              <w:rPr>
                <w:rFonts w:hint="eastAsia" w:ascii="宋体" w:hAnsi="宋体" w:eastAsia="宋体" w:cs="宋体"/>
                <w:color w:val="auto"/>
                <w:lang w:val="en-US" w:eastAsia="zh-CN"/>
              </w:rPr>
              <w:t>元</w:t>
            </w:r>
            <w:r>
              <w:rPr>
                <w:rFonts w:hint="eastAsia" w:ascii="宋体" w:hAnsi="宋体" w:eastAsia="宋体" w:cs="宋体"/>
                <w:color w:val="auto"/>
              </w:rPr>
              <w:t>（具体以实际结算为准</w:t>
            </w:r>
            <w:r>
              <w:rPr>
                <w:rFonts w:hint="eastAsia" w:ascii="宋体" w:hAnsi="宋体" w:eastAsia="宋体" w:cs="宋体"/>
                <w:color w:val="auto"/>
                <w:lang w:eastAsia="zh-CN"/>
              </w:rPr>
              <w:t>，</w:t>
            </w:r>
            <w:r>
              <w:rPr>
                <w:rFonts w:hint="eastAsia" w:ascii="宋体" w:hAnsi="宋体" w:eastAsia="宋体" w:cs="宋体"/>
                <w:color w:val="auto"/>
              </w:rPr>
              <w:t>单件标的资产评估费最高不超过15万元）</w:t>
            </w:r>
            <w:r>
              <w:rPr>
                <w:rFonts w:hint="eastAsia" w:ascii="宋体" w:hAnsi="宋体" w:eastAsia="宋体" w:cs="宋体"/>
                <w:bCs/>
                <w:color w:val="auto"/>
                <w:sz w:val="24"/>
                <w:szCs w:val="24"/>
                <w:highlight w:val="none"/>
              </w:rPr>
              <w:t>。</w:t>
            </w:r>
          </w:p>
          <w:p w14:paraId="3B20C54E">
            <w:pPr>
              <w:keepNext w:val="0"/>
              <w:keepLines w:val="0"/>
              <w:pageBreakBefore w:val="0"/>
              <w:widowControl w:val="0"/>
              <w:kinsoku/>
              <w:wordWrap/>
              <w:overflowPunct/>
              <w:topLinePunct w:val="0"/>
              <w:autoSpaceDE/>
              <w:bidi w:val="0"/>
              <w:snapToGrid/>
              <w:spacing w:beforeLines="0" w:line="34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最高限价：</w:t>
            </w:r>
            <w:r>
              <w:rPr>
                <w:rFonts w:hint="eastAsia" w:ascii="宋体" w:hAnsi="宋体" w:eastAsia="宋体" w:cs="宋体"/>
                <w:bCs/>
                <w:color w:val="auto"/>
                <w:sz w:val="24"/>
                <w:szCs w:val="24"/>
                <w:highlight w:val="none"/>
                <w:lang w:val="en-US" w:eastAsia="zh-CN"/>
              </w:rPr>
              <w:t>按照《浙江省物价局关于资产评估收费问题的通知》（浙价服[2011] 90号）收费标准的30%计取。（资产评估单项评估服务费不足1500元的按1500 元计取；单件标的资产评估费最高不超过15万元）</w:t>
            </w:r>
          </w:p>
          <w:p w14:paraId="3ABB1728">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bCs/>
                <w:color w:val="auto"/>
                <w:sz w:val="24"/>
                <w:szCs w:val="24"/>
                <w:highlight w:val="yellow"/>
                <w:lang w:eastAsia="zh-CN"/>
              </w:rPr>
              <w:t>注：</w:t>
            </w:r>
            <w:r>
              <w:rPr>
                <w:rFonts w:hint="eastAsia" w:ascii="宋体" w:hAnsi="宋体" w:eastAsia="宋体" w:cs="宋体"/>
                <w:b/>
                <w:bCs/>
                <w:color w:val="auto"/>
                <w:highlight w:val="yellow"/>
                <w:u w:val="single"/>
              </w:rPr>
              <w:t>本项目入围单位中的最低报价</w:t>
            </w:r>
            <w:r>
              <w:rPr>
                <w:rFonts w:hint="eastAsia" w:ascii="宋体" w:hAnsi="宋体" w:eastAsia="宋体" w:cs="宋体"/>
                <w:b/>
                <w:bCs/>
                <w:color w:val="auto"/>
                <w:highlight w:val="yellow"/>
                <w:u w:val="single"/>
                <w:lang w:val="en-US" w:eastAsia="zh-CN"/>
              </w:rPr>
              <w:t>为本项目统一中标价</w:t>
            </w:r>
            <w:r>
              <w:rPr>
                <w:rFonts w:hint="eastAsia" w:ascii="宋体" w:hAnsi="宋体" w:eastAsia="宋体" w:cs="宋体"/>
                <w:b/>
                <w:bCs/>
                <w:color w:val="auto"/>
                <w:highlight w:val="yellow"/>
                <w:u w:val="single"/>
                <w:lang w:eastAsia="zh-CN"/>
              </w:rPr>
              <w:t>，</w:t>
            </w:r>
            <w:r>
              <w:rPr>
                <w:rFonts w:hint="eastAsia" w:ascii="宋体" w:hAnsi="宋体" w:eastAsia="宋体" w:cs="宋体"/>
                <w:b/>
                <w:bCs/>
                <w:color w:val="auto"/>
                <w:highlight w:val="yellow"/>
                <w:u w:val="single"/>
                <w:lang w:val="en-US" w:eastAsia="zh-CN"/>
              </w:rPr>
              <w:t>所有入围单位按此报价</w:t>
            </w:r>
            <w:r>
              <w:rPr>
                <w:rFonts w:hint="eastAsia" w:ascii="宋体" w:hAnsi="宋体" w:eastAsia="宋体" w:cs="宋体"/>
                <w:b/>
                <w:bCs/>
                <w:color w:val="auto"/>
                <w:highlight w:val="yellow"/>
                <w:u w:val="single"/>
              </w:rPr>
              <w:t>统一签订合同</w:t>
            </w:r>
            <w:r>
              <w:rPr>
                <w:rFonts w:hint="eastAsia" w:ascii="宋体" w:hAnsi="宋体" w:eastAsia="宋体" w:cs="宋体"/>
                <w:b/>
                <w:bCs/>
                <w:color w:val="auto"/>
                <w:highlight w:val="yellow"/>
                <w:u w:val="single"/>
                <w:lang w:eastAsia="zh-CN"/>
              </w:rPr>
              <w:t>。</w:t>
            </w:r>
          </w:p>
        </w:tc>
      </w:tr>
      <w:tr w14:paraId="1BF4A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00" w:type="dxa"/>
            <w:noWrap w:val="0"/>
            <w:vAlign w:val="center"/>
          </w:tcPr>
          <w:p w14:paraId="17AE5801">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w:t>
            </w:r>
          </w:p>
        </w:tc>
        <w:tc>
          <w:tcPr>
            <w:tcW w:w="1661" w:type="dxa"/>
            <w:noWrap w:val="0"/>
            <w:vAlign w:val="center"/>
          </w:tcPr>
          <w:p w14:paraId="2EE04A30">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投标文件递交截止时间与地点</w:t>
            </w:r>
          </w:p>
        </w:tc>
        <w:tc>
          <w:tcPr>
            <w:tcW w:w="7937" w:type="dxa"/>
            <w:gridSpan w:val="3"/>
            <w:noWrap w:val="0"/>
            <w:vAlign w:val="center"/>
          </w:tcPr>
          <w:p w14:paraId="4DE0F6E3">
            <w:pPr>
              <w:keepNext w:val="0"/>
              <w:keepLines w:val="0"/>
              <w:pageBreakBefore w:val="0"/>
              <w:widowControl w:val="0"/>
              <w:kinsoku/>
              <w:wordWrap/>
              <w:overflowPunct/>
              <w:topLinePunct w:val="0"/>
              <w:autoSpaceDE/>
              <w:bidi w:val="0"/>
              <w:adjustRightInd/>
              <w:snapToGrid/>
              <w:spacing w:beforeLines="0" w:line="340" w:lineRule="exact"/>
              <w:ind w:left="600" w:hanging="600" w:hangingChars="250"/>
              <w:jc w:val="left"/>
              <w:textAlignment w:val="auto"/>
              <w:rPr>
                <w:rFonts w:hint="eastAsia" w:ascii="宋体" w:hAnsi="宋体" w:eastAsia="宋体" w:cs="宋体"/>
                <w:bCs/>
                <w:color w:val="0000FF"/>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0000FF"/>
                <w:sz w:val="24"/>
                <w:szCs w:val="24"/>
                <w:highlight w:val="none"/>
              </w:rPr>
              <w:t>投标文件递交截止时间：</w:t>
            </w:r>
            <w:r>
              <w:rPr>
                <w:rFonts w:hint="eastAsia" w:ascii="宋体" w:hAnsi="宋体" w:eastAsia="宋体" w:cs="宋体"/>
                <w:color w:val="0000FF"/>
                <w:sz w:val="24"/>
                <w:szCs w:val="24"/>
                <w:highlight w:val="none"/>
              </w:rPr>
              <w:t>202</w:t>
            </w:r>
            <w:r>
              <w:rPr>
                <w:rFonts w:hint="eastAsia" w:ascii="宋体" w:hAnsi="宋体" w:eastAsia="宋体" w:cs="宋体"/>
                <w:color w:val="0000FF"/>
                <w:sz w:val="24"/>
                <w:szCs w:val="24"/>
                <w:highlight w:val="none"/>
                <w:lang w:val="en-US" w:eastAsia="zh-CN"/>
              </w:rPr>
              <w:t>4</w:t>
            </w:r>
            <w:r>
              <w:rPr>
                <w:rFonts w:hint="eastAsia" w:ascii="宋体" w:hAnsi="宋体" w:eastAsia="宋体" w:cs="宋体"/>
                <w:color w:val="0000FF"/>
                <w:sz w:val="24"/>
                <w:szCs w:val="24"/>
                <w:highlight w:val="none"/>
              </w:rPr>
              <w:t>年</w:t>
            </w:r>
            <w:r>
              <w:rPr>
                <w:rFonts w:hint="eastAsia" w:ascii="宋体" w:hAnsi="宋体" w:eastAsia="宋体" w:cs="宋体"/>
                <w:color w:val="0000FF"/>
                <w:sz w:val="24"/>
                <w:szCs w:val="24"/>
                <w:highlight w:val="none"/>
                <w:lang w:val="en-US" w:eastAsia="zh-CN"/>
              </w:rPr>
              <w:t>09</w:t>
            </w:r>
            <w:r>
              <w:rPr>
                <w:rFonts w:hint="eastAsia" w:ascii="宋体" w:hAnsi="宋体" w:eastAsia="宋体" w:cs="宋体"/>
                <w:color w:val="0000FF"/>
                <w:sz w:val="24"/>
                <w:szCs w:val="24"/>
                <w:highlight w:val="none"/>
              </w:rPr>
              <w:t>月</w:t>
            </w:r>
            <w:r>
              <w:rPr>
                <w:rFonts w:hint="eastAsia" w:ascii="宋体" w:hAnsi="宋体" w:eastAsia="宋体" w:cs="宋体"/>
                <w:color w:val="0000FF"/>
                <w:sz w:val="24"/>
                <w:szCs w:val="24"/>
                <w:highlight w:val="none"/>
                <w:lang w:val="en-US" w:eastAsia="zh-CN"/>
              </w:rPr>
              <w:t>18</w:t>
            </w:r>
            <w:r>
              <w:rPr>
                <w:rFonts w:hint="eastAsia" w:ascii="宋体" w:hAnsi="宋体" w:eastAsia="宋体" w:cs="宋体"/>
                <w:color w:val="0000FF"/>
                <w:sz w:val="24"/>
                <w:szCs w:val="24"/>
                <w:highlight w:val="none"/>
              </w:rPr>
              <w:t>日</w:t>
            </w:r>
            <w:r>
              <w:rPr>
                <w:rFonts w:hint="eastAsia" w:ascii="宋体" w:hAnsi="宋体" w:eastAsia="宋体" w:cs="宋体"/>
                <w:color w:val="0000FF"/>
                <w:sz w:val="24"/>
                <w:szCs w:val="24"/>
                <w:highlight w:val="none"/>
                <w:lang w:eastAsia="zh-CN"/>
              </w:rPr>
              <w:t>上午</w:t>
            </w:r>
            <w:r>
              <w:rPr>
                <w:rFonts w:hint="eastAsia" w:ascii="宋体" w:hAnsi="宋体" w:eastAsia="宋体" w:cs="宋体"/>
                <w:color w:val="0000FF"/>
                <w:sz w:val="24"/>
                <w:szCs w:val="24"/>
                <w:highlight w:val="none"/>
                <w:lang w:val="en-US" w:eastAsia="zh-CN"/>
              </w:rPr>
              <w:t>09</w:t>
            </w:r>
            <w:r>
              <w:rPr>
                <w:rFonts w:hint="eastAsia" w:ascii="宋体" w:hAnsi="宋体" w:eastAsia="宋体" w:cs="宋体"/>
                <w:color w:val="0000FF"/>
                <w:sz w:val="24"/>
                <w:szCs w:val="24"/>
                <w:highlight w:val="none"/>
                <w:lang w:eastAsia="zh-CN"/>
              </w:rPr>
              <w:t>时</w:t>
            </w:r>
            <w:r>
              <w:rPr>
                <w:rFonts w:hint="eastAsia" w:ascii="宋体" w:hAnsi="宋体" w:eastAsia="宋体" w:cs="宋体"/>
                <w:color w:val="0000FF"/>
                <w:sz w:val="24"/>
                <w:szCs w:val="24"/>
                <w:highlight w:val="none"/>
              </w:rPr>
              <w:t>00分00秒</w:t>
            </w:r>
            <w:r>
              <w:rPr>
                <w:rFonts w:hint="eastAsia" w:ascii="宋体" w:hAnsi="宋体" w:eastAsia="宋体" w:cs="宋体"/>
                <w:bCs/>
                <w:color w:val="0000FF"/>
                <w:sz w:val="24"/>
                <w:szCs w:val="24"/>
                <w:highlight w:val="none"/>
              </w:rPr>
              <w:t>（北京时间）</w:t>
            </w:r>
          </w:p>
          <w:p w14:paraId="6575AAA2">
            <w:pPr>
              <w:keepNext w:val="0"/>
              <w:keepLines w:val="0"/>
              <w:pageBreakBefore w:val="0"/>
              <w:widowControl w:val="0"/>
              <w:kinsoku/>
              <w:wordWrap/>
              <w:overflowPunct/>
              <w:topLinePunct w:val="0"/>
              <w:autoSpaceDE/>
              <w:bidi w:val="0"/>
              <w:adjustRightInd/>
              <w:snapToGrid/>
              <w:spacing w:beforeLines="0" w:line="340" w:lineRule="exact"/>
              <w:ind w:left="600" w:hanging="600" w:hangingChars="250"/>
              <w:jc w:val="left"/>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（2）投标文件递交地点</w:t>
            </w:r>
            <w:r>
              <w:rPr>
                <w:rFonts w:hint="eastAsia" w:ascii="宋体" w:hAnsi="宋体" w:eastAsia="宋体" w:cs="宋体"/>
                <w:sz w:val="24"/>
                <w:szCs w:val="24"/>
              </w:rPr>
              <w:t>（网址）</w:t>
            </w:r>
            <w:r>
              <w:rPr>
                <w:rFonts w:hint="eastAsia" w:ascii="宋体" w:hAnsi="宋体" w:eastAsia="宋体" w:cs="宋体"/>
                <w:bCs/>
                <w:color w:val="auto"/>
                <w:sz w:val="24"/>
                <w:szCs w:val="24"/>
                <w:highlight w:val="none"/>
              </w:rPr>
              <w:t>：本项目采用全流程电子化交易，无须参加现场开标会</w:t>
            </w:r>
            <w:r>
              <w:rPr>
                <w:rFonts w:hint="eastAsia" w:ascii="宋体" w:hAnsi="宋体" w:eastAsia="宋体" w:cs="宋体"/>
                <w:bCs/>
                <w:color w:val="auto"/>
                <w:sz w:val="24"/>
                <w:szCs w:val="24"/>
                <w:highlight w:val="none"/>
                <w:lang w:eastAsia="zh-CN"/>
              </w:rPr>
              <w:t>；</w:t>
            </w:r>
            <w:r>
              <w:rPr>
                <w:rFonts w:hint="eastAsia" w:ascii="宋体" w:hAnsi="宋体" w:eastAsia="宋体" w:cs="宋体"/>
              </w:rPr>
              <w:t>乐采云平台（www.lecaiyun.com）</w:t>
            </w:r>
            <w:r>
              <w:rPr>
                <w:rFonts w:hint="eastAsia" w:ascii="宋体" w:hAnsi="宋体" w:eastAsia="宋体" w:cs="宋体"/>
                <w:bCs/>
                <w:color w:val="auto"/>
                <w:sz w:val="24"/>
                <w:szCs w:val="24"/>
                <w:highlight w:val="none"/>
              </w:rPr>
              <w:t>。</w:t>
            </w:r>
          </w:p>
        </w:tc>
      </w:tr>
      <w:tr w14:paraId="2D94E8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00" w:type="dxa"/>
            <w:noWrap w:val="0"/>
            <w:vAlign w:val="center"/>
          </w:tcPr>
          <w:p w14:paraId="12CE3CF6">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6</w:t>
            </w:r>
          </w:p>
        </w:tc>
        <w:tc>
          <w:tcPr>
            <w:tcW w:w="1661" w:type="dxa"/>
            <w:noWrap w:val="0"/>
            <w:vAlign w:val="center"/>
          </w:tcPr>
          <w:p w14:paraId="44173D32">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开标时间与地点</w:t>
            </w:r>
          </w:p>
        </w:tc>
        <w:tc>
          <w:tcPr>
            <w:tcW w:w="7937" w:type="dxa"/>
            <w:gridSpan w:val="3"/>
            <w:noWrap w:val="0"/>
            <w:vAlign w:val="center"/>
          </w:tcPr>
          <w:p w14:paraId="188C94AE">
            <w:pPr>
              <w:keepNext w:val="0"/>
              <w:keepLines w:val="0"/>
              <w:pageBreakBefore w:val="0"/>
              <w:widowControl w:val="0"/>
              <w:kinsoku/>
              <w:wordWrap/>
              <w:overflowPunct/>
              <w:topLinePunct w:val="0"/>
              <w:autoSpaceDE/>
              <w:bidi w:val="0"/>
              <w:adjustRightInd/>
              <w:snapToGrid/>
              <w:spacing w:beforeLines="0" w:line="3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0000FF"/>
                <w:sz w:val="24"/>
                <w:szCs w:val="24"/>
                <w:highlight w:val="none"/>
              </w:rPr>
              <w:t>开标时间：</w:t>
            </w:r>
            <w:r>
              <w:rPr>
                <w:rFonts w:hint="eastAsia" w:ascii="宋体" w:hAnsi="宋体" w:eastAsia="宋体" w:cs="宋体"/>
                <w:color w:val="0000FF"/>
                <w:sz w:val="24"/>
                <w:szCs w:val="24"/>
                <w:highlight w:val="none"/>
              </w:rPr>
              <w:t>202</w:t>
            </w:r>
            <w:r>
              <w:rPr>
                <w:rFonts w:hint="eastAsia" w:ascii="宋体" w:hAnsi="宋体" w:eastAsia="宋体" w:cs="宋体"/>
                <w:color w:val="0000FF"/>
                <w:sz w:val="24"/>
                <w:szCs w:val="24"/>
                <w:highlight w:val="none"/>
                <w:lang w:val="en-US" w:eastAsia="zh-CN"/>
              </w:rPr>
              <w:t>4</w:t>
            </w:r>
            <w:r>
              <w:rPr>
                <w:rFonts w:hint="eastAsia" w:ascii="宋体" w:hAnsi="宋体" w:eastAsia="宋体" w:cs="宋体"/>
                <w:color w:val="0000FF"/>
                <w:sz w:val="24"/>
                <w:szCs w:val="24"/>
                <w:highlight w:val="none"/>
              </w:rPr>
              <w:t>年</w:t>
            </w:r>
            <w:r>
              <w:rPr>
                <w:rFonts w:hint="eastAsia" w:ascii="宋体" w:hAnsi="宋体" w:eastAsia="宋体" w:cs="宋体"/>
                <w:color w:val="0000FF"/>
                <w:sz w:val="24"/>
                <w:szCs w:val="24"/>
                <w:highlight w:val="none"/>
                <w:lang w:val="en-US" w:eastAsia="zh-CN"/>
              </w:rPr>
              <w:t>09</w:t>
            </w:r>
            <w:r>
              <w:rPr>
                <w:rFonts w:hint="eastAsia" w:ascii="宋体" w:hAnsi="宋体" w:eastAsia="宋体" w:cs="宋体"/>
                <w:color w:val="0000FF"/>
                <w:sz w:val="24"/>
                <w:szCs w:val="24"/>
                <w:highlight w:val="none"/>
              </w:rPr>
              <w:t>月</w:t>
            </w:r>
            <w:r>
              <w:rPr>
                <w:rFonts w:hint="eastAsia" w:ascii="宋体" w:hAnsi="宋体" w:eastAsia="宋体" w:cs="宋体"/>
                <w:color w:val="0000FF"/>
                <w:sz w:val="24"/>
                <w:szCs w:val="24"/>
                <w:highlight w:val="none"/>
                <w:lang w:val="en-US" w:eastAsia="zh-CN"/>
              </w:rPr>
              <w:t>18</w:t>
            </w:r>
            <w:r>
              <w:rPr>
                <w:rFonts w:hint="eastAsia" w:ascii="宋体" w:hAnsi="宋体" w:eastAsia="宋体" w:cs="宋体"/>
                <w:color w:val="0000FF"/>
                <w:sz w:val="24"/>
                <w:szCs w:val="24"/>
                <w:highlight w:val="none"/>
              </w:rPr>
              <w:t>日</w:t>
            </w:r>
            <w:r>
              <w:rPr>
                <w:rFonts w:hint="eastAsia" w:ascii="宋体" w:hAnsi="宋体" w:eastAsia="宋体" w:cs="宋体"/>
                <w:color w:val="0000FF"/>
                <w:sz w:val="24"/>
                <w:szCs w:val="24"/>
                <w:highlight w:val="none"/>
                <w:lang w:eastAsia="zh-CN"/>
              </w:rPr>
              <w:t>上午</w:t>
            </w:r>
            <w:r>
              <w:rPr>
                <w:rFonts w:hint="eastAsia" w:ascii="宋体" w:hAnsi="宋体" w:eastAsia="宋体" w:cs="宋体"/>
                <w:color w:val="0000FF"/>
                <w:sz w:val="24"/>
                <w:szCs w:val="24"/>
                <w:highlight w:val="none"/>
                <w:lang w:val="en-US" w:eastAsia="zh-CN"/>
              </w:rPr>
              <w:t>09</w:t>
            </w:r>
            <w:r>
              <w:rPr>
                <w:rFonts w:hint="eastAsia" w:ascii="宋体" w:hAnsi="宋体" w:eastAsia="宋体" w:cs="宋体"/>
                <w:color w:val="0000FF"/>
                <w:sz w:val="24"/>
                <w:szCs w:val="24"/>
                <w:highlight w:val="none"/>
                <w:lang w:eastAsia="zh-CN"/>
              </w:rPr>
              <w:t>时</w:t>
            </w:r>
            <w:r>
              <w:rPr>
                <w:rFonts w:hint="eastAsia" w:ascii="宋体" w:hAnsi="宋体" w:eastAsia="宋体" w:cs="宋体"/>
                <w:color w:val="0000FF"/>
                <w:sz w:val="24"/>
                <w:szCs w:val="24"/>
                <w:highlight w:val="none"/>
              </w:rPr>
              <w:t>00分00秒</w:t>
            </w:r>
            <w:r>
              <w:rPr>
                <w:rFonts w:hint="eastAsia" w:ascii="宋体" w:hAnsi="宋体" w:eastAsia="宋体" w:cs="宋体"/>
                <w:bCs/>
                <w:color w:val="0000FF"/>
                <w:sz w:val="24"/>
                <w:szCs w:val="24"/>
                <w:highlight w:val="none"/>
              </w:rPr>
              <w:t>（北京时间）</w:t>
            </w:r>
          </w:p>
          <w:p w14:paraId="1787E7A4">
            <w:pPr>
              <w:keepNext w:val="0"/>
              <w:keepLines w:val="0"/>
              <w:pageBreakBefore w:val="0"/>
              <w:widowControl w:val="0"/>
              <w:shd w:val="solid" w:color="FFFFFF" w:fill="auto"/>
              <w:kinsoku/>
              <w:wordWrap/>
              <w:overflowPunct/>
              <w:topLinePunct w:val="0"/>
              <w:autoSpaceDE/>
              <w:autoSpaceDN w:val="0"/>
              <w:bidi w:val="0"/>
              <w:adjustRightInd/>
              <w:snapToGrid/>
              <w:spacing w:beforeLines="0" w:line="340" w:lineRule="exact"/>
              <w:ind w:left="600" w:hanging="600" w:hangingChars="25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（2）开标地点：杭州广厦建筑咨询有限公司开标室（杭州市富阳区鹿山街道金鹿路269号鹿山时代C幢5楼505室）</w:t>
            </w:r>
            <w:r>
              <w:rPr>
                <w:rFonts w:hint="eastAsia" w:ascii="宋体" w:hAnsi="宋体" w:eastAsia="宋体" w:cs="宋体"/>
                <w:color w:val="auto"/>
                <w:sz w:val="24"/>
                <w:szCs w:val="24"/>
                <w:highlight w:val="none"/>
                <w:lang w:eastAsia="zh-CN"/>
              </w:rPr>
              <w:t>；</w:t>
            </w:r>
            <w:r>
              <w:rPr>
                <w:rFonts w:hint="eastAsia" w:ascii="宋体" w:hAnsi="宋体" w:eastAsia="宋体" w:cs="宋体"/>
              </w:rPr>
              <w:t>乐采云平台（www.lecaiyun.com）</w:t>
            </w:r>
            <w:r>
              <w:rPr>
                <w:rFonts w:hint="eastAsia" w:ascii="宋体" w:hAnsi="宋体" w:eastAsia="宋体" w:cs="宋体"/>
                <w:color w:val="auto"/>
                <w:sz w:val="24"/>
                <w:szCs w:val="24"/>
                <w:highlight w:val="none"/>
                <w:lang w:eastAsia="zh-CN"/>
              </w:rPr>
              <w:t>。</w:t>
            </w:r>
          </w:p>
        </w:tc>
      </w:tr>
      <w:tr w14:paraId="58A9A7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31C6EAE5">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7</w:t>
            </w:r>
          </w:p>
        </w:tc>
        <w:tc>
          <w:tcPr>
            <w:tcW w:w="1661" w:type="dxa"/>
            <w:noWrap w:val="0"/>
            <w:vAlign w:val="center"/>
          </w:tcPr>
          <w:p w14:paraId="236ADE2F">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投标报价</w:t>
            </w:r>
          </w:p>
          <w:p w14:paraId="0AACAB33">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与费用</w:t>
            </w:r>
          </w:p>
        </w:tc>
        <w:tc>
          <w:tcPr>
            <w:tcW w:w="7937" w:type="dxa"/>
            <w:gridSpan w:val="3"/>
            <w:noWrap w:val="0"/>
            <w:vAlign w:val="center"/>
          </w:tcPr>
          <w:p w14:paraId="01E3C0FC">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（1）本项目中价格全部采用人民币元报价。</w:t>
            </w:r>
          </w:p>
          <w:p w14:paraId="219D0DD2">
            <w:pPr>
              <w:keepNext w:val="0"/>
              <w:keepLines w:val="0"/>
              <w:pageBreakBefore w:val="0"/>
              <w:widowControl w:val="0"/>
              <w:tabs>
                <w:tab w:val="left" w:pos="571"/>
              </w:tabs>
              <w:kinsoku/>
              <w:wordWrap/>
              <w:overflowPunct/>
              <w:topLinePunct w:val="0"/>
              <w:autoSpaceDE/>
              <w:bidi w:val="0"/>
              <w:snapToGrid/>
              <w:spacing w:beforeLines="0" w:line="340" w:lineRule="exact"/>
              <w:ind w:left="600" w:hanging="600" w:hangingChars="2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（2）不论投标结果如何，投标人均应自行承担所有与投标有关的全部费用。</w:t>
            </w:r>
          </w:p>
          <w:p w14:paraId="642051EE">
            <w:pPr>
              <w:keepNext w:val="0"/>
              <w:keepLines w:val="0"/>
              <w:pageBreakBefore w:val="0"/>
              <w:widowControl w:val="0"/>
              <w:tabs>
                <w:tab w:val="left" w:pos="571"/>
              </w:tabs>
              <w:kinsoku/>
              <w:wordWrap/>
              <w:overflowPunct/>
              <w:topLinePunct w:val="0"/>
              <w:autoSpaceDE/>
              <w:bidi w:val="0"/>
              <w:snapToGrid/>
              <w:spacing w:beforeLines="0"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（3）本项目不接受选择性报价。</w:t>
            </w:r>
          </w:p>
        </w:tc>
      </w:tr>
      <w:tr w14:paraId="74C39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6" w:hRule="atLeast"/>
          <w:jc w:val="center"/>
        </w:trPr>
        <w:tc>
          <w:tcPr>
            <w:tcW w:w="700" w:type="dxa"/>
            <w:noWrap w:val="0"/>
            <w:vAlign w:val="center"/>
          </w:tcPr>
          <w:p w14:paraId="0E2A5F7E">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8</w:t>
            </w:r>
          </w:p>
        </w:tc>
        <w:tc>
          <w:tcPr>
            <w:tcW w:w="1661" w:type="dxa"/>
            <w:noWrap w:val="0"/>
            <w:vAlign w:val="center"/>
          </w:tcPr>
          <w:p w14:paraId="53414171">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投标人</w:t>
            </w:r>
          </w:p>
          <w:p w14:paraId="16402AF8">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资格要求</w:t>
            </w:r>
          </w:p>
        </w:tc>
        <w:tc>
          <w:tcPr>
            <w:tcW w:w="7937" w:type="dxa"/>
            <w:gridSpan w:val="3"/>
            <w:noWrap w:val="0"/>
            <w:vAlign w:val="center"/>
          </w:tcPr>
          <w:p w14:paraId="5A2B5921">
            <w:pPr>
              <w:keepNext w:val="0"/>
              <w:keepLines w:val="0"/>
              <w:pageBreakBefore w:val="0"/>
              <w:widowControl w:val="0"/>
              <w:numPr>
                <w:ilvl w:val="0"/>
                <w:numId w:val="0"/>
              </w:numPr>
              <w:tabs>
                <w:tab w:val="left" w:pos="571"/>
              </w:tabs>
              <w:kinsoku/>
              <w:wordWrap/>
              <w:overflowPunct/>
              <w:topLinePunct w:val="0"/>
              <w:autoSpaceDE/>
              <w:autoSpaceDN/>
              <w:bidi w:val="0"/>
              <w:adjustRightInd/>
              <w:snapToGrid/>
              <w:spacing w:before="63" w:beforeLines="20" w:after="63" w:afterLines="20"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3"/>
                <w:sz w:val="24"/>
                <w:szCs w:val="24"/>
                <w:lang w:val="en-US" w:eastAsia="zh-CN" w:bidi="ar-SA"/>
              </w:rPr>
              <w:t>（1）</w:t>
            </w:r>
            <w:r>
              <w:rPr>
                <w:rFonts w:hint="eastAsia" w:ascii="宋体" w:hAnsi="宋体" w:eastAsia="宋体" w:cs="宋体"/>
                <w:color w:val="auto"/>
                <w:sz w:val="24"/>
                <w:szCs w:val="24"/>
                <w:highlight w:val="none"/>
              </w:rPr>
              <w:t>符合《中华人民共和国政府采购法》第二十二条之规定，在中华人民共和国境内注册，且符合、承认并承诺履行本招标文件各项规定，所提供的货物和服务须在我国境内合法生产或销售的</w:t>
            </w:r>
            <w:r>
              <w:rPr>
                <w:rFonts w:hint="eastAsia" w:ascii="宋体" w:hAnsi="宋体" w:eastAsia="宋体" w:cs="宋体"/>
                <w:color w:val="auto"/>
                <w:sz w:val="24"/>
                <w:szCs w:val="24"/>
                <w:highlight w:val="none"/>
                <w:lang w:eastAsia="zh-CN"/>
              </w:rPr>
              <w:t>：</w:t>
            </w:r>
          </w:p>
          <w:p w14:paraId="7BD309C0">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80" w:firstLineChars="200"/>
              <w:jc w:val="left"/>
              <w:textAlignment w:val="auto"/>
              <w:rPr>
                <w:rFonts w:hint="eastAsia" w:ascii="宋体" w:hAnsi="宋体" w:eastAsia="宋体" w:cs="宋体"/>
              </w:rPr>
            </w:pPr>
            <w:r>
              <w:rPr>
                <w:rFonts w:hint="eastAsia" w:ascii="宋体" w:hAnsi="宋体" w:eastAsia="宋体" w:cs="宋体"/>
                <w:lang w:val="en-US" w:eastAsia="zh-CN"/>
              </w:rPr>
              <w:t>①</w:t>
            </w:r>
            <w:r>
              <w:rPr>
                <w:rFonts w:hint="eastAsia" w:ascii="宋体" w:hAnsi="宋体" w:eastAsia="宋体" w:cs="宋体"/>
              </w:rPr>
              <w:t>具有独立承担民事责任的能力；</w:t>
            </w:r>
          </w:p>
          <w:p w14:paraId="4B2A7597">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80" w:firstLineChars="200"/>
              <w:jc w:val="left"/>
              <w:textAlignment w:val="auto"/>
              <w:rPr>
                <w:rFonts w:hint="eastAsia" w:ascii="宋体" w:hAnsi="宋体" w:eastAsia="宋体" w:cs="宋体"/>
              </w:rPr>
            </w:pPr>
            <w:r>
              <w:rPr>
                <w:rFonts w:hint="eastAsia" w:ascii="宋体" w:hAnsi="宋体" w:eastAsia="宋体" w:cs="宋体"/>
                <w:lang w:val="en-US" w:eastAsia="zh-CN"/>
              </w:rPr>
              <w:t>②</w:t>
            </w:r>
            <w:r>
              <w:rPr>
                <w:rFonts w:hint="eastAsia" w:ascii="宋体" w:hAnsi="宋体" w:eastAsia="宋体" w:cs="宋体"/>
              </w:rPr>
              <w:t>具有良好的商业信誉和健全的财务会计制度；</w:t>
            </w:r>
          </w:p>
          <w:p w14:paraId="141B02F1">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80" w:firstLineChars="200"/>
              <w:jc w:val="left"/>
              <w:textAlignment w:val="auto"/>
              <w:rPr>
                <w:rFonts w:hint="eastAsia" w:ascii="宋体" w:hAnsi="宋体" w:eastAsia="宋体" w:cs="宋体"/>
              </w:rPr>
            </w:pPr>
            <w:r>
              <w:rPr>
                <w:rFonts w:hint="eastAsia" w:ascii="宋体" w:hAnsi="宋体" w:eastAsia="宋体" w:cs="宋体"/>
                <w:lang w:val="en-US" w:eastAsia="zh-CN"/>
              </w:rPr>
              <w:t>③</w:t>
            </w:r>
            <w:r>
              <w:rPr>
                <w:rFonts w:hint="eastAsia" w:ascii="宋体" w:hAnsi="宋体" w:eastAsia="宋体" w:cs="宋体"/>
              </w:rPr>
              <w:t>具有履行合同所必需的场地、设备和专业技术能力；</w:t>
            </w:r>
          </w:p>
          <w:p w14:paraId="18525122">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80" w:firstLineChars="200"/>
              <w:jc w:val="left"/>
              <w:textAlignment w:val="auto"/>
              <w:rPr>
                <w:rFonts w:hint="eastAsia" w:ascii="宋体" w:hAnsi="宋体" w:eastAsia="宋体" w:cs="宋体"/>
              </w:rPr>
            </w:pPr>
            <w:r>
              <w:rPr>
                <w:rFonts w:hint="eastAsia" w:ascii="宋体" w:hAnsi="宋体" w:eastAsia="宋体" w:cs="宋体"/>
                <w:lang w:val="en-US" w:eastAsia="zh-CN"/>
              </w:rPr>
              <w:t>④</w:t>
            </w:r>
            <w:r>
              <w:rPr>
                <w:rFonts w:hint="eastAsia" w:ascii="宋体" w:hAnsi="宋体" w:eastAsia="宋体" w:cs="宋体"/>
              </w:rPr>
              <w:t>有依法缴纳税收和社会保障资金的良好记录；</w:t>
            </w:r>
          </w:p>
          <w:p w14:paraId="1776CB39">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80" w:firstLineChars="200"/>
              <w:jc w:val="left"/>
              <w:textAlignment w:val="auto"/>
              <w:rPr>
                <w:rFonts w:hint="eastAsia" w:ascii="宋体" w:hAnsi="宋体" w:eastAsia="宋体" w:cs="宋体"/>
              </w:rPr>
            </w:pPr>
            <w:r>
              <w:rPr>
                <w:rFonts w:hint="eastAsia" w:ascii="宋体" w:hAnsi="宋体" w:eastAsia="宋体" w:cs="宋体"/>
                <w:lang w:val="en-US" w:eastAsia="zh-CN"/>
              </w:rPr>
              <w:t>⑤</w:t>
            </w:r>
            <w:r>
              <w:rPr>
                <w:rFonts w:hint="eastAsia" w:ascii="宋体" w:hAnsi="宋体" w:eastAsia="宋体" w:cs="宋体"/>
              </w:rPr>
              <w:t>参加政府采购活动前三年内，在经营活动中没有重大违法记录；</w:t>
            </w:r>
          </w:p>
          <w:p w14:paraId="24AB8CCD">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firstLine="480" w:firstLineChars="200"/>
              <w:jc w:val="left"/>
              <w:textAlignment w:val="auto"/>
              <w:rPr>
                <w:rFonts w:hint="eastAsia"/>
              </w:rPr>
            </w:pPr>
            <w:r>
              <w:rPr>
                <w:rFonts w:hint="eastAsia" w:ascii="宋体" w:hAnsi="宋体" w:eastAsia="宋体" w:cs="宋体"/>
                <w:lang w:val="en-US" w:eastAsia="zh-CN"/>
              </w:rPr>
              <w:t>⑥</w:t>
            </w:r>
            <w:r>
              <w:rPr>
                <w:rFonts w:hint="eastAsia" w:ascii="宋体" w:hAnsi="宋体" w:eastAsia="宋体" w:cs="宋体"/>
              </w:rPr>
              <w:t>法律、行政法规规定的其他条件。</w:t>
            </w:r>
          </w:p>
          <w:p w14:paraId="3968EDDC">
            <w:pPr>
              <w:keepNext w:val="0"/>
              <w:keepLines w:val="0"/>
              <w:pageBreakBefore w:val="0"/>
              <w:widowControl w:val="0"/>
              <w:tabs>
                <w:tab w:val="left" w:pos="571"/>
              </w:tabs>
              <w:kinsoku/>
              <w:wordWrap/>
              <w:overflowPunct/>
              <w:topLinePunct w:val="0"/>
              <w:autoSpaceDE/>
              <w:autoSpaceDN/>
              <w:bidi w:val="0"/>
              <w:adjustRightInd/>
              <w:snapToGrid/>
              <w:spacing w:before="63" w:beforeLines="20" w:after="63" w:afterLines="20"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未被“信用中国”（www.creditchina.gov.cn）、中国政府采购网（www.ccgp.gov.cn）列入失信被执行人、重大税收违法案件当事人名单、政府采购严重违法失信行为记录名单；</w:t>
            </w:r>
          </w:p>
          <w:p w14:paraId="5C7C816A">
            <w:pPr>
              <w:keepNext w:val="0"/>
              <w:keepLines w:val="0"/>
              <w:pageBreakBefore w:val="0"/>
              <w:widowControl w:val="0"/>
              <w:tabs>
                <w:tab w:val="left" w:pos="571"/>
              </w:tabs>
              <w:kinsoku/>
              <w:wordWrap/>
              <w:overflowPunct/>
              <w:topLinePunct w:val="0"/>
              <w:autoSpaceDE/>
              <w:autoSpaceDN/>
              <w:bidi w:val="0"/>
              <w:adjustRightInd/>
              <w:snapToGrid/>
              <w:spacing w:before="63" w:beforeLines="20" w:after="63" w:afterLines="20" w:line="240" w:lineRule="auto"/>
              <w:ind w:left="600" w:hanging="600" w:hangingChars="25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特定资格条件：无；</w:t>
            </w:r>
          </w:p>
          <w:p w14:paraId="03E54D6C">
            <w:pPr>
              <w:keepNext w:val="0"/>
              <w:keepLines w:val="0"/>
              <w:pageBreakBefore w:val="0"/>
              <w:widowControl w:val="0"/>
              <w:tabs>
                <w:tab w:val="left" w:pos="571"/>
              </w:tabs>
              <w:kinsoku/>
              <w:wordWrap/>
              <w:overflowPunct/>
              <w:topLinePunct w:val="0"/>
              <w:autoSpaceDE/>
              <w:autoSpaceDN/>
              <w:bidi w:val="0"/>
              <w:adjustRightInd/>
              <w:snapToGrid/>
              <w:spacing w:before="63" w:beforeLines="20" w:after="63" w:afterLines="20"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1692F5A">
            <w:pPr>
              <w:keepNext w:val="0"/>
              <w:keepLines w:val="0"/>
              <w:pageBreakBefore w:val="0"/>
              <w:widowControl w:val="0"/>
              <w:tabs>
                <w:tab w:val="left" w:pos="571"/>
              </w:tabs>
              <w:kinsoku/>
              <w:wordWrap/>
              <w:overflowPunct/>
              <w:topLinePunct w:val="0"/>
              <w:autoSpaceDE/>
              <w:autoSpaceDN/>
              <w:bidi w:val="0"/>
              <w:adjustRightInd/>
              <w:snapToGrid/>
              <w:spacing w:before="63" w:beforeLines="20" w:after="63" w:afterLines="20" w:line="240" w:lineRule="auto"/>
              <w:ind w:left="600" w:hanging="600" w:hangingChars="250"/>
              <w:jc w:val="both"/>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本项目不允许联合体投标。</w:t>
            </w:r>
          </w:p>
        </w:tc>
      </w:tr>
      <w:tr w14:paraId="0D0DC0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2E5618B6">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w:t>
            </w:r>
          </w:p>
        </w:tc>
        <w:tc>
          <w:tcPr>
            <w:tcW w:w="1661" w:type="dxa"/>
            <w:shd w:val="clear" w:color="auto" w:fill="auto"/>
            <w:noWrap w:val="0"/>
            <w:vAlign w:val="center"/>
          </w:tcPr>
          <w:p w14:paraId="71AAB530">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lang w:eastAsia="zh-CN"/>
              </w:rPr>
              <w:t>质量要求</w:t>
            </w:r>
          </w:p>
        </w:tc>
        <w:tc>
          <w:tcPr>
            <w:tcW w:w="7937" w:type="dxa"/>
            <w:gridSpan w:val="3"/>
            <w:shd w:val="clear" w:color="auto" w:fill="auto"/>
            <w:noWrap w:val="0"/>
            <w:vAlign w:val="center"/>
          </w:tcPr>
          <w:p w14:paraId="36B34DF5">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lang w:eastAsia="zh-CN"/>
              </w:rPr>
              <w:t>合格并符合采购人要求。</w:t>
            </w:r>
          </w:p>
        </w:tc>
      </w:tr>
      <w:tr w14:paraId="0140F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205BF240">
            <w:pPr>
              <w:keepNext w:val="0"/>
              <w:keepLines w:val="0"/>
              <w:pageBreakBefore w:val="0"/>
              <w:widowControl w:val="0"/>
              <w:kinsoku/>
              <w:wordWrap/>
              <w:overflowPunct/>
              <w:topLinePunct w:val="0"/>
              <w:autoSpaceDE/>
              <w:bidi w:val="0"/>
              <w:adjustRightInd w:val="0"/>
              <w:snapToGrid/>
              <w:spacing w:beforeLines="0" w:line="340" w:lineRule="exact"/>
              <w:jc w:val="center"/>
              <w:textAlignment w:val="auto"/>
              <w:rPr>
                <w:rFonts w:hint="eastAsia" w:ascii="宋体" w:hAnsi="宋体" w:eastAsia="宋体" w:cs="宋体"/>
                <w:b/>
                <w:bCs/>
                <w:color w:val="auto"/>
                <w:sz w:val="22"/>
                <w:szCs w:val="22"/>
                <w:highlight w:val="none"/>
              </w:rPr>
            </w:pPr>
            <w:r>
              <w:rPr>
                <w:rFonts w:hint="eastAsia" w:ascii="宋体" w:hAnsi="宋体" w:eastAsia="宋体" w:cs="宋体"/>
                <w:b/>
                <w:color w:val="auto"/>
                <w:sz w:val="22"/>
                <w:szCs w:val="22"/>
                <w:highlight w:val="none"/>
              </w:rPr>
              <w:t>10</w:t>
            </w:r>
          </w:p>
        </w:tc>
        <w:tc>
          <w:tcPr>
            <w:tcW w:w="1661" w:type="dxa"/>
            <w:shd w:val="clear" w:color="auto" w:fill="auto"/>
            <w:noWrap w:val="0"/>
            <w:vAlign w:val="center"/>
          </w:tcPr>
          <w:p w14:paraId="1BCF8C79">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分包</w:t>
            </w:r>
          </w:p>
        </w:tc>
        <w:tc>
          <w:tcPr>
            <w:tcW w:w="7937" w:type="dxa"/>
            <w:gridSpan w:val="3"/>
            <w:shd w:val="clear" w:color="auto" w:fill="auto"/>
            <w:noWrap w:val="0"/>
            <w:vAlign w:val="center"/>
          </w:tcPr>
          <w:p w14:paraId="04BD0735">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rPr>
              <w:t>采购人不同意分包。</w:t>
            </w:r>
          </w:p>
        </w:tc>
      </w:tr>
      <w:tr w14:paraId="76D9AC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751D5B9D">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
                <w:bCs/>
                <w:color w:val="auto"/>
                <w:sz w:val="22"/>
                <w:szCs w:val="22"/>
                <w:highlight w:val="none"/>
              </w:rPr>
              <w:t>11</w:t>
            </w:r>
          </w:p>
        </w:tc>
        <w:tc>
          <w:tcPr>
            <w:tcW w:w="1661" w:type="dxa"/>
            <w:shd w:val="clear" w:color="auto" w:fill="auto"/>
            <w:noWrap w:val="0"/>
            <w:vAlign w:val="center"/>
          </w:tcPr>
          <w:p w14:paraId="16CBA3DE">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lang w:eastAsia="zh-CN"/>
              </w:rPr>
              <w:t>转包</w:t>
            </w:r>
          </w:p>
        </w:tc>
        <w:tc>
          <w:tcPr>
            <w:tcW w:w="7937" w:type="dxa"/>
            <w:gridSpan w:val="3"/>
            <w:shd w:val="clear" w:color="auto" w:fill="auto"/>
            <w:noWrap w:val="0"/>
            <w:vAlign w:val="center"/>
          </w:tcPr>
          <w:p w14:paraId="5C3CA19A">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rPr>
              <w:t>本项目不得以任何形式进行转包</w:t>
            </w:r>
            <w:r>
              <w:rPr>
                <w:rFonts w:hint="eastAsia" w:ascii="宋体" w:hAnsi="宋体" w:eastAsia="宋体" w:cs="宋体"/>
                <w:color w:val="auto"/>
                <w:sz w:val="24"/>
                <w:szCs w:val="24"/>
                <w:highlight w:val="none"/>
                <w:lang w:eastAsia="zh-CN"/>
              </w:rPr>
              <w:t>。</w:t>
            </w:r>
          </w:p>
        </w:tc>
      </w:tr>
      <w:tr w14:paraId="789D6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0DD32A7B">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12</w:t>
            </w:r>
          </w:p>
        </w:tc>
        <w:tc>
          <w:tcPr>
            <w:tcW w:w="1661" w:type="dxa"/>
            <w:shd w:val="clear" w:color="auto" w:fill="auto"/>
            <w:noWrap w:val="0"/>
            <w:vAlign w:val="center"/>
          </w:tcPr>
          <w:p w14:paraId="513A992E">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开标前答疑会</w:t>
            </w:r>
          </w:p>
          <w:p w14:paraId="706AA5E2">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color w:val="auto"/>
                <w:kern w:val="3"/>
                <w:sz w:val="22"/>
                <w:szCs w:val="22"/>
                <w:highlight w:val="none"/>
                <w:lang w:val="en-US" w:eastAsia="zh-CN" w:bidi="ar-SA"/>
              </w:rPr>
            </w:pPr>
            <w:r>
              <w:rPr>
                <w:rFonts w:hint="eastAsia" w:ascii="宋体" w:hAnsi="宋体" w:eastAsia="宋体" w:cs="宋体"/>
                <w:b/>
                <w:color w:val="auto"/>
                <w:sz w:val="22"/>
                <w:szCs w:val="22"/>
                <w:highlight w:val="none"/>
              </w:rPr>
              <w:t>或现场踏勘</w:t>
            </w:r>
          </w:p>
        </w:tc>
        <w:tc>
          <w:tcPr>
            <w:tcW w:w="7937" w:type="dxa"/>
            <w:gridSpan w:val="3"/>
            <w:shd w:val="clear" w:color="auto" w:fill="auto"/>
            <w:noWrap w:val="0"/>
            <w:vAlign w:val="center"/>
          </w:tcPr>
          <w:p w14:paraId="2A742C18">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（1）开标前答疑会：不组织。</w:t>
            </w:r>
          </w:p>
          <w:p w14:paraId="3C4583AB">
            <w:pPr>
              <w:keepNext w:val="0"/>
              <w:keepLines w:val="0"/>
              <w:pageBreakBefore w:val="0"/>
              <w:widowControl w:val="0"/>
              <w:kinsoku/>
              <w:wordWrap/>
              <w:overflowPunct/>
              <w:topLinePunct w:val="0"/>
              <w:autoSpaceDE/>
              <w:bidi w:val="0"/>
              <w:snapToGrid/>
              <w:spacing w:beforeLines="0" w:line="340" w:lineRule="exact"/>
              <w:ind w:left="600" w:hanging="600" w:hangingChars="2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（2）现场踏勘：不统一组织，请潜在投标人自行联系采购人进行现场踏勘。</w:t>
            </w:r>
          </w:p>
          <w:p w14:paraId="2558FC6E">
            <w:pPr>
              <w:keepNext w:val="0"/>
              <w:keepLines w:val="0"/>
              <w:pageBreakBefore w:val="0"/>
              <w:widowControl w:val="0"/>
              <w:kinsoku/>
              <w:wordWrap/>
              <w:overflowPunct/>
              <w:topLinePunct w:val="0"/>
              <w:autoSpaceDE/>
              <w:bidi w:val="0"/>
              <w:snapToGrid/>
              <w:spacing w:beforeLines="0" w:line="340" w:lineRule="exact"/>
              <w:ind w:left="600" w:hanging="600" w:hangingChars="25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采购人联系方式：</w:t>
            </w:r>
          </w:p>
          <w:p w14:paraId="3A51047C">
            <w:pPr>
              <w:keepNext w:val="0"/>
              <w:keepLines w:val="0"/>
              <w:pageBreakBefore w:val="0"/>
              <w:widowControl w:val="0"/>
              <w:kinsoku/>
              <w:wordWrap/>
              <w:overflowPunct/>
              <w:topLinePunct w:val="0"/>
              <w:autoSpaceDE/>
              <w:bidi w:val="0"/>
              <w:snapToGrid/>
              <w:spacing w:beforeLines="0" w:line="340" w:lineRule="exact"/>
              <w:ind w:left="600" w:leftChars="200" w:hanging="120" w:hangingChars="50"/>
              <w:jc w:val="left"/>
              <w:textAlignment w:val="auto"/>
              <w:rPr>
                <w:rFonts w:hint="eastAsia" w:ascii="宋体" w:hAnsi="宋体" w:eastAsia="宋体" w:cs="宋体"/>
                <w:b/>
                <w:bCs/>
                <w:color w:val="auto"/>
                <w:kern w:val="3"/>
                <w:sz w:val="24"/>
                <w:szCs w:val="24"/>
                <w:highlight w:val="none"/>
                <w:lang w:val="en-US" w:eastAsia="zh-CN" w:bidi="ar-SA"/>
              </w:rPr>
            </w:pPr>
            <w:r>
              <w:rPr>
                <w:rFonts w:hint="eastAsia" w:ascii="宋体" w:hAnsi="宋体" w:eastAsia="宋体" w:cs="宋体"/>
                <w:bCs/>
                <w:color w:val="auto"/>
                <w:sz w:val="24"/>
                <w:szCs w:val="24"/>
                <w:highlight w:val="none"/>
              </w:rPr>
              <w:t>联系人：，联系电话：</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 xml:space="preserve"> </w:t>
            </w:r>
          </w:p>
        </w:tc>
      </w:tr>
      <w:tr w14:paraId="7C5B07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13319300">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13</w:t>
            </w:r>
          </w:p>
        </w:tc>
        <w:tc>
          <w:tcPr>
            <w:tcW w:w="1661" w:type="dxa"/>
            <w:shd w:val="clear" w:color="auto" w:fill="auto"/>
            <w:noWrap w:val="0"/>
            <w:vAlign w:val="center"/>
          </w:tcPr>
          <w:p w14:paraId="318B0F6E">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color w:val="auto"/>
                <w:sz w:val="24"/>
                <w:szCs w:val="24"/>
              </w:rPr>
              <w:t>答疑与澄清</w:t>
            </w:r>
          </w:p>
        </w:tc>
        <w:tc>
          <w:tcPr>
            <w:tcW w:w="7937" w:type="dxa"/>
            <w:gridSpan w:val="3"/>
            <w:shd w:val="clear" w:color="auto" w:fill="auto"/>
            <w:noWrap w:val="0"/>
            <w:vAlign w:val="center"/>
          </w:tcPr>
          <w:p w14:paraId="5C9EB7D8">
            <w:pPr>
              <w:keepNext w:val="0"/>
              <w:keepLines w:val="0"/>
              <w:pageBreakBefore w:val="0"/>
              <w:widowControl w:val="0"/>
              <w:kinsoku/>
              <w:wordWrap/>
              <w:overflowPunct/>
              <w:topLinePunct w:val="0"/>
              <w:autoSpaceDE/>
              <w:autoSpaceDN/>
              <w:bidi w:val="0"/>
              <w:adjustRightInd/>
              <w:snapToGrid w:val="0"/>
              <w:spacing w:beforeLines="0" w:line="340" w:lineRule="exact"/>
              <w:jc w:val="both"/>
              <w:textAlignment w:val="auto"/>
              <w:rPr>
                <w:rFonts w:hint="eastAsia" w:ascii="宋体" w:hAnsi="宋体" w:eastAsia="宋体" w:cs="宋体"/>
                <w:bCs/>
                <w:color w:val="auto"/>
                <w:kern w:val="3"/>
                <w:sz w:val="24"/>
                <w:szCs w:val="24"/>
                <w:highlight w:val="none"/>
                <w:lang w:val="en-US" w:eastAsia="zh-CN" w:bidi="ar-SA"/>
              </w:rPr>
            </w:pPr>
            <w:r>
              <w:rPr>
                <w:rFonts w:hint="eastAsia" w:ascii="宋体" w:hAnsi="宋体" w:eastAsia="宋体" w:cs="宋体"/>
                <w:color w:val="auto"/>
                <w:sz w:val="24"/>
                <w:szCs w:val="24"/>
              </w:rPr>
              <w:t>投标人如认为招标文件表述不清晰、存在歧视性或者其他违法内容的，应当于</w:t>
            </w:r>
            <w:r>
              <w:rPr>
                <w:rFonts w:hint="eastAsia" w:ascii="宋体" w:hAnsi="宋体" w:eastAsia="宋体" w:cs="宋体"/>
                <w:color w:val="0000FF"/>
                <w:sz w:val="24"/>
                <w:szCs w:val="24"/>
              </w:rPr>
              <w:t>202</w:t>
            </w:r>
            <w:r>
              <w:rPr>
                <w:rFonts w:hint="eastAsia" w:ascii="宋体" w:hAnsi="宋体" w:eastAsia="宋体" w:cs="宋体"/>
                <w:color w:val="0000FF"/>
                <w:sz w:val="24"/>
                <w:szCs w:val="24"/>
                <w:lang w:val="en-US" w:eastAsia="zh-CN"/>
              </w:rPr>
              <w:t>4</w:t>
            </w:r>
            <w:r>
              <w:rPr>
                <w:rFonts w:hint="eastAsia" w:ascii="宋体" w:hAnsi="宋体" w:eastAsia="宋体" w:cs="宋体"/>
                <w:color w:val="0000FF"/>
                <w:sz w:val="24"/>
                <w:szCs w:val="24"/>
              </w:rPr>
              <w:t>年</w:t>
            </w:r>
            <w:r>
              <w:rPr>
                <w:rFonts w:hint="eastAsia" w:ascii="宋体" w:hAnsi="宋体" w:eastAsia="宋体" w:cs="宋体"/>
                <w:color w:val="0000FF"/>
                <w:sz w:val="24"/>
                <w:szCs w:val="24"/>
                <w:lang w:val="en-US" w:eastAsia="zh-CN"/>
              </w:rPr>
              <w:t>09</w:t>
            </w:r>
            <w:r>
              <w:rPr>
                <w:rFonts w:hint="eastAsia" w:ascii="宋体" w:hAnsi="宋体" w:eastAsia="宋体" w:cs="宋体"/>
                <w:color w:val="0000FF"/>
                <w:sz w:val="24"/>
                <w:szCs w:val="24"/>
              </w:rPr>
              <w:t>月</w:t>
            </w:r>
            <w:r>
              <w:rPr>
                <w:rFonts w:hint="eastAsia" w:ascii="宋体" w:hAnsi="宋体" w:eastAsia="宋体" w:cs="宋体"/>
                <w:color w:val="0000FF"/>
                <w:sz w:val="24"/>
                <w:szCs w:val="24"/>
                <w:lang w:val="en-US" w:eastAsia="zh-CN"/>
              </w:rPr>
              <w:t>13</w:t>
            </w:r>
            <w:r>
              <w:rPr>
                <w:rFonts w:hint="eastAsia" w:ascii="宋体" w:hAnsi="宋体" w:eastAsia="宋体" w:cs="宋体"/>
                <w:color w:val="0000FF"/>
                <w:sz w:val="24"/>
                <w:szCs w:val="24"/>
              </w:rPr>
              <w:t>日1</w:t>
            </w:r>
            <w:r>
              <w:rPr>
                <w:rFonts w:hint="eastAsia" w:ascii="宋体" w:hAnsi="宋体" w:eastAsia="宋体" w:cs="宋体"/>
                <w:color w:val="0000FF"/>
                <w:sz w:val="24"/>
                <w:szCs w:val="24"/>
                <w:lang w:val="en-US" w:eastAsia="zh-CN"/>
              </w:rPr>
              <w:t>6</w:t>
            </w:r>
            <w:r>
              <w:rPr>
                <w:rFonts w:hint="eastAsia" w:ascii="宋体" w:hAnsi="宋体" w:eastAsia="宋体" w:cs="宋体"/>
                <w:color w:val="0000FF"/>
                <w:sz w:val="24"/>
                <w:szCs w:val="24"/>
              </w:rPr>
              <w:t>时</w:t>
            </w:r>
            <w:r>
              <w:rPr>
                <w:rFonts w:hint="eastAsia" w:ascii="宋体" w:hAnsi="宋体" w:eastAsia="宋体" w:cs="宋体"/>
                <w:color w:val="auto"/>
                <w:sz w:val="24"/>
                <w:szCs w:val="24"/>
              </w:rPr>
              <w:t>前，以书面形式向招标</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代理机构提出。电话：0571—631553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8，电子邮箱：</w:t>
            </w:r>
            <w:r>
              <w:rPr>
                <w:rFonts w:hint="eastAsia" w:ascii="宋体" w:hAnsi="宋体" w:eastAsia="宋体" w:cs="宋体"/>
                <w:color w:val="auto"/>
                <w:sz w:val="24"/>
                <w:szCs w:val="24"/>
                <w:lang w:val="en-US" w:eastAsia="zh-CN"/>
              </w:rPr>
              <w:t>330440593</w:t>
            </w:r>
            <w:r>
              <w:rPr>
                <w:rFonts w:hint="eastAsia" w:ascii="宋体" w:hAnsi="宋体" w:eastAsia="宋体" w:cs="宋体"/>
                <w:color w:val="auto"/>
                <w:sz w:val="24"/>
                <w:szCs w:val="24"/>
              </w:rPr>
              <w:t xml:space="preserve">@qq.com </w:t>
            </w:r>
          </w:p>
        </w:tc>
      </w:tr>
      <w:tr w14:paraId="1A0A5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700" w:type="dxa"/>
            <w:noWrap w:val="0"/>
            <w:vAlign w:val="center"/>
          </w:tcPr>
          <w:p w14:paraId="63A8E4C3">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14</w:t>
            </w:r>
          </w:p>
        </w:tc>
        <w:tc>
          <w:tcPr>
            <w:tcW w:w="1661" w:type="dxa"/>
            <w:shd w:val="clear" w:color="auto" w:fill="auto"/>
            <w:noWrap w:val="0"/>
            <w:vAlign w:val="center"/>
          </w:tcPr>
          <w:p w14:paraId="249B426E">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color w:val="auto"/>
                <w:kern w:val="3"/>
                <w:sz w:val="22"/>
                <w:szCs w:val="22"/>
                <w:highlight w:val="none"/>
                <w:lang w:val="en-US" w:eastAsia="zh-CN" w:bidi="ar-SA"/>
              </w:rPr>
            </w:pPr>
            <w:r>
              <w:rPr>
                <w:rFonts w:hint="eastAsia" w:ascii="宋体" w:hAnsi="宋体" w:eastAsia="宋体" w:cs="宋体"/>
                <w:b/>
                <w:color w:val="auto"/>
                <w:sz w:val="22"/>
                <w:szCs w:val="22"/>
                <w:highlight w:val="none"/>
              </w:rPr>
              <w:t>评标方法及标准</w:t>
            </w:r>
          </w:p>
        </w:tc>
        <w:tc>
          <w:tcPr>
            <w:tcW w:w="7937" w:type="dxa"/>
            <w:gridSpan w:val="3"/>
            <w:shd w:val="clear" w:color="auto" w:fill="auto"/>
            <w:noWrap w:val="0"/>
            <w:vAlign w:val="center"/>
          </w:tcPr>
          <w:p w14:paraId="4839267E">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bCs/>
                <w:color w:val="auto"/>
                <w:kern w:val="3"/>
                <w:sz w:val="24"/>
                <w:szCs w:val="24"/>
                <w:highlight w:val="none"/>
                <w:lang w:val="en-US" w:eastAsia="zh-CN" w:bidi="ar-SA"/>
              </w:rPr>
            </w:pPr>
            <w:r>
              <w:rPr>
                <w:rFonts w:hint="eastAsia" w:ascii="宋体" w:hAnsi="宋体" w:eastAsia="宋体" w:cs="宋体"/>
                <w:bCs/>
                <w:color w:val="auto"/>
                <w:sz w:val="24"/>
                <w:szCs w:val="24"/>
                <w:highlight w:val="none"/>
              </w:rPr>
              <w:t>综合评分法</w:t>
            </w:r>
            <w:r>
              <w:rPr>
                <w:rFonts w:hint="eastAsia" w:ascii="宋体" w:hAnsi="宋体" w:eastAsia="宋体" w:cs="宋体"/>
                <w:bCs/>
                <w:color w:val="auto"/>
                <w:sz w:val="24"/>
                <w:szCs w:val="24"/>
                <w:highlight w:val="none"/>
                <w:lang w:eastAsia="zh-CN"/>
              </w:rPr>
              <w:t>，</w:t>
            </w:r>
            <w:r>
              <w:rPr>
                <w:rFonts w:hint="eastAsia" w:ascii="宋体" w:hAnsi="宋体" w:eastAsia="宋体" w:cs="宋体"/>
                <w:sz w:val="24"/>
                <w:szCs w:val="24"/>
              </w:rPr>
              <w:t>按照</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sz w:val="24"/>
                <w:szCs w:val="24"/>
              </w:rPr>
              <w:t>第三章评标办法及标准。</w:t>
            </w:r>
          </w:p>
        </w:tc>
      </w:tr>
      <w:tr w14:paraId="350B34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18E66F8A">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15</w:t>
            </w:r>
          </w:p>
        </w:tc>
        <w:tc>
          <w:tcPr>
            <w:tcW w:w="1661" w:type="dxa"/>
            <w:shd w:val="clear" w:color="auto" w:fill="auto"/>
            <w:noWrap w:val="0"/>
            <w:vAlign w:val="center"/>
          </w:tcPr>
          <w:p w14:paraId="16FF827F">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color w:val="auto"/>
                <w:kern w:val="3"/>
                <w:sz w:val="22"/>
                <w:szCs w:val="22"/>
                <w:highlight w:val="none"/>
                <w:lang w:val="en-US" w:eastAsia="zh-CN" w:bidi="ar-SA"/>
              </w:rPr>
            </w:pPr>
            <w:r>
              <w:rPr>
                <w:rFonts w:hint="eastAsia" w:ascii="宋体" w:hAnsi="宋体" w:eastAsia="宋体" w:cs="宋体"/>
                <w:b/>
                <w:color w:val="auto"/>
                <w:sz w:val="22"/>
                <w:szCs w:val="22"/>
                <w:highlight w:val="none"/>
              </w:rPr>
              <w:t>样品提供</w:t>
            </w:r>
          </w:p>
        </w:tc>
        <w:tc>
          <w:tcPr>
            <w:tcW w:w="7937" w:type="dxa"/>
            <w:gridSpan w:val="3"/>
            <w:shd w:val="clear" w:color="auto" w:fill="auto"/>
            <w:noWrap w:val="0"/>
            <w:vAlign w:val="center"/>
          </w:tcPr>
          <w:p w14:paraId="16495B92">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rPr>
              <w:t>不要求提供样品。</w:t>
            </w:r>
          </w:p>
        </w:tc>
      </w:tr>
      <w:tr w14:paraId="62468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8" w:hRule="atLeast"/>
          <w:jc w:val="center"/>
        </w:trPr>
        <w:tc>
          <w:tcPr>
            <w:tcW w:w="700" w:type="dxa"/>
            <w:noWrap w:val="0"/>
            <w:vAlign w:val="center"/>
          </w:tcPr>
          <w:p w14:paraId="4E6708C1">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16</w:t>
            </w:r>
          </w:p>
        </w:tc>
        <w:tc>
          <w:tcPr>
            <w:tcW w:w="1661" w:type="dxa"/>
            <w:shd w:val="clear" w:color="auto" w:fill="auto"/>
            <w:noWrap w:val="0"/>
            <w:vAlign w:val="center"/>
          </w:tcPr>
          <w:p w14:paraId="71E00084">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现场演示</w:t>
            </w:r>
          </w:p>
        </w:tc>
        <w:tc>
          <w:tcPr>
            <w:tcW w:w="7937" w:type="dxa"/>
            <w:gridSpan w:val="3"/>
            <w:shd w:val="clear" w:color="auto" w:fill="auto"/>
            <w:noWrap w:val="0"/>
            <w:vAlign w:val="center"/>
          </w:tcPr>
          <w:p w14:paraId="5E974822">
            <w:pPr>
              <w:pStyle w:val="4"/>
              <w:keepNext w:val="0"/>
              <w:keepLines w:val="0"/>
              <w:pageBreakBefore w:val="0"/>
              <w:widowControl w:val="0"/>
              <w:kinsoku/>
              <w:wordWrap/>
              <w:overflowPunct/>
              <w:topLinePunct w:val="0"/>
              <w:autoSpaceDE/>
              <w:bidi w:val="0"/>
              <w:snapToGrid/>
              <w:spacing w:beforeLines="0" w:line="340" w:lineRule="exact"/>
              <w:ind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不要求演示</w:t>
            </w:r>
          </w:p>
        </w:tc>
      </w:tr>
      <w:tr w14:paraId="439B93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79" w:hRule="atLeast"/>
          <w:jc w:val="center"/>
        </w:trPr>
        <w:tc>
          <w:tcPr>
            <w:tcW w:w="700" w:type="dxa"/>
            <w:noWrap w:val="0"/>
            <w:vAlign w:val="center"/>
          </w:tcPr>
          <w:p w14:paraId="44D8A08A">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bCs/>
                <w:color w:val="auto"/>
                <w:sz w:val="22"/>
                <w:szCs w:val="22"/>
                <w:highlight w:val="none"/>
              </w:rPr>
              <w:t>17</w:t>
            </w:r>
          </w:p>
        </w:tc>
        <w:tc>
          <w:tcPr>
            <w:tcW w:w="1661" w:type="dxa"/>
            <w:shd w:val="clear" w:color="auto" w:fill="auto"/>
            <w:noWrap w:val="0"/>
            <w:vAlign w:val="center"/>
          </w:tcPr>
          <w:p w14:paraId="50840A8B">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项目属性</w:t>
            </w:r>
          </w:p>
        </w:tc>
        <w:tc>
          <w:tcPr>
            <w:tcW w:w="7937" w:type="dxa"/>
            <w:gridSpan w:val="3"/>
            <w:shd w:val="clear" w:color="auto" w:fill="auto"/>
            <w:noWrap w:val="0"/>
            <w:vAlign w:val="center"/>
          </w:tcPr>
          <w:p w14:paraId="5DE8E5C9">
            <w:pPr>
              <w:pStyle w:val="4"/>
              <w:keepNext w:val="0"/>
              <w:keepLines w:val="0"/>
              <w:pageBreakBefore w:val="0"/>
              <w:widowControl w:val="0"/>
              <w:shd w:val="solid" w:color="FFFFFF" w:fill="auto"/>
              <w:kinsoku/>
              <w:wordWrap/>
              <w:overflowPunct/>
              <w:topLinePunct w:val="0"/>
              <w:autoSpaceDE/>
              <w:autoSpaceDN w:val="0"/>
              <w:bidi w:val="0"/>
              <w:snapToGrid/>
              <w:spacing w:beforeLines="0" w:line="340" w:lineRule="exact"/>
              <w:ind w:firstLine="0" w:firstLineChars="0"/>
              <w:jc w:val="left"/>
              <w:textAlignment w:val="auto"/>
              <w:rPr>
                <w:rFonts w:hint="default" w:ascii="宋体" w:hAnsi="宋体" w:eastAsia="宋体" w:cs="宋体"/>
                <w:color w:val="auto"/>
                <w:kern w:val="3"/>
                <w:sz w:val="24"/>
                <w:szCs w:val="24"/>
                <w:highlight w:val="none"/>
                <w:lang w:val="en-US" w:eastAsia="zh-CN" w:bidi="ar-SA"/>
              </w:rPr>
            </w:pPr>
            <w:r>
              <w:rPr>
                <w:rFonts w:hint="eastAsia" w:ascii="宋体" w:hAnsi="宋体" w:eastAsia="宋体" w:cs="宋体"/>
                <w:color w:val="auto"/>
                <w:kern w:val="2"/>
                <w:sz w:val="24"/>
                <w:szCs w:val="24"/>
                <w:highlight w:val="none"/>
              </w:rPr>
              <w:t>服务类</w:t>
            </w:r>
          </w:p>
        </w:tc>
      </w:tr>
      <w:tr w14:paraId="079308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11AF01F2">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18</w:t>
            </w:r>
          </w:p>
        </w:tc>
        <w:tc>
          <w:tcPr>
            <w:tcW w:w="1661" w:type="dxa"/>
            <w:shd w:val="clear" w:color="auto" w:fill="auto"/>
            <w:noWrap w:val="0"/>
            <w:vAlign w:val="center"/>
          </w:tcPr>
          <w:p w14:paraId="4095AF12">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进口产品规定</w:t>
            </w:r>
          </w:p>
        </w:tc>
        <w:tc>
          <w:tcPr>
            <w:tcW w:w="7937" w:type="dxa"/>
            <w:gridSpan w:val="3"/>
            <w:shd w:val="clear" w:color="auto" w:fill="auto"/>
            <w:noWrap w:val="0"/>
            <w:vAlign w:val="center"/>
          </w:tcPr>
          <w:p w14:paraId="49508E17">
            <w:pPr>
              <w:pStyle w:val="31"/>
              <w:keepNext w:val="0"/>
              <w:keepLines w:val="0"/>
              <w:pageBreakBefore w:val="0"/>
              <w:widowControl w:val="0"/>
              <w:kinsoku/>
              <w:wordWrap/>
              <w:overflowPunct/>
              <w:topLinePunct w:val="0"/>
              <w:autoSpaceDE/>
              <w:bidi w:val="0"/>
              <w:snapToGrid/>
              <w:spacing w:beforeLines="0" w:line="340" w:lineRule="exact"/>
              <w:ind w:left="0" w:leftChars="0" w:firstLine="0" w:firstLineChars="0"/>
              <w:jc w:val="left"/>
              <w:textAlignment w:val="auto"/>
              <w:rPr>
                <w:rFonts w:hint="eastAsia" w:ascii="宋体" w:hAnsi="宋体" w:eastAsia="宋体" w:cs="宋体"/>
                <w:color w:val="auto"/>
                <w:kern w:val="0"/>
                <w:sz w:val="24"/>
                <w:szCs w:val="20"/>
                <w:highlight w:val="none"/>
                <w:lang w:val="en-US" w:eastAsia="zh-CN" w:bidi="ar-SA"/>
              </w:rPr>
            </w:pPr>
            <w:r>
              <w:rPr>
                <w:rFonts w:hint="eastAsia" w:ascii="宋体" w:hAnsi="宋体" w:eastAsia="宋体" w:cs="宋体"/>
                <w:bCs/>
                <w:color w:val="auto"/>
                <w:sz w:val="24"/>
                <w:highlight w:val="none"/>
              </w:rPr>
              <w:t>本项目采购本国生产的货物、工程和服务，不允许采购进口产品。</w:t>
            </w:r>
          </w:p>
        </w:tc>
      </w:tr>
      <w:tr w14:paraId="2B896D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34" w:hRule="atLeast"/>
          <w:jc w:val="center"/>
        </w:trPr>
        <w:tc>
          <w:tcPr>
            <w:tcW w:w="700" w:type="dxa"/>
            <w:noWrap w:val="0"/>
            <w:vAlign w:val="center"/>
          </w:tcPr>
          <w:p w14:paraId="62F068B8">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rPr>
              <w:t>19</w:t>
            </w:r>
          </w:p>
        </w:tc>
        <w:tc>
          <w:tcPr>
            <w:tcW w:w="1661" w:type="dxa"/>
            <w:shd w:val="clear" w:color="auto" w:fill="auto"/>
            <w:noWrap w:val="0"/>
            <w:vAlign w:val="center"/>
          </w:tcPr>
          <w:p w14:paraId="7F31F1B9">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评标结果公示、公告</w:t>
            </w:r>
          </w:p>
        </w:tc>
        <w:tc>
          <w:tcPr>
            <w:tcW w:w="7937" w:type="dxa"/>
            <w:gridSpan w:val="3"/>
            <w:shd w:val="clear" w:color="auto" w:fill="auto"/>
            <w:noWrap w:val="0"/>
            <w:vAlign w:val="center"/>
          </w:tcPr>
          <w:p w14:paraId="554A6E71">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rPr>
              <w:t>评标结束后7个工作日内，评标结果公示于</w:t>
            </w:r>
            <w:r>
              <w:rPr>
                <w:rFonts w:hint="eastAsia" w:ascii="宋体" w:hAnsi="宋体" w:eastAsia="宋体" w:cs="宋体"/>
                <w:color w:val="auto"/>
              </w:rPr>
              <w:t>乐采云平台（www.lecaiyun.com）</w:t>
            </w:r>
            <w:r>
              <w:rPr>
                <w:rFonts w:hint="eastAsia" w:ascii="宋体" w:hAnsi="宋体" w:eastAsia="宋体" w:cs="宋体"/>
                <w:color w:val="auto"/>
                <w:sz w:val="24"/>
                <w:szCs w:val="24"/>
                <w:highlight w:val="none"/>
              </w:rPr>
              <w:t>。</w:t>
            </w:r>
          </w:p>
        </w:tc>
      </w:tr>
      <w:tr w14:paraId="71BBC7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700" w:type="dxa"/>
            <w:noWrap w:val="0"/>
            <w:vAlign w:val="center"/>
          </w:tcPr>
          <w:p w14:paraId="0E4BA040">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20</w:t>
            </w:r>
          </w:p>
        </w:tc>
        <w:tc>
          <w:tcPr>
            <w:tcW w:w="1661" w:type="dxa"/>
            <w:shd w:val="clear" w:color="auto" w:fill="auto"/>
            <w:noWrap w:val="0"/>
            <w:vAlign w:val="center"/>
          </w:tcPr>
          <w:p w14:paraId="0D8555BB">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合同签订时间</w:t>
            </w:r>
          </w:p>
        </w:tc>
        <w:tc>
          <w:tcPr>
            <w:tcW w:w="7937" w:type="dxa"/>
            <w:gridSpan w:val="3"/>
            <w:shd w:val="clear" w:color="auto" w:fill="auto"/>
            <w:noWrap w:val="0"/>
            <w:vAlign w:val="center"/>
          </w:tcPr>
          <w:p w14:paraId="026BEC01">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rPr>
              <w:t>中标通知书发出后30日内。</w:t>
            </w:r>
          </w:p>
        </w:tc>
      </w:tr>
      <w:tr w14:paraId="053059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700" w:type="dxa"/>
            <w:noWrap w:val="0"/>
            <w:vAlign w:val="center"/>
          </w:tcPr>
          <w:p w14:paraId="1D7F93DB">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21</w:t>
            </w:r>
          </w:p>
        </w:tc>
        <w:tc>
          <w:tcPr>
            <w:tcW w:w="1661" w:type="dxa"/>
            <w:shd w:val="clear" w:color="auto" w:fill="auto"/>
            <w:noWrap w:val="0"/>
            <w:vAlign w:val="center"/>
          </w:tcPr>
          <w:p w14:paraId="153F0D39">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投标保证金</w:t>
            </w:r>
          </w:p>
        </w:tc>
        <w:tc>
          <w:tcPr>
            <w:tcW w:w="7937" w:type="dxa"/>
            <w:gridSpan w:val="3"/>
            <w:shd w:val="clear" w:color="auto" w:fill="auto"/>
            <w:noWrap w:val="0"/>
            <w:vAlign w:val="center"/>
          </w:tcPr>
          <w:p w14:paraId="1C6ED297">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b/>
                <w:bCs/>
                <w:color w:val="auto"/>
                <w:kern w:val="3"/>
                <w:sz w:val="24"/>
                <w:szCs w:val="24"/>
                <w:highlight w:val="none"/>
                <w:lang w:val="en-US" w:eastAsia="zh-CN" w:bidi="ar-SA"/>
              </w:rPr>
            </w:pPr>
            <w:r>
              <w:rPr>
                <w:rFonts w:hint="eastAsia" w:ascii="宋体" w:hAnsi="宋体" w:eastAsia="宋体" w:cs="宋体"/>
                <w:color w:val="auto"/>
                <w:sz w:val="24"/>
                <w:szCs w:val="24"/>
                <w:highlight w:val="none"/>
              </w:rPr>
              <w:t>本项目不需要交纳投标保证金，投标行为与企业信用挂钩。</w:t>
            </w:r>
          </w:p>
        </w:tc>
      </w:tr>
      <w:tr w14:paraId="0F02CF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0313A605">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22</w:t>
            </w:r>
          </w:p>
        </w:tc>
        <w:tc>
          <w:tcPr>
            <w:tcW w:w="1661" w:type="dxa"/>
            <w:shd w:val="clear" w:color="auto" w:fill="auto"/>
            <w:noWrap w:val="0"/>
            <w:vAlign w:val="center"/>
          </w:tcPr>
          <w:p w14:paraId="05140DF9">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lang w:val="en-US" w:eastAsia="zh-CN"/>
              </w:rPr>
              <w:t>履约保证金</w:t>
            </w:r>
          </w:p>
        </w:tc>
        <w:tc>
          <w:tcPr>
            <w:tcW w:w="7937" w:type="dxa"/>
            <w:gridSpan w:val="3"/>
            <w:shd w:val="clear" w:color="auto" w:fill="auto"/>
            <w:noWrap w:val="0"/>
            <w:vAlign w:val="center"/>
          </w:tcPr>
          <w:p w14:paraId="698EC9F9">
            <w:pPr>
              <w:pStyle w:val="13"/>
              <w:pageBreakBefore w:val="0"/>
              <w:kinsoku/>
              <w:wordWrap/>
              <w:overflowPunct/>
              <w:topLinePunct w:val="0"/>
              <w:autoSpaceDE/>
              <w:autoSpaceDN/>
              <w:bidi w:val="0"/>
              <w:adjustRightInd/>
              <w:snapToGrid w:val="0"/>
              <w:spacing w:before="0" w:beforeLines="0" w:afterLines="0" w:line="440" w:lineRule="exact"/>
              <w:textAlignment w:val="auto"/>
              <w:rPr>
                <w:rFonts w:hint="eastAsia" w:ascii="宋体" w:hAnsi="宋体" w:eastAsia="宋体" w:cs="宋体"/>
                <w:color w:val="auto"/>
                <w:kern w:val="3"/>
                <w:sz w:val="24"/>
                <w:szCs w:val="24"/>
                <w:highlight w:val="none"/>
                <w:lang w:val="en-US" w:eastAsia="zh-CN" w:bidi="ar-SA"/>
              </w:rPr>
            </w:pPr>
            <w:r>
              <w:rPr>
                <w:rFonts w:hint="eastAsia" w:hAnsi="宋体" w:eastAsia="宋体" w:cs="宋体"/>
                <w:color w:val="auto"/>
                <w:sz w:val="24"/>
                <w:szCs w:val="24"/>
                <w:highlight w:val="none"/>
                <w:lang w:val="en-US" w:eastAsia="zh-CN"/>
              </w:rPr>
              <w:t>本项目不需要缴纳履约保证金。</w:t>
            </w:r>
          </w:p>
        </w:tc>
      </w:tr>
      <w:tr w14:paraId="239BDB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37B769D8">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en-US" w:eastAsia="zh-CN"/>
              </w:rPr>
              <w:t>3</w:t>
            </w:r>
          </w:p>
        </w:tc>
        <w:tc>
          <w:tcPr>
            <w:tcW w:w="1661" w:type="dxa"/>
            <w:shd w:val="clear" w:color="auto" w:fill="auto"/>
            <w:noWrap w:val="0"/>
            <w:vAlign w:val="center"/>
          </w:tcPr>
          <w:p w14:paraId="0FB0673E">
            <w:pPr>
              <w:keepNext w:val="0"/>
              <w:keepLines w:val="0"/>
              <w:pageBreakBefore w:val="0"/>
              <w:widowControl w:val="0"/>
              <w:kinsoku/>
              <w:wordWrap/>
              <w:overflowPunct/>
              <w:topLinePunct w:val="0"/>
              <w:autoSpaceDE/>
              <w:autoSpaceDN/>
              <w:bidi w:val="0"/>
              <w:adjustRightInd/>
              <w:snapToGrid/>
              <w:spacing w:beforeLines="0" w:line="32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投标有效期</w:t>
            </w:r>
          </w:p>
        </w:tc>
        <w:tc>
          <w:tcPr>
            <w:tcW w:w="7937" w:type="dxa"/>
            <w:gridSpan w:val="3"/>
            <w:shd w:val="clear" w:color="auto" w:fill="auto"/>
            <w:noWrap w:val="0"/>
            <w:vAlign w:val="center"/>
          </w:tcPr>
          <w:p w14:paraId="4B111015">
            <w:pPr>
              <w:keepNext w:val="0"/>
              <w:keepLines w:val="0"/>
              <w:pageBreakBefore w:val="0"/>
              <w:widowControl w:val="0"/>
              <w:kinsoku/>
              <w:wordWrap/>
              <w:overflowPunct/>
              <w:topLinePunct w:val="0"/>
              <w:autoSpaceDE/>
              <w:autoSpaceDN/>
              <w:bidi w:val="0"/>
              <w:adjustRightInd/>
              <w:snapToGrid/>
              <w:spacing w:beforeLines="0" w:line="32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90天。</w:t>
            </w:r>
          </w:p>
          <w:p w14:paraId="1A2EDC7E">
            <w:pPr>
              <w:keepNext w:val="0"/>
              <w:keepLines w:val="0"/>
              <w:pageBreakBefore w:val="0"/>
              <w:widowControl w:val="0"/>
              <w:kinsoku/>
              <w:wordWrap/>
              <w:overflowPunct/>
              <w:topLinePunct w:val="0"/>
              <w:autoSpaceDE/>
              <w:autoSpaceDN/>
              <w:bidi w:val="0"/>
              <w:adjustRightInd/>
              <w:snapToGrid/>
              <w:spacing w:beforeLines="0" w:line="32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▲投标人的投标文件中承诺的投标有效期少于招标文件中载明的投标有效期的，投标无效。</w:t>
            </w:r>
          </w:p>
          <w:p w14:paraId="4F18A2FC">
            <w:pPr>
              <w:keepNext w:val="0"/>
              <w:keepLines w:val="0"/>
              <w:pageBreakBefore w:val="0"/>
              <w:widowControl w:val="0"/>
              <w:kinsoku/>
              <w:wordWrap/>
              <w:overflowPunct/>
              <w:topLinePunct w:val="0"/>
              <w:autoSpaceDE/>
              <w:autoSpaceDN/>
              <w:bidi w:val="0"/>
              <w:adjustRightInd/>
              <w:snapToGrid/>
              <w:spacing w:beforeLines="0" w:line="32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非政府采购）投标活动不得向供应商收取投标保证金。供应商在国资采购活动中违反国资（政府）采购相关规定给采购组织机构造成损失的，采购组织机构可按照招标文件约定要求供应商承担赔偿责任。</w:t>
            </w:r>
          </w:p>
          <w:p w14:paraId="6EEF17EB">
            <w:pPr>
              <w:keepNext w:val="0"/>
              <w:keepLines w:val="0"/>
              <w:pageBreakBefore w:val="0"/>
              <w:widowControl w:val="0"/>
              <w:kinsoku/>
              <w:wordWrap/>
              <w:overflowPunct/>
              <w:topLinePunct w:val="0"/>
              <w:autoSpaceDE/>
              <w:autoSpaceDN/>
              <w:bidi w:val="0"/>
              <w:adjustRightInd/>
              <w:snapToGrid/>
              <w:spacing w:beforeLines="0" w:line="32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赔偿标准：</w:t>
            </w:r>
          </w:p>
          <w:p w14:paraId="6FAFF804">
            <w:pPr>
              <w:keepNext w:val="0"/>
              <w:keepLines w:val="0"/>
              <w:pageBreakBefore w:val="0"/>
              <w:widowControl w:val="0"/>
              <w:kinsoku/>
              <w:wordWrap/>
              <w:overflowPunct/>
              <w:topLinePunct w:val="0"/>
              <w:autoSpaceDE/>
              <w:autoSpaceDN/>
              <w:bidi w:val="0"/>
              <w:adjustRightInd/>
              <w:snapToGrid/>
              <w:spacing w:beforeLines="0" w:line="320" w:lineRule="exact"/>
              <w:jc w:val="left"/>
              <w:textAlignment w:val="auto"/>
              <w:rPr>
                <w:rFonts w:hint="eastAsia" w:ascii="宋体" w:hAnsi="宋体" w:eastAsia="宋体" w:cs="宋体"/>
                <w:color w:val="auto"/>
                <w:kern w:val="3"/>
                <w:sz w:val="24"/>
                <w:szCs w:val="24"/>
                <w:highlight w:val="none"/>
                <w:lang w:val="en-US" w:eastAsia="zh-CN" w:bidi="ar-SA"/>
              </w:rPr>
            </w:pPr>
            <w:r>
              <w:rPr>
                <w:rFonts w:hint="eastAsia" w:ascii="宋体" w:hAnsi="宋体" w:eastAsia="宋体" w:cs="宋体"/>
                <w:color w:val="auto"/>
                <w:sz w:val="24"/>
                <w:szCs w:val="24"/>
                <w:highlight w:val="none"/>
              </w:rPr>
              <w:t>本项目投标截止时间后至投标有效期内，投标人撤销投标文件的，赔偿金额按不超过采购项目预算金额的2%计收。</w:t>
            </w:r>
          </w:p>
        </w:tc>
      </w:tr>
      <w:tr w14:paraId="670527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04E9FE61">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en-US" w:eastAsia="zh-CN"/>
              </w:rPr>
              <w:t>4</w:t>
            </w:r>
          </w:p>
        </w:tc>
        <w:tc>
          <w:tcPr>
            <w:tcW w:w="1661" w:type="dxa"/>
            <w:shd w:val="clear" w:color="auto" w:fill="auto"/>
            <w:noWrap w:val="0"/>
            <w:vAlign w:val="center"/>
          </w:tcPr>
          <w:p w14:paraId="790DCCCA">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全流程电子化项目投标说明</w:t>
            </w:r>
          </w:p>
        </w:tc>
        <w:tc>
          <w:tcPr>
            <w:tcW w:w="7937" w:type="dxa"/>
            <w:gridSpan w:val="3"/>
            <w:shd w:val="clear" w:color="auto" w:fill="auto"/>
            <w:noWrap w:val="0"/>
            <w:vAlign w:val="center"/>
          </w:tcPr>
          <w:p w14:paraId="5696EB1D">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本项目实行电子投标。电子投标文件，按</w:t>
            </w:r>
            <w:r>
              <w:rPr>
                <w:rFonts w:hint="eastAsia" w:ascii="宋体" w:hAnsi="宋体" w:eastAsia="宋体" w:cs="宋体"/>
              </w:rPr>
              <w:t>乐采云平台</w:t>
            </w:r>
            <w:r>
              <w:rPr>
                <w:rFonts w:hint="eastAsia" w:ascii="宋体" w:hAnsi="宋体" w:eastAsia="宋体" w:cs="宋体"/>
                <w:color w:val="auto"/>
                <w:sz w:val="24"/>
                <w:szCs w:val="24"/>
                <w:highlight w:val="none"/>
              </w:rPr>
              <w:t>项目采购-电子招投标操作指南及本招标文件要求递交。投标文件均由资格文件、商务及技术文件、报价文件组成。</w:t>
            </w:r>
          </w:p>
          <w:p w14:paraId="501ED3BF">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▲投标人须按时自行解密，规定时间内解密失败的，投标无效。</w:t>
            </w:r>
          </w:p>
          <w:p w14:paraId="36EF36B5">
            <w:pPr>
              <w:keepNext w:val="0"/>
              <w:keepLines w:val="0"/>
              <w:pageBreakBefore w:val="0"/>
              <w:widowControl w:val="0"/>
              <w:kinsoku/>
              <w:wordWrap/>
              <w:overflowPunct/>
              <w:topLinePunct w:val="0"/>
              <w:autoSpaceDE/>
              <w:bidi w:val="0"/>
              <w:snapToGrid/>
              <w:spacing w:beforeLines="0" w:line="340" w:lineRule="exact"/>
              <w:jc w:val="left"/>
              <w:textAlignment w:val="auto"/>
              <w:rPr>
                <w:rFonts w:hint="eastAsia" w:ascii="宋体" w:hAnsi="宋体" w:eastAsia="宋体" w:cs="宋体"/>
                <w:b/>
                <w:color w:val="auto"/>
                <w:kern w:val="3"/>
                <w:sz w:val="24"/>
                <w:szCs w:val="24"/>
                <w:highlight w:val="none"/>
                <w:lang w:val="en-US" w:eastAsia="zh-CN" w:bidi="ar-SA"/>
              </w:rPr>
            </w:pPr>
            <w:r>
              <w:rPr>
                <w:rFonts w:hint="eastAsia" w:ascii="宋体" w:hAnsi="宋体" w:eastAsia="宋体" w:cs="宋体"/>
                <w:b/>
                <w:bCs/>
                <w:color w:val="auto"/>
                <w:sz w:val="24"/>
                <w:szCs w:val="24"/>
                <w:highlight w:val="none"/>
              </w:rPr>
              <w:t>▲</w:t>
            </w:r>
            <w:r>
              <w:rPr>
                <w:rFonts w:hint="eastAsia" w:ascii="宋体" w:hAnsi="宋体" w:eastAsia="宋体" w:cs="宋体"/>
                <w:b/>
                <w:sz w:val="24"/>
                <w:szCs w:val="24"/>
              </w:rPr>
              <w:t>投标截止时间前，供应商未传输递交“电子加密投标文件”的，投标无效。</w:t>
            </w:r>
          </w:p>
        </w:tc>
      </w:tr>
      <w:tr w14:paraId="27AB1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00" w:type="dxa"/>
            <w:noWrap w:val="0"/>
            <w:vAlign w:val="center"/>
          </w:tcPr>
          <w:p w14:paraId="1908FC47">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2</w:t>
            </w:r>
            <w:r>
              <w:rPr>
                <w:rFonts w:hint="eastAsia" w:ascii="宋体" w:hAnsi="宋体" w:eastAsia="宋体" w:cs="宋体"/>
                <w:b/>
                <w:color w:val="auto"/>
                <w:sz w:val="22"/>
                <w:szCs w:val="22"/>
                <w:highlight w:val="none"/>
                <w:lang w:val="en-US" w:eastAsia="zh-CN"/>
              </w:rPr>
              <w:t>5</w:t>
            </w:r>
          </w:p>
        </w:tc>
        <w:tc>
          <w:tcPr>
            <w:tcW w:w="1661" w:type="dxa"/>
            <w:shd w:val="clear" w:color="auto" w:fill="auto"/>
            <w:noWrap w:val="0"/>
            <w:vAlign w:val="center"/>
          </w:tcPr>
          <w:p w14:paraId="6AB2EB15">
            <w:pPr>
              <w:keepNext w:val="0"/>
              <w:keepLines w:val="0"/>
              <w:pageBreakBefore w:val="0"/>
              <w:widowControl w:val="0"/>
              <w:kinsoku/>
              <w:wordWrap/>
              <w:overflowPunct/>
              <w:topLinePunct w:val="0"/>
              <w:autoSpaceDE/>
              <w:bidi w:val="0"/>
              <w:snapToGrid/>
              <w:spacing w:beforeLines="0" w:line="340" w:lineRule="exact"/>
              <w:jc w:val="center"/>
              <w:textAlignment w:val="auto"/>
              <w:rPr>
                <w:rFonts w:hint="eastAsia" w:ascii="宋体" w:hAnsi="宋体" w:eastAsia="宋体" w:cs="宋体"/>
                <w:b/>
                <w:color w:val="auto"/>
                <w:kern w:val="3"/>
                <w:sz w:val="22"/>
                <w:szCs w:val="22"/>
                <w:highlight w:val="none"/>
                <w:lang w:val="en-US" w:eastAsia="zh-CN" w:bidi="ar-SA"/>
              </w:rPr>
            </w:pPr>
            <w:r>
              <w:rPr>
                <w:rFonts w:hint="eastAsia" w:ascii="宋体" w:hAnsi="宋体" w:eastAsia="宋体" w:cs="宋体"/>
                <w:b/>
                <w:color w:val="auto"/>
                <w:sz w:val="22"/>
                <w:szCs w:val="22"/>
                <w:highlight w:val="none"/>
              </w:rPr>
              <w:t>解释</w:t>
            </w:r>
          </w:p>
        </w:tc>
        <w:tc>
          <w:tcPr>
            <w:tcW w:w="7937" w:type="dxa"/>
            <w:gridSpan w:val="3"/>
            <w:shd w:val="clear" w:color="auto" w:fill="auto"/>
            <w:noWrap w:val="0"/>
            <w:vAlign w:val="center"/>
          </w:tcPr>
          <w:p w14:paraId="5EC14971">
            <w:pPr>
              <w:keepNext w:val="0"/>
              <w:keepLines w:val="0"/>
              <w:pageBreakBefore w:val="0"/>
              <w:widowControl w:val="0"/>
              <w:kinsoku/>
              <w:wordWrap/>
              <w:overflowPunct/>
              <w:topLinePunct w:val="0"/>
              <w:autoSpaceDE/>
              <w:bidi w:val="0"/>
              <w:snapToGrid/>
              <w:spacing w:beforeLines="0" w:line="340" w:lineRule="exact"/>
              <w:textAlignment w:val="auto"/>
              <w:rPr>
                <w:rFonts w:hint="eastAsia" w:ascii="宋体" w:hAnsi="宋体" w:eastAsia="宋体" w:cs="宋体"/>
                <w:b/>
                <w:bCs/>
                <w:color w:val="auto"/>
                <w:kern w:val="3"/>
                <w:sz w:val="24"/>
                <w:szCs w:val="24"/>
                <w:highlight w:val="none"/>
                <w:lang w:val="en-US" w:eastAsia="zh-CN" w:bidi="ar-SA"/>
              </w:rPr>
            </w:pPr>
            <w:r>
              <w:rPr>
                <w:rFonts w:hint="eastAsia" w:ascii="宋体" w:hAnsi="宋体" w:eastAsia="宋体" w:cs="宋体"/>
                <w:color w:val="auto"/>
                <w:sz w:val="24"/>
                <w:szCs w:val="24"/>
                <w:highlight w:val="none"/>
              </w:rPr>
              <w:t>本招标文件的解释权属于采购人和</w:t>
            </w:r>
            <w:r>
              <w:rPr>
                <w:rFonts w:hint="eastAsia" w:ascii="宋体" w:hAnsi="宋体" w:eastAsia="宋体" w:cs="宋体"/>
                <w:color w:val="auto"/>
                <w:kern w:val="0"/>
                <w:sz w:val="24"/>
                <w:szCs w:val="24"/>
                <w:highlight w:val="none"/>
                <w:lang w:eastAsia="zh-CN"/>
              </w:rPr>
              <w:t>杭州广厦建筑咨询有限公司</w:t>
            </w:r>
            <w:r>
              <w:rPr>
                <w:rFonts w:hint="eastAsia" w:ascii="宋体" w:hAnsi="宋体" w:eastAsia="宋体" w:cs="宋体"/>
                <w:color w:val="auto"/>
                <w:sz w:val="24"/>
                <w:szCs w:val="24"/>
                <w:highlight w:val="none"/>
              </w:rPr>
              <w:t>。</w:t>
            </w:r>
          </w:p>
        </w:tc>
      </w:tr>
    </w:tbl>
    <w:p w14:paraId="1CEB3232">
      <w:pPr>
        <w:pageBreakBefore w:val="0"/>
        <w:kinsoku/>
        <w:wordWrap/>
        <w:overflowPunct/>
        <w:topLinePunct w:val="0"/>
        <w:bidi w:val="0"/>
        <w:spacing w:beforeLines="0" w:line="440" w:lineRule="exact"/>
        <w:ind w:firstLine="600" w:firstLineChars="200"/>
        <w:jc w:val="left"/>
        <w:textAlignment w:val="auto"/>
        <w:outlineLvl w:val="1"/>
        <w:rPr>
          <w:rFonts w:hint="eastAsia" w:ascii="宋体" w:hAnsi="宋体" w:eastAsia="宋体" w:cs="宋体"/>
          <w:color w:val="auto"/>
          <w:highlight w:val="none"/>
        </w:rPr>
      </w:pPr>
      <w:r>
        <w:rPr>
          <w:rFonts w:hint="eastAsia" w:ascii="宋体" w:hAnsi="宋体" w:eastAsia="宋体" w:cs="宋体"/>
          <w:sz w:val="30"/>
          <w:szCs w:val="30"/>
        </w:rPr>
        <w:br w:type="page"/>
      </w:r>
      <w:r>
        <w:rPr>
          <w:rFonts w:hint="eastAsia" w:ascii="宋体" w:hAnsi="宋体" w:eastAsia="宋体" w:cs="宋体"/>
          <w:b/>
          <w:color w:val="auto"/>
          <w:sz w:val="24"/>
          <w:szCs w:val="24"/>
          <w:highlight w:val="none"/>
        </w:rPr>
        <w:t>一、总  则</w:t>
      </w:r>
    </w:p>
    <w:p w14:paraId="5AC2A855">
      <w:pPr>
        <w:pageBreakBefore w:val="0"/>
        <w:kinsoku/>
        <w:wordWrap/>
        <w:overflowPunct/>
        <w:topLinePunct w:val="0"/>
        <w:bidi w:val="0"/>
        <w:snapToGrid w:val="0"/>
        <w:spacing w:beforeLines="0" w:line="440" w:lineRule="exact"/>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14:paraId="647436DE">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仅适用于本次招标文件中采购项目的招标、投标、开标、资格审查及信用信息查询、评标、定标、合同履约、付款、验收等行为（法律、法规另有规定的，从其规定）。</w:t>
      </w:r>
    </w:p>
    <w:p w14:paraId="31577FE0">
      <w:pPr>
        <w:pageBreakBefore w:val="0"/>
        <w:kinsoku/>
        <w:wordWrap/>
        <w:overflowPunct/>
        <w:topLinePunct w:val="0"/>
        <w:bidi w:val="0"/>
        <w:snapToGrid w:val="0"/>
        <w:spacing w:beforeLines="0" w:line="440" w:lineRule="exact"/>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14:paraId="181B6509">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1.“采购人”系指组织本次招标的</w:t>
      </w:r>
      <w:bookmarkStart w:id="12" w:name="_GoBack"/>
      <w:bookmarkEnd w:id="12"/>
      <w:r>
        <w:rPr>
          <w:rFonts w:hint="eastAsia" w:ascii="宋体" w:hAnsi="宋体" w:eastAsia="宋体" w:cs="宋体"/>
          <w:color w:val="auto"/>
          <w:sz w:val="24"/>
          <w:szCs w:val="24"/>
          <w:highlight w:val="none"/>
          <w:lang w:eastAsia="zh-CN"/>
        </w:rPr>
        <w:t>杭州富春湾新城建设投资集团有限公司</w:t>
      </w:r>
      <w:r>
        <w:rPr>
          <w:rFonts w:hint="eastAsia" w:ascii="宋体" w:hAnsi="宋体" w:eastAsia="宋体" w:cs="宋体"/>
          <w:color w:val="auto"/>
          <w:sz w:val="24"/>
          <w:szCs w:val="24"/>
          <w:highlight w:val="none"/>
        </w:rPr>
        <w:t>。</w:t>
      </w:r>
    </w:p>
    <w:p w14:paraId="36D65916">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2.“投标人”</w:t>
      </w:r>
      <w:r>
        <w:rPr>
          <w:rFonts w:hint="eastAsia" w:ascii="宋体" w:hAnsi="宋体" w:eastAsia="宋体" w:cs="宋体"/>
          <w:color w:val="auto"/>
          <w:sz w:val="24"/>
          <w:highlight w:val="none"/>
        </w:rPr>
        <w:t>系指响应招标、参加投标竞争的法人、其他组织或者自然人。</w:t>
      </w:r>
    </w:p>
    <w:p w14:paraId="0D09A7AA">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3.“采购代理机构”系指杭州广厦建筑咨询有限公司。</w:t>
      </w:r>
    </w:p>
    <w:p w14:paraId="25C51442">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“负责人”系指法人企业的法定负责人，或其他组织为法律、行政法规规定代表单位行使职权的主要负责人，或自然人本人。</w:t>
      </w:r>
    </w:p>
    <w:p w14:paraId="7EC8A769">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5.“产品”系指供应商按招标文件规定，须向采购人提供的一切材料、设备、保险、税金、备品备件、工具、手册及其它有关技术资料和材料。</w:t>
      </w:r>
    </w:p>
    <w:p w14:paraId="2DACDDC7">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6.“服务”系指招标文件规定投标人须承担的的安装、调试、技术协助、校准、培训、技术指导以及其他类似的义务。</w:t>
      </w:r>
    </w:p>
    <w:p w14:paraId="48283F27">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7.“项目”系指投标人按招标文件规定向采购人提供的产品和服务。</w:t>
      </w:r>
    </w:p>
    <w:p w14:paraId="41C8148B">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8.“电子签名”系指数据电文中以电子形式所含、所附用于识别签名人身份并表明签名人认可其中内容的数据。</w:t>
      </w:r>
    </w:p>
    <w:p w14:paraId="42345CC8">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9.“电子交易平台”是指本项目政府采购活动所依托的</w:t>
      </w:r>
      <w:r>
        <w:rPr>
          <w:rFonts w:hint="eastAsia" w:ascii="宋体" w:hAnsi="宋体" w:eastAsia="宋体" w:cs="宋体"/>
        </w:rPr>
        <w:t>乐采云平台（www.lecaiyun.com）</w:t>
      </w:r>
      <w:r>
        <w:rPr>
          <w:rFonts w:hint="eastAsia" w:ascii="宋体" w:hAnsi="宋体" w:eastAsia="宋体" w:cs="宋体"/>
          <w:color w:val="auto"/>
          <w:sz w:val="24"/>
          <w:highlight w:val="none"/>
        </w:rPr>
        <w:t>。</w:t>
      </w:r>
    </w:p>
    <w:p w14:paraId="11667028">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10.“▲” 系指实质性要求条款，“★”系产品采购项目中重要技术参数。</w:t>
      </w:r>
    </w:p>
    <w:p w14:paraId="447236CF">
      <w:pPr>
        <w:pageBreakBefore w:val="0"/>
        <w:kinsoku/>
        <w:wordWrap/>
        <w:overflowPunct/>
        <w:topLinePunct w:val="0"/>
        <w:bidi w:val="0"/>
        <w:snapToGrid w:val="0"/>
        <w:spacing w:beforeLines="0" w:line="440" w:lineRule="exact"/>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（三）投标委托</w:t>
      </w:r>
    </w:p>
    <w:p w14:paraId="6942C2F1">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投标人可由法定代表人或其委托人进行投标，投标时须提供有效证明文件。</w:t>
      </w:r>
    </w:p>
    <w:p w14:paraId="117B3CA8">
      <w:pPr>
        <w:pageBreakBefore w:val="0"/>
        <w:kinsoku/>
        <w:wordWrap/>
        <w:overflowPunct/>
        <w:topLinePunct w:val="0"/>
        <w:bidi w:val="0"/>
        <w:snapToGrid w:val="0"/>
        <w:spacing w:beforeLines="0" w:line="440" w:lineRule="exact"/>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（四）投标费用</w:t>
      </w:r>
    </w:p>
    <w:p w14:paraId="7D45007F">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无论投标过程和结果如何，投标人均应自行承担所有与投标有关的全部费用。</w:t>
      </w:r>
    </w:p>
    <w:p w14:paraId="15EA1973">
      <w:pPr>
        <w:pageBreakBefore w:val="0"/>
        <w:kinsoku/>
        <w:wordWrap/>
        <w:overflowPunct/>
        <w:topLinePunct w:val="0"/>
        <w:bidi w:val="0"/>
        <w:snapToGrid w:val="0"/>
        <w:spacing w:beforeLines="0" w:line="440" w:lineRule="exact"/>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（五）特别说明</w:t>
      </w:r>
    </w:p>
    <w:p w14:paraId="500F9FD8">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1.投标人应仔细阅读招标文件的所有内容，按照招标文件的要求提交投标文件，并对所提供的全部资料的真实性承担法律责任。</w:t>
      </w:r>
    </w:p>
    <w:p w14:paraId="5198A167">
      <w:pPr>
        <w:pageBreakBefore w:val="0"/>
        <w:kinsoku/>
        <w:wordWrap/>
        <w:overflowPunct/>
        <w:topLinePunct w:val="0"/>
        <w:bidi w:val="0"/>
        <w:spacing w:beforeLines="0"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2F37226">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使用综合评分法的采购项目，提供相同品牌产品且通过资格审查、符合性审查的不同投标人参加同一合同项下投标的，按一家投标人计算，评审后得分最高的同品牌投标人获得中标人推荐资格；评审得分相同的，按照</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文件“第三章 评标办法及评分标准”中有关条款规定的方式确定一个投标人获得中标人推荐资格，其他同品牌投标人不作为中标候选人。</w:t>
      </w:r>
    </w:p>
    <w:p w14:paraId="223348EB">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非单一产品采购项目，多家投标人提供的核心产品品牌相同的，按前款规定处理。核心产品由采购人在</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文件采购需求中指定。</w:t>
      </w:r>
    </w:p>
    <w:p w14:paraId="065E2BB8">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4.投标供应商所投产品除</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p w14:paraId="22AFB960">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5.投标人不得相互串通投标报价，不得妨碍其他投标人的公平竞争，不得损害采购人或其他投标人的合法权益，投标人不得以向采购人、评标委员会成员行贿或者采取其他不正当手段谋取中标。</w:t>
      </w:r>
    </w:p>
    <w:p w14:paraId="6790D41F">
      <w:pPr>
        <w:pageBreakBefore w:val="0"/>
        <w:kinsoku/>
        <w:wordWrap/>
        <w:overflowPunct/>
        <w:topLinePunct w:val="0"/>
        <w:bidi w:val="0"/>
        <w:snapToGrid w:val="0"/>
        <w:spacing w:beforeLines="0" w:line="440" w:lineRule="exact"/>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二、招标文件</w:t>
      </w:r>
      <w:r>
        <w:rPr>
          <w:rFonts w:hint="eastAsia" w:ascii="宋体" w:hAnsi="宋体" w:eastAsia="宋体" w:cs="宋体"/>
          <w:b/>
          <w:color w:val="000000"/>
          <w:sz w:val="24"/>
          <w:szCs w:val="24"/>
        </w:rPr>
        <w:t>的澄清与修改</w:t>
      </w:r>
    </w:p>
    <w:p w14:paraId="576F56D3">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1.投标人澄清要求的提交：任何已获取了</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的潜在投标人，在前附表规定时间前，均可要求对</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进行澄清，按招标公告中的联系地址以书面形式（加盖公章的纸质信件和数据电文，包括传真、电子数据交换和电子邮件）（下同）送达采购代理机构。如规定时间内未收到任何质疑，则视为各投标人均对此无异议。</w:t>
      </w:r>
    </w:p>
    <w:p w14:paraId="05A4F540">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采购代理机构或采购人对澄清要求的处理：采购代理机构或采购人对其认为需要给予澄清、修改或进行其它答复的，如有必要，将在规定时间内，以补充文件的方式进行发布（原公告媒体上同时发布），并将通过</w:t>
      </w:r>
      <w:r>
        <w:rPr>
          <w:rFonts w:hint="eastAsia" w:ascii="宋体" w:hAnsi="宋体" w:eastAsia="宋体" w:cs="宋体"/>
        </w:rPr>
        <w:t>乐采云平台</w:t>
      </w:r>
      <w:r>
        <w:rPr>
          <w:rFonts w:hint="eastAsia" w:ascii="宋体" w:hAnsi="宋体" w:eastAsia="宋体" w:cs="宋体"/>
          <w:color w:val="000000"/>
          <w:sz w:val="24"/>
          <w:szCs w:val="24"/>
        </w:rPr>
        <w:t>通知所有已获取</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的潜在投标人。补充文件中包括原提出的问题及问题的说明意见，但不包括问题的来源。</w:t>
      </w:r>
    </w:p>
    <w:p w14:paraId="31291862">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3.澄清或修改的内容可能影响投标文件编制的，采购代理机构或采购人用补充文件的方式进行澄清和修改（原公告媒体上同时发布）。补充文件将通过</w:t>
      </w:r>
      <w:r>
        <w:rPr>
          <w:rFonts w:hint="eastAsia" w:ascii="宋体" w:hAnsi="宋体" w:eastAsia="宋体" w:cs="宋体"/>
        </w:rPr>
        <w:t>乐采云平台</w:t>
      </w:r>
      <w:r>
        <w:rPr>
          <w:rFonts w:hint="eastAsia" w:ascii="宋体" w:hAnsi="宋体" w:eastAsia="宋体" w:cs="宋体"/>
          <w:color w:val="000000"/>
          <w:sz w:val="24"/>
          <w:szCs w:val="24"/>
        </w:rPr>
        <w:t>通知所有已获取</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的潜在投标人。</w:t>
      </w:r>
    </w:p>
    <w:p w14:paraId="70817AF1">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4.在投标截止期前任何时候，采购代理机构（采购人）无论是出于何种原因，均可对</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进行修改，并将修改的内容以书面的形式通过</w:t>
      </w:r>
      <w:r>
        <w:rPr>
          <w:rFonts w:hint="eastAsia" w:ascii="宋体" w:hAnsi="宋体" w:eastAsia="宋体" w:cs="宋体"/>
        </w:rPr>
        <w:t>乐采云平台</w:t>
      </w:r>
      <w:r>
        <w:rPr>
          <w:rFonts w:hint="eastAsia" w:ascii="宋体" w:hAnsi="宋体" w:eastAsia="宋体" w:cs="宋体"/>
          <w:color w:val="000000"/>
          <w:sz w:val="24"/>
          <w:szCs w:val="24"/>
        </w:rPr>
        <w:t>通知所有获取</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的投标人。投标人应立即以书面形式回复确认已收到修改文件。</w:t>
      </w:r>
    </w:p>
    <w:p w14:paraId="4C86C702">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5.为使投标人有足够的时间按</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修改要求修正投标文件，采购代理机构（采购人）可酌情推迟投标的截止日期和开标日期，并将具体变更情况通过</w:t>
      </w:r>
      <w:r>
        <w:rPr>
          <w:rFonts w:hint="eastAsia" w:ascii="宋体" w:hAnsi="宋体" w:eastAsia="宋体" w:cs="宋体"/>
        </w:rPr>
        <w:t>乐采云平台</w:t>
      </w:r>
      <w:r>
        <w:rPr>
          <w:rFonts w:hint="eastAsia" w:ascii="宋体" w:hAnsi="宋体" w:eastAsia="宋体" w:cs="宋体"/>
          <w:color w:val="000000"/>
          <w:sz w:val="24"/>
          <w:szCs w:val="24"/>
        </w:rPr>
        <w:t>通知所有获取</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的投标人。</w:t>
      </w:r>
    </w:p>
    <w:p w14:paraId="1E1C411C">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澄清、答复、修改、补充的内容为</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的组成部分。当</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与</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的答复、澄清、修改、补充通知就同一内容的表述不一致时，以最后发出的书面文件为准。</w:t>
      </w:r>
    </w:p>
    <w:p w14:paraId="7D588268">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7.采购代理机构或采购人澄清、修改及其它答复的效力：无论是否根据投标人的澄清、修改或进行其它答复的要求，采购代理机构或采购人一旦对</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做出澄清、修改或进行其它答复，即刻发生效力。答疑或补充文件将作为</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的组成部分，对所有投标人均具有约束力。</w:t>
      </w:r>
      <w:r>
        <w:rPr>
          <w:rFonts w:hint="eastAsia" w:ascii="宋体" w:hAnsi="宋体" w:eastAsia="宋体" w:cs="宋体"/>
          <w:b/>
          <w:bCs/>
          <w:color w:val="000000"/>
          <w:sz w:val="24"/>
          <w:szCs w:val="24"/>
        </w:rPr>
        <w:t>▲投标文件未按招标文件的澄清、修改的内容编制，又不符合实质性要求的，投标无效。</w:t>
      </w:r>
    </w:p>
    <w:p w14:paraId="7770CD05">
      <w:pPr>
        <w:pStyle w:val="34"/>
        <w:pageBreakBefore w:val="0"/>
        <w:kinsoku/>
        <w:wordWrap/>
        <w:overflowPunct/>
        <w:topLinePunct w:val="0"/>
        <w:bidi w:val="0"/>
        <w:snapToGrid w:val="0"/>
        <w:spacing w:beforeLines="0" w:line="440" w:lineRule="exact"/>
        <w:ind w:left="0" w:firstLine="480" w:firstLineChars="200"/>
        <w:textAlignment w:val="auto"/>
        <w:rPr>
          <w:rFonts w:hint="eastAsia" w:ascii="宋体" w:hAnsi="宋体" w:eastAsia="宋体" w:cs="宋体"/>
          <w:color w:val="auto"/>
          <w:szCs w:val="24"/>
          <w:highlight w:val="none"/>
        </w:rPr>
      </w:pPr>
      <w:r>
        <w:rPr>
          <w:rFonts w:hint="eastAsia" w:ascii="宋体" w:hAnsi="宋体" w:eastAsia="宋体" w:cs="宋体"/>
          <w:color w:val="000000"/>
          <w:sz w:val="24"/>
          <w:szCs w:val="24"/>
        </w:rPr>
        <w:t>8.采购人不组织所有已获取了</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szCs w:val="24"/>
        </w:rPr>
        <w:t>的潜在响应人现场考察，不召开标前答疑会。</w:t>
      </w:r>
    </w:p>
    <w:p w14:paraId="7E5B77B3">
      <w:pPr>
        <w:pageBreakBefore w:val="0"/>
        <w:kinsoku/>
        <w:wordWrap/>
        <w:overflowPunct/>
        <w:topLinePunct w:val="0"/>
        <w:bidi w:val="0"/>
        <w:snapToGrid w:val="0"/>
        <w:spacing w:beforeLines="0" w:line="440" w:lineRule="exact"/>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w:t>
      </w:r>
    </w:p>
    <w:p w14:paraId="6CA3BA67">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否则可能导致不利于其投标的评定。</w:t>
      </w:r>
      <w:r>
        <w:rPr>
          <w:rFonts w:hint="eastAsia" w:ascii="宋体" w:hAnsi="宋体" w:eastAsia="宋体" w:cs="宋体"/>
          <w:color w:val="000000"/>
          <w:sz w:val="24"/>
          <w:szCs w:val="24"/>
        </w:rPr>
        <w:t>投标人</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rPr>
        <w:t>投标产品须符合国家强制性标准。</w:t>
      </w:r>
    </w:p>
    <w:p w14:paraId="490ECBD4">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投标人进行电子投标应安装客户端软件—“</w:t>
      </w:r>
      <w:r>
        <w:rPr>
          <w:rFonts w:hint="eastAsia" w:ascii="宋体" w:hAnsi="宋体" w:eastAsia="宋体" w:cs="宋体"/>
          <w:color w:val="auto"/>
          <w:sz w:val="24"/>
          <w:szCs w:val="24"/>
          <w:highlight w:val="none"/>
          <w:lang w:val="en-US" w:eastAsia="zh-CN"/>
        </w:rPr>
        <w:t>乐采</w:t>
      </w:r>
      <w:r>
        <w:rPr>
          <w:rFonts w:hint="eastAsia" w:ascii="宋体" w:hAnsi="宋体" w:eastAsia="宋体" w:cs="宋体"/>
          <w:color w:val="auto"/>
          <w:sz w:val="24"/>
          <w:szCs w:val="24"/>
          <w:highlight w:val="none"/>
        </w:rPr>
        <w:t>云电子交易客户端”，并按照招标文件和电子交易平台的要求编制并加密投标文件。</w:t>
      </w:r>
      <w:r>
        <w:rPr>
          <w:rFonts w:hint="eastAsia" w:ascii="宋体" w:hAnsi="宋体" w:eastAsia="宋体" w:cs="宋体"/>
          <w:b/>
          <w:bCs/>
          <w:color w:val="auto"/>
          <w:sz w:val="24"/>
          <w:szCs w:val="24"/>
          <w:highlight w:val="none"/>
        </w:rPr>
        <w:t>投标人未按规定加密的投标文件，电子交易平台将拒收并提示。</w:t>
      </w:r>
    </w:p>
    <w:p w14:paraId="59E5C796">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w:t>
      </w:r>
      <w:r>
        <w:rPr>
          <w:rFonts w:hint="eastAsia" w:ascii="宋体" w:hAnsi="宋体" w:eastAsia="宋体" w:cs="宋体"/>
        </w:rPr>
        <w:t>乐采云</w:t>
      </w:r>
      <w:r>
        <w:rPr>
          <w:rFonts w:hint="eastAsia" w:ascii="宋体" w:hAnsi="宋体" w:eastAsia="宋体" w:cs="宋体"/>
          <w:color w:val="auto"/>
          <w:sz w:val="24"/>
          <w:szCs w:val="24"/>
          <w:highlight w:val="none"/>
        </w:rPr>
        <w:t>电子交易客户端”需要提前申领CA数字证书，申领流程请自行前往“浙江政府采购网-下载专区-电子交易客户端-CA驱动和申领流程”进行查阅。</w:t>
      </w:r>
    </w:p>
    <w:p w14:paraId="2F3019EF">
      <w:pPr>
        <w:pageBreakBefore w:val="0"/>
        <w:kinsoku/>
        <w:wordWrap/>
        <w:overflowPunct/>
        <w:topLinePunct w:val="0"/>
        <w:bidi w:val="0"/>
        <w:snapToGrid w:val="0"/>
        <w:spacing w:beforeLines="0" w:line="440" w:lineRule="exact"/>
        <w:ind w:firstLine="482" w:firstLineChars="200"/>
        <w:jc w:val="left"/>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（一）投标文件的语言及计量</w:t>
      </w:r>
    </w:p>
    <w:p w14:paraId="2683B860">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1.投标人的投标文件以及与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就有关投标事宜的所有来往函电，均应以中文汉语书写。除签名、盖章、专用名称等特殊情形外，以中文汉语以外的文字表述的投标文件及函电，</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将不予接受。</w:t>
      </w:r>
    </w:p>
    <w:p w14:paraId="63A91DBC">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中如附有外文资料，须逐一对应翻译成中文汉语并加盖投标人公章后附在相关外文资料后面，否则外文资料不予认可。翻译的中文资料与外文资料不符的，均不予认可。翻译严重错误的，将视同提供虚假资料。</w:t>
      </w:r>
      <w:r>
        <w:rPr>
          <w:rFonts w:hint="eastAsia" w:ascii="宋体" w:hAnsi="宋体" w:eastAsia="宋体" w:cs="宋体"/>
          <w:b/>
          <w:bCs/>
          <w:color w:val="auto"/>
          <w:sz w:val="24"/>
          <w:szCs w:val="24"/>
          <w:highlight w:val="none"/>
        </w:rPr>
        <w:t>▲不提供准确翻译资料的，投标无效。</w:t>
      </w:r>
    </w:p>
    <w:p w14:paraId="645246A8">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3.投标计量单位，招标文件已有明确规定的，使用招标文件规定的计量单位；招标文件没有规定的，应采用中华人民共和国法定计量单位（货币单位：人民币元），否则视同未响应。</w:t>
      </w:r>
    </w:p>
    <w:p w14:paraId="016E7361">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p>
    <w:p w14:paraId="15A2CE52">
      <w:pPr>
        <w:pageBreakBefore w:val="0"/>
        <w:kinsoku/>
        <w:wordWrap/>
        <w:overflowPunct/>
        <w:topLinePunct w:val="0"/>
        <w:bidi w:val="0"/>
        <w:snapToGrid w:val="0"/>
        <w:spacing w:beforeLines="0" w:line="44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（二）投标文件的组成</w:t>
      </w:r>
    </w:p>
    <w:p w14:paraId="248903DD">
      <w:pPr>
        <w:pageBreakBefore w:val="0"/>
        <w:kinsoku/>
        <w:wordWrap/>
        <w:overflowPunct/>
        <w:topLinePunct w:val="0"/>
        <w:bidi w:val="0"/>
        <w:snapToGrid w:val="0"/>
        <w:spacing w:beforeLines="0" w:line="44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投标文件为电子投标文件。电子投标文件，按“</w:t>
      </w:r>
      <w:r>
        <w:rPr>
          <w:rFonts w:hint="eastAsia" w:ascii="宋体" w:hAnsi="宋体" w:eastAsia="宋体" w:cs="宋体"/>
          <w:b/>
          <w:color w:val="auto"/>
          <w:sz w:val="24"/>
          <w:szCs w:val="24"/>
          <w:highlight w:val="none"/>
          <w:lang w:val="en-US" w:eastAsia="zh-CN"/>
        </w:rPr>
        <w:t>乐采云</w:t>
      </w:r>
      <w:r>
        <w:rPr>
          <w:rFonts w:hint="eastAsia" w:ascii="宋体" w:hAnsi="宋体" w:eastAsia="宋体" w:cs="宋体"/>
          <w:b/>
          <w:color w:val="auto"/>
          <w:sz w:val="24"/>
          <w:szCs w:val="24"/>
          <w:highlight w:val="none"/>
        </w:rPr>
        <w:t>供应商项目采购-电子招投标操作指南”及本招标文件要求制作、加密并递交。电子投标文件由资格文件、商务及技术文件和报价文件组成。投标文件应当对招标文件提出的要求和条件作出明确响应。电子投</w:t>
      </w:r>
      <w:r>
        <w:rPr>
          <w:rFonts w:hint="eastAsia" w:ascii="宋体" w:hAnsi="宋体" w:eastAsia="宋体" w:cs="宋体"/>
          <w:b/>
          <w:bCs/>
          <w:color w:val="auto"/>
          <w:sz w:val="24"/>
          <w:szCs w:val="24"/>
          <w:highlight w:val="none"/>
        </w:rPr>
        <w:t>标文件中所须加盖公章部分均采用CA签章。</w:t>
      </w:r>
    </w:p>
    <w:p w14:paraId="15647277">
      <w:pPr>
        <w:wordWrap w:val="0"/>
        <w:topLinePunct/>
        <w:ind w:firstLine="482" w:firstLineChars="200"/>
        <w:rPr>
          <w:rFonts w:hint="eastAsia" w:ascii="宋体" w:hAnsi="宋体" w:eastAsia="宋体" w:cs="宋体"/>
          <w:b/>
        </w:rPr>
      </w:pPr>
      <w:r>
        <w:rPr>
          <w:rFonts w:hint="eastAsia" w:ascii="宋体" w:hAnsi="宋体" w:eastAsia="宋体" w:cs="宋体"/>
          <w:b/>
        </w:rPr>
        <w:t>1</w:t>
      </w:r>
      <w:r>
        <w:rPr>
          <w:rFonts w:hint="eastAsia" w:ascii="宋体" w:hAnsi="宋体" w:eastAsia="宋体" w:cs="宋体"/>
          <w:b/>
          <w:lang w:val="en-US" w:eastAsia="zh-CN"/>
        </w:rPr>
        <w:t>.</w:t>
      </w:r>
      <w:r>
        <w:rPr>
          <w:rFonts w:hint="eastAsia" w:ascii="宋体" w:hAnsi="宋体" w:eastAsia="宋体" w:cs="宋体"/>
          <w:b/>
        </w:rPr>
        <w:t>资格文件</w:t>
      </w:r>
      <w:r>
        <w:rPr>
          <w:rFonts w:hint="eastAsia" w:ascii="宋体" w:hAnsi="宋体" w:eastAsia="宋体" w:cs="宋体"/>
          <w:b/>
          <w:lang w:eastAsia="zh-CN"/>
        </w:rPr>
        <w:t>：</w:t>
      </w:r>
      <w:r>
        <w:rPr>
          <w:rFonts w:hint="eastAsia" w:ascii="宋体" w:hAnsi="宋体" w:eastAsia="宋体" w:cs="宋体"/>
          <w:b/>
        </w:rPr>
        <w:t>证明其符合《中华人民共和国政府采购法》规定的投标人基本条件和采购项目对投标人的特定条件（如果项目要求）的有关资格证明文件。</w:t>
      </w:r>
    </w:p>
    <w:p w14:paraId="7D3F398B">
      <w:pPr>
        <w:pStyle w:val="13"/>
        <w:pageBreakBefore w:val="0"/>
        <w:kinsoku/>
        <w:wordWrap/>
        <w:overflowPunct/>
        <w:topLinePunct w:val="0"/>
        <w:bidi w:val="0"/>
        <w:spacing w:before="0" w:beforeLines="0" w:afterLines="0" w:line="440" w:lineRule="exact"/>
        <w:ind w:firstLine="480" w:firstLineChars="20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（1）营业执照(或事业法人登记证或其他工商等登记证明材料)扫描件（投标人为自然人的，提供自然人的身份证明）扫描件</w:t>
      </w:r>
      <w:r>
        <w:rPr>
          <w:rFonts w:hint="eastAsia" w:ascii="宋体" w:hAnsi="宋体" w:eastAsia="宋体" w:cs="宋体"/>
          <w:bCs/>
          <w:color w:val="auto"/>
          <w:kern w:val="2"/>
          <w:highlight w:val="none"/>
          <w:lang w:eastAsia="zh-CN"/>
        </w:rPr>
        <w:t>、、税务登记证（或其它缴纳证明材料）</w:t>
      </w:r>
      <w:r>
        <w:rPr>
          <w:rFonts w:hint="eastAsia" w:ascii="宋体" w:hAnsi="宋体" w:eastAsia="宋体" w:cs="宋体"/>
          <w:bCs/>
          <w:color w:val="auto"/>
          <w:kern w:val="2"/>
          <w:highlight w:val="none"/>
        </w:rPr>
        <w:t>扫描件</w:t>
      </w:r>
      <w:r>
        <w:rPr>
          <w:rFonts w:hint="eastAsia" w:ascii="宋体" w:hAnsi="宋体" w:eastAsia="宋体" w:cs="宋体"/>
          <w:bCs/>
          <w:color w:val="auto"/>
          <w:kern w:val="2"/>
          <w:highlight w:val="none"/>
          <w:lang w:eastAsia="zh-CN"/>
        </w:rPr>
        <w:t>、社保登记证（或其它缴纳证明材料）</w:t>
      </w:r>
      <w:r>
        <w:rPr>
          <w:rFonts w:hint="eastAsia" w:ascii="宋体" w:hAnsi="宋体" w:eastAsia="宋体" w:cs="宋体"/>
          <w:bCs/>
          <w:color w:val="auto"/>
          <w:kern w:val="2"/>
          <w:highlight w:val="none"/>
        </w:rPr>
        <w:t>扫描件</w:t>
      </w:r>
      <w:r>
        <w:rPr>
          <w:rFonts w:hint="eastAsia" w:ascii="宋体" w:hAnsi="宋体" w:eastAsia="宋体" w:cs="宋体"/>
          <w:bCs/>
          <w:color w:val="auto"/>
          <w:kern w:val="2"/>
          <w:highlight w:val="none"/>
          <w:lang w:eastAsia="zh-CN"/>
        </w:rPr>
        <w:t>；实施“五证合一、一照一码”登记制度改革的，只需提供改革后取得的营业执照</w:t>
      </w:r>
      <w:r>
        <w:rPr>
          <w:rFonts w:hint="eastAsia" w:ascii="宋体" w:hAnsi="宋体" w:eastAsia="宋体" w:cs="宋体"/>
          <w:bCs/>
          <w:color w:val="auto"/>
          <w:kern w:val="2"/>
          <w:highlight w:val="none"/>
        </w:rPr>
        <w:t>扫描件；</w:t>
      </w:r>
    </w:p>
    <w:p w14:paraId="5DE8625D">
      <w:pPr>
        <w:pStyle w:val="13"/>
        <w:pageBreakBefore w:val="0"/>
        <w:kinsoku/>
        <w:wordWrap/>
        <w:overflowPunct/>
        <w:topLinePunct w:val="0"/>
        <w:bidi w:val="0"/>
        <w:spacing w:before="0" w:beforeLines="0" w:afterLines="0" w:line="440" w:lineRule="exact"/>
        <w:ind w:firstLine="480" w:firstLineChars="20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国资（政府）采购活动，由单位负责人签署相关文件材料；）</w:t>
      </w:r>
    </w:p>
    <w:p w14:paraId="2E521DF6">
      <w:pPr>
        <w:pStyle w:val="13"/>
        <w:pageBreakBefore w:val="0"/>
        <w:kinsoku/>
        <w:wordWrap/>
        <w:overflowPunct/>
        <w:topLinePunct w:val="0"/>
        <w:bidi w:val="0"/>
        <w:spacing w:before="0" w:beforeLines="0" w:afterLines="0" w:line="440" w:lineRule="exact"/>
        <w:ind w:firstLine="480" w:firstLineChars="20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（2）法定代表人授权委托书(格式见附件)及授权代表的身份证正反</w:t>
      </w:r>
      <w:r>
        <w:rPr>
          <w:rFonts w:hint="eastAsia" w:ascii="宋体" w:hAnsi="宋体" w:eastAsia="宋体" w:cs="宋体"/>
          <w:bCs/>
          <w:color w:val="auto"/>
          <w:kern w:val="2"/>
          <w:highlight w:val="none"/>
          <w:lang w:eastAsia="zh-CN"/>
        </w:rPr>
        <w:t>面</w:t>
      </w:r>
      <w:r>
        <w:rPr>
          <w:rFonts w:hint="eastAsia" w:ascii="宋体" w:hAnsi="宋体" w:eastAsia="宋体" w:cs="宋体"/>
          <w:bCs/>
          <w:color w:val="auto"/>
          <w:kern w:val="2"/>
          <w:highlight w:val="none"/>
        </w:rPr>
        <w:t>（扫描件）；</w:t>
      </w:r>
    </w:p>
    <w:p w14:paraId="4D8C2A8F">
      <w:pPr>
        <w:pStyle w:val="13"/>
        <w:pageBreakBefore w:val="0"/>
        <w:kinsoku/>
        <w:wordWrap/>
        <w:overflowPunct/>
        <w:topLinePunct w:val="0"/>
        <w:bidi w:val="0"/>
        <w:spacing w:before="0" w:beforeLines="0" w:afterLines="0" w:line="440" w:lineRule="exact"/>
        <w:ind w:firstLine="480" w:firstLineChars="20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（如法定代表人直接参加投标并对相应文件签字的，只需提供其身份证正反面扫描件；）</w:t>
      </w:r>
    </w:p>
    <w:p w14:paraId="2632BF96">
      <w:pPr>
        <w:pStyle w:val="13"/>
        <w:pageBreakBefore w:val="0"/>
        <w:kinsoku/>
        <w:wordWrap/>
        <w:overflowPunct/>
        <w:topLinePunct w:val="0"/>
        <w:bidi w:val="0"/>
        <w:spacing w:before="0" w:beforeLines="0" w:afterLines="0" w:line="440" w:lineRule="exact"/>
        <w:ind w:firstLine="480" w:firstLineChars="200"/>
        <w:textAlignment w:val="auto"/>
        <w:rPr>
          <w:rFonts w:hint="eastAsia" w:ascii="宋体" w:hAnsi="宋体" w:eastAsia="宋体" w:cs="宋体"/>
          <w:bCs/>
          <w:color w:val="auto"/>
          <w:kern w:val="2"/>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szCs w:val="24"/>
        </w:rPr>
        <w:t>符合参与政府采购活动的资格条件并且没有税收缴纳、社会保障等方面的失信记录</w:t>
      </w:r>
      <w:r>
        <w:rPr>
          <w:rFonts w:hint="eastAsia" w:ascii="宋体" w:hAnsi="宋体" w:eastAsia="宋体" w:cs="宋体"/>
          <w:bCs/>
          <w:color w:val="auto"/>
          <w:kern w:val="2"/>
          <w:highlight w:val="none"/>
        </w:rPr>
        <w:t>的承诺函(格式见附件)；</w:t>
      </w:r>
    </w:p>
    <w:p w14:paraId="1CF17415">
      <w:pPr>
        <w:pStyle w:val="13"/>
        <w:pageBreakBefore w:val="0"/>
        <w:kinsoku/>
        <w:wordWrap/>
        <w:overflowPunct/>
        <w:topLinePunct w:val="0"/>
        <w:bidi w:val="0"/>
        <w:spacing w:before="0" w:beforeLines="0" w:afterLines="0" w:line="440" w:lineRule="exact"/>
        <w:ind w:firstLine="480" w:firstLineChars="20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（4）具有履行合同所必需的设备和专业技术能力的承诺函(格式见附件)；</w:t>
      </w:r>
    </w:p>
    <w:p w14:paraId="148F721B">
      <w:pPr>
        <w:pStyle w:val="13"/>
        <w:pageBreakBefore w:val="0"/>
        <w:kinsoku/>
        <w:wordWrap/>
        <w:overflowPunct/>
        <w:topLinePunct w:val="0"/>
        <w:bidi w:val="0"/>
        <w:spacing w:before="0" w:beforeLines="0" w:afterLines="0" w:line="440" w:lineRule="exact"/>
        <w:ind w:firstLine="480" w:firstLineChars="20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（5）参加国资（政府）采购活动前三年内，在经营活动中没有重大违法记录的声明(格式见附件)；</w:t>
      </w:r>
    </w:p>
    <w:p w14:paraId="6AA48A55">
      <w:pPr>
        <w:pStyle w:val="13"/>
        <w:pageBreakBefore w:val="0"/>
        <w:kinsoku/>
        <w:wordWrap/>
        <w:overflowPunct/>
        <w:topLinePunct w:val="0"/>
        <w:bidi w:val="0"/>
        <w:spacing w:before="0" w:beforeLines="0" w:afterLines="0" w:line="440" w:lineRule="exact"/>
        <w:ind w:firstLine="480" w:firstLineChars="20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（6）投标诚信承诺书(格式见附件)；</w:t>
      </w:r>
    </w:p>
    <w:p w14:paraId="3E72C02B">
      <w:pPr>
        <w:pStyle w:val="13"/>
        <w:pageBreakBefore w:val="0"/>
        <w:kinsoku/>
        <w:wordWrap/>
        <w:overflowPunct/>
        <w:topLinePunct w:val="0"/>
        <w:bidi w:val="0"/>
        <w:spacing w:before="0" w:beforeLines="0" w:afterLines="0" w:line="440" w:lineRule="exact"/>
        <w:ind w:firstLine="480" w:firstLineChars="20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eastAsia="zh-CN"/>
        </w:rPr>
        <w:t>（</w:t>
      </w:r>
      <w:r>
        <w:rPr>
          <w:rFonts w:hint="eastAsia" w:ascii="宋体" w:hAnsi="宋体" w:eastAsia="宋体" w:cs="宋体"/>
          <w:bCs/>
          <w:color w:val="auto"/>
          <w:kern w:val="2"/>
          <w:highlight w:val="none"/>
          <w:lang w:val="en-US" w:eastAsia="zh-CN"/>
        </w:rPr>
        <w:t>7</w:t>
      </w:r>
      <w:r>
        <w:rPr>
          <w:rFonts w:hint="eastAsia" w:ascii="宋体" w:hAnsi="宋体" w:eastAsia="宋体" w:cs="宋体"/>
          <w:bCs/>
          <w:color w:val="auto"/>
          <w:kern w:val="2"/>
          <w:highlight w:val="none"/>
          <w:lang w:eastAsia="zh-CN"/>
        </w:rPr>
        <w:t>）</w:t>
      </w:r>
      <w:r>
        <w:rPr>
          <w:rFonts w:hint="eastAsia" w:ascii="宋体" w:hAnsi="宋体" w:eastAsia="宋体" w:cs="宋体"/>
          <w:bCs/>
          <w:color w:val="auto"/>
          <w:kern w:val="2"/>
          <w:highlight w:val="none"/>
        </w:rPr>
        <w:t>具有良好商业信誉特别声明(格式见附件)；</w:t>
      </w:r>
    </w:p>
    <w:p w14:paraId="7F99D2BA">
      <w:pPr>
        <w:pStyle w:val="13"/>
        <w:pageBreakBefore w:val="0"/>
        <w:kinsoku/>
        <w:wordWrap/>
        <w:overflowPunct/>
        <w:topLinePunct w:val="0"/>
        <w:bidi w:val="0"/>
        <w:spacing w:before="0" w:beforeLines="0" w:afterLines="0" w:line="440" w:lineRule="exact"/>
        <w:ind w:firstLine="480" w:firstLineChars="20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（8）符合特定资格条件（如果项目要求）的有关证明材料（复印件）；</w:t>
      </w:r>
    </w:p>
    <w:p w14:paraId="43FFAD8D">
      <w:pPr>
        <w:pStyle w:val="13"/>
        <w:pageBreakBefore w:val="0"/>
        <w:kinsoku/>
        <w:wordWrap/>
        <w:overflowPunct/>
        <w:topLinePunct w:val="0"/>
        <w:bidi w:val="0"/>
        <w:spacing w:before="0" w:beforeLines="0" w:afterLines="0" w:line="440" w:lineRule="exact"/>
        <w:ind w:firstLine="480" w:firstLineChars="200"/>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（9）投标人认为有必要提供的其他资格文件或说明。</w:t>
      </w:r>
    </w:p>
    <w:p w14:paraId="1680FAF7">
      <w:pPr>
        <w:wordWrap w:val="0"/>
        <w:topLinePunct/>
        <w:ind w:firstLine="482" w:firstLineChars="200"/>
        <w:rPr>
          <w:rFonts w:hint="eastAsia" w:ascii="宋体" w:hAnsi="宋体" w:eastAsia="宋体" w:cs="宋体"/>
          <w:b/>
          <w:bCs/>
        </w:rPr>
      </w:pPr>
      <w:r>
        <w:rPr>
          <w:rFonts w:hint="eastAsia" w:ascii="宋体" w:hAnsi="宋体" w:eastAsia="宋体" w:cs="宋体"/>
          <w:b/>
          <w:bCs/>
        </w:rPr>
        <w:t>2</w:t>
      </w:r>
      <w:r>
        <w:rPr>
          <w:rFonts w:hint="eastAsia" w:ascii="宋体" w:hAnsi="宋体" w:eastAsia="宋体" w:cs="宋体"/>
          <w:b/>
          <w:bCs/>
          <w:lang w:val="en-US" w:eastAsia="zh-CN"/>
        </w:rPr>
        <w:t>.</w:t>
      </w:r>
      <w:r>
        <w:rPr>
          <w:rFonts w:hint="eastAsia" w:ascii="宋体" w:hAnsi="宋体" w:eastAsia="宋体" w:cs="宋体"/>
          <w:b/>
          <w:bCs/>
          <w:color w:val="auto"/>
          <w:sz w:val="24"/>
          <w:szCs w:val="24"/>
          <w:highlight w:val="none"/>
        </w:rPr>
        <w:t>商务及技术文件</w:t>
      </w:r>
    </w:p>
    <w:p w14:paraId="221657DF">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（1）声明书（格式见附件）；</w:t>
      </w:r>
    </w:p>
    <w:p w14:paraId="20A5C4ED">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（2）节能环保等的资质证书或文件（若有）；</w:t>
      </w:r>
    </w:p>
    <w:p w14:paraId="68640025">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（3）投标人认为有必要提供的其他资信文件或说明。</w:t>
      </w:r>
      <w:r>
        <w:rPr>
          <w:rFonts w:hint="eastAsia" w:ascii="宋体" w:hAnsi="宋体" w:eastAsia="宋体" w:cs="宋体"/>
          <w:color w:val="auto"/>
          <w:sz w:val="24"/>
          <w:szCs w:val="24"/>
          <w:lang w:val="en-US" w:eastAsia="zh-CN"/>
        </w:rPr>
        <w:t xml:space="preserve"> </w:t>
      </w:r>
    </w:p>
    <w:p w14:paraId="040025AF">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（4）关于本项目的详细实施方案：包括技术方案、组织实施、售后服务方案等。</w:t>
      </w:r>
    </w:p>
    <w:p w14:paraId="4087C148">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根据本项目采购需求、评分标准提供的其他技术文件</w:t>
      </w:r>
      <w:r>
        <w:rPr>
          <w:rFonts w:hint="eastAsia" w:ascii="宋体" w:hAnsi="宋体" w:eastAsia="宋体" w:cs="宋体"/>
          <w:color w:val="auto"/>
          <w:sz w:val="24"/>
          <w:szCs w:val="24"/>
          <w:lang w:eastAsia="zh-CN"/>
        </w:rPr>
        <w:t>资料</w:t>
      </w:r>
      <w:r>
        <w:rPr>
          <w:rFonts w:hint="eastAsia" w:ascii="宋体" w:hAnsi="宋体" w:eastAsia="宋体" w:cs="宋体"/>
          <w:color w:val="auto"/>
          <w:sz w:val="24"/>
          <w:szCs w:val="24"/>
        </w:rPr>
        <w:t>和说明（若有</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格式自拟）；</w:t>
      </w:r>
    </w:p>
    <w:p w14:paraId="68DDA237">
      <w:pPr>
        <w:pageBreakBefore w:val="0"/>
        <w:numPr>
          <w:ilvl w:val="0"/>
          <w:numId w:val="0"/>
        </w:numPr>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lang w:eastAsia="zh-CN"/>
        </w:rPr>
        <w:t>服务条款</w:t>
      </w:r>
      <w:r>
        <w:rPr>
          <w:rFonts w:hint="eastAsia" w:ascii="宋体" w:hAnsi="宋体" w:eastAsia="宋体" w:cs="宋体"/>
          <w:color w:val="auto"/>
          <w:sz w:val="24"/>
          <w:szCs w:val="24"/>
        </w:rPr>
        <w:t>偏离表（格式见附件）；</w:t>
      </w:r>
    </w:p>
    <w:p w14:paraId="45BAFAF3">
      <w:pPr>
        <w:pageBreakBefore w:val="0"/>
        <w:numPr>
          <w:ilvl w:val="0"/>
          <w:numId w:val="0"/>
        </w:numPr>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gree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投标人情况介绍（格式见附件）；</w:t>
      </w:r>
    </w:p>
    <w:p w14:paraId="5D0F140E">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b w:val="0"/>
          <w:bCs/>
          <w:color w:val="auto"/>
          <w:sz w:val="24"/>
          <w:szCs w:val="24"/>
        </w:rPr>
        <w:t>投标人类似项目实施业绩一览表(格式见附件)并附上有关证明材料；</w:t>
      </w:r>
    </w:p>
    <w:p w14:paraId="3C9369E2">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）本项目实施人员（主要从业人员及其技术资格）一览表(格式见附件)：人员数量配置，重要岗位须人员详细资料，并附上有关证明材料；</w:t>
      </w:r>
    </w:p>
    <w:p w14:paraId="5DA571C8">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）投标人承诺给予</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的各种优惠条件及特殊承诺，包括售后服务、备品备件、专用耗材等方面的优惠；</w:t>
      </w:r>
    </w:p>
    <w:p w14:paraId="6B941C44">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）技术培训、运维保障、售后服务、验收方案的内容和措施；</w:t>
      </w:r>
    </w:p>
    <w:p w14:paraId="60D31AE9">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）投标人认为有必要提供的其他文件和说明（格式自拟）。</w:t>
      </w:r>
    </w:p>
    <w:p w14:paraId="4EA48862">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val="zh-CN"/>
        </w:rPr>
        <w:t>）关于对招标文件商务、合同中有关条款的拒绝声明（若有）。</w:t>
      </w:r>
    </w:p>
    <w:p w14:paraId="309690D5">
      <w:pPr>
        <w:wordWrap w:val="0"/>
        <w:topLinePunct/>
        <w:ind w:firstLine="482" w:firstLineChars="200"/>
        <w:rPr>
          <w:rFonts w:hint="eastAsia" w:ascii="宋体" w:hAnsi="宋体" w:eastAsia="宋体" w:cs="宋体"/>
          <w:b/>
        </w:rPr>
      </w:pPr>
      <w:r>
        <w:rPr>
          <w:rFonts w:hint="eastAsia" w:ascii="宋体" w:hAnsi="宋体" w:eastAsia="宋体" w:cs="宋体"/>
          <w:b/>
        </w:rPr>
        <w:t>3、报价文件</w:t>
      </w:r>
    </w:p>
    <w:p w14:paraId="72B7B29F">
      <w:pPr>
        <w:wordWrap w:val="0"/>
        <w:topLinePunct/>
        <w:ind w:firstLine="480" w:firstLineChars="200"/>
        <w:rPr>
          <w:rFonts w:hint="eastAsia" w:ascii="宋体" w:hAnsi="宋体" w:eastAsia="宋体" w:cs="宋体"/>
        </w:rPr>
      </w:pPr>
      <w:r>
        <w:rPr>
          <w:rFonts w:hint="eastAsia" w:ascii="宋体" w:hAnsi="宋体" w:eastAsia="宋体" w:cs="宋体"/>
        </w:rPr>
        <w:t>（1）投标响应函（格式见附件）；</w:t>
      </w:r>
    </w:p>
    <w:p w14:paraId="00709A59">
      <w:pPr>
        <w:wordWrap w:val="0"/>
        <w:topLinePunct/>
        <w:ind w:firstLine="480" w:firstLineChars="200"/>
        <w:rPr>
          <w:rFonts w:hint="eastAsia" w:ascii="宋体" w:hAnsi="宋体" w:eastAsia="宋体" w:cs="宋体"/>
        </w:rPr>
      </w:pPr>
      <w:r>
        <w:rPr>
          <w:rFonts w:hint="eastAsia" w:ascii="宋体" w:hAnsi="宋体" w:eastAsia="宋体" w:cs="宋体"/>
        </w:rPr>
        <w:t>（2）报价一览表（格式见附件）；</w:t>
      </w:r>
    </w:p>
    <w:p w14:paraId="510B4E27">
      <w:pPr>
        <w:wordWrap w:val="0"/>
        <w:topLinePunct/>
        <w:ind w:firstLine="480" w:firstLineChars="200"/>
        <w:rPr>
          <w:rFonts w:hint="eastAsia" w:ascii="宋体" w:hAnsi="宋体" w:eastAsia="宋体" w:cs="宋体"/>
        </w:rPr>
      </w:pPr>
      <w:r>
        <w:rPr>
          <w:rFonts w:hint="eastAsia" w:ascii="宋体" w:hAnsi="宋体" w:eastAsia="宋体" w:cs="宋体"/>
        </w:rPr>
        <w:t>（3）投标人针对报价需要说明的其他文件和资料（格式自拟）。</w:t>
      </w:r>
    </w:p>
    <w:p w14:paraId="33CA7808">
      <w:pPr>
        <w:pageBreakBefore w:val="0"/>
        <w:kinsoku/>
        <w:wordWrap/>
        <w:overflowPunct/>
        <w:topLinePunct w:val="0"/>
        <w:bidi w:val="0"/>
        <w:spacing w:beforeLines="0" w:line="440" w:lineRule="exact"/>
        <w:ind w:firstLine="482" w:firstLineChars="200"/>
        <w:textAlignment w:val="auto"/>
        <w:rPr>
          <w:rFonts w:hint="eastAsia" w:ascii="宋体" w:hAnsi="宋体" w:eastAsia="宋体" w:cs="宋体"/>
          <w:b/>
          <w:color w:val="auto"/>
          <w:kern w:val="0"/>
          <w:sz w:val="24"/>
          <w:highlight w:val="none"/>
        </w:rPr>
      </w:pPr>
      <w:bookmarkStart w:id="3" w:name="_Toc830167605"/>
      <w:r>
        <w:rPr>
          <w:rFonts w:hint="eastAsia" w:ascii="宋体" w:hAnsi="宋体" w:eastAsia="宋体" w:cs="宋体"/>
          <w:b/>
          <w:color w:val="auto"/>
          <w:kern w:val="0"/>
          <w:sz w:val="24"/>
          <w:highlight w:val="none"/>
        </w:rPr>
        <w:t>（三）投标文件的编制、签署</w:t>
      </w:r>
    </w:p>
    <w:p w14:paraId="344ECD0C">
      <w:pPr>
        <w:pageBreakBefore w:val="0"/>
        <w:widowControl/>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组成投标文件的各项资料均应遵守本条：</w:t>
      </w:r>
    </w:p>
    <w:p w14:paraId="04BE2FDB">
      <w:pPr>
        <w:pageBreakBefore w:val="0"/>
        <w:widowControl/>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1.投标文件的签署、盖章：</w:t>
      </w:r>
    </w:p>
    <w:p w14:paraId="3C7E236E">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b/>
          <w:bCs/>
          <w:color w:val="auto"/>
          <w:kern w:val="0"/>
          <w:sz w:val="24"/>
          <w:szCs w:val="22"/>
          <w:highlight w:val="none"/>
        </w:rPr>
      </w:pPr>
      <w:r>
        <w:rPr>
          <w:rFonts w:hint="eastAsia" w:ascii="宋体" w:hAnsi="宋体" w:eastAsia="宋体" w:cs="宋体"/>
          <w:color w:val="auto"/>
          <w:kern w:val="0"/>
          <w:sz w:val="24"/>
          <w:szCs w:val="22"/>
          <w:highlight w:val="none"/>
        </w:rPr>
        <w:t>投标文件按照招标文件格式要求进行签署、盖章。</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2"/>
          <w:highlight w:val="none"/>
        </w:rPr>
        <w:t>投标人的投标文件未按照招标文件要求签署、盖章的，其投标无效</w:t>
      </w:r>
      <w:r>
        <w:rPr>
          <w:rFonts w:hint="eastAsia" w:ascii="宋体" w:hAnsi="宋体" w:eastAsia="宋体" w:cs="宋体"/>
          <w:color w:val="auto"/>
          <w:kern w:val="0"/>
          <w:sz w:val="24"/>
          <w:szCs w:val="22"/>
          <w:highlight w:val="none"/>
        </w:rPr>
        <w:t>；</w:t>
      </w:r>
      <w:r>
        <w:rPr>
          <w:rFonts w:hint="eastAsia" w:ascii="宋体" w:hAnsi="宋体" w:eastAsia="宋体" w:cs="宋体"/>
          <w:b/>
          <w:bCs/>
          <w:color w:val="auto"/>
          <w:kern w:val="0"/>
          <w:sz w:val="24"/>
          <w:szCs w:val="22"/>
          <w:highlight w:val="none"/>
        </w:rPr>
        <w:t>其中电子投标文件中所须加盖公章部分均采用CA签章，并根据“</w:t>
      </w:r>
      <w:r>
        <w:rPr>
          <w:rFonts w:hint="eastAsia" w:ascii="宋体" w:hAnsi="宋体" w:eastAsia="宋体" w:cs="宋体"/>
          <w:b/>
          <w:bCs/>
          <w:color w:val="auto"/>
          <w:kern w:val="0"/>
          <w:sz w:val="24"/>
          <w:szCs w:val="22"/>
          <w:highlight w:val="none"/>
          <w:lang w:val="en-US" w:eastAsia="zh-CN"/>
        </w:rPr>
        <w:t>乐采云</w:t>
      </w:r>
      <w:r>
        <w:rPr>
          <w:rFonts w:hint="eastAsia" w:ascii="宋体" w:hAnsi="宋体" w:eastAsia="宋体" w:cs="宋体"/>
          <w:b/>
          <w:bCs/>
          <w:color w:val="auto"/>
          <w:kern w:val="0"/>
          <w:sz w:val="24"/>
          <w:szCs w:val="22"/>
          <w:highlight w:val="none"/>
        </w:rPr>
        <w:t>供应商项目采购-电子招投标操作指南”及本招标文件规定的格式和顺序编制电子投标文件并进行关联定位。</w:t>
      </w:r>
    </w:p>
    <w:p w14:paraId="3D17E1EA">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2"/>
          <w:highlight w:val="none"/>
        </w:rPr>
        <w:t>为确保网上操作合法、有效和安全，投标人应当在投标截止时间前完成在“政府采购云平台”的身份认证，确保在电子投标过程中能够对相关数据电文进行加密和使用电子签名。</w:t>
      </w:r>
    </w:p>
    <w:p w14:paraId="18BCB9D7">
      <w:pPr>
        <w:pageBreakBefore w:val="0"/>
        <w:kinsoku/>
        <w:wordWrap/>
        <w:overflowPunct/>
        <w:topLinePunct w:val="0"/>
        <w:bidi w:val="0"/>
        <w:spacing w:beforeLines="0" w:line="440" w:lineRule="exact"/>
        <w:ind w:firstLine="482"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rPr>
        <w:t>▲2.投标文件须由法定代表人或其授权代表签署。应由投标人法定代表人或授权代表签字的，须</w:t>
      </w:r>
      <w:r>
        <w:rPr>
          <w:rFonts w:hint="eastAsia" w:ascii="宋体" w:hAnsi="宋体" w:eastAsia="宋体" w:cs="宋体"/>
          <w:b/>
          <w:bCs/>
          <w:color w:val="000000"/>
          <w:kern w:val="0"/>
          <w:sz w:val="24"/>
        </w:rPr>
        <w:t>用不褪色墨水</w:t>
      </w:r>
      <w:r>
        <w:rPr>
          <w:rFonts w:hint="eastAsia" w:ascii="宋体" w:hAnsi="宋体" w:eastAsia="宋体" w:cs="宋体"/>
          <w:b/>
          <w:bCs/>
          <w:color w:val="auto"/>
          <w:sz w:val="24"/>
          <w:szCs w:val="24"/>
          <w:highlight w:val="none"/>
        </w:rPr>
        <w:t>签名或电子签名，否则按无效标处理。</w:t>
      </w:r>
    </w:p>
    <w:p w14:paraId="5A277185">
      <w:pPr>
        <w:pageBreakBefore w:val="0"/>
        <w:kinsoku/>
        <w:wordWrap/>
        <w:overflowPunct/>
        <w:topLinePunct w:val="0"/>
        <w:bidi w:val="0"/>
        <w:spacing w:beforeLines="0" w:line="440" w:lineRule="exact"/>
        <w:ind w:firstLine="482" w:firstLineChars="200"/>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highlight w:val="none"/>
        </w:rPr>
        <w:t>3.</w:t>
      </w:r>
      <w:r>
        <w:rPr>
          <w:rFonts w:hint="eastAsia" w:ascii="宋体" w:hAnsi="宋体" w:eastAsia="宋体" w:cs="宋体"/>
          <w:b/>
          <w:color w:val="auto"/>
          <w:kern w:val="0"/>
          <w:sz w:val="24"/>
          <w:highlight w:val="none"/>
        </w:rPr>
        <w:t>资格文件、商务及技术文件中不得出现投标报价等价格信息，否则按无效标处理。</w:t>
      </w:r>
    </w:p>
    <w:p w14:paraId="5DF39D0D">
      <w:pPr>
        <w:pageBreakBefore w:val="0"/>
        <w:numPr>
          <w:ilvl w:val="0"/>
          <w:numId w:val="3"/>
        </w:numPr>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highlight w:val="none"/>
        </w:rPr>
        <w:t>投标文件应字迹清楚、内容齐全、格式规范，如有修改，</w:t>
      </w:r>
      <w:r>
        <w:rPr>
          <w:rFonts w:hint="eastAsia" w:ascii="宋体" w:hAnsi="宋体" w:eastAsia="宋体" w:cs="宋体"/>
          <w:color w:val="auto"/>
          <w:sz w:val="24"/>
          <w:szCs w:val="24"/>
          <w:highlight w:val="none"/>
        </w:rPr>
        <w:t>修改处须有法定代表人或其授权代表</w:t>
      </w:r>
      <w:r>
        <w:rPr>
          <w:rFonts w:hint="eastAsia" w:ascii="宋体" w:hAnsi="宋体" w:eastAsia="宋体" w:cs="宋体"/>
          <w:color w:val="000000"/>
          <w:kern w:val="0"/>
          <w:sz w:val="24"/>
        </w:rPr>
        <w:t>不褪色墨水</w:t>
      </w:r>
      <w:r>
        <w:rPr>
          <w:rFonts w:hint="eastAsia" w:ascii="宋体" w:hAnsi="宋体" w:eastAsia="宋体" w:cs="宋体"/>
          <w:color w:val="auto"/>
          <w:sz w:val="24"/>
          <w:szCs w:val="24"/>
          <w:highlight w:val="none"/>
        </w:rPr>
        <w:t>签名或电子签名并加盖投标人公章</w:t>
      </w:r>
      <w:r>
        <w:rPr>
          <w:rFonts w:hint="eastAsia" w:ascii="宋体" w:hAnsi="宋体" w:eastAsia="宋体" w:cs="宋体"/>
          <w:color w:val="auto"/>
          <w:kern w:val="0"/>
          <w:sz w:val="24"/>
          <w:highlight w:val="none"/>
        </w:rPr>
        <w:t>。投标文件因字迹潦草或表达不清所引起的后果由投标人负责</w:t>
      </w:r>
      <w:r>
        <w:rPr>
          <w:rFonts w:hint="eastAsia" w:ascii="宋体" w:hAnsi="宋体" w:eastAsia="宋体" w:cs="宋体"/>
          <w:color w:val="auto"/>
          <w:kern w:val="0"/>
          <w:sz w:val="24"/>
          <w:szCs w:val="22"/>
          <w:highlight w:val="none"/>
        </w:rPr>
        <w:t>。</w:t>
      </w:r>
    </w:p>
    <w:p w14:paraId="0DFEBD8D">
      <w:pPr>
        <w:pageBreakBefore w:val="0"/>
        <w:numPr>
          <w:ilvl w:val="0"/>
          <w:numId w:val="3"/>
        </w:numPr>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2"/>
          <w:highlight w:val="none"/>
        </w:rPr>
        <w:t>因未按照</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kern w:val="0"/>
          <w:sz w:val="24"/>
          <w:szCs w:val="22"/>
          <w:highlight w:val="none"/>
        </w:rPr>
        <w:t>要求编制而导致的投标文件被误读或按无效标处理等不利后果由投标人承担。</w:t>
      </w:r>
    </w:p>
    <w:p w14:paraId="2B361219">
      <w:pPr>
        <w:pageBreakBefore w:val="0"/>
        <w:widowControl/>
        <w:kinsoku/>
        <w:wordWrap/>
        <w:overflowPunct/>
        <w:topLinePunct w:val="0"/>
        <w:bidi w:val="0"/>
        <w:snapToGrid w:val="0"/>
        <w:spacing w:beforeLines="0" w:line="440" w:lineRule="exact"/>
        <w:ind w:firstLine="482" w:firstLineChars="200"/>
        <w:textAlignment w:val="auto"/>
        <w:outlineLvl w:val="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（四）投标报价</w:t>
      </w:r>
    </w:p>
    <w:p w14:paraId="6B4E4E88">
      <w:pPr>
        <w:pageBreakBefore w:val="0"/>
        <w:widowControl/>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1.所有投标报价均以人民币元为计算单位。</w:t>
      </w:r>
      <w:r>
        <w:rPr>
          <w:rFonts w:hint="eastAsia" w:ascii="宋体" w:hAnsi="宋体" w:eastAsia="宋体" w:cs="宋体"/>
          <w:color w:val="auto"/>
          <w:sz w:val="24"/>
          <w:szCs w:val="24"/>
          <w:highlight w:val="none"/>
        </w:rPr>
        <w:t>投标报价应是唯一的，</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将拒绝有选择的报价，投标报价应按招标文件中相关附表格式填报</w:t>
      </w:r>
      <w:r>
        <w:rPr>
          <w:rFonts w:hint="eastAsia" w:ascii="宋体" w:hAnsi="宋体" w:eastAsia="宋体" w:cs="宋体"/>
          <w:color w:val="auto"/>
          <w:kern w:val="0"/>
          <w:sz w:val="24"/>
          <w:highlight w:val="none"/>
        </w:rPr>
        <w:t>。</w:t>
      </w:r>
    </w:p>
    <w:p w14:paraId="537A604C">
      <w:pPr>
        <w:keepNext w:val="0"/>
        <w:keepLines w:val="0"/>
        <w:pageBreakBefore w:val="0"/>
        <w:widowControl/>
        <w:kinsoku/>
        <w:wordWrap/>
        <w:overflowPunct/>
        <w:topLinePunct w:val="0"/>
        <w:autoSpaceDE/>
        <w:autoSpaceDN/>
        <w:bidi w:val="0"/>
        <w:adjustRightInd/>
        <w:snapToGrid w:val="0"/>
        <w:spacing w:beforeLines="0"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2.投标价格应该已经扣除所有同业折扣以及现金折扣。投标报价应包括所需缴纳的所有税费、项目实施所需的一切费用。</w:t>
      </w:r>
    </w:p>
    <w:p w14:paraId="626EE5F6">
      <w:pPr>
        <w:keepNext w:val="0"/>
        <w:keepLines w:val="0"/>
        <w:pageBreakBefore w:val="0"/>
        <w:widowControl/>
        <w:kinsoku/>
        <w:wordWrap/>
        <w:overflowPunct/>
        <w:topLinePunct w:val="0"/>
        <w:autoSpaceDE/>
        <w:autoSpaceDN/>
        <w:bidi w:val="0"/>
        <w:adjustRightInd/>
        <w:snapToGrid w:val="0"/>
        <w:spacing w:beforeLines="0"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3.供应商所报的费率是固定不变的，不得以任何理由予以变更。任何包含价格调整的要求，将被认为是非实质性响应投标而予以拒绝。</w:t>
      </w:r>
    </w:p>
    <w:p w14:paraId="24FC831E">
      <w:pPr>
        <w:keepNext w:val="0"/>
        <w:keepLines w:val="0"/>
        <w:pageBreakBefore w:val="0"/>
        <w:widowControl/>
        <w:kinsoku/>
        <w:wordWrap/>
        <w:overflowPunct/>
        <w:topLinePunct w:val="0"/>
        <w:autoSpaceDE/>
        <w:autoSpaceDN/>
        <w:bidi w:val="0"/>
        <w:adjustRightInd/>
        <w:snapToGrid w:val="0"/>
        <w:spacing w:beforeLines="0" w:line="440" w:lineRule="exact"/>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4.有实物工程量而无报价的，在实施后，</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将不予以支付，并视作该项费用已包括在其它有价款的单价或合价内。</w:t>
      </w:r>
    </w:p>
    <w:p w14:paraId="35A1568A">
      <w:pPr>
        <w:keepNext w:val="0"/>
        <w:keepLines w:val="0"/>
        <w:pageBreakBefore w:val="0"/>
        <w:widowControl/>
        <w:kinsoku/>
        <w:wordWrap/>
        <w:overflowPunct/>
        <w:topLinePunct w:val="0"/>
        <w:autoSpaceDE/>
        <w:autoSpaceDN/>
        <w:bidi w:val="0"/>
        <w:adjustRightInd/>
        <w:snapToGrid w:val="0"/>
        <w:spacing w:beforeLines="0" w:line="44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5.其他费用处理：</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kern w:val="0"/>
          <w:sz w:val="24"/>
        </w:rPr>
        <w:t>未列明，而投标人认为必需的费用也应列入报价。</w:t>
      </w:r>
    </w:p>
    <w:p w14:paraId="2EC4324E">
      <w:pPr>
        <w:keepNext w:val="0"/>
        <w:keepLines w:val="0"/>
        <w:pageBreakBefore w:val="0"/>
        <w:widowControl/>
        <w:kinsoku/>
        <w:wordWrap/>
        <w:overflowPunct/>
        <w:topLinePunct w:val="0"/>
        <w:autoSpaceDE/>
        <w:autoSpaceDN/>
        <w:bidi w:val="0"/>
        <w:adjustRightInd/>
        <w:snapToGrid w:val="0"/>
        <w:spacing w:beforeLines="0" w:line="440" w:lineRule="exact"/>
        <w:ind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本次项目采购人特别提醒投标人应充分考虑市场价格较大波动因素及现场条件。一旦中标，中标人不得以任何理由调整合同价格。任何包含价格调整的要求，将被认为是非实质性响应投标而予以拒绝。</w:t>
      </w:r>
    </w:p>
    <w:p w14:paraId="6877B5A2">
      <w:pPr>
        <w:pageBreakBefore w:val="0"/>
        <w:widowControl/>
        <w:kinsoku/>
        <w:wordWrap/>
        <w:overflowPunct/>
        <w:topLinePunct w:val="0"/>
        <w:bidi w:val="0"/>
        <w:snapToGrid w:val="0"/>
        <w:spacing w:beforeLines="0" w:line="44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7</w:t>
      </w:r>
      <w:r>
        <w:rPr>
          <w:rFonts w:hint="eastAsia" w:ascii="宋体" w:hAnsi="宋体" w:eastAsia="宋体" w:cs="宋体"/>
          <w:b/>
          <w:bCs/>
          <w:color w:val="auto"/>
          <w:kern w:val="0"/>
          <w:sz w:val="24"/>
          <w:highlight w:val="none"/>
        </w:rPr>
        <w:t>.投标报价的确认：</w:t>
      </w:r>
      <w:r>
        <w:rPr>
          <w:rFonts w:hint="eastAsia" w:ascii="宋体" w:hAnsi="宋体" w:eastAsia="宋体" w:cs="宋体"/>
          <w:b/>
          <w:bCs/>
          <w:color w:val="auto"/>
          <w:kern w:val="0"/>
          <w:sz w:val="24"/>
          <w:highlight w:val="none"/>
          <w:lang w:eastAsia="zh-CN"/>
        </w:rPr>
        <w:t>采购代理机构</w:t>
      </w:r>
      <w:r>
        <w:rPr>
          <w:rFonts w:hint="eastAsia" w:ascii="宋体" w:hAnsi="宋体" w:eastAsia="宋体" w:cs="宋体"/>
          <w:b/>
          <w:bCs/>
          <w:color w:val="auto"/>
          <w:kern w:val="0"/>
          <w:sz w:val="24"/>
          <w:highlight w:val="none"/>
        </w:rPr>
        <w:t>在</w:t>
      </w:r>
      <w:r>
        <w:rPr>
          <w:rFonts w:hint="eastAsia" w:ascii="宋体" w:hAnsi="宋体" w:eastAsia="宋体" w:cs="宋体"/>
          <w:b/>
          <w:bCs/>
          <w:color w:val="auto"/>
          <w:kern w:val="0"/>
          <w:sz w:val="24"/>
          <w:highlight w:val="none"/>
          <w:lang w:val="en-US" w:eastAsia="zh-CN"/>
        </w:rPr>
        <w:t>乐采云</w:t>
      </w:r>
      <w:r>
        <w:rPr>
          <w:rFonts w:hint="eastAsia" w:ascii="宋体" w:hAnsi="宋体" w:eastAsia="宋体" w:cs="宋体"/>
          <w:b/>
          <w:bCs/>
          <w:color w:val="auto"/>
          <w:kern w:val="0"/>
          <w:sz w:val="24"/>
          <w:highlight w:val="none"/>
        </w:rPr>
        <w:t>网站“项目采购-开标评标-开标记录（报价）”模块进行开启报价文件操作视同唱标。经解密的投标报价由</w:t>
      </w:r>
      <w:r>
        <w:rPr>
          <w:rFonts w:hint="eastAsia" w:ascii="宋体" w:hAnsi="宋体" w:eastAsia="宋体" w:cs="宋体"/>
          <w:b/>
          <w:bCs/>
          <w:color w:val="auto"/>
          <w:kern w:val="0"/>
          <w:sz w:val="24"/>
          <w:szCs w:val="22"/>
          <w:highlight w:val="none"/>
        </w:rPr>
        <w:t>投标人</w:t>
      </w:r>
      <w:r>
        <w:rPr>
          <w:rFonts w:hint="eastAsia" w:ascii="宋体" w:hAnsi="宋体" w:eastAsia="宋体" w:cs="宋体"/>
          <w:b/>
          <w:bCs/>
          <w:color w:val="auto"/>
          <w:sz w:val="24"/>
          <w:szCs w:val="24"/>
          <w:highlight w:val="none"/>
        </w:rPr>
        <w:t>法定代表人或其</w:t>
      </w:r>
      <w:r>
        <w:rPr>
          <w:rFonts w:hint="eastAsia" w:ascii="宋体" w:hAnsi="宋体" w:eastAsia="宋体" w:cs="宋体"/>
          <w:b/>
          <w:bCs/>
          <w:color w:val="auto"/>
          <w:kern w:val="0"/>
          <w:sz w:val="24"/>
          <w:szCs w:val="22"/>
          <w:highlight w:val="none"/>
        </w:rPr>
        <w:t>授权代表在线签名确认。投标人</w:t>
      </w:r>
      <w:r>
        <w:rPr>
          <w:rFonts w:hint="eastAsia" w:ascii="宋体" w:hAnsi="宋体" w:eastAsia="宋体" w:cs="宋体"/>
          <w:b/>
          <w:bCs/>
          <w:color w:val="auto"/>
          <w:sz w:val="24"/>
          <w:szCs w:val="24"/>
          <w:highlight w:val="none"/>
        </w:rPr>
        <w:t>法定代表人或其</w:t>
      </w:r>
      <w:r>
        <w:rPr>
          <w:rFonts w:hint="eastAsia" w:ascii="宋体" w:hAnsi="宋体" w:eastAsia="宋体" w:cs="宋体"/>
          <w:b/>
          <w:bCs/>
          <w:color w:val="auto"/>
          <w:kern w:val="0"/>
          <w:sz w:val="24"/>
          <w:szCs w:val="22"/>
          <w:highlight w:val="none"/>
        </w:rPr>
        <w:t>授权代表未在开放在线签字确认环节10分钟内进行在线核实的，视作确认报价，不影响评标过程和结果</w:t>
      </w:r>
      <w:r>
        <w:rPr>
          <w:rFonts w:hint="eastAsia" w:ascii="宋体" w:hAnsi="宋体" w:eastAsia="宋体" w:cs="宋体"/>
          <w:b/>
          <w:color w:val="auto"/>
          <w:kern w:val="0"/>
          <w:sz w:val="24"/>
        </w:rPr>
        <w:t>，否则由投标人自己负责，采购</w:t>
      </w:r>
      <w:r>
        <w:rPr>
          <w:rFonts w:hint="eastAsia" w:ascii="宋体" w:hAnsi="宋体" w:eastAsia="宋体" w:cs="宋体"/>
          <w:b/>
          <w:color w:val="auto"/>
          <w:kern w:val="0"/>
          <w:sz w:val="24"/>
          <w:lang w:eastAsia="zh-CN"/>
        </w:rPr>
        <w:t>代理</w:t>
      </w:r>
      <w:r>
        <w:rPr>
          <w:rFonts w:hint="eastAsia" w:ascii="宋体" w:hAnsi="宋体" w:eastAsia="宋体" w:cs="宋体"/>
          <w:b/>
          <w:color w:val="auto"/>
          <w:kern w:val="0"/>
          <w:sz w:val="24"/>
        </w:rPr>
        <w:t>机构对此不承担任何责任。</w:t>
      </w:r>
    </w:p>
    <w:p w14:paraId="07BCAAEC">
      <w:pPr>
        <w:keepNext w:val="0"/>
        <w:keepLines w:val="0"/>
        <w:pageBreakBefore w:val="0"/>
        <w:widowControl/>
        <w:kinsoku/>
        <w:wordWrap/>
        <w:overflowPunct/>
        <w:topLinePunct w:val="0"/>
        <w:autoSpaceDE/>
        <w:autoSpaceDN/>
        <w:bidi w:val="0"/>
        <w:adjustRightInd/>
        <w:snapToGrid w:val="0"/>
        <w:spacing w:beforeLines="0" w:line="440" w:lineRule="exact"/>
        <w:ind w:firstLine="482" w:firstLineChars="200"/>
        <w:textAlignment w:val="auto"/>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val="en-US" w:eastAsia="zh-CN"/>
        </w:rPr>
        <w:t>8</w:t>
      </w:r>
      <w:r>
        <w:rPr>
          <w:rFonts w:hint="eastAsia" w:ascii="宋体" w:hAnsi="宋体" w:eastAsia="宋体" w:cs="宋体"/>
          <w:b/>
          <w:color w:val="auto"/>
          <w:kern w:val="0"/>
          <w:sz w:val="24"/>
        </w:rPr>
        <w:t>.投标人若有方案和报价未被唱标的（采购机构在</w:t>
      </w:r>
      <w:r>
        <w:rPr>
          <w:rFonts w:hint="eastAsia" w:ascii="宋体" w:hAnsi="宋体" w:eastAsia="宋体" w:cs="宋体"/>
          <w:b/>
          <w:color w:val="auto"/>
          <w:kern w:val="0"/>
          <w:sz w:val="24"/>
          <w:lang w:val="en-US" w:eastAsia="zh-CN"/>
        </w:rPr>
        <w:t>乐采云</w:t>
      </w:r>
      <w:r>
        <w:rPr>
          <w:rFonts w:hint="eastAsia" w:ascii="宋体" w:hAnsi="宋体" w:eastAsia="宋体" w:cs="宋体"/>
          <w:b/>
          <w:color w:val="auto"/>
          <w:kern w:val="0"/>
          <w:sz w:val="24"/>
        </w:rPr>
        <w:t>网站“项目采购-开标评标-开标记录（报价）”模块进行开启报价文件操作视同唱标），应在开标时及时声明或提请采购人注意</w:t>
      </w:r>
      <w:r>
        <w:rPr>
          <w:rFonts w:hint="eastAsia" w:ascii="宋体" w:hAnsi="宋体" w:eastAsia="宋体" w:cs="宋体"/>
          <w:b/>
          <w:color w:val="auto"/>
          <w:kern w:val="0"/>
          <w:sz w:val="24"/>
          <w:lang w:eastAsia="zh-CN"/>
        </w:rPr>
        <w:t>。</w:t>
      </w:r>
    </w:p>
    <w:p w14:paraId="4105E3D2">
      <w:pPr>
        <w:pageBreakBefore w:val="0"/>
        <w:widowControl/>
        <w:kinsoku/>
        <w:wordWrap/>
        <w:overflowPunct/>
        <w:topLinePunct w:val="0"/>
        <w:bidi w:val="0"/>
        <w:snapToGrid w:val="0"/>
        <w:spacing w:beforeLines="0" w:line="440" w:lineRule="exact"/>
        <w:ind w:firstLine="482" w:firstLineChars="200"/>
        <w:textAlignment w:val="auto"/>
        <w:outlineLvl w:val="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（五）投标文件的递交</w:t>
      </w:r>
    </w:p>
    <w:p w14:paraId="12A33B4D">
      <w:pPr>
        <w:pStyle w:val="34"/>
        <w:pageBreakBefore w:val="0"/>
        <w:kinsoku/>
        <w:wordWrap/>
        <w:overflowPunct/>
        <w:topLinePunct w:val="0"/>
        <w:bidi w:val="0"/>
        <w:spacing w:beforeLines="0" w:line="44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szCs w:val="24"/>
          <w:highlight w:val="none"/>
        </w:rPr>
        <w:t>电子交易平台收到投标文件，将妥善保存并即时向供应商发出确认回执通知。在投标截止时间前，除投标人补充、修改或者撤回投标文件外，任何单位和个人不得解密或提取投标文件。</w:t>
      </w:r>
    </w:p>
    <w:p w14:paraId="0847BA55">
      <w:pPr>
        <w:pageBreakBefore w:val="0"/>
        <w:widowControl/>
        <w:kinsoku/>
        <w:wordWrap/>
        <w:overflowPunct/>
        <w:topLinePunct w:val="0"/>
        <w:bidi w:val="0"/>
        <w:snapToGrid w:val="0"/>
        <w:spacing w:beforeLines="0" w:line="44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2.投标文件的补充和修改</w:t>
      </w:r>
    </w:p>
    <w:p w14:paraId="19CB40DE">
      <w:pPr>
        <w:pStyle w:val="34"/>
        <w:pageBreakBefore w:val="0"/>
        <w:kinsoku/>
        <w:wordWrap/>
        <w:overflowPunct/>
        <w:topLinePunct w:val="0"/>
        <w:bidi w:val="0"/>
        <w:spacing w:beforeLines="0" w:line="440" w:lineRule="exact"/>
        <w:ind w:left="0" w:firstLine="482" w:firstLineChars="200"/>
        <w:textAlignment w:val="auto"/>
        <w:rPr>
          <w:rFonts w:hint="eastAsia" w:ascii="宋体" w:hAnsi="宋体" w:eastAsia="宋体" w:cs="宋体"/>
          <w:color w:val="auto"/>
          <w:szCs w:val="24"/>
          <w:highlight w:val="none"/>
        </w:rPr>
      </w:pPr>
      <w:r>
        <w:rPr>
          <w:rFonts w:hint="eastAsia" w:ascii="宋体" w:hAnsi="宋体" w:eastAsia="宋体" w:cs="宋体"/>
          <w:b/>
          <w:bCs/>
          <w:color w:val="auto"/>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w:t>
      </w:r>
      <w:r>
        <w:rPr>
          <w:rFonts w:hint="eastAsia" w:ascii="宋体" w:hAnsi="宋体" w:eastAsia="宋体" w:cs="宋体"/>
          <w:b/>
          <w:bCs/>
          <w:color w:val="auto"/>
          <w:szCs w:val="22"/>
          <w:highlight w:val="none"/>
        </w:rPr>
        <w:t>件，电子交易平台将拒收。</w:t>
      </w:r>
    </w:p>
    <w:p w14:paraId="5079A5B5">
      <w:pPr>
        <w:pageBreakBefore w:val="0"/>
        <w:widowControl/>
        <w:kinsoku/>
        <w:wordWrap/>
        <w:overflowPunct/>
        <w:topLinePunct w:val="0"/>
        <w:bidi w:val="0"/>
        <w:snapToGrid w:val="0"/>
        <w:spacing w:beforeLines="0" w:line="44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3.投标截止时间和有效时间</w:t>
      </w:r>
    </w:p>
    <w:p w14:paraId="5CE7D64F">
      <w:pPr>
        <w:pStyle w:val="41"/>
        <w:pageBreakBefore w:val="0"/>
        <w:kinsoku/>
        <w:wordWrap/>
        <w:overflowPunct/>
        <w:topLinePunct w:val="0"/>
        <w:bidi w:val="0"/>
        <w:spacing w:beforeLines="0" w:line="440" w:lineRule="exact"/>
        <w:ind w:left="0" w:firstLine="482" w:firstLineChars="200"/>
        <w:contextualSpacing/>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（1）投标截止时间见前附表。</w:t>
      </w:r>
      <w:r>
        <w:rPr>
          <w:rFonts w:hint="eastAsia" w:ascii="宋体" w:hAnsi="宋体" w:eastAsia="宋体" w:cs="宋体"/>
          <w:bCs/>
          <w:color w:val="auto"/>
          <w:sz w:val="24"/>
          <w:szCs w:val="24"/>
          <w:highlight w:val="none"/>
        </w:rPr>
        <w:t>如因电子交易平台原因影响投标截止时间的，</w:t>
      </w:r>
      <w:r>
        <w:rPr>
          <w:rFonts w:hint="eastAsia" w:ascii="宋体" w:hAnsi="宋体" w:eastAsia="宋体" w:cs="宋体"/>
          <w:bCs/>
          <w:color w:val="auto"/>
          <w:sz w:val="24"/>
          <w:szCs w:val="24"/>
          <w:highlight w:val="none"/>
          <w:lang w:eastAsia="zh-CN"/>
        </w:rPr>
        <w:t>采购代理机构</w:t>
      </w:r>
      <w:r>
        <w:rPr>
          <w:rFonts w:hint="eastAsia" w:ascii="宋体" w:hAnsi="宋体" w:eastAsia="宋体" w:cs="宋体"/>
          <w:bCs/>
          <w:color w:val="auto"/>
          <w:sz w:val="24"/>
          <w:szCs w:val="24"/>
          <w:highlight w:val="none"/>
        </w:rPr>
        <w:t>可以视情况延长投标文件提交的截止时间。在上述情况下，</w:t>
      </w:r>
      <w:r>
        <w:rPr>
          <w:rFonts w:hint="eastAsia" w:ascii="宋体" w:hAnsi="宋体" w:eastAsia="宋体" w:cs="宋体"/>
          <w:bCs/>
          <w:color w:val="auto"/>
          <w:sz w:val="24"/>
          <w:szCs w:val="24"/>
          <w:highlight w:val="none"/>
          <w:lang w:eastAsia="zh-CN"/>
        </w:rPr>
        <w:t>采购人</w:t>
      </w:r>
      <w:r>
        <w:rPr>
          <w:rFonts w:hint="eastAsia" w:ascii="宋体" w:hAnsi="宋体" w:eastAsia="宋体" w:cs="宋体"/>
          <w:bCs/>
          <w:color w:val="auto"/>
          <w:sz w:val="24"/>
          <w:szCs w:val="24"/>
          <w:highlight w:val="none"/>
        </w:rPr>
        <w:t>与投标人在之前投标截止期方面的全部权利、责任和义务，将适用于延长至新的投标截止期。</w:t>
      </w:r>
    </w:p>
    <w:p w14:paraId="579D065B">
      <w:pPr>
        <w:pStyle w:val="41"/>
        <w:pageBreakBefore w:val="0"/>
        <w:kinsoku/>
        <w:wordWrap/>
        <w:overflowPunct/>
        <w:topLinePunct w:val="0"/>
        <w:bidi w:val="0"/>
        <w:spacing w:beforeLines="0" w:line="440" w:lineRule="exact"/>
        <w:ind w:left="0" w:firstLine="480" w:firstLineChars="2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（2）投标截止时间后，投标人登录乐采云平台，用“项目采购-开标评标”功能对电子投标文件进行在线解密。</w:t>
      </w:r>
      <w:r>
        <w:rPr>
          <w:rFonts w:hint="eastAsia" w:ascii="宋体" w:hAnsi="宋体" w:eastAsia="宋体" w:cs="宋体"/>
          <w:b/>
          <w:color w:val="auto"/>
          <w:sz w:val="24"/>
          <w:szCs w:val="24"/>
          <w:highlight w:val="none"/>
          <w:u w:val="single"/>
        </w:rPr>
        <w:t>在线解密电子投标文件时间为开标时间起30分钟内。</w:t>
      </w:r>
    </w:p>
    <w:p w14:paraId="48EEACC6">
      <w:pPr>
        <w:pStyle w:val="41"/>
        <w:pageBreakBefore w:val="0"/>
        <w:kinsoku/>
        <w:wordWrap/>
        <w:overflowPunct/>
        <w:topLinePunct w:val="0"/>
        <w:bidi w:val="0"/>
        <w:spacing w:beforeLines="0" w:line="440" w:lineRule="exact"/>
        <w:ind w:left="0" w:firstLine="480" w:firstLineChars="200"/>
        <w:contextualSpacing/>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（3）投标有效期为从提交投标文件的截止之日起90天。投标文件合格投递后，自投标截止日期起，在投标有效期内有效。在原定投标有效期满之前，如果出现特殊情况，</w:t>
      </w:r>
      <w:r>
        <w:rPr>
          <w:rFonts w:hint="eastAsia" w:ascii="宋体" w:hAnsi="宋体" w:eastAsia="宋体" w:cs="宋体"/>
          <w:bCs/>
          <w:color w:val="auto"/>
          <w:sz w:val="24"/>
          <w:szCs w:val="24"/>
          <w:highlight w:val="none"/>
          <w:lang w:eastAsia="zh-CN"/>
        </w:rPr>
        <w:t>采购代理机构</w:t>
      </w:r>
      <w:r>
        <w:rPr>
          <w:rFonts w:hint="eastAsia" w:ascii="宋体" w:hAnsi="宋体" w:eastAsia="宋体" w:cs="宋体"/>
          <w:bCs/>
          <w:color w:val="auto"/>
          <w:sz w:val="24"/>
          <w:szCs w:val="24"/>
          <w:highlight w:val="none"/>
        </w:rPr>
        <w:t>可以以书面形式通知投标人延长投标有效期。投标人同意延长的，不得要求或被允许修改其投标文件，投标人拒绝延长的，视同放弃投标。</w:t>
      </w:r>
    </w:p>
    <w:p w14:paraId="32E7CE7A">
      <w:pPr>
        <w:pageBreakBefore w:val="0"/>
        <w:kinsoku/>
        <w:wordWrap/>
        <w:overflowPunct/>
        <w:topLinePunct w:val="0"/>
        <w:bidi w:val="0"/>
        <w:snapToGrid w:val="0"/>
        <w:spacing w:beforeLines="0"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highlight w:val="none"/>
        </w:rPr>
        <w:t>四、开标</w:t>
      </w:r>
    </w:p>
    <w:p w14:paraId="042EFB5C">
      <w:pPr>
        <w:pStyle w:val="13"/>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lang w:eastAsia="zh-CN"/>
        </w:rPr>
        <w:t>采购代理机构</w:t>
      </w:r>
      <w:r>
        <w:rPr>
          <w:rFonts w:hint="eastAsia" w:ascii="宋体" w:hAnsi="宋体" w:eastAsia="宋体" w:cs="宋体"/>
          <w:bCs/>
          <w:color w:val="auto"/>
          <w:highlight w:val="none"/>
        </w:rPr>
        <w:t>按照招标文件规定的时间地点通过电子交易平台组织开标，所有投标人均应当准时在线参加在线电子投标，事后不得对采购相关人员、开标过程和开标结果提出异议。</w:t>
      </w:r>
    </w:p>
    <w:p w14:paraId="07C7A9F6">
      <w:pPr>
        <w:pStyle w:val="13"/>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b/>
          <w:bCs/>
          <w:color w:val="auto"/>
          <w:highlight w:val="none"/>
        </w:rPr>
      </w:pPr>
      <w:r>
        <w:rPr>
          <w:rFonts w:hint="eastAsia" w:ascii="宋体" w:hAnsi="宋体" w:eastAsia="宋体" w:cs="宋体"/>
          <w:bCs/>
          <w:color w:val="auto"/>
          <w:highlight w:val="none"/>
        </w:rPr>
        <w:t>（一）开标会由</w:t>
      </w:r>
      <w:r>
        <w:rPr>
          <w:rFonts w:hint="eastAsia" w:ascii="宋体" w:hAnsi="宋体" w:eastAsia="宋体" w:cs="宋体"/>
          <w:bCs/>
          <w:color w:val="auto"/>
          <w:highlight w:val="none"/>
          <w:lang w:eastAsia="zh-CN"/>
        </w:rPr>
        <w:t>采购代理机构</w:t>
      </w:r>
      <w:r>
        <w:rPr>
          <w:rFonts w:hint="eastAsia" w:ascii="宋体" w:hAnsi="宋体" w:eastAsia="宋体" w:cs="宋体"/>
          <w:bCs/>
          <w:color w:val="auto"/>
          <w:highlight w:val="none"/>
        </w:rPr>
        <w:t>主持，</w:t>
      </w:r>
      <w:r>
        <w:rPr>
          <w:rFonts w:hint="eastAsia" w:ascii="宋体" w:hAnsi="宋体" w:eastAsia="宋体" w:cs="宋体"/>
          <w:color w:val="auto"/>
          <w:highlight w:val="none"/>
        </w:rPr>
        <w:t>在电子交易平台进行。主持人宣布开标期间的有关事项、开标纪律、应当回避的情形等注意事项；</w:t>
      </w:r>
    </w:p>
    <w:p w14:paraId="5EA5226C">
      <w:pPr>
        <w:pStyle w:val="13"/>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highlight w:val="none"/>
        </w:rPr>
        <w:t>（二）投标截止时间后，电子交易平台按开标时间自动提取所有投标文件，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依托电子交易平台发起开始解密指令</w:t>
      </w:r>
      <w:r>
        <w:rPr>
          <w:rFonts w:hint="eastAsia" w:ascii="宋体" w:hAnsi="宋体" w:eastAsia="宋体" w:cs="宋体"/>
          <w:color w:val="auto"/>
          <w:highlight w:val="none"/>
          <w:lang w:eastAsia="zh-CN"/>
        </w:rPr>
        <w:t>，</w:t>
      </w:r>
      <w:r>
        <w:rPr>
          <w:rFonts w:hint="eastAsia" w:ascii="宋体" w:hAnsi="宋体" w:eastAsia="宋体" w:cs="宋体"/>
          <w:color w:val="000000"/>
          <w:kern w:val="2"/>
        </w:rPr>
        <w:t>主持人宣读在线递交电子投标文件的投标人名单。</w:t>
      </w:r>
      <w:r>
        <w:rPr>
          <w:rFonts w:hint="eastAsia" w:ascii="宋体" w:hAnsi="宋体" w:eastAsia="宋体" w:cs="宋体"/>
          <w:color w:val="auto"/>
          <w:highlight w:val="none"/>
        </w:rPr>
        <w:t>投标人登录</w:t>
      </w:r>
      <w:r>
        <w:rPr>
          <w:rFonts w:hint="eastAsia" w:ascii="宋体" w:hAnsi="宋体" w:eastAsia="宋体" w:cs="宋体"/>
        </w:rPr>
        <w:t>乐采云平台）</w:t>
      </w:r>
      <w:r>
        <w:rPr>
          <w:rFonts w:hint="eastAsia" w:ascii="宋体" w:hAnsi="宋体" w:eastAsia="宋体" w:cs="宋体"/>
          <w:color w:val="auto"/>
          <w:highlight w:val="none"/>
        </w:rPr>
        <w:t>，用“项目采购-开标评标”功能对电子投标文件进行在线解密。</w:t>
      </w:r>
      <w:r>
        <w:rPr>
          <w:rFonts w:hint="eastAsia" w:ascii="宋体" w:hAnsi="宋体" w:eastAsia="宋体" w:cs="宋体"/>
          <w:b/>
          <w:bCs/>
          <w:color w:val="auto"/>
          <w:highlight w:val="none"/>
        </w:rPr>
        <w:t>在线解密电子投标文件时间为开标时间起30分钟内。所有投标人均应当准时在线参加，投标人不足3家的，不得开标。</w:t>
      </w:r>
    </w:p>
    <w:p w14:paraId="038CA574">
      <w:pPr>
        <w:pStyle w:val="13"/>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highlight w:val="none"/>
        </w:rPr>
        <w:t>（三）开标解密后，采购人代表</w:t>
      </w:r>
      <w:r>
        <w:rPr>
          <w:rFonts w:hint="eastAsia" w:ascii="宋体" w:hAnsi="宋体" w:eastAsia="宋体" w:cs="宋体"/>
          <w:color w:val="000000"/>
          <w:kern w:val="2"/>
        </w:rPr>
        <w:t>或者采购代理机构</w:t>
      </w:r>
      <w:r>
        <w:rPr>
          <w:rFonts w:hint="eastAsia" w:ascii="宋体" w:hAnsi="宋体" w:eastAsia="宋体" w:cs="宋体"/>
          <w:color w:val="auto"/>
          <w:highlight w:val="none"/>
        </w:rPr>
        <w:t>应当依法对投标人的资格进行审查</w:t>
      </w:r>
      <w:r>
        <w:rPr>
          <w:rFonts w:hint="eastAsia" w:ascii="宋体" w:hAnsi="宋体" w:eastAsia="宋体" w:cs="宋体"/>
          <w:color w:val="auto"/>
          <w:szCs w:val="22"/>
          <w:highlight w:val="none"/>
        </w:rPr>
        <w:t>，依据法律法规和招标文件的规定，对投标人的基本资格条件、特定资格条件进行审查。</w:t>
      </w:r>
      <w:r>
        <w:rPr>
          <w:rFonts w:hint="eastAsia" w:ascii="宋体" w:hAnsi="宋体" w:eastAsia="宋体" w:cs="宋体"/>
          <w:b/>
          <w:bCs/>
          <w:color w:val="auto"/>
          <w:highlight w:val="none"/>
        </w:rPr>
        <w:t>▲</w:t>
      </w:r>
      <w:r>
        <w:rPr>
          <w:rFonts w:hint="eastAsia" w:ascii="宋体" w:hAnsi="宋体" w:eastAsia="宋体" w:cs="宋体"/>
          <w:b/>
          <w:bCs/>
          <w:color w:val="auto"/>
          <w:szCs w:val="22"/>
          <w:highlight w:val="none"/>
        </w:rPr>
        <w:t>投标人未按照招标文件要求提供与基本资格条件、特定资格条件相应的有效资格证明材料的，视为投标人不具备招标文件中规定的资格要求，其投标无效。</w:t>
      </w:r>
      <w:r>
        <w:rPr>
          <w:rFonts w:hint="eastAsia" w:ascii="宋体" w:hAnsi="宋体" w:eastAsia="宋体" w:cs="宋体"/>
          <w:color w:val="auto"/>
          <w:szCs w:val="22"/>
          <w:highlight w:val="none"/>
        </w:rPr>
        <w:t>对未通过资格审查的投标人，采购人或</w:t>
      </w:r>
      <w:r>
        <w:rPr>
          <w:rFonts w:hint="eastAsia" w:ascii="宋体" w:hAnsi="宋体" w:eastAsia="宋体" w:cs="宋体"/>
          <w:color w:val="auto"/>
          <w:szCs w:val="22"/>
          <w:highlight w:val="none"/>
          <w:lang w:eastAsia="zh-CN"/>
        </w:rPr>
        <w:t>采购代理机构</w:t>
      </w:r>
      <w:r>
        <w:rPr>
          <w:rFonts w:hint="eastAsia" w:ascii="宋体" w:hAnsi="宋体" w:eastAsia="宋体" w:cs="宋体"/>
          <w:color w:val="auto"/>
          <w:szCs w:val="22"/>
          <w:highlight w:val="none"/>
        </w:rPr>
        <w:t>告知其未通过的原因。合格投标人不足 3 家的，不得评标。评标委员会对通过资格审查的投标人的商务及资信技术文件进行评审。</w:t>
      </w:r>
    </w:p>
    <w:p w14:paraId="429FEB6F">
      <w:pPr>
        <w:pStyle w:val="13"/>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lang w:eastAsia="zh-CN"/>
        </w:rPr>
        <w:t>（四）</w:t>
      </w:r>
      <w:r>
        <w:rPr>
          <w:rFonts w:hint="eastAsia" w:ascii="宋体" w:hAnsi="宋体" w:eastAsia="宋体" w:cs="宋体"/>
          <w:color w:val="auto"/>
          <w:szCs w:val="22"/>
          <w:highlight w:val="none"/>
        </w:rPr>
        <w:t>在电子交易平台系统上公开资格和商务技术评审结果，由主持人公布无效投标的投标人名单、投标无效的原因；</w:t>
      </w:r>
      <w:r>
        <w:rPr>
          <w:rFonts w:hint="eastAsia" w:ascii="宋体" w:hAnsi="宋体" w:eastAsia="宋体" w:cs="宋体"/>
          <w:b/>
          <w:bCs/>
          <w:color w:val="auto"/>
          <w:szCs w:val="22"/>
          <w:highlight w:val="none"/>
        </w:rPr>
        <w:t>如投标有效供应商不足三家，评标委员会确定为废标；</w:t>
      </w:r>
    </w:p>
    <w:p w14:paraId="68DB5796">
      <w:pPr>
        <w:pStyle w:val="13"/>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lang w:eastAsia="zh-CN"/>
        </w:rPr>
        <w:t>（五）</w:t>
      </w:r>
      <w:r>
        <w:rPr>
          <w:rFonts w:hint="eastAsia" w:ascii="宋体" w:hAnsi="宋体" w:eastAsia="宋体" w:cs="宋体"/>
          <w:color w:val="auto"/>
          <w:szCs w:val="22"/>
          <w:highlight w:val="none"/>
        </w:rPr>
        <w:t>在电子交易平台系统上公开报价开标情况，采购人和采购代理机构做开标记录，主持人进行公开唱标，唱标内容为报价文件中“报价一览表”内容，以及采购人认为合适的其他内容与记录。采购代理机构在</w:t>
      </w:r>
      <w:r>
        <w:rPr>
          <w:rFonts w:hint="eastAsia" w:hAnsi="宋体" w:eastAsia="宋体" w:cs="宋体"/>
          <w:color w:val="auto"/>
          <w:szCs w:val="22"/>
          <w:highlight w:val="none"/>
          <w:lang w:val="en-US" w:eastAsia="zh-CN"/>
        </w:rPr>
        <w:t>乐采云</w:t>
      </w:r>
      <w:r>
        <w:rPr>
          <w:rFonts w:hint="eastAsia" w:ascii="宋体" w:hAnsi="宋体" w:eastAsia="宋体" w:cs="宋体"/>
          <w:color w:val="auto"/>
          <w:szCs w:val="22"/>
          <w:highlight w:val="none"/>
        </w:rPr>
        <w:t>电子交易平台-开标记录模块开放供应商在线签字确认环节，投标人法定代表人或其授权代表对开标记录进行在线核实，投标人法定代表人或其授权代表未在10分钟内进行在线核实的，视作同意报价，不影响评标过程和结果；同时由唱标人、监督人当场签字确认。</w:t>
      </w:r>
    </w:p>
    <w:p w14:paraId="0B91D5AC">
      <w:pPr>
        <w:pStyle w:val="13"/>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lang w:eastAsia="zh-CN"/>
        </w:rPr>
        <w:t>（六）</w:t>
      </w:r>
      <w:r>
        <w:rPr>
          <w:rFonts w:hint="eastAsia" w:ascii="宋体" w:hAnsi="宋体" w:eastAsia="宋体" w:cs="宋体"/>
          <w:color w:val="auto"/>
          <w:szCs w:val="22"/>
          <w:highlight w:val="none"/>
        </w:rPr>
        <w:t>评标委员会对各投标人的报价文件进行评审；</w:t>
      </w:r>
    </w:p>
    <w:p w14:paraId="22A18F1D">
      <w:pPr>
        <w:pStyle w:val="13"/>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lang w:eastAsia="zh-CN"/>
        </w:rPr>
        <w:t>（七）</w:t>
      </w:r>
      <w:r>
        <w:rPr>
          <w:rFonts w:hint="eastAsia" w:ascii="宋体" w:hAnsi="宋体" w:eastAsia="宋体" w:cs="宋体"/>
          <w:color w:val="auto"/>
          <w:szCs w:val="22"/>
          <w:highlight w:val="none"/>
        </w:rPr>
        <w:t>在电子交易平台系统上公布评审结果。评标结束，采购代理机构公布有效投标人的评审结果和推荐的中标候选人，主持人宣布本次开标会议结束。</w:t>
      </w:r>
    </w:p>
    <w:p w14:paraId="3F7991D9">
      <w:pPr>
        <w:pStyle w:val="13"/>
        <w:pageBreakBefore w:val="0"/>
        <w:kinsoku/>
        <w:wordWrap/>
        <w:overflowPunct/>
        <w:topLinePunct w:val="0"/>
        <w:bidi w:val="0"/>
        <w:snapToGrid w:val="0"/>
        <w:spacing w:before="0" w:beforeLines="0" w:afterLines="0" w:line="44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特别说明：</w:t>
      </w:r>
    </w:p>
    <w:p w14:paraId="0B3A2CA9">
      <w:pPr>
        <w:pageBreakBefore w:val="0"/>
        <w:widowControl/>
        <w:tabs>
          <w:tab w:val="left" w:pos="0"/>
        </w:tabs>
        <w:kinsoku/>
        <w:wordWrap/>
        <w:overflowPunct/>
        <w:topLinePunct w:val="0"/>
        <w:bidi w:val="0"/>
        <w:snapToGrid w:val="0"/>
        <w:spacing w:before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乐采云</w:t>
      </w:r>
      <w:r>
        <w:rPr>
          <w:rFonts w:hint="eastAsia" w:ascii="宋体" w:hAnsi="宋体" w:eastAsia="宋体" w:cs="宋体"/>
          <w:color w:val="auto"/>
          <w:sz w:val="24"/>
          <w:szCs w:val="24"/>
          <w:highlight w:val="none"/>
        </w:rPr>
        <w:t>公司如对电子化开标程序有调整的，请根据相关公告，按调整后的程序操作。</w:t>
      </w:r>
    </w:p>
    <w:p w14:paraId="08EAB35F">
      <w:pPr>
        <w:pageBreakBefore w:val="0"/>
        <w:widowControl/>
        <w:tabs>
          <w:tab w:val="left" w:pos="0"/>
        </w:tabs>
        <w:kinsoku/>
        <w:wordWrap/>
        <w:overflowPunct/>
        <w:topLinePunct w:val="0"/>
        <w:bidi w:val="0"/>
        <w:snapToGrid w:val="0"/>
        <w:spacing w:before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2.国资（政府）采购全流程电子化交易，投标人须在规定时间内自行解密。</w:t>
      </w:r>
    </w:p>
    <w:p w14:paraId="4E46DC34">
      <w:pPr>
        <w:pageBreakBefore w:val="0"/>
        <w:widowControl/>
        <w:tabs>
          <w:tab w:val="left" w:pos="0"/>
        </w:tabs>
        <w:kinsoku/>
        <w:wordWrap/>
        <w:overflowPunct/>
        <w:topLinePunct w:val="0"/>
        <w:bidi w:val="0"/>
        <w:snapToGrid w:val="0"/>
        <w:spacing w:beforeLines="0"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3.本项目严格采用</w:t>
      </w:r>
      <w:r>
        <w:rPr>
          <w:rFonts w:hint="eastAsia" w:ascii="宋体" w:hAnsi="宋体" w:eastAsia="宋体" w:cs="宋体"/>
          <w:color w:val="auto"/>
          <w:sz w:val="24"/>
          <w:szCs w:val="24"/>
          <w:highlight w:val="none"/>
          <w:lang w:val="en-US" w:eastAsia="zh-CN"/>
        </w:rPr>
        <w:t>乐采云</w:t>
      </w:r>
      <w:r>
        <w:rPr>
          <w:rFonts w:hint="eastAsia" w:ascii="宋体" w:hAnsi="宋体" w:eastAsia="宋体" w:cs="宋体"/>
          <w:color w:val="auto"/>
          <w:sz w:val="24"/>
          <w:szCs w:val="24"/>
          <w:highlight w:val="none"/>
        </w:rPr>
        <w:t>电子招投标开标及评审程序，但有下情形之一的，按以下情况处理：</w:t>
      </w:r>
    </w:p>
    <w:p w14:paraId="5E777226">
      <w:pPr>
        <w:pStyle w:val="13"/>
        <w:pageBreakBefore w:val="0"/>
        <w:tabs>
          <w:tab w:val="left" w:pos="0"/>
        </w:tabs>
        <w:kinsoku/>
        <w:wordWrap/>
        <w:overflowPunct/>
        <w:topLinePunct w:val="0"/>
        <w:bidi w:val="0"/>
        <w:snapToGrid w:val="0"/>
        <w:spacing w:before="0" w:beforeLines="0" w:afterLines="0" w:line="44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（1）若个别投标人在规定时间内无法解密或解密失败的，作无效投标处理。解密成功的投标人不足三家的，本项目重新组织采购活动。</w:t>
      </w:r>
    </w:p>
    <w:p w14:paraId="213D0650">
      <w:pPr>
        <w:pStyle w:val="13"/>
        <w:pageBreakBefore w:val="0"/>
        <w:tabs>
          <w:tab w:val="left" w:pos="0"/>
        </w:tabs>
        <w:kinsoku/>
        <w:wordWrap/>
        <w:overflowPunct/>
        <w:topLinePunct w:val="0"/>
        <w:bidi w:val="0"/>
        <w:snapToGrid w:val="0"/>
        <w:spacing w:before="0" w:beforeLines="0" w:afterLines="0" w:line="44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（2）若因乐采云平台原因导致采购活动无法正常进行的，</w:t>
      </w:r>
      <w:r>
        <w:rPr>
          <w:rFonts w:hint="eastAsia" w:ascii="宋体" w:hAnsi="宋体" w:eastAsia="宋体" w:cs="宋体"/>
          <w:b/>
          <w:bCs/>
          <w:color w:val="auto"/>
          <w:highlight w:val="none"/>
          <w:lang w:eastAsia="zh-CN"/>
        </w:rPr>
        <w:t>采购代理机构</w:t>
      </w:r>
      <w:r>
        <w:rPr>
          <w:rFonts w:hint="eastAsia" w:ascii="宋体" w:hAnsi="宋体" w:eastAsia="宋体" w:cs="宋体"/>
          <w:b/>
          <w:bCs/>
          <w:color w:val="auto"/>
          <w:highlight w:val="none"/>
        </w:rPr>
        <w:t>将情况报告国资采购行政监督管理部门，经同意后，重新组织采购活动。</w:t>
      </w:r>
    </w:p>
    <w:p w14:paraId="6266D442">
      <w:pPr>
        <w:pStyle w:val="13"/>
        <w:pageBreakBefore w:val="0"/>
        <w:kinsoku/>
        <w:wordWrap/>
        <w:overflowPunct/>
        <w:topLinePunct w:val="0"/>
        <w:bidi w:val="0"/>
        <w:snapToGrid w:val="0"/>
        <w:spacing w:before="0" w:beforeLines="0" w:afterLines="0" w:line="44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五、评标</w:t>
      </w:r>
    </w:p>
    <w:p w14:paraId="3ADE6807">
      <w:pPr>
        <w:pStyle w:val="13"/>
        <w:pageBreakBefore w:val="0"/>
        <w:kinsoku/>
        <w:wordWrap/>
        <w:overflowPunct/>
        <w:topLinePunct w:val="0"/>
        <w:bidi w:val="0"/>
        <w:snapToGrid w:val="0"/>
        <w:spacing w:before="0" w:beforeLines="0" w:afterLines="0" w:line="44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（一）评标委员会</w:t>
      </w:r>
    </w:p>
    <w:p w14:paraId="73AAE551">
      <w:pPr>
        <w:pageBreakBefore w:val="0"/>
        <w:kinsoku/>
        <w:wordWrap/>
        <w:overflowPunct/>
        <w:topLinePunct w:val="0"/>
        <w:bidi w:val="0"/>
        <w:snapToGrid w:val="0"/>
        <w:spacing w:beforeLines="0"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1.评标委员会的组成。</w:t>
      </w:r>
      <w:r>
        <w:rPr>
          <w:rFonts w:hint="eastAsia" w:ascii="宋体" w:hAnsi="宋体" w:eastAsia="宋体" w:cs="宋体"/>
          <w:color w:val="auto"/>
          <w:sz w:val="24"/>
          <w:szCs w:val="24"/>
          <w:highlight w:val="none"/>
        </w:rPr>
        <w:t>评标委员会依法由相关专家和采购人代表组成，人数为5人（含）以上奇数，</w:t>
      </w:r>
      <w:r>
        <w:rPr>
          <w:rFonts w:hint="eastAsia" w:ascii="宋体" w:hAnsi="宋体" w:eastAsia="宋体" w:cs="宋体"/>
          <w:color w:val="auto"/>
          <w:kern w:val="0"/>
          <w:sz w:val="24"/>
          <w:szCs w:val="24"/>
          <w:highlight w:val="none"/>
        </w:rPr>
        <w:t>其中评审专家不少于成员总数的三分之二。评审开始之前，评标委员会推选一名评审专家担任组长。</w:t>
      </w:r>
      <w:r>
        <w:rPr>
          <w:rFonts w:hint="eastAsia" w:ascii="宋体" w:hAnsi="宋体" w:eastAsia="宋体" w:cs="宋体"/>
          <w:color w:val="auto"/>
          <w:sz w:val="24"/>
          <w:szCs w:val="24"/>
          <w:highlight w:val="none"/>
        </w:rPr>
        <w:t>评标委员会对投标文件进行审查、质询、评估和比较。如需在线询标，投标人法定代表人或授权代表须在规定时间内提交询标澄清。</w:t>
      </w:r>
    </w:p>
    <w:p w14:paraId="1EC0A9C8">
      <w:pPr>
        <w:pStyle w:val="34"/>
        <w:pageBreakBefore w:val="0"/>
        <w:kinsoku/>
        <w:wordWrap/>
        <w:overflowPunct/>
        <w:topLinePunct w:val="0"/>
        <w:bidi w:val="0"/>
        <w:spacing w:beforeLines="0" w:line="440" w:lineRule="exact"/>
        <w:ind w:left="0" w:firstLine="482" w:firstLineChars="200"/>
        <w:jc w:val="left"/>
        <w:textAlignment w:val="auto"/>
        <w:rPr>
          <w:rFonts w:hint="eastAsia" w:ascii="宋体" w:hAnsi="宋体" w:eastAsia="宋体" w:cs="宋体"/>
          <w:color w:val="auto"/>
          <w:highlight w:val="none"/>
        </w:rPr>
      </w:pPr>
      <w:r>
        <w:rPr>
          <w:rFonts w:hint="eastAsia" w:ascii="宋体" w:hAnsi="宋体" w:eastAsia="宋体" w:cs="宋体"/>
          <w:b/>
          <w:color w:val="auto"/>
          <w:highlight w:val="none"/>
        </w:rPr>
        <w:t>2.评</w:t>
      </w:r>
      <w:r>
        <w:rPr>
          <w:rFonts w:hint="eastAsia" w:ascii="宋体" w:hAnsi="宋体" w:eastAsia="宋体" w:cs="宋体"/>
          <w:b/>
          <w:color w:val="auto"/>
          <w:szCs w:val="24"/>
          <w:highlight w:val="none"/>
        </w:rPr>
        <w:t>标委员会组成人员的回避。</w:t>
      </w:r>
      <w:r>
        <w:rPr>
          <w:rFonts w:hint="eastAsia" w:ascii="宋体" w:hAnsi="宋体" w:eastAsia="宋体" w:cs="宋体"/>
          <w:color w:val="auto"/>
          <w:highlight w:val="none"/>
        </w:rPr>
        <w:t>在国资（政府）采购活动中，评标委员会的组成人员与供应商有下列利害关系之一的，应当回避：（1）参加采购活动前3年内与供应商存在劳动关系；（2）参加采购活动前3年内担任供应商的董事、监事；（3）参加采购活动前3年内是供应商的控股股东或者实际控制人；（4）与供应商的法定代表人或者负责人有夫妻、直系血亲、三代以内旁系血亲或者近姻亲关系；（5）与供应商有其他可能影响国资（政府）采购活动公平、公正进行的关系。</w:t>
      </w:r>
    </w:p>
    <w:p w14:paraId="385C9A50">
      <w:pPr>
        <w:pStyle w:val="5"/>
        <w:pageBreakBefore w:val="0"/>
        <w:kinsoku/>
        <w:wordWrap/>
        <w:overflowPunct/>
        <w:topLinePunct w:val="0"/>
        <w:bidi w:val="0"/>
        <w:spacing w:beforeLines="0" w:after="0" w:line="440" w:lineRule="exact"/>
        <w:ind w:left="0" w:leftChars="0" w:firstLine="466" w:firstLineChars="200"/>
        <w:jc w:val="left"/>
        <w:textAlignment w:val="auto"/>
        <w:rPr>
          <w:rFonts w:hint="eastAsia" w:ascii="宋体" w:hAnsi="宋体" w:eastAsia="宋体" w:cs="宋体"/>
          <w:color w:val="auto"/>
          <w:kern w:val="0"/>
          <w:sz w:val="24"/>
          <w:szCs w:val="22"/>
          <w:highlight w:val="none"/>
        </w:rPr>
      </w:pPr>
      <w:r>
        <w:rPr>
          <w:rFonts w:hint="eastAsia" w:ascii="宋体" w:hAnsi="宋体" w:eastAsia="宋体" w:cs="宋体"/>
          <w:b/>
          <w:bCs/>
          <w:color w:val="auto"/>
          <w:kern w:val="0"/>
          <w:sz w:val="24"/>
          <w:szCs w:val="22"/>
          <w:highlight w:val="none"/>
        </w:rPr>
        <w:t>3.评标委员会负责具体评标事务，并独立履行下列职责：</w:t>
      </w:r>
      <w:r>
        <w:rPr>
          <w:rFonts w:hint="eastAsia" w:ascii="宋体" w:hAnsi="宋体" w:eastAsia="宋体" w:cs="宋体"/>
          <w:color w:val="auto"/>
          <w:kern w:val="0"/>
          <w:sz w:val="24"/>
          <w:szCs w:val="22"/>
          <w:highlight w:val="none"/>
        </w:rPr>
        <w:t>（1）审查、评价投标文件是否符合招标文件的商务、技术等实质性要求；（2）</w:t>
      </w:r>
      <w:r>
        <w:rPr>
          <w:rFonts w:hint="eastAsia" w:ascii="宋体" w:hAnsi="宋体" w:eastAsia="宋体" w:cs="宋体"/>
          <w:color w:val="auto"/>
          <w:kern w:val="0"/>
          <w:sz w:val="24"/>
          <w:szCs w:val="22"/>
          <w:highlight w:val="none"/>
          <w:lang w:eastAsia="zh-CN"/>
        </w:rPr>
        <w:t>要</w:t>
      </w:r>
      <w:r>
        <w:rPr>
          <w:rFonts w:hint="eastAsia" w:ascii="宋体" w:hAnsi="宋体" w:eastAsia="宋体" w:cs="宋体"/>
          <w:color w:val="auto"/>
          <w:kern w:val="0"/>
          <w:sz w:val="24"/>
          <w:szCs w:val="22"/>
          <w:highlight w:val="none"/>
        </w:rPr>
        <w:t>求投标人对投标文件有关事项作出澄清或者说明；（3）对投标文件进行比较和评价；（4）确定中标候选人名单，以及根据采购人委托直接确定中标人；（5）向采购人、</w:t>
      </w:r>
      <w:r>
        <w:rPr>
          <w:rFonts w:hint="eastAsia" w:ascii="宋体" w:hAnsi="宋体" w:eastAsia="宋体" w:cs="宋体"/>
          <w:color w:val="auto"/>
          <w:kern w:val="0"/>
          <w:sz w:val="24"/>
          <w:szCs w:val="22"/>
          <w:highlight w:val="none"/>
          <w:lang w:eastAsia="zh-CN"/>
        </w:rPr>
        <w:t>采购代理机构</w:t>
      </w:r>
      <w:r>
        <w:rPr>
          <w:rFonts w:hint="eastAsia" w:ascii="宋体" w:hAnsi="宋体" w:eastAsia="宋体" w:cs="宋体"/>
          <w:color w:val="auto"/>
          <w:kern w:val="0"/>
          <w:sz w:val="24"/>
          <w:szCs w:val="22"/>
          <w:highlight w:val="none"/>
        </w:rPr>
        <w:t>或者有关部门报告评标中发现的违法行为；⑥法律、法规、规章、招标文件等规定的其它事项。</w:t>
      </w:r>
    </w:p>
    <w:p w14:paraId="34021BB9">
      <w:pPr>
        <w:pStyle w:val="5"/>
        <w:pageBreakBefore w:val="0"/>
        <w:kinsoku/>
        <w:wordWrap/>
        <w:overflowPunct/>
        <w:topLinePunct w:val="0"/>
        <w:bidi w:val="0"/>
        <w:spacing w:beforeLines="0" w:after="0" w:line="440" w:lineRule="exact"/>
        <w:ind w:left="0" w:leftChars="0" w:firstLine="466" w:firstLineChars="200"/>
        <w:jc w:val="left"/>
        <w:textAlignment w:val="auto"/>
        <w:rPr>
          <w:rFonts w:hint="eastAsia" w:ascii="宋体" w:hAnsi="宋体" w:eastAsia="宋体" w:cs="宋体"/>
          <w:color w:val="auto"/>
          <w:kern w:val="0"/>
          <w:sz w:val="24"/>
          <w:szCs w:val="22"/>
          <w:highlight w:val="none"/>
        </w:rPr>
      </w:pPr>
      <w:r>
        <w:rPr>
          <w:rFonts w:hint="eastAsia" w:ascii="宋体" w:hAnsi="宋体" w:eastAsia="宋体" w:cs="宋体"/>
          <w:b/>
          <w:bCs/>
          <w:color w:val="auto"/>
          <w:kern w:val="0"/>
          <w:sz w:val="24"/>
          <w:szCs w:val="22"/>
          <w:highlight w:val="none"/>
        </w:rPr>
        <w:t>4.评标委员会及其成员不得有下列行为：</w:t>
      </w:r>
      <w:r>
        <w:rPr>
          <w:rFonts w:hint="eastAsia" w:ascii="宋体" w:hAnsi="宋体" w:eastAsia="宋体" w:cs="宋体"/>
          <w:color w:val="auto"/>
          <w:kern w:val="0"/>
          <w:sz w:val="24"/>
          <w:szCs w:val="22"/>
          <w:highlight w:val="none"/>
        </w:rPr>
        <w:t>（1）确定参与评标至评标结束前私自接触投标人；（2）接受投标人提出的与投标文件不一致的澄清或者说明，《政府采购货物和服务招标投标管理办法》（财政部令第87号）第五十一条规定的情形除外；（3）违反评标纪律发表倾向性意见或者征询采购人的倾向性意见；（4）对需要专业判断的主观评审因素协商评分；（5）在评标过程中擅离职守，影响评标程序正常进行的；（6）记录、复制或者带走任何评标资料；（7）其他不遵守评标纪律的行为。评标委员会成员有（1）-（5）行为之一的，其评审意见无效，并不得获取评审劳务报酬和报销异地评审差旅费。</w:t>
      </w:r>
    </w:p>
    <w:p w14:paraId="2D150F00">
      <w:pPr>
        <w:pStyle w:val="13"/>
        <w:pageBreakBefore w:val="0"/>
        <w:tabs>
          <w:tab w:val="left" w:pos="630"/>
        </w:tabs>
        <w:kinsoku/>
        <w:wordWrap/>
        <w:overflowPunct/>
        <w:topLinePunct w:val="0"/>
        <w:bidi w:val="0"/>
        <w:snapToGrid w:val="0"/>
        <w:spacing w:before="0" w:beforeLines="0" w:afterLines="0" w:line="44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（二）评标原则</w:t>
      </w:r>
    </w:p>
    <w:p w14:paraId="1BDC626B">
      <w:pPr>
        <w:pStyle w:val="13"/>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1.评标委员会须公平、公正、客观，不带任何倾向性和启发性；按照招标文件的要求和条件进行评标；客观、公正地对待所有投标人，对所有投标评审，均采用相同的程序和标准。</w:t>
      </w:r>
    </w:p>
    <w:p w14:paraId="518C540B">
      <w:pPr>
        <w:pStyle w:val="13"/>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2.评标委员会要审查每份投标文件是否实质上响应了招标文件的要求。实质上响应的投标文件应该是与招标文件要求的全部条款、条件和规格相符，没有重大偏离的投标文件。</w:t>
      </w:r>
      <w:r>
        <w:rPr>
          <w:rFonts w:hint="eastAsia" w:ascii="宋体" w:hAnsi="宋体" w:eastAsia="宋体" w:cs="宋体"/>
          <w:b/>
          <w:bCs/>
          <w:color w:val="auto"/>
          <w:highlight w:val="none"/>
        </w:rPr>
        <w:t>评标委员会决定投标的响应性只根据投标文件的内容，而不寻求外部的证据。投标人不得通过修改或撤销不合要求的偏离或保留从而使其投标成为实质上响应的投标。</w:t>
      </w:r>
    </w:p>
    <w:p w14:paraId="18BB347C">
      <w:pPr>
        <w:pStyle w:val="13"/>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3.在评标过程中，评标委员会及有关工作人员不得私下与投标人接触，在招标工作结束后，凡与评标情况有接触的人不得向外界透露任何与评标有关的内容。采购人不向落标方解释落标原因。</w:t>
      </w:r>
    </w:p>
    <w:p w14:paraId="5EF6DED1">
      <w:pPr>
        <w:pStyle w:val="13"/>
        <w:pageBreakBefore w:val="0"/>
        <w:kinsoku/>
        <w:wordWrap/>
        <w:overflowPunct/>
        <w:topLinePunct w:val="0"/>
        <w:bidi w:val="0"/>
        <w:snapToGrid w:val="0"/>
        <w:spacing w:before="0" w:beforeLines="0" w:afterLines="0"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4.在开标、评标期间，任何单位和个人不得干扰、影响评标的正常进行，投标人不得向评标委员会成员询问评标情况，不得进行旨在影响评标结果的活动，否则将废除其投标资格。</w:t>
      </w:r>
    </w:p>
    <w:p w14:paraId="2B4AEBE0">
      <w:pPr>
        <w:pStyle w:val="13"/>
        <w:pageBreakBefore w:val="0"/>
        <w:kinsoku/>
        <w:wordWrap/>
        <w:overflowPunct/>
        <w:topLinePunct w:val="0"/>
        <w:bidi w:val="0"/>
        <w:snapToGrid w:val="0"/>
        <w:spacing w:before="0" w:beforeLines="0" w:afterLines="0" w:line="440" w:lineRule="exact"/>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5.评标方法及评分标准等，详见招标文件“第三章  评标办法及评分标准”。</w:t>
      </w:r>
    </w:p>
    <w:p w14:paraId="236ADBD4">
      <w:pPr>
        <w:pStyle w:val="13"/>
        <w:pageBreakBefore w:val="0"/>
        <w:kinsoku/>
        <w:wordWrap/>
        <w:overflowPunct/>
        <w:topLinePunct w:val="0"/>
        <w:bidi w:val="0"/>
        <w:snapToGrid w:val="0"/>
        <w:spacing w:before="0" w:beforeLines="0" w:afterLines="0" w:line="44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bCs/>
          <w:color w:val="auto"/>
          <w:highlight w:val="none"/>
        </w:rPr>
        <w:t>（三）评标程序</w:t>
      </w:r>
    </w:p>
    <w:p w14:paraId="03FA28B1">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本项目评标一般将按以下程序进行：投标文件初审、样品评审（若有）、投标文件的澄清、商务及技术文件的比较与评价、报价文件的比较与评审、推荐中标候选人和编写评标报告等。</w:t>
      </w:r>
    </w:p>
    <w:p w14:paraId="45B92398">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1.投标文件初审。</w:t>
      </w:r>
    </w:p>
    <w:p w14:paraId="35687BA3">
      <w:pPr>
        <w:pStyle w:val="5"/>
        <w:pageBreakBefore w:val="0"/>
        <w:kinsoku/>
        <w:wordWrap/>
        <w:overflowPunct/>
        <w:topLinePunct w:val="0"/>
        <w:bidi w:val="0"/>
        <w:spacing w:beforeLines="0" w:after="0" w:line="440" w:lineRule="exact"/>
        <w:ind w:left="0" w:leftChars="0" w:firstLine="464" w:firstLineChars="200"/>
        <w:textAlignment w:val="auto"/>
        <w:rPr>
          <w:rFonts w:hint="eastAsia" w:ascii="宋体" w:hAnsi="宋体" w:eastAsia="宋体" w:cs="宋体"/>
          <w:color w:val="auto"/>
          <w:kern w:val="0"/>
          <w:sz w:val="24"/>
          <w:szCs w:val="22"/>
          <w:highlight w:val="none"/>
        </w:rPr>
      </w:pPr>
      <w:r>
        <w:rPr>
          <w:rFonts w:hint="eastAsia" w:ascii="宋体" w:hAnsi="宋体" w:eastAsia="宋体" w:cs="宋体"/>
          <w:color w:val="auto"/>
          <w:sz w:val="24"/>
          <w:szCs w:val="24"/>
          <w:highlight w:val="none"/>
        </w:rPr>
        <w:t>（1）资格性检查：</w:t>
      </w:r>
      <w:r>
        <w:rPr>
          <w:rFonts w:hint="eastAsia" w:ascii="宋体" w:hAnsi="宋体" w:eastAsia="宋体" w:cs="宋体"/>
          <w:b/>
          <w:bCs/>
          <w:color w:val="auto"/>
          <w:sz w:val="24"/>
          <w:szCs w:val="24"/>
          <w:highlight w:val="none"/>
        </w:rPr>
        <w:t>采购人代表或者由采购人委托的采购代理机构应当依法对投标人的资格进行审查</w:t>
      </w:r>
      <w:r>
        <w:rPr>
          <w:rFonts w:hint="eastAsia" w:ascii="宋体" w:hAnsi="宋体" w:eastAsia="宋体" w:cs="宋体"/>
          <w:b/>
          <w:bCs/>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并</w:t>
      </w:r>
      <w:r>
        <w:rPr>
          <w:rFonts w:hint="eastAsia" w:ascii="宋体" w:hAnsi="宋体" w:eastAsia="宋体" w:cs="宋体"/>
          <w:color w:val="auto"/>
          <w:sz w:val="24"/>
          <w:szCs w:val="24"/>
          <w:highlight w:val="none"/>
        </w:rPr>
        <w:t>以开标当日为准对投标人“信用中国”网站（www.creditchina.gov.cn）、中国政府采购网（www.ccgp.gov.cn）信用记录情况进行核实。</w:t>
      </w:r>
      <w:r>
        <w:rPr>
          <w:rFonts w:hint="eastAsia" w:ascii="宋体" w:hAnsi="宋体" w:eastAsia="宋体" w:cs="宋体"/>
          <w:b/>
          <w:bCs/>
          <w:color w:val="auto"/>
          <w:kern w:val="0"/>
          <w:sz w:val="24"/>
          <w:szCs w:val="22"/>
          <w:highlight w:val="none"/>
        </w:rPr>
        <w:t>信用信息查询记录和证据留存的具体方式：</w:t>
      </w:r>
      <w:r>
        <w:rPr>
          <w:rFonts w:hint="eastAsia" w:ascii="宋体" w:hAnsi="宋体" w:eastAsia="宋体" w:cs="宋体"/>
          <w:color w:val="auto"/>
          <w:kern w:val="0"/>
          <w:sz w:val="24"/>
          <w:szCs w:val="22"/>
          <w:highlight w:val="none"/>
        </w:rPr>
        <w:t>现场查询的投标人的信用记录、查询结果经确认后将与</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kern w:val="0"/>
          <w:sz w:val="24"/>
          <w:szCs w:val="22"/>
          <w:highlight w:val="none"/>
        </w:rPr>
        <w:t>一起存档。</w:t>
      </w:r>
      <w:r>
        <w:rPr>
          <w:rFonts w:hint="eastAsia" w:ascii="宋体" w:hAnsi="宋体" w:eastAsia="宋体" w:cs="宋体"/>
          <w:b/>
          <w:bCs/>
          <w:color w:val="auto"/>
          <w:kern w:val="0"/>
          <w:sz w:val="24"/>
          <w:szCs w:val="22"/>
          <w:highlight w:val="none"/>
        </w:rPr>
        <w:t>信用信息的使用规则：</w:t>
      </w:r>
      <w:r>
        <w:rPr>
          <w:rFonts w:hint="eastAsia" w:ascii="宋体" w:hAnsi="宋体" w:eastAsia="宋体" w:cs="宋体"/>
          <w:color w:val="auto"/>
          <w:kern w:val="0"/>
          <w:sz w:val="24"/>
          <w:szCs w:val="22"/>
          <w:highlight w:val="none"/>
        </w:rPr>
        <w:t>经查询列入失信被执行人名单、重大税收违法案件当事人名单、国资（政府）采购严重违法失信行为记录名单的投标人将被拒绝参与国资（政府）采购活动，取消投标资格，</w:t>
      </w:r>
      <w:r>
        <w:rPr>
          <w:rFonts w:hint="eastAsia" w:ascii="宋体" w:hAnsi="宋体" w:eastAsia="宋体" w:cs="宋体"/>
          <w:b/>
          <w:bCs/>
          <w:color w:val="auto"/>
          <w:kern w:val="0"/>
          <w:sz w:val="24"/>
          <w:szCs w:val="22"/>
          <w:highlight w:val="none"/>
        </w:rPr>
        <w:t>其投标文件将作无效</w:t>
      </w:r>
      <w:r>
        <w:rPr>
          <w:rFonts w:hint="eastAsia" w:ascii="宋体" w:hAnsi="宋体" w:eastAsia="宋体" w:cs="宋体"/>
          <w:b/>
          <w:bCs/>
          <w:color w:val="auto"/>
          <w:sz w:val="24"/>
          <w:szCs w:val="24"/>
          <w:highlight w:val="none"/>
        </w:rPr>
        <w:t>标</w:t>
      </w:r>
      <w:r>
        <w:rPr>
          <w:rFonts w:hint="eastAsia" w:ascii="宋体" w:hAnsi="宋体" w:eastAsia="宋体" w:cs="宋体"/>
          <w:b/>
          <w:bCs/>
          <w:color w:val="auto"/>
          <w:kern w:val="0"/>
          <w:sz w:val="24"/>
          <w:szCs w:val="22"/>
          <w:highlight w:val="none"/>
        </w:rPr>
        <w:t>处理。</w:t>
      </w:r>
    </w:p>
    <w:p w14:paraId="5CA3A80F">
      <w:pPr>
        <w:pStyle w:val="5"/>
        <w:pageBreakBefore w:val="0"/>
        <w:kinsoku/>
        <w:wordWrap/>
        <w:overflowPunct/>
        <w:topLinePunct w:val="0"/>
        <w:bidi w:val="0"/>
        <w:spacing w:beforeLines="0" w:after="0" w:line="440" w:lineRule="exact"/>
        <w:ind w:left="0" w:leftChars="0" w:firstLine="466" w:firstLineChars="200"/>
        <w:textAlignment w:val="auto"/>
        <w:rPr>
          <w:rFonts w:hint="eastAsia" w:ascii="宋体" w:hAnsi="宋体" w:eastAsia="宋体" w:cs="宋体"/>
          <w:color w:val="auto"/>
          <w:kern w:val="0"/>
          <w:sz w:val="24"/>
          <w:szCs w:val="22"/>
          <w:highlight w:val="none"/>
        </w:rPr>
      </w:pP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sz w:val="24"/>
          <w:szCs w:val="24"/>
          <w:highlight w:val="none"/>
        </w:rPr>
        <w:t>在开标前，“信用中国”网站（www.creditchina.gov.cn）、中国政府采购网（www.ccgp.gov.cn）未完全反映投标人失信记录的，投标人在知情的情况下应当如实填报，因瞒报或漏报经查实后达到较大数额罚款金额的，作无效标处理。</w:t>
      </w:r>
    </w:p>
    <w:p w14:paraId="3D63456A">
      <w:pPr>
        <w:pStyle w:val="34"/>
        <w:pageBreakBefore w:val="0"/>
        <w:kinsoku/>
        <w:wordWrap/>
        <w:overflowPunct/>
        <w:topLinePunct w:val="0"/>
        <w:bidi w:val="0"/>
        <w:spacing w:beforeLines="0" w:line="440" w:lineRule="exact"/>
        <w:ind w:left="0" w:firstLine="480" w:firstLineChars="20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资格不符合的，应组织相关投标人代表进行陈述、澄清或申辩。资格性检查不合格的投标人则无须继续进行符合性检查，并且投标文件初审结论不合格。</w:t>
      </w:r>
    </w:p>
    <w:p w14:paraId="4DCF5126">
      <w:pPr>
        <w:pageBreakBefore w:val="0"/>
        <w:numPr>
          <w:ilvl w:val="0"/>
          <w:numId w:val="4"/>
        </w:numPr>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检查：依据招标文件的规定，从商务及技术文件和报价文件（开启后）的有效性、完整性和对招标文件的响应程度进行审查、比较和评估，以确定是否对招标文件的实质性要求作出响应。符合性检查不合格的投标人，投标文件初审结论不合格。</w:t>
      </w:r>
    </w:p>
    <w:p w14:paraId="177C2905">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2.样品评审（若有）。</w:t>
      </w:r>
    </w:p>
    <w:p w14:paraId="5576118C">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投标文件初审结论合格的供应商进入后续评审程序。如项目有样品展示环节，样品将在抽签标注后进入专家打分环节。评标委员会将首先评定样品分，再根据评标办法进行其他商务及技术文件内容评审。</w:t>
      </w:r>
    </w:p>
    <w:p w14:paraId="24422FAF">
      <w:pPr>
        <w:pageBreakBefore w:val="0"/>
        <w:numPr>
          <w:ilvl w:val="0"/>
          <w:numId w:val="5"/>
        </w:numPr>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投标文件的澄清。</w:t>
      </w:r>
    </w:p>
    <w:p w14:paraId="6738565C">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B520D4C">
      <w:pPr>
        <w:pageBreakBefore w:val="0"/>
        <w:numPr>
          <w:ilvl w:val="0"/>
          <w:numId w:val="5"/>
        </w:numPr>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商务及技术文件的比较与评价。</w:t>
      </w:r>
    </w:p>
    <w:p w14:paraId="5D2B5B31">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54CCE3DC">
      <w:pPr>
        <w:pStyle w:val="5"/>
        <w:pageBreakBefore w:val="0"/>
        <w:numPr>
          <w:ilvl w:val="0"/>
          <w:numId w:val="5"/>
        </w:numPr>
        <w:kinsoku/>
        <w:wordWrap/>
        <w:overflowPunct/>
        <w:topLinePunct w:val="0"/>
        <w:bidi w:val="0"/>
        <w:spacing w:beforeLines="0" w:after="0" w:line="440" w:lineRule="exact"/>
        <w:ind w:left="0" w:lef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报价文件的比较与评审。</w:t>
      </w:r>
    </w:p>
    <w:p w14:paraId="25C216D6">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资格和商务及技术文件评审结果公布后，在电子交易平台系统上公开报价文件有关内容，</w:t>
      </w:r>
      <w:r>
        <w:rPr>
          <w:rFonts w:hint="eastAsia" w:ascii="宋体" w:hAnsi="宋体" w:eastAsia="宋体" w:cs="宋体"/>
          <w:color w:val="auto"/>
          <w:sz w:val="24"/>
          <w:szCs w:val="24"/>
          <w:highlight w:val="none"/>
          <w:lang w:eastAsia="zh-CN"/>
        </w:rPr>
        <w:t>采购人和采购代理机构</w:t>
      </w:r>
      <w:r>
        <w:rPr>
          <w:rFonts w:hint="eastAsia" w:ascii="宋体" w:hAnsi="宋体" w:eastAsia="宋体" w:cs="宋体"/>
          <w:color w:val="auto"/>
          <w:sz w:val="24"/>
          <w:szCs w:val="24"/>
          <w:highlight w:val="none"/>
        </w:rPr>
        <w:t>做好开标记录，公开信息作为唱标内容。</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乐采云</w:t>
      </w:r>
      <w:r>
        <w:rPr>
          <w:rFonts w:hint="eastAsia" w:ascii="宋体" w:hAnsi="宋体" w:eastAsia="宋体" w:cs="宋体"/>
          <w:color w:val="auto"/>
          <w:sz w:val="24"/>
          <w:szCs w:val="24"/>
          <w:highlight w:val="none"/>
        </w:rPr>
        <w:t>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563A9B45">
      <w:pPr>
        <w:pageBreakBefore w:val="0"/>
        <w:kinsoku/>
        <w:wordWrap/>
        <w:overflowPunct/>
        <w:topLinePunct w:val="0"/>
        <w:bidi w:val="0"/>
        <w:spacing w:beforeLines="0" w:line="44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p>
    <w:p w14:paraId="4349FD42">
      <w:pPr>
        <w:pageBreakBefore w:val="0"/>
        <w:kinsoku/>
        <w:wordWrap/>
        <w:overflowPunct/>
        <w:topLinePunct w:val="0"/>
        <w:bidi w:val="0"/>
        <w:spacing w:beforeLines="0"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投标文件如果出现计算或表达上的错误</w:t>
      </w:r>
      <w:r>
        <w:rPr>
          <w:rFonts w:hint="eastAsia" w:ascii="宋体" w:hAnsi="宋体" w:eastAsia="宋体" w:cs="宋体"/>
          <w:b/>
          <w:bCs/>
          <w:color w:val="auto"/>
          <w:sz w:val="24"/>
          <w:szCs w:val="24"/>
          <w:highlight w:val="none"/>
          <w:lang w:eastAsia="zh-CN"/>
        </w:rPr>
        <w:t>或</w:t>
      </w:r>
      <w:r>
        <w:rPr>
          <w:rFonts w:hint="eastAsia" w:ascii="宋体" w:hAnsi="宋体" w:eastAsia="宋体" w:cs="宋体"/>
          <w:b/>
          <w:bCs/>
          <w:color w:val="auto"/>
          <w:sz w:val="24"/>
          <w:szCs w:val="24"/>
          <w:highlight w:val="none"/>
        </w:rPr>
        <w:t>报价出现前后不一致的，按照下列修正错误的原则</w:t>
      </w:r>
      <w:r>
        <w:rPr>
          <w:rFonts w:hint="eastAsia" w:ascii="宋体" w:hAnsi="宋体" w:eastAsia="宋体" w:cs="宋体"/>
          <w:b/>
          <w:bCs/>
          <w:color w:val="auto"/>
          <w:sz w:val="24"/>
          <w:szCs w:val="24"/>
          <w:highlight w:val="none"/>
          <w:lang w:eastAsia="zh-CN"/>
        </w:rPr>
        <w:t>进行</w:t>
      </w:r>
      <w:r>
        <w:rPr>
          <w:rFonts w:hint="eastAsia" w:ascii="宋体" w:hAnsi="宋体" w:eastAsia="宋体" w:cs="宋体"/>
          <w:b/>
          <w:bCs/>
          <w:color w:val="auto"/>
          <w:sz w:val="24"/>
          <w:szCs w:val="24"/>
          <w:highlight w:val="none"/>
        </w:rPr>
        <w:t>修正：</w:t>
      </w:r>
    </w:p>
    <w:p w14:paraId="4F526452">
      <w:pPr>
        <w:pageBreakBefore w:val="0"/>
        <w:kinsoku/>
        <w:wordWrap/>
        <w:overflowPunct/>
        <w:topLinePunct w:val="0"/>
        <w:bidi w:val="0"/>
        <w:snapToGrid w:val="0"/>
        <w:spacing w:beforeLines="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（1）投标文件中报价一览表内容与投标文件中相应内容不一致的，以报价一览表为准；</w:t>
      </w:r>
    </w:p>
    <w:p w14:paraId="3B8B92D7">
      <w:pPr>
        <w:pageBreakBefore w:val="0"/>
        <w:kinsoku/>
        <w:wordWrap/>
        <w:overflowPunct/>
        <w:topLinePunct w:val="0"/>
        <w:bidi w:val="0"/>
        <w:snapToGrid w:val="0"/>
        <w:spacing w:beforeLines="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（2）大写金额和小写金额不一致的，以大写金额为准；</w:t>
      </w:r>
    </w:p>
    <w:p w14:paraId="2E09BE6D">
      <w:pPr>
        <w:pageBreakBefore w:val="0"/>
        <w:kinsoku/>
        <w:wordWrap/>
        <w:overflowPunct/>
        <w:topLinePunct w:val="0"/>
        <w:bidi w:val="0"/>
        <w:snapToGrid w:val="0"/>
        <w:spacing w:beforeLines="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（3）单价金额小数点或者百分比有明显错位的，以报价一览表的总价为准，并修改单价；</w:t>
      </w:r>
    </w:p>
    <w:p w14:paraId="72F934FE">
      <w:pPr>
        <w:pageBreakBefore w:val="0"/>
        <w:kinsoku/>
        <w:wordWrap/>
        <w:overflowPunct/>
        <w:topLinePunct w:val="0"/>
        <w:bidi w:val="0"/>
        <w:snapToGrid w:val="0"/>
        <w:spacing w:beforeLines="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（4）总价金额与按单价汇总金额不一致的，以单价金额计算结果为准；</w:t>
      </w:r>
    </w:p>
    <w:p w14:paraId="79C6570E">
      <w:pPr>
        <w:pageBreakBefore w:val="0"/>
        <w:kinsoku/>
        <w:wordWrap/>
        <w:overflowPunct/>
        <w:topLinePunct w:val="0"/>
        <w:bidi w:val="0"/>
        <w:snapToGrid w:val="0"/>
        <w:spacing w:beforeLines="0" w:line="44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rPr>
        <w:t>乐采云</w:t>
      </w:r>
      <w:r>
        <w:rPr>
          <w:rFonts w:hint="eastAsia" w:ascii="宋体" w:hAnsi="宋体" w:eastAsia="宋体" w:cs="宋体"/>
          <w:color w:val="auto"/>
          <w:kern w:val="0"/>
          <w:sz w:val="24"/>
          <w:szCs w:val="24"/>
          <w:highlight w:val="none"/>
        </w:rPr>
        <w:t>电子交易平台</w:t>
      </w:r>
      <w:r>
        <w:rPr>
          <w:rFonts w:hint="eastAsia" w:ascii="宋体" w:hAnsi="宋体" w:eastAsia="宋体" w:cs="宋体"/>
          <w:color w:val="auto"/>
          <w:sz w:val="24"/>
          <w:highlight w:val="none"/>
        </w:rPr>
        <w:t>（非政府采购）</w:t>
      </w:r>
      <w:r>
        <w:rPr>
          <w:rFonts w:hint="eastAsia" w:ascii="宋体" w:hAnsi="宋体" w:eastAsia="宋体" w:cs="宋体"/>
          <w:color w:val="auto"/>
          <w:kern w:val="0"/>
          <w:sz w:val="24"/>
          <w:szCs w:val="24"/>
          <w:highlight w:val="none"/>
        </w:rPr>
        <w:t>-开标记录模块的报价与投标响应文件中的报价不一致的，以投标响应文件中的报价为准。</w:t>
      </w:r>
    </w:p>
    <w:p w14:paraId="15A34155">
      <w:pPr>
        <w:pageBreakBefore w:val="0"/>
        <w:kinsoku/>
        <w:wordWrap/>
        <w:overflowPunct/>
        <w:topLinePunct w:val="0"/>
        <w:bidi w:val="0"/>
        <w:snapToGrid w:val="0"/>
        <w:spacing w:beforeLines="0" w:line="440" w:lineRule="exact"/>
        <w:ind w:firstLine="48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w:t>
      </w:r>
      <w:r>
        <w:rPr>
          <w:rFonts w:hint="eastAsia" w:ascii="宋体" w:hAnsi="宋体" w:eastAsia="宋体" w:cs="宋体"/>
          <w:b/>
          <w:bCs/>
          <w:color w:val="auto"/>
          <w:kern w:val="0"/>
          <w:sz w:val="24"/>
          <w:szCs w:val="24"/>
          <w:highlight w:val="none"/>
        </w:rPr>
        <w:t>▲投标人对根据修正原则修正后的报价不确认的，投标无效。</w:t>
      </w:r>
    </w:p>
    <w:p w14:paraId="36A31215">
      <w:pPr>
        <w:pageBreakBefore w:val="0"/>
        <w:numPr>
          <w:ilvl w:val="0"/>
          <w:numId w:val="5"/>
        </w:numPr>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推荐中标候选人与编写评标报告。</w:t>
      </w:r>
    </w:p>
    <w:p w14:paraId="34977B4D">
      <w:pPr>
        <w:pageBreakBefore w:val="0"/>
        <w:kinsoku/>
        <w:wordWrap/>
        <w:overflowPunct/>
        <w:topLinePunct w:val="0"/>
        <w:bidi w:val="0"/>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548AAACF">
      <w:pPr>
        <w:pageBreakBefore w:val="0"/>
        <w:numPr>
          <w:ilvl w:val="0"/>
          <w:numId w:val="5"/>
        </w:numPr>
        <w:kinsoku/>
        <w:wordWrap/>
        <w:overflowPunct/>
        <w:topLinePunct w:val="0"/>
        <w:bidi w:val="0"/>
        <w:snapToGrid w:val="0"/>
        <w:spacing w:beforeLines="0" w:line="440" w:lineRule="exact"/>
        <w:ind w:left="0" w:leftChars="0" w:firstLine="480" w:firstLineChars="200"/>
        <w:textAlignment w:val="auto"/>
        <w:rPr>
          <w:rFonts w:hint="eastAsia" w:ascii="宋体" w:hAnsi="宋体" w:eastAsia="宋体" w:cs="宋体"/>
          <w:b/>
          <w:color w:val="auto"/>
          <w:kern w:val="0"/>
          <w:sz w:val="24"/>
          <w:highlight w:val="none"/>
        </w:rPr>
      </w:pPr>
      <w:r>
        <w:rPr>
          <w:rFonts w:hint="eastAsia" w:ascii="宋体" w:hAnsi="宋体" w:eastAsia="宋体" w:cs="宋体"/>
          <w:color w:val="000000"/>
          <w:sz w:val="24"/>
          <w:szCs w:val="24"/>
        </w:rPr>
        <w:t>供应商拒绝澄清或者澄清的内容改变了投标文件的实质性内容或者需要现场演示的授权代表未到场的，评标委员会有权对该投标文件作出不利于投标人的评判。</w:t>
      </w:r>
    </w:p>
    <w:p w14:paraId="0285AFC8">
      <w:pPr>
        <w:pageBreakBefore w:val="0"/>
        <w:kinsoku/>
        <w:wordWrap/>
        <w:overflowPunct/>
        <w:topLinePunct w:val="0"/>
        <w:bidi w:val="0"/>
        <w:spacing w:beforeLines="0" w:line="440" w:lineRule="exact"/>
        <w:ind w:firstLine="482" w:firstLineChars="200"/>
        <w:textAlignment w:val="auto"/>
        <w:outlineLvl w:val="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六、无效的投标</w:t>
      </w:r>
    </w:p>
    <w:p w14:paraId="5324D03E">
      <w:pPr>
        <w:pageBreakBefore w:val="0"/>
        <w:kinsoku/>
        <w:wordWrap/>
        <w:overflowPunct/>
        <w:topLinePunct w:val="0"/>
        <w:bidi w:val="0"/>
        <w:spacing w:beforeLines="0" w:line="440" w:lineRule="exact"/>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发生下列情况之一的投标文件被视为无效：</w:t>
      </w:r>
    </w:p>
    <w:tbl>
      <w:tblPr>
        <w:tblStyle w:val="24"/>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8970"/>
      </w:tblGrid>
      <w:tr w14:paraId="4080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03" w:type="dxa"/>
            <w:noWrap w:val="0"/>
            <w:vAlign w:val="center"/>
          </w:tcPr>
          <w:p w14:paraId="661125CF">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8970" w:type="dxa"/>
            <w:noWrap w:val="0"/>
            <w:vAlign w:val="center"/>
          </w:tcPr>
          <w:p w14:paraId="728A164D">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无效标条款内容</w:t>
            </w:r>
          </w:p>
        </w:tc>
      </w:tr>
      <w:tr w14:paraId="72CFD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03" w:type="dxa"/>
            <w:noWrap w:val="0"/>
            <w:vAlign w:val="center"/>
          </w:tcPr>
          <w:p w14:paraId="273FBF4A">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970" w:type="dxa"/>
            <w:noWrap w:val="0"/>
            <w:vAlign w:val="center"/>
          </w:tcPr>
          <w:p w14:paraId="05828ADD">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未办理获取招标文件登记手续的。</w:t>
            </w:r>
          </w:p>
        </w:tc>
      </w:tr>
      <w:tr w14:paraId="19C1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4884841B">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970" w:type="dxa"/>
            <w:noWrap w:val="0"/>
            <w:vAlign w:val="center"/>
          </w:tcPr>
          <w:p w14:paraId="3558E6E6">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投标截止时间前未传输递交电子投标文件的，在规定时间内无法解密或解密失败的。</w:t>
            </w:r>
          </w:p>
        </w:tc>
      </w:tr>
      <w:tr w14:paraId="75F3A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0D48AFD1">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970" w:type="dxa"/>
            <w:noWrap w:val="0"/>
            <w:vAlign w:val="center"/>
          </w:tcPr>
          <w:p w14:paraId="5E239024">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为采购项目提供整体设计、规范编制或者项目管理、监理、检测等服务的供应商再参加该采购项目的其他采购活动的。</w:t>
            </w:r>
          </w:p>
        </w:tc>
      </w:tr>
      <w:tr w14:paraId="77C1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458460BE">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970" w:type="dxa"/>
            <w:noWrap w:val="0"/>
            <w:vAlign w:val="center"/>
          </w:tcPr>
          <w:p w14:paraId="27EF724D">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单位负责人为同一人或者存在直接控股、管理关系的不同供应商参加同一合同项下的国资（政府）采购活动的（均无效）。</w:t>
            </w:r>
          </w:p>
        </w:tc>
      </w:tr>
      <w:tr w14:paraId="57DC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53A63E54">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8970" w:type="dxa"/>
            <w:noWrap w:val="0"/>
            <w:vAlign w:val="center"/>
          </w:tcPr>
          <w:p w14:paraId="7C0B1A9C">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投标人未能通过资格审查的：未按照招标文件要求提供与基本资格条件、特定资格条件相应的有效资格证明材料的</w:t>
            </w:r>
            <w:r>
              <w:rPr>
                <w:rFonts w:hint="eastAsia" w:ascii="宋体" w:hAnsi="宋体" w:eastAsia="宋体" w:cs="宋体"/>
                <w:color w:val="auto"/>
                <w:sz w:val="24"/>
                <w:szCs w:val="24"/>
                <w:highlight w:val="none"/>
                <w:lang w:eastAsia="zh-CN"/>
              </w:rPr>
              <w:t>。</w:t>
            </w:r>
          </w:p>
        </w:tc>
      </w:tr>
      <w:tr w14:paraId="2A77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20D8A584">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8970" w:type="dxa"/>
            <w:noWrap w:val="0"/>
            <w:vAlign w:val="center"/>
          </w:tcPr>
          <w:p w14:paraId="19997A26">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第二十二条之规定经查询列入失信被执行人名单、重大税收违法案件当事人名单、国资（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tc>
      </w:tr>
      <w:tr w14:paraId="52F5C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3CFEF924">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8970" w:type="dxa"/>
            <w:noWrap w:val="0"/>
            <w:vAlign w:val="center"/>
          </w:tcPr>
          <w:p w14:paraId="49F76AC9">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电子投标文件中所须加盖公章部分均采用CA签章，投标文件应盖而未盖公章或盖非公司公章的、不按正确位置盖章的、未有效授权，投标响应函、报价一览表、法定代表人授权委托书等填写不完整或有涂改的。</w:t>
            </w:r>
          </w:p>
        </w:tc>
      </w:tr>
      <w:tr w14:paraId="62FD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4486295B">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970" w:type="dxa"/>
            <w:noWrap w:val="0"/>
            <w:vAlign w:val="center"/>
          </w:tcPr>
          <w:p w14:paraId="1116E653">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投标文件须由法定代表人或其授权代表签署部分，未</w:t>
            </w:r>
            <w:r>
              <w:rPr>
                <w:rFonts w:hint="eastAsia" w:ascii="宋体" w:hAnsi="宋体" w:eastAsia="宋体" w:cs="宋体"/>
                <w:color w:val="auto"/>
                <w:kern w:val="0"/>
                <w:sz w:val="24"/>
                <w:szCs w:val="24"/>
              </w:rPr>
              <w:t>用不褪色墨水</w:t>
            </w:r>
            <w:r>
              <w:rPr>
                <w:rFonts w:hint="eastAsia" w:ascii="宋体" w:hAnsi="宋体" w:eastAsia="宋体" w:cs="宋体"/>
                <w:color w:val="auto"/>
                <w:sz w:val="24"/>
                <w:szCs w:val="24"/>
                <w:highlight w:val="none"/>
              </w:rPr>
              <w:t>进行签名或电子签名的。</w:t>
            </w:r>
          </w:p>
        </w:tc>
      </w:tr>
      <w:tr w14:paraId="1C4D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3DC9B90F">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970" w:type="dxa"/>
            <w:noWrap w:val="0"/>
            <w:vAlign w:val="center"/>
          </w:tcPr>
          <w:p w14:paraId="11679A04">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投标文件组成漏项或未按规定的格式编制，内容不全或内容字迹模糊辨认不清，导致影响评标的。</w:t>
            </w:r>
          </w:p>
        </w:tc>
      </w:tr>
      <w:tr w14:paraId="1391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7D700FAB">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970" w:type="dxa"/>
            <w:noWrap w:val="0"/>
            <w:vAlign w:val="center"/>
          </w:tcPr>
          <w:p w14:paraId="66E4AFEB">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tc>
      </w:tr>
      <w:tr w14:paraId="0278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60D80EC6">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8970" w:type="dxa"/>
            <w:noWrap w:val="0"/>
            <w:vAlign w:val="center"/>
          </w:tcPr>
          <w:p w14:paraId="329E5904">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投标文件未按招标文件的最终澄清、修改的内容进行编制，又不符合实质性要求的。</w:t>
            </w:r>
          </w:p>
        </w:tc>
      </w:tr>
      <w:tr w14:paraId="38C8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3" w:type="dxa"/>
            <w:noWrap w:val="0"/>
            <w:vAlign w:val="center"/>
          </w:tcPr>
          <w:p w14:paraId="0F51B11E">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8970" w:type="dxa"/>
            <w:noWrap w:val="0"/>
            <w:vAlign w:val="center"/>
          </w:tcPr>
          <w:p w14:paraId="08C99132">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服务条款偏离表中有服务条款偏离情况未响应</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与实际不符的</w:t>
            </w:r>
            <w:r>
              <w:rPr>
                <w:rFonts w:hint="eastAsia" w:ascii="宋体" w:hAnsi="宋体" w:eastAsia="宋体" w:cs="宋体"/>
                <w:color w:val="auto"/>
                <w:sz w:val="24"/>
                <w:szCs w:val="24"/>
                <w:highlight w:val="none"/>
                <w:lang w:eastAsia="zh-CN"/>
              </w:rPr>
              <w:t>。</w:t>
            </w:r>
          </w:p>
        </w:tc>
      </w:tr>
      <w:tr w14:paraId="27E6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45F436A3">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8970" w:type="dxa"/>
            <w:noWrap w:val="0"/>
            <w:vAlign w:val="center"/>
          </w:tcPr>
          <w:p w14:paraId="6B252706">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w:t>
            </w:r>
          </w:p>
        </w:tc>
      </w:tr>
      <w:tr w14:paraId="5F6D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14962E84">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8970" w:type="dxa"/>
            <w:noWrap w:val="0"/>
            <w:vAlign w:val="center"/>
          </w:tcPr>
          <w:p w14:paraId="1B35FEE7">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投标文件中承诺的投标有效期少于招标文件中载明的投标有效期的。</w:t>
            </w:r>
          </w:p>
        </w:tc>
      </w:tr>
      <w:tr w14:paraId="5323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55274144">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8970" w:type="dxa"/>
            <w:noWrap w:val="0"/>
            <w:vAlign w:val="center"/>
          </w:tcPr>
          <w:p w14:paraId="6A0D223C">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递交两个或多个内容不同的投标方案的，或投标报价不是唯一的，有选择性的。</w:t>
            </w:r>
          </w:p>
        </w:tc>
      </w:tr>
      <w:tr w14:paraId="7BB2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31138E11">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8970" w:type="dxa"/>
            <w:noWrap w:val="0"/>
            <w:vAlign w:val="center"/>
          </w:tcPr>
          <w:p w14:paraId="680AC49F">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资格文件、商务及技术文件中出现投标价格信息的，或不符合报价文件规定要求的。</w:t>
            </w:r>
          </w:p>
        </w:tc>
      </w:tr>
      <w:tr w14:paraId="2285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3A3890E7">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8970" w:type="dxa"/>
            <w:noWrap w:val="0"/>
            <w:vAlign w:val="center"/>
          </w:tcPr>
          <w:p w14:paraId="50209A91">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商务及技术文件和报价文件中的投标产品或服务不一致的。</w:t>
            </w:r>
          </w:p>
        </w:tc>
      </w:tr>
      <w:tr w14:paraId="0A64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76FC5F6F">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8970" w:type="dxa"/>
            <w:noWrap w:val="0"/>
            <w:vAlign w:val="center"/>
          </w:tcPr>
          <w:p w14:paraId="32AAE007">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投标报价超过本项目采购预算或者最高限价的。</w:t>
            </w:r>
          </w:p>
        </w:tc>
      </w:tr>
      <w:tr w14:paraId="4FBB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3" w:type="dxa"/>
            <w:noWrap w:val="0"/>
            <w:vAlign w:val="center"/>
          </w:tcPr>
          <w:p w14:paraId="056CC421">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8970" w:type="dxa"/>
            <w:noWrap w:val="0"/>
            <w:vAlign w:val="center"/>
          </w:tcPr>
          <w:p w14:paraId="236A6A9F">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认为投标人的报价明显低于其他通过符合性审查投标人的报价，有可能影响产品质量或者不能诚信履约的，投标人未能按要求在评标现场合理的时间内提供书面说明或相关证明材料，不能证明其报价合理性的。</w:t>
            </w:r>
          </w:p>
        </w:tc>
      </w:tr>
      <w:tr w14:paraId="7B64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373D74DB">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8970" w:type="dxa"/>
            <w:noWrap w:val="0"/>
            <w:vAlign w:val="center"/>
          </w:tcPr>
          <w:p w14:paraId="098F957B">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报价文件中有0报价的。</w:t>
            </w:r>
          </w:p>
        </w:tc>
      </w:tr>
      <w:tr w14:paraId="1682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77DBA348">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8970" w:type="dxa"/>
            <w:noWrap w:val="0"/>
            <w:vAlign w:val="center"/>
          </w:tcPr>
          <w:p w14:paraId="53547B05">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投标人对根据修正原则修正后的报价不确认的。</w:t>
            </w:r>
          </w:p>
        </w:tc>
      </w:tr>
      <w:tr w14:paraId="6788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405046E2">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8970" w:type="dxa"/>
            <w:noWrap w:val="0"/>
            <w:vAlign w:val="center"/>
          </w:tcPr>
          <w:p w14:paraId="52CF6628">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投标人提供虚假材料投标的（包括但不限于以下情节）：</w:t>
            </w:r>
          </w:p>
          <w:p w14:paraId="73710FFC">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1.使用伪造、变造的许可证件的；</w:t>
            </w:r>
          </w:p>
          <w:p w14:paraId="3F4ACDA4">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2.提供虚假的财务状况或者业绩的；</w:t>
            </w:r>
          </w:p>
          <w:p w14:paraId="676E27AE">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3.提供虚假的项目负责人或者主要技术人员简历、劳动关系证明的；</w:t>
            </w:r>
          </w:p>
          <w:p w14:paraId="4A0938FA">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4.提供虚假的信用状况的；</w:t>
            </w:r>
          </w:p>
          <w:p w14:paraId="12749F20">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5.其他弄虚作假的行为的。</w:t>
            </w:r>
          </w:p>
        </w:tc>
      </w:tr>
      <w:tr w14:paraId="0A7A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39676516">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8970" w:type="dxa"/>
            <w:noWrap w:val="0"/>
            <w:vAlign w:val="center"/>
          </w:tcPr>
          <w:p w14:paraId="7A5B0CF0">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投标人有恶意串通、妨碍其他投标人的竞争行为、损害采购人或者其他投标人的合法权益情形的，有下列情形之一的，属于或视为恶意串通，其投标无效：</w:t>
            </w:r>
          </w:p>
          <w:p w14:paraId="688DBCA8">
            <w:pPr>
              <w:pStyle w:val="4"/>
              <w:keepNext w:val="0"/>
              <w:keepLines w:val="0"/>
              <w:pageBreakBefore w:val="0"/>
              <w:widowControl w:val="0"/>
              <w:kinsoku/>
              <w:wordWrap/>
              <w:overflowPunct/>
              <w:topLinePunct w:val="0"/>
              <w:autoSpaceDE/>
              <w:autoSpaceDN/>
              <w:bidi w:val="0"/>
              <w:adjustRightInd/>
              <w:snapToGrid/>
              <w:spacing w:beforeLines="0" w:line="400" w:lineRule="exact"/>
              <w:ind w:left="240" w:hanging="240" w:hanging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1.供应商直接或者间接从采购人或者采购代理机构处获得其他供应商的相关情况并修改其投标文件或者响应文件的；</w:t>
            </w:r>
          </w:p>
          <w:p w14:paraId="2F0EBF4E">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2.供应商按照采购人或者采购代理机构的授意撤换、修改投标文件或者响应文件的；</w:t>
            </w:r>
          </w:p>
          <w:p w14:paraId="2A9E1BC9">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3.供应商之间协商报价、技术方案等投标文件或者响应文件的实质性内容的；</w:t>
            </w:r>
          </w:p>
          <w:p w14:paraId="7827A7D0">
            <w:pPr>
              <w:pStyle w:val="4"/>
              <w:keepNext w:val="0"/>
              <w:keepLines w:val="0"/>
              <w:pageBreakBefore w:val="0"/>
              <w:widowControl w:val="0"/>
              <w:kinsoku/>
              <w:wordWrap/>
              <w:overflowPunct/>
              <w:topLinePunct w:val="0"/>
              <w:autoSpaceDE/>
              <w:autoSpaceDN/>
              <w:bidi w:val="0"/>
              <w:adjustRightInd/>
              <w:snapToGrid/>
              <w:spacing w:beforeLines="0" w:line="400" w:lineRule="exact"/>
              <w:ind w:left="240" w:hanging="240" w:hanging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4.属于同一集团、协会、商会等组织成员的供应商按照该组织要求协同参加国资采购活动的；</w:t>
            </w:r>
          </w:p>
          <w:p w14:paraId="74BE523C">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5.供应商之间事先约定由某一特定供应商中标、成交的；</w:t>
            </w:r>
          </w:p>
          <w:p w14:paraId="5D8F3095">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6.供应商之间商定部分供应商放弃参加国资（政府）采购活动或者放弃中标、成交的；</w:t>
            </w:r>
          </w:p>
          <w:p w14:paraId="457C7F7A">
            <w:pPr>
              <w:pStyle w:val="4"/>
              <w:keepNext w:val="0"/>
              <w:keepLines w:val="0"/>
              <w:pageBreakBefore w:val="0"/>
              <w:widowControl w:val="0"/>
              <w:kinsoku/>
              <w:wordWrap/>
              <w:overflowPunct/>
              <w:topLinePunct w:val="0"/>
              <w:autoSpaceDE/>
              <w:autoSpaceDN/>
              <w:bidi w:val="0"/>
              <w:adjustRightInd/>
              <w:snapToGrid/>
              <w:spacing w:beforeLines="0" w:line="400" w:lineRule="exact"/>
              <w:ind w:left="240" w:hanging="240" w:hangingChars="1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7.供应商与采购人或者采购代理机构之间、供应商相互之间，为谋求特定供应商中标、成交或者排斥其他供应商的其他串通行为的。</w:t>
            </w:r>
          </w:p>
          <w:p w14:paraId="206D635E">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8.不同投标人的投标文件由同一单位或者个人编制的；</w:t>
            </w:r>
          </w:p>
          <w:p w14:paraId="0C4F671D">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9.不同投标人委托同一单位或者个人办理投标事宜的；</w:t>
            </w:r>
          </w:p>
          <w:p w14:paraId="3E999C70">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10.不同投标人的投标文件载明的项目管理成员或者联系人员为同一人的；</w:t>
            </w:r>
          </w:p>
          <w:p w14:paraId="34492218">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11.不同投标人的投标文件异常一致或者投标报价呈规律性差异的；</w:t>
            </w:r>
          </w:p>
          <w:p w14:paraId="5A607E32">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12.不同投标人的投标文件相互混装的。</w:t>
            </w:r>
          </w:p>
        </w:tc>
      </w:tr>
      <w:tr w14:paraId="2E5A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5B6780BA">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24</w:t>
            </w:r>
          </w:p>
        </w:tc>
        <w:tc>
          <w:tcPr>
            <w:tcW w:w="8970" w:type="dxa"/>
            <w:noWrap w:val="0"/>
            <w:vAlign w:val="center"/>
          </w:tcPr>
          <w:p w14:paraId="74271854">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若有税收缴纳、社会保障等方面的失信记录等情况，且不属于截止投标时间近三年以来，在经营活动中有重大违法记录及被列入政府采购严重违法失信行为记录名单的，可不出具该承诺函，但须详细说明失信记录的情况，否则按无效标处理。</w:t>
            </w:r>
          </w:p>
        </w:tc>
      </w:tr>
      <w:tr w14:paraId="42DE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36E8DDE7">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25</w:t>
            </w:r>
          </w:p>
        </w:tc>
        <w:tc>
          <w:tcPr>
            <w:tcW w:w="8970" w:type="dxa"/>
            <w:noWrap w:val="0"/>
            <w:vAlign w:val="center"/>
          </w:tcPr>
          <w:p w14:paraId="7B834747">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投标文件含有采购人不能接受的附加条件的。</w:t>
            </w:r>
          </w:p>
        </w:tc>
      </w:tr>
      <w:tr w14:paraId="3B690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4423A162">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26</w:t>
            </w:r>
          </w:p>
        </w:tc>
        <w:tc>
          <w:tcPr>
            <w:tcW w:w="8970" w:type="dxa"/>
            <w:noWrap w:val="0"/>
            <w:vAlign w:val="center"/>
          </w:tcPr>
          <w:p w14:paraId="77A4C89E">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出现影响采购公正的违法违规行为。</w:t>
            </w:r>
          </w:p>
        </w:tc>
      </w:tr>
      <w:tr w14:paraId="53B7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6A1D3DDF">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27</w:t>
            </w:r>
          </w:p>
        </w:tc>
        <w:tc>
          <w:tcPr>
            <w:tcW w:w="8970" w:type="dxa"/>
            <w:noWrap w:val="0"/>
            <w:vAlign w:val="center"/>
          </w:tcPr>
          <w:p w14:paraId="52CFF36B">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招标文件规定的其他无效投标情形。</w:t>
            </w:r>
          </w:p>
        </w:tc>
      </w:tr>
      <w:tr w14:paraId="7BA82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noWrap w:val="0"/>
            <w:vAlign w:val="center"/>
          </w:tcPr>
          <w:p w14:paraId="4D6F827F">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8970" w:type="dxa"/>
            <w:noWrap w:val="0"/>
            <w:vAlign w:val="center"/>
          </w:tcPr>
          <w:p w14:paraId="296EDAAA">
            <w:pPr>
              <w:pStyle w:val="4"/>
              <w:keepNext w:val="0"/>
              <w:keepLines w:val="0"/>
              <w:pageBreakBefore w:val="0"/>
              <w:widowControl w:val="0"/>
              <w:kinsoku/>
              <w:wordWrap/>
              <w:overflowPunct/>
              <w:topLinePunct w:val="0"/>
              <w:autoSpaceDE/>
              <w:autoSpaceDN/>
              <w:bidi w:val="0"/>
              <w:adjustRightInd/>
              <w:snapToGrid/>
              <w:spacing w:beforeLines="0" w:line="40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法律、法规、规章（适用杭州市的）及省级以上规范性文件（适用本市的）规定的其他无效情形。</w:t>
            </w:r>
          </w:p>
        </w:tc>
      </w:tr>
    </w:tbl>
    <w:p w14:paraId="1E439222">
      <w:pPr>
        <w:pageBreakBefore w:val="0"/>
        <w:kinsoku/>
        <w:wordWrap/>
        <w:overflowPunct/>
        <w:topLinePunct w:val="0"/>
        <w:autoSpaceDE/>
        <w:autoSpaceDN/>
        <w:bidi w:val="0"/>
        <w:adjustRightInd/>
        <w:snapToGrid w:val="0"/>
        <w:spacing w:beforeLines="0" w:line="440" w:lineRule="exact"/>
        <w:ind w:firstLine="482" w:firstLineChars="200"/>
        <w:textAlignment w:val="auto"/>
        <w:rPr>
          <w:rFonts w:hint="eastAsia" w:ascii="宋体" w:hAnsi="宋体" w:eastAsia="宋体" w:cs="宋体"/>
          <w:b/>
          <w:bCs/>
          <w:color w:val="auto"/>
          <w:kern w:val="0"/>
          <w:sz w:val="24"/>
          <w:szCs w:val="22"/>
          <w:highlight w:val="none"/>
        </w:rPr>
      </w:pPr>
      <w:r>
        <w:rPr>
          <w:rFonts w:hint="eastAsia" w:ascii="宋体" w:hAnsi="宋体" w:eastAsia="宋体" w:cs="宋体"/>
          <w:b/>
          <w:color w:val="auto"/>
          <w:kern w:val="0"/>
          <w:sz w:val="24"/>
          <w:highlight w:val="none"/>
        </w:rPr>
        <w:t>七、</w:t>
      </w:r>
      <w:r>
        <w:rPr>
          <w:rFonts w:hint="eastAsia" w:ascii="宋体" w:hAnsi="宋体" w:eastAsia="宋体" w:cs="宋体"/>
          <w:b/>
          <w:bCs/>
          <w:color w:val="auto"/>
          <w:kern w:val="0"/>
          <w:sz w:val="24"/>
          <w:szCs w:val="22"/>
          <w:highlight w:val="none"/>
        </w:rPr>
        <w:t>电子交易活动的中止</w:t>
      </w:r>
    </w:p>
    <w:p w14:paraId="1EE2D02E">
      <w:pPr>
        <w:pStyle w:val="34"/>
        <w:pageBreakBefore w:val="0"/>
        <w:kinsoku/>
        <w:wordWrap/>
        <w:overflowPunct/>
        <w:topLinePunct w:val="0"/>
        <w:autoSpaceDE/>
        <w:autoSpaceDN/>
        <w:bidi w:val="0"/>
        <w:adjustRightInd/>
        <w:snapToGrid w:val="0"/>
        <w:spacing w:beforeLines="0" w:line="440" w:lineRule="exact"/>
        <w:ind w:left="0"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采购过程中出现以下情形，导致电子交易平台无法正常运行，或者无法保证电子交易的公平、公正和安全时，</w:t>
      </w:r>
      <w:r>
        <w:rPr>
          <w:rFonts w:hint="eastAsia" w:ascii="宋体" w:hAnsi="宋体" w:eastAsia="宋体" w:cs="宋体"/>
          <w:color w:val="auto"/>
          <w:szCs w:val="22"/>
          <w:highlight w:val="none"/>
          <w:lang w:eastAsia="zh-CN"/>
        </w:rPr>
        <w:t>采购代理机构</w:t>
      </w:r>
      <w:r>
        <w:rPr>
          <w:rFonts w:hint="eastAsia" w:ascii="宋体" w:hAnsi="宋体" w:eastAsia="宋体" w:cs="宋体"/>
          <w:color w:val="auto"/>
          <w:szCs w:val="22"/>
          <w:highlight w:val="none"/>
        </w:rPr>
        <w:t>可中止电子交易活动：</w:t>
      </w:r>
    </w:p>
    <w:p w14:paraId="07610307">
      <w:pPr>
        <w:pStyle w:val="34"/>
        <w:pageBreakBefore w:val="0"/>
        <w:kinsoku/>
        <w:wordWrap/>
        <w:overflowPunct/>
        <w:topLinePunct w:val="0"/>
        <w:autoSpaceDE/>
        <w:autoSpaceDN/>
        <w:bidi w:val="0"/>
        <w:adjustRightInd/>
        <w:snapToGrid w:val="0"/>
        <w:spacing w:beforeLines="0" w:line="440" w:lineRule="exact"/>
        <w:ind w:left="0"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（一）电子交易平台发生故障而无法登录访问的； </w:t>
      </w:r>
    </w:p>
    <w:p w14:paraId="1F2D1C86">
      <w:pPr>
        <w:pStyle w:val="34"/>
        <w:pageBreakBefore w:val="0"/>
        <w:kinsoku/>
        <w:wordWrap/>
        <w:overflowPunct/>
        <w:topLinePunct w:val="0"/>
        <w:autoSpaceDE/>
        <w:autoSpaceDN/>
        <w:bidi w:val="0"/>
        <w:adjustRightInd/>
        <w:snapToGrid w:val="0"/>
        <w:spacing w:beforeLines="0" w:line="440" w:lineRule="exact"/>
        <w:ind w:left="0"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（二）电子交易平台应用或数据库出现错误，不能进行正常操作的；</w:t>
      </w:r>
    </w:p>
    <w:p w14:paraId="73FB1734">
      <w:pPr>
        <w:pStyle w:val="34"/>
        <w:pageBreakBefore w:val="0"/>
        <w:kinsoku/>
        <w:wordWrap/>
        <w:overflowPunct/>
        <w:topLinePunct w:val="0"/>
        <w:autoSpaceDE/>
        <w:autoSpaceDN/>
        <w:bidi w:val="0"/>
        <w:adjustRightInd/>
        <w:snapToGrid w:val="0"/>
        <w:spacing w:beforeLines="0" w:line="440" w:lineRule="exact"/>
        <w:ind w:left="0"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（三）电子交易平台发现严重安全漏洞，有潜在泄密危险的；</w:t>
      </w:r>
    </w:p>
    <w:p w14:paraId="4CB02682">
      <w:pPr>
        <w:pStyle w:val="34"/>
        <w:pageBreakBefore w:val="0"/>
        <w:kinsoku/>
        <w:wordWrap/>
        <w:overflowPunct/>
        <w:topLinePunct w:val="0"/>
        <w:autoSpaceDE/>
        <w:autoSpaceDN/>
        <w:bidi w:val="0"/>
        <w:adjustRightInd/>
        <w:snapToGrid w:val="0"/>
        <w:spacing w:beforeLines="0" w:line="440" w:lineRule="exact"/>
        <w:ind w:left="0"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 xml:space="preserve">（四）病毒发作导致不能进行正常操作的； </w:t>
      </w:r>
    </w:p>
    <w:p w14:paraId="0FCE4843">
      <w:pPr>
        <w:pStyle w:val="34"/>
        <w:pageBreakBefore w:val="0"/>
        <w:kinsoku/>
        <w:wordWrap/>
        <w:overflowPunct/>
        <w:topLinePunct w:val="0"/>
        <w:autoSpaceDE/>
        <w:autoSpaceDN/>
        <w:bidi w:val="0"/>
        <w:adjustRightInd/>
        <w:snapToGrid w:val="0"/>
        <w:spacing w:beforeLines="0" w:line="440" w:lineRule="exact"/>
        <w:ind w:left="0" w:firstLine="480" w:firstLineChars="200"/>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（五）其他无法保证电子交易的公平、公正和安全的情况。</w:t>
      </w:r>
    </w:p>
    <w:p w14:paraId="05D36398">
      <w:pPr>
        <w:pStyle w:val="34"/>
        <w:pageBreakBefore w:val="0"/>
        <w:kinsoku/>
        <w:wordWrap/>
        <w:overflowPunct/>
        <w:topLinePunct w:val="0"/>
        <w:autoSpaceDE/>
        <w:autoSpaceDN/>
        <w:bidi w:val="0"/>
        <w:adjustRightInd/>
        <w:snapToGrid w:val="0"/>
        <w:spacing w:beforeLines="0" w:line="44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Cs w:val="22"/>
          <w:highlight w:val="none"/>
        </w:rPr>
        <w:t>出现以上情形，不影响采购公平、公正性的，</w:t>
      </w:r>
      <w:r>
        <w:rPr>
          <w:rFonts w:hint="eastAsia" w:ascii="宋体" w:hAnsi="宋体" w:eastAsia="宋体" w:cs="宋体"/>
          <w:color w:val="auto"/>
          <w:szCs w:val="22"/>
          <w:highlight w:val="none"/>
          <w:lang w:eastAsia="zh-CN"/>
        </w:rPr>
        <w:t>采购代理机构</w:t>
      </w:r>
      <w:r>
        <w:rPr>
          <w:rFonts w:hint="eastAsia" w:ascii="宋体" w:hAnsi="宋体" w:eastAsia="宋体" w:cs="宋体"/>
          <w:color w:val="auto"/>
          <w:szCs w:val="22"/>
          <w:highlight w:val="none"/>
        </w:rPr>
        <w:t>可以待上述情形消除后继续组织电子交易活动，也可以决定某些环节以纸质形式进行；影响或可能影响采购公平、公正性的，应当重新采购。</w:t>
      </w:r>
    </w:p>
    <w:p w14:paraId="6B9D0C66">
      <w:pPr>
        <w:pageBreakBefore w:val="0"/>
        <w:kinsoku/>
        <w:wordWrap/>
        <w:overflowPunct/>
        <w:topLinePunct w:val="0"/>
        <w:autoSpaceDE/>
        <w:autoSpaceDN/>
        <w:bidi w:val="0"/>
        <w:adjustRightInd/>
        <w:spacing w:beforeLines="0" w:line="440" w:lineRule="exact"/>
        <w:ind w:firstLine="482" w:firstLineChars="200"/>
        <w:textAlignment w:val="auto"/>
        <w:outlineLvl w:val="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八、废标</w:t>
      </w:r>
    </w:p>
    <w:p w14:paraId="65D1551C">
      <w:pPr>
        <w:pageBreakBefore w:val="0"/>
        <w:kinsoku/>
        <w:wordWrap/>
        <w:overflowPunct/>
        <w:topLinePunct w:val="0"/>
        <w:autoSpaceDE/>
        <w:autoSpaceDN/>
        <w:bidi w:val="0"/>
        <w:adjustRightInd/>
        <w:spacing w:beforeLines="0"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在采购中，出现下列情形之一的，应予废标：</w:t>
      </w:r>
    </w:p>
    <w:p w14:paraId="4BFA1721">
      <w:pPr>
        <w:pageBreakBefore w:val="0"/>
        <w:kinsoku/>
        <w:wordWrap/>
        <w:overflowPunct/>
        <w:topLinePunct w:val="0"/>
        <w:autoSpaceDE/>
        <w:autoSpaceDN/>
        <w:bidi w:val="0"/>
        <w:adjustRightInd/>
        <w:spacing w:beforeLines="0" w:line="440" w:lineRule="exact"/>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（一）符合专业条件的供应商或者对</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kern w:val="0"/>
          <w:sz w:val="24"/>
          <w:highlight w:val="none"/>
        </w:rPr>
        <w:t>作实质响应的供应商不足三家的；</w:t>
      </w:r>
    </w:p>
    <w:p w14:paraId="680E9C11">
      <w:pPr>
        <w:pageBreakBefore w:val="0"/>
        <w:kinsoku/>
        <w:wordWrap/>
        <w:overflowPunct/>
        <w:topLinePunct w:val="0"/>
        <w:autoSpaceDE/>
        <w:autoSpaceDN/>
        <w:bidi w:val="0"/>
        <w:adjustRightInd/>
        <w:spacing w:beforeLines="0" w:line="440" w:lineRule="exact"/>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（二）出现影响采购公正的违法、违规行为的；</w:t>
      </w:r>
    </w:p>
    <w:p w14:paraId="0F81E480">
      <w:pPr>
        <w:pageBreakBefore w:val="0"/>
        <w:kinsoku/>
        <w:wordWrap/>
        <w:overflowPunct/>
        <w:topLinePunct w:val="0"/>
        <w:autoSpaceDE/>
        <w:autoSpaceDN/>
        <w:bidi w:val="0"/>
        <w:adjustRightInd/>
        <w:spacing w:beforeLines="0" w:line="440" w:lineRule="exact"/>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（三）投标人的报价均超过了采购预算或最高限价，采购人不能支付的；</w:t>
      </w:r>
    </w:p>
    <w:p w14:paraId="3618C310">
      <w:pPr>
        <w:pageBreakBefore w:val="0"/>
        <w:kinsoku/>
        <w:wordWrap/>
        <w:overflowPunct/>
        <w:topLinePunct w:val="0"/>
        <w:autoSpaceDE/>
        <w:autoSpaceDN/>
        <w:bidi w:val="0"/>
        <w:adjustRightInd/>
        <w:spacing w:beforeLines="0" w:line="440" w:lineRule="exact"/>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（四）因重大变故，采购任务取消的；</w:t>
      </w:r>
    </w:p>
    <w:p w14:paraId="2D17FD35">
      <w:pPr>
        <w:pageBreakBefore w:val="0"/>
        <w:kinsoku/>
        <w:wordWrap/>
        <w:overflowPunct/>
        <w:topLinePunct w:val="0"/>
        <w:autoSpaceDE/>
        <w:autoSpaceDN/>
        <w:bidi w:val="0"/>
        <w:adjustRightInd/>
        <w:spacing w:beforeLines="0" w:line="440" w:lineRule="exact"/>
        <w:ind w:firstLine="480" w:firstLineChars="200"/>
        <w:textAlignment w:val="auto"/>
        <w:outlineLvl w:val="0"/>
        <w:rPr>
          <w:rFonts w:hint="eastAsia" w:ascii="宋体" w:hAnsi="宋体" w:eastAsia="宋体" w:cs="宋体"/>
          <w:color w:val="000000"/>
          <w:kern w:val="0"/>
          <w:sz w:val="24"/>
        </w:rPr>
      </w:pPr>
      <w:r>
        <w:rPr>
          <w:rFonts w:hint="eastAsia" w:ascii="宋体" w:hAnsi="宋体" w:eastAsia="宋体" w:cs="宋体"/>
          <w:color w:val="000000"/>
          <w:kern w:val="0"/>
          <w:sz w:val="24"/>
        </w:rPr>
        <w:t>（五）违反采购流程的。</w:t>
      </w:r>
    </w:p>
    <w:p w14:paraId="67F6E3C4">
      <w:pPr>
        <w:pageBreakBefore w:val="0"/>
        <w:kinsoku/>
        <w:wordWrap/>
        <w:overflowPunct/>
        <w:topLinePunct w:val="0"/>
        <w:autoSpaceDE/>
        <w:autoSpaceDN/>
        <w:bidi w:val="0"/>
        <w:adjustRightInd/>
        <w:spacing w:beforeLines="0" w:line="440" w:lineRule="exact"/>
        <w:ind w:firstLine="480" w:firstLineChars="200"/>
        <w:textAlignment w:val="auto"/>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废标后，</w:t>
      </w:r>
      <w:r>
        <w:rPr>
          <w:rFonts w:hint="eastAsia" w:ascii="宋体" w:hAnsi="宋体" w:eastAsia="宋体" w:cs="宋体"/>
          <w:color w:val="auto"/>
          <w:kern w:val="0"/>
          <w:sz w:val="24"/>
          <w:highlight w:val="none"/>
          <w:lang w:eastAsia="zh-CN"/>
        </w:rPr>
        <w:t>采购代理机构</w:t>
      </w:r>
      <w:r>
        <w:rPr>
          <w:rFonts w:hint="eastAsia" w:ascii="宋体" w:hAnsi="宋体" w:eastAsia="宋体" w:cs="宋体"/>
          <w:color w:val="auto"/>
          <w:kern w:val="0"/>
          <w:sz w:val="24"/>
          <w:highlight w:val="none"/>
        </w:rPr>
        <w:t>应当将废标理由通知所有投标人。</w:t>
      </w:r>
    </w:p>
    <w:p w14:paraId="0D6BF91D">
      <w:pPr>
        <w:pageBreakBefore w:val="0"/>
        <w:kinsoku/>
        <w:wordWrap/>
        <w:overflowPunct/>
        <w:topLinePunct w:val="0"/>
        <w:autoSpaceDE/>
        <w:autoSpaceDN/>
        <w:bidi w:val="0"/>
        <w:adjustRightInd/>
        <w:spacing w:beforeLines="0" w:line="440" w:lineRule="exact"/>
        <w:ind w:firstLine="482" w:firstLineChars="200"/>
        <w:textAlignment w:val="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九、重新组织采购</w:t>
      </w:r>
    </w:p>
    <w:p w14:paraId="0E28B0D1">
      <w:pPr>
        <w:pageBreakBefore w:val="0"/>
        <w:kinsoku/>
        <w:wordWrap/>
        <w:overflowPunct/>
        <w:topLinePunct w:val="0"/>
        <w:autoSpaceDE/>
        <w:autoSpaceDN/>
        <w:bidi w:val="0"/>
        <w:adjustRightInd/>
        <w:spacing w:beforeLines="0" w:line="440" w:lineRule="exact"/>
        <w:ind w:firstLine="480" w:firstLineChars="200"/>
        <w:textAlignment w:val="auto"/>
        <w:rPr>
          <w:rFonts w:hint="eastAsia" w:ascii="宋体" w:hAnsi="宋体" w:eastAsia="宋体" w:cs="宋体"/>
          <w:bCs/>
          <w:color w:val="auto"/>
          <w:sz w:val="24"/>
          <w:szCs w:val="22"/>
          <w:highlight w:val="none"/>
        </w:rPr>
      </w:pPr>
      <w:r>
        <w:rPr>
          <w:rFonts w:hint="eastAsia" w:ascii="宋体" w:hAnsi="宋体" w:eastAsia="宋体" w:cs="宋体"/>
          <w:color w:val="auto"/>
          <w:kern w:val="0"/>
          <w:sz w:val="24"/>
          <w:highlight w:val="none"/>
        </w:rPr>
        <w:t>（一）</w:t>
      </w:r>
      <w:r>
        <w:rPr>
          <w:rFonts w:hint="eastAsia" w:ascii="宋体" w:hAnsi="宋体" w:eastAsia="宋体" w:cs="宋体"/>
          <w:bCs/>
          <w:color w:val="auto"/>
          <w:sz w:val="24"/>
          <w:szCs w:val="22"/>
          <w:highlight w:val="none"/>
        </w:rPr>
        <w:t>修改招标文件，重新组织采购活动。评标委员会发现招标文件存在歧义、重大缺陷导致评标工作无法进行，或者招标文件内容违反国家有关强制性规定的，将停止评标工作，并与采购人、</w:t>
      </w:r>
      <w:r>
        <w:rPr>
          <w:rFonts w:hint="eastAsia" w:ascii="宋体" w:hAnsi="宋体" w:eastAsia="宋体" w:cs="宋体"/>
          <w:bCs/>
          <w:color w:val="auto"/>
          <w:sz w:val="24"/>
          <w:szCs w:val="22"/>
          <w:highlight w:val="none"/>
          <w:lang w:eastAsia="zh-CN"/>
        </w:rPr>
        <w:t>采购代理机构</w:t>
      </w:r>
      <w:r>
        <w:rPr>
          <w:rFonts w:hint="eastAsia" w:ascii="宋体" w:hAnsi="宋体" w:eastAsia="宋体" w:cs="宋体"/>
          <w:bCs/>
          <w:color w:val="auto"/>
          <w:sz w:val="24"/>
          <w:szCs w:val="22"/>
          <w:highlight w:val="none"/>
        </w:rPr>
        <w:t>沟通并作书面记录。采购人、</w:t>
      </w:r>
      <w:r>
        <w:rPr>
          <w:rFonts w:hint="eastAsia" w:ascii="宋体" w:hAnsi="宋体" w:eastAsia="宋体" w:cs="宋体"/>
          <w:bCs/>
          <w:color w:val="auto"/>
          <w:sz w:val="24"/>
          <w:szCs w:val="22"/>
          <w:highlight w:val="none"/>
          <w:lang w:eastAsia="zh-CN"/>
        </w:rPr>
        <w:t>采购代理机构</w:t>
      </w:r>
      <w:r>
        <w:rPr>
          <w:rFonts w:hint="eastAsia" w:ascii="宋体" w:hAnsi="宋体" w:eastAsia="宋体" w:cs="宋体"/>
          <w:bCs/>
          <w:color w:val="auto"/>
          <w:sz w:val="24"/>
          <w:szCs w:val="22"/>
          <w:highlight w:val="none"/>
        </w:rPr>
        <w:t>确认后，将修改招标文件，重新组织采购活动。</w:t>
      </w:r>
    </w:p>
    <w:p w14:paraId="29599ED0">
      <w:pPr>
        <w:pageBreakBefore w:val="0"/>
        <w:kinsoku/>
        <w:wordWrap/>
        <w:overflowPunct/>
        <w:topLinePunct w:val="0"/>
        <w:autoSpaceDE/>
        <w:autoSpaceDN/>
        <w:bidi w:val="0"/>
        <w:adjustRightInd/>
        <w:spacing w:beforeLines="0" w:line="440" w:lineRule="exact"/>
        <w:ind w:firstLine="480" w:firstLineChars="200"/>
        <w:textAlignment w:val="auto"/>
        <w:rPr>
          <w:rFonts w:hint="eastAsia" w:ascii="宋体" w:hAnsi="宋体" w:eastAsia="宋体" w:cs="宋体"/>
          <w:bCs/>
          <w:color w:val="auto"/>
          <w:sz w:val="24"/>
          <w:szCs w:val="22"/>
          <w:highlight w:val="none"/>
        </w:rPr>
      </w:pPr>
      <w:r>
        <w:rPr>
          <w:rFonts w:hint="eastAsia" w:ascii="宋体" w:hAnsi="宋体" w:eastAsia="宋体" w:cs="宋体"/>
          <w:color w:val="auto"/>
          <w:kern w:val="0"/>
          <w:sz w:val="24"/>
          <w:highlight w:val="none"/>
        </w:rPr>
        <w:t>（二）</w:t>
      </w:r>
      <w:r>
        <w:rPr>
          <w:rFonts w:hint="eastAsia" w:ascii="宋体" w:hAnsi="宋体" w:eastAsia="宋体" w:cs="宋体"/>
          <w:bCs/>
          <w:color w:val="auto"/>
          <w:sz w:val="24"/>
          <w:szCs w:val="22"/>
          <w:highlight w:val="none"/>
        </w:rPr>
        <w:t>重新开展采购。有政府采购法第七十一条、第七十二条规定的违法行为之一，影响或者可能影响中标、成交结果的，依照下列规定处理：</w:t>
      </w:r>
    </w:p>
    <w:p w14:paraId="1AE67391">
      <w:pPr>
        <w:pageBreakBefore w:val="0"/>
        <w:kinsoku/>
        <w:wordWrap/>
        <w:overflowPunct/>
        <w:topLinePunct w:val="0"/>
        <w:autoSpaceDE/>
        <w:autoSpaceDN/>
        <w:bidi w:val="0"/>
        <w:adjustRightInd/>
        <w:spacing w:beforeLines="0" w:line="440" w:lineRule="exact"/>
        <w:ind w:firstLine="480" w:firstLineChars="200"/>
        <w:textAlignment w:val="auto"/>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1.未确定中标或者成交供应商的，终止本次国资（政府）采购活动，重新开展政府采购活动。</w:t>
      </w:r>
    </w:p>
    <w:p w14:paraId="0EABFAF6">
      <w:pPr>
        <w:pageBreakBefore w:val="0"/>
        <w:kinsoku/>
        <w:wordWrap/>
        <w:overflowPunct/>
        <w:topLinePunct w:val="0"/>
        <w:autoSpaceDE/>
        <w:autoSpaceDN/>
        <w:bidi w:val="0"/>
        <w:adjustRightInd/>
        <w:spacing w:beforeLines="0" w:line="440" w:lineRule="exact"/>
        <w:ind w:firstLine="480" w:firstLineChars="200"/>
        <w:textAlignment w:val="auto"/>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2.已确定中标或者成交供应商但尚未签订国资（政府）采购合同的，中标或者成交结果无效，重新开展政府采购活动。</w:t>
      </w:r>
    </w:p>
    <w:p w14:paraId="294730F7">
      <w:pPr>
        <w:pageBreakBefore w:val="0"/>
        <w:kinsoku/>
        <w:wordWrap/>
        <w:overflowPunct/>
        <w:topLinePunct w:val="0"/>
        <w:autoSpaceDE/>
        <w:autoSpaceDN/>
        <w:bidi w:val="0"/>
        <w:adjustRightInd/>
        <w:spacing w:beforeLines="0" w:line="440" w:lineRule="exact"/>
        <w:ind w:firstLine="480" w:firstLineChars="200"/>
        <w:textAlignment w:val="auto"/>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3.国资（政府）采购合同已签订但尚未履行的，撤销合同，重新开展国资（政府）采购活动。</w:t>
      </w:r>
    </w:p>
    <w:p w14:paraId="358BF459">
      <w:pPr>
        <w:pageBreakBefore w:val="0"/>
        <w:kinsoku/>
        <w:wordWrap/>
        <w:overflowPunct/>
        <w:topLinePunct w:val="0"/>
        <w:autoSpaceDE/>
        <w:autoSpaceDN/>
        <w:bidi w:val="0"/>
        <w:adjustRightInd/>
        <w:spacing w:beforeLines="0" w:line="440" w:lineRule="exact"/>
        <w:ind w:firstLine="480" w:firstLineChars="200"/>
        <w:textAlignment w:val="auto"/>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4.国资（政府）采购合同已经履行，给采购人、供应商造成损失的，由责任人承担赔偿责任。</w:t>
      </w:r>
    </w:p>
    <w:p w14:paraId="5EE25419">
      <w:pPr>
        <w:pageBreakBefore w:val="0"/>
        <w:kinsoku/>
        <w:wordWrap/>
        <w:overflowPunct/>
        <w:topLinePunct w:val="0"/>
        <w:autoSpaceDE/>
        <w:autoSpaceDN/>
        <w:bidi w:val="0"/>
        <w:adjustRightInd/>
        <w:spacing w:beforeLines="0" w:line="440" w:lineRule="exact"/>
        <w:ind w:firstLine="480" w:firstLineChars="200"/>
        <w:textAlignment w:val="auto"/>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5.因质疑答复，改变原中标结果，重新开展国资（政府）采购活动。</w:t>
      </w:r>
    </w:p>
    <w:p w14:paraId="5A10B5C5">
      <w:pPr>
        <w:pageBreakBefore w:val="0"/>
        <w:kinsoku/>
        <w:wordWrap/>
        <w:overflowPunct/>
        <w:topLinePunct w:val="0"/>
        <w:autoSpaceDE/>
        <w:autoSpaceDN/>
        <w:bidi w:val="0"/>
        <w:adjustRightInd/>
        <w:spacing w:beforeLines="0" w:line="440" w:lineRule="exact"/>
        <w:ind w:firstLine="480" w:firstLineChars="200"/>
        <w:textAlignment w:val="auto"/>
        <w:rPr>
          <w:rFonts w:hint="eastAsia" w:ascii="宋体" w:hAnsi="宋体" w:eastAsia="宋体" w:cs="宋体"/>
          <w:bCs/>
          <w:color w:val="auto"/>
          <w:highlight w:val="none"/>
        </w:rPr>
      </w:pPr>
      <w:r>
        <w:rPr>
          <w:rFonts w:hint="eastAsia" w:ascii="宋体" w:hAnsi="宋体" w:eastAsia="宋体" w:cs="宋体"/>
          <w:bCs/>
          <w:color w:val="auto"/>
          <w:sz w:val="24"/>
          <w:szCs w:val="22"/>
          <w:highlight w:val="none"/>
        </w:rPr>
        <w:t>6.国资（政府）采购当事人有其他违反政府采购法或者本条例规定的行为，经改正后仍然影响或者可能影响中标、成交结果或者依法被认定为中标、成交无效的，依照1-5条规定处理。</w:t>
      </w:r>
    </w:p>
    <w:p w14:paraId="2A1ABC8C">
      <w:pPr>
        <w:pStyle w:val="13"/>
        <w:pageBreakBefore w:val="0"/>
        <w:kinsoku/>
        <w:wordWrap/>
        <w:overflowPunct/>
        <w:topLinePunct w:val="0"/>
        <w:autoSpaceDE/>
        <w:autoSpaceDN/>
        <w:bidi w:val="0"/>
        <w:adjustRightInd/>
        <w:snapToGrid w:val="0"/>
        <w:spacing w:before="0" w:beforeLines="0" w:afterLines="0" w:line="440" w:lineRule="exact"/>
        <w:ind w:firstLine="482" w:firstLineChars="200"/>
        <w:textAlignment w:val="auto"/>
        <w:outlineLvl w:val="1"/>
        <w:rPr>
          <w:rFonts w:hint="eastAsia" w:ascii="宋体" w:hAnsi="宋体" w:eastAsia="宋体" w:cs="宋体"/>
          <w:b/>
          <w:color w:val="auto"/>
          <w:highlight w:val="none"/>
        </w:rPr>
      </w:pPr>
      <w:r>
        <w:rPr>
          <w:rFonts w:hint="eastAsia" w:ascii="宋体" w:hAnsi="宋体" w:eastAsia="宋体" w:cs="宋体"/>
          <w:b/>
          <w:color w:val="auto"/>
          <w:highlight w:val="none"/>
        </w:rPr>
        <w:t>十、定标</w:t>
      </w:r>
    </w:p>
    <w:p w14:paraId="5FD076B3">
      <w:pPr>
        <w:pStyle w:val="34"/>
        <w:pageBreakBefore w:val="0"/>
        <w:kinsoku/>
        <w:wordWrap/>
        <w:overflowPunct/>
        <w:topLinePunct w:val="0"/>
        <w:autoSpaceDE/>
        <w:autoSpaceDN/>
        <w:bidi w:val="0"/>
        <w:adjustRightInd/>
        <w:snapToGrid w:val="0"/>
        <w:spacing w:beforeLines="0" w:line="440" w:lineRule="exact"/>
        <w:ind w:left="0"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（一）本项目由评标委员会根据招标文件和有关规定推荐中标候选人，采购结果由采购人签字确认。</w:t>
      </w:r>
      <w:r>
        <w:rPr>
          <w:rFonts w:hint="eastAsia" w:ascii="宋体" w:hAnsi="宋体" w:eastAsia="宋体" w:cs="宋体"/>
          <w:bCs/>
          <w:color w:val="auto"/>
          <w:kern w:val="2"/>
          <w:szCs w:val="22"/>
          <w:highlight w:val="none"/>
        </w:rPr>
        <w:t>采购人自收到评标报告之日起5个工作日内，将通过电子交易平台在评标报告推荐的中标候选人中按顺序确定中标人。</w:t>
      </w:r>
    </w:p>
    <w:p w14:paraId="3427A167">
      <w:pPr>
        <w:pageBreakBefore w:val="0"/>
        <w:widowControl/>
        <w:shd w:val="clear" w:color="auto" w:fill="FFFFFF"/>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bCs/>
          <w:color w:val="auto"/>
          <w:sz w:val="24"/>
          <w:szCs w:val="22"/>
          <w:highlight w:val="none"/>
        </w:rPr>
      </w:pPr>
      <w:r>
        <w:rPr>
          <w:rFonts w:hint="eastAsia" w:ascii="宋体" w:hAnsi="宋体" w:eastAsia="宋体" w:cs="宋体"/>
          <w:bCs/>
          <w:color w:val="auto"/>
          <w:sz w:val="24"/>
          <w:szCs w:val="22"/>
          <w:highlight w:val="none"/>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中标公告期限以及评审专家名单。公告期限为1个工作日。</w:t>
      </w:r>
    </w:p>
    <w:p w14:paraId="3ACBDD27">
      <w:pPr>
        <w:pageBreakBefore w:val="0"/>
        <w:kinsoku/>
        <w:wordWrap/>
        <w:overflowPunct/>
        <w:topLinePunct w:val="0"/>
        <w:autoSpaceDE/>
        <w:autoSpaceDN/>
        <w:bidi w:val="0"/>
        <w:adjustRightInd/>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（三）中标通知书发出后，若中标人放弃中标，应当承担相应的法律责任，中标通知书对采购人和中标人具有同等法律效力。</w:t>
      </w:r>
    </w:p>
    <w:p w14:paraId="47740707">
      <w:pPr>
        <w:pStyle w:val="5"/>
        <w:pageBreakBefore w:val="0"/>
        <w:kinsoku/>
        <w:wordWrap/>
        <w:overflowPunct/>
        <w:topLinePunct w:val="0"/>
        <w:autoSpaceDE/>
        <w:autoSpaceDN/>
        <w:bidi w:val="0"/>
        <w:adjustRightInd/>
        <w:spacing w:beforeLines="0" w:after="0" w:line="440" w:lineRule="exac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十一、评审过程的保密与录像</w:t>
      </w:r>
    </w:p>
    <w:p w14:paraId="0A3006DE">
      <w:pPr>
        <w:pStyle w:val="5"/>
        <w:pageBreakBefore w:val="0"/>
        <w:kinsoku/>
        <w:wordWrap/>
        <w:overflowPunct/>
        <w:topLinePunct w:val="0"/>
        <w:autoSpaceDE/>
        <w:autoSpaceDN/>
        <w:bidi w:val="0"/>
        <w:adjustRightInd/>
        <w:spacing w:beforeLines="0" w:after="0" w:line="440" w:lineRule="exact"/>
        <w:ind w:left="0" w:lef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（一）保密。评审活动在严格保密的情况下进行。评审过程中凡是与采购响应文件评审和比较、中标人推荐等评审有关的情况，以及涉及国家秘密和商业秘密等信息，评标委员会、采购人和</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工作人员、相关监督人员等与评审有关的人员应当予以保密。</w:t>
      </w:r>
    </w:p>
    <w:p w14:paraId="0BDF415C">
      <w:pPr>
        <w:pStyle w:val="5"/>
        <w:pageBreakBefore w:val="0"/>
        <w:kinsoku/>
        <w:wordWrap/>
        <w:overflowPunct/>
        <w:topLinePunct w:val="0"/>
        <w:autoSpaceDE/>
        <w:autoSpaceDN/>
        <w:bidi w:val="0"/>
        <w:adjustRightInd/>
        <w:spacing w:beforeLines="0" w:after="0" w:line="440" w:lineRule="exact"/>
        <w:ind w:left="0" w:leftChars="0" w:firstLine="464"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（二）录音录像。</w:t>
      </w:r>
      <w:r>
        <w:rPr>
          <w:rFonts w:hint="eastAsia" w:ascii="宋体" w:hAnsi="宋体" w:eastAsia="宋体" w:cs="宋体"/>
          <w:color w:val="auto"/>
          <w:sz w:val="24"/>
          <w:szCs w:val="24"/>
          <w:highlight w:val="none"/>
          <w:lang w:eastAsia="zh-CN"/>
        </w:rPr>
        <w:t>采购机构</w:t>
      </w:r>
      <w:r>
        <w:rPr>
          <w:rFonts w:hint="eastAsia" w:ascii="宋体" w:hAnsi="宋体" w:eastAsia="宋体" w:cs="宋体"/>
          <w:color w:val="auto"/>
          <w:sz w:val="24"/>
          <w:szCs w:val="24"/>
          <w:highlight w:val="none"/>
        </w:rPr>
        <w:t>对评审工作现场进行全过程录音录像，</w:t>
      </w:r>
      <w:r>
        <w:rPr>
          <w:rFonts w:hint="eastAsia" w:ascii="宋体" w:hAnsi="宋体" w:eastAsia="宋体" w:cs="宋体"/>
          <w:b/>
          <w:bCs/>
          <w:color w:val="auto"/>
          <w:sz w:val="24"/>
          <w:szCs w:val="24"/>
          <w:highlight w:val="none"/>
        </w:rPr>
        <w:t>录音录像资料作为采购项目文件随其他文件一并存档。</w:t>
      </w:r>
    </w:p>
    <w:p w14:paraId="2F618BFB">
      <w:pPr>
        <w:pStyle w:val="13"/>
        <w:pageBreakBefore w:val="0"/>
        <w:kinsoku/>
        <w:wordWrap/>
        <w:overflowPunct/>
        <w:topLinePunct w:val="0"/>
        <w:autoSpaceDE/>
        <w:autoSpaceDN/>
        <w:bidi w:val="0"/>
        <w:adjustRightInd/>
        <w:snapToGrid w:val="0"/>
        <w:spacing w:before="0" w:beforeLines="0" w:afterLines="0" w:line="440" w:lineRule="exact"/>
        <w:ind w:firstLine="482" w:firstLineChars="200"/>
        <w:textAlignment w:val="auto"/>
        <w:outlineLvl w:val="1"/>
        <w:rPr>
          <w:rFonts w:hint="eastAsia" w:ascii="宋体" w:hAnsi="宋体" w:eastAsia="宋体" w:cs="宋体"/>
          <w:b/>
          <w:color w:val="auto"/>
          <w:highlight w:val="none"/>
        </w:rPr>
      </w:pPr>
      <w:r>
        <w:rPr>
          <w:rFonts w:hint="eastAsia" w:ascii="宋体" w:hAnsi="宋体" w:eastAsia="宋体" w:cs="宋体"/>
          <w:b/>
          <w:color w:val="auto"/>
          <w:highlight w:val="none"/>
        </w:rPr>
        <w:t>十二、合同签订及其他</w:t>
      </w:r>
    </w:p>
    <w:p w14:paraId="1959B33A">
      <w:pPr>
        <w:pageBreakBefore w:val="0"/>
        <w:kinsoku/>
        <w:wordWrap/>
        <w:overflowPunct/>
        <w:topLinePunct w:val="0"/>
        <w:autoSpaceDE/>
        <w:autoSpaceDN/>
        <w:bidi w:val="0"/>
        <w:adjustRightInd/>
        <w:snapToGrid w:val="0"/>
        <w:spacing w:beforeLines="0"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（一）签订合同</w:t>
      </w:r>
    </w:p>
    <w:p w14:paraId="5097AEAB">
      <w:pPr>
        <w:pageBreakBefore w:val="0"/>
        <w:kinsoku/>
        <w:wordWrap/>
        <w:overflowPunct/>
        <w:topLinePunct w:val="0"/>
        <w:autoSpaceDE/>
        <w:autoSpaceDN/>
        <w:bidi w:val="0"/>
        <w:adjustRightInd/>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1.采购人与中标人应当在《中标通知书》发出之日起30日内，按照招标文件及投标文件确定的事项尽快签订国资（政府）采购合同，并在规定时间内依法发布合同公告。</w:t>
      </w:r>
    </w:p>
    <w:p w14:paraId="0C21AF85">
      <w:pPr>
        <w:pageBreakBefore w:val="0"/>
        <w:kinsoku/>
        <w:wordWrap/>
        <w:overflowPunct/>
        <w:topLinePunct w:val="0"/>
        <w:autoSpaceDE/>
        <w:autoSpaceDN/>
        <w:bidi w:val="0"/>
        <w:adjustRightInd/>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2.招标文件、中标人的投标文件、澄清文件及中标通知书等，均为签订合同的依据。</w:t>
      </w:r>
    </w:p>
    <w:p w14:paraId="361E6216">
      <w:pPr>
        <w:pageBreakBefore w:val="0"/>
        <w:kinsoku/>
        <w:wordWrap/>
        <w:overflowPunct/>
        <w:topLinePunct w:val="0"/>
        <w:autoSpaceDE/>
        <w:autoSpaceDN/>
        <w:bidi w:val="0"/>
        <w:adjustRightInd/>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中标人按规定的日期、时间、地点，由法定代表人或其授权代表与采购人代表签订合同。</w:t>
      </w:r>
    </w:p>
    <w:p w14:paraId="443046C6">
      <w:pPr>
        <w:pageBreakBefore w:val="0"/>
        <w:kinsoku/>
        <w:wordWrap/>
        <w:overflowPunct/>
        <w:topLinePunct w:val="0"/>
        <w:autoSpaceDE/>
        <w:autoSpaceDN/>
        <w:bidi w:val="0"/>
        <w:adjustRightInd/>
        <w:snapToGrid w:val="0"/>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4.中标人拖延、拒签合同的，或提出采购人不能接受的条件，致使合同无法签订，除按照合同条款处理外，采购人将书面报告</w:t>
      </w:r>
      <w:r>
        <w:rPr>
          <w:rFonts w:hint="eastAsia" w:ascii="宋体" w:hAnsi="宋体" w:eastAsia="宋体" w:cs="宋体"/>
          <w:color w:val="auto"/>
          <w:sz w:val="24"/>
          <w:szCs w:val="24"/>
          <w:highlight w:val="none"/>
          <w:lang w:eastAsia="zh-CN"/>
        </w:rPr>
        <w:t>主管</w:t>
      </w:r>
      <w:r>
        <w:rPr>
          <w:rFonts w:hint="eastAsia" w:ascii="宋体" w:hAnsi="宋体" w:eastAsia="宋体" w:cs="宋体"/>
          <w:color w:val="auto"/>
          <w:sz w:val="24"/>
          <w:szCs w:val="24"/>
          <w:highlight w:val="none"/>
        </w:rPr>
        <w:t>部门</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rPr>
        <w:t>取消其中标资格，重新开展国资（政府）采购活动。</w:t>
      </w:r>
    </w:p>
    <w:p w14:paraId="4533013F">
      <w:pPr>
        <w:pageBreakBefore w:val="0"/>
        <w:kinsoku/>
        <w:wordWrap/>
        <w:overflowPunct/>
        <w:topLinePunct w:val="0"/>
        <w:autoSpaceDE/>
        <w:autoSpaceDN/>
        <w:bidi w:val="0"/>
        <w:adjustRightInd/>
        <w:snapToGrid w:val="0"/>
        <w:spacing w:beforeLines="0" w:line="44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szCs w:val="22"/>
          <w:highlight w:val="none"/>
        </w:rPr>
        <w:t>5.国资采购合同</w:t>
      </w:r>
      <w:r>
        <w:rPr>
          <w:rFonts w:hint="eastAsia" w:ascii="宋体" w:hAnsi="宋体" w:eastAsia="宋体" w:cs="宋体"/>
          <w:b/>
          <w:bCs/>
          <w:color w:val="auto"/>
          <w:kern w:val="0"/>
          <w:sz w:val="24"/>
          <w:highlight w:val="none"/>
        </w:rPr>
        <w:t xml:space="preserve">一式肆份，采购人及中标人各执壹份，杭州市富阳区国资办执壹份， </w:t>
      </w:r>
      <w:r>
        <w:rPr>
          <w:rFonts w:hint="eastAsia" w:ascii="宋体" w:hAnsi="宋体" w:eastAsia="宋体" w:cs="宋体"/>
          <w:b/>
          <w:bCs/>
          <w:color w:val="auto"/>
          <w:kern w:val="0"/>
          <w:sz w:val="24"/>
          <w:highlight w:val="none"/>
          <w:lang w:eastAsia="zh-CN"/>
        </w:rPr>
        <w:t>杭州广厦建筑咨询有限公司</w:t>
      </w:r>
      <w:r>
        <w:rPr>
          <w:rFonts w:hint="eastAsia" w:ascii="宋体" w:hAnsi="宋体" w:eastAsia="宋体" w:cs="宋体"/>
          <w:b/>
          <w:bCs/>
          <w:color w:val="auto"/>
          <w:kern w:val="0"/>
          <w:sz w:val="24"/>
          <w:highlight w:val="none"/>
        </w:rPr>
        <w:t>执壹份。</w:t>
      </w:r>
    </w:p>
    <w:p w14:paraId="0F2BC7C2">
      <w:pPr>
        <w:pageBreakBefore w:val="0"/>
        <w:kinsoku/>
        <w:wordWrap/>
        <w:overflowPunct/>
        <w:topLinePunct w:val="0"/>
        <w:autoSpaceDE/>
        <w:autoSpaceDN/>
        <w:bidi w:val="0"/>
        <w:adjustRightInd/>
        <w:snapToGrid w:val="0"/>
        <w:spacing w:beforeLines="0" w:line="440" w:lineRule="exact"/>
        <w:ind w:firstLine="482" w:firstLineChars="200"/>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sz w:val="24"/>
          <w:szCs w:val="24"/>
          <w:highlight w:val="none"/>
        </w:rPr>
        <w:t>6.国资采购合同履行中追加与合同标的相同的货物、工程或者服务的采购金额不得超过原合同采购金额10%。</w:t>
      </w:r>
    </w:p>
    <w:p w14:paraId="7A3B6CC0">
      <w:pPr>
        <w:pStyle w:val="13"/>
        <w:pageBreakBefore w:val="0"/>
        <w:kinsoku/>
        <w:wordWrap/>
        <w:overflowPunct/>
        <w:topLinePunct w:val="0"/>
        <w:autoSpaceDE/>
        <w:autoSpaceDN/>
        <w:bidi w:val="0"/>
        <w:adjustRightInd/>
        <w:snapToGrid w:val="0"/>
        <w:spacing w:before="0" w:beforeLines="0" w:afterLines="0" w:line="44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（二）履约保证金</w:t>
      </w:r>
    </w:p>
    <w:p w14:paraId="60FF9665">
      <w:pPr>
        <w:pStyle w:val="13"/>
        <w:pageBreakBefore w:val="0"/>
        <w:kinsoku/>
        <w:wordWrap/>
        <w:overflowPunct/>
        <w:topLinePunct w:val="0"/>
        <w:autoSpaceDE/>
        <w:autoSpaceDN/>
        <w:bidi w:val="0"/>
        <w:adjustRightInd/>
        <w:snapToGrid w:val="0"/>
        <w:spacing w:before="0" w:beforeLines="0" w:afterLines="0" w:line="440" w:lineRule="exact"/>
        <w:ind w:firstLine="480" w:firstLineChars="200"/>
        <w:textAlignment w:val="auto"/>
        <w:rPr>
          <w:rFonts w:hint="default"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本项目无需缴纳履约保证金。</w:t>
      </w:r>
    </w:p>
    <w:p w14:paraId="70163E56">
      <w:pPr>
        <w:pStyle w:val="13"/>
        <w:pageBreakBefore w:val="0"/>
        <w:kinsoku/>
        <w:wordWrap/>
        <w:overflowPunct/>
        <w:topLinePunct w:val="0"/>
        <w:autoSpaceDE/>
        <w:autoSpaceDN/>
        <w:bidi w:val="0"/>
        <w:adjustRightInd/>
        <w:snapToGrid w:val="0"/>
        <w:spacing w:before="0" w:beforeLines="0" w:afterLines="0" w:line="44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（三）货款的结算</w:t>
      </w:r>
    </w:p>
    <w:p w14:paraId="47C8F536">
      <w:pPr>
        <w:pageBreakBefore w:val="0"/>
        <w:kinsoku/>
        <w:wordWrap/>
        <w:overflowPunct/>
        <w:topLinePunct w:val="0"/>
        <w:autoSpaceDE/>
        <w:autoSpaceDN/>
        <w:bidi w:val="0"/>
        <w:adjustRightInd/>
        <w:spacing w:beforeLines="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按合同约定内容进行货款的结算，结算时按财政结算要求办理资金结算手续。</w:t>
      </w:r>
    </w:p>
    <w:p w14:paraId="4C838670">
      <w:pPr>
        <w:pageBreakBefore w:val="0"/>
        <w:numPr>
          <w:ilvl w:val="0"/>
          <w:numId w:val="6"/>
        </w:numPr>
        <w:kinsoku/>
        <w:wordWrap/>
        <w:overflowPunct/>
        <w:topLinePunct w:val="0"/>
        <w:autoSpaceDE/>
        <w:autoSpaceDN/>
        <w:bidi w:val="0"/>
        <w:adjustRightInd/>
        <w:spacing w:beforeLines="0" w:line="440" w:lineRule="exact"/>
        <w:ind w:firstLine="482" w:firstLineChars="200"/>
        <w:textAlignment w:val="auto"/>
        <w:outlineLvl w:val="0"/>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验收</w:t>
      </w:r>
    </w:p>
    <w:p w14:paraId="4E29EFA8">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由采购人组织，成立验收工作小组进行验收，供应商应积极配合。投标人应在投标文件中提供明确的验收方案。</w:t>
      </w:r>
    </w:p>
    <w:p w14:paraId="72402923">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采购人组织对供应商履约的验收。大型或者复杂的国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B0F2D67">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2.采购人可以邀请参加本项目的其他投标人或者第三方机构参与验收。参与验收的投标人或者第三方机构的意见作为验收书的参考资料一并存档。</w:t>
      </w:r>
    </w:p>
    <w:p w14:paraId="49936BEF">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3.验收结束后，应当出具验收书。履约验收的各项资料应当存档备查。</w:t>
      </w:r>
    </w:p>
    <w:p w14:paraId="2C98B556">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4.供应商在履约过程中有国资（政府）采购法律法规规定的违法违规情形的，采购人应当及时报告本级财政部门（或本级国资办）。</w:t>
      </w:r>
    </w:p>
    <w:p w14:paraId="212DDC7E">
      <w:pPr>
        <w:pageBreakBefore w:val="0"/>
        <w:widowControl/>
        <w:kinsoku/>
        <w:wordWrap/>
        <w:overflowPunct/>
        <w:topLinePunct w:val="0"/>
        <w:autoSpaceDE/>
        <w:autoSpaceDN/>
        <w:bidi w:val="0"/>
        <w:adjustRightInd/>
        <w:spacing w:beforeLines="0" w:line="440" w:lineRule="exact"/>
        <w:ind w:firstLine="482" w:firstLineChars="200"/>
        <w:jc w:val="left"/>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（五）询问、质疑和投诉</w:t>
      </w:r>
    </w:p>
    <w:p w14:paraId="017594EF">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b/>
          <w:bCs/>
          <w:color w:val="auto"/>
          <w:sz w:val="24"/>
          <w:szCs w:val="22"/>
          <w:highlight w:val="none"/>
        </w:rPr>
      </w:pPr>
      <w:r>
        <w:rPr>
          <w:rFonts w:hint="eastAsia" w:ascii="宋体" w:hAnsi="宋体" w:eastAsia="宋体" w:cs="宋体"/>
          <w:color w:val="auto"/>
          <w:sz w:val="24"/>
          <w:szCs w:val="22"/>
          <w:highlight w:val="none"/>
        </w:rPr>
        <w:t>1.供应商对国资（政府）采购活动事项有疑问的，可以向采购代理机构提出询问。</w:t>
      </w:r>
      <w:r>
        <w:rPr>
          <w:rFonts w:hint="eastAsia" w:ascii="宋体" w:hAnsi="宋体" w:eastAsia="宋体" w:cs="宋体"/>
          <w:b/>
          <w:bCs/>
          <w:color w:val="auto"/>
          <w:sz w:val="24"/>
          <w:szCs w:val="22"/>
          <w:highlight w:val="none"/>
        </w:rPr>
        <w:t>询问函范本详见附件。</w:t>
      </w:r>
    </w:p>
    <w:p w14:paraId="76A02854">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根据采购人与采购代理机构签订的《招标代理委托合同》的规定：供应商可以就</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2"/>
          <w:highlight w:val="none"/>
        </w:rPr>
        <w:t>中特定资格条件、采购需求、评分办法向采购人提出询问，采购人将对此作出答复；供应商可以就采购活动中的其它事项向采购代理机构提出询问，采购代理机构将对此作出答复。答复的内容不得涉及商业秘密。</w:t>
      </w:r>
    </w:p>
    <w:p w14:paraId="37DB629A">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2.提出质疑的供应商应当是参与所质疑项目采购活动的供应商。潜在投标人已依法获取其可质疑的</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2"/>
          <w:highlight w:val="none"/>
        </w:rPr>
        <w:t>的，可以对该文件提出质疑。</w:t>
      </w:r>
    </w:p>
    <w:p w14:paraId="760310D1">
      <w:pPr>
        <w:pStyle w:val="35"/>
        <w:pageBreakBefore w:val="0"/>
        <w:shd w:val="clear" w:color="auto" w:fill="FFFFFF"/>
        <w:kinsoku/>
        <w:wordWrap/>
        <w:overflowPunct/>
        <w:topLinePunct w:val="0"/>
        <w:autoSpaceDE/>
        <w:autoSpaceDN/>
        <w:bidi w:val="0"/>
        <w:adjustRightInd/>
        <w:snapToGrid w:val="0"/>
        <w:spacing w:before="0" w:beforeLines="0" w:beforeAutospacing="0" w:after="0" w:afterAutospacing="0" w:line="440" w:lineRule="exact"/>
        <w:ind w:firstLine="480" w:firstLineChars="200"/>
        <w:contextualSpacing/>
        <w:textAlignment w:val="auto"/>
        <w:rPr>
          <w:rFonts w:hint="eastAsia" w:ascii="宋体" w:hAnsi="宋体" w:eastAsia="宋体" w:cs="宋体"/>
          <w:color w:val="auto"/>
          <w:szCs w:val="22"/>
          <w:highlight w:val="none"/>
          <w:u w:val="single"/>
        </w:rPr>
      </w:pPr>
      <w:r>
        <w:rPr>
          <w:rFonts w:hint="eastAsia" w:ascii="宋体" w:hAnsi="宋体" w:eastAsia="宋体" w:cs="宋体"/>
          <w:color w:val="auto"/>
          <w:szCs w:val="22"/>
          <w:highlight w:val="none"/>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宋体" w:hAnsi="宋体" w:eastAsia="宋体" w:cs="宋体"/>
          <w:color w:val="auto"/>
          <w:kern w:val="2"/>
          <w:szCs w:val="22"/>
          <w:highlight w:val="none"/>
        </w:rPr>
        <w:t>采购人或者采购代理机构</w:t>
      </w:r>
      <w:r>
        <w:rPr>
          <w:rFonts w:hint="eastAsia" w:ascii="宋体" w:hAnsi="宋体" w:eastAsia="宋体" w:cs="宋体"/>
          <w:color w:val="auto"/>
          <w:szCs w:val="22"/>
          <w:highlight w:val="none"/>
        </w:rPr>
        <w:t>将不予受理。</w:t>
      </w:r>
      <w:r>
        <w:rPr>
          <w:rFonts w:hint="eastAsia" w:ascii="宋体" w:hAnsi="宋体" w:eastAsia="宋体" w:cs="宋体"/>
          <w:b/>
          <w:bCs/>
          <w:color w:val="auto"/>
          <w:szCs w:val="22"/>
          <w:highlight w:val="none"/>
        </w:rPr>
        <w:t>质疑函范本请到浙江政府采购网下载专区下载。</w:t>
      </w:r>
    </w:p>
    <w:p w14:paraId="70A586F7">
      <w:pPr>
        <w:pStyle w:val="4"/>
        <w:pageBreakBefore w:val="0"/>
        <w:kinsoku/>
        <w:wordWrap/>
        <w:overflowPunct/>
        <w:topLinePunct w:val="0"/>
        <w:autoSpaceDE/>
        <w:autoSpaceDN/>
        <w:bidi w:val="0"/>
        <w:adjustRightInd/>
        <w:spacing w:beforeLines="0" w:line="440" w:lineRule="exact"/>
        <w:ind w:firstLine="480" w:firstLineChars="200"/>
        <w:textAlignment w:val="auto"/>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对</w:t>
      </w:r>
      <w:r>
        <w:rPr>
          <w:rFonts w:hint="eastAsia" w:ascii="宋体" w:hAnsi="宋体" w:eastAsia="宋体" w:cs="宋体"/>
          <w:b/>
          <w:bCs/>
          <w:color w:val="auto"/>
          <w:kern w:val="2"/>
          <w:sz w:val="24"/>
          <w:highlight w:val="none"/>
        </w:rPr>
        <w:t>招标文件</w:t>
      </w:r>
      <w:r>
        <w:rPr>
          <w:rFonts w:hint="eastAsia" w:ascii="宋体" w:hAnsi="宋体" w:eastAsia="宋体" w:cs="宋体"/>
          <w:color w:val="auto"/>
          <w:kern w:val="2"/>
          <w:sz w:val="24"/>
          <w:highlight w:val="none"/>
        </w:rPr>
        <w:t>提出质疑的，质疑期限为供应商获得</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kern w:val="2"/>
          <w:sz w:val="24"/>
          <w:highlight w:val="none"/>
        </w:rPr>
        <w:t>之日或者</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kern w:val="2"/>
          <w:sz w:val="24"/>
          <w:highlight w:val="none"/>
        </w:rPr>
        <w:t>公告期限届满之日起计算。</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kern w:val="2"/>
          <w:sz w:val="24"/>
          <w:highlight w:val="none"/>
        </w:rPr>
        <w:t>在获取截止之日后获得的，应当自</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kern w:val="2"/>
          <w:sz w:val="24"/>
          <w:highlight w:val="none"/>
        </w:rPr>
        <w:t>公告期限届满之日起计算，且应当在采购响应截止时间之前提出。根据采购人与采购代理机构签订的</w:t>
      </w:r>
      <w:r>
        <w:rPr>
          <w:rFonts w:hint="eastAsia" w:ascii="宋体" w:hAnsi="宋体" w:eastAsia="宋体" w:cs="宋体"/>
          <w:color w:val="auto"/>
          <w:sz w:val="24"/>
          <w:szCs w:val="22"/>
          <w:highlight w:val="none"/>
        </w:rPr>
        <w:t>《招标代理委托合同》</w:t>
      </w:r>
      <w:r>
        <w:rPr>
          <w:rFonts w:hint="eastAsia" w:ascii="宋体" w:hAnsi="宋体" w:eastAsia="宋体" w:cs="宋体"/>
          <w:color w:val="auto"/>
          <w:sz w:val="24"/>
          <w:highlight w:val="none"/>
        </w:rPr>
        <w:t>（非政府采购）</w:t>
      </w:r>
      <w:r>
        <w:rPr>
          <w:rFonts w:hint="eastAsia" w:ascii="宋体" w:hAnsi="宋体" w:eastAsia="宋体" w:cs="宋体"/>
          <w:color w:val="auto"/>
          <w:kern w:val="2"/>
          <w:sz w:val="24"/>
          <w:highlight w:val="none"/>
        </w:rPr>
        <w:t>的规定：对</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kern w:val="2"/>
          <w:sz w:val="24"/>
          <w:highlight w:val="none"/>
        </w:rPr>
        <w:t>中特定资格条件、采购需求、评分办法提出的质疑，由采购人负责答复；对</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kern w:val="2"/>
          <w:sz w:val="24"/>
          <w:highlight w:val="none"/>
        </w:rPr>
        <w:t>中其他内容提出的质疑，由采购代理机构负责答复。</w:t>
      </w:r>
    </w:p>
    <w:p w14:paraId="68C6C22A">
      <w:pPr>
        <w:pStyle w:val="13"/>
        <w:pageBreakBefore w:val="0"/>
        <w:kinsoku/>
        <w:wordWrap/>
        <w:overflowPunct/>
        <w:topLinePunct w:val="0"/>
        <w:autoSpaceDE/>
        <w:autoSpaceDN/>
        <w:bidi w:val="0"/>
        <w:adjustRightInd/>
        <w:spacing w:before="0" w:beforeLines="0" w:afterLines="0"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对</w:t>
      </w:r>
      <w:r>
        <w:rPr>
          <w:rFonts w:hint="eastAsia" w:ascii="宋体" w:hAnsi="宋体" w:eastAsia="宋体" w:cs="宋体"/>
          <w:b/>
          <w:bCs/>
          <w:color w:val="auto"/>
          <w:highlight w:val="none"/>
        </w:rPr>
        <w:t>采购过程</w:t>
      </w:r>
      <w:r>
        <w:rPr>
          <w:rFonts w:hint="eastAsia" w:ascii="宋体" w:hAnsi="宋体" w:eastAsia="宋体" w:cs="宋体"/>
          <w:color w:val="auto"/>
          <w:highlight w:val="none"/>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211FA518">
      <w:pPr>
        <w:pStyle w:val="13"/>
        <w:pageBreakBefore w:val="0"/>
        <w:kinsoku/>
        <w:wordWrap/>
        <w:overflowPunct/>
        <w:topLinePunct w:val="0"/>
        <w:autoSpaceDE/>
        <w:autoSpaceDN/>
        <w:bidi w:val="0"/>
        <w:adjustRightInd/>
        <w:spacing w:before="0" w:beforeLines="0" w:afterLines="0" w:line="44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对</w:t>
      </w:r>
      <w:r>
        <w:rPr>
          <w:rFonts w:hint="eastAsia" w:ascii="宋体" w:hAnsi="宋体" w:eastAsia="宋体" w:cs="宋体"/>
          <w:b/>
          <w:bCs/>
          <w:color w:val="auto"/>
          <w:highlight w:val="none"/>
        </w:rPr>
        <w:t>采购结果</w:t>
      </w:r>
      <w:r>
        <w:rPr>
          <w:rFonts w:hint="eastAsia" w:ascii="宋体" w:hAnsi="宋体" w:eastAsia="宋体" w:cs="宋体"/>
          <w:color w:val="auto"/>
          <w:highlight w:val="none"/>
        </w:rPr>
        <w:t>提出质疑的，质疑期限自采购结果公告期限届满之日起计算。对采购结果提出质疑的，由采购代理机构负责答复。</w:t>
      </w:r>
    </w:p>
    <w:p w14:paraId="2038C0C1">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70031F9A">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（1）质疑人的姓名或名称、地址、邮政编码、联系人、联系电话；</w:t>
      </w:r>
    </w:p>
    <w:p w14:paraId="6AC93350">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（2）被质疑采购项目名称、编号；</w:t>
      </w:r>
    </w:p>
    <w:p w14:paraId="35330BDA">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（3）具体、明确的质疑事项和与质疑事项相关的请求；</w:t>
      </w:r>
    </w:p>
    <w:p w14:paraId="24BEC00B">
      <w:pPr>
        <w:pStyle w:val="35"/>
        <w:pageBreakBefore w:val="0"/>
        <w:shd w:val="clear" w:color="auto" w:fill="FFFFFF"/>
        <w:kinsoku/>
        <w:wordWrap/>
        <w:overflowPunct/>
        <w:topLinePunct w:val="0"/>
        <w:autoSpaceDE/>
        <w:autoSpaceDN/>
        <w:bidi w:val="0"/>
        <w:adjustRightInd/>
        <w:snapToGrid w:val="0"/>
        <w:spacing w:before="0" w:beforeLines="0" w:beforeAutospacing="0" w:after="0" w:afterAutospacing="0" w:line="440" w:lineRule="exact"/>
        <w:ind w:firstLine="480" w:firstLineChars="200"/>
        <w:contextualSpacing/>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（4）认为自己合法权益受到损害或可能受到损害的相关证据材料：</w:t>
      </w:r>
      <w:r>
        <w:rPr>
          <w:rFonts w:hint="eastAsia" w:ascii="宋体" w:hAnsi="宋体" w:eastAsia="宋体" w:cs="宋体"/>
          <w:snapToGrid w:val="0"/>
          <w:color w:val="auto"/>
          <w:kern w:val="2"/>
          <w:szCs w:val="21"/>
          <w:highlight w:val="none"/>
        </w:rPr>
        <w:t>事实依据、必要的法律依据</w:t>
      </w:r>
      <w:r>
        <w:rPr>
          <w:rFonts w:hint="eastAsia" w:ascii="宋体" w:hAnsi="宋体" w:eastAsia="宋体" w:cs="宋体"/>
          <w:color w:val="auto"/>
          <w:szCs w:val="22"/>
          <w:highlight w:val="none"/>
        </w:rPr>
        <w:t>；</w:t>
      </w:r>
    </w:p>
    <w:p w14:paraId="4E9A28A0">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（5）提出质疑的日期；</w:t>
      </w:r>
    </w:p>
    <w:p w14:paraId="49452204">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（6）招标文件获取日期及</w:t>
      </w:r>
      <w:r>
        <w:rPr>
          <w:rFonts w:hint="eastAsia" w:ascii="宋体" w:hAnsi="宋体" w:eastAsia="宋体" w:cs="宋体"/>
        </w:rPr>
        <w:t>乐采云</w:t>
      </w:r>
      <w:r>
        <w:rPr>
          <w:rFonts w:hint="eastAsia" w:ascii="宋体" w:hAnsi="宋体" w:eastAsia="宋体" w:cs="宋体"/>
          <w:color w:val="auto"/>
          <w:sz w:val="24"/>
          <w:szCs w:val="22"/>
          <w:highlight w:val="none"/>
        </w:rPr>
        <w:t>截图。</w:t>
      </w:r>
    </w:p>
    <w:p w14:paraId="081A0C1A">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4.采购人或者采购代理机构应当在收到供应商的书面质疑后七个工作日内</w:t>
      </w:r>
      <w:r>
        <w:rPr>
          <w:rFonts w:hint="eastAsia" w:ascii="宋体" w:hAnsi="宋体" w:eastAsia="宋体" w:cs="宋体"/>
          <w:color w:val="000000"/>
          <w:kern w:val="0"/>
          <w:sz w:val="24"/>
        </w:rPr>
        <w:t>审查质疑事项，</w:t>
      </w:r>
      <w:r>
        <w:rPr>
          <w:rFonts w:hint="eastAsia" w:ascii="宋体" w:hAnsi="宋体" w:eastAsia="宋体" w:cs="宋体"/>
          <w:color w:val="auto"/>
          <w:sz w:val="24"/>
          <w:szCs w:val="22"/>
          <w:highlight w:val="none"/>
        </w:rPr>
        <w:t>作出答复</w:t>
      </w:r>
      <w:r>
        <w:rPr>
          <w:rFonts w:hint="eastAsia" w:ascii="宋体" w:hAnsi="宋体" w:eastAsia="宋体" w:cs="宋体"/>
          <w:color w:val="000000"/>
          <w:kern w:val="0"/>
          <w:sz w:val="24"/>
        </w:rPr>
        <w:t>或相关处理决定</w:t>
      </w:r>
      <w:r>
        <w:rPr>
          <w:rFonts w:hint="eastAsia" w:ascii="宋体" w:hAnsi="宋体" w:eastAsia="宋体" w:cs="宋体"/>
          <w:color w:val="auto"/>
          <w:sz w:val="24"/>
          <w:szCs w:val="22"/>
          <w:highlight w:val="none"/>
        </w:rPr>
        <w:t>，并以书面形式通知质疑供应商和其他与质疑处理结果有利害关系的国资采购当事人，但答复的内容不得涉及商业秘密。</w:t>
      </w:r>
    </w:p>
    <w:p w14:paraId="39723185">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4958E84A">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6.质疑供应商对采购人、采购代理机构的答复不满意或者采购人、采购代理机构未在规定的时间内作出答复的，可以在答复期满后十五个工作日内向同级政府采购行政监督管理部门（或同级国资办）提出投诉。</w:t>
      </w:r>
    </w:p>
    <w:p w14:paraId="305B8D84">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7.供应商投诉的事项不得超出已质疑事项的范围，基于质疑答复内容提出的投诉事项除外。</w:t>
      </w:r>
    </w:p>
    <w:p w14:paraId="46112D00">
      <w:pPr>
        <w:pageBreakBefore w:val="0"/>
        <w:widowControl/>
        <w:kinsoku/>
        <w:wordWrap/>
        <w:overflowPunct/>
        <w:topLinePunct w:val="0"/>
        <w:autoSpaceDE/>
        <w:autoSpaceDN/>
        <w:bidi w:val="0"/>
        <w:adjustRightInd/>
        <w:spacing w:beforeLines="0" w:line="440" w:lineRule="exact"/>
        <w:ind w:firstLine="480" w:firstLineChars="200"/>
        <w:jc w:val="left"/>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8.供应商投诉应当有明确的请求和必要的证明材料。</w:t>
      </w:r>
    </w:p>
    <w:p w14:paraId="60A2C4C6">
      <w:pPr>
        <w:pStyle w:val="35"/>
        <w:pageBreakBefore w:val="0"/>
        <w:numPr>
          <w:ilvl w:val="0"/>
          <w:numId w:val="0"/>
        </w:numPr>
        <w:shd w:val="clear" w:color="auto" w:fill="FFFFFF"/>
        <w:kinsoku/>
        <w:wordWrap/>
        <w:overflowPunct/>
        <w:topLinePunct w:val="0"/>
        <w:autoSpaceDE/>
        <w:autoSpaceDN/>
        <w:bidi w:val="0"/>
        <w:adjustRightInd/>
        <w:snapToGrid w:val="0"/>
        <w:spacing w:before="0" w:beforeLines="0" w:beforeAutospacing="0" w:after="0" w:afterAutospacing="0" w:line="440" w:lineRule="exact"/>
        <w:ind w:firstLine="482" w:firstLineChars="200"/>
        <w:contextualSpacing/>
        <w:textAlignment w:val="auto"/>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9.投诉书范本请到浙江政府采购网下载专区下载。</w:t>
      </w:r>
    </w:p>
    <w:p w14:paraId="3D6D3C5C">
      <w:pPr>
        <w:pStyle w:val="35"/>
        <w:pageBreakBefore w:val="0"/>
        <w:numPr>
          <w:ilvl w:val="0"/>
          <w:numId w:val="0"/>
        </w:numPr>
        <w:shd w:val="clear" w:color="auto" w:fill="FFFFFF"/>
        <w:kinsoku/>
        <w:wordWrap/>
        <w:overflowPunct/>
        <w:topLinePunct w:val="0"/>
        <w:autoSpaceDE/>
        <w:autoSpaceDN/>
        <w:bidi w:val="0"/>
        <w:adjustRightInd/>
        <w:snapToGrid w:val="0"/>
        <w:spacing w:before="0" w:beforeLines="0" w:beforeAutospacing="0" w:after="0" w:afterAutospacing="0" w:line="440" w:lineRule="exact"/>
        <w:ind w:firstLine="482" w:firstLineChars="200"/>
        <w:contextualSpacing/>
        <w:textAlignment w:val="auto"/>
        <w:rPr>
          <w:rFonts w:hint="eastAsia" w:ascii="宋体" w:hAnsi="宋体" w:eastAsia="宋体" w:cs="宋体"/>
          <w:b/>
          <w:bCs/>
          <w:color w:val="000000"/>
          <w:szCs w:val="24"/>
        </w:rPr>
      </w:pPr>
      <w:r>
        <w:rPr>
          <w:rFonts w:hint="eastAsia" w:ascii="宋体" w:hAnsi="宋体" w:eastAsia="宋体" w:cs="宋体"/>
          <w:b/>
          <w:bCs/>
          <w:color w:val="000000"/>
          <w:szCs w:val="24"/>
        </w:rPr>
        <w:t>十三、若发现中标人存在诚信问题，</w:t>
      </w:r>
      <w:r>
        <w:rPr>
          <w:rFonts w:hint="eastAsia" w:ascii="宋体" w:hAnsi="宋体" w:eastAsia="宋体" w:cs="宋体"/>
          <w:b/>
          <w:bCs/>
          <w:color w:val="000000"/>
          <w:szCs w:val="24"/>
          <w:lang w:eastAsia="zh-CN"/>
        </w:rPr>
        <w:t>采购人</w:t>
      </w:r>
      <w:r>
        <w:rPr>
          <w:rFonts w:hint="eastAsia" w:ascii="宋体" w:hAnsi="宋体" w:eastAsia="宋体" w:cs="宋体"/>
          <w:b/>
          <w:bCs/>
          <w:color w:val="000000"/>
          <w:szCs w:val="24"/>
        </w:rPr>
        <w:t>有权取消其中标资格。</w:t>
      </w:r>
    </w:p>
    <w:p w14:paraId="1D496BC4">
      <w:pPr>
        <w:pageBreakBefore w:val="0"/>
        <w:widowControl/>
        <w:kinsoku/>
        <w:wordWrap/>
        <w:overflowPunct/>
        <w:topLinePunct w:val="0"/>
        <w:autoSpaceDE/>
        <w:autoSpaceDN/>
        <w:bidi w:val="0"/>
        <w:adjustRightInd/>
        <w:spacing w:beforeLines="0" w:line="440" w:lineRule="exact"/>
        <w:ind w:firstLine="482" w:firstLineChars="200"/>
        <w:jc w:val="left"/>
        <w:textAlignment w:val="auto"/>
        <w:rPr>
          <w:rFonts w:hint="eastAsia" w:ascii="宋体" w:hAnsi="宋体" w:eastAsia="宋体" w:cs="宋体"/>
          <w:b/>
          <w:bCs/>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134" w:right="1191" w:bottom="1134" w:left="1191" w:header="851" w:footer="992" w:gutter="0"/>
          <w:cols w:space="720" w:num="1"/>
          <w:rtlGutter w:val="0"/>
          <w:docGrid w:type="lines" w:linePitch="312" w:charSpace="0"/>
        </w:sectPr>
      </w:pPr>
    </w:p>
    <w:p w14:paraId="51795BC7">
      <w:pPr>
        <w:pStyle w:val="2"/>
        <w:rPr>
          <w:rFonts w:hint="eastAsia" w:ascii="宋体" w:hAnsi="宋体" w:eastAsia="宋体" w:cs="宋体"/>
        </w:rPr>
      </w:pPr>
      <w:r>
        <w:rPr>
          <w:rFonts w:hint="eastAsia" w:ascii="宋体" w:hAnsi="宋体" w:eastAsia="宋体" w:cs="宋体"/>
        </w:rPr>
        <w:t>第三章  评标办法及评分标准</w:t>
      </w:r>
      <w:bookmarkEnd w:id="3"/>
    </w:p>
    <w:p w14:paraId="6F9A0931">
      <w:pPr>
        <w:keepNext w:val="0"/>
        <w:keepLines w:val="0"/>
        <w:pageBreakBefore w:val="0"/>
        <w:widowControl w:val="0"/>
        <w:kinsoku/>
        <w:wordWrap/>
        <w:overflowPunct/>
        <w:topLinePunct w:val="0"/>
        <w:autoSpaceDE/>
        <w:autoSpaceDN/>
        <w:bidi w:val="0"/>
        <w:adjustRightInd/>
        <w:snapToGrid/>
        <w:spacing w:beforeLines="0"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根据《中华人民共和国政府采购法》等有关法律法规，遵循“公开、公平、公正”的原则，结合本项目的实际需求，制定本办法。</w:t>
      </w:r>
    </w:p>
    <w:p w14:paraId="28CD4BBD">
      <w:pPr>
        <w:keepNext w:val="0"/>
        <w:keepLines w:val="0"/>
        <w:pageBreakBefore w:val="0"/>
        <w:widowControl w:val="0"/>
        <w:kinsoku/>
        <w:wordWrap/>
        <w:overflowPunct/>
        <w:topLinePunct w:val="0"/>
        <w:autoSpaceDE/>
        <w:autoSpaceDN/>
        <w:bidi w:val="0"/>
        <w:adjustRightInd/>
        <w:snapToGrid/>
        <w:spacing w:beforeLines="0" w:line="46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一、总则</w:t>
      </w:r>
    </w:p>
    <w:p w14:paraId="4132FA59">
      <w:pPr>
        <w:keepNext w:val="0"/>
        <w:keepLines w:val="0"/>
        <w:pageBreakBefore w:val="0"/>
        <w:widowControl w:val="0"/>
        <w:kinsoku/>
        <w:wordWrap/>
        <w:overflowPunct/>
        <w:topLinePunct w:val="0"/>
        <w:autoSpaceDE/>
        <w:autoSpaceDN/>
        <w:bidi w:val="0"/>
        <w:adjustRightInd/>
        <w:snapToGrid/>
        <w:spacing w:beforeLines="0"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1.本次评标采用综合评分法，总分为100分。综合评分法，是指投标文件满足招标文件全部实质性要求，且按照评审因素的量化指标评审得分最高的投标人为中标候选人的评标方法。</w:t>
      </w:r>
    </w:p>
    <w:p w14:paraId="37667C67">
      <w:pPr>
        <w:keepNext w:val="0"/>
        <w:keepLines w:val="0"/>
        <w:pageBreakBefore w:val="0"/>
        <w:widowControl w:val="0"/>
        <w:kinsoku/>
        <w:wordWrap/>
        <w:overflowPunct/>
        <w:topLinePunct w:val="0"/>
        <w:autoSpaceDE/>
        <w:autoSpaceDN/>
        <w:bidi w:val="0"/>
        <w:adjustRightInd/>
        <w:snapToGrid/>
        <w:spacing w:beforeLines="0"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2.各合格投标人综合得分的计算公式为：</w:t>
      </w:r>
    </w:p>
    <w:p w14:paraId="35931B71">
      <w:pPr>
        <w:keepNext w:val="0"/>
        <w:keepLines w:val="0"/>
        <w:pageBreakBefore w:val="0"/>
        <w:widowControl w:val="0"/>
        <w:kinsoku/>
        <w:wordWrap/>
        <w:overflowPunct/>
        <w:topLinePunct w:val="0"/>
        <w:autoSpaceDE/>
        <w:autoSpaceDN/>
        <w:bidi w:val="0"/>
        <w:adjustRightInd/>
        <w:snapToGrid/>
        <w:spacing w:beforeLines="0"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投标人评标</w:t>
      </w:r>
      <w:r>
        <w:rPr>
          <w:rFonts w:hint="eastAsia" w:ascii="宋体" w:hAnsi="宋体" w:eastAsia="宋体" w:cs="宋体"/>
          <w:bCs/>
          <w:color w:val="auto"/>
          <w:sz w:val="24"/>
          <w:highlight w:val="none"/>
        </w:rPr>
        <w:t>综合得分=资信及技术得分＋商务价格得分。</w:t>
      </w:r>
    </w:p>
    <w:p w14:paraId="4A48185B">
      <w:pPr>
        <w:keepNext w:val="0"/>
        <w:keepLines w:val="0"/>
        <w:pageBreakBefore w:val="0"/>
        <w:widowControl w:val="0"/>
        <w:kinsoku/>
        <w:wordWrap/>
        <w:overflowPunct/>
        <w:topLinePunct w:val="0"/>
        <w:autoSpaceDE/>
        <w:autoSpaceDN/>
        <w:bidi w:val="0"/>
        <w:adjustRightInd/>
        <w:snapToGrid/>
        <w:spacing w:beforeLines="0"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3.合格投标人的评标得分为各项目汇总得分，中标候选资格按评标得分由高到低顺序排列，得分相同的，按投标报价由低到高顺序排列；得分且投标报价相同的，按技术指标优劣顺序排列，并形成评标意见。</w:t>
      </w:r>
    </w:p>
    <w:p w14:paraId="2EB66FDA">
      <w:pPr>
        <w:keepNext w:val="0"/>
        <w:keepLines w:val="0"/>
        <w:pageBreakBefore w:val="0"/>
        <w:widowControl w:val="0"/>
        <w:kinsoku/>
        <w:wordWrap/>
        <w:overflowPunct/>
        <w:topLinePunct w:val="0"/>
        <w:autoSpaceDE/>
        <w:autoSpaceDN/>
        <w:bidi w:val="0"/>
        <w:adjustRightInd/>
        <w:snapToGrid/>
        <w:spacing w:beforeLines="0" w:line="46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b/>
          <w:bCs/>
          <w:color w:val="auto"/>
          <w:sz w:val="24"/>
          <w:szCs w:val="24"/>
        </w:rPr>
        <w:t>由评标委员会推荐综合得分排序</w:t>
      </w:r>
      <w:r>
        <w:rPr>
          <w:rFonts w:hint="eastAsia" w:ascii="宋体" w:hAnsi="宋体" w:eastAsia="宋体" w:cs="宋体"/>
          <w:b/>
          <w:bCs/>
          <w:color w:val="auto"/>
          <w:sz w:val="24"/>
          <w:szCs w:val="24"/>
          <w:lang w:val="en-US" w:eastAsia="zh-CN"/>
        </w:rPr>
        <w:t>排名前三的</w:t>
      </w:r>
      <w:r>
        <w:rPr>
          <w:rFonts w:hint="eastAsia" w:ascii="宋体" w:hAnsi="宋体" w:eastAsia="宋体" w:cs="宋体"/>
          <w:b/>
          <w:bCs/>
          <w:color w:val="auto"/>
          <w:sz w:val="24"/>
          <w:szCs w:val="24"/>
        </w:rPr>
        <w:t>为中标候选人。</w:t>
      </w:r>
      <w:r>
        <w:rPr>
          <w:rFonts w:hint="eastAsia" w:ascii="宋体" w:hAnsi="宋体" w:eastAsia="宋体" w:cs="宋体"/>
          <w:b/>
          <w:bCs/>
          <w:color w:val="auto"/>
          <w:sz w:val="24"/>
          <w:szCs w:val="24"/>
          <w:lang w:val="en-US" w:eastAsia="zh-CN"/>
        </w:rPr>
        <w:t>其中任一一家中标单位成交后放弃成交资格或因质疑、投诉被取消中标资格或不能履行合同的，</w:t>
      </w:r>
      <w:r>
        <w:rPr>
          <w:rFonts w:hint="eastAsia" w:ascii="宋体" w:hAnsi="宋体" w:eastAsia="宋体" w:cs="宋体"/>
          <w:b/>
          <w:bCs/>
          <w:color w:val="auto"/>
          <w:sz w:val="24"/>
          <w:szCs w:val="24"/>
        </w:rPr>
        <w:t>应当重新组织采购。</w:t>
      </w:r>
    </w:p>
    <w:p w14:paraId="0628E157">
      <w:pPr>
        <w:keepNext w:val="0"/>
        <w:keepLines w:val="0"/>
        <w:pageBreakBefore w:val="0"/>
        <w:widowControl w:val="0"/>
        <w:kinsoku/>
        <w:wordWrap/>
        <w:overflowPunct/>
        <w:topLinePunct w:val="0"/>
        <w:autoSpaceDE/>
        <w:autoSpaceDN/>
        <w:bidi w:val="0"/>
        <w:adjustRightInd/>
        <w:snapToGrid/>
        <w:spacing w:beforeLines="0" w:line="46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5.评分过程中采用四舍五入法，</w:t>
      </w:r>
      <w:r>
        <w:rPr>
          <w:rFonts w:hint="eastAsia" w:ascii="宋体" w:hAnsi="宋体" w:eastAsia="宋体" w:cs="宋体"/>
          <w:bCs/>
          <w:color w:val="auto"/>
          <w:sz w:val="24"/>
          <w:highlight w:val="none"/>
        </w:rPr>
        <w:t>并保留小数2位。</w:t>
      </w:r>
    </w:p>
    <w:p w14:paraId="5AD283CF">
      <w:pPr>
        <w:keepNext w:val="0"/>
        <w:keepLines w:val="0"/>
        <w:pageBreakBefore w:val="0"/>
        <w:widowControl w:val="0"/>
        <w:kinsoku/>
        <w:wordWrap/>
        <w:overflowPunct/>
        <w:topLinePunct w:val="0"/>
        <w:autoSpaceDE/>
        <w:autoSpaceDN/>
        <w:bidi w:val="0"/>
        <w:adjustRightInd/>
        <w:snapToGrid/>
        <w:spacing w:beforeLines="0" w:line="46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二、评分内容及标准</w:t>
      </w:r>
    </w:p>
    <w:p w14:paraId="4228CCAF">
      <w:pPr>
        <w:keepNext w:val="0"/>
        <w:keepLines w:val="0"/>
        <w:pageBreakBefore w:val="0"/>
        <w:widowControl w:val="0"/>
        <w:kinsoku/>
        <w:wordWrap/>
        <w:overflowPunct/>
        <w:topLinePunct w:val="0"/>
        <w:autoSpaceDE/>
        <w:autoSpaceDN/>
        <w:bidi w:val="0"/>
        <w:adjustRightInd/>
        <w:snapToGrid/>
        <w:spacing w:beforeLines="0" w:line="46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（一）商务价格评分(</w:t>
      </w:r>
      <w:r>
        <w:rPr>
          <w:rFonts w:hint="eastAsia" w:ascii="宋体" w:hAnsi="宋体" w:eastAsia="宋体" w:cs="宋体"/>
          <w:b/>
          <w:color w:val="auto"/>
          <w:sz w:val="24"/>
          <w:highlight w:val="none"/>
          <w:lang w:val="en-US" w:eastAsia="zh-CN"/>
        </w:rPr>
        <w:t>30</w:t>
      </w:r>
      <w:r>
        <w:rPr>
          <w:rFonts w:hint="eastAsia" w:ascii="宋体" w:hAnsi="宋体" w:eastAsia="宋体" w:cs="宋体"/>
          <w:b/>
          <w:color w:val="auto"/>
          <w:sz w:val="24"/>
          <w:highlight w:val="none"/>
        </w:rPr>
        <w:t>分)</w:t>
      </w:r>
    </w:p>
    <w:p w14:paraId="59C7DCB9">
      <w:pPr>
        <w:keepNext w:val="0"/>
        <w:keepLines w:val="0"/>
        <w:pageBreakBefore w:val="0"/>
        <w:widowControl w:val="0"/>
        <w:kinsoku/>
        <w:wordWrap/>
        <w:overflowPunct/>
        <w:topLinePunct w:val="0"/>
        <w:autoSpaceDE/>
        <w:autoSpaceDN/>
        <w:bidi w:val="0"/>
        <w:adjustRightInd/>
        <w:snapToGrid/>
        <w:spacing w:beforeLines="0" w:line="46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1.报价的合理性：</w:t>
      </w:r>
      <w:r>
        <w:rPr>
          <w:rFonts w:hint="eastAsia" w:ascii="宋体" w:hAnsi="宋体" w:eastAsia="宋体" w:cs="宋体"/>
          <w:b w:val="0"/>
          <w:bCs/>
          <w:color w:val="auto"/>
          <w:sz w:val="24"/>
          <w:highlight w:val="none"/>
        </w:rPr>
        <w:t>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14:paraId="04E203E8">
      <w:pPr>
        <w:keepNext w:val="0"/>
        <w:keepLines w:val="0"/>
        <w:pageBreakBefore w:val="0"/>
        <w:widowControl w:val="0"/>
        <w:kinsoku/>
        <w:wordWrap/>
        <w:overflowPunct/>
        <w:topLinePunct w:val="0"/>
        <w:autoSpaceDE/>
        <w:autoSpaceDN/>
        <w:bidi w:val="0"/>
        <w:adjustRightInd/>
        <w:snapToGrid/>
        <w:spacing w:beforeLines="0" w:line="460" w:lineRule="exact"/>
        <w:ind w:firstLine="482" w:firstLineChars="200"/>
        <w:textAlignment w:val="auto"/>
        <w:rPr>
          <w:rFonts w:hint="eastAsia" w:ascii="宋体" w:hAnsi="宋体" w:eastAsia="宋体" w:cs="宋体"/>
          <w:b w:val="0"/>
          <w:bCs/>
          <w:color w:val="auto"/>
          <w:sz w:val="24"/>
          <w:highlight w:val="none"/>
        </w:rPr>
      </w:pPr>
      <w:r>
        <w:rPr>
          <w:rFonts w:hint="eastAsia" w:ascii="宋体" w:hAnsi="宋体" w:eastAsia="宋体" w:cs="宋体"/>
          <w:b/>
          <w:color w:val="auto"/>
          <w:sz w:val="24"/>
          <w:highlight w:val="none"/>
        </w:rPr>
        <w:t>2.商务价格分的计算：</w:t>
      </w:r>
      <w:r>
        <w:rPr>
          <w:rFonts w:hint="eastAsia" w:ascii="宋体" w:hAnsi="宋体" w:eastAsia="宋体" w:cs="宋体"/>
          <w:b w:val="0"/>
          <w:bCs/>
          <w:color w:val="auto"/>
          <w:sz w:val="24"/>
          <w:highlight w:val="none"/>
        </w:rPr>
        <w:t>根据各投标人的有效投标报价，满足招标文件要求且投标价格最低的投标报价为评标基准价，其商务价格分为满分。其他投标人的商务价格分统一按照下列公式计算：投标报价得分=(评标基准价／有效投标报价)×</w:t>
      </w:r>
      <w:r>
        <w:rPr>
          <w:rFonts w:hint="eastAsia" w:ascii="宋体" w:hAnsi="宋体" w:eastAsia="宋体" w:cs="宋体"/>
          <w:b w:val="0"/>
          <w:bCs/>
          <w:color w:val="auto"/>
          <w:sz w:val="24"/>
          <w:highlight w:val="none"/>
          <w:lang w:val="en-US" w:eastAsia="zh-CN"/>
        </w:rPr>
        <w:t>30</w:t>
      </w:r>
      <w:r>
        <w:rPr>
          <w:rFonts w:hint="eastAsia" w:ascii="宋体" w:hAnsi="宋体" w:eastAsia="宋体" w:cs="宋体"/>
          <w:b w:val="0"/>
          <w:bCs/>
          <w:color w:val="auto"/>
          <w:sz w:val="24"/>
          <w:highlight w:val="none"/>
        </w:rPr>
        <w:t>%×100；</w:t>
      </w:r>
    </w:p>
    <w:p w14:paraId="7D9581FC">
      <w:pPr>
        <w:keepNext w:val="0"/>
        <w:keepLines w:val="0"/>
        <w:pageBreakBefore w:val="0"/>
        <w:widowControl w:val="0"/>
        <w:kinsoku/>
        <w:wordWrap/>
        <w:overflowPunct/>
        <w:topLinePunct w:val="0"/>
        <w:autoSpaceDE/>
        <w:autoSpaceDN/>
        <w:bidi w:val="0"/>
        <w:adjustRightInd/>
        <w:snapToGrid/>
        <w:spacing w:beforeLines="0" w:line="460" w:lineRule="exact"/>
        <w:ind w:firstLine="482" w:firstLineChars="200"/>
        <w:textAlignment w:val="auto"/>
        <w:rPr>
          <w:rFonts w:hint="eastAsia" w:ascii="宋体" w:hAnsi="宋体" w:eastAsia="宋体" w:cs="宋体"/>
          <w:b/>
          <w:bCs w:val="0"/>
          <w:color w:val="auto"/>
          <w:sz w:val="24"/>
          <w:highlight w:val="yellow"/>
          <w:u w:val="single"/>
          <w:lang w:val="en-US" w:eastAsia="zh-CN"/>
        </w:rPr>
      </w:pPr>
      <w:r>
        <w:rPr>
          <w:rFonts w:hint="eastAsia" w:ascii="宋体" w:hAnsi="宋体" w:eastAsia="宋体" w:cs="宋体"/>
          <w:b/>
          <w:bCs w:val="0"/>
          <w:color w:val="auto"/>
          <w:sz w:val="24"/>
          <w:highlight w:val="yellow"/>
          <w:u w:val="single"/>
          <w:lang w:val="en-US" w:eastAsia="zh-CN"/>
        </w:rPr>
        <w:t>注：本次报价仅作为商务报价参与评审，实际合同签订价统一为本项目入围单位中的最低报价。</w:t>
      </w:r>
    </w:p>
    <w:p w14:paraId="4BEA6A12">
      <w:pPr>
        <w:keepNext w:val="0"/>
        <w:keepLines w:val="0"/>
        <w:pageBreakBefore w:val="0"/>
        <w:widowControl w:val="0"/>
        <w:kinsoku/>
        <w:wordWrap/>
        <w:overflowPunct/>
        <w:topLinePunct w:val="0"/>
        <w:autoSpaceDE/>
        <w:autoSpaceDN/>
        <w:bidi w:val="0"/>
        <w:adjustRightInd/>
        <w:snapToGrid/>
        <w:spacing w:beforeLines="0" w:line="460" w:lineRule="exact"/>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（二）资信及技术评分（</w:t>
      </w:r>
      <w:r>
        <w:rPr>
          <w:rFonts w:hint="eastAsia" w:ascii="宋体" w:hAnsi="宋体" w:eastAsia="宋体" w:cs="宋体"/>
          <w:b/>
          <w:color w:val="auto"/>
          <w:sz w:val="24"/>
          <w:highlight w:val="none"/>
          <w:lang w:val="en-US" w:eastAsia="zh-CN"/>
        </w:rPr>
        <w:t>70</w:t>
      </w:r>
      <w:r>
        <w:rPr>
          <w:rFonts w:hint="eastAsia" w:ascii="宋体" w:hAnsi="宋体" w:eastAsia="宋体" w:cs="宋体"/>
          <w:b/>
          <w:color w:val="auto"/>
          <w:sz w:val="24"/>
          <w:highlight w:val="none"/>
        </w:rPr>
        <w:t>分）</w:t>
      </w:r>
    </w:p>
    <w:p w14:paraId="6073640F">
      <w:pPr>
        <w:keepNext w:val="0"/>
        <w:keepLines w:val="0"/>
        <w:pageBreakBefore w:val="0"/>
        <w:widowControl w:val="0"/>
        <w:kinsoku/>
        <w:wordWrap/>
        <w:overflowPunct/>
        <w:topLinePunct w:val="0"/>
        <w:autoSpaceDE/>
        <w:autoSpaceDN/>
        <w:bidi w:val="0"/>
        <w:adjustRightInd/>
        <w:snapToGrid/>
        <w:spacing w:beforeLines="0"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color w:val="auto"/>
          <w:highlight w:val="none"/>
        </w:rPr>
        <w:t xml:space="preserve"> </w:t>
      </w:r>
      <w:r>
        <w:rPr>
          <w:rFonts w:hint="eastAsia" w:ascii="宋体" w:hAnsi="宋体" w:eastAsia="宋体" w:cs="宋体"/>
          <w:b/>
          <w:bCs/>
          <w:color w:val="auto"/>
          <w:sz w:val="24"/>
          <w:szCs w:val="24"/>
          <w:highlight w:val="none"/>
        </w:rPr>
        <w:t>商务及资信技术得分的计算。</w:t>
      </w:r>
    </w:p>
    <w:p w14:paraId="043F0FA5">
      <w:pPr>
        <w:keepNext w:val="0"/>
        <w:keepLines w:val="0"/>
        <w:pageBreakBefore w:val="0"/>
        <w:widowControl w:val="0"/>
        <w:kinsoku/>
        <w:wordWrap/>
        <w:overflowPunct/>
        <w:topLinePunct w:val="0"/>
        <w:autoSpaceDE/>
        <w:autoSpaceDN/>
        <w:bidi w:val="0"/>
        <w:adjustRightInd/>
        <w:snapToGrid/>
        <w:spacing w:beforeLines="0"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商务及资信技术</w:t>
      </w:r>
      <w:r>
        <w:rPr>
          <w:rFonts w:hint="eastAsia" w:ascii="宋体" w:hAnsi="宋体" w:eastAsia="宋体" w:cs="宋体"/>
          <w:bCs/>
          <w:color w:val="auto"/>
          <w:sz w:val="24"/>
          <w:szCs w:val="24"/>
          <w:highlight w:val="none"/>
        </w:rPr>
        <w:t>得分</w:t>
      </w:r>
      <w:r>
        <w:rPr>
          <w:rFonts w:hint="eastAsia" w:ascii="宋体" w:hAnsi="宋体" w:eastAsia="宋体" w:cs="宋体"/>
          <w:color w:val="auto"/>
          <w:sz w:val="24"/>
          <w:szCs w:val="24"/>
          <w:highlight w:val="none"/>
        </w:rPr>
        <w:t>按照评标委员会成员的独立评分结果汇总后的算术平均分计算，计算公式为：商务及资信技术</w:t>
      </w:r>
      <w:r>
        <w:rPr>
          <w:rFonts w:hint="eastAsia" w:ascii="宋体" w:hAnsi="宋体" w:eastAsia="宋体" w:cs="宋体"/>
          <w:bCs/>
          <w:color w:val="auto"/>
          <w:sz w:val="24"/>
          <w:szCs w:val="24"/>
          <w:highlight w:val="none"/>
        </w:rPr>
        <w:t>得分</w:t>
      </w:r>
      <w:r>
        <w:rPr>
          <w:rFonts w:hint="eastAsia" w:ascii="宋体" w:hAnsi="宋体" w:eastAsia="宋体" w:cs="宋体"/>
          <w:color w:val="auto"/>
          <w:sz w:val="24"/>
          <w:szCs w:val="24"/>
          <w:highlight w:val="none"/>
        </w:rPr>
        <w:t>＝评标委员会所有成员评分合计数/评标委员会组成人员数。</w:t>
      </w:r>
    </w:p>
    <w:p w14:paraId="56A2532F">
      <w:pPr>
        <w:keepNext w:val="0"/>
        <w:keepLines w:val="0"/>
        <w:pageBreakBefore w:val="0"/>
        <w:widowControl w:val="0"/>
        <w:numPr>
          <w:ilvl w:val="0"/>
          <w:numId w:val="7"/>
        </w:numPr>
        <w:kinsoku/>
        <w:wordWrap/>
        <w:overflowPunct/>
        <w:topLinePunct w:val="0"/>
        <w:autoSpaceDE/>
        <w:autoSpaceDN/>
        <w:bidi w:val="0"/>
        <w:adjustRightInd/>
        <w:snapToGrid/>
        <w:spacing w:beforeLines="0" w:line="46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评分细则</w:t>
      </w:r>
    </w:p>
    <w:p w14:paraId="514ABC54">
      <w:pPr>
        <w:keepNext w:val="0"/>
        <w:keepLines w:val="0"/>
        <w:pageBreakBefore w:val="0"/>
        <w:widowControl w:val="0"/>
        <w:kinsoku/>
        <w:wordWrap/>
        <w:overflowPunct/>
        <w:topLinePunct w:val="0"/>
        <w:autoSpaceDE/>
        <w:autoSpaceDN/>
        <w:bidi w:val="0"/>
        <w:adjustRightInd/>
        <w:snapToGrid/>
        <w:spacing w:beforeLines="0" w:line="460" w:lineRule="exact"/>
        <w:textAlignment w:val="auto"/>
        <w:rPr>
          <w:rFonts w:hint="eastAsia" w:ascii="宋体" w:hAnsi="宋体" w:eastAsia="宋体" w:cs="宋体"/>
          <w:color w:val="auto"/>
        </w:rPr>
      </w:pPr>
      <w:r>
        <w:rPr>
          <w:rFonts w:hint="eastAsia" w:ascii="宋体" w:hAnsi="宋体" w:eastAsia="宋体" w:cs="宋体"/>
          <w:color w:val="auto"/>
          <w:sz w:val="24"/>
          <w:szCs w:val="24"/>
          <w:highlight w:val="none"/>
        </w:rPr>
        <w:t>商务及资信技术评分细则（</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tbl>
      <w:tblPr>
        <w:tblStyle w:val="24"/>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230"/>
        <w:gridCol w:w="6945"/>
        <w:gridCol w:w="690"/>
        <w:gridCol w:w="711"/>
      </w:tblGrid>
      <w:tr w14:paraId="7811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4" w:type="dxa"/>
            <w:noWrap w:val="0"/>
            <w:vAlign w:val="center"/>
          </w:tcPr>
          <w:p w14:paraId="5775443F">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230" w:type="dxa"/>
            <w:noWrap w:val="0"/>
            <w:vAlign w:val="center"/>
          </w:tcPr>
          <w:p w14:paraId="0C5AEF1E">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评分项目</w:t>
            </w:r>
          </w:p>
        </w:tc>
        <w:tc>
          <w:tcPr>
            <w:tcW w:w="6945" w:type="dxa"/>
            <w:noWrap w:val="0"/>
            <w:vAlign w:val="center"/>
          </w:tcPr>
          <w:p w14:paraId="26B309B8">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评分内容</w:t>
            </w:r>
          </w:p>
        </w:tc>
        <w:tc>
          <w:tcPr>
            <w:tcW w:w="690" w:type="dxa"/>
            <w:noWrap w:val="0"/>
            <w:vAlign w:val="center"/>
          </w:tcPr>
          <w:p w14:paraId="41D3A5CA">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最高分值</w:t>
            </w:r>
          </w:p>
        </w:tc>
        <w:tc>
          <w:tcPr>
            <w:tcW w:w="711" w:type="dxa"/>
            <w:noWrap w:val="0"/>
            <w:vAlign w:val="center"/>
          </w:tcPr>
          <w:p w14:paraId="30010CAF">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打分方法</w:t>
            </w:r>
          </w:p>
        </w:tc>
      </w:tr>
      <w:tr w14:paraId="706B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94" w:type="dxa"/>
            <w:noWrap w:val="0"/>
            <w:vAlign w:val="center"/>
          </w:tcPr>
          <w:p w14:paraId="777586C6">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30" w:type="dxa"/>
            <w:noWrap w:val="0"/>
            <w:vAlign w:val="center"/>
          </w:tcPr>
          <w:p w14:paraId="2BA1FAC0">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综合实力</w:t>
            </w:r>
          </w:p>
          <w:p w14:paraId="2B6E73EB">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（0-3分）</w:t>
            </w:r>
          </w:p>
        </w:tc>
        <w:tc>
          <w:tcPr>
            <w:tcW w:w="6945" w:type="dxa"/>
            <w:noWrap w:val="0"/>
            <w:vAlign w:val="center"/>
          </w:tcPr>
          <w:p w14:paraId="0D557759">
            <w:pPr>
              <w:pStyle w:val="42"/>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投标人具有质量管理体系认证、环境管理体系认证、职业健康安全管理体系认证的每个得1分，最高得3分（0-3分）。</w:t>
            </w:r>
          </w:p>
          <w:p w14:paraId="2376EE8A">
            <w:pPr>
              <w:pStyle w:val="42"/>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【注：提供有效期内认证证书复印件及在全国认证认可信息公共服务平台（http://cx.cnca.cn/）查询的截图，两者缺一不可，否则不得分，复印件加盖公章】</w:t>
            </w:r>
          </w:p>
        </w:tc>
        <w:tc>
          <w:tcPr>
            <w:tcW w:w="690" w:type="dxa"/>
            <w:noWrap w:val="0"/>
            <w:vAlign w:val="center"/>
          </w:tcPr>
          <w:p w14:paraId="466E7187">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3分</w:t>
            </w:r>
          </w:p>
        </w:tc>
        <w:tc>
          <w:tcPr>
            <w:tcW w:w="711" w:type="dxa"/>
            <w:noWrap w:val="0"/>
            <w:vAlign w:val="center"/>
          </w:tcPr>
          <w:p w14:paraId="7211DB9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SA"/>
              </w:rPr>
              <w:t>客观分</w:t>
            </w:r>
          </w:p>
        </w:tc>
      </w:tr>
      <w:tr w14:paraId="2A6A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594" w:type="dxa"/>
            <w:noWrap w:val="0"/>
            <w:vAlign w:val="center"/>
          </w:tcPr>
          <w:p w14:paraId="7EA9E6A4">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230" w:type="dxa"/>
            <w:noWrap w:val="0"/>
            <w:vAlign w:val="center"/>
          </w:tcPr>
          <w:p w14:paraId="313140C1">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专职执业评估师</w:t>
            </w:r>
            <w:r>
              <w:rPr>
                <w:rFonts w:hint="eastAsia" w:ascii="宋体" w:hAnsi="宋体" w:eastAsia="宋体" w:cs="宋体"/>
                <w:color w:val="auto"/>
                <w:kern w:val="0"/>
                <w:sz w:val="21"/>
                <w:szCs w:val="21"/>
                <w:highlight w:val="none"/>
                <w:lang w:val="en-US" w:eastAsia="zh-CN"/>
              </w:rPr>
              <w:t>情况</w:t>
            </w:r>
          </w:p>
          <w:p w14:paraId="5FADCE51">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（0-</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eastAsia="zh-CN"/>
              </w:rPr>
              <w:t>分）</w:t>
            </w:r>
          </w:p>
        </w:tc>
        <w:tc>
          <w:tcPr>
            <w:tcW w:w="6945" w:type="dxa"/>
            <w:noWrap w:val="0"/>
            <w:vAlign w:val="center"/>
          </w:tcPr>
          <w:p w14:paraId="28B6DCF4">
            <w:pPr>
              <w:pStyle w:val="42"/>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投标人具有注册资产评估师6人得基准分3分,每增加1人加1分，最高得8分（0-8分）。</w:t>
            </w:r>
          </w:p>
          <w:p w14:paraId="4DB56F7C">
            <w:pPr>
              <w:pStyle w:val="42"/>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【注：提供相关人员《资产评估师职业资格证书登记卡》及投标人为其缴纳的近三个月社保证明材料复印件或扫描件并加盖电子签章。】</w:t>
            </w:r>
          </w:p>
        </w:tc>
        <w:tc>
          <w:tcPr>
            <w:tcW w:w="690" w:type="dxa"/>
            <w:noWrap w:val="0"/>
            <w:vAlign w:val="center"/>
          </w:tcPr>
          <w:p w14:paraId="069809AA">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8分</w:t>
            </w:r>
          </w:p>
        </w:tc>
        <w:tc>
          <w:tcPr>
            <w:tcW w:w="711" w:type="dxa"/>
            <w:noWrap w:val="0"/>
            <w:vAlign w:val="center"/>
          </w:tcPr>
          <w:p w14:paraId="6086051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客观分</w:t>
            </w:r>
          </w:p>
        </w:tc>
      </w:tr>
      <w:tr w14:paraId="78B0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4" w:type="dxa"/>
            <w:vMerge w:val="restart"/>
            <w:noWrap w:val="0"/>
            <w:vAlign w:val="center"/>
          </w:tcPr>
          <w:p w14:paraId="5DAE038A">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30" w:type="dxa"/>
            <w:vMerge w:val="restart"/>
            <w:noWrap w:val="0"/>
            <w:vAlign w:val="center"/>
          </w:tcPr>
          <w:p w14:paraId="6460EF98">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拟投入</w:t>
            </w:r>
            <w:r>
              <w:rPr>
                <w:rFonts w:hint="eastAsia" w:ascii="宋体" w:hAnsi="宋体" w:eastAsia="宋体" w:cs="宋体"/>
                <w:color w:val="auto"/>
                <w:kern w:val="0"/>
                <w:sz w:val="21"/>
                <w:szCs w:val="21"/>
                <w:highlight w:val="none"/>
              </w:rPr>
              <w:t>团队</w:t>
            </w:r>
            <w:r>
              <w:rPr>
                <w:rFonts w:hint="eastAsia" w:ascii="宋体" w:hAnsi="宋体" w:eastAsia="宋体" w:cs="宋体"/>
                <w:color w:val="auto"/>
                <w:kern w:val="0"/>
                <w:sz w:val="21"/>
                <w:szCs w:val="21"/>
                <w:highlight w:val="none"/>
                <w:lang w:val="en-US" w:eastAsia="zh-CN"/>
              </w:rPr>
              <w:t>人员</w:t>
            </w:r>
            <w:r>
              <w:rPr>
                <w:rFonts w:hint="eastAsia" w:ascii="宋体" w:hAnsi="宋体" w:eastAsia="宋体" w:cs="宋体"/>
                <w:color w:val="auto"/>
                <w:kern w:val="0"/>
                <w:sz w:val="21"/>
                <w:szCs w:val="21"/>
                <w:highlight w:val="none"/>
              </w:rPr>
              <w:t>情况</w:t>
            </w:r>
          </w:p>
          <w:p w14:paraId="3A1C83C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w:t>
            </w:r>
          </w:p>
        </w:tc>
        <w:tc>
          <w:tcPr>
            <w:tcW w:w="6945" w:type="dxa"/>
            <w:noWrap w:val="0"/>
            <w:vAlign w:val="center"/>
          </w:tcPr>
          <w:p w14:paraId="1698BD61">
            <w:pPr>
              <w:pStyle w:val="42"/>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r>
              <w:rPr>
                <w:rFonts w:hint="default" w:ascii="宋体" w:hAnsi="宋体" w:eastAsia="宋体" w:cs="宋体"/>
                <w:color w:val="auto"/>
                <w:sz w:val="21"/>
                <w:szCs w:val="21"/>
                <w:lang w:val="en-US" w:eastAsia="zh-CN"/>
              </w:rPr>
              <w:t>拟派团队人员数量5</w:t>
            </w:r>
            <w:r>
              <w:rPr>
                <w:rFonts w:hint="eastAsia" w:ascii="宋体" w:hAnsi="宋体" w:eastAsia="宋体" w:cs="宋体"/>
                <w:color w:val="auto"/>
                <w:sz w:val="21"/>
                <w:szCs w:val="21"/>
                <w:lang w:val="en-US" w:eastAsia="zh-CN"/>
              </w:rPr>
              <w:t>（含）</w:t>
            </w:r>
            <w:r>
              <w:rPr>
                <w:rFonts w:hint="default" w:ascii="宋体" w:hAnsi="宋体" w:eastAsia="宋体" w:cs="宋体"/>
                <w:color w:val="auto"/>
                <w:sz w:val="21"/>
                <w:szCs w:val="21"/>
                <w:lang w:val="en-US" w:eastAsia="zh-CN"/>
              </w:rPr>
              <w:t>-8</w:t>
            </w:r>
            <w:r>
              <w:rPr>
                <w:rFonts w:hint="eastAsia" w:ascii="宋体" w:hAnsi="宋体" w:eastAsia="宋体" w:cs="宋体"/>
                <w:color w:val="auto"/>
                <w:sz w:val="21"/>
                <w:szCs w:val="21"/>
                <w:lang w:val="en-US" w:eastAsia="zh-CN"/>
              </w:rPr>
              <w:t>（含）</w:t>
            </w:r>
            <w:r>
              <w:rPr>
                <w:rFonts w:hint="default" w:ascii="宋体" w:hAnsi="宋体" w:eastAsia="宋体" w:cs="宋体"/>
                <w:color w:val="auto"/>
                <w:sz w:val="21"/>
                <w:szCs w:val="21"/>
                <w:lang w:val="en-US" w:eastAsia="zh-CN"/>
              </w:rPr>
              <w:t>人的得1分；9</w:t>
            </w:r>
            <w:r>
              <w:rPr>
                <w:rFonts w:hint="eastAsia" w:ascii="宋体" w:hAnsi="宋体" w:eastAsia="宋体" w:cs="宋体"/>
                <w:color w:val="auto"/>
                <w:sz w:val="21"/>
                <w:szCs w:val="21"/>
                <w:lang w:val="en-US" w:eastAsia="zh-CN"/>
              </w:rPr>
              <w:t>（含）</w:t>
            </w:r>
            <w:r>
              <w:rPr>
                <w:rFonts w:hint="default" w:ascii="宋体" w:hAnsi="宋体" w:eastAsia="宋体" w:cs="宋体"/>
                <w:color w:val="auto"/>
                <w:sz w:val="21"/>
                <w:szCs w:val="21"/>
                <w:lang w:val="en-US" w:eastAsia="zh-CN"/>
              </w:rPr>
              <w:t>-12人</w:t>
            </w:r>
            <w:r>
              <w:rPr>
                <w:rFonts w:hint="eastAsia" w:ascii="宋体" w:hAnsi="宋体" w:eastAsia="宋体" w:cs="宋体"/>
                <w:color w:val="auto"/>
                <w:sz w:val="21"/>
                <w:szCs w:val="21"/>
                <w:lang w:val="en-US" w:eastAsia="zh-CN"/>
              </w:rPr>
              <w:t>（含）</w:t>
            </w:r>
            <w:r>
              <w:rPr>
                <w:rFonts w:hint="default" w:ascii="宋体" w:hAnsi="宋体" w:eastAsia="宋体" w:cs="宋体"/>
                <w:color w:val="auto"/>
                <w:sz w:val="21"/>
                <w:szCs w:val="21"/>
                <w:lang w:val="en-US" w:eastAsia="zh-CN"/>
              </w:rPr>
              <w:t>的得2分；13</w:t>
            </w:r>
            <w:r>
              <w:rPr>
                <w:rFonts w:hint="eastAsia" w:ascii="宋体" w:hAnsi="宋体" w:eastAsia="宋体" w:cs="宋体"/>
                <w:color w:val="auto"/>
                <w:sz w:val="21"/>
                <w:szCs w:val="21"/>
                <w:lang w:val="en-US" w:eastAsia="zh-CN"/>
              </w:rPr>
              <w:t>（含）</w:t>
            </w:r>
            <w:r>
              <w:rPr>
                <w:rFonts w:hint="default" w:ascii="宋体" w:hAnsi="宋体" w:eastAsia="宋体" w:cs="宋体"/>
                <w:color w:val="auto"/>
                <w:sz w:val="21"/>
                <w:szCs w:val="21"/>
                <w:lang w:val="en-US" w:eastAsia="zh-CN"/>
              </w:rPr>
              <w:t>人及以上的得3分。</w:t>
            </w:r>
          </w:p>
          <w:p w14:paraId="1D85966A">
            <w:pPr>
              <w:pStyle w:val="42"/>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【注：须提供投标人为以上相关人员缴纳的近三个月社保证明材料</w:t>
            </w: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rPr>
              <w:t>近3个月内任何1个月社保缴纳证明即可</w:t>
            </w: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lang w:val="en-US" w:eastAsia="zh-CN"/>
              </w:rPr>
              <w:t>复印件或扫描件并加盖电子签章。】</w:t>
            </w:r>
          </w:p>
        </w:tc>
        <w:tc>
          <w:tcPr>
            <w:tcW w:w="690" w:type="dxa"/>
            <w:noWrap w:val="0"/>
            <w:vAlign w:val="center"/>
          </w:tcPr>
          <w:p w14:paraId="5D55C8FF">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3分</w:t>
            </w:r>
          </w:p>
        </w:tc>
        <w:tc>
          <w:tcPr>
            <w:tcW w:w="711" w:type="dxa"/>
            <w:noWrap w:val="0"/>
            <w:vAlign w:val="center"/>
          </w:tcPr>
          <w:p w14:paraId="235F3A48">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客观分</w:t>
            </w:r>
          </w:p>
        </w:tc>
      </w:tr>
      <w:tr w14:paraId="67EF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594" w:type="dxa"/>
            <w:vMerge w:val="continue"/>
            <w:noWrap w:val="0"/>
            <w:vAlign w:val="center"/>
          </w:tcPr>
          <w:p w14:paraId="3F5FB9FA">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p>
        </w:tc>
        <w:tc>
          <w:tcPr>
            <w:tcW w:w="1230" w:type="dxa"/>
            <w:vMerge w:val="continue"/>
            <w:noWrap w:val="0"/>
            <w:vAlign w:val="center"/>
          </w:tcPr>
          <w:p w14:paraId="11E4F444">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p>
        </w:tc>
        <w:tc>
          <w:tcPr>
            <w:tcW w:w="6945" w:type="dxa"/>
            <w:noWrap w:val="0"/>
            <w:vAlign w:val="center"/>
          </w:tcPr>
          <w:p w14:paraId="3D3B2DB7">
            <w:pPr>
              <w:pStyle w:val="42"/>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3.2拟派项目团队人员（除项目负责人外），具有中级或以上职称的每人得1分，最高得3分（0-3分）。</w:t>
            </w:r>
          </w:p>
          <w:p w14:paraId="1D02365C">
            <w:pPr>
              <w:pStyle w:val="42"/>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【注：提供相关人员职称证书及投标人为其缴纳的近三个月社保证明材料</w:t>
            </w: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rPr>
              <w:t>近3个月内任何1个月社保缴纳证明即可</w:t>
            </w: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lang w:val="en-US" w:eastAsia="zh-CN"/>
              </w:rPr>
              <w:t>复印件或扫描件并加盖电子签章。】</w:t>
            </w:r>
          </w:p>
        </w:tc>
        <w:tc>
          <w:tcPr>
            <w:tcW w:w="690" w:type="dxa"/>
            <w:noWrap w:val="0"/>
            <w:vAlign w:val="center"/>
          </w:tcPr>
          <w:p w14:paraId="20DE8C46">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3分</w:t>
            </w:r>
          </w:p>
        </w:tc>
        <w:tc>
          <w:tcPr>
            <w:tcW w:w="711" w:type="dxa"/>
            <w:noWrap w:val="0"/>
            <w:vAlign w:val="center"/>
          </w:tcPr>
          <w:p w14:paraId="7CAC85DF">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客观分</w:t>
            </w:r>
          </w:p>
        </w:tc>
      </w:tr>
      <w:tr w14:paraId="065E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594" w:type="dxa"/>
            <w:vMerge w:val="continue"/>
            <w:noWrap w:val="0"/>
            <w:vAlign w:val="center"/>
          </w:tcPr>
          <w:p w14:paraId="2C7EA03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p>
        </w:tc>
        <w:tc>
          <w:tcPr>
            <w:tcW w:w="1230" w:type="dxa"/>
            <w:vMerge w:val="continue"/>
            <w:noWrap w:val="0"/>
            <w:vAlign w:val="center"/>
          </w:tcPr>
          <w:p w14:paraId="7264483F">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p>
        </w:tc>
        <w:tc>
          <w:tcPr>
            <w:tcW w:w="6945" w:type="dxa"/>
            <w:noWrap w:val="0"/>
            <w:vAlign w:val="center"/>
          </w:tcPr>
          <w:p w14:paraId="18B4125B">
            <w:pPr>
              <w:pStyle w:val="42"/>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3.3拟派项目负责人具有中级职称的得1分，高级职称的得2分，本项最高得2分（0-2分）。</w:t>
            </w:r>
          </w:p>
          <w:p w14:paraId="26A81AC5">
            <w:pPr>
              <w:pStyle w:val="42"/>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【注：提供相关人员职称证书及投标人为其缴纳的近三个月社保证明材料</w:t>
            </w: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rPr>
              <w:t>近3个月内任何1个月社保缴纳证明即可</w:t>
            </w: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lang w:val="en-US" w:eastAsia="zh-CN"/>
              </w:rPr>
              <w:t>复印件或扫描件并加盖电子签章。】</w:t>
            </w:r>
          </w:p>
        </w:tc>
        <w:tc>
          <w:tcPr>
            <w:tcW w:w="690" w:type="dxa"/>
            <w:noWrap w:val="0"/>
            <w:vAlign w:val="center"/>
          </w:tcPr>
          <w:p w14:paraId="391B7DD8">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2分</w:t>
            </w:r>
          </w:p>
        </w:tc>
        <w:tc>
          <w:tcPr>
            <w:tcW w:w="711" w:type="dxa"/>
            <w:noWrap w:val="0"/>
            <w:vAlign w:val="center"/>
          </w:tcPr>
          <w:p w14:paraId="0A12758D">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客观分</w:t>
            </w:r>
          </w:p>
        </w:tc>
      </w:tr>
      <w:tr w14:paraId="5744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noWrap w:val="0"/>
            <w:vAlign w:val="center"/>
          </w:tcPr>
          <w:p w14:paraId="4698B7A9">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230" w:type="dxa"/>
            <w:noWrap w:val="0"/>
            <w:vAlign w:val="center"/>
          </w:tcPr>
          <w:p w14:paraId="0AF6EAC5">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类似业绩</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0-3</w:t>
            </w:r>
            <w:r>
              <w:rPr>
                <w:rFonts w:hint="eastAsia" w:ascii="宋体" w:hAnsi="宋体" w:eastAsia="宋体" w:cs="宋体"/>
                <w:color w:val="auto"/>
                <w:kern w:val="0"/>
                <w:sz w:val="21"/>
                <w:szCs w:val="21"/>
                <w:highlight w:val="none"/>
              </w:rPr>
              <w:t>分）</w:t>
            </w:r>
          </w:p>
        </w:tc>
        <w:tc>
          <w:tcPr>
            <w:tcW w:w="6945" w:type="dxa"/>
            <w:noWrap w:val="0"/>
            <w:vAlign w:val="center"/>
          </w:tcPr>
          <w:p w14:paraId="7D95CFD1">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投标人自2021年1月1日（以合同签订日期为准）以来承担过类似项目业绩，每个业绩得1分，最多得3分</w:t>
            </w:r>
            <w:r>
              <w:rPr>
                <w:rFonts w:hint="eastAsia" w:ascii="宋体" w:hAnsi="宋体" w:eastAsia="宋体" w:cs="宋体"/>
                <w:color w:val="auto"/>
                <w:sz w:val="21"/>
                <w:szCs w:val="21"/>
                <w:lang w:val="en-US" w:eastAsia="zh-CN"/>
              </w:rPr>
              <w:t>（0-3分）</w:t>
            </w:r>
            <w:r>
              <w:rPr>
                <w:rFonts w:hint="eastAsia" w:ascii="宋体" w:hAnsi="宋体" w:eastAsia="宋体" w:cs="宋体"/>
                <w:color w:val="auto"/>
                <w:kern w:val="0"/>
                <w:sz w:val="21"/>
                <w:szCs w:val="21"/>
                <w:highlight w:val="none"/>
                <w:lang w:val="en-US" w:eastAsia="zh-CN"/>
              </w:rPr>
              <w:t>。</w:t>
            </w:r>
          </w:p>
          <w:p w14:paraId="1536AB44">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【注：提供合同复印件或扫描件</w:t>
            </w:r>
            <w:r>
              <w:rPr>
                <w:rFonts w:hint="eastAsia" w:ascii="宋体" w:hAnsi="宋体" w:eastAsia="宋体" w:cs="宋体"/>
                <w:color w:val="auto"/>
                <w:sz w:val="21"/>
                <w:szCs w:val="21"/>
                <w:lang w:val="en-US" w:eastAsia="zh-CN"/>
              </w:rPr>
              <w:t>并加盖电子签章。</w:t>
            </w:r>
            <w:r>
              <w:rPr>
                <w:rFonts w:hint="eastAsia" w:ascii="宋体" w:hAnsi="宋体" w:eastAsia="宋体" w:cs="宋体"/>
                <w:color w:val="auto"/>
                <w:kern w:val="0"/>
                <w:sz w:val="21"/>
                <w:szCs w:val="21"/>
                <w:highlight w:val="none"/>
                <w:lang w:val="en-US" w:eastAsia="zh-CN"/>
              </w:rPr>
              <w:t>】</w:t>
            </w:r>
          </w:p>
        </w:tc>
        <w:tc>
          <w:tcPr>
            <w:tcW w:w="690" w:type="dxa"/>
            <w:noWrap w:val="0"/>
            <w:vAlign w:val="center"/>
          </w:tcPr>
          <w:p w14:paraId="4B042AFB">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3分</w:t>
            </w:r>
          </w:p>
        </w:tc>
        <w:tc>
          <w:tcPr>
            <w:tcW w:w="711" w:type="dxa"/>
            <w:noWrap w:val="0"/>
            <w:vAlign w:val="center"/>
          </w:tcPr>
          <w:p w14:paraId="43654F2D">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主观分</w:t>
            </w:r>
          </w:p>
        </w:tc>
      </w:tr>
      <w:tr w14:paraId="05EC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594" w:type="dxa"/>
            <w:noWrap w:val="0"/>
            <w:vAlign w:val="center"/>
          </w:tcPr>
          <w:p w14:paraId="6A8092F7">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230" w:type="dxa"/>
            <w:noWrap w:val="0"/>
            <w:vAlign w:val="center"/>
          </w:tcPr>
          <w:p w14:paraId="3E34776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对项目总体要求的理解和熟悉程度（0-10分）</w:t>
            </w:r>
          </w:p>
        </w:tc>
        <w:tc>
          <w:tcPr>
            <w:tcW w:w="6945" w:type="dxa"/>
            <w:noWrap w:val="0"/>
            <w:vAlign w:val="center"/>
          </w:tcPr>
          <w:p w14:paraId="0AF9EFEF">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本次招标项目开展的政策背景、富阳区实际现状、资产评估市场的熟悉程度（注：不仅限于对本区资产评估市场、物价水平行情方面的熟悉程度描述情况，资产评估经验和实务水平方面等内容）进行阐述及分析，评标委员会根据投标人的阐述及分析与本项目的贴近度综合打分：</w:t>
            </w:r>
          </w:p>
          <w:p w14:paraId="2308323E">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①各项内容理解充分，背调充分，分析透彻合理得8-10分；</w:t>
            </w:r>
          </w:p>
          <w:p w14:paraId="3DD6C94E">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②现状理解较充分，未经过完整背调，业务需求分析较合理得4-</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0006032F">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③理解差，未经调查，分析一般或提供内容不匹配的得0-3分。（0-10分）</w:t>
            </w:r>
          </w:p>
        </w:tc>
        <w:tc>
          <w:tcPr>
            <w:tcW w:w="690" w:type="dxa"/>
            <w:noWrap w:val="0"/>
            <w:vAlign w:val="center"/>
          </w:tcPr>
          <w:p w14:paraId="2ADC3C98">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c>
          <w:tcPr>
            <w:tcW w:w="711" w:type="dxa"/>
            <w:noWrap w:val="0"/>
            <w:vAlign w:val="center"/>
          </w:tcPr>
          <w:p w14:paraId="20DA2535">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tc>
      </w:tr>
      <w:tr w14:paraId="76B8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94" w:type="dxa"/>
            <w:vMerge w:val="restart"/>
            <w:noWrap w:val="0"/>
            <w:vAlign w:val="center"/>
          </w:tcPr>
          <w:p w14:paraId="55CFD45A">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1230" w:type="dxa"/>
            <w:vMerge w:val="restart"/>
            <w:noWrap w:val="0"/>
            <w:vAlign w:val="center"/>
          </w:tcPr>
          <w:p w14:paraId="0164C0A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项目服务方案</w:t>
            </w:r>
          </w:p>
          <w:p w14:paraId="65FCFF06">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（0-19分）</w:t>
            </w:r>
          </w:p>
        </w:tc>
        <w:tc>
          <w:tcPr>
            <w:tcW w:w="6945" w:type="dxa"/>
            <w:noWrap w:val="0"/>
            <w:vAlign w:val="center"/>
          </w:tcPr>
          <w:p w14:paraId="1275C019">
            <w:pPr>
              <w:pStyle w:val="42"/>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6.1</w:t>
            </w:r>
            <w:r>
              <w:rPr>
                <w:rFonts w:hint="eastAsia" w:ascii="宋体" w:hAnsi="宋体" w:eastAsia="宋体" w:cs="宋体"/>
                <w:color w:val="auto"/>
                <w:sz w:val="21"/>
                <w:szCs w:val="21"/>
                <w:highlight w:val="none"/>
              </w:rPr>
              <w:t>根据投标人编制的项目全过程实施措施，对提供的项目实施方式、工作程序、计划安排、相关建议、专项报告的撰写提纲等内容进行打分。</w:t>
            </w:r>
          </w:p>
          <w:p w14:paraId="5C44DD46">
            <w:pPr>
              <w:pStyle w:val="42"/>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各项实施措施内容</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计划安排充分，建议</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专项报告内容完整充分的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6-8</w:t>
            </w:r>
            <w:r>
              <w:rPr>
                <w:rFonts w:hint="eastAsia" w:ascii="宋体" w:hAnsi="宋体" w:eastAsia="宋体" w:cs="宋体"/>
                <w:color w:val="auto"/>
                <w:sz w:val="21"/>
                <w:szCs w:val="21"/>
                <w:highlight w:val="none"/>
              </w:rPr>
              <w:t>分；</w:t>
            </w:r>
          </w:p>
          <w:p w14:paraId="4597A978">
            <w:pPr>
              <w:pStyle w:val="42"/>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实施措施内容</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较充分，</w:t>
            </w:r>
            <w:r>
              <w:rPr>
                <w:rFonts w:hint="eastAsia" w:ascii="宋体" w:hAnsi="宋体" w:eastAsia="宋体" w:cs="宋体"/>
                <w:color w:val="auto"/>
                <w:sz w:val="21"/>
                <w:szCs w:val="21"/>
                <w:highlight w:val="none"/>
                <w:lang w:val="en-US" w:eastAsia="zh-CN"/>
              </w:rPr>
              <w:t>计划安排较详细，建议内容</w:t>
            </w:r>
            <w:r>
              <w:rPr>
                <w:rFonts w:hint="eastAsia" w:ascii="宋体" w:hAnsi="宋体" w:eastAsia="宋体" w:cs="宋体"/>
                <w:color w:val="auto"/>
                <w:sz w:val="21"/>
                <w:szCs w:val="21"/>
                <w:highlight w:val="none"/>
              </w:rPr>
              <w:t>较合理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专项报告内容有描述的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p>
          <w:p w14:paraId="415D4239">
            <w:pPr>
              <w:pStyle w:val="42"/>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理解差，</w:t>
            </w:r>
            <w:r>
              <w:rPr>
                <w:rFonts w:hint="eastAsia" w:ascii="宋体" w:hAnsi="宋体" w:eastAsia="宋体" w:cs="宋体"/>
                <w:color w:val="auto"/>
                <w:sz w:val="21"/>
                <w:szCs w:val="21"/>
                <w:highlight w:val="none"/>
                <w:lang w:val="en-US" w:eastAsia="zh-CN"/>
              </w:rPr>
              <w:t>未有详细计划，建议内容未体现</w:t>
            </w:r>
            <w:r>
              <w:rPr>
                <w:rFonts w:hint="eastAsia" w:ascii="宋体" w:hAnsi="宋体" w:eastAsia="宋体" w:cs="宋体"/>
                <w:color w:val="auto"/>
                <w:sz w:val="21"/>
                <w:szCs w:val="21"/>
                <w:highlight w:val="none"/>
              </w:rPr>
              <w:t>或提供内容不匹配的得</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en-US"/>
              </w:rPr>
              <w:t>（0-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90" w:type="dxa"/>
            <w:noWrap w:val="0"/>
            <w:vAlign w:val="center"/>
          </w:tcPr>
          <w:p w14:paraId="4B633035">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8分</w:t>
            </w:r>
          </w:p>
        </w:tc>
        <w:tc>
          <w:tcPr>
            <w:tcW w:w="711" w:type="dxa"/>
            <w:noWrap w:val="0"/>
            <w:vAlign w:val="center"/>
          </w:tcPr>
          <w:p w14:paraId="1C7685DC">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tc>
      </w:tr>
      <w:tr w14:paraId="486B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94" w:type="dxa"/>
            <w:vMerge w:val="continue"/>
            <w:noWrap w:val="0"/>
            <w:vAlign w:val="center"/>
          </w:tcPr>
          <w:p w14:paraId="6A9A2C25">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p>
        </w:tc>
        <w:tc>
          <w:tcPr>
            <w:tcW w:w="1230" w:type="dxa"/>
            <w:vMerge w:val="continue"/>
            <w:noWrap w:val="0"/>
            <w:vAlign w:val="center"/>
          </w:tcPr>
          <w:p w14:paraId="4A22E260">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p>
        </w:tc>
        <w:tc>
          <w:tcPr>
            <w:tcW w:w="6945" w:type="dxa"/>
            <w:noWrap w:val="0"/>
            <w:vAlign w:val="center"/>
          </w:tcPr>
          <w:p w14:paraId="11B289AB">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6.2</w:t>
            </w:r>
            <w:r>
              <w:rPr>
                <w:rFonts w:hint="eastAsia" w:ascii="宋体" w:hAnsi="宋体" w:eastAsia="宋体" w:cs="宋体"/>
                <w:color w:val="auto"/>
                <w:sz w:val="21"/>
                <w:szCs w:val="21"/>
                <w:highlight w:val="none"/>
              </w:rPr>
              <w:t>根据投标人提供的项目实施过程中突发事件处理机制与预案等内容进行打分，不提供不得分。各项突发事件处理机制与预案内容</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安排充分，建议</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6-8</w:t>
            </w:r>
            <w:r>
              <w:rPr>
                <w:rFonts w:hint="eastAsia" w:ascii="宋体" w:hAnsi="宋体" w:eastAsia="宋体" w:cs="宋体"/>
                <w:color w:val="auto"/>
                <w:sz w:val="21"/>
                <w:szCs w:val="21"/>
                <w:highlight w:val="none"/>
              </w:rPr>
              <w:t>分；突发事件处理机制与预案内容</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较充分，</w:t>
            </w:r>
            <w:r>
              <w:rPr>
                <w:rFonts w:hint="eastAsia" w:ascii="宋体" w:hAnsi="宋体" w:eastAsia="宋体" w:cs="宋体"/>
                <w:color w:val="auto"/>
                <w:sz w:val="21"/>
                <w:szCs w:val="21"/>
                <w:highlight w:val="none"/>
                <w:lang w:val="en-US" w:eastAsia="zh-CN"/>
              </w:rPr>
              <w:t>安排较详细，建议内容</w:t>
            </w:r>
            <w:r>
              <w:rPr>
                <w:rFonts w:hint="eastAsia" w:ascii="宋体" w:hAnsi="宋体" w:eastAsia="宋体" w:cs="宋体"/>
                <w:color w:val="auto"/>
                <w:sz w:val="21"/>
                <w:szCs w:val="21"/>
                <w:highlight w:val="none"/>
              </w:rPr>
              <w:t>较合理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分；突发事件处理机制与预案</w:t>
            </w:r>
            <w:r>
              <w:rPr>
                <w:rFonts w:hint="eastAsia" w:ascii="宋体" w:hAnsi="宋体" w:eastAsia="宋体" w:cs="宋体"/>
                <w:color w:val="auto"/>
                <w:sz w:val="21"/>
                <w:szCs w:val="21"/>
                <w:highlight w:val="none"/>
                <w:lang w:val="en-US" w:eastAsia="zh-CN"/>
              </w:rPr>
              <w:t>内容缺失</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未有详细建议内容</w:t>
            </w:r>
            <w:r>
              <w:rPr>
                <w:rFonts w:hint="eastAsia" w:ascii="宋体" w:hAnsi="宋体" w:eastAsia="宋体" w:cs="宋体"/>
                <w:color w:val="auto"/>
                <w:sz w:val="21"/>
                <w:szCs w:val="21"/>
                <w:highlight w:val="none"/>
              </w:rPr>
              <w:t>或提供内容不匹配的得</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分。（0-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90" w:type="dxa"/>
            <w:noWrap w:val="0"/>
            <w:vAlign w:val="center"/>
          </w:tcPr>
          <w:p w14:paraId="42A3A52A">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8分</w:t>
            </w:r>
          </w:p>
        </w:tc>
        <w:tc>
          <w:tcPr>
            <w:tcW w:w="711" w:type="dxa"/>
            <w:noWrap w:val="0"/>
            <w:vAlign w:val="center"/>
          </w:tcPr>
          <w:p w14:paraId="5D9CFCD9">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tc>
      </w:tr>
      <w:tr w14:paraId="7C12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94" w:type="dxa"/>
            <w:vMerge w:val="continue"/>
            <w:noWrap w:val="0"/>
            <w:vAlign w:val="center"/>
          </w:tcPr>
          <w:p w14:paraId="74FBB128">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p>
        </w:tc>
        <w:tc>
          <w:tcPr>
            <w:tcW w:w="1230" w:type="dxa"/>
            <w:vMerge w:val="continue"/>
            <w:noWrap w:val="0"/>
            <w:vAlign w:val="center"/>
          </w:tcPr>
          <w:p w14:paraId="18A1943C">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p>
        </w:tc>
        <w:tc>
          <w:tcPr>
            <w:tcW w:w="6945" w:type="dxa"/>
            <w:noWrap w:val="0"/>
            <w:vAlign w:val="center"/>
          </w:tcPr>
          <w:p w14:paraId="4A222BE8">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6.3</w:t>
            </w:r>
            <w:r>
              <w:rPr>
                <w:rFonts w:hint="eastAsia" w:ascii="宋体" w:hAnsi="宋体" w:eastAsia="宋体" w:cs="宋体"/>
                <w:color w:val="auto"/>
                <w:sz w:val="21"/>
                <w:szCs w:val="21"/>
                <w:highlight w:val="none"/>
              </w:rPr>
              <w:t>根据投标人提供的其它优惠条件及特殊承诺，满足切实可行、资源优化、科学合理的每项得1分，不提供不得分，最高不超过</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en-US"/>
              </w:rPr>
              <w:t>（0-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690" w:type="dxa"/>
            <w:noWrap w:val="0"/>
            <w:vAlign w:val="center"/>
          </w:tcPr>
          <w:p w14:paraId="667C84E3">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3分</w:t>
            </w:r>
          </w:p>
        </w:tc>
        <w:tc>
          <w:tcPr>
            <w:tcW w:w="711" w:type="dxa"/>
            <w:noWrap w:val="0"/>
            <w:vAlign w:val="center"/>
          </w:tcPr>
          <w:p w14:paraId="1CE3658B">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客观分</w:t>
            </w:r>
          </w:p>
        </w:tc>
      </w:tr>
      <w:tr w14:paraId="4345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94" w:type="dxa"/>
            <w:noWrap w:val="0"/>
            <w:vAlign w:val="center"/>
          </w:tcPr>
          <w:p w14:paraId="74BFD85C">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p>
        </w:tc>
        <w:tc>
          <w:tcPr>
            <w:tcW w:w="1230" w:type="dxa"/>
            <w:noWrap w:val="0"/>
            <w:vAlign w:val="center"/>
          </w:tcPr>
          <w:p w14:paraId="0326DD6A">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内部管理</w:t>
            </w:r>
          </w:p>
          <w:p w14:paraId="2645470F">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（0-5分）</w:t>
            </w:r>
          </w:p>
        </w:tc>
        <w:tc>
          <w:tcPr>
            <w:tcW w:w="6945" w:type="dxa"/>
            <w:noWrap w:val="0"/>
            <w:vAlign w:val="center"/>
          </w:tcPr>
          <w:p w14:paraId="405F7E9D">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根据投标人提供的内部管理制度、考核监督制度、奖惩制度等情况打分：①制度内容完整，科学合理、可行、规范且具可操作性的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lang w:val="en-US" w:eastAsia="zh-CN"/>
              </w:rPr>
              <w:t>；</w:t>
            </w:r>
          </w:p>
          <w:p w14:paraId="2066EFB0">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②制度内容较完整，较科学合理、可行、规范且较具可操作性的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C50FC39">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color w:val="auto"/>
                <w:lang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kern w:val="0"/>
                <w:sz w:val="21"/>
                <w:szCs w:val="21"/>
                <w:highlight w:val="none"/>
                <w:lang w:val="en-US" w:eastAsia="zh-CN"/>
              </w:rPr>
              <w:t>制度内容完整性一般，科学性、可行性、规范性、可操作性一般的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（0-5分）</w:t>
            </w:r>
          </w:p>
        </w:tc>
        <w:tc>
          <w:tcPr>
            <w:tcW w:w="690" w:type="dxa"/>
            <w:noWrap w:val="0"/>
            <w:vAlign w:val="center"/>
          </w:tcPr>
          <w:p w14:paraId="7EEAEDA6">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c>
          <w:tcPr>
            <w:tcW w:w="711" w:type="dxa"/>
            <w:noWrap w:val="0"/>
            <w:vAlign w:val="center"/>
          </w:tcPr>
          <w:p w14:paraId="7C41F581">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主观分</w:t>
            </w:r>
          </w:p>
        </w:tc>
      </w:tr>
      <w:tr w14:paraId="5FD3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94" w:type="dxa"/>
            <w:noWrap w:val="0"/>
            <w:vAlign w:val="center"/>
          </w:tcPr>
          <w:p w14:paraId="580A5C8D">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8</w:t>
            </w:r>
          </w:p>
        </w:tc>
        <w:tc>
          <w:tcPr>
            <w:tcW w:w="1230" w:type="dxa"/>
            <w:noWrap w:val="0"/>
            <w:vAlign w:val="center"/>
          </w:tcPr>
          <w:p w14:paraId="434CE0ED">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方便快捷服务能力（0-5分）</w:t>
            </w:r>
          </w:p>
        </w:tc>
        <w:tc>
          <w:tcPr>
            <w:tcW w:w="6945" w:type="dxa"/>
            <w:noWrap w:val="0"/>
            <w:vAlign w:val="center"/>
          </w:tcPr>
          <w:p w14:paraId="1FFF2DB2">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投标人针对本次招标服务内容结合本企业自身的优势提供方便快捷服务的内容及措施等</w:t>
            </w:r>
            <w:r>
              <w:rPr>
                <w:rFonts w:hint="eastAsia" w:ascii="宋体" w:hAnsi="宋体" w:eastAsia="宋体" w:cs="宋体"/>
                <w:color w:val="auto"/>
                <w:spacing w:val="0"/>
                <w:w w:val="100"/>
                <w:position w:val="0"/>
                <w:sz w:val="21"/>
                <w:szCs w:val="21"/>
                <w:highlight w:val="none"/>
                <w:lang w:val="en-US" w:eastAsia="zh-CN"/>
              </w:rPr>
              <w:t>情况</w:t>
            </w:r>
            <w:r>
              <w:rPr>
                <w:rFonts w:hint="eastAsia" w:ascii="宋体" w:hAnsi="宋体" w:eastAsia="宋体" w:cs="宋体"/>
                <w:color w:val="auto"/>
                <w:spacing w:val="0"/>
                <w:w w:val="100"/>
                <w:position w:val="0"/>
                <w:sz w:val="21"/>
                <w:szCs w:val="21"/>
                <w:highlight w:val="none"/>
              </w:rPr>
              <w:t>打分</w:t>
            </w:r>
            <w:r>
              <w:rPr>
                <w:rFonts w:hint="eastAsia" w:ascii="宋体" w:hAnsi="宋体" w:eastAsia="宋体" w:cs="宋体"/>
                <w:color w:val="auto"/>
                <w:spacing w:val="0"/>
                <w:w w:val="100"/>
                <w:position w:val="0"/>
                <w:sz w:val="21"/>
                <w:szCs w:val="21"/>
                <w:highlight w:val="none"/>
                <w:lang w:eastAsia="zh-CN"/>
              </w:rPr>
              <w:t>：</w:t>
            </w:r>
          </w:p>
          <w:p w14:paraId="63C639BA">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zh-CN"/>
              </w:rPr>
              <w:t>①</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val="en-US" w:eastAsia="zh-CN"/>
              </w:rPr>
              <w:t>措施完整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安排充分，</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p>
          <w:p w14:paraId="2FDBEB44">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val="en-US" w:eastAsia="zh-CN"/>
              </w:rPr>
              <w:t>措施</w:t>
            </w:r>
            <w:r>
              <w:rPr>
                <w:rFonts w:hint="eastAsia" w:ascii="宋体" w:hAnsi="宋体" w:eastAsia="宋体" w:cs="宋体"/>
                <w:color w:val="auto"/>
                <w:sz w:val="21"/>
                <w:szCs w:val="21"/>
                <w:highlight w:val="none"/>
              </w:rPr>
              <w:t>较充分，</w:t>
            </w:r>
            <w:r>
              <w:rPr>
                <w:rFonts w:hint="eastAsia" w:ascii="宋体" w:hAnsi="宋体" w:eastAsia="宋体" w:cs="宋体"/>
                <w:color w:val="auto"/>
                <w:sz w:val="21"/>
                <w:szCs w:val="21"/>
                <w:highlight w:val="none"/>
                <w:lang w:val="en-US" w:eastAsia="zh-CN"/>
              </w:rPr>
              <w:t>安排较详细，</w:t>
            </w:r>
            <w:r>
              <w:rPr>
                <w:rFonts w:hint="eastAsia" w:ascii="宋体" w:hAnsi="宋体" w:eastAsia="宋体" w:cs="宋体"/>
                <w:color w:val="auto"/>
                <w:sz w:val="21"/>
                <w:szCs w:val="21"/>
                <w:highlight w:val="none"/>
              </w:rPr>
              <w:t>较合理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分；</w:t>
            </w:r>
          </w:p>
          <w:p w14:paraId="7A66BBEF">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③内容缺失</w:t>
            </w:r>
            <w:r>
              <w:rPr>
                <w:rFonts w:hint="eastAsia" w:ascii="宋体" w:hAnsi="宋体" w:eastAsia="宋体" w:cs="宋体"/>
                <w:color w:val="auto"/>
                <w:sz w:val="21"/>
                <w:szCs w:val="21"/>
                <w:highlight w:val="none"/>
              </w:rPr>
              <w:t>或提供内容不匹配的得</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未提供的不得分</w:t>
            </w:r>
            <w:r>
              <w:rPr>
                <w:rFonts w:hint="eastAsia" w:ascii="宋体" w:hAnsi="宋体" w:eastAsia="宋体" w:cs="宋体"/>
                <w:color w:val="auto"/>
                <w:sz w:val="21"/>
                <w:szCs w:val="21"/>
                <w:highlight w:val="none"/>
              </w:rPr>
              <w:t>。</w:t>
            </w:r>
            <w:r>
              <w:rPr>
                <w:rFonts w:hint="eastAsia" w:ascii="宋体" w:hAnsi="宋体" w:eastAsia="宋体" w:cs="宋体"/>
                <w:color w:val="auto"/>
                <w:spacing w:val="0"/>
                <w:w w:val="100"/>
                <w:position w:val="0"/>
                <w:sz w:val="21"/>
                <w:szCs w:val="21"/>
                <w:highlight w:val="none"/>
              </w:rPr>
              <w:t>（0-</w:t>
            </w:r>
            <w:r>
              <w:rPr>
                <w:rFonts w:hint="eastAsia" w:ascii="宋体" w:hAnsi="宋体" w:eastAsia="宋体" w:cs="宋体"/>
                <w:color w:val="auto"/>
                <w:spacing w:val="0"/>
                <w:w w:val="100"/>
                <w:position w:val="0"/>
                <w:sz w:val="21"/>
                <w:szCs w:val="21"/>
                <w:highlight w:val="none"/>
                <w:lang w:val="en-US" w:eastAsia="zh-CN"/>
              </w:rPr>
              <w:t>5</w:t>
            </w:r>
            <w:r>
              <w:rPr>
                <w:rFonts w:hint="eastAsia" w:ascii="宋体" w:hAnsi="宋体" w:eastAsia="宋体" w:cs="宋体"/>
                <w:color w:val="auto"/>
                <w:spacing w:val="0"/>
                <w:w w:val="100"/>
                <w:position w:val="0"/>
                <w:sz w:val="21"/>
                <w:szCs w:val="21"/>
                <w:highlight w:val="none"/>
              </w:rPr>
              <w:t>分）</w:t>
            </w:r>
          </w:p>
        </w:tc>
        <w:tc>
          <w:tcPr>
            <w:tcW w:w="690" w:type="dxa"/>
            <w:noWrap w:val="0"/>
            <w:vAlign w:val="center"/>
          </w:tcPr>
          <w:p w14:paraId="2B1919F8">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p w14:paraId="156A2241">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p>
        </w:tc>
        <w:tc>
          <w:tcPr>
            <w:tcW w:w="711" w:type="dxa"/>
            <w:noWrap w:val="0"/>
            <w:vAlign w:val="center"/>
          </w:tcPr>
          <w:p w14:paraId="228186A5">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主观分</w:t>
            </w:r>
          </w:p>
        </w:tc>
      </w:tr>
      <w:tr w14:paraId="1267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94" w:type="dxa"/>
            <w:noWrap w:val="0"/>
            <w:vAlign w:val="center"/>
          </w:tcPr>
          <w:p w14:paraId="7A45679A">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230" w:type="dxa"/>
            <w:noWrap w:val="0"/>
            <w:vAlign w:val="center"/>
          </w:tcPr>
          <w:p w14:paraId="73955C6C">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售后服务</w:t>
            </w:r>
          </w:p>
          <w:p w14:paraId="2C063D2F">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（0-6分）</w:t>
            </w:r>
          </w:p>
        </w:tc>
        <w:tc>
          <w:tcPr>
            <w:tcW w:w="6945" w:type="dxa"/>
            <w:noWrap w:val="0"/>
            <w:vAlign w:val="center"/>
          </w:tcPr>
          <w:p w14:paraId="35527ADC">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根据投标人售后服务人员安排、技术力量设置是否具有实际意义，是否可以满足响应需求等情况：</w:t>
            </w:r>
          </w:p>
          <w:p w14:paraId="1DC04230">
            <w:pPr>
              <w:pStyle w:val="10"/>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kern w:val="3"/>
                <w:sz w:val="21"/>
                <w:szCs w:val="21"/>
                <w:lang w:val="en-US" w:eastAsia="zh-CN" w:bidi="ar-SA"/>
              </w:rPr>
            </w:pPr>
            <w:r>
              <w:rPr>
                <w:rFonts w:hint="eastAsia" w:ascii="宋体" w:hAnsi="宋体" w:eastAsia="宋体" w:cs="宋体"/>
                <w:color w:val="auto"/>
                <w:kern w:val="3"/>
                <w:sz w:val="21"/>
                <w:szCs w:val="21"/>
                <w:lang w:val="en-US" w:eastAsia="zh-CN" w:bidi="ar-SA"/>
              </w:rPr>
              <w:t>①售后服务人员安排、技术力量设置合理</w:t>
            </w:r>
            <w:r>
              <w:rPr>
                <w:rFonts w:hint="eastAsia" w:ascii="宋体" w:hAnsi="宋体" w:eastAsia="宋体" w:cs="宋体"/>
                <w:color w:val="auto"/>
                <w:sz w:val="21"/>
                <w:szCs w:val="21"/>
                <w:lang w:val="en-US" w:eastAsia="zh-CN"/>
              </w:rPr>
              <w:t>的</w:t>
            </w:r>
            <w:r>
              <w:rPr>
                <w:rFonts w:hint="eastAsia" w:ascii="宋体" w:hAnsi="宋体" w:eastAsia="宋体" w:cs="宋体"/>
                <w:color w:val="auto"/>
                <w:kern w:val="3"/>
                <w:sz w:val="21"/>
                <w:szCs w:val="21"/>
                <w:lang w:val="en-US" w:eastAsia="zh-CN" w:bidi="ar-SA"/>
              </w:rPr>
              <w:t>得5-6分；</w:t>
            </w:r>
          </w:p>
          <w:p w14:paraId="5DF9680B">
            <w:pPr>
              <w:pStyle w:val="10"/>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cs="宋体"/>
                <w:color w:val="auto"/>
                <w:kern w:val="3"/>
                <w:sz w:val="21"/>
                <w:szCs w:val="21"/>
                <w:lang w:val="en-US" w:eastAsia="zh-CN" w:bidi="ar-SA"/>
              </w:rPr>
            </w:pPr>
            <w:r>
              <w:rPr>
                <w:rFonts w:hint="eastAsia" w:ascii="宋体" w:hAnsi="宋体" w:eastAsia="宋体" w:cs="宋体"/>
                <w:color w:val="auto"/>
                <w:kern w:val="3"/>
                <w:sz w:val="21"/>
                <w:szCs w:val="21"/>
                <w:lang w:val="en-US" w:eastAsia="zh-CN" w:bidi="ar-SA"/>
              </w:rPr>
              <w:t>②售后服务人员安排、技术力量设置较合理</w:t>
            </w:r>
            <w:r>
              <w:rPr>
                <w:rFonts w:hint="eastAsia" w:ascii="宋体" w:hAnsi="宋体" w:eastAsia="宋体" w:cs="宋体"/>
                <w:color w:val="auto"/>
                <w:sz w:val="21"/>
                <w:szCs w:val="21"/>
                <w:lang w:val="en-US" w:eastAsia="zh-CN"/>
              </w:rPr>
              <w:t>的</w:t>
            </w:r>
            <w:r>
              <w:rPr>
                <w:rFonts w:hint="eastAsia" w:ascii="宋体" w:hAnsi="宋体" w:eastAsia="宋体" w:cs="宋体"/>
                <w:color w:val="auto"/>
                <w:kern w:val="3"/>
                <w:sz w:val="21"/>
                <w:szCs w:val="21"/>
                <w:lang w:val="en-US" w:eastAsia="zh-CN" w:bidi="ar-SA"/>
              </w:rPr>
              <w:t>得3-4分；</w:t>
            </w:r>
          </w:p>
          <w:p w14:paraId="67F309AB">
            <w:pPr>
              <w:keepNext w:val="0"/>
              <w:keepLines w:val="0"/>
              <w:pageBreakBefore w:val="0"/>
              <w:widowControl/>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3"/>
                <w:sz w:val="21"/>
                <w:szCs w:val="21"/>
                <w:lang w:val="en-US" w:eastAsia="zh-CN" w:bidi="ar-SA"/>
              </w:rPr>
              <w:t>③售后服务人员安排、技术力量设置一般</w:t>
            </w:r>
            <w:r>
              <w:rPr>
                <w:rFonts w:hint="eastAsia" w:ascii="宋体" w:hAnsi="宋体" w:eastAsia="宋体" w:cs="宋体"/>
                <w:color w:val="auto"/>
                <w:sz w:val="21"/>
                <w:szCs w:val="21"/>
                <w:lang w:val="en-US" w:eastAsia="zh-CN"/>
              </w:rPr>
              <w:t>的</w:t>
            </w:r>
            <w:r>
              <w:rPr>
                <w:rFonts w:hint="eastAsia" w:ascii="宋体" w:hAnsi="宋体" w:eastAsia="宋体" w:cs="宋体"/>
                <w:color w:val="auto"/>
                <w:kern w:val="3"/>
                <w:sz w:val="21"/>
                <w:szCs w:val="21"/>
                <w:lang w:val="en-US" w:eastAsia="zh-CN" w:bidi="ar-SA"/>
              </w:rPr>
              <w:t>得0-2分，</w:t>
            </w:r>
            <w:r>
              <w:rPr>
                <w:rFonts w:hint="eastAsia" w:ascii="宋体" w:hAnsi="宋体" w:eastAsia="宋体" w:cs="宋体"/>
                <w:color w:val="auto"/>
                <w:sz w:val="21"/>
                <w:szCs w:val="21"/>
                <w:highlight w:val="none"/>
                <w:lang w:val="en-US" w:eastAsia="zh-CN"/>
              </w:rPr>
              <w:t>未提供的不得分</w:t>
            </w:r>
            <w:r>
              <w:rPr>
                <w:rFonts w:hint="eastAsia" w:ascii="宋体" w:hAnsi="宋体" w:eastAsia="宋体" w:cs="宋体"/>
                <w:color w:val="auto"/>
                <w:sz w:val="21"/>
                <w:szCs w:val="21"/>
                <w:highlight w:val="none"/>
              </w:rPr>
              <w:t>。</w:t>
            </w:r>
            <w:r>
              <w:rPr>
                <w:rFonts w:hint="eastAsia" w:ascii="宋体" w:hAnsi="宋体" w:eastAsia="宋体" w:cs="宋体"/>
                <w:color w:val="auto"/>
                <w:spacing w:val="0"/>
                <w:w w:val="100"/>
                <w:position w:val="0"/>
                <w:sz w:val="21"/>
                <w:szCs w:val="21"/>
                <w:highlight w:val="none"/>
              </w:rPr>
              <w:t>（0-</w:t>
            </w: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分）</w:t>
            </w:r>
          </w:p>
        </w:tc>
        <w:tc>
          <w:tcPr>
            <w:tcW w:w="690" w:type="dxa"/>
            <w:noWrap w:val="0"/>
            <w:vAlign w:val="center"/>
          </w:tcPr>
          <w:p w14:paraId="25FF87E4">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6分</w:t>
            </w:r>
          </w:p>
          <w:p w14:paraId="0ECCFA79">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p>
        </w:tc>
        <w:tc>
          <w:tcPr>
            <w:tcW w:w="711" w:type="dxa"/>
            <w:noWrap w:val="0"/>
            <w:vAlign w:val="center"/>
          </w:tcPr>
          <w:p w14:paraId="04C12579">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主观分</w:t>
            </w:r>
          </w:p>
        </w:tc>
      </w:tr>
      <w:tr w14:paraId="5A620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94" w:type="dxa"/>
            <w:noWrap w:val="0"/>
            <w:vAlign w:val="center"/>
          </w:tcPr>
          <w:p w14:paraId="6724AE1C">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230" w:type="dxa"/>
            <w:noWrap w:val="0"/>
            <w:vAlign w:val="center"/>
          </w:tcPr>
          <w:p w14:paraId="4F86EBC1">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售后应急处理</w:t>
            </w:r>
          </w:p>
          <w:p w14:paraId="08230AD4">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（0-3）</w:t>
            </w:r>
          </w:p>
        </w:tc>
        <w:tc>
          <w:tcPr>
            <w:tcW w:w="6945" w:type="dxa"/>
            <w:noWrap w:val="0"/>
            <w:vAlign w:val="center"/>
          </w:tcPr>
          <w:p w14:paraId="17040D0B">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投标人承诺售后应急处理能满足30分钟响应的得3分；能满足1小时响应的得2分；能满足2小时响应的得1分。（0-3分）</w:t>
            </w:r>
          </w:p>
          <w:p w14:paraId="50EF9F49">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color w:val="auto"/>
                <w:lang w:val="en-US" w:eastAsia="zh-CN"/>
              </w:rPr>
            </w:pPr>
            <w:r>
              <w:rPr>
                <w:rFonts w:hint="eastAsia" w:ascii="宋体" w:hAnsi="宋体" w:eastAsia="宋体" w:cs="宋体"/>
                <w:color w:val="auto"/>
                <w:sz w:val="21"/>
                <w:szCs w:val="21"/>
                <w:lang w:val="en-US" w:eastAsia="zh-CN"/>
              </w:rPr>
              <w:t>注：须提供有效证明材料或承诺函（承诺函格式自拟），否则不得分。</w:t>
            </w:r>
          </w:p>
        </w:tc>
        <w:tc>
          <w:tcPr>
            <w:tcW w:w="690" w:type="dxa"/>
            <w:noWrap w:val="0"/>
            <w:vAlign w:val="center"/>
          </w:tcPr>
          <w:p w14:paraId="26762642">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3分</w:t>
            </w:r>
          </w:p>
        </w:tc>
        <w:tc>
          <w:tcPr>
            <w:tcW w:w="711" w:type="dxa"/>
            <w:noWrap w:val="0"/>
            <w:vAlign w:val="center"/>
          </w:tcPr>
          <w:p w14:paraId="3E8E9714">
            <w:pPr>
              <w:keepNext w:val="0"/>
              <w:keepLines w:val="0"/>
              <w:pageBreakBefore w:val="0"/>
              <w:widowControl/>
              <w:kinsoku/>
              <w:wordWrap/>
              <w:overflowPunct/>
              <w:topLinePunct w:val="0"/>
              <w:autoSpaceDE/>
              <w:autoSpaceDN/>
              <w:bidi w:val="0"/>
              <w:adjustRightInd/>
              <w:snapToGrid/>
              <w:spacing w:beforeLines="0" w:line="30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客观分</w:t>
            </w:r>
          </w:p>
        </w:tc>
      </w:tr>
    </w:tbl>
    <w:p w14:paraId="411A15B3">
      <w:pPr>
        <w:spacing w:beforeLines="0" w:line="360" w:lineRule="auto"/>
        <w:ind w:firstLine="241" w:firstLineChars="100"/>
        <w:rPr>
          <w:rFonts w:hint="eastAsia" w:ascii="宋体" w:hAnsi="宋体" w:eastAsia="宋体" w:cs="宋体"/>
          <w:b/>
          <w:color w:val="auto"/>
          <w:sz w:val="24"/>
          <w:szCs w:val="24"/>
          <w:highlight w:val="none"/>
        </w:rPr>
      </w:pPr>
      <w:bookmarkStart w:id="4" w:name="_Toc425682676"/>
      <w:r>
        <w:rPr>
          <w:rFonts w:hint="eastAsia" w:ascii="宋体" w:hAnsi="宋体" w:eastAsia="宋体" w:cs="宋体"/>
          <w:b/>
          <w:color w:val="auto"/>
          <w:sz w:val="24"/>
          <w:szCs w:val="24"/>
          <w:highlight w:val="none"/>
        </w:rPr>
        <w:t>注：</w:t>
      </w:r>
    </w:p>
    <w:p w14:paraId="4CA43316">
      <w:pPr>
        <w:spacing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1.以上证明材料须提供扫描件并加盖电子签章，所有证明材料必须在有效期内。以上证明材料必须真实有效，如评标委员会发现提供虚假证明材料，将取消中标人的中标资格。</w:t>
      </w:r>
    </w:p>
    <w:p w14:paraId="3DB86B80">
      <w:pPr>
        <w:spacing w:beforeLines="0"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2.因投标人提供的相关证明材料的扫描件或网页截图清晰度、真实性等原因造成评标委员会无法辨认或判定，可能被严厉扣分或不得分，由此造成的后果，由投标人自行承担。</w:t>
      </w:r>
    </w:p>
    <w:p w14:paraId="6C1955D5">
      <w:pPr>
        <w:spacing w:beforeLines="0" w:line="360" w:lineRule="auto"/>
        <w:ind w:firstLine="482" w:firstLineChars="200"/>
        <w:rPr>
          <w:rFonts w:hint="eastAsia" w:ascii="宋体" w:hAnsi="宋体" w:eastAsia="宋体" w:cs="宋体"/>
          <w:b/>
          <w:bCs/>
          <w:color w:val="auto"/>
          <w:kern w:val="44"/>
          <w:sz w:val="36"/>
          <w:szCs w:val="36"/>
          <w:highlight w:val="none"/>
        </w:rPr>
      </w:pPr>
      <w:r>
        <w:rPr>
          <w:rFonts w:hint="eastAsia" w:ascii="宋体" w:hAnsi="宋体" w:eastAsia="宋体" w:cs="宋体"/>
          <w:b/>
          <w:color w:val="auto"/>
          <w:sz w:val="24"/>
          <w:szCs w:val="24"/>
          <w:highlight w:val="none"/>
        </w:rPr>
        <w:t>3.以上证明材料必须真实有效，如投标人提供的合同、证书、检测报告等资料弄虚作假的，将取消中标人的中标资格，并报相关部门查处。</w:t>
      </w:r>
    </w:p>
    <w:p w14:paraId="0785A2D8">
      <w:pPr>
        <w:pStyle w:val="2"/>
        <w:ind w:left="0" w:firstLine="0"/>
        <w:jc w:val="both"/>
        <w:rPr>
          <w:rFonts w:hint="eastAsia" w:ascii="宋体" w:hAnsi="宋体" w:eastAsia="宋体" w:cs="宋体"/>
        </w:rPr>
      </w:pPr>
    </w:p>
    <w:p w14:paraId="5D50D828">
      <w:pPr>
        <w:rPr>
          <w:rFonts w:hint="eastAsia" w:ascii="宋体" w:hAnsi="宋体" w:eastAsia="宋体" w:cs="宋体"/>
        </w:rPr>
      </w:pPr>
    </w:p>
    <w:p w14:paraId="541D5E70">
      <w:pPr>
        <w:pStyle w:val="11"/>
        <w:ind w:firstLine="0" w:firstLineChars="0"/>
        <w:rPr>
          <w:rFonts w:hint="eastAsia" w:ascii="宋体" w:hAnsi="宋体" w:eastAsia="宋体" w:cs="宋体"/>
        </w:rPr>
      </w:pPr>
    </w:p>
    <w:p w14:paraId="21DE3C53">
      <w:pPr>
        <w:pStyle w:val="2"/>
        <w:numPr>
          <w:ilvl w:val="0"/>
          <w:numId w:val="8"/>
        </w:numPr>
        <w:rPr>
          <w:rFonts w:hint="eastAsia" w:ascii="宋体" w:hAnsi="宋体" w:eastAsia="宋体" w:cs="宋体"/>
          <w:color w:val="auto"/>
        </w:rPr>
      </w:pPr>
      <w:r>
        <w:rPr>
          <w:rFonts w:hint="eastAsia" w:ascii="宋体" w:hAnsi="宋体" w:eastAsia="宋体" w:cs="宋体"/>
          <w:color w:val="auto"/>
        </w:rPr>
        <w:t>采购需求</w:t>
      </w:r>
      <w:bookmarkEnd w:id="4"/>
      <w:bookmarkStart w:id="5" w:name="_Toc292375921"/>
      <w:bookmarkEnd w:id="5"/>
    </w:p>
    <w:p w14:paraId="364E7A08">
      <w:pPr>
        <w:spacing w:line="480" w:lineRule="exact"/>
        <w:rPr>
          <w:rFonts w:hint="eastAsia" w:ascii="宋体" w:hAnsi="宋体" w:eastAsia="宋体" w:cs="宋体"/>
          <w:b/>
          <w:bCs/>
          <w:color w:val="auto"/>
        </w:rPr>
      </w:pPr>
      <w:r>
        <w:rPr>
          <w:rFonts w:hint="eastAsia" w:ascii="宋体" w:hAnsi="宋体" w:eastAsia="宋体" w:cs="宋体"/>
          <w:b/>
          <w:bCs/>
          <w:color w:val="auto"/>
        </w:rPr>
        <w:t>一、项目概况：</w:t>
      </w:r>
    </w:p>
    <w:p w14:paraId="73D54015">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textAlignment w:val="auto"/>
        <w:rPr>
          <w:rFonts w:hint="eastAsia" w:ascii="宋体" w:hAnsi="宋体" w:eastAsia="宋体" w:cs="宋体"/>
          <w:color w:val="auto"/>
        </w:rPr>
      </w:pPr>
      <w:r>
        <w:rPr>
          <w:rFonts w:hint="eastAsia" w:ascii="宋体" w:hAnsi="宋体" w:eastAsia="宋体" w:cs="宋体"/>
          <w:color w:val="auto"/>
        </w:rPr>
        <w:t>本项目招标内容为富春湾新城集团区域范围内资产评估及资产处置评估。</w:t>
      </w:r>
    </w:p>
    <w:p w14:paraId="231FA263">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textAlignment w:val="auto"/>
        <w:rPr>
          <w:rFonts w:hint="eastAsia" w:ascii="宋体" w:hAnsi="宋体" w:eastAsia="宋体" w:cs="宋体"/>
          <w:color w:val="auto"/>
        </w:rPr>
      </w:pPr>
      <w:r>
        <w:rPr>
          <w:rFonts w:hint="eastAsia" w:ascii="宋体" w:hAnsi="宋体" w:eastAsia="宋体" w:cs="宋体"/>
          <w:color w:val="auto"/>
        </w:rPr>
        <w:t>评估内容：属地乡镇（街道）涉及的承包租赁资产经营的资产评估、资产拍卖、转让、破产清算的资产评估、抵押贷款、经济担保的资产评估、纳税的资产评估、其他内容的资产评估。</w:t>
      </w:r>
    </w:p>
    <w:p w14:paraId="02F76044">
      <w:pPr>
        <w:spacing w:line="360" w:lineRule="auto"/>
        <w:jc w:val="both"/>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二、服务要求：</w:t>
      </w:r>
    </w:p>
    <w:p w14:paraId="628B98D4">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1、评估单位应根据甲方的需要，依照有关法规政策规定的程序和方法，按照独立、客观、公正的原则对评估项目进行评估，</w:t>
      </w:r>
      <w:r>
        <w:rPr>
          <w:rFonts w:hint="eastAsia" w:ascii="宋体" w:hAnsi="宋体" w:eastAsia="宋体" w:cs="宋体"/>
          <w:b/>
          <w:bCs/>
          <w:color w:val="auto"/>
          <w:kern w:val="0"/>
          <w:sz w:val="24"/>
          <w:szCs w:val="24"/>
          <w:highlight w:val="none"/>
          <w:lang w:val="en-US" w:eastAsia="zh-CN"/>
        </w:rPr>
        <w:t>评估完成后5天内出具正式的评估报告。</w:t>
      </w:r>
    </w:p>
    <w:p w14:paraId="285F8210">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2、评估时，评估单位必须到现场实地勘测，并应保存完整的勘测记录及影像、照片等资料。</w:t>
      </w:r>
    </w:p>
    <w:p w14:paraId="02A881BE">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评估单位必须保证评估质量，确保2名以上评估师持证上岗（以备甲方随时查验）参与现场丈量评估工作，并做好后续服务和管理工作。在征迁工作全面完成前负责做好涉及评估工作内容的政策解释和咨询、解答等相关工作。</w:t>
      </w:r>
    </w:p>
    <w:p w14:paraId="1DF4EE3D">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4、评估单位在出具评估报告书后，将项目汇总表、影像、照片等资料报甲方主管部门存档，并根据需要应向评估当事人解释评估的依据，选用的评估方法，评估结果的产生过程。</w:t>
      </w:r>
    </w:p>
    <w:p w14:paraId="13E75F55">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5、评估单位在收到评估当事人有异议的书面复核申请，应在3个工作日内出具复核结果。</w:t>
      </w:r>
    </w:p>
    <w:p w14:paraId="56923655">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6、被评估人不在现场时，不能评估（甲方通知评估单位强行对被评估资产（或其他评估内容）或经公证处公正评估例外）。</w:t>
      </w:r>
    </w:p>
    <w:p w14:paraId="74C55A72">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7、评估单位不得转让、分包评估业务，并应对甲方提供的文件和资料妥善保管并尽保密之责，不得擅自公开或泄露给他人。</w:t>
      </w:r>
    </w:p>
    <w:p w14:paraId="68583ED9">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8、评估人不在现场时，不能评估。</w:t>
      </w:r>
    </w:p>
    <w:p w14:paraId="3FCB9E4F">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9、项目实施过程中涉及人员、设备、工具等的安全责任及由此产生的一切损失均由评估单位自行承担，与甲方无关。</w:t>
      </w:r>
    </w:p>
    <w:p w14:paraId="242270E2">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10、实际委派的资产评估项目中资产评估机构不得与审计、清产核资的审计机构为同一家中介机构，或是有关联关系的中介机构。</w:t>
      </w:r>
    </w:p>
    <w:p w14:paraId="5DFEEF03">
      <w:pPr>
        <w:spacing w:line="360" w:lineRule="auto"/>
        <w:jc w:val="both"/>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三、特别说明</w:t>
      </w:r>
    </w:p>
    <w:p w14:paraId="5041C7EE">
      <w:pPr>
        <w:spacing w:line="360" w:lineRule="auto"/>
        <w:ind w:firstLine="240" w:firstLineChars="100"/>
        <w:jc w:val="both"/>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1.本项目最高限价：按照《浙江省物价局关于资产评估收费问题的通知》（浙价服[2011] 90号）收费标准的30%计取。（资产评估单项评估服务费不足1500元的按1500 元计取；单件标的资产评估费最高不超过15万元）</w:t>
      </w:r>
    </w:p>
    <w:p w14:paraId="41DBAE96">
      <w:pPr>
        <w:spacing w:line="360" w:lineRule="auto"/>
        <w:ind w:firstLine="240" w:firstLineChars="100"/>
        <w:jc w:val="both"/>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2.计费标准：《浙江省物价局关于资产评估收费问题的通知》（浙价服【2011】90号）收费标准的</w:t>
      </w:r>
      <w:r>
        <w:rPr>
          <w:rFonts w:hint="eastAsia" w:ascii="宋体" w:hAnsi="宋体" w:eastAsia="宋体" w:cs="宋体"/>
          <w:b w:val="0"/>
          <w:bCs w:val="0"/>
          <w:color w:val="auto"/>
          <w:kern w:val="0"/>
          <w:sz w:val="24"/>
          <w:szCs w:val="24"/>
          <w:highlight w:val="none"/>
          <w:u w:val="single"/>
          <w:lang w:val="en-US" w:eastAsia="zh-CN"/>
        </w:rPr>
        <w:t xml:space="preserve">       </w:t>
      </w:r>
      <w:r>
        <w:rPr>
          <w:rFonts w:hint="eastAsia" w:ascii="宋体" w:hAnsi="宋体" w:eastAsia="宋体" w:cs="宋体"/>
          <w:b w:val="0"/>
          <w:bCs w:val="0"/>
          <w:color w:val="auto"/>
          <w:kern w:val="0"/>
          <w:sz w:val="24"/>
          <w:szCs w:val="24"/>
          <w:highlight w:val="none"/>
          <w:lang w:val="en-US" w:eastAsia="zh-CN"/>
        </w:rPr>
        <w:t>%（中标价）计取。（资产评估单项评估服务费不足1500元的按1500元计取；单件标的资产评估费最高不超过15万元）</w:t>
      </w:r>
    </w:p>
    <w:p w14:paraId="446CD7A7">
      <w:pPr>
        <w:spacing w:line="360" w:lineRule="auto"/>
        <w:ind w:firstLine="240" w:firstLineChars="100"/>
        <w:jc w:val="both"/>
        <w:rPr>
          <w:rFonts w:hint="default" w:ascii="宋体" w:hAnsi="宋体" w:eastAsia="宋体" w:cs="宋体"/>
          <w:b w:val="0"/>
          <w:bCs w:val="0"/>
          <w:color w:val="auto"/>
          <w:kern w:val="0"/>
          <w:sz w:val="24"/>
          <w:szCs w:val="24"/>
          <w:highlight w:val="yellow"/>
          <w:lang w:val="en-US" w:eastAsia="zh-CN"/>
        </w:rPr>
      </w:pPr>
      <w:r>
        <w:rPr>
          <w:rFonts w:hint="eastAsia" w:ascii="宋体" w:hAnsi="宋体" w:eastAsia="宋体" w:cs="宋体"/>
          <w:b w:val="0"/>
          <w:bCs w:val="0"/>
          <w:color w:val="auto"/>
          <w:kern w:val="0"/>
          <w:sz w:val="24"/>
          <w:szCs w:val="24"/>
          <w:highlight w:val="yellow"/>
          <w:lang w:val="en-US" w:eastAsia="zh-CN"/>
        </w:rPr>
        <w:t>3.合同签订价：</w:t>
      </w:r>
      <w:r>
        <w:rPr>
          <w:rFonts w:hint="eastAsia" w:ascii="宋体" w:hAnsi="宋体" w:eastAsia="宋体" w:cs="宋体"/>
          <w:b/>
          <w:bCs/>
          <w:color w:val="auto"/>
          <w:highlight w:val="yellow"/>
          <w:u w:val="single"/>
        </w:rPr>
        <w:t>本项目入围单位中的最低报价</w:t>
      </w:r>
      <w:r>
        <w:rPr>
          <w:rFonts w:hint="eastAsia" w:ascii="宋体" w:hAnsi="宋体" w:eastAsia="宋体" w:cs="宋体"/>
          <w:b/>
          <w:bCs/>
          <w:color w:val="auto"/>
          <w:highlight w:val="yellow"/>
          <w:u w:val="single"/>
          <w:lang w:val="en-US" w:eastAsia="zh-CN"/>
        </w:rPr>
        <w:t>为本项目统一中标价</w:t>
      </w:r>
      <w:r>
        <w:rPr>
          <w:rFonts w:hint="eastAsia" w:ascii="宋体" w:hAnsi="宋体" w:eastAsia="宋体" w:cs="宋体"/>
          <w:b/>
          <w:bCs/>
          <w:color w:val="auto"/>
          <w:highlight w:val="yellow"/>
          <w:u w:val="single"/>
          <w:lang w:eastAsia="zh-CN"/>
        </w:rPr>
        <w:t>，</w:t>
      </w:r>
      <w:r>
        <w:rPr>
          <w:rFonts w:hint="eastAsia" w:ascii="宋体" w:hAnsi="宋体" w:eastAsia="宋体" w:cs="宋体"/>
          <w:b/>
          <w:bCs/>
          <w:color w:val="auto"/>
          <w:highlight w:val="yellow"/>
          <w:u w:val="single"/>
          <w:lang w:val="en-US" w:eastAsia="zh-CN"/>
        </w:rPr>
        <w:t>所有入围单位按此报价</w:t>
      </w:r>
      <w:r>
        <w:rPr>
          <w:rFonts w:hint="eastAsia" w:ascii="宋体" w:hAnsi="宋体" w:eastAsia="宋体" w:cs="宋体"/>
          <w:b/>
          <w:bCs/>
          <w:color w:val="auto"/>
          <w:highlight w:val="yellow"/>
          <w:u w:val="single"/>
        </w:rPr>
        <w:t>统一签订合同</w:t>
      </w:r>
      <w:r>
        <w:rPr>
          <w:rFonts w:hint="eastAsia" w:ascii="宋体" w:hAnsi="宋体" w:eastAsia="宋体" w:cs="宋体"/>
          <w:b/>
          <w:bCs/>
          <w:color w:val="auto"/>
          <w:highlight w:val="yellow"/>
          <w:u w:val="single"/>
          <w:lang w:eastAsia="zh-CN"/>
        </w:rPr>
        <w:t>。</w:t>
      </w:r>
    </w:p>
    <w:p w14:paraId="3096F5FC">
      <w:pPr>
        <w:widowControl/>
        <w:snapToGrid w:val="0"/>
        <w:spacing w:before="156"/>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四、服务期限：一年</w:t>
      </w:r>
    </w:p>
    <w:p w14:paraId="3DEA677E">
      <w:pPr>
        <w:widowControl/>
        <w:snapToGrid w:val="0"/>
        <w:spacing w:before="156"/>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五、仪器、设备和设施配置要求</w:t>
      </w:r>
    </w:p>
    <w:p w14:paraId="77077B39">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项目要求须配备足够的测量设备，以满足多个项目同时评估的工作需要，保证项目进度的需要。</w:t>
      </w:r>
    </w:p>
    <w:p w14:paraId="392B1215">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项目应配备先进的测量设备。应确保所有测量仪器和设备在评估测量过程中状况良好、性能稳定、测量精度必须满足国家相应规定和标准要求。</w:t>
      </w:r>
    </w:p>
    <w:p w14:paraId="37E8AC46">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投入本项目的测量仪器和设备必须保证满足本项目工作需要，不得随意更换或退场。对不能满足本项目工作需要的仪器和设备，招标人或有权随时要求中标单位更换。替换的仪器设备的性能必须满足工作需要。</w:t>
      </w:r>
    </w:p>
    <w:p w14:paraId="3C718D26">
      <w:pPr>
        <w:widowControl/>
        <w:overflowPunct w:val="0"/>
        <w:autoSpaceDE w:val="0"/>
        <w:autoSpaceDN w:val="0"/>
        <w:adjustRightInd w:val="0"/>
        <w:snapToGrid w:val="0"/>
        <w:spacing w:before="156"/>
        <w:jc w:val="left"/>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六、评估成果使用</w:t>
      </w:r>
    </w:p>
    <w:p w14:paraId="6722671D">
      <w:pPr>
        <w:keepNext w:val="0"/>
        <w:keepLines w:val="0"/>
        <w:pageBreakBefore w:val="0"/>
        <w:widowControl w:val="0"/>
        <w:kinsoku/>
        <w:wordWrap/>
        <w:overflowPunct/>
        <w:topLinePunct w:val="0"/>
        <w:autoSpaceDE/>
        <w:autoSpaceDN/>
        <w:bidi w:val="0"/>
        <w:adjustRightInd/>
        <w:snapToGrid/>
        <w:spacing w:after="157" w:afterLines="50" w:line="480" w:lineRule="exact"/>
        <w:ind w:firstLine="240" w:firstLineChars="100"/>
        <w:jc w:val="both"/>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本次评估成果所有权和使用权均属于杭州富阳开发区建设投资集团有限公司。中标单位不得以任何借口留存或转让，否则承担由此产生的一切法律和经济责任。未经允许，任何单位和个人不得转让和使用本项目的评估成果。</w:t>
      </w:r>
    </w:p>
    <w:p w14:paraId="2781719E">
      <w:pPr>
        <w:spacing w:line="400" w:lineRule="exac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、转让和分包</w:t>
      </w:r>
    </w:p>
    <w:p w14:paraId="2D7D0A9D">
      <w:pPr>
        <w:widowControl/>
        <w:snapToGrid w:val="0"/>
        <w:spacing w:before="156"/>
        <w:ind w:firstLine="240" w:firstLineChars="1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本项目不允许转包或分包，若中标人转包或变相转包其应履行的合同义务，采购单位有权终止合同，并追究相关违约责任。</w:t>
      </w:r>
    </w:p>
    <w:p w14:paraId="70A1964A">
      <w:pPr>
        <w:widowControl/>
        <w:snapToGrid w:val="0"/>
        <w:spacing w:before="156"/>
        <w:rPr>
          <w:rFonts w:hint="eastAsia" w:ascii="宋体" w:hAnsi="宋体" w:eastAsia="宋体" w:cs="宋体"/>
          <w:color w:val="auto"/>
          <w:kern w:val="0"/>
          <w:sz w:val="24"/>
          <w:szCs w:val="24"/>
          <w:highlight w:val="none"/>
          <w:lang w:val="en-US" w:eastAsia="zh-CN"/>
        </w:rPr>
      </w:pPr>
    </w:p>
    <w:p w14:paraId="2C3266F8">
      <w:pPr>
        <w:spacing w:line="400" w:lineRule="exact"/>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八、本项目技术班子/服务人员需求</w:t>
      </w:r>
    </w:p>
    <w:tbl>
      <w:tblPr>
        <w:tblStyle w:val="24"/>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25"/>
        <w:gridCol w:w="932"/>
        <w:gridCol w:w="6493"/>
      </w:tblGrid>
      <w:tr w14:paraId="5982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50" w:type="dxa"/>
            <w:noWrap w:val="0"/>
            <w:vAlign w:val="center"/>
          </w:tcPr>
          <w:p w14:paraId="464AAEEB">
            <w:pPr>
              <w:spacing w:before="156" w:line="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25" w:type="dxa"/>
            <w:noWrap w:val="0"/>
            <w:vAlign w:val="center"/>
          </w:tcPr>
          <w:p w14:paraId="14BD401B">
            <w:pPr>
              <w:spacing w:before="156" w:line="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岗位名称</w:t>
            </w:r>
          </w:p>
        </w:tc>
        <w:tc>
          <w:tcPr>
            <w:tcW w:w="932" w:type="dxa"/>
            <w:noWrap w:val="0"/>
            <w:vAlign w:val="center"/>
          </w:tcPr>
          <w:p w14:paraId="0ED10943">
            <w:pPr>
              <w:spacing w:before="156" w:line="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人数</w:t>
            </w:r>
          </w:p>
        </w:tc>
        <w:tc>
          <w:tcPr>
            <w:tcW w:w="6493" w:type="dxa"/>
            <w:noWrap w:val="0"/>
            <w:vAlign w:val="center"/>
          </w:tcPr>
          <w:p w14:paraId="1B39C3EE">
            <w:pPr>
              <w:spacing w:before="156" w:line="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具体要求</w:t>
            </w:r>
          </w:p>
        </w:tc>
      </w:tr>
      <w:tr w14:paraId="45C1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750" w:type="dxa"/>
            <w:noWrap w:val="0"/>
            <w:vAlign w:val="center"/>
          </w:tcPr>
          <w:p w14:paraId="248C1BC5">
            <w:pPr>
              <w:spacing w:before="156" w:line="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25" w:type="dxa"/>
            <w:noWrap w:val="0"/>
            <w:vAlign w:val="center"/>
          </w:tcPr>
          <w:p w14:paraId="7BBF26C3">
            <w:pPr>
              <w:spacing w:before="156" w:line="0" w:lineRule="atLeas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负责人</w:t>
            </w:r>
          </w:p>
        </w:tc>
        <w:tc>
          <w:tcPr>
            <w:tcW w:w="932" w:type="dxa"/>
            <w:noWrap w:val="0"/>
            <w:vAlign w:val="center"/>
          </w:tcPr>
          <w:p w14:paraId="17BCD97C">
            <w:pPr>
              <w:spacing w:before="156" w:line="0" w:lineRule="atLeas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493" w:type="dxa"/>
            <w:noWrap w:val="0"/>
            <w:vAlign w:val="center"/>
          </w:tcPr>
          <w:p w14:paraId="370C08A0">
            <w:pPr>
              <w:spacing w:before="156" w:line="0" w:lineRule="atLeast"/>
              <w:jc w:val="both"/>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具有丰富的项目经验，有丰富的项目管理经验和协调能力，具有良好的沟通、管理、组织能力，政历清楚，责任心强，身体健康。</w:t>
            </w:r>
          </w:p>
        </w:tc>
      </w:tr>
    </w:tbl>
    <w:p w14:paraId="4E31C9DE">
      <w:pPr>
        <w:pStyle w:val="13"/>
        <w:keepNext w:val="0"/>
        <w:keepLines w:val="0"/>
        <w:pageBreakBefore w:val="0"/>
        <w:widowControl w:val="0"/>
        <w:kinsoku/>
        <w:wordWrap/>
        <w:overflowPunct/>
        <w:topLinePunct w:val="0"/>
        <w:autoSpaceDE/>
        <w:autoSpaceDN/>
        <w:bidi w:val="0"/>
        <w:adjustRightInd/>
        <w:snapToGrid w:val="0"/>
        <w:spacing w:beforeLines="0" w:after="157" w:afterLines="50" w:line="480" w:lineRule="exact"/>
        <w:ind w:firstLine="241" w:firstLineChars="1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中标人在履行合同期间，项目负责人负责相关的联系和协调工作。项目组人员配置应满足任务需求。</w:t>
      </w:r>
    </w:p>
    <w:p w14:paraId="421FC527">
      <w:pPr>
        <w:pStyle w:val="13"/>
        <w:keepNext w:val="0"/>
        <w:keepLines w:val="0"/>
        <w:pageBreakBefore w:val="0"/>
        <w:widowControl w:val="0"/>
        <w:kinsoku/>
        <w:wordWrap/>
        <w:overflowPunct/>
        <w:topLinePunct w:val="0"/>
        <w:autoSpaceDE/>
        <w:autoSpaceDN/>
        <w:bidi w:val="0"/>
        <w:adjustRightInd/>
        <w:snapToGrid w:val="0"/>
        <w:spacing w:beforeLines="0" w:after="157" w:afterLines="50" w:line="480" w:lineRule="exact"/>
        <w:ind w:firstLine="241" w:firstLineChars="1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对工作严重失职、业务能力不能满足评估工作需要的人员，招标人有权要求评估单位随时更换，评估单位不得拒绝更换。</w:t>
      </w:r>
    </w:p>
    <w:p w14:paraId="14328120">
      <w:pPr>
        <w:pStyle w:val="13"/>
        <w:keepNext w:val="0"/>
        <w:keepLines w:val="0"/>
        <w:pageBreakBefore w:val="0"/>
        <w:widowControl w:val="0"/>
        <w:kinsoku/>
        <w:wordWrap/>
        <w:overflowPunct/>
        <w:topLinePunct w:val="0"/>
        <w:autoSpaceDE/>
        <w:autoSpaceDN/>
        <w:bidi w:val="0"/>
        <w:adjustRightInd/>
        <w:snapToGrid w:val="0"/>
        <w:spacing w:beforeLines="0" w:after="157" w:afterLines="50" w:line="480" w:lineRule="exact"/>
        <w:ind w:firstLine="241" w:firstLineChars="100"/>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替换人员的资质及工作经历不得低于招标文件要求，其业务能力应满足相应的岗位职责和评估工作需要。</w:t>
      </w:r>
    </w:p>
    <w:p w14:paraId="478CB6E5">
      <w:pPr>
        <w:pStyle w:val="13"/>
        <w:snapToGrid w:val="0"/>
        <w:spacing w:afterLines="0" w:line="240" w:lineRule="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九、保险</w:t>
      </w:r>
    </w:p>
    <w:p w14:paraId="19E7D4D2">
      <w:pPr>
        <w:keepNext w:val="0"/>
        <w:keepLines w:val="0"/>
        <w:pageBreakBefore w:val="0"/>
        <w:kinsoku/>
        <w:wordWrap/>
        <w:overflowPunct/>
        <w:topLinePunct w:val="0"/>
        <w:autoSpaceDE/>
        <w:autoSpaceDN/>
        <w:bidi w:val="0"/>
        <w:spacing w:after="157" w:afterLines="5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（1）第三者责任保险</w:t>
      </w:r>
    </w:p>
    <w:p w14:paraId="797EF711">
      <w:pPr>
        <w:keepNext w:val="0"/>
        <w:keepLines w:val="0"/>
        <w:pageBreakBefore w:val="0"/>
        <w:widowControl/>
        <w:kinsoku/>
        <w:wordWrap/>
        <w:overflowPunct/>
        <w:topLinePunct w:val="0"/>
        <w:autoSpaceDE/>
        <w:autoSpaceDN/>
        <w:bidi w:val="0"/>
        <w:adjustRightInd w:val="0"/>
        <w:snapToGrid w:val="0"/>
        <w:spacing w:after="157" w:afterLines="50" w:line="480" w:lineRule="exact"/>
        <w:ind w:firstLine="240" w:firstLine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中标人应对中标人人员以及第三方全权负责(如中标人应投保第三责任险)，在中标人的责任区内由于中标人原因导致自己员工或第三方的事故由中标人负责，采购人不承担任何责任。</w:t>
      </w:r>
    </w:p>
    <w:p w14:paraId="7D3EA1D5">
      <w:pPr>
        <w:keepNext w:val="0"/>
        <w:keepLines w:val="0"/>
        <w:pageBreakBefore w:val="0"/>
        <w:kinsoku/>
        <w:wordWrap/>
        <w:overflowPunct/>
        <w:topLinePunct w:val="0"/>
        <w:autoSpaceDE/>
        <w:autoSpaceDN/>
        <w:bidi w:val="0"/>
        <w:spacing w:after="157" w:afterLines="5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（2）员工人身意外</w:t>
      </w:r>
    </w:p>
    <w:p w14:paraId="2EA7F141">
      <w:pPr>
        <w:keepNext w:val="0"/>
        <w:keepLines w:val="0"/>
        <w:pageBreakBefore w:val="0"/>
        <w:widowControl/>
        <w:kinsoku/>
        <w:wordWrap/>
        <w:overflowPunct/>
        <w:topLinePunct w:val="0"/>
        <w:autoSpaceDE/>
        <w:autoSpaceDN/>
        <w:bidi w:val="0"/>
        <w:adjustRightInd w:val="0"/>
        <w:snapToGrid w:val="0"/>
        <w:spacing w:after="157" w:afterLines="50" w:line="480" w:lineRule="exact"/>
        <w:ind w:firstLine="240" w:firstLine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在服务期内，中标人所有人员的事故由中标人自行全权负责(如中标人应对其员工投保人身意外险)，以保证采购人在中标人工作人员索赔时不受任何责任的约束。</w:t>
      </w:r>
    </w:p>
    <w:p w14:paraId="48D89E98">
      <w:pPr>
        <w:keepNext w:val="0"/>
        <w:keepLines w:val="0"/>
        <w:pageBreakBefore w:val="0"/>
        <w:kinsoku/>
        <w:wordWrap/>
        <w:overflowPunct/>
        <w:topLinePunct w:val="0"/>
        <w:autoSpaceDE/>
        <w:autoSpaceDN/>
        <w:bidi w:val="0"/>
        <w:spacing w:after="157" w:afterLines="50"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（3）其他保险及费用</w:t>
      </w:r>
    </w:p>
    <w:p w14:paraId="689AF942">
      <w:pPr>
        <w:keepNext w:val="0"/>
        <w:keepLines w:val="0"/>
        <w:pageBreakBefore w:val="0"/>
        <w:widowControl/>
        <w:kinsoku/>
        <w:wordWrap/>
        <w:overflowPunct/>
        <w:topLinePunct w:val="0"/>
        <w:autoSpaceDE/>
        <w:autoSpaceDN/>
        <w:bidi w:val="0"/>
        <w:adjustRightInd w:val="0"/>
        <w:snapToGrid w:val="0"/>
        <w:spacing w:after="157" w:afterLines="50" w:line="480" w:lineRule="exact"/>
        <w:ind w:firstLine="240" w:firstLine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中标人须按《劳动合同法》和</w:t>
      </w:r>
      <w:r>
        <w:rPr>
          <w:rFonts w:hint="eastAsia" w:ascii="宋体" w:hAnsi="宋体" w:eastAsia="宋体" w:cs="宋体"/>
          <w:color w:val="auto"/>
          <w:kern w:val="0"/>
          <w:sz w:val="24"/>
          <w:szCs w:val="24"/>
          <w:highlight w:val="none"/>
          <w:lang w:eastAsia="zh-CN"/>
        </w:rPr>
        <w:t>国资（政府）</w:t>
      </w:r>
      <w:r>
        <w:rPr>
          <w:rFonts w:hint="eastAsia" w:ascii="宋体" w:hAnsi="宋体" w:eastAsia="宋体" w:cs="宋体"/>
          <w:color w:val="auto"/>
          <w:kern w:val="0"/>
          <w:sz w:val="24"/>
          <w:szCs w:val="24"/>
          <w:highlight w:val="none"/>
        </w:rPr>
        <w:t>有关各部门规定为全体服务人员交纳所有相关的社会保险及其他相关费用。中标人对此全权负责。</w:t>
      </w:r>
    </w:p>
    <w:p w14:paraId="30B476E2">
      <w:pPr>
        <w:pStyle w:val="11"/>
        <w:rPr>
          <w:rFonts w:hint="eastAsia" w:ascii="宋体" w:hAnsi="宋体" w:eastAsia="宋体" w:cs="宋体"/>
          <w:color w:val="auto"/>
          <w:highlight w:val="none"/>
        </w:rPr>
      </w:pPr>
    </w:p>
    <w:p w14:paraId="376F4910">
      <w:pPr>
        <w:spacing w:before="156"/>
        <w:ind w:firstLine="480" w:firstLineChars="200"/>
        <w:rPr>
          <w:rFonts w:hint="eastAsia" w:ascii="宋体" w:hAnsi="宋体" w:eastAsia="宋体" w:cs="宋体"/>
          <w:bCs/>
          <w:color w:val="0000FF"/>
        </w:rPr>
      </w:pPr>
    </w:p>
    <w:p w14:paraId="469E9F4E">
      <w:pPr>
        <w:pStyle w:val="2"/>
        <w:rPr>
          <w:rFonts w:hint="eastAsia" w:ascii="宋体" w:hAnsi="宋体" w:eastAsia="宋体" w:cs="宋体"/>
          <w:bCs/>
          <w:color w:val="0000FF"/>
        </w:rPr>
      </w:pPr>
    </w:p>
    <w:p w14:paraId="75BA61BE">
      <w:pPr>
        <w:rPr>
          <w:rFonts w:hint="eastAsia" w:ascii="宋体" w:hAnsi="宋体" w:eastAsia="宋体" w:cs="宋体"/>
        </w:rPr>
      </w:pPr>
      <w:bookmarkStart w:id="6" w:name="_Toc1180707375"/>
    </w:p>
    <w:p w14:paraId="5C5425B1">
      <w:pPr>
        <w:topLinePunct/>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 xml:space="preserve">第五章  </w:t>
      </w:r>
      <w:bookmarkEnd w:id="6"/>
      <w:r>
        <w:rPr>
          <w:rFonts w:hint="eastAsia" w:ascii="宋体" w:hAnsi="宋体" w:eastAsia="宋体" w:cs="宋体"/>
          <w:b/>
          <w:bCs/>
          <w:kern w:val="0"/>
          <w:sz w:val="36"/>
          <w:szCs w:val="36"/>
        </w:rPr>
        <w:t>杭州市富阳区国资（政府）采购合同主要条款</w:t>
      </w:r>
    </w:p>
    <w:p w14:paraId="228C848A">
      <w:pPr>
        <w:widowControl/>
        <w:overflowPunct w:val="0"/>
        <w:autoSpaceDE w:val="0"/>
        <w:autoSpaceDN w:val="0"/>
        <w:adjustRightInd w:val="0"/>
        <w:snapToGrid w:val="0"/>
        <w:spacing w:line="480" w:lineRule="exact"/>
        <w:jc w:val="center"/>
        <w:textAlignment w:val="baseline"/>
        <w:rPr>
          <w:rFonts w:hint="eastAsia" w:ascii="宋体" w:hAnsi="宋体" w:eastAsia="宋体" w:cs="宋体"/>
          <w:b/>
          <w:bCs/>
          <w:kern w:val="0"/>
          <w:sz w:val="28"/>
          <w:szCs w:val="28"/>
        </w:rPr>
      </w:pPr>
      <w:bookmarkStart w:id="7" w:name="_Toc1399953345"/>
      <w:r>
        <w:rPr>
          <w:rFonts w:hint="eastAsia" w:ascii="宋体" w:hAnsi="宋体" w:eastAsia="宋体" w:cs="宋体"/>
          <w:b/>
          <w:bCs/>
          <w:kern w:val="0"/>
          <w:sz w:val="28"/>
          <w:szCs w:val="28"/>
        </w:rPr>
        <w:t>（本合同为合同样稿，最终稿协商后确定）</w:t>
      </w:r>
    </w:p>
    <w:p w14:paraId="29AB96EC">
      <w:pPr>
        <w:widowControl/>
        <w:overflowPunct w:val="0"/>
        <w:autoSpaceDE w:val="0"/>
        <w:autoSpaceDN w:val="0"/>
        <w:adjustRightInd w:val="0"/>
        <w:snapToGrid w:val="0"/>
        <w:spacing w:line="460" w:lineRule="exact"/>
        <w:ind w:firstLine="470" w:firstLineChars="196"/>
        <w:jc w:val="left"/>
        <w:textAlignment w:val="baseline"/>
        <w:rPr>
          <w:rFonts w:hint="eastAsia" w:ascii="宋体" w:hAnsi="宋体" w:eastAsia="宋体" w:cs="宋体"/>
          <w:bCs/>
          <w:color w:val="000000"/>
          <w:kern w:val="0"/>
        </w:rPr>
      </w:pPr>
      <w:r>
        <w:rPr>
          <w:rFonts w:hint="eastAsia" w:ascii="宋体" w:hAnsi="宋体" w:eastAsia="宋体" w:cs="宋体"/>
          <w:bCs/>
          <w:color w:val="000000"/>
          <w:kern w:val="0"/>
        </w:rPr>
        <w:t>甲  方（使用方）：</w:t>
      </w:r>
    </w:p>
    <w:p w14:paraId="66584BBE">
      <w:pPr>
        <w:widowControl/>
        <w:overflowPunct w:val="0"/>
        <w:autoSpaceDE w:val="0"/>
        <w:autoSpaceDN w:val="0"/>
        <w:adjustRightInd w:val="0"/>
        <w:snapToGrid w:val="0"/>
        <w:spacing w:line="460" w:lineRule="exact"/>
        <w:ind w:firstLine="470" w:firstLineChars="196"/>
        <w:jc w:val="left"/>
        <w:textAlignment w:val="baseline"/>
        <w:rPr>
          <w:rFonts w:hint="eastAsia" w:ascii="宋体" w:hAnsi="宋体" w:eastAsia="宋体" w:cs="宋体"/>
          <w:bCs/>
          <w:color w:val="000000"/>
          <w:kern w:val="0"/>
        </w:rPr>
      </w:pPr>
      <w:r>
        <w:rPr>
          <w:rFonts w:hint="eastAsia" w:ascii="宋体" w:hAnsi="宋体" w:eastAsia="宋体" w:cs="宋体"/>
          <w:bCs/>
          <w:color w:val="000000"/>
          <w:kern w:val="0"/>
        </w:rPr>
        <w:t>乙  方（</w:t>
      </w:r>
      <w:r>
        <w:rPr>
          <w:rFonts w:hint="eastAsia" w:ascii="宋体" w:hAnsi="宋体" w:eastAsia="宋体" w:cs="宋体"/>
          <w:bCs/>
          <w:color w:val="000000"/>
          <w:kern w:val="0"/>
          <w:lang w:val="en-US" w:eastAsia="zh-CN"/>
        </w:rPr>
        <w:t>服务</w:t>
      </w:r>
      <w:r>
        <w:rPr>
          <w:rFonts w:hint="eastAsia" w:ascii="宋体" w:hAnsi="宋体" w:eastAsia="宋体" w:cs="宋体"/>
          <w:bCs/>
          <w:color w:val="000000"/>
          <w:kern w:val="0"/>
        </w:rPr>
        <w:t xml:space="preserve">方）： </w:t>
      </w:r>
    </w:p>
    <w:p w14:paraId="772118E1">
      <w:pPr>
        <w:pStyle w:val="5"/>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464"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一、杭州富阳开发区建设投资集团有限公司的</w:t>
      </w:r>
      <w:r>
        <w:rPr>
          <w:rFonts w:hint="eastAsia" w:ascii="宋体" w:hAnsi="宋体" w:eastAsia="宋体" w:cs="宋体"/>
          <w:color w:val="auto"/>
          <w:sz w:val="24"/>
          <w:szCs w:val="22"/>
          <w:highlight w:val="none"/>
          <w:u w:val="single"/>
          <w:lang w:eastAsia="zh-CN"/>
        </w:rPr>
        <w:t>2024年度富春湾集团国有资产评估中介机构招标项目</w:t>
      </w:r>
      <w:r>
        <w:rPr>
          <w:rFonts w:hint="eastAsia" w:ascii="宋体" w:hAnsi="宋体" w:eastAsia="宋体" w:cs="宋体"/>
          <w:color w:val="auto"/>
          <w:sz w:val="24"/>
          <w:szCs w:val="22"/>
          <w:highlight w:val="none"/>
        </w:rPr>
        <w:t>，项目经过公开招标确定乙方和其他评估单位为中标服务单位。</w:t>
      </w:r>
    </w:p>
    <w:p w14:paraId="47E43E28">
      <w:pPr>
        <w:pStyle w:val="5"/>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464"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二、服务时间：一年</w:t>
      </w:r>
    </w:p>
    <w:p w14:paraId="25A7DFA2">
      <w:pPr>
        <w:pStyle w:val="5"/>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464"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三、评估内容：</w:t>
      </w:r>
    </w:p>
    <w:p w14:paraId="4211C387">
      <w:pPr>
        <w:pStyle w:val="5"/>
        <w:keepNext w:val="0"/>
        <w:keepLines w:val="0"/>
        <w:pageBreakBefore w:val="0"/>
        <w:widowControl w:val="0"/>
        <w:kinsoku/>
        <w:wordWrap/>
        <w:overflowPunct/>
        <w:topLinePunct w:val="0"/>
        <w:autoSpaceDE/>
        <w:autoSpaceDN/>
        <w:bidi w:val="0"/>
        <w:adjustRightInd/>
        <w:snapToGrid/>
        <w:spacing w:after="157" w:afterLines="50" w:line="360" w:lineRule="auto"/>
        <w:ind w:firstLine="522" w:firstLineChars="225"/>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1.自本合同签订之日起开发区集团（含子公司）的资产评估、房产评估、残值评估等，包含资产拍卖、转让、破产清算的资产评估、抵押贷款、经济担保的资产评估及其他内容的资产评估；</w:t>
      </w:r>
    </w:p>
    <w:p w14:paraId="5125C47F">
      <w:pPr>
        <w:pStyle w:val="5"/>
        <w:keepNext w:val="0"/>
        <w:keepLines w:val="0"/>
        <w:pageBreakBefore w:val="0"/>
        <w:widowControl w:val="0"/>
        <w:kinsoku/>
        <w:wordWrap/>
        <w:overflowPunct/>
        <w:topLinePunct w:val="0"/>
        <w:autoSpaceDE/>
        <w:autoSpaceDN/>
        <w:bidi w:val="0"/>
        <w:adjustRightInd/>
        <w:snapToGrid/>
        <w:spacing w:after="157" w:afterLines="50" w:line="360" w:lineRule="auto"/>
        <w:ind w:firstLine="522" w:firstLineChars="225"/>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2.开发区集团委托属地乡镇（街道）进行的拆迁收购资产（含房产）的残值评估。</w:t>
      </w:r>
    </w:p>
    <w:p w14:paraId="71E0DB44">
      <w:pPr>
        <w:pStyle w:val="5"/>
        <w:keepNext w:val="0"/>
        <w:keepLines w:val="0"/>
        <w:pageBreakBefore w:val="0"/>
        <w:widowControl w:val="0"/>
        <w:kinsoku/>
        <w:wordWrap/>
        <w:overflowPunct/>
        <w:topLinePunct w:val="0"/>
        <w:autoSpaceDE/>
        <w:autoSpaceDN/>
        <w:bidi w:val="0"/>
        <w:adjustRightInd/>
        <w:snapToGrid/>
        <w:spacing w:after="157" w:afterLines="50" w:line="360" w:lineRule="auto"/>
        <w:ind w:left="0" w:leftChars="0" w:firstLine="464" w:firstLineChars="200"/>
        <w:textAlignment w:val="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四、按照招标文件、投标文件及评标结果确定本合同单价如下表：</w:t>
      </w:r>
    </w:p>
    <w:tbl>
      <w:tblPr>
        <w:tblStyle w:val="24"/>
        <w:tblW w:w="9452" w:type="dxa"/>
        <w:jc w:val="center"/>
        <w:tblLayout w:type="fixed"/>
        <w:tblCellMar>
          <w:top w:w="0" w:type="dxa"/>
          <w:left w:w="10" w:type="dxa"/>
          <w:bottom w:w="0" w:type="dxa"/>
          <w:right w:w="10" w:type="dxa"/>
        </w:tblCellMar>
      </w:tblPr>
      <w:tblGrid>
        <w:gridCol w:w="619"/>
        <w:gridCol w:w="4104"/>
        <w:gridCol w:w="4729"/>
      </w:tblGrid>
      <w:tr w14:paraId="152CCF4E">
        <w:tblPrEx>
          <w:tblCellMar>
            <w:top w:w="0" w:type="dxa"/>
            <w:left w:w="10" w:type="dxa"/>
            <w:bottom w:w="0" w:type="dxa"/>
            <w:right w:w="10" w:type="dxa"/>
          </w:tblCellMar>
        </w:tblPrEx>
        <w:trPr>
          <w:trHeight w:val="485" w:hRule="exact"/>
          <w:jc w:val="center"/>
        </w:trPr>
        <w:tc>
          <w:tcPr>
            <w:tcW w:w="619" w:type="dxa"/>
            <w:tcBorders>
              <w:top w:val="single" w:color="auto" w:sz="4" w:space="0"/>
              <w:left w:val="single" w:color="auto" w:sz="4" w:space="0"/>
            </w:tcBorders>
            <w:shd w:val="clear" w:color="auto" w:fill="FFFFFF"/>
            <w:noWrap w:val="0"/>
            <w:vAlign w:val="top"/>
          </w:tcPr>
          <w:p w14:paraId="78A826F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104" w:type="dxa"/>
            <w:tcBorders>
              <w:top w:val="single" w:color="auto" w:sz="4" w:space="0"/>
              <w:left w:val="single" w:color="auto" w:sz="4" w:space="0"/>
            </w:tcBorders>
            <w:shd w:val="clear" w:color="auto" w:fill="FFFFFF"/>
            <w:noWrap w:val="0"/>
            <w:vAlign w:val="top"/>
          </w:tcPr>
          <w:p w14:paraId="53CDD88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评估服务内容</w:t>
            </w:r>
          </w:p>
        </w:tc>
        <w:tc>
          <w:tcPr>
            <w:tcW w:w="4729" w:type="dxa"/>
            <w:tcBorders>
              <w:top w:val="single" w:color="auto" w:sz="4" w:space="0"/>
              <w:left w:val="single" w:color="auto" w:sz="4" w:space="0"/>
              <w:right w:val="single" w:color="auto" w:sz="4" w:space="0"/>
            </w:tcBorders>
            <w:shd w:val="clear" w:color="auto" w:fill="FFFFFF"/>
            <w:noWrap w:val="0"/>
            <w:vAlign w:val="top"/>
          </w:tcPr>
          <w:p w14:paraId="2F7A01F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服务价格</w:t>
            </w:r>
          </w:p>
        </w:tc>
      </w:tr>
      <w:tr w14:paraId="37D2384E">
        <w:tblPrEx>
          <w:tblCellMar>
            <w:top w:w="0" w:type="dxa"/>
            <w:left w:w="10" w:type="dxa"/>
            <w:bottom w:w="0" w:type="dxa"/>
            <w:right w:w="10" w:type="dxa"/>
          </w:tblCellMar>
        </w:tblPrEx>
        <w:trPr>
          <w:trHeight w:val="640" w:hRule="exact"/>
          <w:jc w:val="center"/>
        </w:trPr>
        <w:tc>
          <w:tcPr>
            <w:tcW w:w="619" w:type="dxa"/>
            <w:tcBorders>
              <w:top w:val="single" w:color="auto" w:sz="4" w:space="0"/>
              <w:left w:val="single" w:color="auto" w:sz="4" w:space="0"/>
              <w:bottom w:val="single" w:color="auto" w:sz="4" w:space="0"/>
            </w:tcBorders>
            <w:shd w:val="clear" w:color="auto" w:fill="FFFFFF"/>
            <w:noWrap w:val="0"/>
            <w:vAlign w:val="center"/>
          </w:tcPr>
          <w:p w14:paraId="40106B5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104" w:type="dxa"/>
            <w:tcBorders>
              <w:top w:val="single" w:color="auto" w:sz="4" w:space="0"/>
              <w:left w:val="single" w:color="auto" w:sz="4" w:space="0"/>
              <w:bottom w:val="single" w:color="auto" w:sz="4" w:space="0"/>
            </w:tcBorders>
            <w:shd w:val="clear" w:color="auto" w:fill="FFFFFF"/>
            <w:noWrap w:val="0"/>
            <w:vAlign w:val="center"/>
          </w:tcPr>
          <w:p w14:paraId="3F36EC5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国有资产评估（含拆迁残值评估）</w:t>
            </w:r>
          </w:p>
        </w:tc>
        <w:tc>
          <w:tcPr>
            <w:tcW w:w="4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36C26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eastAsia="zh-CN"/>
              </w:rPr>
              <w:t>“浙</w:t>
            </w:r>
            <w:r>
              <w:rPr>
                <w:rFonts w:hint="eastAsia" w:ascii="宋体" w:hAnsi="宋体" w:eastAsia="宋体" w:cs="宋体"/>
                <w:color w:val="auto"/>
                <w:sz w:val="24"/>
                <w:szCs w:val="24"/>
                <w:highlight w:val="none"/>
              </w:rPr>
              <w:t>价服</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en-US"/>
              </w:rPr>
              <w:t>2011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en-US"/>
              </w:rPr>
              <w:t>90</w:t>
            </w:r>
            <w:r>
              <w:rPr>
                <w:rFonts w:hint="eastAsia" w:ascii="宋体" w:hAnsi="宋体" w:eastAsia="宋体" w:cs="宋体"/>
                <w:color w:val="auto"/>
                <w:sz w:val="24"/>
                <w:szCs w:val="24"/>
                <w:highlight w:val="none"/>
              </w:rPr>
              <w:t>号”收费标准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tc>
      </w:tr>
    </w:tbl>
    <w:p w14:paraId="67689011">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rPr>
      </w:pPr>
      <w:r>
        <w:rPr>
          <w:rFonts w:hint="eastAsia" w:ascii="宋体" w:hAnsi="宋体" w:eastAsia="宋体" w:cs="宋体"/>
          <w:bCs/>
          <w:color w:val="000000"/>
          <w:kern w:val="0"/>
          <w:lang w:val="en-US" w:eastAsia="zh-CN"/>
        </w:rPr>
        <w:t>五、</w:t>
      </w:r>
      <w:r>
        <w:rPr>
          <w:rFonts w:hint="eastAsia" w:ascii="宋体" w:hAnsi="宋体" w:eastAsia="宋体" w:cs="宋体"/>
          <w:bCs/>
          <w:color w:val="000000"/>
          <w:kern w:val="0"/>
        </w:rPr>
        <w:t>所需评估项目乙方按甲方要求时间进行评估，签订委托协议，评估完成后5天内出具正式的评估报告。评估费用</w:t>
      </w:r>
      <w:r>
        <w:rPr>
          <w:rFonts w:hint="eastAsia" w:ascii="宋体" w:hAnsi="宋体" w:eastAsia="宋体" w:cs="宋体"/>
          <w:bCs/>
          <w:color w:val="000000"/>
          <w:kern w:val="0"/>
          <w:lang w:val="en-US" w:eastAsia="zh-CN"/>
        </w:rPr>
        <w:t>在各单件项目出具评估报告和开票，</w:t>
      </w:r>
      <w:r>
        <w:rPr>
          <w:rFonts w:hint="eastAsia" w:ascii="宋体" w:hAnsi="宋体" w:eastAsia="宋体" w:cs="宋体"/>
          <w:bCs/>
          <w:color w:val="000000"/>
          <w:kern w:val="0"/>
        </w:rPr>
        <w:t>由招标人</w:t>
      </w:r>
      <w:r>
        <w:rPr>
          <w:rFonts w:hint="eastAsia" w:ascii="宋体" w:hAnsi="宋体" w:eastAsia="宋体" w:cs="宋体"/>
          <w:bCs/>
          <w:color w:val="000000"/>
          <w:kern w:val="0"/>
          <w:lang w:val="en-US" w:eastAsia="zh-CN"/>
        </w:rPr>
        <w:t>确认无异议后</w:t>
      </w:r>
      <w:r>
        <w:rPr>
          <w:rFonts w:hint="eastAsia" w:ascii="宋体" w:hAnsi="宋体" w:eastAsia="宋体" w:cs="宋体"/>
          <w:bCs/>
          <w:color w:val="000000"/>
          <w:kern w:val="0"/>
        </w:rPr>
        <w:t>统一安排支付。资产评估单项评估服务费不足1500元的按1500元计取；单件标的资产评估费最高不超过15万元。</w:t>
      </w:r>
    </w:p>
    <w:p w14:paraId="155A6029">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六、甲方主要义务</w:t>
      </w:r>
    </w:p>
    <w:p w14:paraId="04B897B9">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1、按时间进度要求向乙方提供评估业务所需的文件资料及其他与评估业务相关资料。</w:t>
      </w:r>
    </w:p>
    <w:p w14:paraId="5379369D">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2、通知被评估人在指定时间内配合乙方开展评估的现场勘测。</w:t>
      </w:r>
    </w:p>
    <w:p w14:paraId="0D919D5A">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3、对评估项目有特别规定事项应告知乙方。</w:t>
      </w:r>
    </w:p>
    <w:p w14:paraId="4ABC4704">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七、乙方的责任和义务</w:t>
      </w:r>
    </w:p>
    <w:p w14:paraId="7A7643DF">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1、根据甲方的需要，依照有关法规政策规定的程序和方法，按照独立、客观、公正的原则对评估项目进行评估，评估完成后5天内出具正式的评估报告。</w:t>
      </w:r>
    </w:p>
    <w:p w14:paraId="73ACC354">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2、评估时，乙方必须到现场实地勘测，并应保存完整的勘测记录及影像、照片等资料。</w:t>
      </w:r>
    </w:p>
    <w:p w14:paraId="59E1E078">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3、乙方必须保证评估质量，确保2名以上评估师持证上岗（以备甲方随时查验）参与现场丈量评估工作，并做好后续服务和管理工作。在征迁工作全面完成前负责做好涉及评估工作内容的政策解释和咨询、解答等相关工作。</w:t>
      </w:r>
    </w:p>
    <w:p w14:paraId="3EA8A63F">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4、乙方在出具评估报告书后，将项目汇总表、影像、照片等资料报甲方主管部门存档，并根据需要应向评估当事人解释评估的依据，选用的评估方法，评估结果的产生过程。</w:t>
      </w:r>
    </w:p>
    <w:p w14:paraId="2F16318E">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5、乙方在收到评估当事人有异议的书面复核申请，应在3个工作日内出具复核结果。</w:t>
      </w:r>
    </w:p>
    <w:p w14:paraId="0F802396">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6、被评估人不在现场时，不能评估（甲方通知乙方强行对被评估资产（或其他评估内容）或经公证处公正评估例外）。</w:t>
      </w:r>
    </w:p>
    <w:p w14:paraId="64586911">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7、乙方不得转让、分包评估业务，并应对甲方提供的文件和资料妥善保管并尽保密之责，不得擅自公开或泄露给他人。</w:t>
      </w:r>
    </w:p>
    <w:p w14:paraId="6766A2D3">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8、评估人不在现场时，不能评估。</w:t>
      </w:r>
    </w:p>
    <w:p w14:paraId="7BC7AAC2">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9、项目实施过程中涉及人员、设备、工具等的安全责任及由此产生的一切损失均由乙方自行承担，与甲方无关。</w:t>
      </w:r>
    </w:p>
    <w:p w14:paraId="7B1B0575">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10、实际委派的资产评估项目中资产评估机构不得与审计、清产核资的审计机构为同一家中介机构，或是有关联关系的中介机构。</w:t>
      </w:r>
    </w:p>
    <w:p w14:paraId="30EF3A0D">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八、违约责任</w:t>
      </w:r>
    </w:p>
    <w:p w14:paraId="4C48549E">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1、乙方有下列情形之一的，甲方有权终止合同，并视损失情况要求赔偿，乙方在两年内不得参与甲方组织的评估业务招标活动。</w:t>
      </w:r>
    </w:p>
    <w:p w14:paraId="0D6BD535">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（1）、对甲方委托的评估项目进行弄虚作假的；</w:t>
      </w:r>
    </w:p>
    <w:p w14:paraId="0693FBC8">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（2）、连续三次以上延误甲方委托的任务或连续二次出现错误或累计二次以上出现评估价格显失公正等情况，影响甲方正常工作的；</w:t>
      </w:r>
    </w:p>
    <w:p w14:paraId="0AA9DB60">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（3）、将甲方委托的业务再行委托给其他评估机构评估的。</w:t>
      </w:r>
    </w:p>
    <w:p w14:paraId="76BB2504">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2、乙方中途毁约的，需按已完成业务评估费的双倍赔偿给甲方。</w:t>
      </w:r>
    </w:p>
    <w:p w14:paraId="7FF304DB">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3、乙方应切实履行自己的责任和义务，如有违反，甲方有权对乙方进行处罚，严重可直接终止合同。</w:t>
      </w:r>
    </w:p>
    <w:p w14:paraId="779D9ACC">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4、如乙方将本项目内容工作授权给旗下分公司具体操作，乙方对分公司所做所有活动予以认可，并对此负责。</w:t>
      </w:r>
    </w:p>
    <w:p w14:paraId="59A82ADD">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5、乙方如在某项目中出现评估问题（以纪委、公安为依据），则甲方将不予支付该项目的评估费用。</w:t>
      </w:r>
    </w:p>
    <w:p w14:paraId="65929479">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九、其他</w:t>
      </w:r>
    </w:p>
    <w:p w14:paraId="64498005">
      <w:pPr>
        <w:keepNext w:val="0"/>
        <w:keepLines w:val="0"/>
        <w:pageBreakBefore w:val="0"/>
        <w:widowControl/>
        <w:kinsoku/>
        <w:wordWrap/>
        <w:overflowPunct w:val="0"/>
        <w:topLinePunct w:val="0"/>
        <w:autoSpaceDE w:val="0"/>
        <w:autoSpaceDN w:val="0"/>
        <w:bidi w:val="0"/>
        <w:adjustRightInd w:val="0"/>
        <w:snapToGrid w:val="0"/>
        <w:spacing w:line="48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1、本合同未尽事宜，由双方协商解决，并作为本合同附件，与本合同具有同等法律效力。</w:t>
      </w:r>
    </w:p>
    <w:p w14:paraId="12B87E46">
      <w:pPr>
        <w:widowControl/>
        <w:overflowPunct w:val="0"/>
        <w:autoSpaceDE w:val="0"/>
        <w:autoSpaceDN w:val="0"/>
        <w:adjustRightInd w:val="0"/>
        <w:snapToGrid w:val="0"/>
        <w:spacing w:line="46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2、本合同于</w:t>
      </w:r>
      <w:r>
        <w:rPr>
          <w:rFonts w:hint="eastAsia" w:ascii="宋体" w:hAnsi="宋体" w:eastAsia="宋体" w:cs="宋体"/>
          <w:bCs/>
          <w:color w:val="000000"/>
          <w:kern w:val="0"/>
          <w:u w:val="single"/>
          <w:lang w:val="en-US" w:eastAsia="zh-CN"/>
        </w:rPr>
        <w:tab/>
      </w:r>
      <w:r>
        <w:rPr>
          <w:rFonts w:hint="eastAsia" w:ascii="宋体" w:hAnsi="宋体" w:eastAsia="宋体" w:cs="宋体"/>
          <w:bCs/>
          <w:color w:val="000000"/>
          <w:kern w:val="0"/>
          <w:u w:val="single"/>
          <w:lang w:val="en-US" w:eastAsia="zh-CN"/>
        </w:rPr>
        <w:t xml:space="preserve">  </w:t>
      </w:r>
      <w:r>
        <w:rPr>
          <w:rFonts w:hint="eastAsia" w:ascii="宋体" w:hAnsi="宋体" w:eastAsia="宋体" w:cs="宋体"/>
          <w:bCs/>
          <w:color w:val="000000"/>
          <w:kern w:val="0"/>
          <w:lang w:val="en-US" w:eastAsia="zh-CN"/>
        </w:rPr>
        <w:t>年</w:t>
      </w:r>
      <w:r>
        <w:rPr>
          <w:rFonts w:hint="eastAsia" w:ascii="宋体" w:hAnsi="宋体" w:eastAsia="宋体" w:cs="宋体"/>
          <w:bCs/>
          <w:color w:val="000000"/>
          <w:kern w:val="0"/>
          <w:u w:val="single"/>
          <w:lang w:val="en-US" w:eastAsia="zh-CN"/>
        </w:rPr>
        <w:t xml:space="preserve">   </w:t>
      </w:r>
      <w:r>
        <w:rPr>
          <w:rFonts w:hint="eastAsia" w:ascii="宋体" w:hAnsi="宋体" w:eastAsia="宋体" w:cs="宋体"/>
          <w:bCs/>
          <w:color w:val="000000"/>
          <w:kern w:val="0"/>
          <w:lang w:val="en-US" w:eastAsia="zh-CN"/>
        </w:rPr>
        <w:t>月</w:t>
      </w:r>
      <w:r>
        <w:rPr>
          <w:rFonts w:hint="eastAsia" w:ascii="宋体" w:hAnsi="宋体" w:eastAsia="宋体" w:cs="宋体"/>
          <w:bCs/>
          <w:color w:val="000000"/>
          <w:kern w:val="0"/>
          <w:u w:val="single"/>
          <w:lang w:val="en-US" w:eastAsia="zh-CN"/>
        </w:rPr>
        <w:t xml:space="preserve">   </w:t>
      </w:r>
      <w:r>
        <w:rPr>
          <w:rFonts w:hint="eastAsia" w:ascii="宋体" w:hAnsi="宋体" w:eastAsia="宋体" w:cs="宋体"/>
          <w:bCs/>
          <w:color w:val="000000"/>
          <w:kern w:val="0"/>
          <w:lang w:val="en-US" w:eastAsia="zh-CN"/>
        </w:rPr>
        <w:t>日在中华人民共和国浙江省杭州市富阳区签订。</w:t>
      </w:r>
    </w:p>
    <w:p w14:paraId="3FA0B06B">
      <w:pPr>
        <w:widowControl/>
        <w:overflowPunct w:val="0"/>
        <w:autoSpaceDE w:val="0"/>
        <w:autoSpaceDN w:val="0"/>
        <w:adjustRightInd w:val="0"/>
        <w:snapToGrid w:val="0"/>
        <w:spacing w:line="460" w:lineRule="exact"/>
        <w:ind w:firstLine="470" w:firstLineChars="196"/>
        <w:jc w:val="left"/>
        <w:textAlignment w:val="baseline"/>
        <w:rPr>
          <w:rFonts w:hint="eastAsia" w:ascii="宋体" w:hAnsi="宋体" w:eastAsia="宋体" w:cs="宋体"/>
          <w:bCs/>
          <w:color w:val="000000"/>
          <w:kern w:val="0"/>
          <w:lang w:val="en-US" w:eastAsia="zh-CN"/>
        </w:rPr>
      </w:pPr>
      <w:r>
        <w:rPr>
          <w:rFonts w:hint="eastAsia" w:ascii="宋体" w:hAnsi="宋体" w:eastAsia="宋体" w:cs="宋体"/>
          <w:bCs/>
          <w:color w:val="000000"/>
          <w:kern w:val="0"/>
          <w:lang w:val="en-US" w:eastAsia="zh-CN"/>
        </w:rPr>
        <w:t>3、本合同一式伍份，双方各执贰份，采购代理一份。自双方签字盖章之日起生效。</w:t>
      </w:r>
    </w:p>
    <w:p w14:paraId="200BAAF0">
      <w:pPr>
        <w:pStyle w:val="5"/>
        <w:widowControl w:val="0"/>
        <w:numPr>
          <w:ilvl w:val="0"/>
          <w:numId w:val="0"/>
        </w:numPr>
        <w:spacing w:beforeLines="50" w:after="120" w:line="360" w:lineRule="auto"/>
        <w:ind w:firstLine="464" w:firstLineChars="200"/>
        <w:jc w:val="both"/>
        <w:rPr>
          <w:rFonts w:hint="eastAsia" w:ascii="宋体" w:hAnsi="宋体" w:eastAsia="宋体" w:cs="宋体"/>
          <w:color w:val="auto"/>
          <w:sz w:val="24"/>
          <w:szCs w:val="22"/>
          <w:highlight w:val="none"/>
          <w:lang w:val="en-US" w:eastAsia="zh-CN"/>
        </w:rPr>
      </w:pPr>
    </w:p>
    <w:tbl>
      <w:tblPr>
        <w:tblStyle w:val="24"/>
        <w:tblW w:w="0" w:type="auto"/>
        <w:jc w:val="center"/>
        <w:tblLayout w:type="fixed"/>
        <w:tblCellMar>
          <w:top w:w="0" w:type="dxa"/>
          <w:left w:w="10" w:type="dxa"/>
          <w:bottom w:w="0" w:type="dxa"/>
          <w:right w:w="10" w:type="dxa"/>
        </w:tblCellMar>
      </w:tblPr>
      <w:tblGrid>
        <w:gridCol w:w="4374"/>
        <w:gridCol w:w="4223"/>
      </w:tblGrid>
      <w:tr w14:paraId="129871E6">
        <w:tblPrEx>
          <w:tblCellMar>
            <w:top w:w="0" w:type="dxa"/>
            <w:left w:w="10" w:type="dxa"/>
            <w:bottom w:w="0" w:type="dxa"/>
            <w:right w:w="10" w:type="dxa"/>
          </w:tblCellMar>
        </w:tblPrEx>
        <w:trPr>
          <w:trHeight w:val="505" w:hRule="exact"/>
          <w:jc w:val="center"/>
        </w:trPr>
        <w:tc>
          <w:tcPr>
            <w:tcW w:w="4374" w:type="dxa"/>
            <w:shd w:val="clear" w:color="auto" w:fill="FFFFFF"/>
            <w:noWrap w:val="0"/>
            <w:vAlign w:val="center"/>
          </w:tcPr>
          <w:p w14:paraId="58B4B484">
            <w:pPr>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甲方：</w:t>
            </w:r>
          </w:p>
        </w:tc>
        <w:tc>
          <w:tcPr>
            <w:tcW w:w="4223" w:type="dxa"/>
            <w:shd w:val="clear" w:color="auto" w:fill="FFFFFF"/>
            <w:noWrap w:val="0"/>
            <w:vAlign w:val="center"/>
          </w:tcPr>
          <w:p w14:paraId="79C0C4A4">
            <w:pPr>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乙方：</w:t>
            </w:r>
          </w:p>
        </w:tc>
      </w:tr>
      <w:tr w14:paraId="3CB34AC6">
        <w:tblPrEx>
          <w:tblCellMar>
            <w:top w:w="0" w:type="dxa"/>
            <w:left w:w="10" w:type="dxa"/>
            <w:bottom w:w="0" w:type="dxa"/>
            <w:right w:w="10" w:type="dxa"/>
          </w:tblCellMar>
        </w:tblPrEx>
        <w:trPr>
          <w:trHeight w:val="636" w:hRule="exact"/>
          <w:jc w:val="center"/>
        </w:trPr>
        <w:tc>
          <w:tcPr>
            <w:tcW w:w="4374" w:type="dxa"/>
            <w:shd w:val="clear" w:color="auto" w:fill="FFFFFF"/>
            <w:noWrap w:val="0"/>
            <w:vAlign w:val="center"/>
          </w:tcPr>
          <w:p w14:paraId="2306FA6C">
            <w:pPr>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地址：</w:t>
            </w:r>
          </w:p>
        </w:tc>
        <w:tc>
          <w:tcPr>
            <w:tcW w:w="4223" w:type="dxa"/>
            <w:shd w:val="clear" w:color="auto" w:fill="FFFFFF"/>
            <w:noWrap w:val="0"/>
            <w:vAlign w:val="center"/>
          </w:tcPr>
          <w:p w14:paraId="76D930CF">
            <w:pPr>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地址：</w:t>
            </w:r>
          </w:p>
        </w:tc>
      </w:tr>
      <w:tr w14:paraId="7F0470BB">
        <w:tblPrEx>
          <w:tblCellMar>
            <w:top w:w="0" w:type="dxa"/>
            <w:left w:w="10" w:type="dxa"/>
            <w:bottom w:w="0" w:type="dxa"/>
            <w:right w:w="10" w:type="dxa"/>
          </w:tblCellMar>
        </w:tblPrEx>
        <w:trPr>
          <w:trHeight w:val="649" w:hRule="exact"/>
          <w:jc w:val="center"/>
        </w:trPr>
        <w:tc>
          <w:tcPr>
            <w:tcW w:w="4374" w:type="dxa"/>
            <w:shd w:val="clear" w:color="auto" w:fill="FFFFFF"/>
            <w:noWrap w:val="0"/>
            <w:vAlign w:val="center"/>
          </w:tcPr>
          <w:p w14:paraId="26F2D941">
            <w:pPr>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法定代表人：</w:t>
            </w:r>
          </w:p>
        </w:tc>
        <w:tc>
          <w:tcPr>
            <w:tcW w:w="4223" w:type="dxa"/>
            <w:shd w:val="clear" w:color="auto" w:fill="FFFFFF"/>
            <w:noWrap w:val="0"/>
            <w:vAlign w:val="center"/>
          </w:tcPr>
          <w:p w14:paraId="2907DC3D">
            <w:pPr>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法定代表人</w:t>
            </w:r>
          </w:p>
        </w:tc>
      </w:tr>
      <w:tr w14:paraId="23386024">
        <w:tblPrEx>
          <w:tblCellMar>
            <w:top w:w="0" w:type="dxa"/>
            <w:left w:w="10" w:type="dxa"/>
            <w:bottom w:w="0" w:type="dxa"/>
            <w:right w:w="10" w:type="dxa"/>
          </w:tblCellMar>
        </w:tblPrEx>
        <w:trPr>
          <w:trHeight w:val="642" w:hRule="exact"/>
          <w:jc w:val="center"/>
        </w:trPr>
        <w:tc>
          <w:tcPr>
            <w:tcW w:w="4374" w:type="dxa"/>
            <w:shd w:val="clear" w:color="auto" w:fill="FFFFFF"/>
            <w:noWrap w:val="0"/>
            <w:vAlign w:val="center"/>
          </w:tcPr>
          <w:p w14:paraId="478B4F1A">
            <w:pPr>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电话：</w:t>
            </w:r>
          </w:p>
        </w:tc>
        <w:tc>
          <w:tcPr>
            <w:tcW w:w="4223" w:type="dxa"/>
            <w:shd w:val="clear" w:color="auto" w:fill="FFFFFF"/>
            <w:noWrap w:val="0"/>
            <w:vAlign w:val="center"/>
          </w:tcPr>
          <w:p w14:paraId="42AB8B2F">
            <w:pPr>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电话：</w:t>
            </w:r>
          </w:p>
        </w:tc>
      </w:tr>
      <w:tr w14:paraId="122BF47D">
        <w:tblPrEx>
          <w:tblCellMar>
            <w:top w:w="0" w:type="dxa"/>
            <w:left w:w="10" w:type="dxa"/>
            <w:bottom w:w="0" w:type="dxa"/>
            <w:right w:w="10" w:type="dxa"/>
          </w:tblCellMar>
        </w:tblPrEx>
        <w:trPr>
          <w:trHeight w:val="636" w:hRule="exact"/>
          <w:jc w:val="center"/>
        </w:trPr>
        <w:tc>
          <w:tcPr>
            <w:tcW w:w="4374" w:type="dxa"/>
            <w:shd w:val="clear" w:color="auto" w:fill="FFFFFF"/>
            <w:noWrap w:val="0"/>
            <w:vAlign w:val="center"/>
          </w:tcPr>
          <w:p w14:paraId="4DD6F8F6">
            <w:pPr>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传真：</w:t>
            </w:r>
          </w:p>
        </w:tc>
        <w:tc>
          <w:tcPr>
            <w:tcW w:w="4223" w:type="dxa"/>
            <w:shd w:val="clear" w:color="auto" w:fill="FFFFFF"/>
            <w:noWrap w:val="0"/>
            <w:vAlign w:val="center"/>
          </w:tcPr>
          <w:p w14:paraId="0BB408E9">
            <w:pPr>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传真：</w:t>
            </w:r>
          </w:p>
        </w:tc>
      </w:tr>
      <w:tr w14:paraId="1505A8F4">
        <w:tblPrEx>
          <w:tblCellMar>
            <w:top w:w="0" w:type="dxa"/>
            <w:left w:w="10" w:type="dxa"/>
            <w:bottom w:w="0" w:type="dxa"/>
            <w:right w:w="10" w:type="dxa"/>
          </w:tblCellMar>
        </w:tblPrEx>
        <w:trPr>
          <w:trHeight w:val="642" w:hRule="exact"/>
          <w:jc w:val="center"/>
        </w:trPr>
        <w:tc>
          <w:tcPr>
            <w:tcW w:w="4374" w:type="dxa"/>
            <w:shd w:val="clear" w:color="auto" w:fill="FFFFFF"/>
            <w:noWrap w:val="0"/>
            <w:vAlign w:val="center"/>
          </w:tcPr>
          <w:p w14:paraId="04A22499">
            <w:pPr>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开户银行：</w:t>
            </w:r>
          </w:p>
        </w:tc>
        <w:tc>
          <w:tcPr>
            <w:tcW w:w="4223" w:type="dxa"/>
            <w:shd w:val="clear" w:color="auto" w:fill="FFFFFF"/>
            <w:noWrap w:val="0"/>
            <w:vAlign w:val="center"/>
          </w:tcPr>
          <w:p w14:paraId="409100E4">
            <w:pPr>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开户银行：</w:t>
            </w:r>
          </w:p>
        </w:tc>
      </w:tr>
      <w:tr w14:paraId="752A2C95">
        <w:tblPrEx>
          <w:tblCellMar>
            <w:top w:w="0" w:type="dxa"/>
            <w:left w:w="10" w:type="dxa"/>
            <w:bottom w:w="0" w:type="dxa"/>
            <w:right w:w="10" w:type="dxa"/>
          </w:tblCellMar>
        </w:tblPrEx>
        <w:trPr>
          <w:trHeight w:val="636" w:hRule="exact"/>
          <w:jc w:val="center"/>
        </w:trPr>
        <w:tc>
          <w:tcPr>
            <w:tcW w:w="4374" w:type="dxa"/>
            <w:shd w:val="clear" w:color="auto" w:fill="FFFFFF"/>
            <w:noWrap w:val="0"/>
            <w:vAlign w:val="center"/>
          </w:tcPr>
          <w:p w14:paraId="6C2BB0FC">
            <w:pPr>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账号：</w:t>
            </w:r>
          </w:p>
        </w:tc>
        <w:tc>
          <w:tcPr>
            <w:tcW w:w="4223" w:type="dxa"/>
            <w:shd w:val="clear" w:color="auto" w:fill="FFFFFF"/>
            <w:noWrap w:val="0"/>
            <w:vAlign w:val="center"/>
          </w:tcPr>
          <w:p w14:paraId="48B10C91">
            <w:pPr>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账号：</w:t>
            </w:r>
          </w:p>
        </w:tc>
      </w:tr>
      <w:tr w14:paraId="0E621F17">
        <w:tblPrEx>
          <w:tblCellMar>
            <w:top w:w="0" w:type="dxa"/>
            <w:left w:w="10" w:type="dxa"/>
            <w:bottom w:w="0" w:type="dxa"/>
            <w:right w:w="10" w:type="dxa"/>
          </w:tblCellMar>
        </w:tblPrEx>
        <w:trPr>
          <w:trHeight w:val="511" w:hRule="exact"/>
          <w:jc w:val="center"/>
        </w:trPr>
        <w:tc>
          <w:tcPr>
            <w:tcW w:w="4374" w:type="dxa"/>
            <w:shd w:val="clear" w:color="auto" w:fill="FFFFFF"/>
            <w:noWrap w:val="0"/>
            <w:vAlign w:val="center"/>
          </w:tcPr>
          <w:p w14:paraId="6EBEF154">
            <w:pPr>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邮编：</w:t>
            </w:r>
          </w:p>
        </w:tc>
        <w:tc>
          <w:tcPr>
            <w:tcW w:w="4223" w:type="dxa"/>
            <w:shd w:val="clear" w:color="auto" w:fill="FFFFFF"/>
            <w:noWrap w:val="0"/>
            <w:vAlign w:val="center"/>
          </w:tcPr>
          <w:p w14:paraId="7958A853">
            <w:pPr>
              <w:jc w:val="both"/>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邮编</w:t>
            </w:r>
          </w:p>
        </w:tc>
      </w:tr>
    </w:tbl>
    <w:p w14:paraId="62AE4BF7">
      <w:pPr>
        <w:pStyle w:val="5"/>
        <w:widowControl w:val="0"/>
        <w:numPr>
          <w:ilvl w:val="0"/>
          <w:numId w:val="0"/>
        </w:numPr>
        <w:spacing w:beforeLines="50" w:after="120" w:line="360" w:lineRule="auto"/>
        <w:ind w:firstLine="464" w:firstLineChars="200"/>
        <w:jc w:val="center"/>
        <w:rPr>
          <w:rFonts w:hint="eastAsia" w:ascii="宋体" w:hAnsi="宋体" w:eastAsia="宋体" w:cs="宋体"/>
          <w:b/>
          <w:color w:val="auto"/>
          <w:sz w:val="32"/>
          <w:szCs w:val="32"/>
          <w:highlight w:val="none"/>
        </w:rPr>
      </w:pPr>
      <w:r>
        <w:rPr>
          <w:rFonts w:hint="eastAsia" w:ascii="宋体" w:hAnsi="宋体" w:eastAsia="宋体" w:cs="宋体"/>
          <w:color w:val="auto"/>
          <w:sz w:val="24"/>
          <w:szCs w:val="22"/>
          <w:highlight w:val="none"/>
        </w:rPr>
        <w:br w:type="page"/>
      </w:r>
      <w:r>
        <w:rPr>
          <w:rFonts w:hint="eastAsia" w:ascii="宋体" w:hAnsi="宋体" w:eastAsia="宋体" w:cs="宋体"/>
          <w:b/>
          <w:color w:val="auto"/>
          <w:sz w:val="32"/>
          <w:szCs w:val="32"/>
          <w:highlight w:val="none"/>
        </w:rPr>
        <w:t>廉 政 条 款</w:t>
      </w:r>
    </w:p>
    <w:p w14:paraId="4DE3733C">
      <w:pPr>
        <w:spacing w:before="156"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一、甲、乙双方的权利和义务</w:t>
      </w:r>
    </w:p>
    <w:p w14:paraId="7AF48842">
      <w:pPr>
        <w:spacing w:before="156"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1.甲、乙双方应严格遵守党的政策规定和国家有关法律法规。</w:t>
      </w:r>
    </w:p>
    <w:p w14:paraId="6D7AFE93">
      <w:pPr>
        <w:spacing w:before="156"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2.甲、乙双方应严格执行项目的合同文件，自觉按合同办事。</w:t>
      </w:r>
    </w:p>
    <w:p w14:paraId="5BC07C85">
      <w:pPr>
        <w:spacing w:before="156"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3.甲、乙双方的业务活动应坚持公开、公平、公正、诚信、透明的原则。</w:t>
      </w:r>
    </w:p>
    <w:p w14:paraId="2E5A7137">
      <w:pPr>
        <w:spacing w:before="156"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4.乙方不得以任何理由向监理和委托方的项目监管人员行贿或馈赠礼金、有价证劵、贵重礼品，不得为利用关系人报销任何应由个人支付的费用。</w:t>
      </w:r>
    </w:p>
    <w:p w14:paraId="1CC3E2DC">
      <w:pPr>
        <w:spacing w:before="156"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5.甲、乙双方不得以任何理由违反廉洁自律的有关规定。</w:t>
      </w:r>
    </w:p>
    <w:p w14:paraId="06651195">
      <w:pPr>
        <w:spacing w:before="156"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6.甲、乙双方发现对方严重违反本合同条款的行为，有及时提醒对方、向其上级有关部门举报、建议给予处理并要求告知处理结果的权利。</w:t>
      </w:r>
    </w:p>
    <w:p w14:paraId="180464EE">
      <w:pPr>
        <w:spacing w:before="156"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二、违约责任</w:t>
      </w:r>
    </w:p>
    <w:p w14:paraId="1C28FAAB">
      <w:pPr>
        <w:spacing w:before="156"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甲、乙双方及其工作人员违反本合同有关规定的，按管理权限，依据有关规定给予经济处罚或追究党纪政纪责任；涉嫌犯罪的，移交司法机关追究刑事责任；给双方单位造成经济损失的，应予以赔偿。</w:t>
      </w:r>
    </w:p>
    <w:p w14:paraId="14C82013">
      <w:pPr>
        <w:spacing w:before="156" w:line="500" w:lineRule="exact"/>
        <w:ind w:firstLine="480" w:firstLineChars="200"/>
        <w:rPr>
          <w:rFonts w:hint="eastAsia" w:ascii="宋体" w:hAnsi="宋体" w:eastAsia="宋体" w:cs="宋体"/>
          <w:color w:val="auto"/>
          <w:sz w:val="24"/>
          <w:szCs w:val="24"/>
          <w:highlight w:val="none"/>
        </w:rPr>
      </w:pPr>
    </w:p>
    <w:p w14:paraId="14DB7A9B">
      <w:pPr>
        <w:spacing w:before="156"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甲方单位（盖公章）：                  乙方单位（盖公章）：</w:t>
      </w:r>
    </w:p>
    <w:p w14:paraId="7D77182E">
      <w:pPr>
        <w:spacing w:before="156"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法定代表或委托人：                    法定代表或委托人：</w:t>
      </w:r>
    </w:p>
    <w:p w14:paraId="7281972B">
      <w:pPr>
        <w:pStyle w:val="13"/>
        <w:adjustRightInd w:val="0"/>
        <w:snapToGrid w:val="0"/>
        <w:spacing w:before="0" w:beforeLines="0" w:afterLines="0" w:line="5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（签字或盖章）                       （签字或盖章）</w:t>
      </w:r>
    </w:p>
    <w:p w14:paraId="75A81C15">
      <w:pPr>
        <w:pStyle w:val="13"/>
        <w:adjustRightInd w:val="0"/>
        <w:snapToGrid w:val="0"/>
        <w:spacing w:before="0" w:beforeLines="0" w:afterLines="0"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139BAD3">
      <w:pPr>
        <w:pStyle w:val="13"/>
        <w:adjustRightInd w:val="0"/>
        <w:snapToGrid w:val="0"/>
        <w:spacing w:before="0" w:beforeLines="0" w:afterLines="0" w:line="50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日期：    年  月  日</w:t>
      </w:r>
    </w:p>
    <w:p w14:paraId="51A658DD">
      <w:pPr>
        <w:rPr>
          <w:rFonts w:hint="eastAsia" w:ascii="宋体" w:hAnsi="宋体" w:eastAsia="宋体" w:cs="宋体"/>
        </w:rPr>
      </w:pPr>
      <w:r>
        <w:rPr>
          <w:rFonts w:hint="eastAsia" w:ascii="宋体" w:hAnsi="宋体" w:eastAsia="宋体" w:cs="宋体"/>
          <w:color w:val="auto"/>
          <w:sz w:val="36"/>
          <w:szCs w:val="36"/>
          <w:highlight w:val="none"/>
        </w:rPr>
        <w:br w:type="page"/>
      </w:r>
    </w:p>
    <w:p w14:paraId="0240B689">
      <w:pPr>
        <w:pStyle w:val="2"/>
        <w:rPr>
          <w:rFonts w:hint="eastAsia" w:ascii="宋体" w:hAnsi="宋体" w:eastAsia="宋体" w:cs="宋体"/>
        </w:rPr>
      </w:pPr>
      <w:r>
        <w:rPr>
          <w:rFonts w:hint="eastAsia" w:ascii="宋体" w:hAnsi="宋体" w:eastAsia="宋体" w:cs="宋体"/>
        </w:rPr>
        <w:t>第六章 投标文件格式附件</w:t>
      </w:r>
      <w:bookmarkEnd w:id="7"/>
    </w:p>
    <w:p w14:paraId="38FDB461">
      <w:pPr>
        <w:widowControl/>
        <w:wordWrap w:val="0"/>
        <w:topLinePunct/>
        <w:snapToGrid w:val="0"/>
        <w:rPr>
          <w:rFonts w:hint="eastAsia" w:ascii="宋体" w:hAnsi="宋体" w:eastAsia="宋体" w:cs="宋体"/>
          <w:b/>
          <w:kern w:val="0"/>
          <w:sz w:val="28"/>
        </w:rPr>
      </w:pPr>
    </w:p>
    <w:p w14:paraId="0AE41CB9">
      <w:pPr>
        <w:wordWrap w:val="0"/>
        <w:topLinePunct/>
        <w:ind w:firstLine="480" w:firstLineChars="200"/>
        <w:rPr>
          <w:rFonts w:hint="eastAsia" w:ascii="宋体" w:hAnsi="宋体" w:eastAsia="宋体" w:cs="宋体"/>
        </w:rPr>
      </w:pPr>
      <w:r>
        <w:rPr>
          <w:rFonts w:hint="eastAsia" w:ascii="宋体" w:hAnsi="宋体" w:eastAsia="宋体" w:cs="宋体"/>
        </w:rPr>
        <w:t>投标人提交投标文件须知：</w:t>
      </w:r>
    </w:p>
    <w:p w14:paraId="419C8BF7">
      <w:pPr>
        <w:wordWrap w:val="0"/>
        <w:topLinePunct/>
        <w:ind w:firstLine="480" w:firstLineChars="200"/>
        <w:rPr>
          <w:rFonts w:hint="eastAsia" w:ascii="宋体" w:hAnsi="宋体" w:eastAsia="宋体" w:cs="宋体"/>
        </w:rPr>
      </w:pPr>
      <w:r>
        <w:rPr>
          <w:rFonts w:hint="eastAsia" w:ascii="宋体" w:hAnsi="宋体" w:eastAsia="宋体" w:cs="宋体"/>
        </w:rPr>
        <w:t>（一）投标人应严格按照以下要求填写和提交下述规定的全部格式文件以及其他有关资料，混乱的编排导致投标文件被误读或评标委员会查找不到有效文件是投标人的风险。</w:t>
      </w:r>
    </w:p>
    <w:p w14:paraId="65E97872">
      <w:pPr>
        <w:wordWrap w:val="0"/>
        <w:topLinePunct/>
        <w:ind w:firstLine="480" w:firstLineChars="200"/>
        <w:rPr>
          <w:rFonts w:hint="eastAsia" w:ascii="宋体" w:hAnsi="宋体" w:eastAsia="宋体" w:cs="宋体"/>
        </w:rPr>
      </w:pPr>
      <w:r>
        <w:rPr>
          <w:rFonts w:hint="eastAsia" w:ascii="宋体" w:hAnsi="宋体" w:eastAsia="宋体" w:cs="宋体"/>
        </w:rPr>
        <w:t>（二）所附表格中要求回答的全部问题、信息都必须正面回答。</w:t>
      </w:r>
    </w:p>
    <w:p w14:paraId="3940AFBE">
      <w:pPr>
        <w:wordWrap w:val="0"/>
        <w:topLinePunct/>
        <w:ind w:firstLine="480" w:firstLineChars="200"/>
        <w:rPr>
          <w:rFonts w:hint="eastAsia" w:ascii="宋体" w:hAnsi="宋体" w:eastAsia="宋体" w:cs="宋体"/>
        </w:rPr>
      </w:pPr>
      <w:r>
        <w:rPr>
          <w:rFonts w:hint="eastAsia" w:ascii="宋体" w:hAnsi="宋体" w:eastAsia="宋体" w:cs="宋体"/>
        </w:rPr>
        <w:t>（三）本声明书和投标响应函的签字人应保证全部声明和问题的回答是真实的和准确的。</w:t>
      </w:r>
    </w:p>
    <w:p w14:paraId="1C247A47">
      <w:pPr>
        <w:wordWrap w:val="0"/>
        <w:topLinePunct/>
        <w:ind w:firstLine="480" w:firstLineChars="200"/>
        <w:rPr>
          <w:rFonts w:hint="eastAsia" w:ascii="宋体" w:hAnsi="宋体" w:eastAsia="宋体" w:cs="宋体"/>
        </w:rPr>
      </w:pPr>
      <w:r>
        <w:rPr>
          <w:rFonts w:hint="eastAsia" w:ascii="宋体" w:hAnsi="宋体" w:eastAsia="宋体" w:cs="宋体"/>
        </w:rPr>
        <w:t>（四）评标委员会将应用投标人提交的资料作出自己的判断。</w:t>
      </w:r>
    </w:p>
    <w:p w14:paraId="328CEAAA">
      <w:pPr>
        <w:wordWrap w:val="0"/>
        <w:topLinePunct/>
        <w:ind w:firstLine="480" w:firstLineChars="200"/>
        <w:rPr>
          <w:rFonts w:hint="eastAsia" w:ascii="宋体" w:hAnsi="宋体" w:eastAsia="宋体" w:cs="宋体"/>
        </w:rPr>
      </w:pPr>
      <w:r>
        <w:rPr>
          <w:rFonts w:hint="eastAsia" w:ascii="宋体" w:hAnsi="宋体" w:eastAsia="宋体" w:cs="宋体"/>
        </w:rPr>
        <w:t>（五）投标人提交的材料将在一定期限内被保密保存，但不退还。</w:t>
      </w:r>
    </w:p>
    <w:p w14:paraId="64820626">
      <w:pPr>
        <w:wordWrap w:val="0"/>
        <w:topLinePunct/>
        <w:ind w:firstLine="480" w:firstLineChars="200"/>
        <w:rPr>
          <w:rFonts w:hint="eastAsia" w:ascii="宋体" w:hAnsi="宋体" w:eastAsia="宋体" w:cs="宋体"/>
        </w:rPr>
      </w:pPr>
      <w:r>
        <w:rPr>
          <w:rFonts w:hint="eastAsia" w:ascii="宋体" w:hAnsi="宋体" w:eastAsia="宋体" w:cs="宋体"/>
        </w:rPr>
        <w:t>（六）电子投标文件，需按乐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3093AB79">
      <w:pPr>
        <w:rPr>
          <w:rFonts w:hint="eastAsia" w:ascii="宋体" w:hAnsi="宋体" w:eastAsia="宋体" w:cs="宋体"/>
          <w:b/>
          <w:sz w:val="36"/>
          <w:szCs w:val="36"/>
        </w:rPr>
      </w:pPr>
      <w:r>
        <w:rPr>
          <w:rFonts w:hint="eastAsia" w:ascii="宋体" w:hAnsi="宋体" w:eastAsia="宋体" w:cs="宋体"/>
          <w:b/>
          <w:sz w:val="36"/>
          <w:szCs w:val="36"/>
        </w:rPr>
        <w:br w:type="page"/>
      </w:r>
    </w:p>
    <w:p w14:paraId="027DD968">
      <w:pPr>
        <w:jc w:val="center"/>
        <w:rPr>
          <w:rFonts w:hint="eastAsia" w:ascii="宋体" w:hAnsi="宋体" w:eastAsia="宋体" w:cs="宋体"/>
          <w:b/>
          <w:bCs/>
          <w:sz w:val="30"/>
          <w:szCs w:val="30"/>
        </w:rPr>
      </w:pPr>
      <w:r>
        <w:rPr>
          <w:rFonts w:hint="eastAsia" w:ascii="宋体" w:hAnsi="宋体" w:eastAsia="宋体" w:cs="宋体"/>
          <w:b/>
          <w:bCs/>
          <w:sz w:val="30"/>
          <w:szCs w:val="30"/>
        </w:rPr>
        <w:t>商务技术评分索引</w:t>
      </w:r>
    </w:p>
    <w:p w14:paraId="3D8B2DF0">
      <w:pPr>
        <w:jc w:val="center"/>
        <w:rPr>
          <w:rFonts w:hint="eastAsia" w:ascii="宋体" w:hAnsi="宋体" w:eastAsia="宋体" w:cs="宋体"/>
        </w:rPr>
      </w:pPr>
      <w:r>
        <w:rPr>
          <w:rFonts w:hint="eastAsia" w:ascii="宋体" w:hAnsi="宋体" w:eastAsia="宋体" w:cs="宋体"/>
        </w:rPr>
        <w:t>（此表请放于商务技术投标文件正文首页）</w:t>
      </w:r>
    </w:p>
    <w:tbl>
      <w:tblPr>
        <w:tblStyle w:val="24"/>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230"/>
        <w:gridCol w:w="6945"/>
        <w:gridCol w:w="690"/>
        <w:gridCol w:w="711"/>
      </w:tblGrid>
      <w:tr w14:paraId="6796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94" w:type="dxa"/>
            <w:noWrap w:val="0"/>
            <w:vAlign w:val="center"/>
          </w:tcPr>
          <w:p w14:paraId="7E8870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1230" w:type="dxa"/>
            <w:noWrap w:val="0"/>
            <w:vAlign w:val="center"/>
          </w:tcPr>
          <w:p w14:paraId="36CE11B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评分项目</w:t>
            </w:r>
          </w:p>
        </w:tc>
        <w:tc>
          <w:tcPr>
            <w:tcW w:w="6945" w:type="dxa"/>
            <w:noWrap w:val="0"/>
            <w:vAlign w:val="center"/>
          </w:tcPr>
          <w:p w14:paraId="1FA407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评分内容</w:t>
            </w:r>
          </w:p>
        </w:tc>
        <w:tc>
          <w:tcPr>
            <w:tcW w:w="690" w:type="dxa"/>
            <w:noWrap w:val="0"/>
            <w:vAlign w:val="center"/>
          </w:tcPr>
          <w:p w14:paraId="293D014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最高分值</w:t>
            </w:r>
          </w:p>
        </w:tc>
        <w:tc>
          <w:tcPr>
            <w:tcW w:w="711" w:type="dxa"/>
            <w:noWrap w:val="0"/>
            <w:vAlign w:val="center"/>
          </w:tcPr>
          <w:p w14:paraId="0CAC36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页码</w:t>
            </w:r>
          </w:p>
        </w:tc>
      </w:tr>
      <w:tr w14:paraId="22B6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594" w:type="dxa"/>
            <w:noWrap w:val="0"/>
            <w:vAlign w:val="center"/>
          </w:tcPr>
          <w:p w14:paraId="7AC707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30" w:type="dxa"/>
            <w:noWrap w:val="0"/>
            <w:vAlign w:val="center"/>
          </w:tcPr>
          <w:p w14:paraId="111F3C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综合实力</w:t>
            </w:r>
          </w:p>
          <w:p w14:paraId="15E77C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（0-3分）</w:t>
            </w:r>
          </w:p>
        </w:tc>
        <w:tc>
          <w:tcPr>
            <w:tcW w:w="6945" w:type="dxa"/>
            <w:noWrap w:val="0"/>
            <w:vAlign w:val="center"/>
          </w:tcPr>
          <w:p w14:paraId="69900491">
            <w:pPr>
              <w:pStyle w:val="4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投标人具有质量管理体系认证、环境管理体系认证、职业健康安全管理体系认证的每个得1分，最高得3分（0-3分）。</w:t>
            </w:r>
          </w:p>
          <w:p w14:paraId="4DF37D25">
            <w:pPr>
              <w:pStyle w:val="4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【注：提供有效期内认证证书复印件及在全国认证认可信息公共服务平台（http://cx.cnca.cn/）查询的截图，两者缺一不可，否则不得分，复印件加盖公章】</w:t>
            </w:r>
          </w:p>
        </w:tc>
        <w:tc>
          <w:tcPr>
            <w:tcW w:w="690" w:type="dxa"/>
            <w:noWrap w:val="0"/>
            <w:vAlign w:val="center"/>
          </w:tcPr>
          <w:p w14:paraId="1143B9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3分</w:t>
            </w:r>
          </w:p>
        </w:tc>
        <w:tc>
          <w:tcPr>
            <w:tcW w:w="711" w:type="dxa"/>
            <w:noWrap w:val="0"/>
            <w:vAlign w:val="center"/>
          </w:tcPr>
          <w:p w14:paraId="72955C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eastAsia="zh-CN"/>
              </w:rPr>
            </w:pPr>
          </w:p>
        </w:tc>
      </w:tr>
      <w:tr w14:paraId="6652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594" w:type="dxa"/>
            <w:noWrap w:val="0"/>
            <w:vAlign w:val="center"/>
          </w:tcPr>
          <w:p w14:paraId="37207B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230" w:type="dxa"/>
            <w:noWrap w:val="0"/>
            <w:vAlign w:val="center"/>
          </w:tcPr>
          <w:p w14:paraId="02FC92B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专职执业评估师</w:t>
            </w:r>
            <w:r>
              <w:rPr>
                <w:rFonts w:hint="eastAsia" w:ascii="宋体" w:hAnsi="宋体" w:eastAsia="宋体" w:cs="宋体"/>
                <w:color w:val="auto"/>
                <w:kern w:val="0"/>
                <w:sz w:val="21"/>
                <w:szCs w:val="21"/>
                <w:highlight w:val="none"/>
                <w:lang w:val="en-US" w:eastAsia="zh-CN"/>
              </w:rPr>
              <w:t>情况</w:t>
            </w:r>
          </w:p>
          <w:p w14:paraId="40A835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（0-</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eastAsia="zh-CN"/>
              </w:rPr>
              <w:t>分）</w:t>
            </w:r>
          </w:p>
        </w:tc>
        <w:tc>
          <w:tcPr>
            <w:tcW w:w="6945" w:type="dxa"/>
            <w:noWrap w:val="0"/>
            <w:vAlign w:val="center"/>
          </w:tcPr>
          <w:p w14:paraId="1FACCAB5">
            <w:pPr>
              <w:pStyle w:val="42"/>
              <w:keepNext w:val="0"/>
              <w:keepLines w:val="0"/>
              <w:pageBreakBefore w:val="0"/>
              <w:widowControl w:val="0"/>
              <w:kinsoku/>
              <w:wordWrap/>
              <w:overflowPunct/>
              <w:topLinePunct w:val="0"/>
              <w:autoSpaceDE/>
              <w:autoSpaceDN/>
              <w:bidi w:val="0"/>
              <w:adjustRightInd/>
              <w:snapToGrid/>
              <w:spacing w:beforeLines="0" w:line="30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投标人具有注册资产评估师6人得基准分3分,每增加1人加1分，最高得8分（0-8分）。</w:t>
            </w:r>
          </w:p>
          <w:p w14:paraId="44574353">
            <w:pPr>
              <w:pStyle w:val="4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【注：提供相关人员《资产评估师职业资格证书登记卡》及投标人为其缴纳的近三个月社保证明材料复印件或扫描件并加盖电子签章。】</w:t>
            </w:r>
          </w:p>
        </w:tc>
        <w:tc>
          <w:tcPr>
            <w:tcW w:w="690" w:type="dxa"/>
            <w:noWrap w:val="0"/>
            <w:vAlign w:val="center"/>
          </w:tcPr>
          <w:p w14:paraId="102246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8分</w:t>
            </w:r>
          </w:p>
        </w:tc>
        <w:tc>
          <w:tcPr>
            <w:tcW w:w="711" w:type="dxa"/>
            <w:noWrap w:val="0"/>
            <w:vAlign w:val="center"/>
          </w:tcPr>
          <w:p w14:paraId="51D585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kern w:val="0"/>
                <w:sz w:val="21"/>
                <w:szCs w:val="21"/>
                <w:highlight w:val="none"/>
                <w:lang w:val="en-US" w:eastAsia="zh-CN" w:bidi="ar-SA"/>
              </w:rPr>
            </w:pPr>
          </w:p>
        </w:tc>
      </w:tr>
      <w:tr w14:paraId="6490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4" w:type="dxa"/>
            <w:vMerge w:val="restart"/>
            <w:noWrap w:val="0"/>
            <w:vAlign w:val="center"/>
          </w:tcPr>
          <w:p w14:paraId="0CDCAB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230" w:type="dxa"/>
            <w:vMerge w:val="restart"/>
            <w:noWrap w:val="0"/>
            <w:vAlign w:val="center"/>
          </w:tcPr>
          <w:p w14:paraId="78BF00C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拟投入</w:t>
            </w:r>
            <w:r>
              <w:rPr>
                <w:rFonts w:hint="eastAsia" w:ascii="宋体" w:hAnsi="宋体" w:eastAsia="宋体" w:cs="宋体"/>
                <w:color w:val="auto"/>
                <w:kern w:val="0"/>
                <w:sz w:val="21"/>
                <w:szCs w:val="21"/>
                <w:highlight w:val="none"/>
              </w:rPr>
              <w:t>团队</w:t>
            </w:r>
            <w:r>
              <w:rPr>
                <w:rFonts w:hint="eastAsia" w:ascii="宋体" w:hAnsi="宋体" w:eastAsia="宋体" w:cs="宋体"/>
                <w:color w:val="auto"/>
                <w:kern w:val="0"/>
                <w:sz w:val="21"/>
                <w:szCs w:val="21"/>
                <w:highlight w:val="none"/>
                <w:lang w:val="en-US" w:eastAsia="zh-CN"/>
              </w:rPr>
              <w:t>人员</w:t>
            </w:r>
            <w:r>
              <w:rPr>
                <w:rFonts w:hint="eastAsia" w:ascii="宋体" w:hAnsi="宋体" w:eastAsia="宋体" w:cs="宋体"/>
                <w:color w:val="auto"/>
                <w:kern w:val="0"/>
                <w:sz w:val="21"/>
                <w:szCs w:val="21"/>
                <w:highlight w:val="none"/>
              </w:rPr>
              <w:t>情况</w:t>
            </w:r>
          </w:p>
          <w:p w14:paraId="010ADF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w:t>
            </w:r>
          </w:p>
        </w:tc>
        <w:tc>
          <w:tcPr>
            <w:tcW w:w="6945" w:type="dxa"/>
            <w:noWrap w:val="0"/>
            <w:vAlign w:val="center"/>
          </w:tcPr>
          <w:p w14:paraId="1E7B81B2">
            <w:pPr>
              <w:pStyle w:val="4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r>
              <w:rPr>
                <w:rFonts w:hint="default" w:ascii="宋体" w:hAnsi="宋体" w:eastAsia="宋体" w:cs="宋体"/>
                <w:color w:val="auto"/>
                <w:sz w:val="21"/>
                <w:szCs w:val="21"/>
                <w:lang w:val="en-US" w:eastAsia="zh-CN"/>
              </w:rPr>
              <w:t>拟派团队人员数量5</w:t>
            </w:r>
            <w:r>
              <w:rPr>
                <w:rFonts w:hint="eastAsia" w:ascii="宋体" w:hAnsi="宋体" w:eastAsia="宋体" w:cs="宋体"/>
                <w:color w:val="auto"/>
                <w:sz w:val="21"/>
                <w:szCs w:val="21"/>
                <w:lang w:val="en-US" w:eastAsia="zh-CN"/>
              </w:rPr>
              <w:t>（含）</w:t>
            </w:r>
            <w:r>
              <w:rPr>
                <w:rFonts w:hint="default" w:ascii="宋体" w:hAnsi="宋体" w:eastAsia="宋体" w:cs="宋体"/>
                <w:color w:val="auto"/>
                <w:sz w:val="21"/>
                <w:szCs w:val="21"/>
                <w:lang w:val="en-US" w:eastAsia="zh-CN"/>
              </w:rPr>
              <w:t>-8</w:t>
            </w:r>
            <w:r>
              <w:rPr>
                <w:rFonts w:hint="eastAsia" w:ascii="宋体" w:hAnsi="宋体" w:eastAsia="宋体" w:cs="宋体"/>
                <w:color w:val="auto"/>
                <w:sz w:val="21"/>
                <w:szCs w:val="21"/>
                <w:lang w:val="en-US" w:eastAsia="zh-CN"/>
              </w:rPr>
              <w:t>（含）</w:t>
            </w:r>
            <w:r>
              <w:rPr>
                <w:rFonts w:hint="default" w:ascii="宋体" w:hAnsi="宋体" w:eastAsia="宋体" w:cs="宋体"/>
                <w:color w:val="auto"/>
                <w:sz w:val="21"/>
                <w:szCs w:val="21"/>
                <w:lang w:val="en-US" w:eastAsia="zh-CN"/>
              </w:rPr>
              <w:t>人的得1分；9</w:t>
            </w:r>
            <w:r>
              <w:rPr>
                <w:rFonts w:hint="eastAsia" w:ascii="宋体" w:hAnsi="宋体" w:eastAsia="宋体" w:cs="宋体"/>
                <w:color w:val="auto"/>
                <w:sz w:val="21"/>
                <w:szCs w:val="21"/>
                <w:lang w:val="en-US" w:eastAsia="zh-CN"/>
              </w:rPr>
              <w:t>（含）</w:t>
            </w:r>
            <w:r>
              <w:rPr>
                <w:rFonts w:hint="default" w:ascii="宋体" w:hAnsi="宋体" w:eastAsia="宋体" w:cs="宋体"/>
                <w:color w:val="auto"/>
                <w:sz w:val="21"/>
                <w:szCs w:val="21"/>
                <w:lang w:val="en-US" w:eastAsia="zh-CN"/>
              </w:rPr>
              <w:t>-12人</w:t>
            </w:r>
            <w:r>
              <w:rPr>
                <w:rFonts w:hint="eastAsia" w:ascii="宋体" w:hAnsi="宋体" w:eastAsia="宋体" w:cs="宋体"/>
                <w:color w:val="auto"/>
                <w:sz w:val="21"/>
                <w:szCs w:val="21"/>
                <w:lang w:val="en-US" w:eastAsia="zh-CN"/>
              </w:rPr>
              <w:t>（含）</w:t>
            </w:r>
            <w:r>
              <w:rPr>
                <w:rFonts w:hint="default" w:ascii="宋体" w:hAnsi="宋体" w:eastAsia="宋体" w:cs="宋体"/>
                <w:color w:val="auto"/>
                <w:sz w:val="21"/>
                <w:szCs w:val="21"/>
                <w:lang w:val="en-US" w:eastAsia="zh-CN"/>
              </w:rPr>
              <w:t>的得2分；13</w:t>
            </w:r>
            <w:r>
              <w:rPr>
                <w:rFonts w:hint="eastAsia" w:ascii="宋体" w:hAnsi="宋体" w:eastAsia="宋体" w:cs="宋体"/>
                <w:color w:val="auto"/>
                <w:sz w:val="21"/>
                <w:szCs w:val="21"/>
                <w:lang w:val="en-US" w:eastAsia="zh-CN"/>
              </w:rPr>
              <w:t>（含）</w:t>
            </w:r>
            <w:r>
              <w:rPr>
                <w:rFonts w:hint="default" w:ascii="宋体" w:hAnsi="宋体" w:eastAsia="宋体" w:cs="宋体"/>
                <w:color w:val="auto"/>
                <w:sz w:val="21"/>
                <w:szCs w:val="21"/>
                <w:lang w:val="en-US" w:eastAsia="zh-CN"/>
              </w:rPr>
              <w:t>人及以上的得3分。</w:t>
            </w:r>
          </w:p>
          <w:p w14:paraId="790CB1A0">
            <w:pPr>
              <w:pStyle w:val="4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【注：须提供投标人为以上相关人员缴纳的近三个月社保证明材料</w:t>
            </w: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rPr>
              <w:t>近3个月内任何1个月社保缴纳证明即可</w:t>
            </w: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lang w:val="en-US" w:eastAsia="zh-CN"/>
              </w:rPr>
              <w:t>复印件或扫描件并加盖电子签章。】</w:t>
            </w:r>
          </w:p>
        </w:tc>
        <w:tc>
          <w:tcPr>
            <w:tcW w:w="690" w:type="dxa"/>
            <w:noWrap w:val="0"/>
            <w:vAlign w:val="center"/>
          </w:tcPr>
          <w:p w14:paraId="2CD845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3分</w:t>
            </w:r>
          </w:p>
        </w:tc>
        <w:tc>
          <w:tcPr>
            <w:tcW w:w="711" w:type="dxa"/>
            <w:noWrap w:val="0"/>
            <w:vAlign w:val="center"/>
          </w:tcPr>
          <w:p w14:paraId="2442FC9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bidi="ar-SA"/>
              </w:rPr>
            </w:pPr>
          </w:p>
        </w:tc>
      </w:tr>
      <w:tr w14:paraId="426A7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594" w:type="dxa"/>
            <w:vMerge w:val="continue"/>
            <w:noWrap w:val="0"/>
            <w:vAlign w:val="center"/>
          </w:tcPr>
          <w:p w14:paraId="3E3E0EC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rPr>
            </w:pPr>
          </w:p>
        </w:tc>
        <w:tc>
          <w:tcPr>
            <w:tcW w:w="1230" w:type="dxa"/>
            <w:vMerge w:val="continue"/>
            <w:noWrap w:val="0"/>
            <w:vAlign w:val="center"/>
          </w:tcPr>
          <w:p w14:paraId="40A8BD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rPr>
            </w:pPr>
          </w:p>
        </w:tc>
        <w:tc>
          <w:tcPr>
            <w:tcW w:w="6945" w:type="dxa"/>
            <w:noWrap w:val="0"/>
            <w:vAlign w:val="center"/>
          </w:tcPr>
          <w:p w14:paraId="7611C8BA">
            <w:pPr>
              <w:pStyle w:val="4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3.2拟派项目团队人员（除项目负责人外），具有中级或以上职称的每人得1分，最高得3分（0-3分）。</w:t>
            </w:r>
          </w:p>
          <w:p w14:paraId="55691BAF">
            <w:pPr>
              <w:pStyle w:val="4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【注：提供相关人员职称证书及投标人为其缴纳的近三个月社保证明材料</w:t>
            </w: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rPr>
              <w:t>近3个月内任何1个月社保缴纳证明即可</w:t>
            </w: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lang w:val="en-US" w:eastAsia="zh-CN"/>
              </w:rPr>
              <w:t>复印件或扫描件并加盖电子签章。】</w:t>
            </w:r>
          </w:p>
        </w:tc>
        <w:tc>
          <w:tcPr>
            <w:tcW w:w="690" w:type="dxa"/>
            <w:noWrap w:val="0"/>
            <w:vAlign w:val="center"/>
          </w:tcPr>
          <w:p w14:paraId="2C8EAC9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3分</w:t>
            </w:r>
          </w:p>
        </w:tc>
        <w:tc>
          <w:tcPr>
            <w:tcW w:w="711" w:type="dxa"/>
            <w:noWrap w:val="0"/>
            <w:vAlign w:val="center"/>
          </w:tcPr>
          <w:p w14:paraId="3097C0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rPr>
            </w:pPr>
          </w:p>
        </w:tc>
      </w:tr>
      <w:tr w14:paraId="67ED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594" w:type="dxa"/>
            <w:vMerge w:val="continue"/>
            <w:noWrap w:val="0"/>
            <w:vAlign w:val="center"/>
          </w:tcPr>
          <w:p w14:paraId="6BE6CD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rPr>
            </w:pPr>
          </w:p>
        </w:tc>
        <w:tc>
          <w:tcPr>
            <w:tcW w:w="1230" w:type="dxa"/>
            <w:vMerge w:val="continue"/>
            <w:noWrap w:val="0"/>
            <w:vAlign w:val="center"/>
          </w:tcPr>
          <w:p w14:paraId="617F48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rPr>
            </w:pPr>
          </w:p>
        </w:tc>
        <w:tc>
          <w:tcPr>
            <w:tcW w:w="6945" w:type="dxa"/>
            <w:noWrap w:val="0"/>
            <w:vAlign w:val="center"/>
          </w:tcPr>
          <w:p w14:paraId="6B668A4C">
            <w:pPr>
              <w:pStyle w:val="4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3.3拟派项目负责人具有中级职称的得1分，高级职称的得2分，本项最高得2分（0-2分）。</w:t>
            </w:r>
          </w:p>
          <w:p w14:paraId="599A5B5B">
            <w:pPr>
              <w:pStyle w:val="4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【注：提供相关人员职称证书及投标人为其缴纳的近三个月社保证明材料</w:t>
            </w: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rPr>
              <w:t>近3个月内任何1个月社保缴纳证明即可</w:t>
            </w:r>
            <w:r>
              <w:rPr>
                <w:rFonts w:hint="eastAsia" w:ascii="宋体" w:hAnsi="宋体" w:eastAsia="宋体" w:cs="宋体"/>
                <w:b/>
                <w:bCs/>
                <w:color w:val="auto"/>
                <w:sz w:val="21"/>
                <w:szCs w:val="21"/>
                <w:lang w:val="en-US" w:eastAsia="zh-CN"/>
              </w:rPr>
              <w:t>）</w:t>
            </w:r>
            <w:r>
              <w:rPr>
                <w:rFonts w:hint="eastAsia" w:ascii="宋体" w:hAnsi="宋体" w:eastAsia="宋体" w:cs="宋体"/>
                <w:color w:val="auto"/>
                <w:sz w:val="21"/>
                <w:szCs w:val="21"/>
                <w:lang w:val="en-US" w:eastAsia="zh-CN"/>
              </w:rPr>
              <w:t>复印件或扫描件并加盖电子签章。】</w:t>
            </w:r>
          </w:p>
        </w:tc>
        <w:tc>
          <w:tcPr>
            <w:tcW w:w="690" w:type="dxa"/>
            <w:noWrap w:val="0"/>
            <w:vAlign w:val="center"/>
          </w:tcPr>
          <w:p w14:paraId="1F4075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2分</w:t>
            </w:r>
          </w:p>
        </w:tc>
        <w:tc>
          <w:tcPr>
            <w:tcW w:w="711" w:type="dxa"/>
            <w:noWrap w:val="0"/>
            <w:vAlign w:val="center"/>
          </w:tcPr>
          <w:p w14:paraId="572021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rPr>
            </w:pPr>
          </w:p>
        </w:tc>
      </w:tr>
      <w:tr w14:paraId="2A02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noWrap w:val="0"/>
            <w:vAlign w:val="center"/>
          </w:tcPr>
          <w:p w14:paraId="55005E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1230" w:type="dxa"/>
            <w:noWrap w:val="0"/>
            <w:vAlign w:val="center"/>
          </w:tcPr>
          <w:p w14:paraId="02B598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类似业绩</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0-3</w:t>
            </w:r>
            <w:r>
              <w:rPr>
                <w:rFonts w:hint="eastAsia" w:ascii="宋体" w:hAnsi="宋体" w:eastAsia="宋体" w:cs="宋体"/>
                <w:color w:val="auto"/>
                <w:kern w:val="0"/>
                <w:sz w:val="21"/>
                <w:szCs w:val="21"/>
                <w:highlight w:val="none"/>
              </w:rPr>
              <w:t>分）</w:t>
            </w:r>
          </w:p>
        </w:tc>
        <w:tc>
          <w:tcPr>
            <w:tcW w:w="6945" w:type="dxa"/>
            <w:noWrap w:val="0"/>
            <w:vAlign w:val="center"/>
          </w:tcPr>
          <w:p w14:paraId="0E53D8B7">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投标人自2021年1月1日（以合同签订日期为准）以来承担过类似项目业绩，每个业绩得1分，最多得3分</w:t>
            </w:r>
            <w:r>
              <w:rPr>
                <w:rFonts w:hint="eastAsia" w:ascii="宋体" w:hAnsi="宋体" w:eastAsia="宋体" w:cs="宋体"/>
                <w:color w:val="auto"/>
                <w:sz w:val="21"/>
                <w:szCs w:val="21"/>
                <w:lang w:val="en-US" w:eastAsia="zh-CN"/>
              </w:rPr>
              <w:t>（0-3分）</w:t>
            </w:r>
            <w:r>
              <w:rPr>
                <w:rFonts w:hint="eastAsia" w:ascii="宋体" w:hAnsi="宋体" w:eastAsia="宋体" w:cs="宋体"/>
                <w:color w:val="auto"/>
                <w:kern w:val="0"/>
                <w:sz w:val="21"/>
                <w:szCs w:val="21"/>
                <w:highlight w:val="none"/>
                <w:lang w:val="en-US" w:eastAsia="zh-CN"/>
              </w:rPr>
              <w:t>。</w:t>
            </w:r>
          </w:p>
          <w:p w14:paraId="118BA374">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【注：提供合同复印件或扫描件</w:t>
            </w:r>
            <w:r>
              <w:rPr>
                <w:rFonts w:hint="eastAsia" w:ascii="宋体" w:hAnsi="宋体" w:eastAsia="宋体" w:cs="宋体"/>
                <w:color w:val="auto"/>
                <w:sz w:val="21"/>
                <w:szCs w:val="21"/>
                <w:lang w:val="en-US" w:eastAsia="zh-CN"/>
              </w:rPr>
              <w:t>并加盖电子签章。</w:t>
            </w:r>
            <w:r>
              <w:rPr>
                <w:rFonts w:hint="eastAsia" w:ascii="宋体" w:hAnsi="宋体" w:eastAsia="宋体" w:cs="宋体"/>
                <w:color w:val="auto"/>
                <w:kern w:val="0"/>
                <w:sz w:val="21"/>
                <w:szCs w:val="21"/>
                <w:highlight w:val="none"/>
                <w:lang w:val="en-US" w:eastAsia="zh-CN"/>
              </w:rPr>
              <w:t>】</w:t>
            </w:r>
          </w:p>
        </w:tc>
        <w:tc>
          <w:tcPr>
            <w:tcW w:w="690" w:type="dxa"/>
            <w:noWrap w:val="0"/>
            <w:vAlign w:val="center"/>
          </w:tcPr>
          <w:p w14:paraId="7B4B74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3分</w:t>
            </w:r>
          </w:p>
        </w:tc>
        <w:tc>
          <w:tcPr>
            <w:tcW w:w="711" w:type="dxa"/>
            <w:noWrap w:val="0"/>
            <w:vAlign w:val="center"/>
          </w:tcPr>
          <w:p w14:paraId="0E69C7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rPr>
            </w:pPr>
          </w:p>
        </w:tc>
      </w:tr>
      <w:tr w14:paraId="3139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594" w:type="dxa"/>
            <w:noWrap w:val="0"/>
            <w:vAlign w:val="center"/>
          </w:tcPr>
          <w:p w14:paraId="0C1F1D0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1230" w:type="dxa"/>
            <w:noWrap w:val="0"/>
            <w:vAlign w:val="center"/>
          </w:tcPr>
          <w:p w14:paraId="3B12EE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对项目总体要求的理解和熟悉程度（0-10分）</w:t>
            </w:r>
          </w:p>
        </w:tc>
        <w:tc>
          <w:tcPr>
            <w:tcW w:w="6945" w:type="dxa"/>
            <w:noWrap w:val="0"/>
            <w:vAlign w:val="center"/>
          </w:tcPr>
          <w:p w14:paraId="2D07A193">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对本次招标项目开展的政策背景、富阳区实际现状、资产评估市场的熟悉程度（注：不仅限于对本区资产评估市场、物价水平行情方面的熟悉程度描述情况，资产评估经验和实务水平方面等内容）进行阐述及分析，评标委员会根据投标人的阐述及分析与本项目的贴近度综合打分：</w:t>
            </w:r>
          </w:p>
          <w:p w14:paraId="23B626FA">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①各项内容理解充分，背调充分，分析透彻合理得8-10分；</w:t>
            </w:r>
          </w:p>
          <w:p w14:paraId="1DCABFE1">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②现状理解较充分，未经过完整背调，业务需求分析较合理得4-</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52B5665C">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③理解差，未经调查，分析一般或提供内容不匹配的得0-3分。（0-10分）</w:t>
            </w:r>
          </w:p>
        </w:tc>
        <w:tc>
          <w:tcPr>
            <w:tcW w:w="690" w:type="dxa"/>
            <w:noWrap w:val="0"/>
            <w:vAlign w:val="center"/>
          </w:tcPr>
          <w:p w14:paraId="6D7EA7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c>
          <w:tcPr>
            <w:tcW w:w="711" w:type="dxa"/>
            <w:noWrap w:val="0"/>
            <w:vAlign w:val="center"/>
          </w:tcPr>
          <w:p w14:paraId="092EA7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p>
        </w:tc>
      </w:tr>
      <w:tr w14:paraId="42CCF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94" w:type="dxa"/>
            <w:vMerge w:val="restart"/>
            <w:noWrap w:val="0"/>
            <w:vAlign w:val="center"/>
          </w:tcPr>
          <w:p w14:paraId="03723E9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1230" w:type="dxa"/>
            <w:vMerge w:val="restart"/>
            <w:noWrap w:val="0"/>
            <w:vAlign w:val="center"/>
          </w:tcPr>
          <w:p w14:paraId="37A528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项目服务方案</w:t>
            </w:r>
          </w:p>
          <w:p w14:paraId="48B966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（0-19分）</w:t>
            </w:r>
          </w:p>
        </w:tc>
        <w:tc>
          <w:tcPr>
            <w:tcW w:w="6945" w:type="dxa"/>
            <w:noWrap w:val="0"/>
            <w:vAlign w:val="center"/>
          </w:tcPr>
          <w:p w14:paraId="3762F69A">
            <w:pPr>
              <w:pStyle w:val="4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6.1</w:t>
            </w:r>
            <w:r>
              <w:rPr>
                <w:rFonts w:hint="eastAsia" w:ascii="宋体" w:hAnsi="宋体" w:eastAsia="宋体" w:cs="宋体"/>
                <w:color w:val="auto"/>
                <w:sz w:val="21"/>
                <w:szCs w:val="21"/>
                <w:highlight w:val="none"/>
              </w:rPr>
              <w:t>根据投标人编制的项目全过程实施措施，对提供的项目实施方式、工作程序、计划安排、相关建议、专项报告的撰写提纲等内容进行打分。</w:t>
            </w:r>
          </w:p>
          <w:p w14:paraId="704923F1">
            <w:pPr>
              <w:pStyle w:val="4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各项实施措施内容</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计划安排充分，建议</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专项报告内容完整充分的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6-8</w:t>
            </w:r>
            <w:r>
              <w:rPr>
                <w:rFonts w:hint="eastAsia" w:ascii="宋体" w:hAnsi="宋体" w:eastAsia="宋体" w:cs="宋体"/>
                <w:color w:val="auto"/>
                <w:sz w:val="21"/>
                <w:szCs w:val="21"/>
                <w:highlight w:val="none"/>
              </w:rPr>
              <w:t>分；</w:t>
            </w:r>
          </w:p>
          <w:p w14:paraId="334322B6">
            <w:pPr>
              <w:pStyle w:val="4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实施措施内容</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较充分，</w:t>
            </w:r>
            <w:r>
              <w:rPr>
                <w:rFonts w:hint="eastAsia" w:ascii="宋体" w:hAnsi="宋体" w:eastAsia="宋体" w:cs="宋体"/>
                <w:color w:val="auto"/>
                <w:sz w:val="21"/>
                <w:szCs w:val="21"/>
                <w:highlight w:val="none"/>
                <w:lang w:val="en-US" w:eastAsia="zh-CN"/>
              </w:rPr>
              <w:t>计划安排较详细，建议内容</w:t>
            </w:r>
            <w:r>
              <w:rPr>
                <w:rFonts w:hint="eastAsia" w:ascii="宋体" w:hAnsi="宋体" w:eastAsia="宋体" w:cs="宋体"/>
                <w:color w:val="auto"/>
                <w:sz w:val="21"/>
                <w:szCs w:val="21"/>
                <w:highlight w:val="none"/>
              </w:rPr>
              <w:t>较合理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专项报告内容有描述的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w:t>
            </w:r>
          </w:p>
          <w:p w14:paraId="7F5CCB41">
            <w:pPr>
              <w:pStyle w:val="4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理解差，</w:t>
            </w:r>
            <w:r>
              <w:rPr>
                <w:rFonts w:hint="eastAsia" w:ascii="宋体" w:hAnsi="宋体" w:eastAsia="宋体" w:cs="宋体"/>
                <w:color w:val="auto"/>
                <w:sz w:val="21"/>
                <w:szCs w:val="21"/>
                <w:highlight w:val="none"/>
                <w:lang w:val="en-US" w:eastAsia="zh-CN"/>
              </w:rPr>
              <w:t>未有详细计划，建议内容未体现</w:t>
            </w:r>
            <w:r>
              <w:rPr>
                <w:rFonts w:hint="eastAsia" w:ascii="宋体" w:hAnsi="宋体" w:eastAsia="宋体" w:cs="宋体"/>
                <w:color w:val="auto"/>
                <w:sz w:val="21"/>
                <w:szCs w:val="21"/>
                <w:highlight w:val="none"/>
              </w:rPr>
              <w:t>或提供内容不匹配的得</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en-US"/>
              </w:rPr>
              <w:t>（0-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90" w:type="dxa"/>
            <w:noWrap w:val="0"/>
            <w:vAlign w:val="center"/>
          </w:tcPr>
          <w:p w14:paraId="29389CB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8分</w:t>
            </w:r>
          </w:p>
        </w:tc>
        <w:tc>
          <w:tcPr>
            <w:tcW w:w="711" w:type="dxa"/>
            <w:noWrap w:val="0"/>
            <w:vAlign w:val="center"/>
          </w:tcPr>
          <w:p w14:paraId="4B867E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p>
        </w:tc>
      </w:tr>
      <w:tr w14:paraId="3B5F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94" w:type="dxa"/>
            <w:vMerge w:val="continue"/>
            <w:noWrap w:val="0"/>
            <w:vAlign w:val="center"/>
          </w:tcPr>
          <w:p w14:paraId="5E300A1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p>
        </w:tc>
        <w:tc>
          <w:tcPr>
            <w:tcW w:w="1230" w:type="dxa"/>
            <w:vMerge w:val="continue"/>
            <w:noWrap w:val="0"/>
            <w:vAlign w:val="center"/>
          </w:tcPr>
          <w:p w14:paraId="36334A3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p>
        </w:tc>
        <w:tc>
          <w:tcPr>
            <w:tcW w:w="6945" w:type="dxa"/>
            <w:noWrap w:val="0"/>
            <w:vAlign w:val="center"/>
          </w:tcPr>
          <w:p w14:paraId="4C0F1EF2">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6.2</w:t>
            </w:r>
            <w:r>
              <w:rPr>
                <w:rFonts w:hint="eastAsia" w:ascii="宋体" w:hAnsi="宋体" w:eastAsia="宋体" w:cs="宋体"/>
                <w:color w:val="auto"/>
                <w:sz w:val="21"/>
                <w:szCs w:val="21"/>
                <w:highlight w:val="none"/>
              </w:rPr>
              <w:t>根据投标人提供的项目实施过程中突发事件处理机制与预案等内容进行打分，不提供不得分。各项突发事件处理机制与预案内容</w:t>
            </w:r>
            <w:r>
              <w:rPr>
                <w:rFonts w:hint="eastAsia" w:ascii="宋体" w:hAnsi="宋体" w:eastAsia="宋体" w:cs="宋体"/>
                <w:color w:val="auto"/>
                <w:sz w:val="21"/>
                <w:szCs w:val="21"/>
                <w:highlight w:val="none"/>
                <w:lang w:val="en-US" w:eastAsia="zh-CN"/>
              </w:rPr>
              <w:t>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安排充分，建议</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6-8</w:t>
            </w:r>
            <w:r>
              <w:rPr>
                <w:rFonts w:hint="eastAsia" w:ascii="宋体" w:hAnsi="宋体" w:eastAsia="宋体" w:cs="宋体"/>
                <w:color w:val="auto"/>
                <w:sz w:val="21"/>
                <w:szCs w:val="21"/>
                <w:highlight w:val="none"/>
              </w:rPr>
              <w:t>分；突发事件处理机制与预案内容</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较充分，</w:t>
            </w:r>
            <w:r>
              <w:rPr>
                <w:rFonts w:hint="eastAsia" w:ascii="宋体" w:hAnsi="宋体" w:eastAsia="宋体" w:cs="宋体"/>
                <w:color w:val="auto"/>
                <w:sz w:val="21"/>
                <w:szCs w:val="21"/>
                <w:highlight w:val="none"/>
                <w:lang w:val="en-US" w:eastAsia="zh-CN"/>
              </w:rPr>
              <w:t>安排较详细，建议内容</w:t>
            </w:r>
            <w:r>
              <w:rPr>
                <w:rFonts w:hint="eastAsia" w:ascii="宋体" w:hAnsi="宋体" w:eastAsia="宋体" w:cs="宋体"/>
                <w:color w:val="auto"/>
                <w:sz w:val="21"/>
                <w:szCs w:val="21"/>
                <w:highlight w:val="none"/>
              </w:rPr>
              <w:t>较合理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分；突发事件处理机制与预案</w:t>
            </w:r>
            <w:r>
              <w:rPr>
                <w:rFonts w:hint="eastAsia" w:ascii="宋体" w:hAnsi="宋体" w:eastAsia="宋体" w:cs="宋体"/>
                <w:color w:val="auto"/>
                <w:sz w:val="21"/>
                <w:szCs w:val="21"/>
                <w:highlight w:val="none"/>
                <w:lang w:val="en-US" w:eastAsia="zh-CN"/>
              </w:rPr>
              <w:t>内容缺失</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未有详细建议内容</w:t>
            </w:r>
            <w:r>
              <w:rPr>
                <w:rFonts w:hint="eastAsia" w:ascii="宋体" w:hAnsi="宋体" w:eastAsia="宋体" w:cs="宋体"/>
                <w:color w:val="auto"/>
                <w:sz w:val="21"/>
                <w:szCs w:val="21"/>
                <w:highlight w:val="none"/>
              </w:rPr>
              <w:t>或提供内容不匹配的得</w:t>
            </w:r>
            <w:r>
              <w:rPr>
                <w:rFonts w:hint="eastAsia" w:ascii="宋体" w:hAnsi="宋体" w:eastAsia="宋体" w:cs="宋体"/>
                <w:color w:val="auto"/>
                <w:sz w:val="21"/>
                <w:szCs w:val="21"/>
                <w:highlight w:val="none"/>
                <w:lang w:val="en-US" w:eastAsia="zh-CN"/>
              </w:rPr>
              <w:t>0-2</w:t>
            </w:r>
            <w:r>
              <w:rPr>
                <w:rFonts w:hint="eastAsia" w:ascii="宋体" w:hAnsi="宋体" w:eastAsia="宋体" w:cs="宋体"/>
                <w:color w:val="auto"/>
                <w:sz w:val="21"/>
                <w:szCs w:val="21"/>
                <w:highlight w:val="none"/>
              </w:rPr>
              <w:t>分。（0-</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690" w:type="dxa"/>
            <w:noWrap w:val="0"/>
            <w:vAlign w:val="center"/>
          </w:tcPr>
          <w:p w14:paraId="15F164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8分</w:t>
            </w:r>
          </w:p>
        </w:tc>
        <w:tc>
          <w:tcPr>
            <w:tcW w:w="711" w:type="dxa"/>
            <w:noWrap w:val="0"/>
            <w:vAlign w:val="center"/>
          </w:tcPr>
          <w:p w14:paraId="63305A6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p>
        </w:tc>
      </w:tr>
      <w:tr w14:paraId="7917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94" w:type="dxa"/>
            <w:vMerge w:val="continue"/>
            <w:noWrap w:val="0"/>
            <w:vAlign w:val="center"/>
          </w:tcPr>
          <w:p w14:paraId="71DCB7C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p>
        </w:tc>
        <w:tc>
          <w:tcPr>
            <w:tcW w:w="1230" w:type="dxa"/>
            <w:vMerge w:val="continue"/>
            <w:noWrap w:val="0"/>
            <w:vAlign w:val="center"/>
          </w:tcPr>
          <w:p w14:paraId="788FB5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p>
        </w:tc>
        <w:tc>
          <w:tcPr>
            <w:tcW w:w="6945" w:type="dxa"/>
            <w:noWrap w:val="0"/>
            <w:vAlign w:val="center"/>
          </w:tcPr>
          <w:p w14:paraId="54014AA8">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6.3</w:t>
            </w:r>
            <w:r>
              <w:rPr>
                <w:rFonts w:hint="eastAsia" w:ascii="宋体" w:hAnsi="宋体" w:eastAsia="宋体" w:cs="宋体"/>
                <w:color w:val="auto"/>
                <w:sz w:val="21"/>
                <w:szCs w:val="21"/>
                <w:highlight w:val="none"/>
              </w:rPr>
              <w:t>根据投标人提供的其它优惠条件及特殊承诺，满足切实可行、资源优化、科学合理的每项得1分，不提供不得分，最高不超过</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en-US"/>
              </w:rPr>
              <w:t>（0-</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690" w:type="dxa"/>
            <w:noWrap w:val="0"/>
            <w:vAlign w:val="center"/>
          </w:tcPr>
          <w:p w14:paraId="692F37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3分</w:t>
            </w:r>
          </w:p>
        </w:tc>
        <w:tc>
          <w:tcPr>
            <w:tcW w:w="711" w:type="dxa"/>
            <w:noWrap w:val="0"/>
            <w:vAlign w:val="center"/>
          </w:tcPr>
          <w:p w14:paraId="31C6A2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p>
        </w:tc>
      </w:tr>
      <w:tr w14:paraId="773C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94" w:type="dxa"/>
            <w:noWrap w:val="0"/>
            <w:vAlign w:val="center"/>
          </w:tcPr>
          <w:p w14:paraId="09A9B0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7</w:t>
            </w:r>
          </w:p>
        </w:tc>
        <w:tc>
          <w:tcPr>
            <w:tcW w:w="1230" w:type="dxa"/>
            <w:noWrap w:val="0"/>
            <w:vAlign w:val="center"/>
          </w:tcPr>
          <w:p w14:paraId="32F8AA9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内部管理</w:t>
            </w:r>
          </w:p>
          <w:p w14:paraId="7B3B41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（0-5分）</w:t>
            </w:r>
          </w:p>
        </w:tc>
        <w:tc>
          <w:tcPr>
            <w:tcW w:w="6945" w:type="dxa"/>
            <w:noWrap w:val="0"/>
            <w:vAlign w:val="center"/>
          </w:tcPr>
          <w:p w14:paraId="09BB252E">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根据投标人提供的内部管理制度、考核监督制度、奖惩制度等情况打分：①制度内容完整，科学合理、可行、规范且具可操作性的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r>
              <w:rPr>
                <w:rFonts w:hint="eastAsia" w:ascii="宋体" w:hAnsi="宋体" w:eastAsia="宋体" w:cs="宋体"/>
                <w:color w:val="auto"/>
                <w:kern w:val="0"/>
                <w:sz w:val="21"/>
                <w:szCs w:val="21"/>
                <w:highlight w:val="none"/>
                <w:lang w:val="en-US" w:eastAsia="zh-CN"/>
              </w:rPr>
              <w:t>；</w:t>
            </w:r>
          </w:p>
          <w:p w14:paraId="4FD0C041">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②制度内容较完整，较科学合理、可行、规范且较具可操作性的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F605685">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color w:val="auto"/>
                <w:lang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kern w:val="0"/>
                <w:sz w:val="21"/>
                <w:szCs w:val="21"/>
                <w:highlight w:val="none"/>
                <w:lang w:val="en-US" w:eastAsia="zh-CN"/>
              </w:rPr>
              <w:t>制度内容完整性一般，科学性、可行性、规范性、可操作性一般的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rPr>
              <w:t>（0-5分）</w:t>
            </w:r>
          </w:p>
        </w:tc>
        <w:tc>
          <w:tcPr>
            <w:tcW w:w="690" w:type="dxa"/>
            <w:noWrap w:val="0"/>
            <w:vAlign w:val="center"/>
          </w:tcPr>
          <w:p w14:paraId="707D0C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tc>
        <w:tc>
          <w:tcPr>
            <w:tcW w:w="711" w:type="dxa"/>
            <w:noWrap w:val="0"/>
            <w:vAlign w:val="center"/>
          </w:tcPr>
          <w:p w14:paraId="3454BB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p>
        </w:tc>
      </w:tr>
      <w:tr w14:paraId="09CA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594" w:type="dxa"/>
            <w:noWrap w:val="0"/>
            <w:vAlign w:val="center"/>
          </w:tcPr>
          <w:p w14:paraId="5A3D7C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8</w:t>
            </w:r>
          </w:p>
        </w:tc>
        <w:tc>
          <w:tcPr>
            <w:tcW w:w="1230" w:type="dxa"/>
            <w:noWrap w:val="0"/>
            <w:vAlign w:val="center"/>
          </w:tcPr>
          <w:p w14:paraId="539BDF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方便快捷服务能力（0-5分）</w:t>
            </w:r>
          </w:p>
        </w:tc>
        <w:tc>
          <w:tcPr>
            <w:tcW w:w="6945" w:type="dxa"/>
            <w:noWrap w:val="0"/>
            <w:vAlign w:val="center"/>
          </w:tcPr>
          <w:p w14:paraId="78DEA296">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投标人针对本次招标服务内容结合本企业自身的优势提供方便快捷服务的内容及措施等</w:t>
            </w:r>
            <w:r>
              <w:rPr>
                <w:rFonts w:hint="eastAsia" w:ascii="宋体" w:hAnsi="宋体" w:eastAsia="宋体" w:cs="宋体"/>
                <w:color w:val="auto"/>
                <w:spacing w:val="0"/>
                <w:w w:val="100"/>
                <w:position w:val="0"/>
                <w:sz w:val="21"/>
                <w:szCs w:val="21"/>
                <w:highlight w:val="none"/>
                <w:lang w:val="en-US" w:eastAsia="zh-CN"/>
              </w:rPr>
              <w:t>情况</w:t>
            </w:r>
            <w:r>
              <w:rPr>
                <w:rFonts w:hint="eastAsia" w:ascii="宋体" w:hAnsi="宋体" w:eastAsia="宋体" w:cs="宋体"/>
                <w:color w:val="auto"/>
                <w:spacing w:val="0"/>
                <w:w w:val="100"/>
                <w:position w:val="0"/>
                <w:sz w:val="21"/>
                <w:szCs w:val="21"/>
                <w:highlight w:val="none"/>
              </w:rPr>
              <w:t>打分</w:t>
            </w:r>
            <w:r>
              <w:rPr>
                <w:rFonts w:hint="eastAsia" w:ascii="宋体" w:hAnsi="宋体" w:eastAsia="宋体" w:cs="宋体"/>
                <w:color w:val="auto"/>
                <w:spacing w:val="0"/>
                <w:w w:val="100"/>
                <w:position w:val="0"/>
                <w:sz w:val="21"/>
                <w:szCs w:val="21"/>
                <w:highlight w:val="none"/>
                <w:lang w:eastAsia="zh-CN"/>
              </w:rPr>
              <w:t>：</w:t>
            </w:r>
          </w:p>
          <w:p w14:paraId="259309FE">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w w:val="100"/>
                <w:position w:val="0"/>
                <w:sz w:val="21"/>
                <w:szCs w:val="21"/>
                <w:highlight w:val="none"/>
                <w:lang w:val="en-US" w:eastAsia="zh-CN"/>
              </w:rPr>
              <w:t>①</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val="en-US" w:eastAsia="zh-CN"/>
              </w:rPr>
              <w:t>措施完整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安排充分，</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4-5</w:t>
            </w:r>
            <w:r>
              <w:rPr>
                <w:rFonts w:hint="eastAsia" w:ascii="宋体" w:hAnsi="宋体" w:eastAsia="宋体" w:cs="宋体"/>
                <w:color w:val="auto"/>
                <w:sz w:val="21"/>
                <w:szCs w:val="21"/>
                <w:highlight w:val="none"/>
              </w:rPr>
              <w:t>分；</w:t>
            </w:r>
          </w:p>
          <w:p w14:paraId="0E2F803A">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内容</w:t>
            </w:r>
            <w:r>
              <w:rPr>
                <w:rFonts w:hint="eastAsia" w:ascii="宋体" w:hAnsi="宋体" w:eastAsia="宋体" w:cs="宋体"/>
                <w:color w:val="auto"/>
                <w:sz w:val="21"/>
                <w:szCs w:val="21"/>
                <w:highlight w:val="none"/>
                <w:lang w:val="en-US" w:eastAsia="zh-CN"/>
              </w:rPr>
              <w:t>措施</w:t>
            </w:r>
            <w:r>
              <w:rPr>
                <w:rFonts w:hint="eastAsia" w:ascii="宋体" w:hAnsi="宋体" w:eastAsia="宋体" w:cs="宋体"/>
                <w:color w:val="auto"/>
                <w:sz w:val="21"/>
                <w:szCs w:val="21"/>
                <w:highlight w:val="none"/>
              </w:rPr>
              <w:t>较充分，</w:t>
            </w:r>
            <w:r>
              <w:rPr>
                <w:rFonts w:hint="eastAsia" w:ascii="宋体" w:hAnsi="宋体" w:eastAsia="宋体" w:cs="宋体"/>
                <w:color w:val="auto"/>
                <w:sz w:val="21"/>
                <w:szCs w:val="21"/>
                <w:highlight w:val="none"/>
                <w:lang w:val="en-US" w:eastAsia="zh-CN"/>
              </w:rPr>
              <w:t>安排较详细，</w:t>
            </w:r>
            <w:r>
              <w:rPr>
                <w:rFonts w:hint="eastAsia" w:ascii="宋体" w:hAnsi="宋体" w:eastAsia="宋体" w:cs="宋体"/>
                <w:color w:val="auto"/>
                <w:sz w:val="21"/>
                <w:szCs w:val="21"/>
                <w:highlight w:val="none"/>
              </w:rPr>
              <w:t>较合理</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分；</w:t>
            </w:r>
          </w:p>
          <w:p w14:paraId="1161459F">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③内容缺失</w:t>
            </w:r>
            <w:r>
              <w:rPr>
                <w:rFonts w:hint="eastAsia" w:ascii="宋体" w:hAnsi="宋体" w:eastAsia="宋体" w:cs="宋体"/>
                <w:color w:val="auto"/>
                <w:sz w:val="21"/>
                <w:szCs w:val="21"/>
                <w:highlight w:val="none"/>
              </w:rPr>
              <w:t>或提供内容不匹配的得</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未提供的不得分</w:t>
            </w:r>
            <w:r>
              <w:rPr>
                <w:rFonts w:hint="eastAsia" w:ascii="宋体" w:hAnsi="宋体" w:eastAsia="宋体" w:cs="宋体"/>
                <w:color w:val="auto"/>
                <w:sz w:val="21"/>
                <w:szCs w:val="21"/>
                <w:highlight w:val="none"/>
              </w:rPr>
              <w:t>。</w:t>
            </w:r>
            <w:r>
              <w:rPr>
                <w:rFonts w:hint="eastAsia" w:ascii="宋体" w:hAnsi="宋体" w:eastAsia="宋体" w:cs="宋体"/>
                <w:color w:val="auto"/>
                <w:spacing w:val="0"/>
                <w:w w:val="100"/>
                <w:position w:val="0"/>
                <w:sz w:val="21"/>
                <w:szCs w:val="21"/>
                <w:highlight w:val="none"/>
              </w:rPr>
              <w:t>（0-</w:t>
            </w:r>
            <w:r>
              <w:rPr>
                <w:rFonts w:hint="eastAsia" w:ascii="宋体" w:hAnsi="宋体" w:eastAsia="宋体" w:cs="宋体"/>
                <w:color w:val="auto"/>
                <w:spacing w:val="0"/>
                <w:w w:val="100"/>
                <w:position w:val="0"/>
                <w:sz w:val="21"/>
                <w:szCs w:val="21"/>
                <w:highlight w:val="none"/>
                <w:lang w:val="en-US" w:eastAsia="zh-CN"/>
              </w:rPr>
              <w:t>5</w:t>
            </w:r>
            <w:r>
              <w:rPr>
                <w:rFonts w:hint="eastAsia" w:ascii="宋体" w:hAnsi="宋体" w:eastAsia="宋体" w:cs="宋体"/>
                <w:color w:val="auto"/>
                <w:spacing w:val="0"/>
                <w:w w:val="100"/>
                <w:position w:val="0"/>
                <w:sz w:val="21"/>
                <w:szCs w:val="21"/>
                <w:highlight w:val="none"/>
              </w:rPr>
              <w:t>分）</w:t>
            </w:r>
          </w:p>
        </w:tc>
        <w:tc>
          <w:tcPr>
            <w:tcW w:w="690" w:type="dxa"/>
            <w:noWrap w:val="0"/>
            <w:vAlign w:val="center"/>
          </w:tcPr>
          <w:p w14:paraId="68BE2C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5分</w:t>
            </w:r>
          </w:p>
          <w:p w14:paraId="228A0C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p>
        </w:tc>
        <w:tc>
          <w:tcPr>
            <w:tcW w:w="711" w:type="dxa"/>
            <w:noWrap w:val="0"/>
            <w:vAlign w:val="center"/>
          </w:tcPr>
          <w:p w14:paraId="0A3429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eastAsia="zh-CN"/>
              </w:rPr>
            </w:pPr>
          </w:p>
        </w:tc>
      </w:tr>
      <w:tr w14:paraId="5868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94" w:type="dxa"/>
            <w:noWrap w:val="0"/>
            <w:vAlign w:val="center"/>
          </w:tcPr>
          <w:p w14:paraId="4E80BF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1230" w:type="dxa"/>
            <w:noWrap w:val="0"/>
            <w:vAlign w:val="center"/>
          </w:tcPr>
          <w:p w14:paraId="269D40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售后服务</w:t>
            </w:r>
          </w:p>
          <w:p w14:paraId="67A7D6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（0-6分）</w:t>
            </w:r>
          </w:p>
        </w:tc>
        <w:tc>
          <w:tcPr>
            <w:tcW w:w="6945" w:type="dxa"/>
            <w:noWrap w:val="0"/>
            <w:vAlign w:val="center"/>
          </w:tcPr>
          <w:p w14:paraId="2F83953D">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根据投标人售后服务人员安排、技术力量设置是否具有实际意义，是否可以满足响应需求等情况：</w:t>
            </w:r>
          </w:p>
          <w:p w14:paraId="5F85D6FE">
            <w:pPr>
              <w:pStyle w:val="10"/>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auto"/>
                <w:kern w:val="3"/>
                <w:sz w:val="21"/>
                <w:szCs w:val="21"/>
                <w:lang w:val="en-US" w:eastAsia="zh-CN" w:bidi="ar-SA"/>
              </w:rPr>
            </w:pPr>
            <w:r>
              <w:rPr>
                <w:rFonts w:hint="eastAsia" w:ascii="宋体" w:hAnsi="宋体" w:eastAsia="宋体" w:cs="宋体"/>
                <w:color w:val="auto"/>
                <w:kern w:val="3"/>
                <w:sz w:val="21"/>
                <w:szCs w:val="21"/>
                <w:lang w:val="en-US" w:eastAsia="zh-CN" w:bidi="ar-SA"/>
              </w:rPr>
              <w:t>①售后服务人员安排、技术力量设置合理</w:t>
            </w:r>
            <w:r>
              <w:rPr>
                <w:rFonts w:hint="eastAsia" w:ascii="宋体" w:hAnsi="宋体" w:eastAsia="宋体" w:cs="宋体"/>
                <w:color w:val="auto"/>
                <w:sz w:val="21"/>
                <w:szCs w:val="21"/>
                <w:lang w:val="en-US" w:eastAsia="zh-CN"/>
              </w:rPr>
              <w:t>的</w:t>
            </w:r>
            <w:r>
              <w:rPr>
                <w:rFonts w:hint="eastAsia" w:ascii="宋体" w:hAnsi="宋体" w:eastAsia="宋体" w:cs="宋体"/>
                <w:color w:val="auto"/>
                <w:kern w:val="3"/>
                <w:sz w:val="21"/>
                <w:szCs w:val="21"/>
                <w:lang w:val="en-US" w:eastAsia="zh-CN" w:bidi="ar-SA"/>
              </w:rPr>
              <w:t>得5-6分；</w:t>
            </w:r>
          </w:p>
          <w:p w14:paraId="480A9DCA">
            <w:pPr>
              <w:pStyle w:val="10"/>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auto"/>
                <w:kern w:val="3"/>
                <w:sz w:val="21"/>
                <w:szCs w:val="21"/>
                <w:lang w:val="en-US" w:eastAsia="zh-CN" w:bidi="ar-SA"/>
              </w:rPr>
            </w:pPr>
            <w:r>
              <w:rPr>
                <w:rFonts w:hint="eastAsia" w:ascii="宋体" w:hAnsi="宋体" w:eastAsia="宋体" w:cs="宋体"/>
                <w:color w:val="auto"/>
                <w:kern w:val="3"/>
                <w:sz w:val="21"/>
                <w:szCs w:val="21"/>
                <w:lang w:val="en-US" w:eastAsia="zh-CN" w:bidi="ar-SA"/>
              </w:rPr>
              <w:t>②售后服务人员安排、技术力量设置较合理</w:t>
            </w:r>
            <w:r>
              <w:rPr>
                <w:rFonts w:hint="eastAsia" w:ascii="宋体" w:hAnsi="宋体" w:eastAsia="宋体" w:cs="宋体"/>
                <w:color w:val="auto"/>
                <w:sz w:val="21"/>
                <w:szCs w:val="21"/>
                <w:lang w:val="en-US" w:eastAsia="zh-CN"/>
              </w:rPr>
              <w:t>的</w:t>
            </w:r>
            <w:r>
              <w:rPr>
                <w:rFonts w:hint="eastAsia" w:ascii="宋体" w:hAnsi="宋体" w:eastAsia="宋体" w:cs="宋体"/>
                <w:color w:val="auto"/>
                <w:kern w:val="3"/>
                <w:sz w:val="21"/>
                <w:szCs w:val="21"/>
                <w:lang w:val="en-US" w:eastAsia="zh-CN" w:bidi="ar-SA"/>
              </w:rPr>
              <w:t>得3-4分；</w:t>
            </w:r>
          </w:p>
          <w:p w14:paraId="76AD9B16">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3"/>
                <w:sz w:val="21"/>
                <w:szCs w:val="21"/>
                <w:lang w:val="en-US" w:eastAsia="zh-CN" w:bidi="ar-SA"/>
              </w:rPr>
              <w:t>③售后服务人员安排、技术力量设置一般</w:t>
            </w:r>
            <w:r>
              <w:rPr>
                <w:rFonts w:hint="eastAsia" w:ascii="宋体" w:hAnsi="宋体" w:eastAsia="宋体" w:cs="宋体"/>
                <w:color w:val="auto"/>
                <w:sz w:val="21"/>
                <w:szCs w:val="21"/>
                <w:lang w:val="en-US" w:eastAsia="zh-CN"/>
              </w:rPr>
              <w:t>的</w:t>
            </w:r>
            <w:r>
              <w:rPr>
                <w:rFonts w:hint="eastAsia" w:ascii="宋体" w:hAnsi="宋体" w:eastAsia="宋体" w:cs="宋体"/>
                <w:color w:val="auto"/>
                <w:kern w:val="3"/>
                <w:sz w:val="21"/>
                <w:szCs w:val="21"/>
                <w:lang w:val="en-US" w:eastAsia="zh-CN" w:bidi="ar-SA"/>
              </w:rPr>
              <w:t>得0-2分，</w:t>
            </w:r>
            <w:r>
              <w:rPr>
                <w:rFonts w:hint="eastAsia" w:ascii="宋体" w:hAnsi="宋体" w:eastAsia="宋体" w:cs="宋体"/>
                <w:color w:val="auto"/>
                <w:sz w:val="21"/>
                <w:szCs w:val="21"/>
                <w:highlight w:val="none"/>
                <w:lang w:val="en-US" w:eastAsia="zh-CN"/>
              </w:rPr>
              <w:t>未提供的不得分</w:t>
            </w:r>
            <w:r>
              <w:rPr>
                <w:rFonts w:hint="eastAsia" w:ascii="宋体" w:hAnsi="宋体" w:eastAsia="宋体" w:cs="宋体"/>
                <w:color w:val="auto"/>
                <w:sz w:val="21"/>
                <w:szCs w:val="21"/>
                <w:highlight w:val="none"/>
              </w:rPr>
              <w:t>。</w:t>
            </w:r>
            <w:r>
              <w:rPr>
                <w:rFonts w:hint="eastAsia" w:ascii="宋体" w:hAnsi="宋体" w:eastAsia="宋体" w:cs="宋体"/>
                <w:color w:val="auto"/>
                <w:spacing w:val="0"/>
                <w:w w:val="100"/>
                <w:position w:val="0"/>
                <w:sz w:val="21"/>
                <w:szCs w:val="21"/>
                <w:highlight w:val="none"/>
              </w:rPr>
              <w:t>（0-</w:t>
            </w:r>
            <w:r>
              <w:rPr>
                <w:rFonts w:hint="eastAsia" w:ascii="宋体" w:hAnsi="宋体" w:eastAsia="宋体" w:cs="宋体"/>
                <w:color w:val="auto"/>
                <w:spacing w:val="0"/>
                <w:w w:val="100"/>
                <w:position w:val="0"/>
                <w:sz w:val="21"/>
                <w:szCs w:val="21"/>
                <w:highlight w:val="none"/>
                <w:lang w:val="en-US" w:eastAsia="zh-CN"/>
              </w:rPr>
              <w:t>6</w:t>
            </w:r>
            <w:r>
              <w:rPr>
                <w:rFonts w:hint="eastAsia" w:ascii="宋体" w:hAnsi="宋体" w:eastAsia="宋体" w:cs="宋体"/>
                <w:color w:val="auto"/>
                <w:spacing w:val="0"/>
                <w:w w:val="100"/>
                <w:position w:val="0"/>
                <w:sz w:val="21"/>
                <w:szCs w:val="21"/>
                <w:highlight w:val="none"/>
              </w:rPr>
              <w:t>分）</w:t>
            </w:r>
          </w:p>
        </w:tc>
        <w:tc>
          <w:tcPr>
            <w:tcW w:w="690" w:type="dxa"/>
            <w:noWrap w:val="0"/>
            <w:vAlign w:val="center"/>
          </w:tcPr>
          <w:p w14:paraId="69475F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6分</w:t>
            </w:r>
          </w:p>
          <w:p w14:paraId="4C9AA7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kern w:val="0"/>
                <w:sz w:val="21"/>
                <w:szCs w:val="21"/>
                <w:highlight w:val="none"/>
                <w:lang w:val="en-US" w:eastAsia="zh-CN"/>
              </w:rPr>
            </w:pPr>
          </w:p>
        </w:tc>
        <w:tc>
          <w:tcPr>
            <w:tcW w:w="711" w:type="dxa"/>
            <w:noWrap w:val="0"/>
            <w:vAlign w:val="center"/>
          </w:tcPr>
          <w:p w14:paraId="091E05C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bidi="ar-SA"/>
              </w:rPr>
            </w:pPr>
          </w:p>
        </w:tc>
      </w:tr>
      <w:tr w14:paraId="68D2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94" w:type="dxa"/>
            <w:noWrap w:val="0"/>
            <w:vAlign w:val="center"/>
          </w:tcPr>
          <w:p w14:paraId="324DBA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c>
          <w:tcPr>
            <w:tcW w:w="1230" w:type="dxa"/>
            <w:noWrap w:val="0"/>
            <w:vAlign w:val="center"/>
          </w:tcPr>
          <w:p w14:paraId="26D96A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售后应急处理</w:t>
            </w:r>
          </w:p>
          <w:p w14:paraId="410B57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（0-3）</w:t>
            </w:r>
          </w:p>
        </w:tc>
        <w:tc>
          <w:tcPr>
            <w:tcW w:w="6945" w:type="dxa"/>
            <w:noWrap w:val="0"/>
            <w:vAlign w:val="center"/>
          </w:tcPr>
          <w:p w14:paraId="1E8525B8">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投标人承诺售后应急处理能满足30分钟响应的得3分；能满足1小时响应的得2分；能满足2小时响应的得1分。（0-3分）</w:t>
            </w:r>
          </w:p>
          <w:p w14:paraId="4618268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olor w:val="auto"/>
                <w:lang w:val="en-US" w:eastAsia="zh-CN"/>
              </w:rPr>
            </w:pPr>
            <w:r>
              <w:rPr>
                <w:rFonts w:hint="eastAsia" w:ascii="宋体" w:hAnsi="宋体" w:eastAsia="宋体" w:cs="宋体"/>
                <w:color w:val="auto"/>
                <w:sz w:val="21"/>
                <w:szCs w:val="21"/>
                <w:lang w:val="en-US" w:eastAsia="zh-CN"/>
              </w:rPr>
              <w:t>注：须提供有效证明材料或承诺函（承诺函格式自拟），否则不得分。</w:t>
            </w:r>
          </w:p>
        </w:tc>
        <w:tc>
          <w:tcPr>
            <w:tcW w:w="690" w:type="dxa"/>
            <w:noWrap w:val="0"/>
            <w:vAlign w:val="center"/>
          </w:tcPr>
          <w:p w14:paraId="3F962E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3分</w:t>
            </w:r>
          </w:p>
        </w:tc>
        <w:tc>
          <w:tcPr>
            <w:tcW w:w="711" w:type="dxa"/>
            <w:noWrap w:val="0"/>
            <w:vAlign w:val="center"/>
          </w:tcPr>
          <w:p w14:paraId="5439DA3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highlight w:val="none"/>
                <w:lang w:val="en-US" w:eastAsia="zh-CN" w:bidi="ar-SA"/>
              </w:rPr>
            </w:pPr>
          </w:p>
        </w:tc>
      </w:tr>
    </w:tbl>
    <w:p w14:paraId="10B0054C">
      <w:pPr>
        <w:rPr>
          <w:rFonts w:hint="eastAsia" w:ascii="宋体" w:hAnsi="宋体" w:eastAsia="宋体" w:cs="宋体"/>
        </w:rPr>
      </w:pPr>
    </w:p>
    <w:p w14:paraId="3E42B03E">
      <w:pPr>
        <w:pStyle w:val="2"/>
        <w:rPr>
          <w:rFonts w:hint="eastAsia" w:ascii="宋体" w:hAnsi="宋体" w:eastAsia="宋体" w:cs="宋体"/>
        </w:rPr>
      </w:pPr>
    </w:p>
    <w:p w14:paraId="25E47ADA">
      <w:pPr>
        <w:rPr>
          <w:rFonts w:hint="eastAsia" w:ascii="宋体" w:hAnsi="宋体" w:eastAsia="宋体" w:cs="宋体"/>
        </w:rPr>
      </w:pPr>
    </w:p>
    <w:p w14:paraId="6CD6391C">
      <w:pPr>
        <w:pStyle w:val="2"/>
        <w:rPr>
          <w:rFonts w:hint="eastAsia" w:ascii="宋体" w:hAnsi="宋体" w:eastAsia="宋体" w:cs="宋体"/>
        </w:rPr>
      </w:pPr>
    </w:p>
    <w:p w14:paraId="79388894">
      <w:pPr>
        <w:rPr>
          <w:rFonts w:hint="eastAsia" w:ascii="宋体" w:hAnsi="宋体" w:eastAsia="宋体" w:cs="宋体"/>
        </w:rPr>
      </w:pPr>
    </w:p>
    <w:p w14:paraId="66691C0E">
      <w:pPr>
        <w:pStyle w:val="2"/>
        <w:rPr>
          <w:rFonts w:hint="eastAsia" w:ascii="宋体" w:hAnsi="宋体" w:eastAsia="宋体" w:cs="宋体"/>
        </w:rPr>
      </w:pPr>
    </w:p>
    <w:p w14:paraId="4CAA3E0F">
      <w:pPr>
        <w:rPr>
          <w:rFonts w:hint="eastAsia" w:ascii="宋体" w:hAnsi="宋体" w:eastAsia="宋体" w:cs="宋体"/>
        </w:rPr>
      </w:pPr>
    </w:p>
    <w:p w14:paraId="749FD03A">
      <w:pPr>
        <w:pStyle w:val="2"/>
        <w:rPr>
          <w:rFonts w:hint="eastAsia" w:ascii="宋体" w:hAnsi="宋体" w:eastAsia="宋体" w:cs="宋体"/>
        </w:rPr>
      </w:pPr>
    </w:p>
    <w:p w14:paraId="060E5F19">
      <w:pPr>
        <w:rPr>
          <w:rFonts w:hint="eastAsia" w:ascii="宋体" w:hAnsi="宋体" w:eastAsia="宋体" w:cs="宋体"/>
        </w:rPr>
      </w:pPr>
    </w:p>
    <w:p w14:paraId="7DFB7677">
      <w:pPr>
        <w:pStyle w:val="2"/>
        <w:rPr>
          <w:rFonts w:hint="eastAsia" w:ascii="宋体" w:hAnsi="宋体" w:eastAsia="宋体" w:cs="宋体"/>
        </w:rPr>
      </w:pPr>
    </w:p>
    <w:p w14:paraId="06065E1F">
      <w:pPr>
        <w:snapToGrid w:val="0"/>
        <w:spacing w:before="120" w:after="50" w:line="460" w:lineRule="exact"/>
        <w:rPr>
          <w:rFonts w:hint="eastAsia" w:ascii="宋体" w:hAnsi="宋体" w:eastAsia="宋体" w:cs="宋体"/>
          <w:b/>
          <w:sz w:val="32"/>
          <w:szCs w:val="32"/>
        </w:rPr>
      </w:pPr>
    </w:p>
    <w:p w14:paraId="00E4181B">
      <w:pPr>
        <w:pStyle w:val="13"/>
        <w:keepNext w:val="0"/>
        <w:keepLines w:val="0"/>
        <w:pageBreakBefore w:val="0"/>
        <w:widowControl w:val="0"/>
        <w:kinsoku/>
        <w:wordWrap/>
        <w:overflowPunct/>
        <w:topLinePunct w:val="0"/>
        <w:autoSpaceDE/>
        <w:autoSpaceDN/>
        <w:bidi w:val="0"/>
        <w:adjustRightInd/>
        <w:snapToGrid/>
        <w:spacing w:before="0" w:beforeLines="0" w:afterLines="0" w:line="4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营业执照(或事业法人登记证或其他工商等登记证明材料)扫描件（投标人为自然人的，提供自然人的身份证明）扫描件</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税务登记证（或其它缴纳证明材料）扫描件、社保登记证（或其它缴纳证明材料）扫描件；实施“五证合一、一照一码”登记制度改革的，只需提供改革后取得的营业执照扫描件；</w:t>
      </w:r>
    </w:p>
    <w:p w14:paraId="5DAB79EF">
      <w:pPr>
        <w:pStyle w:val="13"/>
        <w:spacing w:afterLines="0" w:line="240" w:lineRule="auto"/>
        <w:ind w:firstLine="482" w:firstLineChars="200"/>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国资（政府）采购活动，由单位负责人签署相关文件材料）</w:t>
      </w:r>
    </w:p>
    <w:p w14:paraId="4B4A0E5F">
      <w:pPr>
        <w:snapToGrid w:val="0"/>
        <w:spacing w:before="120" w:after="50" w:line="460" w:lineRule="exact"/>
        <w:jc w:val="center"/>
        <w:rPr>
          <w:rFonts w:hint="eastAsia" w:ascii="宋体" w:hAnsi="宋体" w:eastAsia="宋体" w:cs="宋体"/>
        </w:rPr>
      </w:pPr>
    </w:p>
    <w:p w14:paraId="5C17D579">
      <w:pPr>
        <w:pStyle w:val="8"/>
        <w:rPr>
          <w:rFonts w:hint="eastAsia" w:ascii="宋体" w:hAnsi="宋体" w:eastAsia="宋体" w:cs="宋体"/>
        </w:rPr>
      </w:pPr>
    </w:p>
    <w:p w14:paraId="7CAB8F53">
      <w:pPr>
        <w:spacing w:before="120"/>
        <w:rPr>
          <w:rFonts w:hint="eastAsia" w:ascii="宋体" w:hAnsi="宋体" w:eastAsia="宋体" w:cs="宋体"/>
        </w:rPr>
      </w:pPr>
    </w:p>
    <w:p w14:paraId="5DC197CB">
      <w:pPr>
        <w:pStyle w:val="36"/>
        <w:snapToGrid w:val="0"/>
        <w:spacing w:before="120"/>
        <w:rPr>
          <w:rFonts w:hint="eastAsia" w:ascii="宋体" w:hAnsi="宋体" w:eastAsia="宋体" w:cs="宋体"/>
          <w:szCs w:val="24"/>
        </w:rPr>
      </w:pPr>
      <w:r>
        <w:rPr>
          <w:rFonts w:hint="eastAsia" w:ascii="宋体" w:hAnsi="宋体" w:eastAsia="宋体" w:cs="宋体"/>
          <w:szCs w:val="24"/>
        </w:rPr>
        <w:t>投标人全称（</w:t>
      </w:r>
      <w:r>
        <w:rPr>
          <w:rFonts w:hint="eastAsia" w:ascii="宋体" w:hAnsi="宋体" w:eastAsia="宋体" w:cs="宋体"/>
          <w:kern w:val="0"/>
          <w:lang w:val="zh-CN"/>
        </w:rPr>
        <w:t>电子签章</w:t>
      </w:r>
      <w:r>
        <w:rPr>
          <w:rFonts w:hint="eastAsia" w:ascii="宋体" w:hAnsi="宋体" w:eastAsia="宋体" w:cs="宋体"/>
          <w:szCs w:val="24"/>
        </w:rPr>
        <w:t>）：</w:t>
      </w:r>
      <w:r>
        <w:rPr>
          <w:rFonts w:hint="eastAsia" w:ascii="宋体" w:hAnsi="宋体" w:eastAsia="宋体" w:cs="宋体"/>
          <w:szCs w:val="24"/>
          <w:u w:val="single"/>
        </w:rPr>
        <w:t xml:space="preserve">                      </w:t>
      </w:r>
    </w:p>
    <w:p w14:paraId="7B9D02E5">
      <w:pPr>
        <w:snapToGrid w:val="0"/>
        <w:spacing w:before="120" w:after="50" w:line="460" w:lineRule="exact"/>
        <w:rPr>
          <w:rFonts w:hint="eastAsia" w:ascii="宋体" w:hAnsi="宋体" w:eastAsia="宋体" w:cs="宋体"/>
          <w:u w:val="single"/>
        </w:rPr>
      </w:pPr>
      <w:r>
        <w:rPr>
          <w:rFonts w:hint="eastAsia" w:ascii="宋体" w:hAnsi="宋体" w:eastAsia="宋体" w:cs="宋体"/>
        </w:rPr>
        <w:t>日期：</w:t>
      </w:r>
      <w:r>
        <w:rPr>
          <w:rFonts w:hint="eastAsia" w:ascii="宋体" w:hAnsi="宋体" w:eastAsia="宋体" w:cs="宋体"/>
          <w:u w:val="single"/>
        </w:rPr>
        <w:t xml:space="preserve">       年     月     日</w:t>
      </w:r>
    </w:p>
    <w:p w14:paraId="17E29F6B">
      <w:pPr>
        <w:pStyle w:val="8"/>
        <w:rPr>
          <w:rFonts w:hint="eastAsia" w:ascii="宋体" w:hAnsi="宋体" w:eastAsia="宋体" w:cs="宋体"/>
          <w:u w:val="single"/>
        </w:rPr>
      </w:pPr>
    </w:p>
    <w:p w14:paraId="25A310DF">
      <w:pPr>
        <w:spacing w:before="120"/>
        <w:rPr>
          <w:rFonts w:hint="eastAsia" w:ascii="宋体" w:hAnsi="宋体" w:eastAsia="宋体" w:cs="宋体"/>
          <w:u w:val="single"/>
        </w:rPr>
      </w:pPr>
    </w:p>
    <w:p w14:paraId="41123005">
      <w:pPr>
        <w:pStyle w:val="8"/>
        <w:ind w:left="0" w:firstLine="0"/>
        <w:rPr>
          <w:rFonts w:hint="eastAsia" w:ascii="宋体" w:hAnsi="宋体" w:eastAsia="宋体" w:cs="宋体"/>
        </w:rPr>
      </w:pPr>
    </w:p>
    <w:p w14:paraId="0CFF9742">
      <w:pPr>
        <w:pStyle w:val="2"/>
        <w:rPr>
          <w:rFonts w:hint="eastAsia" w:ascii="宋体" w:hAnsi="宋体" w:eastAsia="宋体" w:cs="宋体"/>
        </w:rPr>
      </w:pPr>
    </w:p>
    <w:p w14:paraId="31C43075">
      <w:pPr>
        <w:snapToGrid w:val="0"/>
        <w:jc w:val="both"/>
        <w:rPr>
          <w:rFonts w:hint="eastAsia" w:ascii="宋体" w:hAnsi="宋体" w:eastAsia="宋体" w:cs="宋体"/>
          <w:u w:val="single"/>
        </w:rPr>
      </w:pPr>
    </w:p>
    <w:p w14:paraId="61F08069">
      <w:pPr>
        <w:snapToGrid w:val="0"/>
        <w:jc w:val="center"/>
        <w:rPr>
          <w:rFonts w:hint="eastAsia" w:ascii="宋体" w:hAnsi="宋体" w:eastAsia="宋体" w:cs="宋体"/>
          <w:u w:val="single"/>
        </w:rPr>
      </w:pPr>
    </w:p>
    <w:p w14:paraId="44683CDE">
      <w:pPr>
        <w:rPr>
          <w:rFonts w:hint="eastAsia" w:ascii="宋体" w:hAnsi="宋体" w:eastAsia="宋体" w:cs="宋体"/>
        </w:rPr>
      </w:pPr>
    </w:p>
    <w:p w14:paraId="2BB597FC">
      <w:pPr>
        <w:snapToGrid w:val="0"/>
        <w:jc w:val="center"/>
        <w:rPr>
          <w:rFonts w:hint="eastAsia" w:ascii="宋体" w:hAnsi="宋体" w:eastAsia="宋体" w:cs="宋体"/>
          <w:b/>
          <w:sz w:val="32"/>
          <w:szCs w:val="32"/>
        </w:rPr>
      </w:pPr>
    </w:p>
    <w:p w14:paraId="5B4DB39C">
      <w:pPr>
        <w:snapToGrid w:val="0"/>
        <w:jc w:val="center"/>
        <w:rPr>
          <w:rFonts w:hint="eastAsia" w:ascii="宋体" w:hAnsi="宋体" w:eastAsia="宋体" w:cs="宋体"/>
          <w:b/>
          <w:sz w:val="32"/>
          <w:szCs w:val="32"/>
        </w:rPr>
      </w:pPr>
    </w:p>
    <w:p w14:paraId="7C6CF0FE">
      <w:pPr>
        <w:snapToGrid w:val="0"/>
        <w:jc w:val="both"/>
        <w:rPr>
          <w:rFonts w:hint="eastAsia" w:ascii="宋体" w:hAnsi="宋体" w:eastAsia="宋体" w:cs="宋体"/>
          <w:b/>
          <w:sz w:val="32"/>
          <w:szCs w:val="32"/>
        </w:rPr>
      </w:pPr>
    </w:p>
    <w:p w14:paraId="48CA1CA2">
      <w:pPr>
        <w:pStyle w:val="13"/>
        <w:snapToGrid w:val="0"/>
        <w:spacing w:afterLines="0" w:line="240" w:lineRule="auto"/>
        <w:ind w:firstLine="636" w:firstLineChars="198"/>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法定代表人授权委托书</w:t>
      </w:r>
    </w:p>
    <w:p w14:paraId="251D648D">
      <w:pPr>
        <w:snapToGrid w:val="0"/>
        <w:spacing w:before="156" w:after="50"/>
        <w:jc w:val="center"/>
        <w:rPr>
          <w:rFonts w:hint="eastAsia" w:ascii="宋体" w:hAnsi="宋体" w:eastAsia="宋体" w:cs="宋体"/>
          <w:b/>
          <w:color w:val="auto"/>
          <w:sz w:val="30"/>
          <w:szCs w:val="30"/>
          <w:highlight w:val="none"/>
        </w:rPr>
      </w:pPr>
    </w:p>
    <w:p w14:paraId="310C702D">
      <w:pPr>
        <w:spacing w:before="156"/>
        <w:rPr>
          <w:rFonts w:hint="eastAsia" w:ascii="宋体" w:hAnsi="宋体" w:eastAsia="宋体" w:cs="宋体"/>
          <w:b/>
          <w:bCs/>
          <w:color w:val="auto"/>
          <w:sz w:val="24"/>
          <w:szCs w:val="24"/>
          <w:highlight w:val="none"/>
          <w:u w:val="single"/>
        </w:rPr>
      </w:pPr>
      <w:r>
        <w:rPr>
          <w:rFonts w:hint="eastAsia" w:ascii="宋体" w:hAnsi="宋体" w:eastAsia="宋体" w:cs="宋体"/>
          <w:color w:val="auto"/>
          <w:kern w:val="0"/>
          <w:sz w:val="24"/>
          <w:szCs w:val="24"/>
          <w:highlight w:val="none"/>
          <w:u w:val="single"/>
          <w:lang w:eastAsia="zh-CN"/>
        </w:rPr>
        <w:t>杭州富春湾新城建设投资集团有限公司</w:t>
      </w:r>
      <w:r>
        <w:rPr>
          <w:rFonts w:hint="eastAsia" w:ascii="宋体" w:hAnsi="宋体" w:eastAsia="宋体" w:cs="宋体"/>
          <w:bCs/>
          <w:color w:val="auto"/>
          <w:sz w:val="24"/>
          <w:szCs w:val="24"/>
          <w:highlight w:val="none"/>
          <w:u w:val="single"/>
        </w:rPr>
        <w:t>：</w:t>
      </w:r>
    </w:p>
    <w:p w14:paraId="178E7BC2">
      <w:pPr>
        <w:snapToGrid w:val="0"/>
        <w:spacing w:before="156"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（投标人名称）的法定代表人，现授权委托本单位在职职工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（姓名）为授权代表，以我方的名义参加项目编号：</w:t>
      </w:r>
      <w:r>
        <w:rPr>
          <w:rFonts w:hint="eastAsia" w:ascii="宋体" w:hAnsi="宋体" w:eastAsia="宋体" w:cs="宋体"/>
          <w:color w:val="auto"/>
          <w:sz w:val="24"/>
          <w:szCs w:val="24"/>
          <w:highlight w:val="none"/>
          <w:u w:val="single"/>
          <w:lang w:eastAsia="zh-CN"/>
        </w:rPr>
        <w:t>FCW20240046-1，</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2024年度富春湾集团国有资产评估中介机构招标</w:t>
      </w:r>
      <w:r>
        <w:rPr>
          <w:rFonts w:hint="eastAsia" w:ascii="宋体" w:hAnsi="宋体" w:eastAsia="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的投标活动，并代表我方全权办理针对上述项目投标过程中的</w:t>
      </w:r>
      <w:r>
        <w:rPr>
          <w:rFonts w:hint="eastAsia" w:ascii="宋体" w:hAnsi="宋体" w:eastAsia="宋体" w:cs="宋体"/>
          <w:color w:val="auto"/>
          <w:sz w:val="24"/>
          <w:highlight w:val="none"/>
        </w:rPr>
        <w:t>一切与之有关的事务，其在投标中的一切活动本单位均予承认，并</w:t>
      </w:r>
      <w:r>
        <w:rPr>
          <w:rFonts w:hint="eastAsia" w:ascii="宋体" w:hAnsi="宋体" w:eastAsia="宋体" w:cs="宋体"/>
          <w:color w:val="auto"/>
          <w:sz w:val="24"/>
          <w:szCs w:val="24"/>
          <w:highlight w:val="none"/>
        </w:rPr>
        <w:t>负全部责任。</w:t>
      </w:r>
    </w:p>
    <w:p w14:paraId="365DAF48">
      <w:pPr>
        <w:snapToGrid w:val="0"/>
        <w:spacing w:before="156"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在撤销授权的书面通知以前，本授权书一直有效。授权代表在授权书有效期内签署的所有文件不因授权的撤销而失效。</w:t>
      </w:r>
    </w:p>
    <w:p w14:paraId="1491BD85">
      <w:pPr>
        <w:snapToGrid w:val="0"/>
        <w:spacing w:before="156" w:line="360" w:lineRule="auto"/>
        <w:ind w:firstLine="480"/>
        <w:rPr>
          <w:rFonts w:hint="eastAsia" w:ascii="宋体" w:hAnsi="宋体" w:eastAsia="宋体" w:cs="宋体"/>
          <w:color w:val="auto"/>
          <w:highlight w:val="none"/>
        </w:rPr>
      </w:pPr>
      <w:r>
        <w:rPr>
          <w:rFonts w:hint="eastAsia" w:ascii="宋体" w:hAnsi="宋体" w:eastAsia="宋体" w:cs="宋体"/>
          <w:color w:val="auto"/>
          <w:sz w:val="24"/>
          <w:szCs w:val="24"/>
          <w:highlight w:val="none"/>
        </w:rPr>
        <w:t>授权代表无转委托权，特此委托。</w:t>
      </w:r>
    </w:p>
    <w:p w14:paraId="13C84A1F">
      <w:pPr>
        <w:pStyle w:val="13"/>
        <w:snapToGrid w:val="0"/>
        <w:spacing w:afterLines="0" w:line="240" w:lineRule="auto"/>
        <w:ind w:firstLine="557" w:firstLineChars="198"/>
        <w:jc w:val="center"/>
        <w:outlineLvl w:val="1"/>
        <w:rPr>
          <w:rFonts w:hint="eastAsia" w:ascii="宋体" w:hAnsi="宋体" w:eastAsia="宋体" w:cs="宋体"/>
          <w:bCs/>
          <w:color w:val="auto"/>
          <w:sz w:val="24"/>
          <w:highlight w:val="none"/>
        </w:rPr>
      </w:pPr>
      <w:r>
        <w:rPr>
          <w:rFonts w:hint="eastAsia" w:ascii="宋体" w:hAnsi="宋体" w:eastAsia="宋体" w:cs="宋体"/>
          <w:b/>
          <w:color w:val="auto"/>
          <w:sz w:val="28"/>
          <w:szCs w:val="28"/>
          <w:highlight w:val="none"/>
        </w:rPr>
        <w:t>授权代表的身份证正反</w:t>
      </w:r>
      <w:r>
        <w:rPr>
          <w:rFonts w:hint="eastAsia" w:ascii="宋体" w:hAnsi="宋体" w:eastAsia="宋体" w:cs="宋体"/>
          <w:b/>
          <w:color w:val="auto"/>
          <w:sz w:val="28"/>
          <w:szCs w:val="28"/>
          <w:highlight w:val="none"/>
          <w:lang w:eastAsia="zh-CN"/>
        </w:rPr>
        <w:t>面</w:t>
      </w:r>
      <w:r>
        <w:rPr>
          <w:rFonts w:hint="eastAsia" w:ascii="宋体" w:hAnsi="宋体" w:eastAsia="宋体" w:cs="宋体"/>
          <w:b/>
          <w:color w:val="auto"/>
          <w:sz w:val="28"/>
          <w:szCs w:val="28"/>
          <w:highlight w:val="none"/>
        </w:rPr>
        <w:t>（扫描件）</w:t>
      </w:r>
    </w:p>
    <w:tbl>
      <w:tblPr>
        <w:tblStyle w:val="2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18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9207" w:type="dxa"/>
            <w:noWrap w:val="0"/>
            <w:vAlign w:val="top"/>
          </w:tcPr>
          <w:p w14:paraId="6BC360D1">
            <w:pPr>
              <w:pStyle w:val="3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6997971F">
            <w:pPr>
              <w:pStyle w:val="37"/>
              <w:spacing w:line="360" w:lineRule="auto"/>
              <w:rPr>
                <w:rFonts w:hint="eastAsia" w:ascii="宋体" w:hAnsi="宋体" w:eastAsia="宋体" w:cs="宋体"/>
                <w:bCs/>
                <w:color w:val="auto"/>
                <w:sz w:val="24"/>
                <w:highlight w:val="none"/>
              </w:rPr>
            </w:pPr>
          </w:p>
        </w:tc>
      </w:tr>
    </w:tbl>
    <w:p w14:paraId="7557A272">
      <w:pPr>
        <w:snapToGrid w:val="0"/>
        <w:spacing w:before="156"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rPr>
        <w:t xml:space="preserve">            </w:t>
      </w:r>
    </w:p>
    <w:p w14:paraId="4BE7BC02">
      <w:pPr>
        <w:snapToGrid w:val="0"/>
        <w:spacing w:before="156"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77F5275">
      <w:pPr>
        <w:snapToGrid w:val="0"/>
        <w:spacing w:before="156"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法定代表人（签名或签章）：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p>
    <w:p w14:paraId="7A1A6578">
      <w:pPr>
        <w:snapToGrid w:val="0"/>
        <w:spacing w:before="156"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24"/>
          <w:highlight w:val="none"/>
        </w:rPr>
        <w:t>投标人全称（</w:t>
      </w:r>
      <w:r>
        <w:rPr>
          <w:rFonts w:hint="eastAsia" w:ascii="宋体" w:hAnsi="宋体" w:eastAsia="宋体" w:cs="宋体"/>
          <w:color w:val="auto"/>
          <w:kern w:val="0"/>
          <w:sz w:val="24"/>
          <w:highlight w:val="none"/>
          <w:lang w:val="zh-CN"/>
        </w:rPr>
        <w:t>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授权日期：</w:t>
      </w:r>
      <w:r>
        <w:rPr>
          <w:rFonts w:hint="eastAsia" w:ascii="宋体" w:hAnsi="宋体" w:eastAsia="宋体" w:cs="宋体"/>
          <w:color w:val="auto"/>
          <w:sz w:val="24"/>
          <w:szCs w:val="24"/>
          <w:highlight w:val="none"/>
          <w:u w:val="single"/>
        </w:rPr>
        <w:t xml:space="preserve">     年   月   日</w:t>
      </w:r>
    </w:p>
    <w:p w14:paraId="6F211B9C">
      <w:pPr>
        <w:snapToGrid w:val="0"/>
        <w:spacing w:before="156" w:line="360" w:lineRule="auto"/>
        <w:ind w:firstLine="5040" w:firstLineChars="2100"/>
        <w:rPr>
          <w:rFonts w:hint="eastAsia" w:ascii="宋体" w:hAnsi="宋体" w:eastAsia="宋体" w:cs="宋体"/>
          <w:color w:val="auto"/>
          <w:kern w:val="0"/>
          <w:sz w:val="24"/>
          <w:highlight w:val="none"/>
          <w:lang w:val="zh-CN"/>
        </w:rPr>
      </w:pPr>
    </w:p>
    <w:p w14:paraId="667B9731">
      <w:pPr>
        <w:pStyle w:val="36"/>
        <w:snapToGrid w:val="0"/>
        <w:spacing w:before="156" w:line="360" w:lineRule="auto"/>
        <w:jc w:val="left"/>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rPr>
        <w:t>注：如法定代表人直接参加投标并对相应文件签字的，只需提供其身份证扫描件正反面。</w:t>
      </w:r>
      <w:r>
        <w:rPr>
          <w:rFonts w:hint="eastAsia" w:ascii="宋体" w:hAnsi="宋体" w:eastAsia="宋体" w:cs="宋体"/>
          <w:b/>
          <w:color w:val="auto"/>
          <w:szCs w:val="21"/>
          <w:highlight w:val="none"/>
          <w:lang w:val="zh-CN"/>
        </w:rPr>
        <w:t>）</w:t>
      </w:r>
    </w:p>
    <w:p w14:paraId="2B8B9A6B">
      <w:pPr>
        <w:pStyle w:val="36"/>
        <w:snapToGrid w:val="0"/>
        <w:spacing w:before="156" w:line="360" w:lineRule="auto"/>
        <w:jc w:val="left"/>
        <w:rPr>
          <w:rFonts w:hint="eastAsia" w:ascii="宋体" w:hAnsi="宋体" w:eastAsia="宋体" w:cs="宋体"/>
          <w:b/>
          <w:color w:val="auto"/>
          <w:szCs w:val="21"/>
          <w:highlight w:val="none"/>
          <w:lang w:val="zh-CN"/>
        </w:rPr>
        <w:sectPr>
          <w:headerReference r:id="rId11" w:type="default"/>
          <w:footerReference r:id="rId12" w:type="default"/>
          <w:pgSz w:w="11906" w:h="16838"/>
          <w:pgMar w:top="1417" w:right="1191" w:bottom="1417" w:left="1191" w:header="851" w:footer="992" w:gutter="0"/>
          <w:cols w:space="720" w:num="1"/>
          <w:rtlGutter w:val="0"/>
          <w:docGrid w:type="lines" w:linePitch="312" w:charSpace="0"/>
        </w:sectPr>
      </w:pPr>
      <w:r>
        <w:rPr>
          <w:rFonts w:hint="eastAsia" w:ascii="宋体" w:hAnsi="宋体" w:eastAsia="宋体" w:cs="宋体"/>
          <w:b/>
          <w:bCs/>
          <w:color w:val="000000"/>
          <w:sz w:val="24"/>
          <w:szCs w:val="24"/>
          <w:u w:val="single"/>
        </w:rPr>
        <w:t>▲投标文件中法定代表人授权委托书所载内容与本项目内容有异的，投标无效。</w:t>
      </w:r>
    </w:p>
    <w:p w14:paraId="606CDF31">
      <w:pPr>
        <w:snapToGrid w:val="0"/>
        <w:spacing w:before="156" w:after="50" w:line="46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符合参与政府采购活动的资格条件并且没有税收缴纳、社会保障等方面的失信记录的承诺函</w:t>
      </w:r>
    </w:p>
    <w:p w14:paraId="1F2E3DC2">
      <w:pPr>
        <w:snapToGrid w:val="0"/>
        <w:spacing w:before="156" w:line="360" w:lineRule="auto"/>
        <w:rPr>
          <w:rFonts w:hint="eastAsia" w:ascii="宋体" w:hAnsi="宋体" w:eastAsia="宋体" w:cs="宋体"/>
          <w:color w:val="auto"/>
          <w:sz w:val="24"/>
          <w:szCs w:val="24"/>
        </w:rPr>
      </w:pPr>
    </w:p>
    <w:p w14:paraId="121267D6">
      <w:pPr>
        <w:spacing w:before="156"/>
        <w:rPr>
          <w:rFonts w:hint="eastAsia" w:ascii="宋体" w:hAnsi="宋体" w:eastAsia="宋体" w:cs="宋体"/>
          <w:b/>
          <w:bCs/>
          <w:color w:val="auto"/>
          <w:sz w:val="24"/>
          <w:szCs w:val="24"/>
          <w:highlight w:val="none"/>
          <w:u w:val="single"/>
        </w:rPr>
      </w:pPr>
      <w:r>
        <w:rPr>
          <w:rFonts w:hint="eastAsia" w:ascii="宋体" w:hAnsi="宋体" w:eastAsia="宋体" w:cs="宋体"/>
          <w:color w:val="auto"/>
          <w:kern w:val="0"/>
          <w:sz w:val="24"/>
          <w:szCs w:val="24"/>
          <w:highlight w:val="none"/>
          <w:u w:val="single"/>
          <w:lang w:eastAsia="zh-CN"/>
        </w:rPr>
        <w:t>杭州富春湾新城建设投资集团有限公司</w:t>
      </w:r>
      <w:r>
        <w:rPr>
          <w:rFonts w:hint="eastAsia" w:ascii="宋体" w:hAnsi="宋体" w:eastAsia="宋体" w:cs="宋体"/>
          <w:bCs/>
          <w:color w:val="auto"/>
          <w:sz w:val="24"/>
          <w:szCs w:val="24"/>
          <w:highlight w:val="none"/>
          <w:u w:val="single"/>
        </w:rPr>
        <w:t>：</w:t>
      </w:r>
    </w:p>
    <w:p w14:paraId="61F13F5F">
      <w:pPr>
        <w:snapToGrid w:val="0"/>
        <w:spacing w:before="156" w:line="360" w:lineRule="auto"/>
        <w:rPr>
          <w:rFonts w:hint="eastAsia" w:ascii="宋体" w:hAnsi="宋体" w:eastAsia="宋体" w:cs="宋体"/>
          <w:color w:val="auto"/>
          <w:sz w:val="24"/>
          <w:szCs w:val="24"/>
        </w:rPr>
      </w:pPr>
    </w:p>
    <w:p w14:paraId="1F567EF4">
      <w:pPr>
        <w:snapToGrid w:val="0"/>
        <w:spacing w:before="156"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我方郑重承诺，我方符合参与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sz w:val="24"/>
          <w:szCs w:val="22"/>
          <w:u w:val="single"/>
          <w:lang w:eastAsia="zh-CN"/>
        </w:rPr>
        <w:t>2024年度富春湾集团国有资产评估中介机构招标项目</w:t>
      </w:r>
      <w:r>
        <w:rPr>
          <w:rFonts w:hint="eastAsia" w:ascii="宋体" w:hAnsi="宋体" w:eastAsia="宋体" w:cs="宋体"/>
          <w:sz w:val="24"/>
          <w:szCs w:val="24"/>
          <w:u w:val="single"/>
        </w:rPr>
        <w:t>（项目编号：</w:t>
      </w:r>
      <w:r>
        <w:rPr>
          <w:rFonts w:hint="eastAsia" w:ascii="宋体" w:hAnsi="宋体" w:eastAsia="宋体" w:cs="宋体"/>
          <w:sz w:val="24"/>
          <w:szCs w:val="24"/>
          <w:u w:val="single"/>
          <w:lang w:eastAsia="zh-CN"/>
        </w:rPr>
        <w:t>FCW20240046-1</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采购活动的资格条件并且没有税收缴纳、社会保障等方面的失信记录。</w:t>
      </w:r>
    </w:p>
    <w:p w14:paraId="3A1D5672">
      <w:pPr>
        <w:pStyle w:val="36"/>
        <w:snapToGrid w:val="0"/>
        <w:spacing w:before="156" w:line="360" w:lineRule="auto"/>
        <w:rPr>
          <w:rFonts w:hint="eastAsia" w:ascii="宋体" w:hAnsi="宋体" w:eastAsia="宋体" w:cs="宋体"/>
          <w:color w:val="auto"/>
          <w:szCs w:val="24"/>
        </w:rPr>
      </w:pPr>
    </w:p>
    <w:p w14:paraId="29E380D9">
      <w:pPr>
        <w:pStyle w:val="36"/>
        <w:snapToGrid w:val="0"/>
        <w:spacing w:before="156" w:line="360" w:lineRule="auto"/>
        <w:rPr>
          <w:rFonts w:hint="eastAsia" w:ascii="宋体" w:hAnsi="宋体" w:eastAsia="宋体" w:cs="宋体"/>
          <w:color w:val="auto"/>
          <w:szCs w:val="24"/>
        </w:rPr>
      </w:pPr>
    </w:p>
    <w:p w14:paraId="57D846C7">
      <w:pPr>
        <w:pStyle w:val="36"/>
        <w:snapToGrid w:val="0"/>
        <w:spacing w:before="156" w:line="360" w:lineRule="auto"/>
        <w:rPr>
          <w:rFonts w:hint="eastAsia" w:ascii="宋体" w:hAnsi="宋体" w:eastAsia="宋体" w:cs="宋体"/>
          <w:color w:val="auto"/>
          <w:szCs w:val="24"/>
        </w:rPr>
      </w:pPr>
    </w:p>
    <w:p w14:paraId="321DCEAD">
      <w:pPr>
        <w:pStyle w:val="36"/>
        <w:snapToGrid w:val="0"/>
        <w:spacing w:before="156" w:line="480" w:lineRule="exact"/>
        <w:rPr>
          <w:rFonts w:hint="eastAsia" w:ascii="宋体" w:hAnsi="宋体" w:eastAsia="宋体" w:cs="宋体"/>
          <w:color w:val="000000"/>
          <w:szCs w:val="24"/>
        </w:rPr>
      </w:pPr>
      <w:r>
        <w:rPr>
          <w:rFonts w:hint="eastAsia" w:ascii="宋体" w:hAnsi="宋体" w:eastAsia="宋体" w:cs="宋体"/>
          <w:color w:val="000000"/>
          <w:szCs w:val="24"/>
        </w:rPr>
        <w:t>投标人全称（电子签章）：</w:t>
      </w:r>
      <w:r>
        <w:rPr>
          <w:rFonts w:hint="eastAsia" w:ascii="宋体" w:hAnsi="宋体" w:eastAsia="宋体" w:cs="宋体"/>
          <w:color w:val="000000"/>
          <w:szCs w:val="24"/>
          <w:u w:val="single"/>
        </w:rPr>
        <w:t xml:space="preserve">                        </w:t>
      </w:r>
    </w:p>
    <w:p w14:paraId="48782C18">
      <w:pPr>
        <w:snapToGrid w:val="0"/>
        <w:spacing w:before="156" w:after="50" w:line="480" w:lineRule="exact"/>
        <w:rPr>
          <w:rFonts w:hint="eastAsia" w:ascii="宋体" w:hAnsi="宋体" w:eastAsia="宋体" w:cs="宋体"/>
          <w:b/>
          <w:color w:val="000000"/>
          <w:sz w:val="32"/>
          <w:szCs w:val="32"/>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年    月    日</w:t>
      </w:r>
    </w:p>
    <w:p w14:paraId="698366F5">
      <w:pPr>
        <w:pStyle w:val="36"/>
        <w:snapToGrid w:val="0"/>
        <w:spacing w:before="156" w:line="360" w:lineRule="auto"/>
        <w:rPr>
          <w:rFonts w:hint="eastAsia" w:ascii="宋体" w:hAnsi="宋体" w:eastAsia="宋体" w:cs="宋体"/>
          <w:color w:val="auto"/>
          <w:szCs w:val="24"/>
          <w:highlight w:val="none"/>
        </w:rPr>
      </w:pPr>
    </w:p>
    <w:p w14:paraId="172D7712">
      <w:pPr>
        <w:pStyle w:val="36"/>
        <w:snapToGrid w:val="0"/>
        <w:spacing w:before="156" w:line="360" w:lineRule="auto"/>
        <w:rPr>
          <w:rFonts w:hint="eastAsia" w:ascii="宋体" w:hAnsi="宋体" w:eastAsia="宋体" w:cs="宋体"/>
          <w:color w:val="auto"/>
          <w:szCs w:val="24"/>
          <w:highlight w:val="none"/>
        </w:rPr>
      </w:pPr>
    </w:p>
    <w:p w14:paraId="54179CD7">
      <w:pPr>
        <w:pStyle w:val="36"/>
        <w:snapToGrid w:val="0"/>
        <w:spacing w:before="156" w:line="360" w:lineRule="auto"/>
        <w:rPr>
          <w:rFonts w:hint="eastAsia" w:ascii="宋体" w:hAnsi="宋体" w:eastAsia="宋体" w:cs="宋体"/>
          <w:color w:val="auto"/>
          <w:szCs w:val="24"/>
          <w:highlight w:val="none"/>
        </w:rPr>
      </w:pPr>
    </w:p>
    <w:p w14:paraId="77E93938">
      <w:pPr>
        <w:pStyle w:val="36"/>
        <w:snapToGrid w:val="0"/>
        <w:spacing w:before="156" w:line="360" w:lineRule="auto"/>
        <w:rPr>
          <w:rFonts w:hint="eastAsia" w:ascii="宋体" w:hAnsi="宋体" w:eastAsia="宋体" w:cs="宋体"/>
          <w:color w:val="auto"/>
          <w:szCs w:val="24"/>
          <w:highlight w:val="none"/>
        </w:rPr>
      </w:pPr>
    </w:p>
    <w:p w14:paraId="446E0734">
      <w:pPr>
        <w:pStyle w:val="36"/>
        <w:snapToGrid w:val="0"/>
        <w:spacing w:before="156" w:line="360" w:lineRule="auto"/>
        <w:rPr>
          <w:rFonts w:hint="eastAsia" w:ascii="宋体" w:hAnsi="宋体" w:eastAsia="宋体" w:cs="宋体"/>
          <w:color w:val="auto"/>
          <w:szCs w:val="24"/>
          <w:highlight w:val="none"/>
        </w:rPr>
      </w:pPr>
    </w:p>
    <w:p w14:paraId="11F33671">
      <w:pPr>
        <w:spacing w:before="156" w:line="360" w:lineRule="auto"/>
        <w:jc w:val="center"/>
        <w:rPr>
          <w:rFonts w:hint="eastAsia" w:ascii="宋体" w:hAnsi="宋体" w:eastAsia="宋体" w:cs="宋体"/>
          <w:b/>
          <w:color w:val="auto"/>
          <w:sz w:val="32"/>
          <w:szCs w:val="32"/>
          <w:highlight w:val="none"/>
        </w:rPr>
        <w:sectPr>
          <w:headerReference r:id="rId13" w:type="default"/>
          <w:footerReference r:id="rId14" w:type="default"/>
          <w:pgSz w:w="11906" w:h="16838"/>
          <w:pgMar w:top="1417" w:right="1191" w:bottom="1417" w:left="1191" w:header="851" w:footer="992" w:gutter="0"/>
          <w:cols w:space="720" w:num="1"/>
          <w:rtlGutter w:val="0"/>
          <w:docGrid w:type="lines" w:linePitch="312" w:charSpace="0"/>
        </w:sectPr>
      </w:pPr>
    </w:p>
    <w:p w14:paraId="1DB0345A">
      <w:pPr>
        <w:snapToGrid w:val="0"/>
        <w:spacing w:before="156" w:after="50" w:line="46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具有履行合同所必需的设备和专业技术能力的承诺函</w:t>
      </w:r>
    </w:p>
    <w:p w14:paraId="581CAAE6">
      <w:pPr>
        <w:snapToGrid w:val="0"/>
        <w:spacing w:before="156" w:after="50" w:line="460" w:lineRule="exact"/>
        <w:rPr>
          <w:rFonts w:hint="eastAsia" w:ascii="宋体" w:hAnsi="宋体" w:eastAsia="宋体" w:cs="宋体"/>
          <w:color w:val="auto"/>
          <w:sz w:val="24"/>
          <w:highlight w:val="none"/>
        </w:rPr>
      </w:pPr>
    </w:p>
    <w:p w14:paraId="1DE3F511">
      <w:pPr>
        <w:spacing w:before="156"/>
        <w:rPr>
          <w:rFonts w:hint="eastAsia" w:ascii="宋体" w:hAnsi="宋体" w:eastAsia="宋体" w:cs="宋体"/>
          <w:color w:val="auto"/>
          <w:sz w:val="24"/>
          <w:highlight w:val="none"/>
          <w:u w:val="single"/>
        </w:rPr>
      </w:pPr>
      <w:r>
        <w:rPr>
          <w:rFonts w:hint="eastAsia" w:ascii="宋体" w:hAnsi="宋体" w:eastAsia="宋体" w:cs="宋体"/>
          <w:color w:val="auto"/>
          <w:kern w:val="0"/>
          <w:sz w:val="24"/>
          <w:szCs w:val="24"/>
          <w:highlight w:val="none"/>
          <w:u w:val="single"/>
          <w:lang w:eastAsia="zh-CN"/>
        </w:rPr>
        <w:t>杭州富春湾新城建设投资集团有限公司</w:t>
      </w:r>
      <w:r>
        <w:rPr>
          <w:rFonts w:hint="eastAsia" w:ascii="宋体" w:hAnsi="宋体" w:eastAsia="宋体" w:cs="宋体"/>
          <w:color w:val="auto"/>
          <w:sz w:val="24"/>
          <w:highlight w:val="none"/>
          <w:u w:val="single"/>
        </w:rPr>
        <w:t>：</w:t>
      </w:r>
    </w:p>
    <w:p w14:paraId="46DC065E">
      <w:pPr>
        <w:snapToGrid w:val="0"/>
        <w:spacing w:before="156" w:after="50" w:line="46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我方郑重承诺，我方具有履行</w:t>
      </w:r>
      <w:r>
        <w:rPr>
          <w:rFonts w:hint="eastAsia" w:ascii="宋体" w:hAnsi="宋体" w:eastAsia="宋体" w:cs="宋体"/>
          <w:color w:val="auto"/>
          <w:sz w:val="24"/>
          <w:szCs w:val="22"/>
          <w:highlight w:val="none"/>
          <w:u w:val="single"/>
          <w:lang w:val="en-US" w:eastAsia="zh-CN"/>
        </w:rPr>
        <w:t xml:space="preserve"> </w:t>
      </w:r>
      <w:r>
        <w:rPr>
          <w:rFonts w:hint="eastAsia" w:ascii="宋体" w:hAnsi="宋体" w:eastAsia="宋体" w:cs="宋体"/>
          <w:color w:val="auto"/>
          <w:sz w:val="24"/>
          <w:szCs w:val="24"/>
          <w:highlight w:val="none"/>
          <w:u w:val="single"/>
          <w:lang w:eastAsia="zh-CN"/>
        </w:rPr>
        <w:t>2024年度富春湾集团国有资产评估中介机构招标项目</w:t>
      </w:r>
      <w:r>
        <w:rPr>
          <w:rFonts w:hint="eastAsia" w:ascii="宋体" w:hAnsi="宋体" w:eastAsia="宋体" w:cs="宋体"/>
          <w:color w:val="auto"/>
          <w:sz w:val="24"/>
          <w:szCs w:val="24"/>
          <w:highlight w:val="none"/>
          <w:u w:val="single"/>
        </w:rPr>
        <w:t>（项目编号：</w:t>
      </w:r>
      <w:r>
        <w:rPr>
          <w:rFonts w:hint="eastAsia" w:ascii="宋体" w:hAnsi="宋体" w:eastAsia="宋体" w:cs="宋体"/>
          <w:color w:val="auto"/>
          <w:sz w:val="24"/>
          <w:szCs w:val="24"/>
          <w:highlight w:val="none"/>
          <w:u w:val="single"/>
          <w:lang w:eastAsia="zh-CN"/>
        </w:rPr>
        <w:t>FCW20240046-1</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2"/>
          <w:highlight w:val="none"/>
        </w:rPr>
        <w:t>合同所必需的设备和专业技术能力。如中标，我方将保证合同顺利履行。</w:t>
      </w:r>
    </w:p>
    <w:p w14:paraId="3E78CC4C">
      <w:pPr>
        <w:snapToGrid w:val="0"/>
        <w:spacing w:before="156" w:after="50" w:line="460" w:lineRule="exact"/>
        <w:jc w:val="center"/>
        <w:rPr>
          <w:rFonts w:hint="eastAsia" w:ascii="宋体" w:hAnsi="宋体" w:eastAsia="宋体" w:cs="宋体"/>
          <w:b/>
          <w:color w:val="auto"/>
          <w:sz w:val="32"/>
          <w:szCs w:val="32"/>
          <w:highlight w:val="none"/>
        </w:rPr>
      </w:pPr>
    </w:p>
    <w:p w14:paraId="724BC38F">
      <w:pPr>
        <w:pStyle w:val="36"/>
        <w:snapToGrid w:val="0"/>
        <w:spacing w:before="156" w:line="360" w:lineRule="auto"/>
        <w:rPr>
          <w:rFonts w:hint="eastAsia" w:ascii="宋体" w:hAnsi="宋体" w:eastAsia="宋体" w:cs="宋体"/>
          <w:color w:val="auto"/>
          <w:szCs w:val="24"/>
          <w:highlight w:val="none"/>
        </w:rPr>
      </w:pPr>
    </w:p>
    <w:p w14:paraId="6CFDF223">
      <w:pPr>
        <w:pStyle w:val="36"/>
        <w:snapToGrid w:val="0"/>
        <w:spacing w:before="156"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投标人全称（</w:t>
      </w:r>
      <w:r>
        <w:rPr>
          <w:rFonts w:hint="eastAsia" w:ascii="宋体" w:hAnsi="宋体" w:eastAsia="宋体" w:cs="宋体"/>
          <w:color w:val="auto"/>
          <w:kern w:val="0"/>
          <w:highlight w:val="none"/>
          <w:lang w:val="zh-CN"/>
        </w:rPr>
        <w:t>电子签章</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p>
    <w:p w14:paraId="34299D32">
      <w:pPr>
        <w:snapToGrid w:val="0"/>
        <w:spacing w:before="156" w:after="50" w:line="460" w:lineRule="exact"/>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39F1DAA7">
      <w:pPr>
        <w:pStyle w:val="13"/>
        <w:snapToGrid w:val="0"/>
        <w:spacing w:afterLines="0" w:line="240" w:lineRule="auto"/>
        <w:ind w:firstLine="475" w:firstLineChars="198"/>
        <w:jc w:val="center"/>
        <w:outlineLvl w:val="1"/>
        <w:rPr>
          <w:rFonts w:hint="eastAsia" w:ascii="宋体" w:hAnsi="宋体" w:eastAsia="宋体" w:cs="宋体"/>
          <w:b/>
          <w:color w:val="auto"/>
          <w:sz w:val="32"/>
          <w:szCs w:val="32"/>
          <w:highlight w:val="none"/>
        </w:rPr>
      </w:pPr>
      <w:r>
        <w:rPr>
          <w:rFonts w:hint="eastAsia" w:ascii="宋体" w:hAnsi="宋体" w:eastAsia="宋体" w:cs="宋体"/>
          <w:color w:val="auto"/>
          <w:highlight w:val="none"/>
          <w:u w:val="single"/>
        </w:rPr>
        <w:br w:type="page"/>
      </w:r>
      <w:r>
        <w:rPr>
          <w:rFonts w:hint="eastAsia" w:ascii="宋体" w:hAnsi="宋体" w:eastAsia="宋体" w:cs="宋体"/>
          <w:b/>
          <w:color w:val="auto"/>
          <w:kern w:val="2"/>
          <w:sz w:val="32"/>
          <w:szCs w:val="32"/>
          <w:lang w:val="en-US" w:eastAsia="zh-CN" w:bidi="ar-SA"/>
        </w:rPr>
        <w:t>参加国资（政府）采购活动前三年内，在经营活动中没有重大违法记录的声明</w:t>
      </w:r>
    </w:p>
    <w:p w14:paraId="7B66A34A">
      <w:pPr>
        <w:snapToGrid w:val="0"/>
        <w:spacing w:before="156" w:line="360" w:lineRule="auto"/>
        <w:rPr>
          <w:rFonts w:hint="eastAsia" w:ascii="宋体" w:hAnsi="宋体" w:eastAsia="宋体" w:cs="宋体"/>
          <w:color w:val="auto"/>
          <w:sz w:val="24"/>
          <w:highlight w:val="none"/>
        </w:rPr>
      </w:pPr>
    </w:p>
    <w:p w14:paraId="7280C2BA">
      <w:pPr>
        <w:spacing w:before="156"/>
        <w:rPr>
          <w:rFonts w:hint="eastAsia" w:ascii="宋体" w:hAnsi="宋体" w:eastAsia="宋体" w:cs="宋体"/>
          <w:color w:val="auto"/>
          <w:sz w:val="24"/>
          <w:highlight w:val="none"/>
          <w:u w:val="single"/>
        </w:rPr>
      </w:pPr>
      <w:r>
        <w:rPr>
          <w:rFonts w:hint="eastAsia" w:ascii="宋体" w:hAnsi="宋体" w:eastAsia="宋体" w:cs="宋体"/>
          <w:color w:val="auto"/>
          <w:kern w:val="0"/>
          <w:sz w:val="24"/>
          <w:szCs w:val="24"/>
          <w:highlight w:val="none"/>
          <w:u w:val="single"/>
          <w:lang w:eastAsia="zh-CN"/>
        </w:rPr>
        <w:t>杭州富春湾新城建设投资集团有限公司</w:t>
      </w:r>
      <w:r>
        <w:rPr>
          <w:rFonts w:hint="eastAsia" w:ascii="宋体" w:hAnsi="宋体" w:eastAsia="宋体" w:cs="宋体"/>
          <w:color w:val="auto"/>
          <w:sz w:val="24"/>
          <w:highlight w:val="none"/>
          <w:u w:val="single"/>
        </w:rPr>
        <w:t>：</w:t>
      </w:r>
    </w:p>
    <w:p w14:paraId="071FF8CF">
      <w:pPr>
        <w:spacing w:before="156"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我公司</w:t>
      </w:r>
      <w:r>
        <w:rPr>
          <w:rFonts w:hint="eastAsia" w:ascii="宋体" w:hAnsi="宋体" w:eastAsia="宋体" w:cs="宋体"/>
          <w:color w:val="auto"/>
          <w:sz w:val="24"/>
          <w:highlight w:val="none"/>
        </w:rPr>
        <w:t>声明截止投标时间近三年以来，在</w:t>
      </w:r>
      <w:r>
        <w:rPr>
          <w:rFonts w:hint="eastAsia" w:ascii="宋体" w:hAnsi="宋体" w:eastAsia="宋体" w:cs="宋体"/>
          <w:color w:val="auto"/>
          <w:kern w:val="0"/>
          <w:sz w:val="24"/>
          <w:highlight w:val="none"/>
        </w:rPr>
        <w:t>经营活动中</w:t>
      </w:r>
      <w:r>
        <w:rPr>
          <w:rFonts w:hint="eastAsia" w:ascii="宋体" w:hAnsi="宋体" w:eastAsia="宋体" w:cs="宋体"/>
          <w:color w:val="auto"/>
          <w:sz w:val="24"/>
          <w:highlight w:val="none"/>
        </w:rPr>
        <w:t>没有重大违法记录；也没有列入国资（政府）采购严重违法失信行为记录名单。</w:t>
      </w:r>
    </w:p>
    <w:p w14:paraId="60CC4F50">
      <w:pPr>
        <w:spacing w:before="156" w:line="360" w:lineRule="auto"/>
        <w:ind w:firstLine="480" w:firstLineChars="200"/>
        <w:rPr>
          <w:rFonts w:hint="eastAsia" w:ascii="宋体" w:hAnsi="宋体" w:eastAsia="宋体" w:cs="宋体"/>
          <w:color w:val="auto"/>
          <w:kern w:val="0"/>
          <w:highlight w:val="none"/>
          <w:lang w:val="zh-CN"/>
        </w:rPr>
      </w:pPr>
      <w:r>
        <w:rPr>
          <w:rFonts w:hint="eastAsia" w:ascii="宋体" w:hAnsi="宋体" w:eastAsia="宋体" w:cs="宋体"/>
          <w:color w:val="auto"/>
          <w:sz w:val="24"/>
          <w:highlight w:val="none"/>
        </w:rPr>
        <w:t>以上事项如有虚假或隐瞒，我方愿意承担一切后果，并不再寻求任何旨在减轻或免除法律责任的辩解。</w:t>
      </w:r>
    </w:p>
    <w:p w14:paraId="72491DD6">
      <w:pPr>
        <w:pStyle w:val="36"/>
        <w:snapToGrid w:val="0"/>
        <w:spacing w:before="156" w:line="360" w:lineRule="auto"/>
        <w:rPr>
          <w:rFonts w:hint="eastAsia" w:ascii="宋体" w:hAnsi="宋体" w:eastAsia="宋体" w:cs="宋体"/>
          <w:color w:val="auto"/>
          <w:kern w:val="0"/>
          <w:highlight w:val="none"/>
          <w:lang w:val="zh-CN"/>
        </w:rPr>
      </w:pPr>
    </w:p>
    <w:p w14:paraId="0E689AB3">
      <w:pPr>
        <w:pStyle w:val="36"/>
        <w:snapToGrid w:val="0"/>
        <w:spacing w:before="156" w:line="360" w:lineRule="auto"/>
        <w:rPr>
          <w:rFonts w:hint="eastAsia" w:ascii="宋体" w:hAnsi="宋体" w:eastAsia="宋体" w:cs="宋体"/>
          <w:color w:val="auto"/>
          <w:szCs w:val="24"/>
          <w:highlight w:val="none"/>
        </w:rPr>
      </w:pPr>
    </w:p>
    <w:p w14:paraId="6CBBD017">
      <w:pPr>
        <w:pStyle w:val="36"/>
        <w:snapToGrid w:val="0"/>
        <w:spacing w:before="156"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投标人全称（</w:t>
      </w:r>
      <w:r>
        <w:rPr>
          <w:rFonts w:hint="eastAsia" w:ascii="宋体" w:hAnsi="宋体" w:eastAsia="宋体" w:cs="宋体"/>
          <w:color w:val="auto"/>
          <w:kern w:val="0"/>
          <w:highlight w:val="none"/>
          <w:lang w:val="zh-CN"/>
        </w:rPr>
        <w:t>电子签章</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p>
    <w:p w14:paraId="55D5D2E6">
      <w:pPr>
        <w:snapToGrid w:val="0"/>
        <w:spacing w:before="156" w:after="50" w:line="460" w:lineRule="exact"/>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408EE444">
      <w:pPr>
        <w:spacing w:before="156"/>
        <w:jc w:val="center"/>
        <w:rPr>
          <w:rFonts w:hint="eastAsia" w:ascii="宋体" w:hAnsi="宋体" w:eastAsia="宋体" w:cs="宋体"/>
          <w:b/>
          <w:color w:val="auto"/>
          <w:sz w:val="32"/>
          <w:szCs w:val="32"/>
          <w:highlight w:val="none"/>
        </w:rPr>
        <w:sectPr>
          <w:pgSz w:w="11906" w:h="16838"/>
          <w:pgMar w:top="1417" w:right="1191" w:bottom="1417" w:left="1191" w:header="851" w:footer="992" w:gutter="0"/>
          <w:cols w:space="720" w:num="1"/>
          <w:rtlGutter w:val="0"/>
          <w:docGrid w:type="lines" w:linePitch="312" w:charSpace="0"/>
        </w:sectPr>
      </w:pPr>
    </w:p>
    <w:p w14:paraId="4B44E437">
      <w:pPr>
        <w:spacing w:before="120"/>
        <w:jc w:val="center"/>
        <w:rPr>
          <w:rFonts w:hint="eastAsia" w:ascii="宋体" w:hAnsi="宋体" w:eastAsia="宋体" w:cs="宋体"/>
          <w:b/>
          <w:color w:val="000000"/>
          <w:sz w:val="32"/>
          <w:szCs w:val="32"/>
        </w:rPr>
      </w:pPr>
      <w:bookmarkStart w:id="8" w:name="_Toc527968403"/>
      <w:bookmarkStart w:id="9" w:name="_Toc484964457"/>
      <w:bookmarkStart w:id="10" w:name="_Toc523846745"/>
      <w:bookmarkStart w:id="11" w:name="_Toc523846892"/>
      <w:r>
        <w:rPr>
          <w:rFonts w:hint="eastAsia" w:ascii="宋体" w:hAnsi="宋体" w:eastAsia="宋体" w:cs="宋体"/>
          <w:b/>
          <w:color w:val="000000"/>
          <w:sz w:val="32"/>
          <w:szCs w:val="32"/>
        </w:rPr>
        <w:t>投标诚信承诺书</w:t>
      </w:r>
      <w:bookmarkEnd w:id="8"/>
      <w:bookmarkEnd w:id="9"/>
      <w:bookmarkEnd w:id="10"/>
      <w:bookmarkEnd w:id="11"/>
    </w:p>
    <w:p w14:paraId="1B2A1D24">
      <w:pPr>
        <w:spacing w:before="120" w:line="480" w:lineRule="exact"/>
        <w:ind w:firstLine="120" w:firstLineChars="50"/>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 xml:space="preserve"> 杭州富春湾新城建设投资集团有限公司：</w:t>
      </w:r>
    </w:p>
    <w:p w14:paraId="3BB7BCD9">
      <w:pPr>
        <w:spacing w:before="120" w:line="480" w:lineRule="exact"/>
        <w:ind w:firstLine="480" w:firstLineChars="200"/>
        <w:rPr>
          <w:rFonts w:hint="eastAsia" w:ascii="宋体" w:hAnsi="宋体" w:eastAsia="宋体" w:cs="宋体"/>
        </w:rPr>
      </w:pPr>
      <w:r>
        <w:rPr>
          <w:rFonts w:hint="eastAsia" w:ascii="宋体" w:hAnsi="宋体" w:eastAsia="宋体" w:cs="宋体"/>
        </w:rPr>
        <w:t>我方在参加贵单位组织的</w:t>
      </w:r>
      <w:r>
        <w:rPr>
          <w:rFonts w:hint="eastAsia" w:ascii="宋体" w:hAnsi="宋体" w:eastAsia="宋体" w:cs="宋体"/>
          <w:u w:val="single"/>
        </w:rPr>
        <w:t xml:space="preserve">                          （项目名称）</w:t>
      </w:r>
      <w:r>
        <w:rPr>
          <w:rFonts w:hint="eastAsia" w:ascii="宋体" w:hAnsi="宋体" w:eastAsia="宋体" w:cs="宋体"/>
        </w:rPr>
        <w:t>的招投标活动中，郑重承诺如下：</w:t>
      </w:r>
    </w:p>
    <w:p w14:paraId="61D5DA9E">
      <w:pPr>
        <w:spacing w:before="120" w:line="480" w:lineRule="exact"/>
        <w:ind w:firstLine="480" w:firstLineChars="200"/>
        <w:rPr>
          <w:rFonts w:hint="eastAsia" w:ascii="宋体" w:hAnsi="宋体" w:eastAsia="宋体" w:cs="宋体"/>
        </w:rPr>
      </w:pPr>
      <w:r>
        <w:rPr>
          <w:rFonts w:hint="eastAsia" w:ascii="宋体" w:hAnsi="宋体" w:eastAsia="宋体" w:cs="宋体"/>
        </w:rPr>
        <w:t>1、我方本次提供的所有投标有关资料都是真实、准确、完整的；</w:t>
      </w:r>
    </w:p>
    <w:p w14:paraId="20322939">
      <w:pPr>
        <w:spacing w:before="120" w:line="480" w:lineRule="exact"/>
        <w:ind w:firstLine="480" w:firstLineChars="200"/>
        <w:rPr>
          <w:rFonts w:hint="eastAsia" w:ascii="宋体" w:hAnsi="宋体" w:eastAsia="宋体" w:cs="宋体"/>
        </w:rPr>
      </w:pPr>
      <w:r>
        <w:rPr>
          <w:rFonts w:hint="eastAsia" w:ascii="宋体" w:hAnsi="宋体" w:eastAsia="宋体" w:cs="宋体"/>
        </w:rPr>
        <w:t>2、我方保证不参与串标、围标；</w:t>
      </w:r>
    </w:p>
    <w:p w14:paraId="7D5DF795">
      <w:pPr>
        <w:spacing w:before="120" w:line="480" w:lineRule="exact"/>
        <w:ind w:firstLine="480" w:firstLineChars="200"/>
        <w:rPr>
          <w:rFonts w:hint="eastAsia" w:ascii="宋体" w:hAnsi="宋体" w:eastAsia="宋体" w:cs="宋体"/>
        </w:rPr>
      </w:pPr>
      <w:r>
        <w:rPr>
          <w:rFonts w:hint="eastAsia" w:ascii="宋体" w:hAnsi="宋体" w:eastAsia="宋体" w:cs="宋体"/>
        </w:rPr>
        <w:t>3、我方未处于被各级行政主管部门做出停止市场行为处罚的期限内</w:t>
      </w:r>
      <w:r>
        <w:rPr>
          <w:rFonts w:hint="eastAsia" w:ascii="宋体" w:hAnsi="宋体" w:eastAsia="宋体" w:cs="宋体"/>
          <w:color w:val="000000"/>
        </w:rPr>
        <w:t>，</w:t>
      </w:r>
      <w:r>
        <w:rPr>
          <w:rFonts w:hint="eastAsia" w:ascii="宋体" w:hAnsi="宋体" w:eastAsia="宋体" w:cs="宋体"/>
        </w:rPr>
        <w:t>我方参加本项目招标活动前3年内在经营活动中没有重大违法记录；</w:t>
      </w:r>
    </w:p>
    <w:p w14:paraId="358F37D1">
      <w:pPr>
        <w:spacing w:before="120" w:line="480" w:lineRule="exact"/>
        <w:ind w:firstLine="480" w:firstLineChars="200"/>
        <w:rPr>
          <w:rFonts w:hint="eastAsia" w:ascii="宋体" w:hAnsi="宋体" w:eastAsia="宋体" w:cs="宋体"/>
          <w:color w:val="000000"/>
        </w:rPr>
      </w:pPr>
      <w:r>
        <w:rPr>
          <w:rFonts w:hint="eastAsia" w:ascii="宋体" w:hAnsi="宋体" w:eastAsia="宋体" w:cs="宋体"/>
        </w:rPr>
        <w:t>4、</w:t>
      </w:r>
      <w:r>
        <w:rPr>
          <w:rFonts w:hint="eastAsia" w:ascii="宋体" w:hAnsi="宋体" w:eastAsia="宋体" w:cs="宋体"/>
          <w:color w:val="000000"/>
        </w:rPr>
        <w:t>我方不是本工程前期准备提供咨询服务的单位；</w:t>
      </w:r>
    </w:p>
    <w:p w14:paraId="337875AA">
      <w:pPr>
        <w:spacing w:before="120" w:line="480" w:lineRule="exact"/>
        <w:ind w:firstLine="480" w:firstLineChars="200"/>
        <w:rPr>
          <w:rFonts w:hint="eastAsia" w:ascii="宋体" w:hAnsi="宋体" w:eastAsia="宋体" w:cs="宋体"/>
        </w:rPr>
      </w:pPr>
      <w:r>
        <w:rPr>
          <w:rFonts w:hint="eastAsia" w:ascii="宋体" w:hAnsi="宋体" w:eastAsia="宋体" w:cs="宋体"/>
          <w:color w:val="000000"/>
        </w:rPr>
        <w:t>5、我方不存在</w:t>
      </w:r>
      <w:r>
        <w:rPr>
          <w:rFonts w:hint="eastAsia" w:ascii="宋体" w:hAnsi="宋体" w:eastAsia="宋体" w:cs="宋体"/>
        </w:rPr>
        <w:t>其他法律法规规定的失信行为；</w:t>
      </w:r>
    </w:p>
    <w:p w14:paraId="727D7542">
      <w:pPr>
        <w:spacing w:before="120" w:line="480" w:lineRule="exact"/>
        <w:ind w:firstLine="480" w:firstLineChars="200"/>
        <w:rPr>
          <w:rFonts w:hint="eastAsia" w:ascii="宋体" w:hAnsi="宋体" w:eastAsia="宋体" w:cs="宋体"/>
        </w:rPr>
      </w:pPr>
      <w:r>
        <w:rPr>
          <w:rFonts w:hint="eastAsia" w:ascii="宋体" w:hAnsi="宋体" w:eastAsia="宋体" w:cs="宋体"/>
        </w:rPr>
        <w:t>6、若我方中标，将严格按照规定及时与招标人签订合同,并严格按照采购文件要求及投标文件承诺等内容组织实施。决不将中标项目转（让）包给他人或者违规分包给他人；</w:t>
      </w:r>
    </w:p>
    <w:p w14:paraId="2327DCA5">
      <w:pPr>
        <w:spacing w:before="120" w:line="480" w:lineRule="exact"/>
        <w:ind w:firstLine="482" w:firstLineChars="200"/>
        <w:rPr>
          <w:rFonts w:hint="eastAsia" w:ascii="宋体" w:hAnsi="宋体" w:eastAsia="宋体" w:cs="宋体"/>
        </w:rPr>
      </w:pPr>
      <w:r>
        <w:rPr>
          <w:rFonts w:hint="eastAsia" w:ascii="宋体" w:hAnsi="宋体" w:eastAsia="宋体" w:cs="宋体"/>
          <w:b/>
        </w:rPr>
        <w:t>7、特别声明：我方若违反上述承诺，隐瞒、提供虚假资料、参与串标围标、无故不签订合同等行为或不按采购文件要求组织实施，被发现或被他人举报查实，无条件接受招标人、监管部门作出的取消投标资格、中标资格、承包合同或不良行为记录等处罚，并自愿停止参与公共资源交易招投标活动六个月。对造成的损失，任何法律和经济责任完全由我方负责。</w:t>
      </w:r>
    </w:p>
    <w:p w14:paraId="4C39BE16">
      <w:pPr>
        <w:pStyle w:val="36"/>
        <w:snapToGrid w:val="0"/>
        <w:spacing w:before="120" w:line="480" w:lineRule="exact"/>
        <w:rPr>
          <w:rFonts w:hint="eastAsia" w:ascii="宋体" w:hAnsi="宋体" w:eastAsia="宋体" w:cs="宋体"/>
          <w:szCs w:val="24"/>
        </w:rPr>
      </w:pPr>
      <w:r>
        <w:rPr>
          <w:rFonts w:hint="eastAsia" w:ascii="宋体" w:hAnsi="宋体" w:eastAsia="宋体" w:cs="宋体"/>
          <w:szCs w:val="24"/>
        </w:rPr>
        <w:t>特此承诺。</w:t>
      </w:r>
    </w:p>
    <w:p w14:paraId="57096A9F">
      <w:pPr>
        <w:pStyle w:val="36"/>
        <w:snapToGrid w:val="0"/>
        <w:spacing w:before="120" w:line="480" w:lineRule="exact"/>
        <w:rPr>
          <w:rFonts w:hint="eastAsia" w:ascii="宋体" w:hAnsi="宋体" w:eastAsia="宋体" w:cs="宋体"/>
          <w:szCs w:val="24"/>
        </w:rPr>
      </w:pPr>
    </w:p>
    <w:p w14:paraId="6EC8DED9">
      <w:pPr>
        <w:pStyle w:val="36"/>
        <w:snapToGrid w:val="0"/>
        <w:spacing w:before="120" w:line="480" w:lineRule="exact"/>
        <w:rPr>
          <w:rFonts w:hint="eastAsia" w:ascii="宋体" w:hAnsi="宋体" w:eastAsia="宋体" w:cs="宋体"/>
          <w:color w:val="000000"/>
          <w:szCs w:val="24"/>
        </w:rPr>
      </w:pPr>
      <w:r>
        <w:rPr>
          <w:rFonts w:hint="eastAsia" w:ascii="宋体" w:hAnsi="宋体" w:eastAsia="宋体" w:cs="宋体"/>
          <w:color w:val="000000"/>
          <w:szCs w:val="24"/>
        </w:rPr>
        <w:t>投标人全称（电子签章）：</w:t>
      </w:r>
      <w:r>
        <w:rPr>
          <w:rFonts w:hint="eastAsia" w:ascii="宋体" w:hAnsi="宋体" w:eastAsia="宋体" w:cs="宋体"/>
          <w:color w:val="000000"/>
          <w:szCs w:val="24"/>
          <w:u w:val="single"/>
        </w:rPr>
        <w:t xml:space="preserve">                         </w:t>
      </w:r>
    </w:p>
    <w:p w14:paraId="3FBA8EE2">
      <w:pPr>
        <w:snapToGrid w:val="0"/>
        <w:spacing w:before="120" w:line="480" w:lineRule="exact"/>
        <w:ind w:right="600"/>
        <w:rPr>
          <w:rFonts w:hint="eastAsia" w:ascii="宋体" w:hAnsi="宋体" w:eastAsia="宋体" w:cs="宋体"/>
          <w:color w:val="000000"/>
        </w:rPr>
      </w:pPr>
      <w:r>
        <w:rPr>
          <w:rFonts w:hint="eastAsia" w:ascii="宋体" w:hAnsi="宋体" w:eastAsia="宋体" w:cs="宋体"/>
          <w:color w:val="000000"/>
        </w:rPr>
        <w:t>法定代表人或授权代表（签名或盖章）：</w:t>
      </w:r>
      <w:r>
        <w:rPr>
          <w:rFonts w:hint="eastAsia" w:ascii="宋体" w:hAnsi="宋体" w:eastAsia="宋体" w:cs="宋体"/>
          <w:color w:val="000000"/>
          <w:u w:val="single"/>
        </w:rPr>
        <w:t xml:space="preserve">             </w:t>
      </w:r>
    </w:p>
    <w:p w14:paraId="5B4DDDF2">
      <w:pPr>
        <w:snapToGrid w:val="0"/>
        <w:spacing w:before="120" w:after="50" w:line="480" w:lineRule="exact"/>
        <w:rPr>
          <w:rFonts w:hint="eastAsia" w:ascii="宋体" w:hAnsi="宋体" w:eastAsia="宋体" w:cs="宋体"/>
          <w:b/>
          <w:color w:val="000000"/>
          <w:sz w:val="32"/>
          <w:szCs w:val="32"/>
        </w:rPr>
      </w:pPr>
      <w:r>
        <w:rPr>
          <w:rFonts w:hint="eastAsia" w:ascii="宋体" w:hAnsi="宋体" w:eastAsia="宋体" w:cs="宋体"/>
          <w:color w:val="000000"/>
        </w:rPr>
        <w:t>日期：</w:t>
      </w:r>
      <w:r>
        <w:rPr>
          <w:rFonts w:hint="eastAsia" w:ascii="宋体" w:hAnsi="宋体" w:eastAsia="宋体" w:cs="宋体"/>
          <w:color w:val="000000"/>
          <w:u w:val="single"/>
        </w:rPr>
        <w:t xml:space="preserve">       年    月    日</w:t>
      </w:r>
    </w:p>
    <w:p w14:paraId="5B077391">
      <w:pPr>
        <w:pStyle w:val="13"/>
        <w:snapToGrid w:val="0"/>
        <w:spacing w:afterLines="0" w:line="240" w:lineRule="auto"/>
        <w:ind w:firstLine="636" w:firstLineChars="198"/>
        <w:jc w:val="center"/>
        <w:outlineLvl w:val="1"/>
        <w:rPr>
          <w:rFonts w:hint="eastAsia" w:ascii="宋体" w:hAnsi="宋体" w:eastAsia="宋体" w:cs="宋体"/>
          <w:b/>
          <w:color w:val="auto"/>
          <w:kern w:val="2"/>
          <w:sz w:val="32"/>
          <w:szCs w:val="32"/>
          <w:lang w:val="en-US" w:eastAsia="zh-CN" w:bidi="ar-SA"/>
        </w:rPr>
      </w:pPr>
    </w:p>
    <w:p w14:paraId="0C4655DE">
      <w:pPr>
        <w:pStyle w:val="13"/>
        <w:snapToGrid w:val="0"/>
        <w:spacing w:afterLines="0" w:line="240" w:lineRule="auto"/>
        <w:ind w:firstLine="636" w:firstLineChars="198"/>
        <w:jc w:val="center"/>
        <w:outlineLvl w:val="1"/>
        <w:rPr>
          <w:rFonts w:hint="eastAsia" w:ascii="宋体" w:hAnsi="宋体" w:eastAsia="宋体" w:cs="宋体"/>
          <w:b/>
          <w:color w:val="auto"/>
          <w:kern w:val="2"/>
          <w:sz w:val="32"/>
          <w:szCs w:val="32"/>
          <w:lang w:val="en-US" w:eastAsia="zh-CN" w:bidi="ar-SA"/>
        </w:rPr>
      </w:pPr>
    </w:p>
    <w:p w14:paraId="384D734F">
      <w:pPr>
        <w:pStyle w:val="13"/>
        <w:snapToGrid w:val="0"/>
        <w:spacing w:afterLines="0" w:line="240" w:lineRule="auto"/>
        <w:ind w:firstLine="636" w:firstLineChars="198"/>
        <w:jc w:val="center"/>
        <w:outlineLvl w:val="1"/>
        <w:rPr>
          <w:rFonts w:hint="eastAsia" w:ascii="宋体" w:hAnsi="宋体" w:eastAsia="宋体" w:cs="宋体"/>
          <w:b/>
          <w:color w:val="auto"/>
          <w:kern w:val="2"/>
          <w:sz w:val="32"/>
          <w:szCs w:val="32"/>
          <w:lang w:val="en-US" w:eastAsia="zh-CN" w:bidi="ar-SA"/>
        </w:rPr>
      </w:pPr>
    </w:p>
    <w:p w14:paraId="639B3027">
      <w:pPr>
        <w:pStyle w:val="13"/>
        <w:snapToGrid w:val="0"/>
        <w:spacing w:afterLines="0" w:line="240" w:lineRule="auto"/>
        <w:ind w:firstLine="636" w:firstLineChars="198"/>
        <w:jc w:val="center"/>
        <w:outlineLvl w:val="1"/>
        <w:rPr>
          <w:rFonts w:hint="eastAsia" w:ascii="宋体" w:hAnsi="宋体" w:eastAsia="宋体" w:cs="宋体"/>
          <w:b/>
          <w:color w:val="auto"/>
          <w:kern w:val="2"/>
          <w:sz w:val="32"/>
          <w:szCs w:val="32"/>
          <w:lang w:val="en-US" w:eastAsia="zh-CN" w:bidi="ar-SA"/>
        </w:rPr>
      </w:pPr>
      <w:r>
        <w:rPr>
          <w:rFonts w:hint="eastAsia" w:ascii="宋体" w:hAnsi="宋体" w:eastAsia="宋体" w:cs="宋体"/>
          <w:b/>
          <w:color w:val="auto"/>
          <w:kern w:val="2"/>
          <w:sz w:val="32"/>
          <w:szCs w:val="32"/>
          <w:lang w:val="en-US" w:eastAsia="zh-CN" w:bidi="ar-SA"/>
        </w:rPr>
        <w:t>具有良好商业信誉特别声明</w:t>
      </w:r>
    </w:p>
    <w:p w14:paraId="2C094912">
      <w:pPr>
        <w:snapToGrid w:val="0"/>
        <w:spacing w:before="156" w:line="360" w:lineRule="auto"/>
        <w:rPr>
          <w:rFonts w:hint="eastAsia" w:ascii="宋体" w:hAnsi="宋体" w:eastAsia="宋体" w:cs="宋体"/>
          <w:bCs/>
          <w:color w:val="auto"/>
          <w:sz w:val="24"/>
          <w:highlight w:val="none"/>
          <w:u w:val="single"/>
        </w:rPr>
      </w:pPr>
    </w:p>
    <w:p w14:paraId="12E3E0E9">
      <w:pPr>
        <w:spacing w:before="156"/>
        <w:rPr>
          <w:rFonts w:hint="eastAsia" w:ascii="宋体" w:hAnsi="宋体" w:eastAsia="宋体" w:cs="宋体"/>
          <w:color w:val="auto"/>
          <w:sz w:val="24"/>
          <w:highlight w:val="none"/>
          <w:u w:val="single"/>
        </w:rPr>
      </w:pPr>
      <w:r>
        <w:rPr>
          <w:rFonts w:hint="eastAsia" w:ascii="宋体" w:hAnsi="宋体" w:eastAsia="宋体" w:cs="宋体"/>
          <w:color w:val="auto"/>
          <w:kern w:val="0"/>
          <w:sz w:val="24"/>
          <w:szCs w:val="24"/>
          <w:highlight w:val="none"/>
          <w:u w:val="single"/>
          <w:lang w:eastAsia="zh-CN"/>
        </w:rPr>
        <w:t>杭州富春湾新城建设投资集团有限公司</w:t>
      </w:r>
      <w:r>
        <w:rPr>
          <w:rFonts w:hint="eastAsia" w:ascii="宋体" w:hAnsi="宋体" w:eastAsia="宋体" w:cs="宋体"/>
          <w:color w:val="auto"/>
          <w:sz w:val="24"/>
          <w:highlight w:val="none"/>
          <w:u w:val="single"/>
        </w:rPr>
        <w:t>：</w:t>
      </w:r>
    </w:p>
    <w:p w14:paraId="6ACDF296">
      <w:pPr>
        <w:snapToGrid w:val="0"/>
        <w:spacing w:before="156" w:line="360" w:lineRule="auto"/>
        <w:ind w:firstLine="480" w:firstLineChars="200"/>
        <w:rPr>
          <w:rFonts w:hint="eastAsia" w:ascii="宋体" w:hAnsi="宋体" w:eastAsia="宋体" w:cs="宋体"/>
          <w:color w:val="auto"/>
          <w:sz w:val="24"/>
          <w:szCs w:val="22"/>
          <w:highlight w:val="none"/>
        </w:rPr>
      </w:pPr>
    </w:p>
    <w:p w14:paraId="47A23DDF">
      <w:pPr>
        <w:snapToGrid w:val="0"/>
        <w:spacing w:before="156" w:line="360" w:lineRule="auto"/>
        <w:ind w:firstLine="480" w:firstLineChars="200"/>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rPr>
        <w:t>截至投标截止时间，我方具有良好的商业信誉，不存在下列情形（包括但不限于）。否则，我方将承担在资格审查时不被通过的后果。</w:t>
      </w:r>
    </w:p>
    <w:p w14:paraId="11616080">
      <w:pPr>
        <w:snapToGrid w:val="0"/>
        <w:spacing w:before="156"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1、按照招标文件规定的信用信息查询渠道及截止时间，经查询列入失信被执行人名单、重大税收违法案件当事人名单、国资（政府）采购严重违法失信行为记录名单；</w:t>
      </w:r>
    </w:p>
    <w:p w14:paraId="10DCB1D6">
      <w:pPr>
        <w:snapToGrid w:val="0"/>
        <w:spacing w:before="156"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 xml:space="preserve">2、截至投标截止时间，因违反《浙江省政府采购供应商注册及诚信管理暂行办法》而被列入‘黑名单’，在处罚有效期内。 </w:t>
      </w:r>
    </w:p>
    <w:p w14:paraId="26E5200A">
      <w:pPr>
        <w:tabs>
          <w:tab w:val="left" w:pos="540"/>
        </w:tabs>
        <w:snapToGrid w:val="0"/>
        <w:spacing w:before="156" w:line="360" w:lineRule="auto"/>
        <w:ind w:firstLine="510"/>
        <w:rPr>
          <w:rFonts w:hint="eastAsia" w:ascii="宋体" w:hAnsi="宋体" w:eastAsia="宋体" w:cs="宋体"/>
          <w:bCs/>
          <w:color w:val="auto"/>
          <w:sz w:val="24"/>
          <w:highlight w:val="none"/>
          <w:u w:val="single"/>
        </w:rPr>
      </w:pPr>
    </w:p>
    <w:p w14:paraId="005CDD93">
      <w:pPr>
        <w:pStyle w:val="36"/>
        <w:snapToGrid w:val="0"/>
        <w:spacing w:before="156" w:line="360" w:lineRule="auto"/>
        <w:rPr>
          <w:rFonts w:hint="eastAsia" w:ascii="宋体" w:hAnsi="宋体" w:eastAsia="宋体" w:cs="宋体"/>
          <w:color w:val="auto"/>
          <w:szCs w:val="24"/>
          <w:highlight w:val="none"/>
        </w:rPr>
      </w:pPr>
    </w:p>
    <w:p w14:paraId="63EBE328">
      <w:pPr>
        <w:pStyle w:val="36"/>
        <w:snapToGrid w:val="0"/>
        <w:spacing w:before="156"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投标人全称（</w:t>
      </w:r>
      <w:r>
        <w:rPr>
          <w:rFonts w:hint="eastAsia" w:ascii="宋体" w:hAnsi="宋体" w:eastAsia="宋体" w:cs="宋体"/>
          <w:color w:val="auto"/>
          <w:kern w:val="0"/>
          <w:highlight w:val="none"/>
          <w:lang w:val="zh-CN"/>
        </w:rPr>
        <w:t>电子签章</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u w:val="single"/>
        </w:rPr>
        <w:t xml:space="preserve">                      </w:t>
      </w:r>
    </w:p>
    <w:p w14:paraId="3178596D">
      <w:pPr>
        <w:snapToGrid w:val="0"/>
        <w:spacing w:before="156" w:after="50" w:line="460" w:lineRule="exact"/>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年     月     日</w:t>
      </w:r>
    </w:p>
    <w:p w14:paraId="36514F13">
      <w:pPr>
        <w:spacing w:before="156"/>
        <w:rPr>
          <w:rFonts w:hint="eastAsia" w:ascii="宋体" w:hAnsi="宋体" w:eastAsia="宋体" w:cs="宋体"/>
          <w:color w:val="auto"/>
          <w:highlight w:val="none"/>
        </w:rPr>
      </w:pPr>
    </w:p>
    <w:p w14:paraId="7799FE8F">
      <w:pPr>
        <w:spacing w:before="156"/>
        <w:rPr>
          <w:rFonts w:hint="eastAsia" w:ascii="宋体" w:hAnsi="宋体" w:eastAsia="宋体" w:cs="宋体"/>
          <w:color w:val="auto"/>
          <w:highlight w:val="none"/>
        </w:rPr>
      </w:pPr>
    </w:p>
    <w:p w14:paraId="1F0F69F3">
      <w:pPr>
        <w:spacing w:before="156"/>
        <w:rPr>
          <w:rFonts w:hint="eastAsia" w:ascii="宋体" w:hAnsi="宋体" w:eastAsia="宋体" w:cs="宋体"/>
          <w:b/>
          <w:color w:val="auto"/>
          <w:sz w:val="32"/>
          <w:szCs w:val="32"/>
          <w:highlight w:val="none"/>
        </w:rPr>
      </w:pPr>
    </w:p>
    <w:p w14:paraId="7909A2C4">
      <w:pPr>
        <w:spacing w:before="156"/>
        <w:jc w:val="center"/>
        <w:rPr>
          <w:rFonts w:hint="eastAsia" w:ascii="宋体" w:hAnsi="宋体" w:eastAsia="宋体" w:cs="宋体"/>
          <w:b/>
          <w:color w:val="auto"/>
          <w:sz w:val="32"/>
          <w:szCs w:val="32"/>
          <w:highlight w:val="none"/>
        </w:rPr>
        <w:sectPr>
          <w:pgSz w:w="11906" w:h="16838"/>
          <w:pgMar w:top="1417" w:right="1191" w:bottom="1417" w:left="1191" w:header="851" w:footer="992" w:gutter="0"/>
          <w:cols w:space="720" w:num="1"/>
          <w:rtlGutter w:val="0"/>
          <w:docGrid w:type="lines" w:linePitch="312" w:charSpace="0"/>
        </w:sectPr>
      </w:pPr>
    </w:p>
    <w:p w14:paraId="32E8E65F">
      <w:pPr>
        <w:spacing w:before="156"/>
        <w:jc w:val="center"/>
        <w:rPr>
          <w:rFonts w:hint="eastAsia" w:ascii="宋体" w:hAnsi="宋体" w:eastAsia="宋体" w:cs="宋体"/>
          <w:b/>
          <w:sz w:val="32"/>
          <w:szCs w:val="32"/>
        </w:rPr>
      </w:pPr>
      <w:r>
        <w:rPr>
          <w:rFonts w:hint="eastAsia" w:ascii="宋体" w:hAnsi="宋体" w:eastAsia="宋体" w:cs="宋体"/>
          <w:b/>
          <w:sz w:val="32"/>
          <w:szCs w:val="32"/>
        </w:rPr>
        <w:t>特定资格条件要求的资质文件（复印件）</w:t>
      </w:r>
    </w:p>
    <w:p w14:paraId="7192A604">
      <w:pPr>
        <w:snapToGrid w:val="0"/>
        <w:spacing w:before="156" w:line="480" w:lineRule="exact"/>
        <w:ind w:firstLine="480" w:firstLineChars="200"/>
        <w:rPr>
          <w:rFonts w:hint="eastAsia" w:ascii="宋体" w:hAnsi="宋体" w:eastAsia="宋体" w:cs="宋体"/>
          <w:sz w:val="24"/>
          <w:szCs w:val="22"/>
        </w:rPr>
      </w:pPr>
      <w:r>
        <w:rPr>
          <w:rFonts w:hint="eastAsia" w:ascii="宋体" w:hAnsi="宋体" w:eastAsia="宋体" w:cs="宋体"/>
          <w:sz w:val="24"/>
          <w:szCs w:val="22"/>
        </w:rPr>
        <w:t>（由投标人根据</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sz w:val="24"/>
          <w:szCs w:val="22"/>
        </w:rPr>
        <w:t>中合格的投标人应具备的特定资格要求编制；如果本项目没有设置特定资格条件，则不需要提供）</w:t>
      </w:r>
    </w:p>
    <w:p w14:paraId="4DCE04BE">
      <w:pPr>
        <w:pStyle w:val="8"/>
        <w:spacing w:line="480" w:lineRule="exact"/>
        <w:rPr>
          <w:rFonts w:hint="eastAsia" w:ascii="宋体" w:hAnsi="宋体" w:eastAsia="宋体" w:cs="宋体"/>
        </w:rPr>
      </w:pPr>
    </w:p>
    <w:p w14:paraId="68697B3F">
      <w:pPr>
        <w:pStyle w:val="36"/>
        <w:snapToGrid w:val="0"/>
        <w:spacing w:before="156" w:line="480" w:lineRule="exact"/>
        <w:rPr>
          <w:rFonts w:hint="eastAsia" w:ascii="宋体" w:hAnsi="宋体" w:eastAsia="宋体" w:cs="宋体"/>
          <w:szCs w:val="24"/>
        </w:rPr>
      </w:pPr>
    </w:p>
    <w:p w14:paraId="2851712D">
      <w:pPr>
        <w:pStyle w:val="36"/>
        <w:snapToGrid w:val="0"/>
        <w:spacing w:before="156" w:line="480" w:lineRule="exact"/>
        <w:rPr>
          <w:rFonts w:hint="eastAsia" w:ascii="宋体" w:hAnsi="宋体" w:eastAsia="宋体" w:cs="宋体"/>
          <w:szCs w:val="24"/>
        </w:rPr>
      </w:pPr>
    </w:p>
    <w:p w14:paraId="5F874541">
      <w:pPr>
        <w:pStyle w:val="36"/>
        <w:snapToGrid w:val="0"/>
        <w:spacing w:before="156" w:line="480" w:lineRule="exact"/>
        <w:rPr>
          <w:rFonts w:hint="eastAsia" w:ascii="宋体" w:hAnsi="宋体" w:eastAsia="宋体" w:cs="宋体"/>
          <w:szCs w:val="24"/>
        </w:rPr>
      </w:pPr>
      <w:r>
        <w:rPr>
          <w:rFonts w:hint="eastAsia" w:ascii="宋体" w:hAnsi="宋体" w:eastAsia="宋体" w:cs="宋体"/>
          <w:szCs w:val="24"/>
        </w:rPr>
        <w:t>投标人全称（</w:t>
      </w:r>
      <w:r>
        <w:rPr>
          <w:rFonts w:hint="eastAsia" w:ascii="宋体" w:hAnsi="宋体" w:eastAsia="宋体" w:cs="宋体"/>
          <w:kern w:val="0"/>
          <w:lang w:val="zh-CN"/>
        </w:rPr>
        <w:t>电子签章</w:t>
      </w:r>
      <w:r>
        <w:rPr>
          <w:rFonts w:hint="eastAsia" w:ascii="宋体" w:hAnsi="宋体" w:eastAsia="宋体" w:cs="宋体"/>
          <w:szCs w:val="24"/>
        </w:rPr>
        <w:t>）：</w:t>
      </w:r>
      <w:r>
        <w:rPr>
          <w:rFonts w:hint="eastAsia" w:ascii="宋体" w:hAnsi="宋体" w:eastAsia="宋体" w:cs="宋体"/>
          <w:szCs w:val="24"/>
          <w:u w:val="single"/>
        </w:rPr>
        <w:t xml:space="preserve">                </w:t>
      </w:r>
    </w:p>
    <w:p w14:paraId="299F0F88">
      <w:pPr>
        <w:snapToGrid w:val="0"/>
        <w:spacing w:before="156" w:after="50" w:line="480" w:lineRule="exact"/>
        <w:rPr>
          <w:rFonts w:hint="eastAsia" w:ascii="宋体" w:hAnsi="宋体" w:eastAsia="宋体" w:cs="宋体"/>
        </w:rPr>
        <w:sectPr>
          <w:pgSz w:w="11906" w:h="16838"/>
          <w:pgMar w:top="1417" w:right="1191" w:bottom="1417" w:left="1191" w:header="851" w:footer="992" w:gutter="0"/>
          <w:cols w:space="720" w:num="1"/>
          <w:rtlGutter w:val="0"/>
          <w:docGrid w:linePitch="312" w:charSpace="0"/>
        </w:sectPr>
      </w:pPr>
      <w:r>
        <w:rPr>
          <w:rFonts w:hint="eastAsia" w:ascii="宋体" w:hAnsi="宋体" w:eastAsia="宋体" w:cs="宋体"/>
          <w:sz w:val="24"/>
          <w:szCs w:val="24"/>
        </w:rPr>
        <w:t>日期：</w:t>
      </w:r>
      <w:r>
        <w:rPr>
          <w:rFonts w:hint="eastAsia" w:ascii="宋体" w:hAnsi="宋体" w:eastAsia="宋体" w:cs="宋体"/>
          <w:sz w:val="24"/>
          <w:szCs w:val="24"/>
          <w:u w:val="single"/>
        </w:rPr>
        <w:t xml:space="preserve">       年     月     日</w:t>
      </w:r>
    </w:p>
    <w:p w14:paraId="714BE818">
      <w:pPr>
        <w:snapToGrid w:val="0"/>
        <w:jc w:val="center"/>
        <w:rPr>
          <w:rFonts w:hint="eastAsia" w:ascii="宋体" w:hAnsi="宋体" w:eastAsia="宋体" w:cs="宋体"/>
          <w:b/>
          <w:sz w:val="32"/>
          <w:szCs w:val="32"/>
        </w:rPr>
      </w:pPr>
      <w:r>
        <w:rPr>
          <w:rFonts w:hint="eastAsia" w:ascii="宋体" w:hAnsi="宋体" w:eastAsia="宋体" w:cs="宋体"/>
          <w:b/>
          <w:sz w:val="32"/>
          <w:szCs w:val="32"/>
        </w:rPr>
        <w:t>声 明 书</w:t>
      </w:r>
    </w:p>
    <w:p w14:paraId="4C45B82E">
      <w:pPr>
        <w:pStyle w:val="13"/>
        <w:spacing w:beforeLines="0" w:afterLines="0" w:line="480" w:lineRule="auto"/>
        <w:rPr>
          <w:rFonts w:hint="eastAsia" w:ascii="宋体" w:hAnsi="宋体" w:eastAsia="宋体" w:cs="宋体"/>
          <w:u w:val="single"/>
        </w:rPr>
      </w:pPr>
      <w:r>
        <w:rPr>
          <w:rFonts w:hint="eastAsia" w:ascii="宋体" w:hAnsi="宋体" w:eastAsia="宋体" w:cs="宋体"/>
          <w:u w:val="single"/>
        </w:rPr>
        <w:t>杭州富春湾新城建设投资集团有限公司：</w:t>
      </w:r>
    </w:p>
    <w:p w14:paraId="2478D003">
      <w:pPr>
        <w:snapToGrid w:val="0"/>
        <w:spacing w:line="480" w:lineRule="auto"/>
        <w:ind w:firstLine="480" w:firstLineChars="200"/>
        <w:rPr>
          <w:rFonts w:hint="eastAsia" w:ascii="宋体" w:hAnsi="宋体" w:eastAsia="宋体" w:cs="宋体"/>
        </w:rPr>
      </w:pPr>
      <w:r>
        <w:rPr>
          <w:rFonts w:hint="eastAsia" w:ascii="宋体" w:hAnsi="宋体" w:eastAsia="宋体" w:cs="宋体"/>
          <w:u w:val="single"/>
        </w:rPr>
        <w:t xml:space="preserve">（投标人名称）                         </w:t>
      </w:r>
      <w:r>
        <w:rPr>
          <w:rFonts w:hint="eastAsia" w:ascii="宋体" w:hAnsi="宋体" w:eastAsia="宋体" w:cs="宋体"/>
        </w:rPr>
        <w:t>系中华人民共和国合法企业，经营地址</w:t>
      </w:r>
      <w:r>
        <w:rPr>
          <w:rFonts w:hint="eastAsia" w:ascii="宋体" w:hAnsi="宋体" w:eastAsia="宋体" w:cs="宋体"/>
          <w:u w:val="single"/>
        </w:rPr>
        <w:t xml:space="preserve">                                         </w:t>
      </w:r>
      <w:r>
        <w:rPr>
          <w:rFonts w:hint="eastAsia" w:ascii="宋体" w:hAnsi="宋体" w:eastAsia="宋体" w:cs="宋体"/>
        </w:rPr>
        <w:t>。</w:t>
      </w:r>
    </w:p>
    <w:p w14:paraId="1116CC75">
      <w:pPr>
        <w:snapToGrid w:val="0"/>
        <w:spacing w:line="480" w:lineRule="auto"/>
        <w:ind w:firstLine="480" w:firstLineChars="200"/>
        <w:rPr>
          <w:rFonts w:hint="eastAsia" w:ascii="宋体" w:hAnsi="宋体" w:eastAsia="宋体" w:cs="宋体"/>
        </w:rPr>
      </w:pPr>
      <w:r>
        <w:rPr>
          <w:rFonts w:hint="eastAsia" w:ascii="宋体" w:hAnsi="宋体" w:eastAsia="宋体" w:cs="宋体"/>
        </w:rPr>
        <w:t>我</w:t>
      </w:r>
      <w:r>
        <w:rPr>
          <w:rFonts w:hint="eastAsia" w:ascii="宋体" w:hAnsi="宋体" w:eastAsia="宋体" w:cs="宋体"/>
          <w:u w:val="single"/>
        </w:rPr>
        <w:t xml:space="preserve">（姓名）    </w:t>
      </w:r>
      <w:r>
        <w:rPr>
          <w:rFonts w:hint="eastAsia" w:ascii="宋体" w:hAnsi="宋体" w:eastAsia="宋体" w:cs="宋体"/>
        </w:rPr>
        <w:t>系</w:t>
      </w:r>
      <w:r>
        <w:rPr>
          <w:rFonts w:hint="eastAsia" w:ascii="宋体" w:hAnsi="宋体" w:eastAsia="宋体" w:cs="宋体"/>
          <w:u w:val="single"/>
        </w:rPr>
        <w:t xml:space="preserve">（投标人名称）                </w:t>
      </w:r>
      <w:r>
        <w:rPr>
          <w:rFonts w:hint="eastAsia" w:ascii="宋体" w:hAnsi="宋体" w:eastAsia="宋体" w:cs="宋体"/>
        </w:rPr>
        <w:t>的法定代表人，我方愿意参加贵方组织的</w:t>
      </w:r>
      <w:r>
        <w:rPr>
          <w:rFonts w:hint="eastAsia" w:ascii="宋体" w:hAnsi="宋体" w:eastAsia="宋体" w:cs="宋体"/>
          <w:u w:val="single"/>
        </w:rPr>
        <w:t>（招标项目名称）2024年度富春湾集团国有资产评估中介机构招标项目（项目编号：</w:t>
      </w:r>
      <w:r>
        <w:rPr>
          <w:rFonts w:hint="eastAsia" w:ascii="宋体" w:hAnsi="宋体" w:eastAsia="宋体" w:cs="宋体"/>
          <w:u w:val="single"/>
          <w:lang w:eastAsia="zh-CN"/>
        </w:rPr>
        <w:t>FCW20240046-1</w:t>
      </w:r>
      <w:r>
        <w:rPr>
          <w:rFonts w:hint="eastAsia" w:ascii="宋体" w:hAnsi="宋体" w:eastAsia="宋体" w:cs="宋体"/>
          <w:u w:val="single"/>
        </w:rPr>
        <w:t xml:space="preserve"> ）</w:t>
      </w:r>
      <w:r>
        <w:rPr>
          <w:rFonts w:hint="eastAsia" w:ascii="宋体" w:hAnsi="宋体" w:eastAsia="宋体" w:cs="宋体"/>
        </w:rPr>
        <w:t>的投标，为此，我方就本次投标有关事项郑重声明如下：</w:t>
      </w:r>
    </w:p>
    <w:p w14:paraId="6B8CF98E">
      <w:pPr>
        <w:snapToGrid w:val="0"/>
        <w:spacing w:line="480" w:lineRule="auto"/>
        <w:ind w:firstLine="480" w:firstLineChars="200"/>
        <w:rPr>
          <w:rFonts w:hint="eastAsia" w:ascii="宋体" w:hAnsi="宋体" w:eastAsia="宋体" w:cs="宋体"/>
        </w:rPr>
      </w:pPr>
      <w:r>
        <w:rPr>
          <w:rFonts w:hint="eastAsia" w:ascii="宋体" w:hAnsi="宋体" w:eastAsia="宋体" w:cs="宋体"/>
        </w:rPr>
        <w:t>1.我方已详细审查全部招标文件，同意此次招标文件（包括答疑文件、补充文件等全部招标资料和相关附件）中的各项规定和要求。</w:t>
      </w:r>
    </w:p>
    <w:p w14:paraId="5A11E986">
      <w:pPr>
        <w:snapToGrid w:val="0"/>
        <w:spacing w:line="480" w:lineRule="auto"/>
        <w:ind w:firstLine="480" w:firstLineChars="200"/>
        <w:rPr>
          <w:rFonts w:hint="eastAsia" w:ascii="宋体" w:hAnsi="宋体" w:eastAsia="宋体" w:cs="宋体"/>
        </w:rPr>
      </w:pPr>
      <w:r>
        <w:rPr>
          <w:rFonts w:hint="eastAsia" w:ascii="宋体" w:hAnsi="宋体" w:eastAsia="宋体" w:cs="宋体"/>
        </w:rPr>
        <w:t>2.我方向贵方提交的所有投标文件、资料都是准确的、真实的、合法的。</w:t>
      </w:r>
    </w:p>
    <w:p w14:paraId="1EF6FD5C">
      <w:pPr>
        <w:snapToGrid w:val="0"/>
        <w:spacing w:line="480" w:lineRule="auto"/>
        <w:ind w:firstLine="480" w:firstLineChars="200"/>
        <w:rPr>
          <w:rFonts w:hint="eastAsia" w:ascii="宋体" w:hAnsi="宋体" w:eastAsia="宋体" w:cs="宋体"/>
        </w:rPr>
      </w:pPr>
      <w:r>
        <w:rPr>
          <w:rFonts w:hint="eastAsia" w:ascii="宋体" w:hAnsi="宋体" w:eastAsia="宋体" w:cs="宋体"/>
        </w:rPr>
        <w:t>3.若中标，我方将按招标文件规定履行合同责任和义务。</w:t>
      </w:r>
    </w:p>
    <w:p w14:paraId="405A7D0D">
      <w:pPr>
        <w:snapToGrid w:val="0"/>
        <w:spacing w:line="480" w:lineRule="auto"/>
        <w:ind w:firstLine="480" w:firstLineChars="200"/>
        <w:rPr>
          <w:rFonts w:hint="eastAsia" w:ascii="宋体" w:hAnsi="宋体" w:eastAsia="宋体" w:cs="宋体"/>
        </w:rPr>
      </w:pPr>
      <w:r>
        <w:rPr>
          <w:rFonts w:hint="eastAsia" w:ascii="宋体" w:hAnsi="宋体" w:eastAsia="宋体" w:cs="宋体"/>
        </w:rPr>
        <w:t>4.投标书自开标日起有效期为</w:t>
      </w:r>
      <w:r>
        <w:rPr>
          <w:rFonts w:hint="eastAsia" w:ascii="宋体" w:hAnsi="宋体" w:eastAsia="宋体" w:cs="宋体"/>
          <w:u w:val="single"/>
        </w:rPr>
        <w:t>90</w:t>
      </w:r>
      <w:r>
        <w:rPr>
          <w:rFonts w:hint="eastAsia" w:ascii="宋体" w:hAnsi="宋体" w:eastAsia="宋体" w:cs="宋体"/>
        </w:rPr>
        <w:t>日。</w:t>
      </w:r>
    </w:p>
    <w:p w14:paraId="1A4CE7FB">
      <w:pPr>
        <w:snapToGrid w:val="0"/>
        <w:spacing w:line="480" w:lineRule="auto"/>
        <w:ind w:firstLine="480" w:firstLineChars="200"/>
        <w:rPr>
          <w:rFonts w:hint="eastAsia" w:ascii="宋体" w:hAnsi="宋体" w:eastAsia="宋体" w:cs="宋体"/>
        </w:rPr>
      </w:pPr>
      <w:r>
        <w:rPr>
          <w:rFonts w:hint="eastAsia" w:ascii="宋体" w:hAnsi="宋体" w:eastAsia="宋体" w:cs="宋体"/>
        </w:rPr>
        <w:t>5.以上事项如有虚假或隐瞒，我方愿意承担一切后果，并不再寻求任何旨在减轻或免除法律责任的辩解。</w:t>
      </w:r>
    </w:p>
    <w:p w14:paraId="06DB0D1A">
      <w:pPr>
        <w:snapToGrid w:val="0"/>
        <w:spacing w:line="480" w:lineRule="auto"/>
        <w:ind w:firstLine="480" w:firstLineChars="200"/>
        <w:rPr>
          <w:rFonts w:hint="eastAsia" w:ascii="宋体" w:hAnsi="宋体" w:eastAsia="宋体" w:cs="宋体"/>
        </w:rPr>
      </w:pPr>
    </w:p>
    <w:p w14:paraId="100E8DB9">
      <w:pPr>
        <w:pStyle w:val="36"/>
        <w:snapToGrid w:val="0"/>
        <w:spacing w:line="480" w:lineRule="auto"/>
        <w:rPr>
          <w:rFonts w:hint="eastAsia" w:ascii="宋体" w:hAnsi="宋体" w:eastAsia="宋体" w:cs="宋体"/>
          <w:szCs w:val="24"/>
        </w:rPr>
      </w:pPr>
      <w:r>
        <w:rPr>
          <w:rFonts w:hint="eastAsia" w:ascii="宋体" w:hAnsi="宋体" w:eastAsia="宋体" w:cs="宋体"/>
          <w:szCs w:val="24"/>
        </w:rPr>
        <w:t>投标人全称（电子签章）：</w:t>
      </w:r>
      <w:r>
        <w:rPr>
          <w:rFonts w:hint="eastAsia" w:ascii="宋体" w:hAnsi="宋体" w:eastAsia="宋体" w:cs="宋体"/>
          <w:szCs w:val="24"/>
          <w:u w:val="single"/>
        </w:rPr>
        <w:t xml:space="preserve">                      </w:t>
      </w:r>
    </w:p>
    <w:p w14:paraId="2EB44C88">
      <w:pPr>
        <w:snapToGrid w:val="0"/>
        <w:spacing w:line="480" w:lineRule="auto"/>
        <w:ind w:right="600"/>
        <w:rPr>
          <w:rFonts w:hint="eastAsia" w:ascii="宋体" w:hAnsi="宋体" w:eastAsia="宋体" w:cs="宋体"/>
        </w:rPr>
      </w:pPr>
      <w:r>
        <w:rPr>
          <w:rFonts w:hint="eastAsia" w:ascii="宋体" w:hAnsi="宋体" w:eastAsia="宋体" w:cs="宋体"/>
        </w:rPr>
        <w:t>法定代表人或授权委托人（签名或盖章）：</w:t>
      </w:r>
      <w:r>
        <w:rPr>
          <w:rFonts w:hint="eastAsia" w:ascii="宋体" w:hAnsi="宋体" w:eastAsia="宋体" w:cs="宋体"/>
          <w:u w:val="single"/>
        </w:rPr>
        <w:t xml:space="preserve">                </w:t>
      </w:r>
    </w:p>
    <w:p w14:paraId="3AA53A4A">
      <w:pPr>
        <w:snapToGrid w:val="0"/>
        <w:spacing w:line="480" w:lineRule="auto"/>
        <w:ind w:right="600"/>
        <w:rPr>
          <w:rFonts w:hint="eastAsia" w:ascii="宋体" w:hAnsi="宋体" w:eastAsia="宋体" w:cs="宋体"/>
          <w:u w:val="single"/>
        </w:rPr>
      </w:pPr>
      <w:r>
        <w:rPr>
          <w:rFonts w:hint="eastAsia" w:ascii="宋体" w:hAnsi="宋体" w:eastAsia="宋体" w:cs="宋体"/>
        </w:rPr>
        <w:t>投标日期：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6FAB8B20">
      <w:pPr>
        <w:snapToGrid w:val="0"/>
        <w:spacing w:before="120" w:after="50" w:line="480" w:lineRule="exact"/>
        <w:rPr>
          <w:rFonts w:hint="eastAsia" w:ascii="宋体" w:hAnsi="宋体" w:eastAsia="宋体" w:cs="宋体"/>
          <w:b/>
          <w:sz w:val="32"/>
          <w:szCs w:val="32"/>
        </w:rPr>
      </w:pPr>
      <w:r>
        <w:rPr>
          <w:rFonts w:hint="eastAsia" w:ascii="宋体" w:hAnsi="宋体" w:eastAsia="宋体" w:cs="宋体"/>
          <w:b/>
          <w:sz w:val="32"/>
          <w:szCs w:val="32"/>
        </w:rPr>
        <w:br w:type="page"/>
      </w:r>
    </w:p>
    <w:p w14:paraId="645BBCB5">
      <w:pPr>
        <w:spacing w:before="120"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服务条款偏离表</w:t>
      </w:r>
    </w:p>
    <w:p w14:paraId="05607F9F">
      <w:pPr>
        <w:keepNext w:val="0"/>
        <w:keepLines w:val="0"/>
        <w:pageBreakBefore w:val="0"/>
        <w:widowControl w:val="0"/>
        <w:kinsoku/>
        <w:wordWrap/>
        <w:overflowPunct/>
        <w:topLinePunct w:val="0"/>
        <w:autoSpaceDE/>
        <w:autoSpaceDN/>
        <w:bidi w:val="0"/>
        <w:adjustRightInd/>
        <w:snapToGrid/>
        <w:spacing w:beforeLines="0" w:line="4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2024年度富春湾集团国有资产评估中介机构招标项目</w:t>
      </w:r>
    </w:p>
    <w:p w14:paraId="546B977D">
      <w:pPr>
        <w:keepNext w:val="0"/>
        <w:keepLines w:val="0"/>
        <w:pageBreakBefore w:val="0"/>
        <w:widowControl w:val="0"/>
        <w:kinsoku/>
        <w:wordWrap/>
        <w:overflowPunct/>
        <w:topLinePunct w:val="0"/>
        <w:autoSpaceDE/>
        <w:autoSpaceDN/>
        <w:bidi w:val="0"/>
        <w:adjustRightInd/>
        <w:snapToGrid/>
        <w:spacing w:beforeLines="0" w:line="400" w:lineRule="exact"/>
        <w:jc w:val="left"/>
        <w:textAlignment w:val="auto"/>
        <w:rPr>
          <w:rFonts w:hint="eastAsia" w:ascii="宋体" w:hAnsi="宋体" w:eastAsia="宋体" w:cs="宋体"/>
          <w:b/>
          <w:color w:val="000000"/>
          <w:sz w:val="30"/>
          <w:szCs w:val="30"/>
          <w:highlight w:val="non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highlight w:val="none"/>
          <w:lang w:eastAsia="zh-CN"/>
        </w:rPr>
        <w:t>FCW20240046-1</w:t>
      </w:r>
      <w:r>
        <w:rPr>
          <w:rFonts w:hint="eastAsia" w:ascii="宋体" w:hAnsi="宋体" w:eastAsia="宋体" w:cs="宋体"/>
          <w:color w:val="auto"/>
          <w:sz w:val="24"/>
          <w:highlight w:val="none"/>
        </w:rPr>
        <w:t xml:space="preserve">                 </w:t>
      </w:r>
      <w:r>
        <w:rPr>
          <w:rFonts w:hint="eastAsia" w:ascii="宋体" w:hAnsi="宋体" w:eastAsia="宋体" w:cs="宋体"/>
          <w:color w:val="000000"/>
          <w:sz w:val="24"/>
          <w:highlight w:val="none"/>
        </w:rPr>
        <w:t xml:space="preserve">    </w:t>
      </w:r>
      <w:r>
        <w:rPr>
          <w:rFonts w:hint="eastAsia" w:ascii="宋体" w:hAnsi="宋体" w:eastAsia="宋体" w:cs="宋体"/>
          <w:b/>
          <w:color w:val="000000"/>
          <w:sz w:val="24"/>
          <w:highlight w:val="none"/>
        </w:rPr>
        <w:t xml:space="preserve">   </w:t>
      </w:r>
    </w:p>
    <w:tbl>
      <w:tblPr>
        <w:tblStyle w:val="24"/>
        <w:tblW w:w="9315"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1275"/>
        <w:gridCol w:w="1770"/>
        <w:gridCol w:w="1800"/>
        <w:gridCol w:w="2675"/>
        <w:gridCol w:w="1060"/>
      </w:tblGrid>
      <w:tr w14:paraId="3F64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599FC873">
            <w:pPr>
              <w:spacing w:before="156"/>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序号</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C821B95">
            <w:pPr>
              <w:spacing w:before="156"/>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服务条款</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A1468C0">
            <w:pPr>
              <w:spacing w:before="156"/>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采购要求</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17ED538">
            <w:pPr>
              <w:spacing w:before="156"/>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投标响应情况</w:t>
            </w:r>
          </w:p>
        </w:tc>
        <w:tc>
          <w:tcPr>
            <w:tcW w:w="2675" w:type="dxa"/>
            <w:tcBorders>
              <w:top w:val="single" w:color="auto" w:sz="4" w:space="0"/>
              <w:left w:val="single" w:color="auto" w:sz="4" w:space="0"/>
              <w:bottom w:val="single" w:color="auto" w:sz="4" w:space="0"/>
              <w:right w:val="single" w:color="auto" w:sz="4" w:space="0"/>
            </w:tcBorders>
            <w:noWrap w:val="0"/>
            <w:vAlign w:val="center"/>
          </w:tcPr>
          <w:p w14:paraId="43B12C65">
            <w:pPr>
              <w:spacing w:before="156" w:line="3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偏离情况</w:t>
            </w:r>
          </w:p>
          <w:p w14:paraId="0DFFEE1B">
            <w:pPr>
              <w:spacing w:before="156" w:line="320" w:lineRule="exact"/>
              <w:jc w:val="center"/>
              <w:rPr>
                <w:rFonts w:hint="eastAsia" w:ascii="宋体" w:hAnsi="宋体" w:eastAsia="宋体" w:cs="宋体"/>
                <w:sz w:val="24"/>
                <w:szCs w:val="24"/>
              </w:rPr>
            </w:pPr>
            <w:r>
              <w:rPr>
                <w:rFonts w:hint="eastAsia" w:ascii="宋体" w:hAnsi="宋体" w:eastAsia="宋体" w:cs="宋体"/>
                <w:bCs/>
                <w:color w:val="000000"/>
                <w:sz w:val="24"/>
                <w:szCs w:val="24"/>
              </w:rPr>
              <w:t>（未响应、负偏离、正偏离）</w:t>
            </w:r>
          </w:p>
        </w:tc>
        <w:tc>
          <w:tcPr>
            <w:tcW w:w="1060" w:type="dxa"/>
            <w:tcBorders>
              <w:top w:val="single" w:color="auto" w:sz="4" w:space="0"/>
              <w:left w:val="single" w:color="auto" w:sz="4" w:space="0"/>
              <w:bottom w:val="single" w:color="auto" w:sz="4" w:space="0"/>
              <w:right w:val="single" w:color="auto" w:sz="4" w:space="0"/>
            </w:tcBorders>
            <w:noWrap w:val="0"/>
            <w:vAlign w:val="center"/>
          </w:tcPr>
          <w:p w14:paraId="65676C61">
            <w:pPr>
              <w:spacing w:before="156"/>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说明</w:t>
            </w:r>
          </w:p>
        </w:tc>
      </w:tr>
      <w:tr w14:paraId="3F662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5BE3CBB2">
            <w:pPr>
              <w:spacing w:before="156"/>
              <w:ind w:firstLine="480" w:firstLineChars="200"/>
              <w:rPr>
                <w:rFonts w:hint="eastAsia" w:ascii="宋体" w:hAnsi="宋体" w:eastAsia="宋体" w:cs="宋体"/>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1FC4837">
            <w:pPr>
              <w:spacing w:before="156"/>
              <w:ind w:firstLine="480" w:firstLineChars="200"/>
              <w:rPr>
                <w:rFonts w:hint="eastAsia" w:ascii="宋体" w:hAnsi="宋体" w:eastAsia="宋体" w:cs="宋体"/>
                <w:color w:val="000000"/>
                <w:sz w:val="24"/>
                <w:szCs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2B91AC97">
            <w:pPr>
              <w:spacing w:before="156"/>
              <w:ind w:firstLine="480" w:firstLineChars="200"/>
              <w:rPr>
                <w:rFonts w:hint="eastAsia" w:ascii="宋体" w:hAnsi="宋体" w:eastAsia="宋体" w:cs="宋体"/>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557D0A31">
            <w:pPr>
              <w:spacing w:before="156"/>
              <w:ind w:firstLine="480" w:firstLineChars="200"/>
              <w:rPr>
                <w:rFonts w:hint="eastAsia" w:ascii="宋体" w:hAnsi="宋体" w:eastAsia="宋体" w:cs="宋体"/>
                <w:color w:val="000000"/>
                <w:sz w:val="24"/>
                <w:szCs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14:paraId="2471D365">
            <w:pPr>
              <w:spacing w:before="156"/>
              <w:ind w:firstLine="480" w:firstLineChars="200"/>
              <w:rPr>
                <w:rFonts w:hint="eastAsia" w:ascii="宋体" w:hAnsi="宋体" w:eastAsia="宋体" w:cs="宋体"/>
                <w:color w:val="000000"/>
                <w:sz w:val="24"/>
                <w:szCs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14:paraId="3CE1E6AA">
            <w:pPr>
              <w:spacing w:before="156"/>
              <w:ind w:firstLine="480" w:firstLineChars="200"/>
              <w:rPr>
                <w:rFonts w:hint="eastAsia" w:ascii="宋体" w:hAnsi="宋体" w:eastAsia="宋体" w:cs="宋体"/>
                <w:color w:val="000000"/>
                <w:sz w:val="24"/>
                <w:szCs w:val="24"/>
              </w:rPr>
            </w:pPr>
          </w:p>
        </w:tc>
      </w:tr>
      <w:tr w14:paraId="259E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2D926342">
            <w:pPr>
              <w:spacing w:before="156"/>
              <w:ind w:firstLine="480" w:firstLineChars="200"/>
              <w:rPr>
                <w:rFonts w:hint="eastAsia" w:ascii="宋体" w:hAnsi="宋体" w:eastAsia="宋体" w:cs="宋体"/>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2E03985">
            <w:pPr>
              <w:spacing w:before="156"/>
              <w:ind w:firstLine="480" w:firstLineChars="200"/>
              <w:rPr>
                <w:rFonts w:hint="eastAsia" w:ascii="宋体" w:hAnsi="宋体" w:eastAsia="宋体" w:cs="宋体"/>
                <w:color w:val="000000"/>
                <w:sz w:val="24"/>
                <w:szCs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3FAC4A54">
            <w:pPr>
              <w:spacing w:before="156"/>
              <w:ind w:firstLine="480" w:firstLineChars="200"/>
              <w:rPr>
                <w:rFonts w:hint="eastAsia" w:ascii="宋体" w:hAnsi="宋体" w:eastAsia="宋体" w:cs="宋体"/>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5EA64D3">
            <w:pPr>
              <w:spacing w:before="156"/>
              <w:ind w:firstLine="480" w:firstLineChars="200"/>
              <w:rPr>
                <w:rFonts w:hint="eastAsia" w:ascii="宋体" w:hAnsi="宋体" w:eastAsia="宋体" w:cs="宋体"/>
                <w:color w:val="000000"/>
                <w:sz w:val="24"/>
                <w:szCs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14:paraId="7ACE3060">
            <w:pPr>
              <w:spacing w:before="156"/>
              <w:ind w:firstLine="480" w:firstLineChars="200"/>
              <w:rPr>
                <w:rFonts w:hint="eastAsia" w:ascii="宋体" w:hAnsi="宋体" w:eastAsia="宋体" w:cs="宋体"/>
                <w:color w:val="000000"/>
                <w:sz w:val="24"/>
                <w:szCs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14:paraId="01C27574">
            <w:pPr>
              <w:spacing w:before="156"/>
              <w:ind w:firstLine="480" w:firstLineChars="200"/>
              <w:rPr>
                <w:rFonts w:hint="eastAsia" w:ascii="宋体" w:hAnsi="宋体" w:eastAsia="宋体" w:cs="宋体"/>
                <w:color w:val="000000"/>
                <w:sz w:val="24"/>
                <w:szCs w:val="24"/>
              </w:rPr>
            </w:pPr>
          </w:p>
        </w:tc>
      </w:tr>
      <w:tr w14:paraId="5475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1130F50E">
            <w:pPr>
              <w:spacing w:before="156"/>
              <w:ind w:firstLine="480" w:firstLineChars="200"/>
              <w:rPr>
                <w:rFonts w:hint="eastAsia" w:ascii="宋体" w:hAnsi="宋体" w:eastAsia="宋体" w:cs="宋体"/>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CA630B0">
            <w:pPr>
              <w:spacing w:before="156"/>
              <w:ind w:firstLine="480" w:firstLineChars="200"/>
              <w:rPr>
                <w:rFonts w:hint="eastAsia" w:ascii="宋体" w:hAnsi="宋体" w:eastAsia="宋体" w:cs="宋体"/>
                <w:color w:val="000000"/>
                <w:sz w:val="24"/>
                <w:szCs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74E38893">
            <w:pPr>
              <w:spacing w:before="156"/>
              <w:ind w:firstLine="480" w:firstLineChars="200"/>
              <w:rPr>
                <w:rFonts w:hint="eastAsia" w:ascii="宋体" w:hAnsi="宋体" w:eastAsia="宋体" w:cs="宋体"/>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FE8D27E">
            <w:pPr>
              <w:spacing w:before="156"/>
              <w:ind w:firstLine="480" w:firstLineChars="200"/>
              <w:rPr>
                <w:rFonts w:hint="eastAsia" w:ascii="宋体" w:hAnsi="宋体" w:eastAsia="宋体" w:cs="宋体"/>
                <w:color w:val="000000"/>
                <w:sz w:val="24"/>
                <w:szCs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14:paraId="25A5638A">
            <w:pPr>
              <w:spacing w:before="156"/>
              <w:ind w:firstLine="480" w:firstLineChars="200"/>
              <w:rPr>
                <w:rFonts w:hint="eastAsia" w:ascii="宋体" w:hAnsi="宋体" w:eastAsia="宋体" w:cs="宋体"/>
                <w:color w:val="000000"/>
                <w:sz w:val="24"/>
                <w:szCs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14:paraId="6C11D271">
            <w:pPr>
              <w:spacing w:before="156"/>
              <w:ind w:firstLine="480" w:firstLineChars="200"/>
              <w:rPr>
                <w:rFonts w:hint="eastAsia" w:ascii="宋体" w:hAnsi="宋体" w:eastAsia="宋体" w:cs="宋体"/>
                <w:color w:val="000000"/>
                <w:sz w:val="24"/>
                <w:szCs w:val="24"/>
              </w:rPr>
            </w:pPr>
          </w:p>
        </w:tc>
      </w:tr>
      <w:tr w14:paraId="1BEA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735" w:type="dxa"/>
            <w:tcBorders>
              <w:top w:val="single" w:color="auto" w:sz="4" w:space="0"/>
              <w:left w:val="single" w:color="auto" w:sz="4" w:space="0"/>
              <w:bottom w:val="single" w:color="auto" w:sz="4" w:space="0"/>
              <w:right w:val="single" w:color="auto" w:sz="4" w:space="0"/>
            </w:tcBorders>
            <w:noWrap w:val="0"/>
            <w:vAlign w:val="top"/>
          </w:tcPr>
          <w:p w14:paraId="2E1997C4">
            <w:pPr>
              <w:spacing w:before="156"/>
              <w:ind w:firstLine="480" w:firstLineChars="200"/>
              <w:rPr>
                <w:rFonts w:hint="eastAsia" w:ascii="宋体" w:hAnsi="宋体" w:eastAsia="宋体" w:cs="宋体"/>
                <w:color w:val="000000"/>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51E8D9E">
            <w:pPr>
              <w:spacing w:before="156"/>
              <w:ind w:firstLine="480" w:firstLineChars="200"/>
              <w:rPr>
                <w:rFonts w:hint="eastAsia" w:ascii="宋体" w:hAnsi="宋体" w:eastAsia="宋体" w:cs="宋体"/>
                <w:color w:val="000000"/>
                <w:sz w:val="24"/>
                <w:szCs w:val="24"/>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5C2AF863">
            <w:pPr>
              <w:spacing w:before="156"/>
              <w:ind w:firstLine="480" w:firstLineChars="200"/>
              <w:rPr>
                <w:rFonts w:hint="eastAsia" w:ascii="宋体" w:hAnsi="宋体" w:eastAsia="宋体" w:cs="宋体"/>
                <w:color w:val="000000"/>
                <w:sz w:val="24"/>
                <w:szCs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7BD7679">
            <w:pPr>
              <w:spacing w:before="156"/>
              <w:ind w:firstLine="480" w:firstLineChars="200"/>
              <w:rPr>
                <w:rFonts w:hint="eastAsia" w:ascii="宋体" w:hAnsi="宋体" w:eastAsia="宋体" w:cs="宋体"/>
                <w:color w:val="000000"/>
                <w:sz w:val="24"/>
                <w:szCs w:val="24"/>
              </w:rPr>
            </w:pPr>
          </w:p>
        </w:tc>
        <w:tc>
          <w:tcPr>
            <w:tcW w:w="2675" w:type="dxa"/>
            <w:tcBorders>
              <w:top w:val="single" w:color="auto" w:sz="4" w:space="0"/>
              <w:left w:val="single" w:color="auto" w:sz="4" w:space="0"/>
              <w:bottom w:val="single" w:color="auto" w:sz="4" w:space="0"/>
              <w:right w:val="single" w:color="auto" w:sz="4" w:space="0"/>
            </w:tcBorders>
            <w:noWrap w:val="0"/>
            <w:vAlign w:val="top"/>
          </w:tcPr>
          <w:p w14:paraId="3BE83A65">
            <w:pPr>
              <w:spacing w:before="156"/>
              <w:ind w:firstLine="480" w:firstLineChars="200"/>
              <w:rPr>
                <w:rFonts w:hint="eastAsia" w:ascii="宋体" w:hAnsi="宋体" w:eastAsia="宋体" w:cs="宋体"/>
                <w:color w:val="000000"/>
                <w:sz w:val="24"/>
                <w:szCs w:val="24"/>
              </w:rPr>
            </w:pPr>
          </w:p>
        </w:tc>
        <w:tc>
          <w:tcPr>
            <w:tcW w:w="1060" w:type="dxa"/>
            <w:tcBorders>
              <w:top w:val="single" w:color="auto" w:sz="4" w:space="0"/>
              <w:left w:val="single" w:color="auto" w:sz="4" w:space="0"/>
              <w:bottom w:val="single" w:color="auto" w:sz="4" w:space="0"/>
              <w:right w:val="single" w:color="auto" w:sz="4" w:space="0"/>
            </w:tcBorders>
            <w:noWrap w:val="0"/>
            <w:vAlign w:val="top"/>
          </w:tcPr>
          <w:p w14:paraId="3599FD57">
            <w:pPr>
              <w:spacing w:before="156"/>
              <w:ind w:firstLine="480" w:firstLineChars="200"/>
              <w:rPr>
                <w:rFonts w:hint="eastAsia" w:ascii="宋体" w:hAnsi="宋体" w:eastAsia="宋体" w:cs="宋体"/>
                <w:color w:val="000000"/>
                <w:sz w:val="24"/>
                <w:szCs w:val="24"/>
              </w:rPr>
            </w:pPr>
          </w:p>
        </w:tc>
      </w:tr>
    </w:tbl>
    <w:p w14:paraId="774602E3">
      <w:pPr>
        <w:spacing w:beforeLines="0"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注：对每个需求的响应必须遵循如下规则：</w:t>
      </w:r>
    </w:p>
    <w:p w14:paraId="7DAC0AF7">
      <w:pPr>
        <w:numPr>
          <w:ilvl w:val="0"/>
          <w:numId w:val="9"/>
        </w:numPr>
        <w:spacing w:beforeLines="0"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偏离表中仅填写与招标文件要求有差异的条款，每一项在同一行一一对应，解释投标方案与用户需求之间的偏差；偏离表中仅填写条款内容但没有在同一行标明响应的，可能被认为是“未响应”，投标单位须承担此不利后果。</w:t>
      </w:r>
    </w:p>
    <w:p w14:paraId="1E04A9B1">
      <w:pPr>
        <w:numPr>
          <w:ilvl w:val="0"/>
          <w:numId w:val="9"/>
        </w:numPr>
        <w:spacing w:beforeLines="0"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投标人没有填写在偏离表中的其它所有技术或商务(不包含报价)条款都默认为完全响应招标要求。</w:t>
      </w:r>
    </w:p>
    <w:p w14:paraId="741296C3">
      <w:pPr>
        <w:spacing w:beforeLines="0"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偏离情况用“未响应”、“负偏离”、“正偏离”三种之一来表明该数量、功能或性能指标参数需求是否被满足。“未响应”表示投标产品无对应功能；“负偏离”表示投标产品有对应功能但性能指标参数劣于招标要求；“正偏离”表示投标产品有对应功能且性能指标参数优于招标要求，并说明对本项目应用有何实质性益处。</w:t>
      </w:r>
      <w:r>
        <w:rPr>
          <w:rFonts w:hint="eastAsia" w:ascii="宋体" w:hAnsi="宋体" w:eastAsia="宋体" w:cs="宋体"/>
          <w:b/>
          <w:bCs/>
          <w:color w:val="000000"/>
          <w:sz w:val="24"/>
          <w:highlight w:val="none"/>
        </w:rPr>
        <w:t>有未响应的作无效标处理。</w:t>
      </w:r>
    </w:p>
    <w:p w14:paraId="658F95B9">
      <w:pPr>
        <w:spacing w:beforeLines="0" w:line="44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4.用数量来表示的需求，如与</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000000"/>
          <w:sz w:val="24"/>
          <w:highlight w:val="none"/>
        </w:rPr>
        <w:t>要求有差异，必须用确切的数字、单位进行偏离情况说明。</w:t>
      </w:r>
    </w:p>
    <w:p w14:paraId="133DCA46">
      <w:pPr>
        <w:pStyle w:val="36"/>
        <w:snapToGrid w:val="0"/>
        <w:spacing w:beforeLines="0" w:line="440" w:lineRule="exact"/>
        <w:rPr>
          <w:rFonts w:hint="eastAsia" w:ascii="宋体" w:hAnsi="宋体" w:eastAsia="宋体" w:cs="宋体"/>
          <w:color w:val="000000"/>
          <w:szCs w:val="24"/>
          <w:highlight w:val="none"/>
        </w:rPr>
      </w:pPr>
    </w:p>
    <w:p w14:paraId="2277354B">
      <w:pPr>
        <w:pStyle w:val="36"/>
        <w:snapToGrid w:val="0"/>
        <w:spacing w:beforeLines="0" w:line="440" w:lineRule="exact"/>
        <w:rPr>
          <w:rFonts w:hint="eastAsia" w:ascii="宋体" w:hAnsi="宋体" w:eastAsia="宋体" w:cs="宋体"/>
          <w:color w:val="000000"/>
          <w:szCs w:val="24"/>
          <w:highlight w:val="none"/>
        </w:rPr>
      </w:pPr>
      <w:r>
        <w:rPr>
          <w:rFonts w:hint="eastAsia" w:ascii="宋体" w:hAnsi="宋体" w:eastAsia="宋体" w:cs="宋体"/>
          <w:color w:val="000000"/>
          <w:szCs w:val="24"/>
          <w:highlight w:val="none"/>
        </w:rPr>
        <w:t>投标人全称（电子签章）：</w:t>
      </w:r>
      <w:r>
        <w:rPr>
          <w:rFonts w:hint="eastAsia" w:ascii="宋体" w:hAnsi="宋体" w:eastAsia="宋体" w:cs="宋体"/>
          <w:color w:val="000000"/>
          <w:szCs w:val="24"/>
          <w:highlight w:val="none"/>
          <w:u w:val="single"/>
        </w:rPr>
        <w:t xml:space="preserve">                               </w:t>
      </w:r>
    </w:p>
    <w:p w14:paraId="4BCB3D24">
      <w:pPr>
        <w:pStyle w:val="13"/>
        <w:snapToGrid w:val="0"/>
        <w:spacing w:afterLines="0" w:line="240" w:lineRule="auto"/>
        <w:jc w:val="both"/>
        <w:outlineLvl w:val="1"/>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日期：</w:t>
      </w:r>
      <w:r>
        <w:rPr>
          <w:rFonts w:hint="eastAsia" w:ascii="宋体" w:hAnsi="宋体" w:eastAsia="宋体" w:cs="宋体"/>
          <w:color w:val="000000"/>
          <w:sz w:val="24"/>
          <w:szCs w:val="24"/>
          <w:highlight w:val="none"/>
          <w:u w:val="single"/>
        </w:rPr>
        <w:t xml:space="preserve">       年    月    日</w:t>
      </w:r>
    </w:p>
    <w:p w14:paraId="4DDCE2B4">
      <w:pPr>
        <w:jc w:val="center"/>
        <w:rPr>
          <w:rFonts w:hint="eastAsia" w:ascii="宋体" w:hAnsi="宋体" w:eastAsia="宋体" w:cs="宋体"/>
          <w:b/>
          <w:sz w:val="32"/>
          <w:szCs w:val="32"/>
        </w:rPr>
      </w:pPr>
    </w:p>
    <w:p w14:paraId="3371DFD9">
      <w:pPr>
        <w:jc w:val="center"/>
        <w:rPr>
          <w:rFonts w:hint="eastAsia" w:ascii="宋体" w:hAnsi="宋体" w:eastAsia="宋体" w:cs="宋体"/>
          <w:b/>
          <w:sz w:val="32"/>
          <w:szCs w:val="32"/>
        </w:rPr>
      </w:pPr>
    </w:p>
    <w:p w14:paraId="5198EE13">
      <w:pPr>
        <w:jc w:val="center"/>
        <w:rPr>
          <w:rFonts w:hint="eastAsia" w:ascii="宋体" w:hAnsi="宋体" w:eastAsia="宋体" w:cs="宋体"/>
          <w:b/>
          <w:sz w:val="32"/>
          <w:szCs w:val="32"/>
        </w:rPr>
      </w:pPr>
    </w:p>
    <w:p w14:paraId="5C28CCC4">
      <w:pPr>
        <w:jc w:val="center"/>
        <w:rPr>
          <w:rFonts w:hint="eastAsia" w:ascii="宋体" w:hAnsi="宋体" w:eastAsia="宋体" w:cs="宋体"/>
          <w:b/>
          <w:sz w:val="32"/>
          <w:szCs w:val="32"/>
        </w:rPr>
      </w:pPr>
      <w:r>
        <w:rPr>
          <w:rFonts w:hint="eastAsia" w:ascii="宋体" w:hAnsi="宋体" w:eastAsia="宋体" w:cs="宋体"/>
          <w:b/>
          <w:sz w:val="32"/>
          <w:szCs w:val="32"/>
        </w:rPr>
        <w:t>投标人情况介绍</w:t>
      </w:r>
    </w:p>
    <w:p w14:paraId="62517234">
      <w:pPr>
        <w:pStyle w:val="23"/>
        <w:ind w:left="480"/>
        <w:rPr>
          <w:rFonts w:hint="eastAsia" w:ascii="宋体" w:hAnsi="宋体" w:eastAsia="宋体" w:cs="宋体"/>
        </w:rPr>
      </w:pPr>
    </w:p>
    <w:tbl>
      <w:tblPr>
        <w:tblStyle w:val="24"/>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4B8B1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C9FF453">
            <w:pPr>
              <w:jc w:val="center"/>
              <w:rPr>
                <w:rFonts w:hint="eastAsia" w:ascii="宋体" w:hAnsi="宋体" w:eastAsia="宋体" w:cs="宋体"/>
              </w:rPr>
            </w:pPr>
            <w:r>
              <w:rPr>
                <w:rFonts w:hint="eastAsia" w:ascii="宋体" w:hAnsi="宋体" w:eastAsia="宋体" w:cs="宋体"/>
              </w:rPr>
              <w:t>投标人名称</w:t>
            </w:r>
          </w:p>
        </w:tc>
        <w:tc>
          <w:tcPr>
            <w:tcW w:w="6339" w:type="dxa"/>
            <w:gridSpan w:val="5"/>
            <w:vAlign w:val="center"/>
          </w:tcPr>
          <w:p w14:paraId="2CB744EA">
            <w:pPr>
              <w:jc w:val="center"/>
              <w:rPr>
                <w:rFonts w:hint="eastAsia" w:ascii="宋体" w:hAnsi="宋体" w:eastAsia="宋体" w:cs="宋体"/>
              </w:rPr>
            </w:pPr>
          </w:p>
        </w:tc>
      </w:tr>
      <w:tr w14:paraId="4BC2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E3AB834">
            <w:pPr>
              <w:jc w:val="center"/>
              <w:rPr>
                <w:rFonts w:hint="eastAsia" w:ascii="宋体" w:hAnsi="宋体" w:eastAsia="宋体" w:cs="宋体"/>
              </w:rPr>
            </w:pPr>
            <w:r>
              <w:rPr>
                <w:rFonts w:hint="eastAsia" w:ascii="宋体" w:hAnsi="宋体" w:eastAsia="宋体" w:cs="宋体"/>
              </w:rPr>
              <w:t>地址</w:t>
            </w:r>
          </w:p>
        </w:tc>
        <w:tc>
          <w:tcPr>
            <w:tcW w:w="6339" w:type="dxa"/>
            <w:gridSpan w:val="5"/>
            <w:vAlign w:val="center"/>
          </w:tcPr>
          <w:p w14:paraId="5B989707">
            <w:pPr>
              <w:jc w:val="center"/>
              <w:rPr>
                <w:rFonts w:hint="eastAsia" w:ascii="宋体" w:hAnsi="宋体" w:eastAsia="宋体" w:cs="宋体"/>
              </w:rPr>
            </w:pPr>
          </w:p>
        </w:tc>
      </w:tr>
      <w:tr w14:paraId="2D26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29487B14">
            <w:pPr>
              <w:jc w:val="center"/>
              <w:rPr>
                <w:rFonts w:hint="eastAsia" w:ascii="宋体" w:hAnsi="宋体" w:eastAsia="宋体" w:cs="宋体"/>
              </w:rPr>
            </w:pPr>
            <w:r>
              <w:rPr>
                <w:rFonts w:hint="eastAsia" w:ascii="宋体" w:hAnsi="宋体" w:eastAsia="宋体" w:cs="宋体"/>
              </w:rPr>
              <w:t>经营范围</w:t>
            </w:r>
          </w:p>
        </w:tc>
        <w:tc>
          <w:tcPr>
            <w:tcW w:w="2118" w:type="dxa"/>
            <w:vAlign w:val="center"/>
          </w:tcPr>
          <w:p w14:paraId="20FB421C">
            <w:pPr>
              <w:jc w:val="center"/>
              <w:rPr>
                <w:rFonts w:hint="eastAsia" w:ascii="宋体" w:hAnsi="宋体" w:eastAsia="宋体" w:cs="宋体"/>
              </w:rPr>
            </w:pPr>
          </w:p>
        </w:tc>
        <w:tc>
          <w:tcPr>
            <w:tcW w:w="1980" w:type="dxa"/>
            <w:vAlign w:val="center"/>
          </w:tcPr>
          <w:p w14:paraId="74799B6F">
            <w:pPr>
              <w:jc w:val="center"/>
              <w:rPr>
                <w:rFonts w:hint="eastAsia" w:ascii="宋体" w:hAnsi="宋体" w:eastAsia="宋体" w:cs="宋体"/>
              </w:rPr>
            </w:pPr>
            <w:r>
              <w:rPr>
                <w:rFonts w:hint="eastAsia" w:ascii="宋体" w:hAnsi="宋体" w:eastAsia="宋体" w:cs="宋体"/>
              </w:rPr>
              <w:t>企业类型</w:t>
            </w:r>
          </w:p>
        </w:tc>
        <w:tc>
          <w:tcPr>
            <w:tcW w:w="2241" w:type="dxa"/>
            <w:gridSpan w:val="3"/>
            <w:vAlign w:val="center"/>
          </w:tcPr>
          <w:p w14:paraId="2F3D9643">
            <w:pPr>
              <w:jc w:val="center"/>
              <w:rPr>
                <w:rFonts w:hint="eastAsia" w:ascii="宋体" w:hAnsi="宋体" w:eastAsia="宋体" w:cs="宋体"/>
              </w:rPr>
            </w:pPr>
            <w:r>
              <w:rPr>
                <w:rFonts w:hint="eastAsia" w:ascii="宋体" w:hAnsi="宋体" w:eastAsia="宋体" w:cs="宋体"/>
              </w:rPr>
              <w:t>（大型、中型、小型、微型）</w:t>
            </w:r>
          </w:p>
        </w:tc>
      </w:tr>
      <w:tr w14:paraId="47A2C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0D0CD9D">
            <w:pPr>
              <w:jc w:val="center"/>
              <w:rPr>
                <w:rFonts w:hint="eastAsia" w:ascii="宋体" w:hAnsi="宋体" w:eastAsia="宋体" w:cs="宋体"/>
              </w:rPr>
            </w:pPr>
            <w:r>
              <w:rPr>
                <w:rFonts w:hint="eastAsia" w:ascii="宋体" w:hAnsi="宋体" w:eastAsia="宋体" w:cs="宋体"/>
              </w:rPr>
              <w:t>成立时间</w:t>
            </w:r>
          </w:p>
        </w:tc>
        <w:tc>
          <w:tcPr>
            <w:tcW w:w="2118" w:type="dxa"/>
            <w:vAlign w:val="center"/>
          </w:tcPr>
          <w:p w14:paraId="7E090B92">
            <w:pPr>
              <w:jc w:val="center"/>
              <w:rPr>
                <w:rFonts w:hint="eastAsia" w:ascii="宋体" w:hAnsi="宋体" w:eastAsia="宋体" w:cs="宋体"/>
              </w:rPr>
            </w:pPr>
          </w:p>
        </w:tc>
        <w:tc>
          <w:tcPr>
            <w:tcW w:w="1980" w:type="dxa"/>
            <w:vAlign w:val="center"/>
          </w:tcPr>
          <w:p w14:paraId="3BCA90A8">
            <w:pPr>
              <w:jc w:val="center"/>
              <w:rPr>
                <w:rFonts w:hint="eastAsia" w:ascii="宋体" w:hAnsi="宋体" w:eastAsia="宋体" w:cs="宋体"/>
              </w:rPr>
            </w:pPr>
            <w:r>
              <w:rPr>
                <w:rFonts w:hint="eastAsia" w:ascii="宋体" w:hAnsi="宋体" w:eastAsia="宋体" w:cs="宋体"/>
              </w:rPr>
              <w:t>经济性质</w:t>
            </w:r>
          </w:p>
        </w:tc>
        <w:tc>
          <w:tcPr>
            <w:tcW w:w="2241" w:type="dxa"/>
            <w:gridSpan w:val="3"/>
            <w:vAlign w:val="center"/>
          </w:tcPr>
          <w:p w14:paraId="4165B7EE">
            <w:pPr>
              <w:jc w:val="center"/>
              <w:rPr>
                <w:rFonts w:hint="eastAsia" w:ascii="宋体" w:hAnsi="宋体" w:eastAsia="宋体" w:cs="宋体"/>
              </w:rPr>
            </w:pPr>
          </w:p>
        </w:tc>
      </w:tr>
      <w:tr w14:paraId="39A5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4C8CCD9">
            <w:pPr>
              <w:jc w:val="center"/>
              <w:rPr>
                <w:rFonts w:hint="eastAsia" w:ascii="宋体" w:hAnsi="宋体" w:eastAsia="宋体" w:cs="宋体"/>
              </w:rPr>
            </w:pPr>
            <w:r>
              <w:rPr>
                <w:rFonts w:hint="eastAsia" w:ascii="宋体" w:hAnsi="宋体" w:eastAsia="宋体" w:cs="宋体"/>
              </w:rPr>
              <w:t>法定代表人</w:t>
            </w:r>
          </w:p>
        </w:tc>
        <w:tc>
          <w:tcPr>
            <w:tcW w:w="2118" w:type="dxa"/>
            <w:vAlign w:val="center"/>
          </w:tcPr>
          <w:p w14:paraId="7C69608F">
            <w:pPr>
              <w:jc w:val="center"/>
              <w:rPr>
                <w:rFonts w:hint="eastAsia" w:ascii="宋体" w:hAnsi="宋体" w:eastAsia="宋体" w:cs="宋体"/>
              </w:rPr>
            </w:pPr>
          </w:p>
        </w:tc>
        <w:tc>
          <w:tcPr>
            <w:tcW w:w="1980" w:type="dxa"/>
            <w:vAlign w:val="center"/>
          </w:tcPr>
          <w:p w14:paraId="310665C5">
            <w:pPr>
              <w:jc w:val="center"/>
              <w:rPr>
                <w:rFonts w:hint="eastAsia" w:ascii="宋体" w:hAnsi="宋体" w:eastAsia="宋体" w:cs="宋体"/>
              </w:rPr>
            </w:pPr>
            <w:r>
              <w:rPr>
                <w:rFonts w:hint="eastAsia" w:ascii="宋体" w:hAnsi="宋体" w:eastAsia="宋体" w:cs="宋体"/>
              </w:rPr>
              <w:t>联系电话</w:t>
            </w:r>
          </w:p>
        </w:tc>
        <w:tc>
          <w:tcPr>
            <w:tcW w:w="2241" w:type="dxa"/>
            <w:gridSpan w:val="3"/>
            <w:vAlign w:val="center"/>
          </w:tcPr>
          <w:p w14:paraId="7949E10C">
            <w:pPr>
              <w:jc w:val="center"/>
              <w:rPr>
                <w:rFonts w:hint="eastAsia" w:ascii="宋体" w:hAnsi="宋体" w:eastAsia="宋体" w:cs="宋体"/>
              </w:rPr>
            </w:pPr>
          </w:p>
        </w:tc>
      </w:tr>
      <w:tr w14:paraId="0FEA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6FB1F84C">
            <w:pPr>
              <w:jc w:val="center"/>
              <w:rPr>
                <w:rFonts w:hint="eastAsia" w:ascii="宋体" w:hAnsi="宋体" w:eastAsia="宋体" w:cs="宋体"/>
              </w:rPr>
            </w:pPr>
            <w:r>
              <w:rPr>
                <w:rFonts w:hint="eastAsia" w:ascii="宋体" w:hAnsi="宋体" w:eastAsia="宋体" w:cs="宋体"/>
              </w:rPr>
              <w:t>注册资本</w:t>
            </w:r>
          </w:p>
        </w:tc>
        <w:tc>
          <w:tcPr>
            <w:tcW w:w="2118" w:type="dxa"/>
            <w:vMerge w:val="restart"/>
            <w:vAlign w:val="center"/>
          </w:tcPr>
          <w:p w14:paraId="3FBE9EE9">
            <w:pPr>
              <w:jc w:val="center"/>
              <w:rPr>
                <w:rFonts w:hint="eastAsia" w:ascii="宋体" w:hAnsi="宋体" w:eastAsia="宋体" w:cs="宋体"/>
              </w:rPr>
            </w:pPr>
          </w:p>
        </w:tc>
        <w:tc>
          <w:tcPr>
            <w:tcW w:w="1980" w:type="dxa"/>
            <w:vMerge w:val="restart"/>
            <w:vAlign w:val="center"/>
          </w:tcPr>
          <w:p w14:paraId="12F7A1AE">
            <w:pPr>
              <w:jc w:val="center"/>
              <w:rPr>
                <w:rFonts w:hint="eastAsia" w:ascii="宋体" w:hAnsi="宋体" w:eastAsia="宋体" w:cs="宋体"/>
              </w:rPr>
            </w:pPr>
            <w:r>
              <w:rPr>
                <w:rFonts w:hint="eastAsia" w:ascii="宋体" w:hAnsi="宋体" w:eastAsia="宋体" w:cs="宋体"/>
              </w:rPr>
              <w:t>技术人员数</w:t>
            </w:r>
          </w:p>
        </w:tc>
        <w:tc>
          <w:tcPr>
            <w:tcW w:w="720" w:type="dxa"/>
            <w:vAlign w:val="center"/>
          </w:tcPr>
          <w:p w14:paraId="09ECF343">
            <w:pPr>
              <w:jc w:val="center"/>
              <w:rPr>
                <w:rFonts w:hint="eastAsia" w:ascii="宋体" w:hAnsi="宋体" w:eastAsia="宋体" w:cs="宋体"/>
              </w:rPr>
            </w:pPr>
            <w:r>
              <w:rPr>
                <w:rFonts w:hint="eastAsia" w:ascii="宋体" w:hAnsi="宋体" w:eastAsia="宋体" w:cs="宋体"/>
              </w:rPr>
              <w:t>高级</w:t>
            </w:r>
          </w:p>
        </w:tc>
        <w:tc>
          <w:tcPr>
            <w:tcW w:w="720" w:type="dxa"/>
            <w:vAlign w:val="center"/>
          </w:tcPr>
          <w:p w14:paraId="3944710E">
            <w:pPr>
              <w:jc w:val="center"/>
              <w:rPr>
                <w:rFonts w:hint="eastAsia" w:ascii="宋体" w:hAnsi="宋体" w:eastAsia="宋体" w:cs="宋体"/>
              </w:rPr>
            </w:pPr>
            <w:r>
              <w:rPr>
                <w:rFonts w:hint="eastAsia" w:ascii="宋体" w:hAnsi="宋体" w:eastAsia="宋体" w:cs="宋体"/>
              </w:rPr>
              <w:t>中级</w:t>
            </w:r>
          </w:p>
        </w:tc>
        <w:tc>
          <w:tcPr>
            <w:tcW w:w="801" w:type="dxa"/>
            <w:vAlign w:val="center"/>
          </w:tcPr>
          <w:p w14:paraId="6355F27D">
            <w:pPr>
              <w:jc w:val="center"/>
              <w:rPr>
                <w:rFonts w:hint="eastAsia" w:ascii="宋体" w:hAnsi="宋体" w:eastAsia="宋体" w:cs="宋体"/>
              </w:rPr>
            </w:pPr>
            <w:r>
              <w:rPr>
                <w:rFonts w:hint="eastAsia" w:ascii="宋体" w:hAnsi="宋体" w:eastAsia="宋体" w:cs="宋体"/>
              </w:rPr>
              <w:t>初级</w:t>
            </w:r>
          </w:p>
        </w:tc>
      </w:tr>
      <w:tr w14:paraId="6862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0D398E18">
            <w:pPr>
              <w:jc w:val="center"/>
              <w:rPr>
                <w:rFonts w:hint="eastAsia" w:ascii="宋体" w:hAnsi="宋体" w:eastAsia="宋体" w:cs="宋体"/>
              </w:rPr>
            </w:pPr>
          </w:p>
        </w:tc>
        <w:tc>
          <w:tcPr>
            <w:tcW w:w="2118" w:type="dxa"/>
            <w:vMerge w:val="continue"/>
            <w:vAlign w:val="center"/>
          </w:tcPr>
          <w:p w14:paraId="4132E039">
            <w:pPr>
              <w:jc w:val="center"/>
              <w:rPr>
                <w:rFonts w:hint="eastAsia" w:ascii="宋体" w:hAnsi="宋体" w:eastAsia="宋体" w:cs="宋体"/>
              </w:rPr>
            </w:pPr>
          </w:p>
        </w:tc>
        <w:tc>
          <w:tcPr>
            <w:tcW w:w="1980" w:type="dxa"/>
            <w:vMerge w:val="continue"/>
            <w:vAlign w:val="center"/>
          </w:tcPr>
          <w:p w14:paraId="03CFAA55">
            <w:pPr>
              <w:jc w:val="center"/>
              <w:rPr>
                <w:rFonts w:hint="eastAsia" w:ascii="宋体" w:hAnsi="宋体" w:eastAsia="宋体" w:cs="宋体"/>
              </w:rPr>
            </w:pPr>
          </w:p>
        </w:tc>
        <w:tc>
          <w:tcPr>
            <w:tcW w:w="720" w:type="dxa"/>
            <w:vAlign w:val="center"/>
          </w:tcPr>
          <w:p w14:paraId="7950FA8D">
            <w:pPr>
              <w:jc w:val="center"/>
              <w:rPr>
                <w:rFonts w:hint="eastAsia" w:ascii="宋体" w:hAnsi="宋体" w:eastAsia="宋体" w:cs="宋体"/>
              </w:rPr>
            </w:pPr>
          </w:p>
        </w:tc>
        <w:tc>
          <w:tcPr>
            <w:tcW w:w="720" w:type="dxa"/>
            <w:vAlign w:val="center"/>
          </w:tcPr>
          <w:p w14:paraId="24A652A3">
            <w:pPr>
              <w:jc w:val="center"/>
              <w:rPr>
                <w:rFonts w:hint="eastAsia" w:ascii="宋体" w:hAnsi="宋体" w:eastAsia="宋体" w:cs="宋体"/>
              </w:rPr>
            </w:pPr>
          </w:p>
        </w:tc>
        <w:tc>
          <w:tcPr>
            <w:tcW w:w="801" w:type="dxa"/>
            <w:vAlign w:val="center"/>
          </w:tcPr>
          <w:p w14:paraId="1E48FD9C">
            <w:pPr>
              <w:jc w:val="center"/>
              <w:rPr>
                <w:rFonts w:hint="eastAsia" w:ascii="宋体" w:hAnsi="宋体" w:eastAsia="宋体" w:cs="宋体"/>
              </w:rPr>
            </w:pPr>
          </w:p>
        </w:tc>
      </w:tr>
      <w:tr w14:paraId="4E81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90C2C98">
            <w:pPr>
              <w:jc w:val="center"/>
              <w:rPr>
                <w:rFonts w:hint="eastAsia" w:ascii="宋体" w:hAnsi="宋体" w:eastAsia="宋体" w:cs="宋体"/>
              </w:rPr>
            </w:pPr>
            <w:r>
              <w:rPr>
                <w:rFonts w:hint="eastAsia" w:ascii="宋体" w:hAnsi="宋体" w:eastAsia="宋体" w:cs="宋体"/>
              </w:rPr>
              <w:t>资产总额</w:t>
            </w:r>
          </w:p>
        </w:tc>
        <w:tc>
          <w:tcPr>
            <w:tcW w:w="2118" w:type="dxa"/>
            <w:vAlign w:val="center"/>
          </w:tcPr>
          <w:p w14:paraId="2342F3F9">
            <w:pPr>
              <w:jc w:val="center"/>
              <w:rPr>
                <w:rFonts w:hint="eastAsia" w:ascii="宋体" w:hAnsi="宋体" w:eastAsia="宋体" w:cs="宋体"/>
              </w:rPr>
            </w:pPr>
          </w:p>
        </w:tc>
        <w:tc>
          <w:tcPr>
            <w:tcW w:w="1980" w:type="dxa"/>
            <w:vAlign w:val="center"/>
          </w:tcPr>
          <w:p w14:paraId="1A34C568">
            <w:pPr>
              <w:jc w:val="center"/>
              <w:rPr>
                <w:rFonts w:hint="eastAsia" w:ascii="宋体" w:hAnsi="宋体" w:eastAsia="宋体" w:cs="宋体"/>
              </w:rPr>
            </w:pPr>
            <w:r>
              <w:rPr>
                <w:rFonts w:hint="eastAsia" w:ascii="宋体" w:hAnsi="宋体" w:eastAsia="宋体" w:cs="宋体"/>
              </w:rPr>
              <w:t>所有者权益</w:t>
            </w:r>
          </w:p>
        </w:tc>
        <w:tc>
          <w:tcPr>
            <w:tcW w:w="2241" w:type="dxa"/>
            <w:gridSpan w:val="3"/>
            <w:vAlign w:val="center"/>
          </w:tcPr>
          <w:p w14:paraId="57C57C72">
            <w:pPr>
              <w:jc w:val="center"/>
              <w:rPr>
                <w:rFonts w:hint="eastAsia" w:ascii="宋体" w:hAnsi="宋体" w:eastAsia="宋体" w:cs="宋体"/>
              </w:rPr>
            </w:pPr>
          </w:p>
        </w:tc>
      </w:tr>
      <w:tr w14:paraId="602D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BF1966A">
            <w:pPr>
              <w:jc w:val="center"/>
              <w:rPr>
                <w:rFonts w:hint="eastAsia" w:ascii="宋体" w:hAnsi="宋体" w:eastAsia="宋体" w:cs="宋体"/>
              </w:rPr>
            </w:pPr>
            <w:r>
              <w:rPr>
                <w:rFonts w:hint="eastAsia" w:ascii="宋体" w:hAnsi="宋体" w:eastAsia="宋体" w:cs="宋体"/>
              </w:rPr>
              <w:t>工商登记号</w:t>
            </w:r>
          </w:p>
        </w:tc>
        <w:tc>
          <w:tcPr>
            <w:tcW w:w="2118" w:type="dxa"/>
            <w:vAlign w:val="center"/>
          </w:tcPr>
          <w:p w14:paraId="3F357E8C">
            <w:pPr>
              <w:jc w:val="center"/>
              <w:rPr>
                <w:rFonts w:hint="eastAsia" w:ascii="宋体" w:hAnsi="宋体" w:eastAsia="宋体" w:cs="宋体"/>
              </w:rPr>
            </w:pPr>
          </w:p>
        </w:tc>
        <w:tc>
          <w:tcPr>
            <w:tcW w:w="1980" w:type="dxa"/>
            <w:vAlign w:val="center"/>
          </w:tcPr>
          <w:p w14:paraId="2C04B0AE">
            <w:pPr>
              <w:jc w:val="center"/>
              <w:rPr>
                <w:rFonts w:hint="eastAsia" w:ascii="宋体" w:hAnsi="宋体" w:eastAsia="宋体" w:cs="宋体"/>
              </w:rPr>
            </w:pPr>
            <w:r>
              <w:rPr>
                <w:rFonts w:hint="eastAsia" w:ascii="宋体" w:hAnsi="宋体" w:eastAsia="宋体" w:cs="宋体"/>
              </w:rPr>
              <w:t>税务登记号</w:t>
            </w:r>
          </w:p>
        </w:tc>
        <w:tc>
          <w:tcPr>
            <w:tcW w:w="2241" w:type="dxa"/>
            <w:gridSpan w:val="3"/>
            <w:vAlign w:val="center"/>
          </w:tcPr>
          <w:p w14:paraId="73309D84">
            <w:pPr>
              <w:jc w:val="center"/>
              <w:rPr>
                <w:rFonts w:hint="eastAsia" w:ascii="宋体" w:hAnsi="宋体" w:eastAsia="宋体" w:cs="宋体"/>
              </w:rPr>
            </w:pPr>
          </w:p>
        </w:tc>
      </w:tr>
      <w:tr w14:paraId="693A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0B0CB30">
            <w:pPr>
              <w:jc w:val="center"/>
              <w:rPr>
                <w:rFonts w:hint="eastAsia" w:ascii="宋体" w:hAnsi="宋体" w:eastAsia="宋体" w:cs="宋体"/>
              </w:rPr>
            </w:pPr>
            <w:r>
              <w:rPr>
                <w:rFonts w:hint="eastAsia" w:ascii="宋体" w:hAnsi="宋体" w:eastAsia="宋体" w:cs="宋体"/>
              </w:rPr>
              <w:t>是否依法纳税</w:t>
            </w:r>
          </w:p>
        </w:tc>
        <w:tc>
          <w:tcPr>
            <w:tcW w:w="2118" w:type="dxa"/>
            <w:vAlign w:val="center"/>
          </w:tcPr>
          <w:p w14:paraId="3BCC80C5">
            <w:pPr>
              <w:jc w:val="center"/>
              <w:rPr>
                <w:rFonts w:hint="eastAsia" w:ascii="宋体" w:hAnsi="宋体" w:eastAsia="宋体" w:cs="宋体"/>
              </w:rPr>
            </w:pPr>
          </w:p>
        </w:tc>
        <w:tc>
          <w:tcPr>
            <w:tcW w:w="1980" w:type="dxa"/>
            <w:vAlign w:val="center"/>
          </w:tcPr>
          <w:p w14:paraId="1736A84F">
            <w:pPr>
              <w:jc w:val="center"/>
              <w:rPr>
                <w:rFonts w:hint="eastAsia" w:ascii="宋体" w:hAnsi="宋体" w:eastAsia="宋体" w:cs="宋体"/>
              </w:rPr>
            </w:pPr>
            <w:r>
              <w:rPr>
                <w:rFonts w:hint="eastAsia" w:ascii="宋体" w:hAnsi="宋体" w:eastAsia="宋体" w:cs="宋体"/>
              </w:rPr>
              <w:t>是否参加社保</w:t>
            </w:r>
          </w:p>
        </w:tc>
        <w:tc>
          <w:tcPr>
            <w:tcW w:w="2241" w:type="dxa"/>
            <w:gridSpan w:val="3"/>
            <w:vAlign w:val="center"/>
          </w:tcPr>
          <w:p w14:paraId="0674DD5D">
            <w:pPr>
              <w:jc w:val="center"/>
              <w:rPr>
                <w:rFonts w:hint="eastAsia" w:ascii="宋体" w:hAnsi="宋体" w:eastAsia="宋体" w:cs="宋体"/>
              </w:rPr>
            </w:pPr>
          </w:p>
        </w:tc>
      </w:tr>
      <w:tr w14:paraId="59D5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627FEE90">
            <w:pPr>
              <w:jc w:val="center"/>
              <w:rPr>
                <w:rFonts w:hint="eastAsia" w:ascii="宋体" w:hAnsi="宋体" w:eastAsia="宋体" w:cs="宋体"/>
              </w:rPr>
            </w:pPr>
            <w:r>
              <w:rPr>
                <w:rFonts w:hint="eastAsia" w:ascii="宋体" w:hAnsi="宋体" w:eastAsia="宋体" w:cs="宋体"/>
              </w:rPr>
              <w:t>售后服务机构情况</w:t>
            </w:r>
          </w:p>
        </w:tc>
        <w:tc>
          <w:tcPr>
            <w:tcW w:w="6339" w:type="dxa"/>
            <w:gridSpan w:val="5"/>
            <w:vAlign w:val="center"/>
          </w:tcPr>
          <w:p w14:paraId="4F3356CE">
            <w:pPr>
              <w:ind w:firstLine="60" w:firstLineChars="25"/>
              <w:rPr>
                <w:rFonts w:hint="eastAsia" w:ascii="宋体" w:hAnsi="宋体" w:eastAsia="宋体" w:cs="宋体"/>
              </w:rPr>
            </w:pPr>
            <w:r>
              <w:rPr>
                <w:rFonts w:hint="eastAsia" w:ascii="宋体" w:hAnsi="宋体" w:eastAsia="宋体" w:cs="宋体"/>
              </w:rPr>
              <w:t>名称：</w:t>
            </w:r>
          </w:p>
          <w:p w14:paraId="3E82F3CF">
            <w:pPr>
              <w:ind w:firstLine="60" w:firstLineChars="25"/>
              <w:rPr>
                <w:rFonts w:hint="eastAsia" w:ascii="宋体" w:hAnsi="宋体" w:eastAsia="宋体" w:cs="宋体"/>
              </w:rPr>
            </w:pPr>
            <w:r>
              <w:rPr>
                <w:rFonts w:hint="eastAsia" w:ascii="宋体" w:hAnsi="宋体" w:eastAsia="宋体" w:cs="宋体"/>
              </w:rPr>
              <w:t>地址：</w:t>
            </w:r>
          </w:p>
          <w:p w14:paraId="0CD92224">
            <w:pPr>
              <w:ind w:firstLine="60" w:firstLineChars="25"/>
              <w:rPr>
                <w:rFonts w:hint="eastAsia" w:ascii="宋体" w:hAnsi="宋体" w:eastAsia="宋体" w:cs="宋体"/>
              </w:rPr>
            </w:pPr>
            <w:r>
              <w:rPr>
                <w:rFonts w:hint="eastAsia" w:ascii="宋体" w:hAnsi="宋体" w:eastAsia="宋体" w:cs="宋体"/>
              </w:rPr>
              <w:t>人员状况：</w:t>
            </w:r>
          </w:p>
          <w:p w14:paraId="3307C860">
            <w:pPr>
              <w:ind w:firstLine="60" w:firstLineChars="25"/>
              <w:rPr>
                <w:rFonts w:hint="eastAsia" w:ascii="宋体" w:hAnsi="宋体" w:eastAsia="宋体" w:cs="宋体"/>
              </w:rPr>
            </w:pPr>
            <w:r>
              <w:rPr>
                <w:rFonts w:hint="eastAsia" w:ascii="宋体" w:hAnsi="宋体" w:eastAsia="宋体" w:cs="宋体"/>
              </w:rPr>
              <w:t>联系方式：</w:t>
            </w:r>
          </w:p>
          <w:p w14:paraId="1B22D191">
            <w:pPr>
              <w:ind w:firstLine="60" w:firstLineChars="25"/>
              <w:rPr>
                <w:rFonts w:hint="eastAsia" w:ascii="宋体" w:hAnsi="宋体" w:eastAsia="宋体" w:cs="宋体"/>
              </w:rPr>
            </w:pPr>
            <w:r>
              <w:rPr>
                <w:rFonts w:hint="eastAsia" w:ascii="宋体" w:hAnsi="宋体" w:eastAsia="宋体" w:cs="宋体"/>
              </w:rPr>
              <w:t>（可另附纸说明）</w:t>
            </w:r>
          </w:p>
        </w:tc>
      </w:tr>
    </w:tbl>
    <w:p w14:paraId="1868A240">
      <w:pPr>
        <w:ind w:firstLine="480" w:firstLineChars="200"/>
        <w:rPr>
          <w:rFonts w:hint="eastAsia" w:ascii="宋体" w:hAnsi="宋体" w:eastAsia="宋体" w:cs="宋体"/>
        </w:rPr>
      </w:pPr>
    </w:p>
    <w:p w14:paraId="62D18321">
      <w:pPr>
        <w:pStyle w:val="36"/>
        <w:snapToGrid w:val="0"/>
        <w:rPr>
          <w:rFonts w:hint="eastAsia" w:ascii="宋体" w:hAnsi="宋体" w:eastAsia="宋体" w:cs="宋体"/>
          <w:szCs w:val="24"/>
        </w:rPr>
      </w:pPr>
      <w:r>
        <w:rPr>
          <w:rFonts w:hint="eastAsia" w:ascii="宋体" w:hAnsi="宋体" w:eastAsia="宋体" w:cs="宋体"/>
          <w:szCs w:val="24"/>
        </w:rPr>
        <w:t>投标人全称（电子签章）：</w:t>
      </w:r>
      <w:r>
        <w:rPr>
          <w:rFonts w:hint="eastAsia" w:ascii="宋体" w:hAnsi="宋体" w:eastAsia="宋体" w:cs="宋体"/>
          <w:szCs w:val="24"/>
          <w:u w:val="single"/>
        </w:rPr>
        <w:t xml:space="preserve">                      </w:t>
      </w:r>
    </w:p>
    <w:p w14:paraId="0CA8B5BA">
      <w:pPr>
        <w:snapToGrid w:val="0"/>
        <w:ind w:right="600"/>
        <w:rPr>
          <w:rFonts w:hint="eastAsia" w:ascii="宋体" w:hAnsi="宋体" w:eastAsia="宋体" w:cs="宋体"/>
        </w:rPr>
      </w:pPr>
      <w:r>
        <w:rPr>
          <w:rFonts w:hint="eastAsia" w:ascii="宋体" w:hAnsi="宋体" w:eastAsia="宋体" w:cs="宋体"/>
        </w:rPr>
        <w:t>法定代表人或授权委托人（签名或盖章）：</w:t>
      </w:r>
      <w:r>
        <w:rPr>
          <w:rFonts w:hint="eastAsia" w:ascii="宋体" w:hAnsi="宋体" w:eastAsia="宋体" w:cs="宋体"/>
          <w:u w:val="single"/>
        </w:rPr>
        <w:t xml:space="preserve">                </w:t>
      </w:r>
    </w:p>
    <w:p w14:paraId="3C97FD35">
      <w:pPr>
        <w:snapToGrid w:val="0"/>
        <w:ind w:right="600"/>
        <w:rPr>
          <w:rFonts w:hint="eastAsia" w:ascii="宋体" w:hAnsi="宋体" w:eastAsia="宋体" w:cs="宋体"/>
          <w:u w:val="single"/>
        </w:rPr>
      </w:pPr>
      <w:r>
        <w:rPr>
          <w:rFonts w:hint="eastAsia" w:ascii="宋体" w:hAnsi="宋体" w:eastAsia="宋体" w:cs="宋体"/>
        </w:rPr>
        <w:t>投标日期：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6C49ADEE">
      <w:pPr>
        <w:snapToGrid w:val="0"/>
        <w:ind w:right="600"/>
        <w:rPr>
          <w:rFonts w:hint="eastAsia" w:ascii="宋体" w:hAnsi="宋体" w:eastAsia="宋体" w:cs="宋体"/>
          <w:u w:val="single"/>
        </w:rPr>
      </w:pPr>
    </w:p>
    <w:p w14:paraId="0B146A21">
      <w:pPr>
        <w:spacing w:before="120" w:line="480" w:lineRule="exact"/>
        <w:rPr>
          <w:rFonts w:hint="eastAsia" w:ascii="宋体" w:hAnsi="宋体" w:eastAsia="宋体" w:cs="宋体"/>
          <w:u w:val="single"/>
        </w:rPr>
      </w:pPr>
      <w:r>
        <w:rPr>
          <w:rFonts w:hint="eastAsia" w:ascii="宋体" w:hAnsi="宋体" w:eastAsia="宋体" w:cs="宋体"/>
          <w:b/>
          <w:sz w:val="32"/>
        </w:rPr>
        <w:br w:type="page"/>
      </w:r>
    </w:p>
    <w:p w14:paraId="0BA704F0">
      <w:pPr>
        <w:pStyle w:val="18"/>
        <w:snapToGrid w:val="0"/>
        <w:spacing w:before="120" w:line="360" w:lineRule="auto"/>
        <w:ind w:left="643" w:hanging="643"/>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投标人类似项目实施业绩一览表</w:t>
      </w:r>
    </w:p>
    <w:p w14:paraId="02CF1EBE">
      <w:pPr>
        <w:keepNext w:val="0"/>
        <w:keepLines w:val="0"/>
        <w:pageBreakBefore w:val="0"/>
        <w:widowControl w:val="0"/>
        <w:kinsoku/>
        <w:wordWrap/>
        <w:overflowPunct/>
        <w:topLinePunct w:val="0"/>
        <w:autoSpaceDE/>
        <w:autoSpaceDN/>
        <w:bidi w:val="0"/>
        <w:adjustRightInd/>
        <w:snapToGrid/>
        <w:spacing w:beforeLines="0" w:line="40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2024年度富春湾集团国有资产评估中介机构招标项目</w:t>
      </w:r>
    </w:p>
    <w:p w14:paraId="23EAC19B">
      <w:pPr>
        <w:keepNext w:val="0"/>
        <w:keepLines w:val="0"/>
        <w:pageBreakBefore w:val="0"/>
        <w:widowControl w:val="0"/>
        <w:kinsoku/>
        <w:wordWrap/>
        <w:overflowPunct/>
        <w:topLinePunct w:val="0"/>
        <w:autoSpaceDE/>
        <w:autoSpaceDN/>
        <w:bidi w:val="0"/>
        <w:adjustRightInd/>
        <w:snapToGrid/>
        <w:spacing w:beforeLines="0" w:line="400" w:lineRule="exact"/>
        <w:jc w:val="left"/>
        <w:textAlignment w:val="auto"/>
        <w:rPr>
          <w:rFonts w:hint="eastAsia" w:ascii="宋体" w:hAnsi="宋体" w:eastAsia="宋体" w:cs="宋体"/>
          <w:b/>
          <w:color w:val="auto"/>
          <w:sz w:val="32"/>
          <w:szCs w:val="32"/>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FCW20240046-1</w:t>
      </w:r>
    </w:p>
    <w:tbl>
      <w:tblPr>
        <w:tblStyle w:val="24"/>
        <w:tblW w:w="9377"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199"/>
        <w:gridCol w:w="1740"/>
        <w:gridCol w:w="1410"/>
        <w:gridCol w:w="1485"/>
        <w:gridCol w:w="1430"/>
        <w:gridCol w:w="745"/>
      </w:tblGrid>
      <w:tr w14:paraId="7E4D5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0"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14:paraId="25DB79E8">
            <w:pPr>
              <w:snapToGrid w:val="0"/>
              <w:spacing w:before="120"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采购单位名称</w:t>
            </w:r>
          </w:p>
        </w:tc>
        <w:tc>
          <w:tcPr>
            <w:tcW w:w="1199" w:type="dxa"/>
            <w:tcBorders>
              <w:top w:val="single" w:color="auto" w:sz="4" w:space="0"/>
              <w:left w:val="single" w:color="auto" w:sz="4" w:space="0"/>
              <w:bottom w:val="single" w:color="auto" w:sz="4" w:space="0"/>
              <w:right w:val="single" w:color="auto" w:sz="4" w:space="0"/>
            </w:tcBorders>
            <w:noWrap w:val="0"/>
            <w:vAlign w:val="center"/>
          </w:tcPr>
          <w:p w14:paraId="2228314D">
            <w:pPr>
              <w:snapToGrid w:val="0"/>
              <w:spacing w:before="120"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1740" w:type="dxa"/>
            <w:tcBorders>
              <w:top w:val="single" w:color="auto" w:sz="4" w:space="0"/>
              <w:left w:val="single" w:color="auto" w:sz="4" w:space="0"/>
              <w:right w:val="single" w:color="auto" w:sz="4" w:space="0"/>
            </w:tcBorders>
            <w:noWrap w:val="0"/>
            <w:vAlign w:val="center"/>
          </w:tcPr>
          <w:p w14:paraId="4F4696D8">
            <w:pPr>
              <w:snapToGrid w:val="0"/>
              <w:spacing w:before="120"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项目简要描述</w:t>
            </w:r>
          </w:p>
        </w:tc>
        <w:tc>
          <w:tcPr>
            <w:tcW w:w="1410" w:type="dxa"/>
            <w:tcBorders>
              <w:top w:val="single" w:color="auto" w:sz="4" w:space="0"/>
              <w:left w:val="single" w:color="auto" w:sz="4" w:space="0"/>
              <w:bottom w:val="single" w:color="auto" w:sz="4" w:space="0"/>
              <w:right w:val="single" w:color="auto" w:sz="4" w:space="0"/>
            </w:tcBorders>
            <w:noWrap w:val="0"/>
            <w:vAlign w:val="center"/>
          </w:tcPr>
          <w:p w14:paraId="416F7343">
            <w:pPr>
              <w:snapToGrid w:val="0"/>
              <w:spacing w:before="120"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合同金额</w:t>
            </w:r>
          </w:p>
          <w:p w14:paraId="4B12A63F">
            <w:pPr>
              <w:snapToGrid w:val="0"/>
              <w:spacing w:before="120"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（万元）</w:t>
            </w:r>
          </w:p>
        </w:tc>
        <w:tc>
          <w:tcPr>
            <w:tcW w:w="1485" w:type="dxa"/>
            <w:tcBorders>
              <w:top w:val="single" w:color="auto" w:sz="4" w:space="0"/>
              <w:left w:val="single" w:color="auto" w:sz="4" w:space="0"/>
              <w:right w:val="single" w:color="auto" w:sz="4" w:space="0"/>
            </w:tcBorders>
            <w:noWrap w:val="0"/>
            <w:vAlign w:val="center"/>
          </w:tcPr>
          <w:p w14:paraId="5874EDD6">
            <w:pPr>
              <w:snapToGrid w:val="0"/>
              <w:spacing w:before="120"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实施时间</w:t>
            </w:r>
          </w:p>
        </w:tc>
        <w:tc>
          <w:tcPr>
            <w:tcW w:w="1430" w:type="dxa"/>
            <w:tcBorders>
              <w:top w:val="single" w:color="auto" w:sz="4" w:space="0"/>
              <w:left w:val="single" w:color="auto" w:sz="4" w:space="0"/>
              <w:bottom w:val="single" w:color="auto" w:sz="4" w:space="0"/>
              <w:right w:val="single" w:color="auto" w:sz="4" w:space="0"/>
            </w:tcBorders>
            <w:noWrap w:val="0"/>
            <w:vAlign w:val="center"/>
          </w:tcPr>
          <w:p w14:paraId="4A487C9D">
            <w:pPr>
              <w:snapToGrid w:val="0"/>
              <w:spacing w:before="120"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项目地址、采购单位联系人及联系电话</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52DD8F29">
            <w:pPr>
              <w:snapToGrid w:val="0"/>
              <w:spacing w:before="120"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页码</w:t>
            </w:r>
          </w:p>
        </w:tc>
      </w:tr>
      <w:tr w14:paraId="421A6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14:paraId="56EFE65B">
            <w:pPr>
              <w:snapToGrid w:val="0"/>
              <w:spacing w:before="120" w:after="120" w:afterLines="50" w:line="360" w:lineRule="auto"/>
              <w:jc w:val="center"/>
              <w:rPr>
                <w:rFonts w:hint="eastAsia" w:ascii="宋体" w:hAnsi="宋体" w:eastAsia="宋体" w:cs="宋体"/>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3592968">
            <w:pPr>
              <w:snapToGrid w:val="0"/>
              <w:spacing w:before="120" w:after="120" w:afterLines="50" w:line="360" w:lineRule="auto"/>
              <w:jc w:val="center"/>
              <w:rPr>
                <w:rFonts w:hint="eastAsia" w:ascii="宋体" w:hAnsi="宋体" w:eastAsia="宋体" w:cs="宋体"/>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CC2249D">
            <w:pPr>
              <w:snapToGrid w:val="0"/>
              <w:spacing w:before="120" w:after="120" w:afterLines="50" w:line="360" w:lineRule="auto"/>
              <w:jc w:val="center"/>
              <w:rPr>
                <w:rFonts w:hint="eastAsia" w:ascii="宋体" w:hAnsi="宋体" w:eastAsia="宋体" w:cs="宋体"/>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3124E469">
            <w:pPr>
              <w:snapToGrid w:val="0"/>
              <w:spacing w:before="120" w:after="120" w:afterLines="50" w:line="360" w:lineRule="auto"/>
              <w:jc w:val="center"/>
              <w:rPr>
                <w:rFonts w:hint="eastAsia" w:ascii="宋体" w:hAnsi="宋体" w:eastAsia="宋体" w:cs="宋体"/>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01ABC14">
            <w:pPr>
              <w:snapToGrid w:val="0"/>
              <w:spacing w:before="120" w:after="120" w:afterLines="50" w:line="360" w:lineRule="auto"/>
              <w:jc w:val="center"/>
              <w:rPr>
                <w:rFonts w:hint="eastAsia" w:ascii="宋体" w:hAnsi="宋体" w:eastAsia="宋体" w:cs="宋体"/>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0BAF2627">
            <w:pPr>
              <w:snapToGrid w:val="0"/>
              <w:spacing w:before="120" w:after="120" w:afterLines="50" w:line="360" w:lineRule="auto"/>
              <w:jc w:val="center"/>
              <w:rPr>
                <w:rFonts w:hint="eastAsia" w:ascii="宋体" w:hAnsi="宋体" w:eastAsia="宋体" w:cs="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560AFF75">
            <w:pPr>
              <w:snapToGrid w:val="0"/>
              <w:spacing w:before="120" w:after="120" w:afterLines="50" w:line="360" w:lineRule="auto"/>
              <w:jc w:val="center"/>
              <w:rPr>
                <w:rFonts w:hint="eastAsia" w:ascii="宋体" w:hAnsi="宋体" w:eastAsia="宋体" w:cs="宋体"/>
                <w:color w:val="000000"/>
                <w:sz w:val="24"/>
                <w:szCs w:val="24"/>
              </w:rPr>
            </w:pPr>
          </w:p>
        </w:tc>
      </w:tr>
      <w:tr w14:paraId="78111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14:paraId="151FEDDE">
            <w:pPr>
              <w:snapToGrid w:val="0"/>
              <w:spacing w:before="120" w:after="120" w:afterLines="50" w:line="360" w:lineRule="auto"/>
              <w:jc w:val="center"/>
              <w:rPr>
                <w:rFonts w:hint="eastAsia" w:ascii="宋体" w:hAnsi="宋体" w:eastAsia="宋体" w:cs="宋体"/>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77BA8327">
            <w:pPr>
              <w:snapToGrid w:val="0"/>
              <w:spacing w:before="120" w:after="120" w:afterLines="50" w:line="360" w:lineRule="auto"/>
              <w:jc w:val="center"/>
              <w:rPr>
                <w:rFonts w:hint="eastAsia" w:ascii="宋体" w:hAnsi="宋体" w:eastAsia="宋体" w:cs="宋体"/>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0AA6BE07">
            <w:pPr>
              <w:snapToGrid w:val="0"/>
              <w:spacing w:before="120" w:after="120" w:afterLines="50" w:line="360" w:lineRule="auto"/>
              <w:jc w:val="center"/>
              <w:rPr>
                <w:rFonts w:hint="eastAsia" w:ascii="宋体" w:hAnsi="宋体" w:eastAsia="宋体" w:cs="宋体"/>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43B56B0B">
            <w:pPr>
              <w:snapToGrid w:val="0"/>
              <w:spacing w:before="120" w:after="120" w:afterLines="50" w:line="360" w:lineRule="auto"/>
              <w:jc w:val="center"/>
              <w:rPr>
                <w:rFonts w:hint="eastAsia" w:ascii="宋体" w:hAnsi="宋体" w:eastAsia="宋体" w:cs="宋体"/>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14E1D00">
            <w:pPr>
              <w:snapToGrid w:val="0"/>
              <w:spacing w:before="120" w:after="120" w:afterLines="50" w:line="360" w:lineRule="auto"/>
              <w:jc w:val="center"/>
              <w:rPr>
                <w:rFonts w:hint="eastAsia" w:ascii="宋体" w:hAnsi="宋体" w:eastAsia="宋体" w:cs="宋体"/>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03C7D966">
            <w:pPr>
              <w:snapToGrid w:val="0"/>
              <w:spacing w:before="120" w:after="120" w:afterLines="50" w:line="360" w:lineRule="auto"/>
              <w:jc w:val="center"/>
              <w:rPr>
                <w:rFonts w:hint="eastAsia" w:ascii="宋体" w:hAnsi="宋体" w:eastAsia="宋体" w:cs="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0B3A3645">
            <w:pPr>
              <w:snapToGrid w:val="0"/>
              <w:spacing w:before="120" w:after="120" w:afterLines="50" w:line="360" w:lineRule="auto"/>
              <w:jc w:val="center"/>
              <w:rPr>
                <w:rFonts w:hint="eastAsia" w:ascii="宋体" w:hAnsi="宋体" w:eastAsia="宋体" w:cs="宋体"/>
                <w:color w:val="000000"/>
                <w:sz w:val="24"/>
                <w:szCs w:val="24"/>
              </w:rPr>
            </w:pPr>
          </w:p>
        </w:tc>
      </w:tr>
      <w:tr w14:paraId="3BF15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14:paraId="2386F431">
            <w:pPr>
              <w:snapToGrid w:val="0"/>
              <w:spacing w:before="120" w:after="120" w:afterLines="50" w:line="360" w:lineRule="auto"/>
              <w:jc w:val="center"/>
              <w:rPr>
                <w:rFonts w:hint="eastAsia" w:ascii="宋体" w:hAnsi="宋体" w:eastAsia="宋体" w:cs="宋体"/>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43348BF0">
            <w:pPr>
              <w:snapToGrid w:val="0"/>
              <w:spacing w:before="120" w:after="120" w:afterLines="50" w:line="360" w:lineRule="auto"/>
              <w:jc w:val="center"/>
              <w:rPr>
                <w:rFonts w:hint="eastAsia" w:ascii="宋体" w:hAnsi="宋体" w:eastAsia="宋体" w:cs="宋体"/>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4D8977BE">
            <w:pPr>
              <w:snapToGrid w:val="0"/>
              <w:spacing w:before="120" w:after="120" w:afterLines="50" w:line="360" w:lineRule="auto"/>
              <w:jc w:val="center"/>
              <w:rPr>
                <w:rFonts w:hint="eastAsia" w:ascii="宋体" w:hAnsi="宋体" w:eastAsia="宋体" w:cs="宋体"/>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0AFD7D7F">
            <w:pPr>
              <w:snapToGrid w:val="0"/>
              <w:spacing w:before="120" w:after="120" w:afterLines="50" w:line="360" w:lineRule="auto"/>
              <w:jc w:val="center"/>
              <w:rPr>
                <w:rFonts w:hint="eastAsia" w:ascii="宋体" w:hAnsi="宋体" w:eastAsia="宋体" w:cs="宋体"/>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BC48BBC">
            <w:pPr>
              <w:snapToGrid w:val="0"/>
              <w:spacing w:before="120" w:after="120" w:afterLines="50" w:line="360" w:lineRule="auto"/>
              <w:jc w:val="center"/>
              <w:rPr>
                <w:rFonts w:hint="eastAsia" w:ascii="宋体" w:hAnsi="宋体" w:eastAsia="宋体" w:cs="宋体"/>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4CF76BCF">
            <w:pPr>
              <w:snapToGrid w:val="0"/>
              <w:spacing w:before="120" w:after="120" w:afterLines="50" w:line="360" w:lineRule="auto"/>
              <w:jc w:val="center"/>
              <w:rPr>
                <w:rFonts w:hint="eastAsia" w:ascii="宋体" w:hAnsi="宋体" w:eastAsia="宋体" w:cs="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2B132DA6">
            <w:pPr>
              <w:snapToGrid w:val="0"/>
              <w:spacing w:before="120" w:after="120" w:afterLines="50" w:line="360" w:lineRule="auto"/>
              <w:jc w:val="center"/>
              <w:rPr>
                <w:rFonts w:hint="eastAsia" w:ascii="宋体" w:hAnsi="宋体" w:eastAsia="宋体" w:cs="宋体"/>
                <w:color w:val="000000"/>
                <w:sz w:val="24"/>
                <w:szCs w:val="24"/>
              </w:rPr>
            </w:pPr>
          </w:p>
        </w:tc>
      </w:tr>
      <w:tr w14:paraId="6F53F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14:paraId="060037F6">
            <w:pPr>
              <w:snapToGrid w:val="0"/>
              <w:spacing w:before="120" w:after="120" w:afterLines="50" w:line="360" w:lineRule="auto"/>
              <w:jc w:val="center"/>
              <w:rPr>
                <w:rFonts w:hint="eastAsia" w:ascii="宋体" w:hAnsi="宋体" w:eastAsia="宋体" w:cs="宋体"/>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6452893E">
            <w:pPr>
              <w:snapToGrid w:val="0"/>
              <w:spacing w:before="120" w:after="120" w:afterLines="50" w:line="360" w:lineRule="auto"/>
              <w:jc w:val="center"/>
              <w:rPr>
                <w:rFonts w:hint="eastAsia" w:ascii="宋体" w:hAnsi="宋体" w:eastAsia="宋体" w:cs="宋体"/>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934FE12">
            <w:pPr>
              <w:snapToGrid w:val="0"/>
              <w:spacing w:before="120" w:after="120" w:afterLines="50" w:line="360" w:lineRule="auto"/>
              <w:jc w:val="center"/>
              <w:rPr>
                <w:rFonts w:hint="eastAsia" w:ascii="宋体" w:hAnsi="宋体" w:eastAsia="宋体" w:cs="宋体"/>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5E9F467D">
            <w:pPr>
              <w:snapToGrid w:val="0"/>
              <w:spacing w:before="120" w:after="120" w:afterLines="50" w:line="360" w:lineRule="auto"/>
              <w:jc w:val="center"/>
              <w:rPr>
                <w:rFonts w:hint="eastAsia" w:ascii="宋体" w:hAnsi="宋体" w:eastAsia="宋体" w:cs="宋体"/>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65FDA08">
            <w:pPr>
              <w:snapToGrid w:val="0"/>
              <w:spacing w:before="120" w:after="120" w:afterLines="50" w:line="360" w:lineRule="auto"/>
              <w:jc w:val="center"/>
              <w:rPr>
                <w:rFonts w:hint="eastAsia" w:ascii="宋体" w:hAnsi="宋体" w:eastAsia="宋体" w:cs="宋体"/>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12A3CA1B">
            <w:pPr>
              <w:snapToGrid w:val="0"/>
              <w:spacing w:before="120" w:after="120" w:afterLines="50" w:line="360" w:lineRule="auto"/>
              <w:jc w:val="center"/>
              <w:rPr>
                <w:rFonts w:hint="eastAsia" w:ascii="宋体" w:hAnsi="宋体" w:eastAsia="宋体" w:cs="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0D2D4CEA">
            <w:pPr>
              <w:snapToGrid w:val="0"/>
              <w:spacing w:before="120" w:after="120" w:afterLines="50" w:line="360" w:lineRule="auto"/>
              <w:jc w:val="center"/>
              <w:rPr>
                <w:rFonts w:hint="eastAsia" w:ascii="宋体" w:hAnsi="宋体" w:eastAsia="宋体" w:cs="宋体"/>
                <w:color w:val="000000"/>
                <w:sz w:val="24"/>
                <w:szCs w:val="24"/>
              </w:rPr>
            </w:pPr>
          </w:p>
        </w:tc>
      </w:tr>
      <w:tr w14:paraId="356F91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14:paraId="42C19A05">
            <w:pPr>
              <w:snapToGrid w:val="0"/>
              <w:spacing w:before="120" w:after="120" w:afterLines="50" w:line="360" w:lineRule="auto"/>
              <w:jc w:val="center"/>
              <w:rPr>
                <w:rFonts w:hint="eastAsia" w:ascii="宋体" w:hAnsi="宋体" w:eastAsia="宋体" w:cs="宋体"/>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5826BBBD">
            <w:pPr>
              <w:snapToGrid w:val="0"/>
              <w:spacing w:before="120" w:after="120" w:afterLines="50" w:line="360" w:lineRule="auto"/>
              <w:jc w:val="center"/>
              <w:rPr>
                <w:rFonts w:hint="eastAsia" w:ascii="宋体" w:hAnsi="宋体" w:eastAsia="宋体" w:cs="宋体"/>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6AEFF3C9">
            <w:pPr>
              <w:snapToGrid w:val="0"/>
              <w:spacing w:before="120" w:after="120" w:afterLines="50" w:line="360" w:lineRule="auto"/>
              <w:jc w:val="center"/>
              <w:rPr>
                <w:rFonts w:hint="eastAsia" w:ascii="宋体" w:hAnsi="宋体" w:eastAsia="宋体" w:cs="宋体"/>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6A352BF0">
            <w:pPr>
              <w:snapToGrid w:val="0"/>
              <w:spacing w:before="120" w:after="120" w:afterLines="50" w:line="360" w:lineRule="auto"/>
              <w:jc w:val="center"/>
              <w:rPr>
                <w:rFonts w:hint="eastAsia" w:ascii="宋体" w:hAnsi="宋体" w:eastAsia="宋体" w:cs="宋体"/>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4529CA60">
            <w:pPr>
              <w:snapToGrid w:val="0"/>
              <w:spacing w:before="120" w:after="120" w:afterLines="50" w:line="360" w:lineRule="auto"/>
              <w:jc w:val="center"/>
              <w:rPr>
                <w:rFonts w:hint="eastAsia" w:ascii="宋体" w:hAnsi="宋体" w:eastAsia="宋体" w:cs="宋体"/>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3FAF70CF">
            <w:pPr>
              <w:snapToGrid w:val="0"/>
              <w:spacing w:before="120" w:after="120" w:afterLines="50" w:line="360" w:lineRule="auto"/>
              <w:jc w:val="center"/>
              <w:rPr>
                <w:rFonts w:hint="eastAsia" w:ascii="宋体" w:hAnsi="宋体" w:eastAsia="宋体" w:cs="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5E3E52BA">
            <w:pPr>
              <w:snapToGrid w:val="0"/>
              <w:spacing w:before="120" w:after="120" w:afterLines="50" w:line="360" w:lineRule="auto"/>
              <w:jc w:val="center"/>
              <w:rPr>
                <w:rFonts w:hint="eastAsia" w:ascii="宋体" w:hAnsi="宋体" w:eastAsia="宋体" w:cs="宋体"/>
                <w:color w:val="000000"/>
                <w:sz w:val="24"/>
                <w:szCs w:val="24"/>
              </w:rPr>
            </w:pPr>
          </w:p>
        </w:tc>
      </w:tr>
      <w:tr w14:paraId="1D122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14:paraId="5E1A6A42">
            <w:pPr>
              <w:snapToGrid w:val="0"/>
              <w:spacing w:before="120" w:after="120" w:afterLines="50" w:line="360" w:lineRule="auto"/>
              <w:jc w:val="center"/>
              <w:rPr>
                <w:rFonts w:hint="eastAsia" w:ascii="宋体" w:hAnsi="宋体" w:eastAsia="宋体" w:cs="宋体"/>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2EA08B7">
            <w:pPr>
              <w:snapToGrid w:val="0"/>
              <w:spacing w:before="120" w:after="120" w:afterLines="50" w:line="360" w:lineRule="auto"/>
              <w:jc w:val="center"/>
              <w:rPr>
                <w:rFonts w:hint="eastAsia" w:ascii="宋体" w:hAnsi="宋体" w:eastAsia="宋体" w:cs="宋体"/>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75111A10">
            <w:pPr>
              <w:snapToGrid w:val="0"/>
              <w:spacing w:before="120" w:after="120" w:afterLines="50" w:line="360" w:lineRule="auto"/>
              <w:jc w:val="center"/>
              <w:rPr>
                <w:rFonts w:hint="eastAsia" w:ascii="宋体" w:hAnsi="宋体" w:eastAsia="宋体" w:cs="宋体"/>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79900B96">
            <w:pPr>
              <w:snapToGrid w:val="0"/>
              <w:spacing w:before="120" w:after="120" w:afterLines="50" w:line="360" w:lineRule="auto"/>
              <w:jc w:val="center"/>
              <w:rPr>
                <w:rFonts w:hint="eastAsia" w:ascii="宋体" w:hAnsi="宋体" w:eastAsia="宋体" w:cs="宋体"/>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007947FD">
            <w:pPr>
              <w:snapToGrid w:val="0"/>
              <w:spacing w:before="120" w:after="120" w:afterLines="50" w:line="360" w:lineRule="auto"/>
              <w:jc w:val="center"/>
              <w:rPr>
                <w:rFonts w:hint="eastAsia" w:ascii="宋体" w:hAnsi="宋体" w:eastAsia="宋体" w:cs="宋体"/>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4D4353B3">
            <w:pPr>
              <w:snapToGrid w:val="0"/>
              <w:spacing w:before="120" w:after="120" w:afterLines="50" w:line="360" w:lineRule="auto"/>
              <w:jc w:val="center"/>
              <w:rPr>
                <w:rFonts w:hint="eastAsia" w:ascii="宋体" w:hAnsi="宋体" w:eastAsia="宋体" w:cs="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5BD0B113">
            <w:pPr>
              <w:snapToGrid w:val="0"/>
              <w:spacing w:before="120" w:after="120" w:afterLines="50" w:line="360" w:lineRule="auto"/>
              <w:jc w:val="center"/>
              <w:rPr>
                <w:rFonts w:hint="eastAsia" w:ascii="宋体" w:hAnsi="宋体" w:eastAsia="宋体" w:cs="宋体"/>
                <w:color w:val="000000"/>
                <w:sz w:val="24"/>
                <w:szCs w:val="24"/>
              </w:rPr>
            </w:pPr>
          </w:p>
        </w:tc>
      </w:tr>
      <w:tr w14:paraId="1B808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8" w:type="dxa"/>
            <w:tcBorders>
              <w:top w:val="single" w:color="auto" w:sz="4" w:space="0"/>
              <w:left w:val="single" w:color="auto" w:sz="4" w:space="0"/>
              <w:bottom w:val="single" w:color="auto" w:sz="4" w:space="0"/>
              <w:right w:val="single" w:color="auto" w:sz="4" w:space="0"/>
            </w:tcBorders>
            <w:noWrap w:val="0"/>
            <w:vAlign w:val="center"/>
          </w:tcPr>
          <w:p w14:paraId="6B13A87F">
            <w:pPr>
              <w:snapToGrid w:val="0"/>
              <w:spacing w:before="120" w:after="120" w:afterLines="50" w:line="360" w:lineRule="auto"/>
              <w:jc w:val="center"/>
              <w:rPr>
                <w:rFonts w:hint="eastAsia" w:ascii="宋体" w:hAnsi="宋体" w:eastAsia="宋体" w:cs="宋体"/>
                <w:color w:val="000000"/>
                <w:sz w:val="24"/>
                <w:szCs w:val="24"/>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14:paraId="3C147DF1">
            <w:pPr>
              <w:snapToGrid w:val="0"/>
              <w:spacing w:before="120" w:after="120" w:afterLines="50" w:line="360" w:lineRule="auto"/>
              <w:jc w:val="center"/>
              <w:rPr>
                <w:rFonts w:hint="eastAsia" w:ascii="宋体" w:hAnsi="宋体" w:eastAsia="宋体" w:cs="宋体"/>
                <w:color w:val="000000"/>
                <w:sz w:val="24"/>
                <w:szCs w:val="24"/>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14:paraId="578C2B38">
            <w:pPr>
              <w:snapToGrid w:val="0"/>
              <w:spacing w:before="120" w:after="120" w:afterLines="50" w:line="360" w:lineRule="auto"/>
              <w:jc w:val="center"/>
              <w:rPr>
                <w:rFonts w:hint="eastAsia" w:ascii="宋体" w:hAnsi="宋体" w:eastAsia="宋体" w:cs="宋体"/>
                <w:color w:val="000000"/>
                <w:sz w:val="24"/>
                <w:szCs w:val="24"/>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14:paraId="0D76DAE8">
            <w:pPr>
              <w:snapToGrid w:val="0"/>
              <w:spacing w:before="120" w:after="120" w:afterLines="50" w:line="360" w:lineRule="auto"/>
              <w:jc w:val="center"/>
              <w:rPr>
                <w:rFonts w:hint="eastAsia" w:ascii="宋体" w:hAnsi="宋体" w:eastAsia="宋体" w:cs="宋体"/>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743E4905">
            <w:pPr>
              <w:snapToGrid w:val="0"/>
              <w:spacing w:before="120" w:after="120" w:afterLines="50" w:line="360" w:lineRule="auto"/>
              <w:jc w:val="center"/>
              <w:rPr>
                <w:rFonts w:hint="eastAsia" w:ascii="宋体" w:hAnsi="宋体" w:eastAsia="宋体" w:cs="宋体"/>
                <w:color w:val="000000"/>
                <w:sz w:val="24"/>
                <w:szCs w:val="24"/>
              </w:rPr>
            </w:pPr>
          </w:p>
        </w:tc>
        <w:tc>
          <w:tcPr>
            <w:tcW w:w="1430" w:type="dxa"/>
            <w:tcBorders>
              <w:top w:val="single" w:color="auto" w:sz="4" w:space="0"/>
              <w:left w:val="single" w:color="auto" w:sz="4" w:space="0"/>
              <w:bottom w:val="single" w:color="auto" w:sz="4" w:space="0"/>
              <w:right w:val="single" w:color="auto" w:sz="4" w:space="0"/>
            </w:tcBorders>
            <w:noWrap w:val="0"/>
            <w:vAlign w:val="center"/>
          </w:tcPr>
          <w:p w14:paraId="67F16CA7">
            <w:pPr>
              <w:snapToGrid w:val="0"/>
              <w:spacing w:before="120" w:after="120" w:afterLines="50" w:line="360" w:lineRule="auto"/>
              <w:jc w:val="center"/>
              <w:rPr>
                <w:rFonts w:hint="eastAsia" w:ascii="宋体" w:hAnsi="宋体" w:eastAsia="宋体" w:cs="宋体"/>
                <w:color w:val="000000"/>
                <w:sz w:val="24"/>
                <w:szCs w:val="24"/>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489FAD9B">
            <w:pPr>
              <w:snapToGrid w:val="0"/>
              <w:spacing w:before="120" w:after="120" w:afterLines="50" w:line="360" w:lineRule="auto"/>
              <w:jc w:val="center"/>
              <w:rPr>
                <w:rFonts w:hint="eastAsia" w:ascii="宋体" w:hAnsi="宋体" w:eastAsia="宋体" w:cs="宋体"/>
                <w:color w:val="000000"/>
                <w:sz w:val="24"/>
                <w:szCs w:val="24"/>
              </w:rPr>
            </w:pPr>
          </w:p>
        </w:tc>
      </w:tr>
    </w:tbl>
    <w:p w14:paraId="3DCEAF27">
      <w:pPr>
        <w:pStyle w:val="9"/>
        <w:keepNext w:val="0"/>
        <w:keepLines w:val="0"/>
        <w:pageBreakBefore w:val="0"/>
        <w:widowControl w:val="0"/>
        <w:kinsoku/>
        <w:wordWrap/>
        <w:overflowPunct/>
        <w:topLinePunct w:val="0"/>
        <w:autoSpaceDE/>
        <w:autoSpaceDN/>
        <w:bidi w:val="0"/>
        <w:adjustRightInd/>
        <w:snapToGrid w:val="0"/>
        <w:spacing w:before="157" w:beforeLines="50" w:after="10" w:line="460" w:lineRule="exact"/>
        <w:textAlignment w:val="auto"/>
        <w:rPr>
          <w:rFonts w:hint="eastAsia" w:ascii="宋体" w:hAnsi="宋体" w:eastAsia="宋体" w:cs="宋体"/>
          <w:color w:val="000000"/>
          <w:sz w:val="28"/>
          <w:szCs w:val="28"/>
        </w:rPr>
      </w:pPr>
      <w:r>
        <w:rPr>
          <w:rFonts w:hint="eastAsia" w:ascii="宋体" w:hAnsi="宋体" w:eastAsia="宋体" w:cs="宋体"/>
          <w:b/>
          <w:color w:val="000000"/>
          <w:sz w:val="24"/>
        </w:rPr>
        <w:t>注：投标人可按上述的格式自行编制，须随表提交相应类似业绩的合同</w:t>
      </w:r>
      <w:r>
        <w:rPr>
          <w:rFonts w:hint="eastAsia" w:ascii="宋体" w:hAnsi="宋体" w:eastAsia="宋体" w:cs="宋体"/>
          <w:b/>
          <w:color w:val="000000"/>
          <w:sz w:val="24"/>
          <w:lang w:eastAsia="zh-CN"/>
        </w:rPr>
        <w:t>扫描件或</w:t>
      </w:r>
      <w:r>
        <w:rPr>
          <w:rFonts w:hint="eastAsia" w:ascii="宋体" w:hAnsi="宋体" w:eastAsia="宋体" w:cs="宋体"/>
          <w:b/>
          <w:color w:val="000000"/>
          <w:sz w:val="24"/>
        </w:rPr>
        <w:t>复印件</w:t>
      </w:r>
      <w:r>
        <w:rPr>
          <w:rFonts w:hint="eastAsia" w:ascii="宋体" w:hAnsi="宋体" w:eastAsia="宋体" w:cs="宋体"/>
          <w:b/>
          <w:color w:val="auto"/>
          <w:sz w:val="24"/>
          <w:highlight w:val="none"/>
        </w:rPr>
        <w:t>并加盖投标人公章</w:t>
      </w:r>
      <w:r>
        <w:rPr>
          <w:rFonts w:hint="eastAsia" w:ascii="宋体" w:hAnsi="宋体" w:eastAsia="宋体" w:cs="宋体"/>
          <w:b/>
          <w:color w:val="000000"/>
          <w:sz w:val="24"/>
        </w:rPr>
        <w:t>。</w:t>
      </w:r>
    </w:p>
    <w:p w14:paraId="0CD8C014">
      <w:pPr>
        <w:spacing w:before="120"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p>
    <w:p w14:paraId="60076035">
      <w:pPr>
        <w:pStyle w:val="36"/>
        <w:snapToGrid w:val="0"/>
        <w:spacing w:before="120" w:line="360" w:lineRule="auto"/>
        <w:rPr>
          <w:rFonts w:hint="eastAsia" w:ascii="宋体" w:hAnsi="宋体" w:eastAsia="宋体" w:cs="宋体"/>
          <w:color w:val="000000"/>
          <w:szCs w:val="24"/>
        </w:rPr>
      </w:pPr>
      <w:r>
        <w:rPr>
          <w:rFonts w:hint="eastAsia" w:ascii="宋体" w:hAnsi="宋体" w:eastAsia="宋体" w:cs="宋体"/>
          <w:color w:val="000000"/>
          <w:szCs w:val="24"/>
        </w:rPr>
        <w:t>投标人全称（电子签章）：</w:t>
      </w:r>
      <w:r>
        <w:rPr>
          <w:rFonts w:hint="eastAsia" w:ascii="宋体" w:hAnsi="宋体" w:eastAsia="宋体" w:cs="宋体"/>
          <w:color w:val="000000"/>
          <w:szCs w:val="24"/>
          <w:u w:val="single"/>
        </w:rPr>
        <w:t xml:space="preserve">                         </w:t>
      </w:r>
    </w:p>
    <w:p w14:paraId="32F11238">
      <w:pPr>
        <w:snapToGrid w:val="0"/>
        <w:spacing w:before="120"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年    月    日</w:t>
      </w:r>
    </w:p>
    <w:p w14:paraId="0CE377A8">
      <w:pPr>
        <w:pStyle w:val="9"/>
        <w:snapToGrid w:val="0"/>
        <w:spacing w:line="360" w:lineRule="auto"/>
        <w:rPr>
          <w:rFonts w:hint="eastAsia" w:ascii="宋体" w:hAnsi="宋体" w:eastAsia="宋体" w:cs="宋体"/>
          <w:b/>
          <w:color w:val="auto"/>
          <w:sz w:val="24"/>
          <w:highlight w:val="none"/>
        </w:rPr>
      </w:pPr>
    </w:p>
    <w:p w14:paraId="758B50A0">
      <w:pPr>
        <w:pStyle w:val="13"/>
        <w:snapToGrid w:val="0"/>
        <w:spacing w:afterLines="0" w:line="240" w:lineRule="auto"/>
        <w:ind w:firstLine="557" w:firstLineChars="198"/>
        <w:jc w:val="center"/>
        <w:outlineLvl w:val="1"/>
        <w:rPr>
          <w:rFonts w:hint="eastAsia" w:ascii="宋体" w:hAnsi="宋体" w:eastAsia="宋体" w:cs="宋体"/>
          <w:b/>
          <w:color w:val="auto"/>
          <w:sz w:val="28"/>
          <w:szCs w:val="28"/>
          <w:highlight w:val="none"/>
        </w:rPr>
      </w:pPr>
    </w:p>
    <w:p w14:paraId="3D4696DA">
      <w:pPr>
        <w:pStyle w:val="13"/>
        <w:snapToGrid w:val="0"/>
        <w:spacing w:afterLines="0" w:line="240" w:lineRule="auto"/>
        <w:ind w:firstLine="557" w:firstLineChars="198"/>
        <w:jc w:val="center"/>
        <w:outlineLvl w:val="1"/>
        <w:rPr>
          <w:rFonts w:hint="eastAsia" w:ascii="宋体" w:hAnsi="宋体" w:eastAsia="宋体" w:cs="宋体"/>
          <w:b/>
          <w:color w:val="auto"/>
          <w:sz w:val="28"/>
          <w:szCs w:val="28"/>
          <w:highlight w:val="none"/>
        </w:rPr>
      </w:pPr>
    </w:p>
    <w:p w14:paraId="6B7CDC4F">
      <w:pPr>
        <w:snapToGrid w:val="0"/>
        <w:spacing w:before="120" w:after="50"/>
        <w:jc w:val="center"/>
        <w:rPr>
          <w:rFonts w:hint="eastAsia" w:ascii="宋体" w:hAnsi="宋体" w:eastAsia="宋体" w:cs="宋体"/>
          <w:b/>
          <w:color w:val="auto"/>
          <w:sz w:val="32"/>
          <w:szCs w:val="32"/>
        </w:rPr>
      </w:pPr>
    </w:p>
    <w:p w14:paraId="060AB6DA">
      <w:pPr>
        <w:snapToGrid w:val="0"/>
        <w:spacing w:before="120" w:after="5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本项目实施人员（主要从业人员及其技术资格）一览表</w:t>
      </w:r>
    </w:p>
    <w:p w14:paraId="70F78FFC">
      <w:pPr>
        <w:snapToGrid w:val="0"/>
        <w:spacing w:before="120" w:after="50"/>
        <w:jc w:val="center"/>
        <w:rPr>
          <w:rFonts w:hint="eastAsia" w:ascii="宋体" w:hAnsi="宋体" w:eastAsia="宋体" w:cs="宋体"/>
          <w:b/>
          <w:color w:val="auto"/>
          <w:sz w:val="24"/>
          <w:szCs w:val="24"/>
        </w:rPr>
      </w:pPr>
    </w:p>
    <w:p w14:paraId="4D56BA2E">
      <w:pPr>
        <w:spacing w:before="120"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2024年度富春湾集团国有资产评估中介机构招标项目</w:t>
      </w:r>
    </w:p>
    <w:p w14:paraId="055D00B6">
      <w:pPr>
        <w:pStyle w:val="18"/>
        <w:snapToGrid w:val="0"/>
        <w:spacing w:before="120" w:line="360" w:lineRule="auto"/>
        <w:ind w:left="480" w:hanging="480"/>
        <w:jc w:val="left"/>
        <w:rPr>
          <w:rFonts w:hint="eastAsia" w:ascii="宋体" w:hAnsi="宋体" w:eastAsia="宋体" w:cs="宋体"/>
          <w:b/>
          <w:color w:val="auto"/>
          <w:sz w:val="32"/>
          <w:szCs w:val="32"/>
        </w:rPr>
      </w:pPr>
      <w:r>
        <w:rPr>
          <w:rFonts w:hint="eastAsia" w:ascii="宋体" w:hAnsi="宋体" w:eastAsia="宋体" w:cs="宋体"/>
          <w:color w:val="auto"/>
          <w:sz w:val="24"/>
        </w:rPr>
        <w:t>项目编号：</w:t>
      </w:r>
      <w:r>
        <w:rPr>
          <w:rFonts w:hint="eastAsia" w:ascii="宋体" w:hAnsi="宋体" w:eastAsia="宋体" w:cs="宋体"/>
          <w:color w:val="auto"/>
          <w:sz w:val="24"/>
          <w:lang w:eastAsia="zh-CN"/>
        </w:rPr>
        <w:t>FCW20240046-1</w:t>
      </w:r>
      <w:r>
        <w:rPr>
          <w:rFonts w:hint="eastAsia" w:ascii="宋体" w:hAnsi="宋体" w:eastAsia="宋体" w:cs="宋体"/>
          <w:b/>
          <w:color w:val="auto"/>
          <w:sz w:val="24"/>
        </w:rPr>
        <w:t xml:space="preserve">  </w:t>
      </w:r>
    </w:p>
    <w:tbl>
      <w:tblPr>
        <w:tblStyle w:val="24"/>
        <w:tblW w:w="956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929"/>
        <w:gridCol w:w="780"/>
        <w:gridCol w:w="1275"/>
        <w:gridCol w:w="1050"/>
        <w:gridCol w:w="1310"/>
        <w:gridCol w:w="1030"/>
        <w:gridCol w:w="1185"/>
        <w:gridCol w:w="1005"/>
      </w:tblGrid>
      <w:tr w14:paraId="53C6B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14:paraId="14866662">
            <w:pPr>
              <w:snapToGrid w:val="0"/>
              <w:spacing w:before="120" w:after="50" w:line="460" w:lineRule="exact"/>
              <w:jc w:val="center"/>
              <w:rPr>
                <w:rFonts w:hint="eastAsia" w:ascii="宋体" w:hAnsi="宋体" w:eastAsia="宋体" w:cs="宋体"/>
                <w:color w:val="auto"/>
                <w:szCs w:val="21"/>
              </w:rPr>
            </w:pPr>
            <w:r>
              <w:rPr>
                <w:rFonts w:hint="eastAsia" w:ascii="宋体" w:hAnsi="宋体" w:eastAsia="宋体" w:cs="宋体"/>
                <w:color w:val="auto"/>
                <w:szCs w:val="21"/>
              </w:rPr>
              <w:t>姓名</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559EAA55">
            <w:pPr>
              <w:snapToGrid w:val="0"/>
              <w:spacing w:before="120" w:after="50" w:line="460" w:lineRule="exact"/>
              <w:jc w:val="center"/>
              <w:rPr>
                <w:rFonts w:hint="eastAsia" w:ascii="宋体" w:hAnsi="宋体" w:eastAsia="宋体" w:cs="宋体"/>
                <w:color w:val="auto"/>
                <w:szCs w:val="21"/>
              </w:rPr>
            </w:pPr>
            <w:r>
              <w:rPr>
                <w:rFonts w:hint="eastAsia" w:ascii="宋体" w:hAnsi="宋体" w:eastAsia="宋体" w:cs="宋体"/>
                <w:color w:val="auto"/>
                <w:szCs w:val="21"/>
              </w:rPr>
              <w:t>专业及学历</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005DFBF">
            <w:pPr>
              <w:snapToGrid w:val="0"/>
              <w:spacing w:before="120" w:after="50" w:line="460" w:lineRule="exact"/>
              <w:jc w:val="center"/>
              <w:rPr>
                <w:rFonts w:hint="eastAsia" w:ascii="宋体" w:hAnsi="宋体" w:eastAsia="宋体" w:cs="宋体"/>
                <w:color w:val="auto"/>
                <w:szCs w:val="21"/>
              </w:rPr>
            </w:pPr>
            <w:r>
              <w:rPr>
                <w:rFonts w:hint="eastAsia" w:ascii="宋体" w:hAnsi="宋体" w:eastAsia="宋体" w:cs="宋体"/>
                <w:color w:val="auto"/>
                <w:szCs w:val="21"/>
              </w:rPr>
              <w:t>担任 职务</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4C7F9B1">
            <w:pPr>
              <w:snapToGrid w:val="0"/>
              <w:spacing w:before="120" w:after="50" w:line="460" w:lineRule="exact"/>
              <w:jc w:val="center"/>
              <w:rPr>
                <w:rFonts w:hint="eastAsia" w:ascii="宋体" w:hAnsi="宋体" w:eastAsia="宋体" w:cs="宋体"/>
                <w:color w:val="auto"/>
                <w:szCs w:val="21"/>
              </w:rPr>
            </w:pPr>
            <w:r>
              <w:rPr>
                <w:rFonts w:hint="eastAsia" w:ascii="宋体" w:hAnsi="宋体" w:eastAsia="宋体" w:cs="宋体"/>
                <w:color w:val="auto"/>
                <w:szCs w:val="21"/>
              </w:rPr>
              <w:t>职称或专业技术资格</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9354FB0">
            <w:pPr>
              <w:snapToGrid w:val="0"/>
              <w:spacing w:before="120" w:after="50" w:line="460" w:lineRule="exact"/>
              <w:jc w:val="center"/>
              <w:rPr>
                <w:rFonts w:hint="eastAsia" w:ascii="宋体" w:hAnsi="宋体" w:eastAsia="宋体" w:cs="宋体"/>
                <w:color w:val="auto"/>
                <w:szCs w:val="21"/>
              </w:rPr>
            </w:pPr>
            <w:r>
              <w:rPr>
                <w:rFonts w:hint="eastAsia" w:ascii="宋体" w:hAnsi="宋体" w:eastAsia="宋体" w:cs="宋体"/>
                <w:color w:val="auto"/>
                <w:szCs w:val="21"/>
              </w:rPr>
              <w:t>资质证书编号</w:t>
            </w:r>
          </w:p>
        </w:tc>
        <w:tc>
          <w:tcPr>
            <w:tcW w:w="1310" w:type="dxa"/>
            <w:tcBorders>
              <w:top w:val="single" w:color="auto" w:sz="4" w:space="0"/>
              <w:left w:val="single" w:color="auto" w:sz="4" w:space="0"/>
              <w:bottom w:val="single" w:color="auto" w:sz="4" w:space="0"/>
              <w:right w:val="single" w:color="auto" w:sz="4" w:space="0"/>
            </w:tcBorders>
            <w:noWrap w:val="0"/>
            <w:vAlign w:val="center"/>
          </w:tcPr>
          <w:p w14:paraId="1AC8ADAF">
            <w:pPr>
              <w:snapToGrid w:val="0"/>
              <w:spacing w:before="120" w:after="50" w:line="460" w:lineRule="exact"/>
              <w:jc w:val="center"/>
              <w:rPr>
                <w:rFonts w:hint="eastAsia" w:ascii="宋体" w:hAnsi="宋体" w:eastAsia="宋体" w:cs="宋体"/>
                <w:color w:val="auto"/>
                <w:szCs w:val="21"/>
              </w:rPr>
            </w:pPr>
            <w:r>
              <w:rPr>
                <w:rFonts w:hint="eastAsia" w:ascii="宋体" w:hAnsi="宋体" w:eastAsia="宋体" w:cs="宋体"/>
                <w:color w:val="auto"/>
                <w:szCs w:val="21"/>
              </w:rPr>
              <w:t>参加本单位工作时间</w:t>
            </w:r>
          </w:p>
        </w:tc>
        <w:tc>
          <w:tcPr>
            <w:tcW w:w="1030" w:type="dxa"/>
            <w:tcBorders>
              <w:top w:val="single" w:color="auto" w:sz="4" w:space="0"/>
              <w:left w:val="single" w:color="auto" w:sz="4" w:space="0"/>
              <w:bottom w:val="single" w:color="auto" w:sz="4" w:space="0"/>
              <w:right w:val="single" w:color="auto" w:sz="4" w:space="0"/>
            </w:tcBorders>
            <w:noWrap w:val="0"/>
            <w:vAlign w:val="center"/>
          </w:tcPr>
          <w:p w14:paraId="2031E4A5">
            <w:pPr>
              <w:snapToGrid w:val="0"/>
              <w:spacing w:before="120" w:after="50" w:line="460" w:lineRule="exact"/>
              <w:jc w:val="center"/>
              <w:rPr>
                <w:rFonts w:hint="eastAsia" w:ascii="宋体" w:hAnsi="宋体" w:eastAsia="宋体" w:cs="宋体"/>
                <w:color w:val="auto"/>
                <w:szCs w:val="21"/>
              </w:rPr>
            </w:pPr>
            <w:r>
              <w:rPr>
                <w:rFonts w:hint="eastAsia" w:ascii="宋体" w:hAnsi="宋体" w:eastAsia="宋体" w:cs="宋体"/>
                <w:color w:val="auto"/>
                <w:szCs w:val="21"/>
              </w:rPr>
              <w:t>劳动合同编号</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654E7FA">
            <w:pPr>
              <w:snapToGrid w:val="0"/>
              <w:spacing w:before="120" w:after="50" w:line="460" w:lineRule="exact"/>
              <w:jc w:val="center"/>
              <w:rPr>
                <w:rFonts w:hint="eastAsia" w:ascii="宋体" w:hAnsi="宋体" w:eastAsia="宋体" w:cs="宋体"/>
                <w:bCs/>
                <w:color w:val="auto"/>
                <w:szCs w:val="21"/>
              </w:rPr>
            </w:pPr>
            <w:r>
              <w:rPr>
                <w:rFonts w:hint="eastAsia" w:ascii="宋体" w:hAnsi="宋体" w:eastAsia="宋体" w:cs="宋体"/>
                <w:bCs/>
                <w:color w:val="auto"/>
                <w:szCs w:val="21"/>
              </w:rPr>
              <w:t>本项目中的职责</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20E245F6">
            <w:pPr>
              <w:snapToGrid w:val="0"/>
              <w:spacing w:before="120" w:after="50" w:line="460" w:lineRule="exact"/>
              <w:jc w:val="center"/>
              <w:rPr>
                <w:rFonts w:hint="eastAsia" w:ascii="宋体" w:hAnsi="宋体" w:eastAsia="宋体" w:cs="宋体"/>
                <w:bCs/>
                <w:color w:val="auto"/>
                <w:szCs w:val="21"/>
              </w:rPr>
            </w:pPr>
            <w:r>
              <w:rPr>
                <w:rFonts w:hint="eastAsia" w:ascii="宋体" w:hAnsi="宋体" w:eastAsia="宋体" w:cs="宋体"/>
                <w:bCs/>
                <w:color w:val="auto"/>
                <w:szCs w:val="21"/>
              </w:rPr>
              <w:t>类似项目经历</w:t>
            </w:r>
          </w:p>
        </w:tc>
      </w:tr>
      <w:tr w14:paraId="22A05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5D829908">
            <w:pPr>
              <w:snapToGrid w:val="0"/>
              <w:spacing w:before="120" w:after="50" w:line="460" w:lineRule="exact"/>
              <w:rPr>
                <w:rFonts w:hint="eastAsia" w:ascii="宋体" w:hAnsi="宋体" w:eastAsia="宋体" w:cs="宋体"/>
                <w:color w:val="auto"/>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14:paraId="750AFBC2">
            <w:pPr>
              <w:snapToGrid w:val="0"/>
              <w:spacing w:before="120" w:after="50" w:line="460" w:lineRule="exact"/>
              <w:rPr>
                <w:rFonts w:hint="eastAsia" w:ascii="宋体" w:hAnsi="宋体" w:eastAsia="宋体" w:cs="宋体"/>
                <w:color w:val="auto"/>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4A402B9">
            <w:pPr>
              <w:snapToGrid w:val="0"/>
              <w:spacing w:before="120" w:after="50" w:line="460" w:lineRule="exact"/>
              <w:rPr>
                <w:rFonts w:hint="eastAsia" w:ascii="宋体" w:hAnsi="宋体" w:eastAsia="宋体" w:cs="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0781963">
            <w:pPr>
              <w:snapToGrid w:val="0"/>
              <w:spacing w:before="120" w:after="50" w:line="460" w:lineRule="exact"/>
              <w:rPr>
                <w:rFonts w:hint="eastAsia" w:ascii="宋体" w:hAnsi="宋体" w:eastAsia="宋体" w:cs="宋体"/>
                <w:color w:val="auto"/>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329172FE">
            <w:pPr>
              <w:snapToGrid w:val="0"/>
              <w:spacing w:before="120" w:after="50" w:line="460" w:lineRule="exact"/>
              <w:rPr>
                <w:rFonts w:hint="eastAsia" w:ascii="宋体" w:hAnsi="宋体" w:eastAsia="宋体" w:cs="宋体"/>
                <w:color w:val="auto"/>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14:paraId="37561421">
            <w:pPr>
              <w:snapToGrid w:val="0"/>
              <w:spacing w:before="120" w:after="50" w:line="460" w:lineRule="exact"/>
              <w:rPr>
                <w:rFonts w:hint="eastAsia" w:ascii="宋体" w:hAnsi="宋体" w:eastAsia="宋体" w:cs="宋体"/>
                <w:color w:val="auto"/>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14:paraId="68DCE7CA">
            <w:pPr>
              <w:snapToGrid w:val="0"/>
              <w:spacing w:before="120" w:after="50" w:line="460" w:lineRule="exact"/>
              <w:rPr>
                <w:rFonts w:hint="eastAsia" w:ascii="宋体" w:hAnsi="宋体" w:eastAsia="宋体" w:cs="宋体"/>
                <w:color w:val="auto"/>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6BFD37F1">
            <w:pPr>
              <w:snapToGrid w:val="0"/>
              <w:spacing w:before="120" w:after="50" w:line="460" w:lineRule="exact"/>
              <w:rPr>
                <w:rFonts w:hint="eastAsia" w:ascii="宋体" w:hAnsi="宋体" w:eastAsia="宋体" w:cs="宋体"/>
                <w:color w:val="auto"/>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37BC7E37">
            <w:pPr>
              <w:snapToGrid w:val="0"/>
              <w:spacing w:before="120" w:after="50" w:line="460" w:lineRule="exact"/>
              <w:rPr>
                <w:rFonts w:hint="eastAsia" w:ascii="宋体" w:hAnsi="宋体" w:eastAsia="宋体" w:cs="宋体"/>
                <w:color w:val="auto"/>
                <w:sz w:val="24"/>
                <w:szCs w:val="24"/>
              </w:rPr>
            </w:pPr>
          </w:p>
        </w:tc>
      </w:tr>
      <w:tr w14:paraId="59093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C1DA7E6">
            <w:pPr>
              <w:snapToGrid w:val="0"/>
              <w:spacing w:before="120" w:after="50" w:line="460" w:lineRule="exact"/>
              <w:rPr>
                <w:rFonts w:hint="eastAsia" w:ascii="宋体" w:hAnsi="宋体" w:eastAsia="宋体" w:cs="宋体"/>
                <w:color w:val="auto"/>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14:paraId="5A6DB92D">
            <w:pPr>
              <w:snapToGrid w:val="0"/>
              <w:spacing w:before="120" w:after="50" w:line="460" w:lineRule="exact"/>
              <w:rPr>
                <w:rFonts w:hint="eastAsia" w:ascii="宋体" w:hAnsi="宋体" w:eastAsia="宋体" w:cs="宋体"/>
                <w:color w:val="auto"/>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02D2658C">
            <w:pPr>
              <w:snapToGrid w:val="0"/>
              <w:spacing w:before="120" w:after="50" w:line="460" w:lineRule="exact"/>
              <w:rPr>
                <w:rFonts w:hint="eastAsia" w:ascii="宋体" w:hAnsi="宋体" w:eastAsia="宋体" w:cs="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687847">
            <w:pPr>
              <w:snapToGrid w:val="0"/>
              <w:spacing w:before="120" w:after="50" w:line="460" w:lineRule="exact"/>
              <w:rPr>
                <w:rFonts w:hint="eastAsia" w:ascii="宋体" w:hAnsi="宋体" w:eastAsia="宋体" w:cs="宋体"/>
                <w:color w:val="auto"/>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090974DA">
            <w:pPr>
              <w:snapToGrid w:val="0"/>
              <w:spacing w:before="120" w:after="50" w:line="460" w:lineRule="exact"/>
              <w:rPr>
                <w:rFonts w:hint="eastAsia" w:ascii="宋体" w:hAnsi="宋体" w:eastAsia="宋体" w:cs="宋体"/>
                <w:color w:val="auto"/>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14:paraId="26E50270">
            <w:pPr>
              <w:snapToGrid w:val="0"/>
              <w:spacing w:before="120" w:after="50" w:line="460" w:lineRule="exact"/>
              <w:rPr>
                <w:rFonts w:hint="eastAsia" w:ascii="宋体" w:hAnsi="宋体" w:eastAsia="宋体" w:cs="宋体"/>
                <w:color w:val="auto"/>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14:paraId="2C96837D">
            <w:pPr>
              <w:snapToGrid w:val="0"/>
              <w:spacing w:before="120" w:after="50" w:line="460" w:lineRule="exact"/>
              <w:rPr>
                <w:rFonts w:hint="eastAsia" w:ascii="宋体" w:hAnsi="宋体" w:eastAsia="宋体" w:cs="宋体"/>
                <w:color w:val="auto"/>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718DAD60">
            <w:pPr>
              <w:snapToGrid w:val="0"/>
              <w:spacing w:before="120" w:after="50" w:line="460" w:lineRule="exact"/>
              <w:rPr>
                <w:rFonts w:hint="eastAsia" w:ascii="宋体" w:hAnsi="宋体" w:eastAsia="宋体" w:cs="宋体"/>
                <w:color w:val="auto"/>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2C1767C3">
            <w:pPr>
              <w:snapToGrid w:val="0"/>
              <w:spacing w:before="120" w:after="50" w:line="460" w:lineRule="exact"/>
              <w:rPr>
                <w:rFonts w:hint="eastAsia" w:ascii="宋体" w:hAnsi="宋体" w:eastAsia="宋体" w:cs="宋体"/>
                <w:color w:val="auto"/>
                <w:sz w:val="24"/>
                <w:szCs w:val="24"/>
              </w:rPr>
            </w:pPr>
          </w:p>
        </w:tc>
      </w:tr>
      <w:tr w14:paraId="10A40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467BC356">
            <w:pPr>
              <w:snapToGrid w:val="0"/>
              <w:spacing w:before="120" w:after="50" w:line="460" w:lineRule="exact"/>
              <w:rPr>
                <w:rFonts w:hint="eastAsia" w:ascii="宋体" w:hAnsi="宋体" w:eastAsia="宋体" w:cs="宋体"/>
                <w:color w:val="auto"/>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14:paraId="5DA4228B">
            <w:pPr>
              <w:snapToGrid w:val="0"/>
              <w:spacing w:before="120" w:after="50" w:line="460" w:lineRule="exact"/>
              <w:rPr>
                <w:rFonts w:hint="eastAsia" w:ascii="宋体" w:hAnsi="宋体" w:eastAsia="宋体" w:cs="宋体"/>
                <w:color w:val="auto"/>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2278629">
            <w:pPr>
              <w:snapToGrid w:val="0"/>
              <w:spacing w:before="120" w:after="50" w:line="460" w:lineRule="exact"/>
              <w:rPr>
                <w:rFonts w:hint="eastAsia" w:ascii="宋体" w:hAnsi="宋体" w:eastAsia="宋体" w:cs="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A49485D">
            <w:pPr>
              <w:pStyle w:val="14"/>
              <w:snapToGrid w:val="0"/>
              <w:spacing w:before="120" w:after="50" w:line="460" w:lineRule="exact"/>
              <w:ind w:left="5250"/>
              <w:rPr>
                <w:rFonts w:hint="eastAsia" w:ascii="宋体" w:hAnsi="宋体" w:eastAsia="宋体" w:cs="宋体"/>
                <w:color w:val="auto"/>
                <w:kern w:val="2"/>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666063C4">
            <w:pPr>
              <w:snapToGrid w:val="0"/>
              <w:spacing w:before="120" w:after="50" w:line="460" w:lineRule="exact"/>
              <w:rPr>
                <w:rFonts w:hint="eastAsia" w:ascii="宋体" w:hAnsi="宋体" w:eastAsia="宋体" w:cs="宋体"/>
                <w:color w:val="auto"/>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14:paraId="54F76587">
            <w:pPr>
              <w:snapToGrid w:val="0"/>
              <w:spacing w:before="120" w:after="50" w:line="460" w:lineRule="exact"/>
              <w:rPr>
                <w:rFonts w:hint="eastAsia" w:ascii="宋体" w:hAnsi="宋体" w:eastAsia="宋体" w:cs="宋体"/>
                <w:color w:val="auto"/>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14:paraId="40AE306A">
            <w:pPr>
              <w:snapToGrid w:val="0"/>
              <w:spacing w:before="120" w:after="50" w:line="460" w:lineRule="exact"/>
              <w:rPr>
                <w:rFonts w:hint="eastAsia" w:ascii="宋体" w:hAnsi="宋体" w:eastAsia="宋体" w:cs="宋体"/>
                <w:color w:val="auto"/>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0870C1D5">
            <w:pPr>
              <w:snapToGrid w:val="0"/>
              <w:spacing w:before="120" w:after="50" w:line="460" w:lineRule="exact"/>
              <w:rPr>
                <w:rFonts w:hint="eastAsia" w:ascii="宋体" w:hAnsi="宋体" w:eastAsia="宋体" w:cs="宋体"/>
                <w:color w:val="auto"/>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3BCC12EA">
            <w:pPr>
              <w:snapToGrid w:val="0"/>
              <w:spacing w:before="120" w:after="50" w:line="460" w:lineRule="exact"/>
              <w:rPr>
                <w:rFonts w:hint="eastAsia" w:ascii="宋体" w:hAnsi="宋体" w:eastAsia="宋体" w:cs="宋体"/>
                <w:color w:val="auto"/>
                <w:sz w:val="24"/>
                <w:szCs w:val="24"/>
              </w:rPr>
            </w:pPr>
          </w:p>
        </w:tc>
      </w:tr>
      <w:tr w14:paraId="3B09F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E1FCB6C">
            <w:pPr>
              <w:snapToGrid w:val="0"/>
              <w:spacing w:before="120" w:after="50" w:line="460" w:lineRule="exact"/>
              <w:rPr>
                <w:rFonts w:hint="eastAsia" w:ascii="宋体" w:hAnsi="宋体" w:eastAsia="宋体" w:cs="宋体"/>
                <w:color w:val="auto"/>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14:paraId="06FB61D9">
            <w:pPr>
              <w:snapToGrid w:val="0"/>
              <w:spacing w:before="120" w:after="50" w:line="460" w:lineRule="exact"/>
              <w:rPr>
                <w:rFonts w:hint="eastAsia" w:ascii="宋体" w:hAnsi="宋体" w:eastAsia="宋体" w:cs="宋体"/>
                <w:color w:val="auto"/>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48DD5588">
            <w:pPr>
              <w:snapToGrid w:val="0"/>
              <w:spacing w:before="120" w:after="50" w:line="460" w:lineRule="exact"/>
              <w:rPr>
                <w:rFonts w:hint="eastAsia" w:ascii="宋体" w:hAnsi="宋体" w:eastAsia="宋体" w:cs="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DB17312">
            <w:pPr>
              <w:snapToGrid w:val="0"/>
              <w:spacing w:before="120" w:after="50" w:line="460" w:lineRule="exact"/>
              <w:rPr>
                <w:rFonts w:hint="eastAsia" w:ascii="宋体" w:hAnsi="宋体" w:eastAsia="宋体" w:cs="宋体"/>
                <w:color w:val="auto"/>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11646F46">
            <w:pPr>
              <w:snapToGrid w:val="0"/>
              <w:spacing w:before="120" w:after="50" w:line="460" w:lineRule="exact"/>
              <w:rPr>
                <w:rFonts w:hint="eastAsia" w:ascii="宋体" w:hAnsi="宋体" w:eastAsia="宋体" w:cs="宋体"/>
                <w:color w:val="auto"/>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14:paraId="65CEB5EF">
            <w:pPr>
              <w:snapToGrid w:val="0"/>
              <w:spacing w:before="120" w:after="50" w:line="460" w:lineRule="exact"/>
              <w:rPr>
                <w:rFonts w:hint="eastAsia" w:ascii="宋体" w:hAnsi="宋体" w:eastAsia="宋体" w:cs="宋体"/>
                <w:color w:val="auto"/>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14:paraId="758583F0">
            <w:pPr>
              <w:snapToGrid w:val="0"/>
              <w:spacing w:before="120" w:after="50" w:line="460" w:lineRule="exact"/>
              <w:rPr>
                <w:rFonts w:hint="eastAsia" w:ascii="宋体" w:hAnsi="宋体" w:eastAsia="宋体" w:cs="宋体"/>
                <w:color w:val="auto"/>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6E504D8B">
            <w:pPr>
              <w:snapToGrid w:val="0"/>
              <w:spacing w:before="120" w:after="50" w:line="460" w:lineRule="exact"/>
              <w:rPr>
                <w:rFonts w:hint="eastAsia" w:ascii="宋体" w:hAnsi="宋体" w:eastAsia="宋体" w:cs="宋体"/>
                <w:color w:val="auto"/>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5AE72DC7">
            <w:pPr>
              <w:snapToGrid w:val="0"/>
              <w:spacing w:before="120" w:after="50" w:line="460" w:lineRule="exact"/>
              <w:rPr>
                <w:rFonts w:hint="eastAsia" w:ascii="宋体" w:hAnsi="宋体" w:eastAsia="宋体" w:cs="宋体"/>
                <w:color w:val="auto"/>
                <w:sz w:val="24"/>
                <w:szCs w:val="24"/>
              </w:rPr>
            </w:pPr>
          </w:p>
        </w:tc>
      </w:tr>
      <w:tr w14:paraId="5981EE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F469986">
            <w:pPr>
              <w:snapToGrid w:val="0"/>
              <w:spacing w:before="120" w:after="50" w:line="460" w:lineRule="exact"/>
              <w:rPr>
                <w:rFonts w:hint="eastAsia" w:ascii="宋体" w:hAnsi="宋体" w:eastAsia="宋体" w:cs="宋体"/>
                <w:color w:val="auto"/>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14:paraId="1B7923F3">
            <w:pPr>
              <w:snapToGrid w:val="0"/>
              <w:spacing w:before="120" w:after="50" w:line="460" w:lineRule="exact"/>
              <w:rPr>
                <w:rFonts w:hint="eastAsia" w:ascii="宋体" w:hAnsi="宋体" w:eastAsia="宋体" w:cs="宋体"/>
                <w:color w:val="auto"/>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1539ADCA">
            <w:pPr>
              <w:snapToGrid w:val="0"/>
              <w:spacing w:before="120" w:after="50" w:line="460" w:lineRule="exact"/>
              <w:rPr>
                <w:rFonts w:hint="eastAsia" w:ascii="宋体" w:hAnsi="宋体" w:eastAsia="宋体" w:cs="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2C3D30">
            <w:pPr>
              <w:snapToGrid w:val="0"/>
              <w:spacing w:before="120" w:after="50" w:line="460" w:lineRule="exact"/>
              <w:rPr>
                <w:rFonts w:hint="eastAsia" w:ascii="宋体" w:hAnsi="宋体" w:eastAsia="宋体" w:cs="宋体"/>
                <w:color w:val="auto"/>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0D2C739F">
            <w:pPr>
              <w:snapToGrid w:val="0"/>
              <w:spacing w:before="120" w:after="50" w:line="460" w:lineRule="exact"/>
              <w:rPr>
                <w:rFonts w:hint="eastAsia" w:ascii="宋体" w:hAnsi="宋体" w:eastAsia="宋体" w:cs="宋体"/>
                <w:color w:val="auto"/>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14:paraId="08423D17">
            <w:pPr>
              <w:snapToGrid w:val="0"/>
              <w:spacing w:before="120" w:after="50" w:line="460" w:lineRule="exact"/>
              <w:rPr>
                <w:rFonts w:hint="eastAsia" w:ascii="宋体" w:hAnsi="宋体" w:eastAsia="宋体" w:cs="宋体"/>
                <w:color w:val="auto"/>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14:paraId="53C6FCAA">
            <w:pPr>
              <w:snapToGrid w:val="0"/>
              <w:spacing w:before="120" w:after="50" w:line="460" w:lineRule="exact"/>
              <w:rPr>
                <w:rFonts w:hint="eastAsia" w:ascii="宋体" w:hAnsi="宋体" w:eastAsia="宋体" w:cs="宋体"/>
                <w:color w:val="auto"/>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04F65397">
            <w:pPr>
              <w:snapToGrid w:val="0"/>
              <w:spacing w:before="120" w:after="50" w:line="460" w:lineRule="exact"/>
              <w:rPr>
                <w:rFonts w:hint="eastAsia" w:ascii="宋体" w:hAnsi="宋体" w:eastAsia="宋体" w:cs="宋体"/>
                <w:color w:val="auto"/>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7A843C70">
            <w:pPr>
              <w:snapToGrid w:val="0"/>
              <w:spacing w:before="120" w:after="50" w:line="460" w:lineRule="exact"/>
              <w:rPr>
                <w:rFonts w:hint="eastAsia" w:ascii="宋体" w:hAnsi="宋体" w:eastAsia="宋体" w:cs="宋体"/>
                <w:color w:val="auto"/>
                <w:sz w:val="24"/>
                <w:szCs w:val="24"/>
              </w:rPr>
            </w:pPr>
          </w:p>
        </w:tc>
      </w:tr>
      <w:tr w14:paraId="3F270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19378879">
            <w:pPr>
              <w:snapToGrid w:val="0"/>
              <w:spacing w:before="120" w:after="50" w:line="460" w:lineRule="exact"/>
              <w:rPr>
                <w:rFonts w:hint="eastAsia" w:ascii="宋体" w:hAnsi="宋体" w:eastAsia="宋体" w:cs="宋体"/>
                <w:color w:val="auto"/>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14:paraId="14594336">
            <w:pPr>
              <w:snapToGrid w:val="0"/>
              <w:spacing w:before="120" w:after="50" w:line="460" w:lineRule="exact"/>
              <w:rPr>
                <w:rFonts w:hint="eastAsia" w:ascii="宋体" w:hAnsi="宋体" w:eastAsia="宋体" w:cs="宋体"/>
                <w:color w:val="auto"/>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78FF6AB4">
            <w:pPr>
              <w:snapToGrid w:val="0"/>
              <w:spacing w:before="120" w:after="50" w:line="460" w:lineRule="exact"/>
              <w:rPr>
                <w:rFonts w:hint="eastAsia" w:ascii="宋体" w:hAnsi="宋体" w:eastAsia="宋体" w:cs="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C55F339">
            <w:pPr>
              <w:snapToGrid w:val="0"/>
              <w:spacing w:before="120" w:after="50" w:line="460" w:lineRule="exact"/>
              <w:rPr>
                <w:rFonts w:hint="eastAsia" w:ascii="宋体" w:hAnsi="宋体" w:eastAsia="宋体" w:cs="宋体"/>
                <w:color w:val="auto"/>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59EC244E">
            <w:pPr>
              <w:snapToGrid w:val="0"/>
              <w:spacing w:before="120" w:after="50" w:line="460" w:lineRule="exact"/>
              <w:rPr>
                <w:rFonts w:hint="eastAsia" w:ascii="宋体" w:hAnsi="宋体" w:eastAsia="宋体" w:cs="宋体"/>
                <w:color w:val="auto"/>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14:paraId="65EF0C3C">
            <w:pPr>
              <w:snapToGrid w:val="0"/>
              <w:spacing w:before="120" w:after="50" w:line="460" w:lineRule="exact"/>
              <w:rPr>
                <w:rFonts w:hint="eastAsia" w:ascii="宋体" w:hAnsi="宋体" w:eastAsia="宋体" w:cs="宋体"/>
                <w:color w:val="auto"/>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14:paraId="344881B1">
            <w:pPr>
              <w:snapToGrid w:val="0"/>
              <w:spacing w:before="120" w:after="50" w:line="460" w:lineRule="exact"/>
              <w:rPr>
                <w:rFonts w:hint="eastAsia" w:ascii="宋体" w:hAnsi="宋体" w:eastAsia="宋体" w:cs="宋体"/>
                <w:color w:val="auto"/>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7AF032B6">
            <w:pPr>
              <w:snapToGrid w:val="0"/>
              <w:spacing w:before="120" w:after="50" w:line="460" w:lineRule="exact"/>
              <w:rPr>
                <w:rFonts w:hint="eastAsia" w:ascii="宋体" w:hAnsi="宋体" w:eastAsia="宋体" w:cs="宋体"/>
                <w:color w:val="auto"/>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4DD77C01">
            <w:pPr>
              <w:snapToGrid w:val="0"/>
              <w:spacing w:before="120" w:after="50" w:line="460" w:lineRule="exact"/>
              <w:rPr>
                <w:rFonts w:hint="eastAsia" w:ascii="宋体" w:hAnsi="宋体" w:eastAsia="宋体" w:cs="宋体"/>
                <w:color w:val="auto"/>
                <w:sz w:val="24"/>
                <w:szCs w:val="24"/>
              </w:rPr>
            </w:pPr>
          </w:p>
        </w:tc>
      </w:tr>
      <w:tr w14:paraId="3745F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AE795E7">
            <w:pPr>
              <w:snapToGrid w:val="0"/>
              <w:spacing w:before="120" w:after="50" w:line="460" w:lineRule="exact"/>
              <w:rPr>
                <w:rFonts w:hint="eastAsia" w:ascii="宋体" w:hAnsi="宋体" w:eastAsia="宋体" w:cs="宋体"/>
                <w:color w:val="auto"/>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14:paraId="3C6D080B">
            <w:pPr>
              <w:snapToGrid w:val="0"/>
              <w:spacing w:before="120" w:after="50" w:line="460" w:lineRule="exact"/>
              <w:rPr>
                <w:rFonts w:hint="eastAsia" w:ascii="宋体" w:hAnsi="宋体" w:eastAsia="宋体" w:cs="宋体"/>
                <w:color w:val="auto"/>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2C33F487">
            <w:pPr>
              <w:snapToGrid w:val="0"/>
              <w:spacing w:before="120" w:after="50" w:line="460" w:lineRule="exact"/>
              <w:rPr>
                <w:rFonts w:hint="eastAsia" w:ascii="宋体" w:hAnsi="宋体" w:eastAsia="宋体" w:cs="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5FD6B46">
            <w:pPr>
              <w:snapToGrid w:val="0"/>
              <w:spacing w:before="120" w:after="50" w:line="460" w:lineRule="exact"/>
              <w:rPr>
                <w:rFonts w:hint="eastAsia" w:ascii="宋体" w:hAnsi="宋体" w:eastAsia="宋体" w:cs="宋体"/>
                <w:color w:val="auto"/>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64E97F7E">
            <w:pPr>
              <w:snapToGrid w:val="0"/>
              <w:spacing w:before="120" w:after="50" w:line="460" w:lineRule="exact"/>
              <w:rPr>
                <w:rFonts w:hint="eastAsia" w:ascii="宋体" w:hAnsi="宋体" w:eastAsia="宋体" w:cs="宋体"/>
                <w:color w:val="auto"/>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14:paraId="2CCEA1C9">
            <w:pPr>
              <w:snapToGrid w:val="0"/>
              <w:spacing w:before="120" w:after="50" w:line="460" w:lineRule="exact"/>
              <w:rPr>
                <w:rFonts w:hint="eastAsia" w:ascii="宋体" w:hAnsi="宋体" w:eastAsia="宋体" w:cs="宋体"/>
                <w:color w:val="auto"/>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14:paraId="4092BEE1">
            <w:pPr>
              <w:snapToGrid w:val="0"/>
              <w:spacing w:before="120" w:after="50" w:line="460" w:lineRule="exact"/>
              <w:rPr>
                <w:rFonts w:hint="eastAsia" w:ascii="宋体" w:hAnsi="宋体" w:eastAsia="宋体" w:cs="宋体"/>
                <w:color w:val="auto"/>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51FCBBF3">
            <w:pPr>
              <w:snapToGrid w:val="0"/>
              <w:spacing w:before="120" w:after="50" w:line="460" w:lineRule="exact"/>
              <w:rPr>
                <w:rFonts w:hint="eastAsia" w:ascii="宋体" w:hAnsi="宋体" w:eastAsia="宋体" w:cs="宋体"/>
                <w:color w:val="auto"/>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5228F930">
            <w:pPr>
              <w:snapToGrid w:val="0"/>
              <w:spacing w:before="120" w:after="50" w:line="460" w:lineRule="exact"/>
              <w:rPr>
                <w:rFonts w:hint="eastAsia" w:ascii="宋体" w:hAnsi="宋体" w:eastAsia="宋体" w:cs="宋体"/>
                <w:color w:val="auto"/>
                <w:sz w:val="24"/>
                <w:szCs w:val="24"/>
              </w:rPr>
            </w:pPr>
          </w:p>
        </w:tc>
      </w:tr>
      <w:tr w14:paraId="1B056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0E99F13F">
            <w:pPr>
              <w:snapToGrid w:val="0"/>
              <w:spacing w:before="120" w:after="50" w:line="460" w:lineRule="exact"/>
              <w:rPr>
                <w:rFonts w:hint="eastAsia" w:ascii="宋体" w:hAnsi="宋体" w:eastAsia="宋体" w:cs="宋体"/>
                <w:color w:val="auto"/>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14:paraId="59648568">
            <w:pPr>
              <w:snapToGrid w:val="0"/>
              <w:spacing w:before="120" w:after="50" w:line="460" w:lineRule="exact"/>
              <w:rPr>
                <w:rFonts w:hint="eastAsia" w:ascii="宋体" w:hAnsi="宋体" w:eastAsia="宋体" w:cs="宋体"/>
                <w:color w:val="auto"/>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35F4A80F">
            <w:pPr>
              <w:snapToGrid w:val="0"/>
              <w:spacing w:before="120" w:after="50" w:line="460" w:lineRule="exact"/>
              <w:rPr>
                <w:rFonts w:hint="eastAsia" w:ascii="宋体" w:hAnsi="宋体" w:eastAsia="宋体" w:cs="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5987741">
            <w:pPr>
              <w:snapToGrid w:val="0"/>
              <w:spacing w:before="120" w:after="50" w:line="460" w:lineRule="exact"/>
              <w:rPr>
                <w:rFonts w:hint="eastAsia" w:ascii="宋体" w:hAnsi="宋体" w:eastAsia="宋体" w:cs="宋体"/>
                <w:color w:val="auto"/>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25D4592A">
            <w:pPr>
              <w:snapToGrid w:val="0"/>
              <w:spacing w:before="120" w:after="50" w:line="460" w:lineRule="exact"/>
              <w:rPr>
                <w:rFonts w:hint="eastAsia" w:ascii="宋体" w:hAnsi="宋体" w:eastAsia="宋体" w:cs="宋体"/>
                <w:color w:val="auto"/>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14:paraId="3CED3483">
            <w:pPr>
              <w:snapToGrid w:val="0"/>
              <w:spacing w:before="120" w:after="50" w:line="460" w:lineRule="exact"/>
              <w:rPr>
                <w:rFonts w:hint="eastAsia" w:ascii="宋体" w:hAnsi="宋体" w:eastAsia="宋体" w:cs="宋体"/>
                <w:color w:val="auto"/>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14:paraId="2D44E312">
            <w:pPr>
              <w:snapToGrid w:val="0"/>
              <w:spacing w:before="120" w:after="50" w:line="460" w:lineRule="exact"/>
              <w:rPr>
                <w:rFonts w:hint="eastAsia" w:ascii="宋体" w:hAnsi="宋体" w:eastAsia="宋体" w:cs="宋体"/>
                <w:color w:val="auto"/>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2BCA4AA9">
            <w:pPr>
              <w:snapToGrid w:val="0"/>
              <w:spacing w:before="120" w:after="50" w:line="460" w:lineRule="exact"/>
              <w:rPr>
                <w:rFonts w:hint="eastAsia" w:ascii="宋体" w:hAnsi="宋体" w:eastAsia="宋体" w:cs="宋体"/>
                <w:color w:val="auto"/>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134770F2">
            <w:pPr>
              <w:snapToGrid w:val="0"/>
              <w:spacing w:before="120" w:after="50" w:line="460" w:lineRule="exact"/>
              <w:rPr>
                <w:rFonts w:hint="eastAsia" w:ascii="宋体" w:hAnsi="宋体" w:eastAsia="宋体" w:cs="宋体"/>
                <w:color w:val="auto"/>
                <w:sz w:val="24"/>
                <w:szCs w:val="24"/>
              </w:rPr>
            </w:pPr>
          </w:p>
        </w:tc>
      </w:tr>
      <w:tr w14:paraId="158470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14:paraId="5D491003">
            <w:pPr>
              <w:snapToGrid w:val="0"/>
              <w:spacing w:before="120" w:after="50" w:line="460" w:lineRule="exact"/>
              <w:rPr>
                <w:rFonts w:hint="eastAsia" w:ascii="宋体" w:hAnsi="宋体" w:eastAsia="宋体" w:cs="宋体"/>
                <w:color w:val="auto"/>
                <w:sz w:val="24"/>
                <w:szCs w:val="24"/>
              </w:rPr>
            </w:pPr>
          </w:p>
        </w:tc>
        <w:tc>
          <w:tcPr>
            <w:tcW w:w="929" w:type="dxa"/>
            <w:tcBorders>
              <w:top w:val="single" w:color="auto" w:sz="4" w:space="0"/>
              <w:left w:val="single" w:color="auto" w:sz="4" w:space="0"/>
              <w:bottom w:val="single" w:color="auto" w:sz="4" w:space="0"/>
              <w:right w:val="single" w:color="auto" w:sz="4" w:space="0"/>
            </w:tcBorders>
            <w:noWrap w:val="0"/>
            <w:vAlign w:val="top"/>
          </w:tcPr>
          <w:p w14:paraId="3C2ACFFE">
            <w:pPr>
              <w:snapToGrid w:val="0"/>
              <w:spacing w:before="120" w:after="50" w:line="460" w:lineRule="exact"/>
              <w:rPr>
                <w:rFonts w:hint="eastAsia" w:ascii="宋体" w:hAnsi="宋体" w:eastAsia="宋体" w:cs="宋体"/>
                <w:color w:val="auto"/>
                <w:sz w:val="24"/>
                <w:szCs w:val="24"/>
              </w:rPr>
            </w:pPr>
          </w:p>
        </w:tc>
        <w:tc>
          <w:tcPr>
            <w:tcW w:w="780" w:type="dxa"/>
            <w:tcBorders>
              <w:top w:val="single" w:color="auto" w:sz="4" w:space="0"/>
              <w:left w:val="single" w:color="auto" w:sz="4" w:space="0"/>
              <w:bottom w:val="single" w:color="auto" w:sz="4" w:space="0"/>
              <w:right w:val="single" w:color="auto" w:sz="4" w:space="0"/>
            </w:tcBorders>
            <w:noWrap w:val="0"/>
            <w:vAlign w:val="top"/>
          </w:tcPr>
          <w:p w14:paraId="5DE7B485">
            <w:pPr>
              <w:snapToGrid w:val="0"/>
              <w:spacing w:before="120" w:after="50" w:line="460" w:lineRule="exact"/>
              <w:rPr>
                <w:rFonts w:hint="eastAsia" w:ascii="宋体" w:hAnsi="宋体" w:eastAsia="宋体" w:cs="宋体"/>
                <w:color w:val="auto"/>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C0D678A">
            <w:pPr>
              <w:snapToGrid w:val="0"/>
              <w:spacing w:before="120" w:after="50" w:line="460" w:lineRule="exact"/>
              <w:rPr>
                <w:rFonts w:hint="eastAsia" w:ascii="宋体" w:hAnsi="宋体" w:eastAsia="宋体" w:cs="宋体"/>
                <w:color w:val="auto"/>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4A88F52A">
            <w:pPr>
              <w:snapToGrid w:val="0"/>
              <w:spacing w:before="120" w:after="50" w:line="460" w:lineRule="exact"/>
              <w:rPr>
                <w:rFonts w:hint="eastAsia" w:ascii="宋体" w:hAnsi="宋体" w:eastAsia="宋体" w:cs="宋体"/>
                <w:color w:val="auto"/>
                <w:sz w:val="24"/>
                <w:szCs w:val="24"/>
              </w:rPr>
            </w:pPr>
          </w:p>
        </w:tc>
        <w:tc>
          <w:tcPr>
            <w:tcW w:w="1310" w:type="dxa"/>
            <w:tcBorders>
              <w:top w:val="single" w:color="auto" w:sz="4" w:space="0"/>
              <w:left w:val="single" w:color="auto" w:sz="4" w:space="0"/>
              <w:bottom w:val="single" w:color="auto" w:sz="4" w:space="0"/>
              <w:right w:val="single" w:color="auto" w:sz="4" w:space="0"/>
            </w:tcBorders>
            <w:noWrap w:val="0"/>
            <w:vAlign w:val="top"/>
          </w:tcPr>
          <w:p w14:paraId="7FCDB8D8">
            <w:pPr>
              <w:snapToGrid w:val="0"/>
              <w:spacing w:before="120" w:after="50" w:line="460" w:lineRule="exact"/>
              <w:rPr>
                <w:rFonts w:hint="eastAsia" w:ascii="宋体" w:hAnsi="宋体" w:eastAsia="宋体" w:cs="宋体"/>
                <w:color w:val="auto"/>
                <w:sz w:val="24"/>
                <w:szCs w:val="24"/>
              </w:rPr>
            </w:pPr>
          </w:p>
        </w:tc>
        <w:tc>
          <w:tcPr>
            <w:tcW w:w="1030" w:type="dxa"/>
            <w:tcBorders>
              <w:top w:val="single" w:color="auto" w:sz="4" w:space="0"/>
              <w:left w:val="single" w:color="auto" w:sz="4" w:space="0"/>
              <w:bottom w:val="single" w:color="auto" w:sz="4" w:space="0"/>
              <w:right w:val="single" w:color="auto" w:sz="4" w:space="0"/>
            </w:tcBorders>
            <w:noWrap w:val="0"/>
            <w:vAlign w:val="top"/>
          </w:tcPr>
          <w:p w14:paraId="259AC817">
            <w:pPr>
              <w:snapToGrid w:val="0"/>
              <w:spacing w:before="120" w:after="50" w:line="460" w:lineRule="exact"/>
              <w:rPr>
                <w:rFonts w:hint="eastAsia" w:ascii="宋体" w:hAnsi="宋体" w:eastAsia="宋体" w:cs="宋体"/>
                <w:color w:val="auto"/>
                <w:sz w:val="24"/>
                <w:szCs w:val="24"/>
              </w:rPr>
            </w:pPr>
          </w:p>
        </w:tc>
        <w:tc>
          <w:tcPr>
            <w:tcW w:w="1185" w:type="dxa"/>
            <w:tcBorders>
              <w:top w:val="single" w:color="auto" w:sz="4" w:space="0"/>
              <w:left w:val="single" w:color="auto" w:sz="4" w:space="0"/>
              <w:bottom w:val="single" w:color="auto" w:sz="4" w:space="0"/>
              <w:right w:val="single" w:color="auto" w:sz="4" w:space="0"/>
            </w:tcBorders>
            <w:noWrap w:val="0"/>
            <w:vAlign w:val="top"/>
          </w:tcPr>
          <w:p w14:paraId="4685F1FA">
            <w:pPr>
              <w:snapToGrid w:val="0"/>
              <w:spacing w:before="120" w:after="50" w:line="460" w:lineRule="exact"/>
              <w:rPr>
                <w:rFonts w:hint="eastAsia" w:ascii="宋体" w:hAnsi="宋体" w:eastAsia="宋体" w:cs="宋体"/>
                <w:color w:val="auto"/>
                <w:sz w:val="24"/>
                <w:szCs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14:paraId="2A083238">
            <w:pPr>
              <w:snapToGrid w:val="0"/>
              <w:spacing w:before="120" w:after="50" w:line="460" w:lineRule="exact"/>
              <w:rPr>
                <w:rFonts w:hint="eastAsia" w:ascii="宋体" w:hAnsi="宋体" w:eastAsia="宋体" w:cs="宋体"/>
                <w:color w:val="auto"/>
                <w:sz w:val="24"/>
                <w:szCs w:val="24"/>
              </w:rPr>
            </w:pPr>
          </w:p>
        </w:tc>
      </w:tr>
    </w:tbl>
    <w:p w14:paraId="3D675748">
      <w:pPr>
        <w:snapToGrid w:val="0"/>
        <w:spacing w:before="120" w:after="120" w:afterLines="50" w:line="460" w:lineRule="exact"/>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注：在填写时，如本表格不适合投标单位的实际情况，可根据本表格式自行编制，须随表提交相应的证书复印件。</w:t>
      </w:r>
    </w:p>
    <w:p w14:paraId="328C0268">
      <w:pPr>
        <w:snapToGrid w:val="0"/>
        <w:spacing w:before="120" w:after="120" w:afterLines="50" w:line="460" w:lineRule="exact"/>
        <w:jc w:val="left"/>
        <w:rPr>
          <w:rFonts w:hint="eastAsia" w:ascii="宋体" w:hAnsi="宋体" w:eastAsia="宋体" w:cs="宋体"/>
          <w:color w:val="auto"/>
          <w:sz w:val="24"/>
          <w:szCs w:val="24"/>
        </w:rPr>
      </w:pPr>
    </w:p>
    <w:p w14:paraId="12DE0ED3">
      <w:pPr>
        <w:pStyle w:val="36"/>
        <w:snapToGrid w:val="0"/>
        <w:spacing w:before="120" w:line="360" w:lineRule="auto"/>
        <w:rPr>
          <w:rFonts w:hint="eastAsia" w:ascii="宋体" w:hAnsi="宋体" w:eastAsia="宋体" w:cs="宋体"/>
          <w:color w:val="auto"/>
          <w:szCs w:val="24"/>
        </w:rPr>
      </w:pPr>
      <w:r>
        <w:rPr>
          <w:rFonts w:hint="eastAsia" w:ascii="宋体" w:hAnsi="宋体" w:eastAsia="宋体" w:cs="宋体"/>
          <w:color w:val="auto"/>
          <w:szCs w:val="24"/>
        </w:rPr>
        <w:t>投标人全称（电子签章）：</w:t>
      </w:r>
      <w:r>
        <w:rPr>
          <w:rFonts w:hint="eastAsia" w:ascii="宋体" w:hAnsi="宋体" w:eastAsia="宋体" w:cs="宋体"/>
          <w:color w:val="auto"/>
          <w:szCs w:val="24"/>
          <w:u w:val="single"/>
        </w:rPr>
        <w:t xml:space="preserve">                         </w:t>
      </w:r>
    </w:p>
    <w:p w14:paraId="7C4C6E51">
      <w:pPr>
        <w:snapToGrid w:val="0"/>
        <w:spacing w:before="120" w:line="360" w:lineRule="auto"/>
        <w:rPr>
          <w:rFonts w:hint="eastAsia" w:ascii="宋体" w:hAnsi="宋体" w:eastAsia="宋体" w:cs="宋体"/>
          <w:color w:val="auto"/>
          <w:sz w:val="24"/>
          <w:szCs w:val="24"/>
          <w:u w:val="single"/>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年    月    日</w:t>
      </w:r>
    </w:p>
    <w:p w14:paraId="5FD6C236">
      <w:pPr>
        <w:snapToGrid w:val="0"/>
        <w:spacing w:before="120" w:line="360" w:lineRule="auto"/>
        <w:rPr>
          <w:rFonts w:hint="eastAsia" w:ascii="宋体" w:hAnsi="宋体" w:eastAsia="宋体" w:cs="宋体"/>
          <w:color w:val="000000"/>
          <w:sz w:val="24"/>
          <w:szCs w:val="24"/>
          <w:u w:val="single"/>
        </w:rPr>
      </w:pPr>
      <w:r>
        <w:rPr>
          <w:rFonts w:hint="eastAsia" w:ascii="宋体" w:hAnsi="宋体" w:eastAsia="宋体" w:cs="宋体"/>
          <w:color w:val="auto"/>
          <w:highlight w:val="none"/>
          <w:u w:val="single"/>
        </w:rPr>
        <w:br w:type="page"/>
      </w:r>
    </w:p>
    <w:p w14:paraId="5C4FCD38">
      <w:pPr>
        <w:snapToGrid w:val="0"/>
        <w:jc w:val="center"/>
        <w:rPr>
          <w:rFonts w:hint="eastAsia" w:ascii="宋体" w:hAnsi="宋体" w:eastAsia="宋体" w:cs="宋体"/>
          <w:b/>
          <w:sz w:val="32"/>
          <w:szCs w:val="32"/>
        </w:rPr>
      </w:pPr>
      <w:r>
        <w:rPr>
          <w:rFonts w:hint="eastAsia" w:ascii="宋体" w:hAnsi="宋体" w:eastAsia="宋体" w:cs="宋体"/>
          <w:b/>
          <w:sz w:val="32"/>
          <w:szCs w:val="32"/>
        </w:rPr>
        <w:t>投标响应函</w:t>
      </w:r>
    </w:p>
    <w:p w14:paraId="4D46A070">
      <w:pPr>
        <w:pStyle w:val="13"/>
        <w:spacing w:beforeLines="0" w:afterLines="0" w:line="360" w:lineRule="auto"/>
        <w:rPr>
          <w:rFonts w:hint="eastAsia" w:ascii="宋体" w:hAnsi="宋体" w:eastAsia="宋体" w:cs="宋体"/>
          <w:u w:val="single"/>
        </w:rPr>
      </w:pPr>
    </w:p>
    <w:p w14:paraId="74858F8A">
      <w:pPr>
        <w:pStyle w:val="13"/>
        <w:spacing w:beforeLines="0" w:afterLines="0" w:line="360" w:lineRule="auto"/>
        <w:rPr>
          <w:rFonts w:hint="eastAsia" w:ascii="宋体" w:hAnsi="宋体" w:eastAsia="宋体" w:cs="宋体"/>
        </w:rPr>
      </w:pPr>
      <w:r>
        <w:rPr>
          <w:rFonts w:hint="eastAsia" w:ascii="宋体" w:hAnsi="宋体" w:eastAsia="宋体" w:cs="宋体"/>
          <w:u w:val="single"/>
        </w:rPr>
        <w:t>杭州富春湾新城建设投资集团有限公司</w:t>
      </w:r>
      <w:r>
        <w:rPr>
          <w:rFonts w:hint="eastAsia" w:ascii="宋体" w:hAnsi="宋体" w:eastAsia="宋体" w:cs="宋体"/>
        </w:rPr>
        <w:t>：</w:t>
      </w:r>
    </w:p>
    <w:p w14:paraId="01BCD22C">
      <w:pPr>
        <w:pStyle w:val="13"/>
        <w:spacing w:beforeLines="0" w:afterLines="0" w:line="360" w:lineRule="auto"/>
        <w:ind w:firstLine="480" w:firstLineChars="200"/>
        <w:rPr>
          <w:rFonts w:hint="eastAsia" w:ascii="宋体" w:hAnsi="宋体" w:eastAsia="宋体" w:cs="宋体"/>
        </w:rPr>
      </w:pPr>
      <w:r>
        <w:rPr>
          <w:rFonts w:hint="eastAsia" w:ascii="宋体" w:hAnsi="宋体" w:eastAsia="宋体" w:cs="宋体"/>
        </w:rPr>
        <w:t>我</w:t>
      </w:r>
      <w:r>
        <w:rPr>
          <w:rFonts w:hint="eastAsia" w:ascii="宋体" w:hAnsi="宋体" w:eastAsia="宋体" w:cs="宋体"/>
          <w:u w:val="single"/>
        </w:rPr>
        <w:t>（姓名）</w:t>
      </w:r>
      <w:r>
        <w:rPr>
          <w:rFonts w:hint="eastAsia" w:ascii="宋体" w:hAnsi="宋体" w:eastAsia="宋体" w:cs="宋体"/>
        </w:rPr>
        <w:t>系</w:t>
      </w:r>
      <w:r>
        <w:rPr>
          <w:rFonts w:hint="eastAsia" w:ascii="宋体" w:hAnsi="宋体" w:eastAsia="宋体" w:cs="宋体"/>
          <w:u w:val="single"/>
        </w:rPr>
        <w:t xml:space="preserve">（投标人名称）         </w:t>
      </w:r>
      <w:r>
        <w:rPr>
          <w:rFonts w:hint="eastAsia" w:ascii="宋体" w:hAnsi="宋体" w:eastAsia="宋体" w:cs="宋体"/>
        </w:rPr>
        <w:t>的法定代表人，授权</w:t>
      </w:r>
      <w:r>
        <w:rPr>
          <w:rFonts w:hint="eastAsia" w:ascii="宋体" w:hAnsi="宋体" w:eastAsia="宋体" w:cs="宋体"/>
          <w:u w:val="single"/>
        </w:rPr>
        <w:t xml:space="preserve">        </w:t>
      </w:r>
      <w:r>
        <w:rPr>
          <w:rFonts w:hint="eastAsia" w:ascii="宋体" w:hAnsi="宋体" w:eastAsia="宋体" w:cs="宋体"/>
        </w:rPr>
        <w:t>（全名、职务）为全权代表，参加贵方组织的</w:t>
      </w:r>
      <w:r>
        <w:rPr>
          <w:rFonts w:hint="eastAsia" w:ascii="宋体" w:hAnsi="宋体" w:eastAsia="宋体" w:cs="宋体"/>
          <w:u w:val="single"/>
        </w:rPr>
        <w:t xml:space="preserve">  2024年度富春湾集团国有资产评估中介机构招标项目   </w:t>
      </w:r>
      <w:r>
        <w:rPr>
          <w:rFonts w:hint="eastAsia" w:ascii="宋体" w:hAnsi="宋体" w:eastAsia="宋体" w:cs="宋体"/>
        </w:rPr>
        <w:t>项目（招标项目名称）（项目编号：</w:t>
      </w:r>
      <w:r>
        <w:rPr>
          <w:rFonts w:hint="eastAsia" w:hAnsi="宋体" w:eastAsia="宋体" w:cs="宋体"/>
          <w:u w:val="single"/>
          <w:lang w:eastAsia="zh-CN"/>
        </w:rPr>
        <w:t>FCW20240046-1</w:t>
      </w:r>
      <w:r>
        <w:rPr>
          <w:rFonts w:hint="eastAsia" w:ascii="宋体" w:hAnsi="宋体" w:eastAsia="宋体" w:cs="宋体"/>
        </w:rPr>
        <w:t>）采购的有关活动，并对此项目进行投标。为此，我方就本次投标有关事项郑重声明如下：</w:t>
      </w:r>
    </w:p>
    <w:p w14:paraId="468F8A5F">
      <w:pPr>
        <w:pStyle w:val="13"/>
        <w:spacing w:beforeLines="0" w:afterLines="0" w:line="360" w:lineRule="auto"/>
        <w:rPr>
          <w:rFonts w:hint="eastAsia" w:ascii="宋体" w:hAnsi="宋体" w:eastAsia="宋体" w:cs="宋体"/>
        </w:rPr>
      </w:pPr>
      <w:r>
        <w:rPr>
          <w:rFonts w:hint="eastAsia" w:ascii="宋体" w:hAnsi="宋体" w:eastAsia="宋体" w:cs="宋体"/>
        </w:rPr>
        <w:t xml:space="preserve">    1.我方承诺已经具备《中华人民共和国政府采购法》中规定的参加政府采购活动的供应商应当具备的条件：</w:t>
      </w:r>
    </w:p>
    <w:p w14:paraId="793FFFF8">
      <w:pPr>
        <w:ind w:firstLine="480" w:firstLineChars="200"/>
        <w:rPr>
          <w:rFonts w:hint="eastAsia" w:ascii="宋体" w:hAnsi="宋体" w:eastAsia="宋体" w:cs="宋体"/>
          <w:kern w:val="0"/>
        </w:rPr>
      </w:pPr>
      <w:r>
        <w:rPr>
          <w:rFonts w:hint="eastAsia" w:ascii="宋体" w:hAnsi="宋体" w:eastAsia="宋体" w:cs="宋体"/>
          <w:kern w:val="0"/>
        </w:rPr>
        <w:t>（1）具有独立承担民事责任能力；</w:t>
      </w:r>
    </w:p>
    <w:p w14:paraId="6D435C3A">
      <w:pPr>
        <w:ind w:firstLine="480" w:firstLineChars="200"/>
        <w:rPr>
          <w:rFonts w:hint="eastAsia" w:ascii="宋体" w:hAnsi="宋体" w:eastAsia="宋体" w:cs="宋体"/>
          <w:kern w:val="0"/>
        </w:rPr>
      </w:pPr>
      <w:r>
        <w:rPr>
          <w:rFonts w:hint="eastAsia" w:ascii="宋体" w:hAnsi="宋体" w:eastAsia="宋体" w:cs="宋体"/>
          <w:kern w:val="0"/>
        </w:rPr>
        <w:t>（2）具有良好的商业信誉和健全的财务会计制度；</w:t>
      </w:r>
    </w:p>
    <w:p w14:paraId="5ED4B304">
      <w:pPr>
        <w:ind w:firstLine="480" w:firstLineChars="200"/>
        <w:rPr>
          <w:rFonts w:hint="eastAsia" w:ascii="宋体" w:hAnsi="宋体" w:eastAsia="宋体" w:cs="宋体"/>
          <w:kern w:val="0"/>
        </w:rPr>
      </w:pPr>
      <w:r>
        <w:rPr>
          <w:rFonts w:hint="eastAsia" w:ascii="宋体" w:hAnsi="宋体" w:eastAsia="宋体" w:cs="宋体"/>
          <w:kern w:val="0"/>
        </w:rPr>
        <w:t>（3）具有履行合同所必需的设备和专业技术能力；</w:t>
      </w:r>
    </w:p>
    <w:p w14:paraId="7EFB5E92">
      <w:pPr>
        <w:ind w:firstLine="480" w:firstLineChars="200"/>
        <w:rPr>
          <w:rFonts w:hint="eastAsia" w:ascii="宋体" w:hAnsi="宋体" w:eastAsia="宋体" w:cs="宋体"/>
          <w:kern w:val="0"/>
        </w:rPr>
      </w:pPr>
      <w:r>
        <w:rPr>
          <w:rFonts w:hint="eastAsia" w:ascii="宋体" w:hAnsi="宋体" w:eastAsia="宋体" w:cs="宋体"/>
          <w:kern w:val="0"/>
        </w:rPr>
        <w:t>（4）有依法缴纳税收和社会保障资金的良好记录；</w:t>
      </w:r>
    </w:p>
    <w:p w14:paraId="7422256F">
      <w:pPr>
        <w:ind w:firstLine="480" w:firstLineChars="200"/>
        <w:rPr>
          <w:rFonts w:hint="eastAsia" w:ascii="宋体" w:hAnsi="宋体" w:eastAsia="宋体" w:cs="宋体"/>
          <w:kern w:val="0"/>
        </w:rPr>
      </w:pPr>
      <w:r>
        <w:rPr>
          <w:rFonts w:hint="eastAsia" w:ascii="宋体" w:hAnsi="宋体" w:eastAsia="宋体" w:cs="宋体"/>
          <w:kern w:val="0"/>
        </w:rPr>
        <w:t>（5）遵守中华人民共和国政府采购有关规定，没有违反政府采购法规、政策的记录；</w:t>
      </w:r>
    </w:p>
    <w:p w14:paraId="70444701">
      <w:pPr>
        <w:ind w:firstLine="480" w:firstLineChars="200"/>
        <w:rPr>
          <w:rFonts w:hint="eastAsia" w:ascii="宋体" w:hAnsi="宋体" w:eastAsia="宋体" w:cs="宋体"/>
          <w:kern w:val="0"/>
        </w:rPr>
      </w:pPr>
      <w:r>
        <w:rPr>
          <w:rFonts w:hint="eastAsia" w:ascii="宋体" w:hAnsi="宋体" w:eastAsia="宋体" w:cs="宋体"/>
          <w:kern w:val="0"/>
        </w:rPr>
        <w:t>（6）具有良好的财务状况以及良好的履行合同的能力和记录；</w:t>
      </w:r>
    </w:p>
    <w:p w14:paraId="61F66073">
      <w:pPr>
        <w:ind w:firstLine="480" w:firstLineChars="200"/>
        <w:rPr>
          <w:rFonts w:hint="eastAsia" w:ascii="宋体" w:hAnsi="宋体" w:eastAsia="宋体" w:cs="宋体"/>
          <w:kern w:val="0"/>
        </w:rPr>
      </w:pPr>
      <w:r>
        <w:rPr>
          <w:rFonts w:hint="eastAsia" w:ascii="宋体" w:hAnsi="宋体" w:eastAsia="宋体" w:cs="宋体"/>
          <w:kern w:val="0"/>
        </w:rPr>
        <w:t>（7）法人代表及财务主管在本次前三年内没有刑事犯罪记录，没有行贿受贿或者偷税漏税等欺诈行为；</w:t>
      </w:r>
    </w:p>
    <w:p w14:paraId="0C937DBF">
      <w:pPr>
        <w:pStyle w:val="13"/>
        <w:spacing w:beforeLines="0" w:afterLines="0" w:line="360" w:lineRule="auto"/>
        <w:ind w:firstLine="480" w:firstLineChars="200"/>
        <w:rPr>
          <w:rFonts w:hint="eastAsia" w:ascii="宋体" w:hAnsi="宋体" w:eastAsia="宋体" w:cs="宋体"/>
        </w:rPr>
      </w:pPr>
      <w:r>
        <w:rPr>
          <w:rFonts w:hint="eastAsia" w:ascii="宋体" w:hAnsi="宋体" w:eastAsia="宋体" w:cs="宋体"/>
        </w:rPr>
        <w:t>（8）没有发生重大经济纠纷和走私犯罪记录。</w:t>
      </w:r>
    </w:p>
    <w:p w14:paraId="49CBC308">
      <w:pPr>
        <w:pStyle w:val="13"/>
        <w:spacing w:beforeLines="0" w:afterLines="0" w:line="360" w:lineRule="auto"/>
        <w:ind w:firstLine="480" w:firstLineChars="200"/>
        <w:rPr>
          <w:rFonts w:hint="eastAsia" w:ascii="宋体" w:hAnsi="宋体" w:eastAsia="宋体" w:cs="宋体"/>
        </w:rPr>
      </w:pPr>
      <w:r>
        <w:rPr>
          <w:rFonts w:hint="eastAsia" w:ascii="宋体" w:hAnsi="宋体" w:eastAsia="宋体" w:cs="宋体"/>
        </w:rPr>
        <w:t>2.我方同意在招标文件规定的开标日期起遵守本投标文件中的承诺且在投标有效期满之前均具有约束力。</w:t>
      </w:r>
    </w:p>
    <w:p w14:paraId="759D3B04">
      <w:pPr>
        <w:ind w:firstLine="480" w:firstLineChars="200"/>
        <w:rPr>
          <w:rFonts w:hint="eastAsia" w:ascii="宋体" w:hAnsi="宋体" w:eastAsia="宋体" w:cs="宋体"/>
          <w:kern w:val="0"/>
        </w:rPr>
      </w:pPr>
      <w:r>
        <w:rPr>
          <w:rFonts w:hint="eastAsia" w:ascii="宋体" w:hAnsi="宋体" w:eastAsia="宋体" w:cs="宋体"/>
          <w:kern w:val="0"/>
        </w:rPr>
        <w:t>3.本项目实行电子投标，须提供投标人须知规定的全部投标文件，供应商应准备电子投标文件，按</w:t>
      </w:r>
      <w:r>
        <w:rPr>
          <w:rFonts w:hint="eastAsia" w:ascii="宋体" w:hAnsi="宋体" w:eastAsia="宋体" w:cs="宋体"/>
        </w:rPr>
        <w:t>乐采云平台</w:t>
      </w:r>
      <w:r>
        <w:rPr>
          <w:rFonts w:hint="eastAsia" w:ascii="宋体" w:hAnsi="宋体" w:eastAsia="宋体" w:cs="宋体"/>
          <w:kern w:val="0"/>
        </w:rPr>
        <w:t xml:space="preserve">项目采购-电子招投标操作指南及本招标文件要求递交。 </w:t>
      </w:r>
    </w:p>
    <w:p w14:paraId="42FA0365">
      <w:pPr>
        <w:ind w:firstLine="480" w:firstLineChars="200"/>
        <w:rPr>
          <w:rFonts w:hint="eastAsia" w:ascii="宋体" w:hAnsi="宋体" w:eastAsia="宋体" w:cs="宋体"/>
          <w:kern w:val="0"/>
        </w:rPr>
      </w:pPr>
      <w:r>
        <w:rPr>
          <w:rFonts w:hint="eastAsia" w:ascii="宋体" w:hAnsi="宋体" w:eastAsia="宋体" w:cs="宋体"/>
          <w:kern w:val="0"/>
        </w:rPr>
        <w:t>（1）其他要求投标人提交的全部文件。</w:t>
      </w:r>
    </w:p>
    <w:p w14:paraId="0E9D1217">
      <w:pPr>
        <w:ind w:firstLine="482" w:firstLineChars="200"/>
        <w:rPr>
          <w:rFonts w:hint="eastAsia" w:ascii="宋体" w:hAnsi="宋体" w:eastAsia="宋体" w:cs="宋体"/>
          <w:b/>
          <w:bCs/>
          <w:color w:val="auto"/>
          <w:highlight w:val="yellow"/>
        </w:rPr>
      </w:pPr>
      <w:r>
        <w:rPr>
          <w:rFonts w:hint="eastAsia" w:ascii="宋体" w:hAnsi="宋体" w:eastAsia="宋体" w:cs="宋体"/>
          <w:b/>
          <w:bCs/>
          <w:color w:val="auto"/>
          <w:highlight w:val="yellow"/>
        </w:rPr>
        <w:t>4.</w:t>
      </w:r>
      <w:r>
        <w:rPr>
          <w:rFonts w:hint="eastAsia" w:ascii="宋体" w:hAnsi="宋体" w:eastAsia="宋体" w:cs="宋体"/>
          <w:b/>
          <w:bCs/>
          <w:color w:val="auto"/>
          <w:highlight w:val="yellow"/>
          <w:u w:val="single"/>
        </w:rPr>
        <w:t>按招标文件要求提供和交付的货物和服务的投标报价详见报价一览表</w:t>
      </w:r>
      <w:r>
        <w:rPr>
          <w:rFonts w:hint="eastAsia" w:ascii="宋体" w:hAnsi="宋体" w:eastAsia="宋体" w:cs="宋体"/>
          <w:b/>
          <w:bCs/>
          <w:color w:val="auto"/>
          <w:highlight w:val="yellow"/>
          <w:u w:val="single"/>
          <w:lang w:eastAsia="zh-CN"/>
        </w:rPr>
        <w:t>，</w:t>
      </w:r>
      <w:r>
        <w:rPr>
          <w:rFonts w:hint="eastAsia" w:ascii="宋体" w:hAnsi="宋体" w:eastAsia="宋体" w:cs="宋体"/>
          <w:b/>
          <w:bCs/>
          <w:color w:val="auto"/>
          <w:highlight w:val="yellow"/>
          <w:u w:val="single"/>
          <w:lang w:val="en-US" w:eastAsia="zh-CN"/>
        </w:rPr>
        <w:t>我方承诺根据本项目入围单位中的最低报价为中标价并以此价格签订合同</w:t>
      </w:r>
      <w:r>
        <w:rPr>
          <w:rFonts w:hint="eastAsia" w:ascii="宋体" w:hAnsi="宋体" w:eastAsia="宋体" w:cs="宋体"/>
          <w:b/>
          <w:bCs/>
          <w:color w:val="auto"/>
          <w:highlight w:val="yellow"/>
        </w:rPr>
        <w:t>。</w:t>
      </w:r>
    </w:p>
    <w:p w14:paraId="194374B7">
      <w:pPr>
        <w:ind w:firstLine="480" w:firstLineChars="200"/>
        <w:rPr>
          <w:rFonts w:hint="eastAsia" w:ascii="宋体" w:hAnsi="宋体" w:eastAsia="宋体" w:cs="宋体"/>
        </w:rPr>
      </w:pPr>
      <w:r>
        <w:rPr>
          <w:rFonts w:hint="eastAsia" w:ascii="宋体" w:hAnsi="宋体" w:eastAsia="宋体" w:cs="宋体"/>
        </w:rPr>
        <w:t>5.我方已详细审查全部招标文件，确认无误，同意并保证遵守招标文件（包括答疑文件、补充文件、更正公告等）的各项规定和要求。</w:t>
      </w:r>
    </w:p>
    <w:p w14:paraId="4ACF2C25">
      <w:pPr>
        <w:ind w:firstLine="480" w:firstLineChars="200"/>
        <w:rPr>
          <w:rFonts w:hint="eastAsia" w:ascii="宋体" w:hAnsi="宋体" w:eastAsia="宋体" w:cs="宋体"/>
        </w:rPr>
      </w:pPr>
      <w:r>
        <w:rPr>
          <w:rFonts w:hint="eastAsia" w:ascii="宋体" w:hAnsi="宋体" w:eastAsia="宋体" w:cs="宋体"/>
        </w:rPr>
        <w:t>6.保证忠实地执行双方所签订的合同，并承担合同规定的责任和义务。</w:t>
      </w:r>
    </w:p>
    <w:p w14:paraId="7B9FF55B">
      <w:pPr>
        <w:ind w:firstLine="480" w:firstLineChars="200"/>
        <w:rPr>
          <w:rFonts w:hint="eastAsia" w:ascii="宋体" w:hAnsi="宋体" w:eastAsia="宋体" w:cs="宋体"/>
        </w:rPr>
      </w:pPr>
      <w:r>
        <w:rPr>
          <w:rFonts w:hint="eastAsia" w:ascii="宋体" w:hAnsi="宋体" w:eastAsia="宋体" w:cs="宋体"/>
        </w:rPr>
        <w:t>7.保证遵守招标文件中的其他有关规定。</w:t>
      </w:r>
    </w:p>
    <w:p w14:paraId="087DFFA2">
      <w:pPr>
        <w:ind w:firstLine="480" w:firstLineChars="200"/>
        <w:jc w:val="left"/>
        <w:rPr>
          <w:rFonts w:hint="eastAsia" w:ascii="宋体" w:hAnsi="宋体" w:eastAsia="宋体" w:cs="宋体"/>
        </w:rPr>
      </w:pPr>
      <w:r>
        <w:rPr>
          <w:rFonts w:hint="eastAsia" w:ascii="宋体" w:hAnsi="宋体" w:eastAsia="宋体" w:cs="宋体"/>
        </w:rPr>
        <w:t>8.我方同意提供按照贵方可能要求的与其投标有关的一切数据或资料，理解贵方不一定要接受最低价的投标或收到的任何投标。</w:t>
      </w:r>
    </w:p>
    <w:p w14:paraId="4C0D24C7">
      <w:pPr>
        <w:ind w:firstLine="480" w:firstLineChars="200"/>
        <w:jc w:val="left"/>
        <w:rPr>
          <w:rFonts w:hint="eastAsia" w:ascii="宋体" w:hAnsi="宋体" w:eastAsia="宋体" w:cs="宋体"/>
        </w:rPr>
      </w:pPr>
      <w:r>
        <w:rPr>
          <w:rFonts w:hint="eastAsia" w:ascii="宋体" w:hAnsi="宋体" w:eastAsia="宋体" w:cs="宋体"/>
        </w:rPr>
        <w:t>9.我方向贵方提交的所有投标文件、资料都是准确的和真实的。</w:t>
      </w:r>
    </w:p>
    <w:p w14:paraId="60C53603">
      <w:pPr>
        <w:ind w:firstLine="482" w:firstLineChars="200"/>
        <w:jc w:val="left"/>
        <w:rPr>
          <w:rFonts w:hint="eastAsia" w:ascii="宋体" w:hAnsi="宋体" w:eastAsia="宋体" w:cs="宋体"/>
        </w:rPr>
      </w:pPr>
      <w:r>
        <w:rPr>
          <w:rFonts w:hint="eastAsia" w:ascii="宋体" w:hAnsi="宋体" w:eastAsia="宋体" w:cs="宋体"/>
          <w:b/>
          <w:bCs/>
          <w:color w:val="000000"/>
        </w:rPr>
        <w:t>10.我方承诺投标有效期从提交投标文件的截止之日起</w:t>
      </w:r>
      <w:r>
        <w:rPr>
          <w:rFonts w:hint="eastAsia" w:ascii="宋体" w:hAnsi="宋体" w:eastAsia="宋体" w:cs="宋体"/>
          <w:b/>
          <w:bCs/>
          <w:color w:val="000000"/>
          <w:u w:val="single"/>
        </w:rPr>
        <w:t xml:space="preserve"> 90 </w:t>
      </w:r>
      <w:r>
        <w:rPr>
          <w:rFonts w:hint="eastAsia" w:ascii="宋体" w:hAnsi="宋体" w:eastAsia="宋体" w:cs="宋体"/>
          <w:b/>
          <w:bCs/>
          <w:color w:val="000000"/>
        </w:rPr>
        <w:t>天，不少于采购文件中载明的投标有效期（从提交投标文件的截止之日起90天）。</w:t>
      </w:r>
    </w:p>
    <w:p w14:paraId="67D9EB3E">
      <w:pPr>
        <w:ind w:firstLine="480" w:firstLineChars="200"/>
        <w:jc w:val="left"/>
        <w:rPr>
          <w:rFonts w:hint="eastAsia" w:ascii="宋体" w:hAnsi="宋体" w:eastAsia="宋体" w:cs="宋体"/>
        </w:rPr>
      </w:pPr>
      <w:r>
        <w:rPr>
          <w:rFonts w:hint="eastAsia" w:ascii="宋体" w:hAnsi="宋体" w:eastAsia="宋体" w:cs="宋体"/>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AB25E9B">
      <w:pPr>
        <w:ind w:firstLine="480" w:firstLineChars="200"/>
        <w:jc w:val="left"/>
        <w:rPr>
          <w:rFonts w:hint="eastAsia" w:ascii="宋体" w:hAnsi="宋体" w:eastAsia="宋体" w:cs="宋体"/>
        </w:rPr>
      </w:pPr>
      <w:r>
        <w:rPr>
          <w:rFonts w:hint="eastAsia" w:ascii="宋体" w:hAnsi="宋体" w:eastAsia="宋体" w:cs="宋体"/>
        </w:rPr>
        <w:t>（1)提供虚假材料谋取中标、成交的；</w:t>
      </w:r>
    </w:p>
    <w:p w14:paraId="2BAF5BB6">
      <w:pPr>
        <w:ind w:firstLine="480" w:firstLineChars="200"/>
        <w:jc w:val="left"/>
        <w:rPr>
          <w:rFonts w:hint="eastAsia" w:ascii="宋体" w:hAnsi="宋体" w:eastAsia="宋体" w:cs="宋体"/>
        </w:rPr>
      </w:pPr>
      <w:r>
        <w:rPr>
          <w:rFonts w:hint="eastAsia" w:ascii="宋体" w:hAnsi="宋体" w:eastAsia="宋体" w:cs="宋体"/>
        </w:rPr>
        <w:t>（2)采取不正当手段诋毁、排挤其他供应商的；</w:t>
      </w:r>
    </w:p>
    <w:p w14:paraId="483741B5">
      <w:pPr>
        <w:ind w:firstLine="480" w:firstLineChars="200"/>
        <w:jc w:val="left"/>
        <w:rPr>
          <w:rFonts w:hint="eastAsia" w:ascii="宋体" w:hAnsi="宋体" w:eastAsia="宋体" w:cs="宋体"/>
        </w:rPr>
      </w:pPr>
      <w:r>
        <w:rPr>
          <w:rFonts w:hint="eastAsia" w:ascii="宋体" w:hAnsi="宋体" w:eastAsia="宋体" w:cs="宋体"/>
        </w:rPr>
        <w:t>（3)与采购人、其它供应商或者采购代理机构恶意串通的；</w:t>
      </w:r>
    </w:p>
    <w:p w14:paraId="09890F5F">
      <w:pPr>
        <w:ind w:firstLine="480" w:firstLineChars="200"/>
        <w:jc w:val="left"/>
        <w:rPr>
          <w:rFonts w:hint="eastAsia" w:ascii="宋体" w:hAnsi="宋体" w:eastAsia="宋体" w:cs="宋体"/>
        </w:rPr>
      </w:pPr>
      <w:r>
        <w:rPr>
          <w:rFonts w:hint="eastAsia" w:ascii="宋体" w:hAnsi="宋体" w:eastAsia="宋体" w:cs="宋体"/>
        </w:rPr>
        <w:t>（4)向采购人、采购代理机构行贿或者提供其他不正当利益的；</w:t>
      </w:r>
    </w:p>
    <w:p w14:paraId="617551FC">
      <w:pPr>
        <w:ind w:firstLine="480" w:firstLineChars="200"/>
        <w:jc w:val="left"/>
        <w:rPr>
          <w:rFonts w:hint="eastAsia" w:ascii="宋体" w:hAnsi="宋体" w:eastAsia="宋体" w:cs="宋体"/>
        </w:rPr>
      </w:pPr>
      <w:r>
        <w:rPr>
          <w:rFonts w:hint="eastAsia" w:ascii="宋体" w:hAnsi="宋体" w:eastAsia="宋体" w:cs="宋体"/>
        </w:rPr>
        <w:t>（5)在招标采购过程中与采购人进行协商谈判的；</w:t>
      </w:r>
    </w:p>
    <w:p w14:paraId="75C72F0A">
      <w:pPr>
        <w:ind w:firstLine="480" w:firstLineChars="200"/>
        <w:jc w:val="left"/>
        <w:rPr>
          <w:rFonts w:hint="eastAsia" w:ascii="宋体" w:hAnsi="宋体" w:eastAsia="宋体" w:cs="宋体"/>
        </w:rPr>
      </w:pPr>
      <w:r>
        <w:rPr>
          <w:rFonts w:hint="eastAsia" w:ascii="宋体" w:hAnsi="宋体" w:eastAsia="宋体" w:cs="宋体"/>
        </w:rPr>
        <w:t>（6)拒绝有关部门监督检查或提供虚假情况的。</w:t>
      </w:r>
    </w:p>
    <w:p w14:paraId="0D383E82">
      <w:pPr>
        <w:ind w:firstLine="480" w:firstLineChars="200"/>
        <w:jc w:val="left"/>
        <w:rPr>
          <w:rFonts w:hint="eastAsia" w:ascii="宋体" w:hAnsi="宋体" w:eastAsia="宋体" w:cs="宋体"/>
        </w:rPr>
      </w:pPr>
      <w:r>
        <w:rPr>
          <w:rFonts w:hint="eastAsia" w:ascii="宋体" w:hAnsi="宋体" w:eastAsia="宋体" w:cs="宋体"/>
        </w:rPr>
        <w:t>供应商有前款第（1)至（5)项情形之一的，中标、成交无效。</w:t>
      </w:r>
    </w:p>
    <w:p w14:paraId="7E6082A4">
      <w:pPr>
        <w:ind w:firstLine="480" w:firstLineChars="200"/>
        <w:jc w:val="left"/>
        <w:rPr>
          <w:rFonts w:hint="eastAsia" w:ascii="宋体" w:hAnsi="宋体" w:eastAsia="宋体" w:cs="宋体"/>
        </w:rPr>
      </w:pPr>
      <w:r>
        <w:rPr>
          <w:rFonts w:hint="eastAsia" w:ascii="宋体" w:hAnsi="宋体" w:eastAsia="宋体" w:cs="宋体"/>
        </w:rPr>
        <w:t>以上事项如有虚假或隐瞒，我方愿意承担一切后果，并不再寻求任何旨在减轻或免除法律责任的辩解。</w:t>
      </w:r>
    </w:p>
    <w:p w14:paraId="2098B2F7">
      <w:pPr>
        <w:ind w:firstLine="480" w:firstLineChars="200"/>
        <w:jc w:val="left"/>
        <w:rPr>
          <w:rFonts w:hint="eastAsia" w:ascii="宋体" w:hAnsi="宋体" w:eastAsia="宋体" w:cs="宋体"/>
        </w:rPr>
      </w:pPr>
      <w:r>
        <w:rPr>
          <w:rFonts w:hint="eastAsia" w:ascii="宋体" w:hAnsi="宋体" w:eastAsia="宋体" w:cs="宋体"/>
        </w:rPr>
        <w:t>与本投标有关的一切正式往来通讯请寄：</w:t>
      </w:r>
    </w:p>
    <w:p w14:paraId="409520D5">
      <w:pPr>
        <w:ind w:firstLine="480" w:firstLineChars="200"/>
        <w:jc w:val="left"/>
        <w:rPr>
          <w:rFonts w:hint="eastAsia" w:ascii="宋体" w:hAnsi="宋体" w:eastAsia="宋体" w:cs="宋体"/>
          <w:u w:val="single"/>
        </w:rPr>
      </w:pPr>
      <w:r>
        <w:rPr>
          <w:rFonts w:hint="eastAsia" w:ascii="宋体" w:hAnsi="宋体" w:eastAsia="宋体" w:cs="宋体"/>
        </w:rPr>
        <w:t>投标人全称(电子签章):</w:t>
      </w:r>
      <w:r>
        <w:rPr>
          <w:rFonts w:hint="eastAsia" w:ascii="宋体" w:hAnsi="宋体" w:eastAsia="宋体" w:cs="宋体"/>
          <w:u w:val="single"/>
        </w:rPr>
        <w:t xml:space="preserve">                                       </w:t>
      </w:r>
    </w:p>
    <w:p w14:paraId="799DF21F">
      <w:pPr>
        <w:ind w:firstLine="480" w:firstLineChars="200"/>
        <w:jc w:val="left"/>
        <w:rPr>
          <w:rFonts w:hint="eastAsia" w:ascii="宋体" w:hAnsi="宋体" w:eastAsia="宋体" w:cs="宋体"/>
          <w:u w:val="single"/>
        </w:rPr>
      </w:pPr>
      <w:r>
        <w:rPr>
          <w:rFonts w:hint="eastAsia" w:ascii="宋体" w:hAnsi="宋体" w:eastAsia="宋体" w:cs="宋体"/>
        </w:rPr>
        <w:t>法定代表人（签名或盖章）:</w:t>
      </w:r>
      <w:r>
        <w:rPr>
          <w:rFonts w:hint="eastAsia" w:ascii="宋体" w:hAnsi="宋体" w:eastAsia="宋体" w:cs="宋体"/>
          <w:u w:val="single"/>
        </w:rPr>
        <w:t xml:space="preserve">                               </w:t>
      </w:r>
    </w:p>
    <w:p w14:paraId="5A4A9F4D">
      <w:pPr>
        <w:ind w:firstLine="480" w:firstLineChars="200"/>
        <w:rPr>
          <w:rFonts w:hint="eastAsia" w:ascii="宋体" w:hAnsi="宋体" w:eastAsia="宋体" w:cs="宋体"/>
          <w:u w:val="single"/>
        </w:rPr>
      </w:pPr>
      <w:r>
        <w:rPr>
          <w:rFonts w:hint="eastAsia" w:ascii="宋体" w:hAnsi="宋体" w:eastAsia="宋体" w:cs="宋体"/>
        </w:rPr>
        <w:t>授权代表（签名或盖章）:</w:t>
      </w:r>
      <w:r>
        <w:rPr>
          <w:rFonts w:hint="eastAsia" w:ascii="宋体" w:hAnsi="宋体" w:eastAsia="宋体" w:cs="宋体"/>
          <w:u w:val="single"/>
        </w:rPr>
        <w:t xml:space="preserve">                                 </w:t>
      </w:r>
    </w:p>
    <w:p w14:paraId="7D8059B7">
      <w:pPr>
        <w:ind w:firstLine="480" w:firstLineChars="200"/>
        <w:jc w:val="left"/>
        <w:rPr>
          <w:rFonts w:hint="eastAsia" w:ascii="宋体" w:hAnsi="宋体" w:eastAsia="宋体" w:cs="宋体"/>
          <w:u w:val="single"/>
        </w:rPr>
      </w:pPr>
      <w:r>
        <w:rPr>
          <w:rFonts w:hint="eastAsia" w:ascii="宋体" w:hAnsi="宋体" w:eastAsia="宋体" w:cs="宋体"/>
        </w:rPr>
        <w:t>地址：</w:t>
      </w:r>
      <w:r>
        <w:rPr>
          <w:rFonts w:hint="eastAsia" w:ascii="宋体" w:hAnsi="宋体" w:eastAsia="宋体" w:cs="宋体"/>
          <w:u w:val="single"/>
        </w:rPr>
        <w:t xml:space="preserve">                      </w:t>
      </w:r>
      <w:r>
        <w:rPr>
          <w:rFonts w:hint="eastAsia" w:ascii="宋体" w:hAnsi="宋体" w:eastAsia="宋体" w:cs="宋体"/>
        </w:rPr>
        <w:t>邮编：</w:t>
      </w:r>
      <w:r>
        <w:rPr>
          <w:rFonts w:hint="eastAsia" w:ascii="宋体" w:hAnsi="宋体" w:eastAsia="宋体" w:cs="宋体"/>
          <w:u w:val="single"/>
        </w:rPr>
        <w:t xml:space="preserve">                      </w:t>
      </w:r>
    </w:p>
    <w:p w14:paraId="65F892BB">
      <w:pPr>
        <w:ind w:firstLine="480" w:firstLineChars="200"/>
        <w:jc w:val="left"/>
        <w:rPr>
          <w:rFonts w:hint="eastAsia" w:ascii="宋体" w:hAnsi="宋体" w:eastAsia="宋体" w:cs="宋体"/>
          <w:u w:val="single"/>
        </w:rPr>
      </w:pPr>
      <w:r>
        <w:rPr>
          <w:rFonts w:hint="eastAsia" w:ascii="宋体" w:hAnsi="宋体" w:eastAsia="宋体" w:cs="宋体"/>
        </w:rPr>
        <w:t>电话：</w:t>
      </w:r>
      <w:r>
        <w:rPr>
          <w:rFonts w:hint="eastAsia" w:ascii="宋体" w:hAnsi="宋体" w:eastAsia="宋体" w:cs="宋体"/>
          <w:u w:val="single"/>
        </w:rPr>
        <w:t xml:space="preserve">                      </w:t>
      </w:r>
      <w:r>
        <w:rPr>
          <w:rFonts w:hint="eastAsia" w:ascii="宋体" w:hAnsi="宋体" w:eastAsia="宋体" w:cs="宋体"/>
        </w:rPr>
        <w:t>传真：</w:t>
      </w:r>
      <w:r>
        <w:rPr>
          <w:rFonts w:hint="eastAsia" w:ascii="宋体" w:hAnsi="宋体" w:eastAsia="宋体" w:cs="宋体"/>
          <w:u w:val="single"/>
        </w:rPr>
        <w:t xml:space="preserve">                      </w:t>
      </w:r>
    </w:p>
    <w:p w14:paraId="18407613">
      <w:pPr>
        <w:ind w:firstLine="480" w:firstLineChars="200"/>
        <w:rPr>
          <w:rFonts w:hint="eastAsia" w:ascii="宋体" w:hAnsi="宋体" w:eastAsia="宋体" w:cs="宋体"/>
        </w:rPr>
      </w:pPr>
      <w:r>
        <w:rPr>
          <w:rFonts w:hint="eastAsia" w:ascii="宋体" w:hAnsi="宋体" w:eastAsia="宋体" w:cs="宋体"/>
        </w:rPr>
        <w:t>投标日期: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664EAEFA">
      <w:pPr>
        <w:ind w:firstLine="482" w:firstLineChars="200"/>
        <w:rPr>
          <w:rFonts w:hint="eastAsia" w:ascii="宋体" w:hAnsi="宋体" w:eastAsia="宋体" w:cs="宋体"/>
          <w:b/>
        </w:rPr>
      </w:pPr>
      <w:r>
        <w:rPr>
          <w:rFonts w:hint="eastAsia" w:ascii="宋体" w:hAnsi="宋体" w:eastAsia="宋体" w:cs="宋体"/>
          <w:b/>
        </w:rPr>
        <w:t>注：未按照本投标</w:t>
      </w:r>
      <w:r>
        <w:rPr>
          <w:rFonts w:hint="eastAsia" w:ascii="宋体" w:hAnsi="宋体" w:eastAsia="宋体" w:cs="宋体"/>
          <w:b/>
          <w:kern w:val="0"/>
        </w:rPr>
        <w:t>响应</w:t>
      </w:r>
      <w:r>
        <w:rPr>
          <w:rFonts w:hint="eastAsia" w:ascii="宋体" w:hAnsi="宋体" w:eastAsia="宋体" w:cs="宋体"/>
          <w:b/>
        </w:rPr>
        <w:t>函要求填报的将被视为非实质性响应投标，从而可能导致该投标被拒绝。</w:t>
      </w:r>
    </w:p>
    <w:p w14:paraId="450B7A30">
      <w:pPr>
        <w:ind w:firstLine="482" w:firstLineChars="200"/>
        <w:rPr>
          <w:rFonts w:hint="eastAsia" w:ascii="宋体" w:hAnsi="宋体" w:eastAsia="宋体" w:cs="宋体"/>
          <w:b/>
        </w:rPr>
      </w:pPr>
    </w:p>
    <w:p w14:paraId="5975FFA6">
      <w:pPr>
        <w:ind w:firstLine="482" w:firstLineChars="200"/>
        <w:rPr>
          <w:rFonts w:hint="eastAsia" w:ascii="宋体" w:hAnsi="宋体" w:eastAsia="宋体" w:cs="宋体"/>
          <w:b/>
        </w:rPr>
      </w:pPr>
    </w:p>
    <w:p w14:paraId="5ADBB5AF">
      <w:pPr>
        <w:snapToGrid w:val="0"/>
        <w:spacing w:before="120" w:after="50" w:line="460" w:lineRule="exact"/>
        <w:jc w:val="center"/>
        <w:rPr>
          <w:rFonts w:hint="eastAsia" w:ascii="宋体" w:hAnsi="宋体" w:eastAsia="宋体" w:cs="宋体"/>
          <w:b/>
          <w:color w:val="000000"/>
          <w:sz w:val="32"/>
        </w:rPr>
      </w:pPr>
      <w:r>
        <w:rPr>
          <w:rFonts w:hint="eastAsia" w:ascii="宋体" w:hAnsi="宋体" w:eastAsia="宋体" w:cs="宋体"/>
          <w:b/>
          <w:color w:val="000000"/>
          <w:sz w:val="32"/>
          <w:szCs w:val="32"/>
        </w:rPr>
        <w:t>报价</w:t>
      </w:r>
      <w:r>
        <w:rPr>
          <w:rFonts w:hint="eastAsia" w:ascii="宋体" w:hAnsi="宋体" w:eastAsia="宋体" w:cs="宋体"/>
          <w:b/>
          <w:color w:val="000000"/>
          <w:sz w:val="32"/>
        </w:rPr>
        <w:t>一览表</w:t>
      </w:r>
    </w:p>
    <w:p w14:paraId="40E764AE">
      <w:pPr>
        <w:spacing w:line="480" w:lineRule="exact"/>
        <w:rPr>
          <w:rFonts w:hint="eastAsia" w:ascii="宋体" w:hAnsi="宋体" w:eastAsia="宋体" w:cs="宋体"/>
          <w:color w:val="000000"/>
        </w:rPr>
      </w:pPr>
      <w:r>
        <w:rPr>
          <w:rFonts w:hint="eastAsia" w:ascii="宋体" w:hAnsi="宋体" w:eastAsia="宋体" w:cs="宋体"/>
          <w:color w:val="000000"/>
        </w:rPr>
        <w:t>项目名称：</w:t>
      </w:r>
      <w:r>
        <w:rPr>
          <w:rFonts w:hint="eastAsia" w:ascii="宋体" w:hAnsi="宋体" w:eastAsia="宋体" w:cs="宋体"/>
          <w:color w:val="000000"/>
          <w:lang w:eastAsia="zh-CN"/>
        </w:rPr>
        <w:t>2024年度富春湾集团国有资产评估中介机构招标项目</w:t>
      </w:r>
      <w:r>
        <w:rPr>
          <w:rFonts w:hint="eastAsia" w:ascii="宋体" w:hAnsi="宋体" w:eastAsia="宋体" w:cs="宋体"/>
          <w:color w:val="000000"/>
        </w:rPr>
        <w:t xml:space="preserve">                    </w:t>
      </w:r>
    </w:p>
    <w:p w14:paraId="66BD7078">
      <w:pPr>
        <w:spacing w:line="480" w:lineRule="exact"/>
        <w:rPr>
          <w:rFonts w:hint="eastAsia" w:ascii="宋体" w:hAnsi="宋体" w:eastAsia="宋体" w:cs="宋体"/>
          <w:color w:val="000000"/>
          <w:lang w:eastAsia="zh-CN"/>
        </w:rPr>
      </w:pPr>
      <w:r>
        <w:rPr>
          <w:rFonts w:hint="eastAsia" w:ascii="宋体" w:hAnsi="宋体" w:eastAsia="宋体" w:cs="宋体"/>
          <w:color w:val="000000"/>
        </w:rPr>
        <w:t>项目编号：</w:t>
      </w:r>
      <w:r>
        <w:rPr>
          <w:rFonts w:hint="eastAsia" w:ascii="宋体" w:hAnsi="宋体" w:eastAsia="宋体" w:cs="宋体"/>
          <w:color w:val="000000"/>
          <w:lang w:eastAsia="zh-CN"/>
        </w:rPr>
        <w:t>FCW20240046-1</w:t>
      </w:r>
    </w:p>
    <w:tbl>
      <w:tblPr>
        <w:tblStyle w:val="24"/>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2083"/>
        <w:gridCol w:w="2681"/>
        <w:gridCol w:w="2790"/>
        <w:gridCol w:w="1904"/>
      </w:tblGrid>
      <w:tr w14:paraId="2F41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3F4B03CB">
            <w:pPr>
              <w:spacing w:line="440" w:lineRule="exact"/>
              <w:jc w:val="center"/>
              <w:rPr>
                <w:rFonts w:hint="eastAsia" w:ascii="宋体" w:hAnsi="宋体" w:eastAsia="宋体" w:cs="宋体"/>
                <w:b/>
              </w:rPr>
            </w:pPr>
            <w:r>
              <w:rPr>
                <w:rFonts w:hint="eastAsia" w:ascii="宋体" w:hAnsi="宋体" w:eastAsia="宋体" w:cs="宋体"/>
                <w:b/>
              </w:rPr>
              <w:t>序号</w:t>
            </w:r>
          </w:p>
        </w:tc>
        <w:tc>
          <w:tcPr>
            <w:tcW w:w="2083" w:type="dxa"/>
            <w:tcBorders>
              <w:top w:val="single" w:color="auto" w:sz="4" w:space="0"/>
              <w:left w:val="single" w:color="auto" w:sz="4" w:space="0"/>
              <w:bottom w:val="single" w:color="auto" w:sz="4" w:space="0"/>
              <w:right w:val="single" w:color="auto" w:sz="4" w:space="0"/>
            </w:tcBorders>
            <w:vAlign w:val="center"/>
          </w:tcPr>
          <w:p w14:paraId="7DC5A9E3">
            <w:pPr>
              <w:spacing w:line="440" w:lineRule="exact"/>
              <w:jc w:val="center"/>
              <w:rPr>
                <w:rFonts w:hint="eastAsia" w:ascii="宋体" w:hAnsi="宋体" w:eastAsia="宋体" w:cs="宋体"/>
                <w:b/>
              </w:rPr>
            </w:pPr>
            <w:r>
              <w:rPr>
                <w:rFonts w:hint="eastAsia" w:ascii="宋体" w:hAnsi="宋体" w:eastAsia="宋体" w:cs="宋体"/>
                <w:b/>
              </w:rPr>
              <w:t>项目名称</w:t>
            </w:r>
          </w:p>
        </w:tc>
        <w:tc>
          <w:tcPr>
            <w:tcW w:w="2681" w:type="dxa"/>
            <w:tcBorders>
              <w:top w:val="single" w:color="auto" w:sz="4" w:space="0"/>
              <w:left w:val="single" w:color="auto" w:sz="4" w:space="0"/>
              <w:bottom w:val="single" w:color="auto" w:sz="4" w:space="0"/>
              <w:right w:val="single" w:color="auto" w:sz="4" w:space="0"/>
            </w:tcBorders>
            <w:vAlign w:val="center"/>
          </w:tcPr>
          <w:p w14:paraId="124A8301">
            <w:pPr>
              <w:spacing w:line="440" w:lineRule="exact"/>
              <w:jc w:val="center"/>
              <w:rPr>
                <w:rFonts w:hint="eastAsia" w:ascii="宋体" w:hAnsi="宋体" w:eastAsia="宋体" w:cs="宋体"/>
                <w:b/>
              </w:rPr>
            </w:pPr>
            <w:r>
              <w:rPr>
                <w:rFonts w:hint="eastAsia" w:ascii="宋体" w:hAnsi="宋体" w:eastAsia="宋体" w:cs="宋体"/>
                <w:b/>
              </w:rPr>
              <w:t>投标人最高限价</w:t>
            </w:r>
          </w:p>
        </w:tc>
        <w:tc>
          <w:tcPr>
            <w:tcW w:w="2790" w:type="dxa"/>
            <w:tcBorders>
              <w:top w:val="single" w:color="auto" w:sz="4" w:space="0"/>
              <w:left w:val="single" w:color="auto" w:sz="4" w:space="0"/>
              <w:bottom w:val="single" w:color="auto" w:sz="4" w:space="0"/>
              <w:right w:val="single" w:color="auto" w:sz="4" w:space="0"/>
            </w:tcBorders>
            <w:vAlign w:val="center"/>
          </w:tcPr>
          <w:p w14:paraId="742CD45D">
            <w:pPr>
              <w:spacing w:line="440" w:lineRule="exact"/>
              <w:jc w:val="center"/>
              <w:rPr>
                <w:rFonts w:hint="eastAsia" w:ascii="宋体" w:hAnsi="宋体" w:eastAsia="宋体" w:cs="宋体"/>
                <w:b/>
              </w:rPr>
            </w:pPr>
            <w:r>
              <w:rPr>
                <w:rFonts w:hint="eastAsia" w:ascii="宋体" w:hAnsi="宋体" w:eastAsia="宋体" w:cs="宋体"/>
                <w:b/>
              </w:rPr>
              <w:t>投标报价</w:t>
            </w:r>
          </w:p>
        </w:tc>
        <w:tc>
          <w:tcPr>
            <w:tcW w:w="1904" w:type="dxa"/>
            <w:tcBorders>
              <w:top w:val="single" w:color="auto" w:sz="4" w:space="0"/>
              <w:left w:val="single" w:color="auto" w:sz="4" w:space="0"/>
              <w:bottom w:val="single" w:color="auto" w:sz="4" w:space="0"/>
              <w:right w:val="single" w:color="auto" w:sz="4" w:space="0"/>
            </w:tcBorders>
            <w:vAlign w:val="center"/>
          </w:tcPr>
          <w:p w14:paraId="048B14BD">
            <w:pPr>
              <w:spacing w:line="440" w:lineRule="exact"/>
              <w:jc w:val="center"/>
              <w:rPr>
                <w:rFonts w:hint="eastAsia" w:ascii="宋体" w:hAnsi="宋体" w:eastAsia="宋体" w:cs="宋体"/>
                <w:b/>
              </w:rPr>
            </w:pPr>
            <w:r>
              <w:rPr>
                <w:rFonts w:hint="eastAsia" w:ascii="宋体" w:hAnsi="宋体" w:eastAsia="宋体" w:cs="宋体"/>
                <w:b/>
              </w:rPr>
              <w:t>备注</w:t>
            </w:r>
          </w:p>
        </w:tc>
      </w:tr>
      <w:tr w14:paraId="1057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7508871">
            <w:pPr>
              <w:spacing w:before="156" w:line="440" w:lineRule="exact"/>
              <w:jc w:val="center"/>
              <w:rPr>
                <w:rFonts w:hint="eastAsia" w:ascii="宋体" w:hAnsi="宋体" w:eastAsia="宋体" w:cs="宋体"/>
              </w:rPr>
            </w:pPr>
            <w:r>
              <w:rPr>
                <w:rFonts w:hint="eastAsia" w:ascii="宋体" w:hAnsi="宋体" w:eastAsia="宋体" w:cs="宋体"/>
              </w:rPr>
              <w:t>1</w:t>
            </w:r>
          </w:p>
        </w:tc>
        <w:tc>
          <w:tcPr>
            <w:tcW w:w="2083" w:type="dxa"/>
            <w:tcBorders>
              <w:top w:val="single" w:color="auto" w:sz="4" w:space="0"/>
              <w:left w:val="single" w:color="auto" w:sz="4" w:space="0"/>
              <w:bottom w:val="single" w:color="auto" w:sz="4" w:space="0"/>
              <w:right w:val="single" w:color="auto" w:sz="4" w:space="0"/>
            </w:tcBorders>
            <w:vAlign w:val="center"/>
          </w:tcPr>
          <w:p w14:paraId="6CBE9753">
            <w:pPr>
              <w:spacing w:before="156" w:line="440" w:lineRule="exact"/>
              <w:jc w:val="center"/>
              <w:rPr>
                <w:rFonts w:hint="eastAsia" w:ascii="宋体" w:hAnsi="宋体" w:eastAsia="宋体" w:cs="宋体"/>
                <w:lang w:eastAsia="zh-CN"/>
              </w:rPr>
            </w:pPr>
            <w:r>
              <w:rPr>
                <w:rFonts w:hint="eastAsia" w:ascii="宋体" w:hAnsi="宋体" w:eastAsia="宋体" w:cs="宋体"/>
                <w:highlight w:val="none"/>
                <w:lang w:eastAsia="zh-CN"/>
              </w:rPr>
              <w:t>2024年度富春湾集团国有资产评估中介机构招标项目</w:t>
            </w:r>
          </w:p>
        </w:tc>
        <w:tc>
          <w:tcPr>
            <w:tcW w:w="2681" w:type="dxa"/>
            <w:tcBorders>
              <w:top w:val="single" w:color="auto" w:sz="4" w:space="0"/>
              <w:left w:val="single" w:color="auto" w:sz="4" w:space="0"/>
              <w:bottom w:val="single" w:color="auto" w:sz="4" w:space="0"/>
              <w:right w:val="single" w:color="auto" w:sz="4" w:space="0"/>
            </w:tcBorders>
            <w:vAlign w:val="center"/>
          </w:tcPr>
          <w:p w14:paraId="2B9366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rPr>
            </w:pPr>
            <w:r>
              <w:rPr>
                <w:rFonts w:hint="eastAsia" w:ascii="宋体" w:hAnsi="宋体" w:eastAsia="宋体" w:cs="宋体"/>
                <w:color w:val="auto"/>
                <w:highlight w:val="none"/>
                <w:lang w:eastAsia="zh-CN"/>
              </w:rPr>
              <w:t>按照《浙江省物价局关于资产评估收费问题的通知》（浙价服[2011] 90号）收费标准的30%计取。（资产评估单项评估服务费不足1500元的按1500 元计取；单件标的资产评估费最高不超过15万元）。</w:t>
            </w:r>
          </w:p>
        </w:tc>
        <w:tc>
          <w:tcPr>
            <w:tcW w:w="2790" w:type="dxa"/>
            <w:tcBorders>
              <w:top w:val="single" w:color="auto" w:sz="4" w:space="0"/>
              <w:left w:val="single" w:color="auto" w:sz="4" w:space="0"/>
              <w:bottom w:val="single" w:color="auto" w:sz="4" w:space="0"/>
              <w:right w:val="single" w:color="auto" w:sz="4" w:space="0"/>
            </w:tcBorders>
            <w:vAlign w:val="center"/>
          </w:tcPr>
          <w:p w14:paraId="4278A7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rPr>
            </w:pPr>
            <w:r>
              <w:rPr>
                <w:rFonts w:hint="eastAsia" w:ascii="宋体" w:hAnsi="宋体" w:eastAsia="宋体" w:cs="宋体"/>
                <w:color w:val="auto"/>
                <w:highlight w:val="none"/>
                <w:lang w:eastAsia="zh-CN"/>
              </w:rPr>
              <w:t>按照《浙江省物价局关于资产评估收费问题的通知》（浙价服[2011] 90号）收费标准的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eastAsia="zh-CN"/>
              </w:rPr>
              <w:t>%计取。（资产评估单项评估服务费不足1500元的按1500 元计取；单件标的资产评估费最高不超过15万元）。</w:t>
            </w:r>
          </w:p>
        </w:tc>
        <w:tc>
          <w:tcPr>
            <w:tcW w:w="1904" w:type="dxa"/>
            <w:tcBorders>
              <w:top w:val="single" w:color="auto" w:sz="4" w:space="0"/>
              <w:left w:val="single" w:color="auto" w:sz="4" w:space="0"/>
              <w:bottom w:val="single" w:color="auto" w:sz="4" w:space="0"/>
              <w:right w:val="single" w:color="auto" w:sz="4" w:space="0"/>
            </w:tcBorders>
            <w:vAlign w:val="center"/>
          </w:tcPr>
          <w:p w14:paraId="0A40B06D">
            <w:pPr>
              <w:spacing w:before="156" w:line="440" w:lineRule="exact"/>
              <w:jc w:val="center"/>
              <w:rPr>
                <w:rFonts w:hint="eastAsia" w:ascii="宋体" w:hAnsi="宋体" w:eastAsia="宋体" w:cs="宋体"/>
                <w:color w:val="auto"/>
              </w:rPr>
            </w:pPr>
            <w:r>
              <w:rPr>
                <w:rFonts w:hint="eastAsia" w:ascii="宋体" w:hAnsi="宋体" w:eastAsia="宋体" w:cs="宋体"/>
                <w:b/>
                <w:bCs/>
                <w:color w:val="auto"/>
                <w:highlight w:val="yellow"/>
              </w:rPr>
              <w:t>本次报价仅作为商务报价参与评审，实际合同签订价统一为本项目入围单位中的最低报价。</w:t>
            </w:r>
          </w:p>
        </w:tc>
      </w:tr>
      <w:tr w14:paraId="4DE7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622B3761">
            <w:pPr>
              <w:spacing w:before="156" w:line="440" w:lineRule="exact"/>
              <w:jc w:val="center"/>
              <w:rPr>
                <w:rFonts w:hint="eastAsia" w:ascii="宋体" w:hAnsi="宋体" w:eastAsia="宋体" w:cs="宋体"/>
              </w:rPr>
            </w:pPr>
            <w:r>
              <w:rPr>
                <w:rFonts w:hint="eastAsia" w:ascii="宋体" w:hAnsi="宋体" w:eastAsia="宋体" w:cs="宋体"/>
              </w:rPr>
              <w:t>2</w:t>
            </w:r>
          </w:p>
        </w:tc>
        <w:tc>
          <w:tcPr>
            <w:tcW w:w="2083" w:type="dxa"/>
            <w:tcBorders>
              <w:top w:val="single" w:color="auto" w:sz="4" w:space="0"/>
              <w:left w:val="single" w:color="auto" w:sz="4" w:space="0"/>
              <w:bottom w:val="single" w:color="auto" w:sz="4" w:space="0"/>
              <w:right w:val="single" w:color="auto" w:sz="4" w:space="0"/>
            </w:tcBorders>
            <w:vAlign w:val="center"/>
          </w:tcPr>
          <w:p w14:paraId="472B9A8F">
            <w:pPr>
              <w:spacing w:line="240" w:lineRule="auto"/>
              <w:jc w:val="center"/>
              <w:rPr>
                <w:rFonts w:hint="eastAsia" w:ascii="宋体" w:hAnsi="宋体" w:eastAsia="宋体" w:cs="宋体"/>
                <w:bCs/>
                <w:kern w:val="0"/>
              </w:rPr>
            </w:pPr>
            <w:r>
              <w:rPr>
                <w:rFonts w:hint="eastAsia" w:ascii="宋体" w:hAnsi="宋体" w:eastAsia="宋体" w:cs="宋体"/>
              </w:rPr>
              <w:t>服务期</w:t>
            </w:r>
          </w:p>
        </w:tc>
        <w:tc>
          <w:tcPr>
            <w:tcW w:w="7375" w:type="dxa"/>
            <w:gridSpan w:val="3"/>
            <w:tcBorders>
              <w:top w:val="single" w:color="auto" w:sz="4" w:space="0"/>
              <w:left w:val="single" w:color="auto" w:sz="4" w:space="0"/>
              <w:bottom w:val="single" w:color="auto" w:sz="4" w:space="0"/>
              <w:right w:val="single" w:color="auto" w:sz="4" w:space="0"/>
            </w:tcBorders>
            <w:vAlign w:val="center"/>
          </w:tcPr>
          <w:p w14:paraId="09396167">
            <w:pPr>
              <w:spacing w:before="156" w:line="240" w:lineRule="auto"/>
              <w:jc w:val="center"/>
              <w:rPr>
                <w:rFonts w:hint="eastAsia" w:ascii="宋体" w:hAnsi="宋体" w:eastAsia="宋体" w:cs="宋体"/>
                <w:color w:val="auto"/>
              </w:rPr>
            </w:pPr>
            <w:r>
              <w:rPr>
                <w:rFonts w:hint="eastAsia" w:ascii="宋体" w:hAnsi="宋体" w:eastAsia="宋体" w:cs="宋体"/>
                <w:color w:val="auto"/>
              </w:rPr>
              <w:t>一年</w:t>
            </w:r>
          </w:p>
        </w:tc>
      </w:tr>
      <w:tr w14:paraId="520E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14:paraId="5DAC3F2C">
            <w:pPr>
              <w:spacing w:before="156" w:line="440" w:lineRule="exact"/>
              <w:jc w:val="center"/>
              <w:rPr>
                <w:rFonts w:hint="eastAsia" w:ascii="宋体" w:hAnsi="宋体" w:eastAsia="宋体" w:cs="宋体"/>
              </w:rPr>
            </w:pPr>
            <w:r>
              <w:rPr>
                <w:rFonts w:hint="eastAsia" w:ascii="宋体" w:hAnsi="宋体" w:eastAsia="宋体" w:cs="宋体"/>
              </w:rPr>
              <w:t>3</w:t>
            </w:r>
          </w:p>
        </w:tc>
        <w:tc>
          <w:tcPr>
            <w:tcW w:w="2083" w:type="dxa"/>
            <w:tcBorders>
              <w:top w:val="single" w:color="auto" w:sz="4" w:space="0"/>
              <w:left w:val="single" w:color="auto" w:sz="4" w:space="0"/>
              <w:bottom w:val="single" w:color="auto" w:sz="4" w:space="0"/>
              <w:right w:val="single" w:color="auto" w:sz="4" w:space="0"/>
            </w:tcBorders>
            <w:vAlign w:val="center"/>
          </w:tcPr>
          <w:p w14:paraId="150CAAB3">
            <w:pPr>
              <w:spacing w:line="240" w:lineRule="auto"/>
              <w:jc w:val="center"/>
              <w:rPr>
                <w:rFonts w:hint="eastAsia" w:ascii="宋体" w:hAnsi="宋体" w:eastAsia="宋体" w:cs="宋体"/>
                <w:kern w:val="2"/>
              </w:rPr>
            </w:pPr>
            <w:r>
              <w:rPr>
                <w:rFonts w:hint="eastAsia" w:ascii="宋体" w:hAnsi="宋体" w:eastAsia="宋体" w:cs="宋体"/>
              </w:rPr>
              <w:t>质量目标</w:t>
            </w:r>
          </w:p>
        </w:tc>
        <w:tc>
          <w:tcPr>
            <w:tcW w:w="7375" w:type="dxa"/>
            <w:gridSpan w:val="3"/>
            <w:tcBorders>
              <w:top w:val="single" w:color="auto" w:sz="4" w:space="0"/>
              <w:left w:val="single" w:color="auto" w:sz="4" w:space="0"/>
              <w:bottom w:val="single" w:color="auto" w:sz="4" w:space="0"/>
              <w:right w:val="single" w:color="auto" w:sz="4" w:space="0"/>
            </w:tcBorders>
            <w:vAlign w:val="center"/>
          </w:tcPr>
          <w:p w14:paraId="110F7644">
            <w:pPr>
              <w:spacing w:before="156" w:line="240" w:lineRule="auto"/>
              <w:jc w:val="center"/>
              <w:rPr>
                <w:rFonts w:hint="eastAsia" w:ascii="宋体" w:hAnsi="宋体" w:eastAsia="宋体" w:cs="宋体"/>
              </w:rPr>
            </w:pPr>
            <w:r>
              <w:rPr>
                <w:rFonts w:hint="eastAsia" w:ascii="宋体" w:hAnsi="宋体" w:eastAsia="宋体" w:cs="宋体"/>
              </w:rPr>
              <w:t>合格</w:t>
            </w:r>
          </w:p>
        </w:tc>
      </w:tr>
    </w:tbl>
    <w:p w14:paraId="2671B9B0">
      <w:pPr>
        <w:spacing w:line="480" w:lineRule="exact"/>
        <w:rPr>
          <w:rFonts w:hint="eastAsia" w:ascii="宋体" w:hAnsi="宋体" w:eastAsia="宋体" w:cs="宋体"/>
          <w:lang w:val="zh-CN"/>
        </w:rPr>
      </w:pPr>
      <w:r>
        <w:rPr>
          <w:rFonts w:hint="eastAsia" w:ascii="宋体" w:hAnsi="宋体" w:eastAsia="宋体" w:cs="宋体"/>
          <w:lang w:val="zh-CN"/>
        </w:rPr>
        <w:t>注：1</w:t>
      </w:r>
      <w:r>
        <w:rPr>
          <w:rFonts w:hint="eastAsia" w:ascii="宋体" w:hAnsi="宋体" w:eastAsia="宋体" w:cs="宋体"/>
          <w:lang w:val="en-US" w:eastAsia="zh-CN"/>
        </w:rPr>
        <w:t>.</w:t>
      </w:r>
      <w:r>
        <w:rPr>
          <w:rFonts w:hint="eastAsia" w:ascii="宋体" w:hAnsi="宋体" w:eastAsia="宋体" w:cs="宋体"/>
          <w:lang w:val="zh-CN"/>
        </w:rPr>
        <w:t>投标人需按本表格式</w:t>
      </w:r>
      <w:r>
        <w:rPr>
          <w:rFonts w:hint="eastAsia" w:ascii="宋体" w:hAnsi="宋体" w:eastAsia="宋体" w:cs="宋体"/>
          <w:lang w:val="en-US" w:eastAsia="zh-CN"/>
        </w:rPr>
        <w:t>提供相应报价文件</w:t>
      </w:r>
      <w:r>
        <w:rPr>
          <w:rFonts w:hint="eastAsia" w:ascii="宋体" w:hAnsi="宋体" w:eastAsia="宋体" w:cs="宋体"/>
          <w:lang w:val="zh-CN"/>
        </w:rPr>
        <w:t>，不得自行更改，投标报价以人民币元为结算币种。</w:t>
      </w:r>
    </w:p>
    <w:p w14:paraId="06A9B4B0">
      <w:pPr>
        <w:spacing w:line="480" w:lineRule="exact"/>
        <w:ind w:firstLine="48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b/>
          <w:bCs/>
          <w:color w:val="auto"/>
        </w:rPr>
        <w:t>合同签订价</w:t>
      </w:r>
      <w:r>
        <w:rPr>
          <w:rFonts w:hint="eastAsia" w:ascii="宋体" w:hAnsi="宋体" w:eastAsia="宋体" w:cs="宋体"/>
          <w:color w:val="auto"/>
        </w:rPr>
        <w:t>包括</w:t>
      </w:r>
      <w:r>
        <w:rPr>
          <w:rFonts w:hint="eastAsia" w:ascii="宋体" w:hAnsi="宋体" w:eastAsia="宋体" w:cs="宋体"/>
        </w:rPr>
        <w:t>完成该项目全部系列活动组织全部直接费用、间接费用、管理费用、风险费、税费等一切费用。</w:t>
      </w:r>
    </w:p>
    <w:p w14:paraId="593DAA17">
      <w:pPr>
        <w:snapToGrid w:val="0"/>
        <w:spacing w:line="480" w:lineRule="exact"/>
        <w:ind w:firstLine="482" w:firstLineChars="200"/>
        <w:jc w:val="left"/>
        <w:rPr>
          <w:rFonts w:hint="eastAsia" w:ascii="宋体" w:hAnsi="宋体" w:eastAsia="宋体" w:cs="宋体"/>
          <w:b/>
          <w:bCs/>
          <w:kern w:val="0"/>
          <w:lang w:val="zh-CN"/>
        </w:rPr>
      </w:pPr>
      <w:r>
        <w:rPr>
          <w:rFonts w:hint="eastAsia" w:ascii="宋体" w:hAnsi="宋体" w:eastAsia="宋体" w:cs="宋体"/>
          <w:b/>
          <w:bCs/>
          <w:kern w:val="0"/>
        </w:rPr>
        <w:t>3</w:t>
      </w:r>
      <w:r>
        <w:rPr>
          <w:rFonts w:hint="eastAsia" w:ascii="宋体" w:hAnsi="宋体" w:eastAsia="宋体" w:cs="宋体"/>
          <w:b/>
          <w:bCs/>
          <w:kern w:val="0"/>
          <w:lang w:val="en-US" w:eastAsia="zh-CN"/>
        </w:rPr>
        <w:t>.</w:t>
      </w:r>
      <w:r>
        <w:rPr>
          <w:rFonts w:hint="eastAsia" w:ascii="宋体" w:hAnsi="宋体" w:eastAsia="宋体" w:cs="宋体"/>
          <w:b/>
          <w:bCs/>
          <w:kern w:val="0"/>
          <w:lang w:val="zh-CN"/>
        </w:rPr>
        <w:t>“报价一览表”为多页的，每页均需由投标人法定代表人或授权代表签名或签章并加盖投标人电子签章。</w:t>
      </w:r>
    </w:p>
    <w:p w14:paraId="460D9D1C">
      <w:pPr>
        <w:snapToGrid w:val="0"/>
        <w:spacing w:line="480" w:lineRule="exact"/>
        <w:ind w:firstLine="480" w:firstLineChars="200"/>
        <w:jc w:val="left"/>
        <w:rPr>
          <w:rFonts w:hint="eastAsia" w:ascii="宋体" w:hAnsi="宋体" w:eastAsia="宋体" w:cs="宋体"/>
          <w:b/>
          <w:bCs/>
          <w:kern w:val="0"/>
          <w:lang w:val="zh-CN"/>
        </w:rPr>
      </w:pPr>
      <w:r>
        <w:rPr>
          <w:rFonts w:hint="eastAsia" w:ascii="宋体" w:hAnsi="宋体" w:eastAsia="宋体" w:cs="宋体"/>
          <w:kern w:val="0"/>
        </w:rPr>
        <w:t>4</w:t>
      </w:r>
      <w:r>
        <w:rPr>
          <w:rFonts w:hint="eastAsia" w:ascii="宋体" w:hAnsi="宋体" w:eastAsia="宋体" w:cs="宋体"/>
          <w:kern w:val="0"/>
          <w:lang w:val="en-US" w:eastAsia="zh-CN"/>
        </w:rPr>
        <w:t>.</w:t>
      </w:r>
      <w:r>
        <w:rPr>
          <w:rFonts w:hint="eastAsia" w:ascii="宋体" w:hAnsi="宋体" w:eastAsia="宋体" w:cs="宋体"/>
          <w:kern w:val="0"/>
        </w:rPr>
        <w:t>投标报价保留两位小数（即**.**%）。</w:t>
      </w:r>
    </w:p>
    <w:p w14:paraId="71A466E3">
      <w:pPr>
        <w:pStyle w:val="36"/>
        <w:snapToGrid w:val="0"/>
        <w:spacing w:line="480" w:lineRule="exact"/>
        <w:rPr>
          <w:rFonts w:hint="eastAsia" w:ascii="宋体" w:hAnsi="宋体" w:eastAsia="宋体" w:cs="宋体"/>
          <w:color w:val="000000"/>
          <w:szCs w:val="24"/>
        </w:rPr>
      </w:pPr>
    </w:p>
    <w:p w14:paraId="2774EE74">
      <w:pPr>
        <w:pStyle w:val="36"/>
        <w:snapToGrid w:val="0"/>
        <w:spacing w:line="480" w:lineRule="exact"/>
        <w:rPr>
          <w:rFonts w:hint="eastAsia" w:ascii="宋体" w:hAnsi="宋体" w:eastAsia="宋体" w:cs="宋体"/>
          <w:color w:val="000000"/>
          <w:szCs w:val="24"/>
        </w:rPr>
      </w:pPr>
      <w:r>
        <w:rPr>
          <w:rFonts w:hint="eastAsia" w:ascii="宋体" w:hAnsi="宋体" w:eastAsia="宋体" w:cs="宋体"/>
          <w:color w:val="000000"/>
          <w:szCs w:val="24"/>
        </w:rPr>
        <w:t>投标人全称（电子签章）：</w:t>
      </w:r>
      <w:r>
        <w:rPr>
          <w:rFonts w:hint="eastAsia" w:ascii="宋体" w:hAnsi="宋体" w:eastAsia="宋体" w:cs="宋体"/>
          <w:color w:val="000000"/>
          <w:szCs w:val="24"/>
          <w:u w:val="single"/>
        </w:rPr>
        <w:t xml:space="preserve">                         </w:t>
      </w:r>
    </w:p>
    <w:p w14:paraId="2DAEBCAC">
      <w:pPr>
        <w:snapToGrid w:val="0"/>
        <w:spacing w:line="480" w:lineRule="exact"/>
        <w:ind w:right="600"/>
        <w:rPr>
          <w:rFonts w:hint="eastAsia" w:ascii="宋体" w:hAnsi="宋体" w:eastAsia="宋体" w:cs="宋体"/>
          <w:color w:val="000000"/>
        </w:rPr>
      </w:pPr>
      <w:r>
        <w:rPr>
          <w:rFonts w:hint="eastAsia" w:ascii="宋体" w:hAnsi="宋体" w:eastAsia="宋体" w:cs="宋体"/>
          <w:color w:val="000000"/>
        </w:rPr>
        <w:t>法定代表人或授权代表（签名或盖章）：</w:t>
      </w:r>
      <w:r>
        <w:rPr>
          <w:rFonts w:hint="eastAsia" w:ascii="宋体" w:hAnsi="宋体" w:eastAsia="宋体" w:cs="宋体"/>
          <w:color w:val="000000"/>
          <w:u w:val="single"/>
        </w:rPr>
        <w:t xml:space="preserve">             </w:t>
      </w:r>
    </w:p>
    <w:p w14:paraId="23AD61B2">
      <w:pPr>
        <w:snapToGrid w:val="0"/>
        <w:spacing w:after="50" w:line="480" w:lineRule="auto"/>
        <w:rPr>
          <w:rFonts w:hint="eastAsia" w:ascii="宋体" w:hAnsi="宋体" w:eastAsia="宋体" w:cs="宋体"/>
          <w:color w:val="000000"/>
          <w:u w:val="single"/>
        </w:rPr>
      </w:pPr>
      <w:r>
        <w:rPr>
          <w:rFonts w:hint="eastAsia" w:ascii="宋体" w:hAnsi="宋体" w:eastAsia="宋体" w:cs="宋体"/>
          <w:color w:val="000000"/>
        </w:rPr>
        <w:t>日期：</w:t>
      </w:r>
      <w:r>
        <w:rPr>
          <w:rFonts w:hint="eastAsia" w:ascii="宋体" w:hAnsi="宋体" w:eastAsia="宋体" w:cs="宋体"/>
          <w:color w:val="000000"/>
          <w:u w:val="single"/>
        </w:rPr>
        <w:t xml:space="preserve">       年    月    日</w:t>
      </w:r>
    </w:p>
    <w:p w14:paraId="1DBA2516">
      <w:pPr>
        <w:snapToGrid w:val="0"/>
        <w:spacing w:after="50" w:line="480" w:lineRule="auto"/>
        <w:rPr>
          <w:rFonts w:hint="eastAsia" w:ascii="宋体" w:hAnsi="宋体" w:eastAsia="宋体" w:cs="宋体"/>
          <w:color w:val="000000"/>
          <w:u w:val="single"/>
        </w:rPr>
      </w:pPr>
    </w:p>
    <w:p w14:paraId="5ED40805">
      <w:pPr>
        <w:snapToGrid w:val="0"/>
        <w:spacing w:after="50" w:line="480" w:lineRule="auto"/>
        <w:rPr>
          <w:rFonts w:hint="eastAsia" w:ascii="宋体" w:hAnsi="宋体" w:eastAsia="宋体" w:cs="宋体"/>
          <w:color w:val="000000"/>
          <w:u w:val="single"/>
        </w:rPr>
      </w:pPr>
    </w:p>
    <w:p w14:paraId="522EC53A">
      <w:pPr>
        <w:pStyle w:val="5"/>
        <w:spacing w:line="400" w:lineRule="exact"/>
        <w:ind w:firstLine="0"/>
        <w:rPr>
          <w:rFonts w:hint="eastAsia" w:ascii="宋体" w:hAnsi="宋体" w:eastAsia="宋体" w:cs="宋体"/>
          <w:b/>
          <w:spacing w:val="0"/>
          <w:sz w:val="32"/>
          <w:szCs w:val="32"/>
        </w:rPr>
      </w:pPr>
      <w:r>
        <w:rPr>
          <w:rFonts w:hint="eastAsia" w:ascii="宋体" w:hAnsi="宋体" w:eastAsia="宋体" w:cs="宋体"/>
          <w:b/>
          <w:spacing w:val="0"/>
          <w:sz w:val="32"/>
          <w:szCs w:val="32"/>
        </w:rPr>
        <w:t>询问函范本：</w:t>
      </w:r>
    </w:p>
    <w:p w14:paraId="4999C33F">
      <w:pPr>
        <w:rPr>
          <w:rFonts w:hint="eastAsia" w:ascii="宋体" w:hAnsi="宋体" w:eastAsia="宋体" w:cs="宋体"/>
        </w:rPr>
      </w:pPr>
    </w:p>
    <w:p w14:paraId="61D852CF">
      <w:pPr>
        <w:pStyle w:val="31"/>
        <w:rPr>
          <w:rFonts w:hint="eastAsia" w:ascii="宋体" w:hAnsi="宋体" w:eastAsia="宋体" w:cs="宋体"/>
        </w:rPr>
      </w:pPr>
    </w:p>
    <w:p w14:paraId="59E63257">
      <w:pPr>
        <w:spacing w:line="240" w:lineRule="auto"/>
        <w:jc w:val="center"/>
        <w:rPr>
          <w:rFonts w:hint="eastAsia" w:ascii="宋体" w:hAnsi="宋体" w:eastAsia="宋体" w:cs="宋体"/>
        </w:rPr>
      </w:pPr>
      <w:r>
        <w:rPr>
          <w:rFonts w:hint="eastAsia" w:ascii="宋体" w:hAnsi="宋体" w:eastAsia="宋体" w:cs="宋体"/>
        </w:rPr>
        <w:t>关于XXX项目公开招标的询问函</w:t>
      </w:r>
    </w:p>
    <w:p w14:paraId="1A45879E">
      <w:pPr>
        <w:snapToGrid w:val="0"/>
        <w:ind w:firstLine="480" w:firstLineChars="200"/>
        <w:rPr>
          <w:rFonts w:hint="eastAsia" w:ascii="宋体" w:hAnsi="宋体" w:eastAsia="宋体" w:cs="宋体"/>
        </w:rPr>
      </w:pPr>
    </w:p>
    <w:p w14:paraId="48406424">
      <w:pPr>
        <w:snapToGrid w:val="0"/>
        <w:ind w:firstLine="480" w:firstLineChars="200"/>
        <w:rPr>
          <w:rFonts w:hint="eastAsia" w:ascii="宋体" w:hAnsi="宋体" w:eastAsia="宋体" w:cs="宋体"/>
        </w:rPr>
      </w:pPr>
      <w:r>
        <w:rPr>
          <w:rFonts w:hint="eastAsia" w:ascii="宋体" w:hAnsi="宋体" w:eastAsia="宋体" w:cs="宋体"/>
        </w:rPr>
        <w:t>关于（项目名称）（项目编号）（项目标项）我公司有以下几点疑问：</w:t>
      </w:r>
    </w:p>
    <w:p w14:paraId="4D71505E">
      <w:pPr>
        <w:snapToGrid w:val="0"/>
        <w:ind w:firstLine="480" w:firstLineChars="200"/>
        <w:rPr>
          <w:rFonts w:hint="eastAsia" w:ascii="宋体" w:hAnsi="宋体" w:eastAsia="宋体" w:cs="宋体"/>
        </w:rPr>
      </w:pPr>
      <w:r>
        <w:rPr>
          <w:rFonts w:hint="eastAsia" w:ascii="宋体" w:hAnsi="宋体" w:eastAsia="宋体" w:cs="宋体"/>
        </w:rPr>
        <w:t>询问事项一：（请明确</w:t>
      </w:r>
      <w:r>
        <w:rPr>
          <w:rFonts w:hint="eastAsia" w:ascii="宋体" w:hAnsi="宋体" w:eastAsia="宋体" w:cs="宋体"/>
          <w:bCs/>
        </w:rPr>
        <w:t>具体内容，并附</w:t>
      </w:r>
      <w:r>
        <w:rPr>
          <w:rFonts w:hint="eastAsia" w:ascii="宋体" w:hAnsi="宋体" w:eastAsia="宋体" w:cs="宋体"/>
        </w:rPr>
        <w:t>事实依据。）</w:t>
      </w:r>
    </w:p>
    <w:p w14:paraId="2E2C30F4">
      <w:pPr>
        <w:snapToGrid w:val="0"/>
        <w:ind w:firstLine="480" w:firstLineChars="200"/>
        <w:rPr>
          <w:rFonts w:hint="eastAsia" w:ascii="宋体" w:hAnsi="宋体" w:eastAsia="宋体" w:cs="宋体"/>
        </w:rPr>
      </w:pPr>
      <w:r>
        <w:rPr>
          <w:rFonts w:hint="eastAsia" w:ascii="宋体" w:hAnsi="宋体" w:eastAsia="宋体" w:cs="宋体"/>
        </w:rPr>
        <w:t>询问事项二：  ...</w:t>
      </w:r>
    </w:p>
    <w:p w14:paraId="5D60D0B9">
      <w:pPr>
        <w:rPr>
          <w:rFonts w:hint="eastAsia" w:ascii="宋体" w:hAnsi="宋体" w:eastAsia="宋体" w:cs="宋体"/>
        </w:rPr>
      </w:pPr>
    </w:p>
    <w:p w14:paraId="2A31E052">
      <w:pPr>
        <w:pStyle w:val="5"/>
        <w:rPr>
          <w:rFonts w:hint="eastAsia" w:ascii="宋体" w:hAnsi="宋体" w:eastAsia="宋体" w:cs="宋体"/>
          <w:sz w:val="24"/>
        </w:rPr>
      </w:pPr>
    </w:p>
    <w:p w14:paraId="49724276">
      <w:pPr>
        <w:ind w:firstLine="4535"/>
        <w:rPr>
          <w:rFonts w:hint="eastAsia" w:ascii="宋体" w:hAnsi="宋体" w:eastAsia="宋体" w:cs="宋体"/>
        </w:rPr>
      </w:pPr>
      <w:r>
        <w:rPr>
          <w:rFonts w:hint="eastAsia" w:ascii="宋体" w:hAnsi="宋体" w:eastAsia="宋体" w:cs="宋体"/>
        </w:rPr>
        <w:t xml:space="preserve">供应商全称（盖章）：              </w:t>
      </w:r>
    </w:p>
    <w:p w14:paraId="58B212D3">
      <w:pPr>
        <w:ind w:firstLine="4535"/>
        <w:rPr>
          <w:rFonts w:hint="eastAsia" w:ascii="宋体" w:hAnsi="宋体" w:eastAsia="宋体" w:cs="宋体"/>
        </w:rPr>
      </w:pPr>
      <w:r>
        <w:rPr>
          <w:rFonts w:hint="eastAsia" w:ascii="宋体" w:hAnsi="宋体" w:eastAsia="宋体" w:cs="宋体"/>
        </w:rPr>
        <w:t xml:space="preserve">法定代表人（签名或签章）：                                                </w:t>
      </w:r>
    </w:p>
    <w:p w14:paraId="55A0A465">
      <w:pPr>
        <w:ind w:firstLine="4535"/>
        <w:rPr>
          <w:rFonts w:hint="eastAsia" w:ascii="宋体" w:hAnsi="宋体" w:eastAsia="宋体" w:cs="宋体"/>
        </w:rPr>
      </w:pPr>
      <w:r>
        <w:rPr>
          <w:rFonts w:hint="eastAsia" w:ascii="宋体" w:hAnsi="宋体" w:eastAsia="宋体" w:cs="宋体"/>
        </w:rPr>
        <w:t xml:space="preserve">授权代表（签名）：                                           </w:t>
      </w:r>
    </w:p>
    <w:p w14:paraId="03BAA299">
      <w:pPr>
        <w:ind w:firstLine="4535"/>
        <w:rPr>
          <w:rFonts w:hint="eastAsia" w:ascii="宋体" w:hAnsi="宋体" w:eastAsia="宋体" w:cs="宋体"/>
        </w:rPr>
      </w:pPr>
      <w:r>
        <w:rPr>
          <w:rFonts w:hint="eastAsia" w:ascii="宋体" w:hAnsi="宋体" w:eastAsia="宋体" w:cs="宋体"/>
        </w:rPr>
        <w:t xml:space="preserve">联系电话（手机）：                  </w:t>
      </w:r>
    </w:p>
    <w:p w14:paraId="010B7F49">
      <w:pPr>
        <w:ind w:firstLine="4535"/>
        <w:rPr>
          <w:rFonts w:hint="eastAsia" w:ascii="宋体" w:hAnsi="宋体" w:eastAsia="宋体" w:cs="宋体"/>
        </w:rPr>
      </w:pPr>
      <w:r>
        <w:rPr>
          <w:rFonts w:hint="eastAsia" w:ascii="宋体" w:hAnsi="宋体" w:eastAsia="宋体" w:cs="宋体"/>
        </w:rPr>
        <w:t xml:space="preserve">电子邮箱：                        </w:t>
      </w:r>
    </w:p>
    <w:p w14:paraId="538B7FB1">
      <w:pPr>
        <w:ind w:firstLine="4535"/>
        <w:rPr>
          <w:rFonts w:hint="eastAsia" w:ascii="宋体" w:hAnsi="宋体" w:eastAsia="宋体" w:cs="宋体"/>
        </w:rPr>
      </w:pPr>
      <w:r>
        <w:rPr>
          <w:rFonts w:hint="eastAsia" w:ascii="宋体" w:hAnsi="宋体" w:eastAsia="宋体" w:cs="宋体"/>
        </w:rPr>
        <w:t xml:space="preserve">询问日期：                        </w:t>
      </w:r>
    </w:p>
    <w:p w14:paraId="2556CCB4">
      <w:pPr>
        <w:spacing w:line="240" w:lineRule="auto"/>
        <w:rPr>
          <w:rFonts w:hint="eastAsia" w:ascii="宋体" w:hAnsi="宋体" w:eastAsia="宋体" w:cs="宋体"/>
        </w:rPr>
      </w:pPr>
      <w:r>
        <w:rPr>
          <w:rFonts w:hint="eastAsia" w:ascii="宋体" w:hAnsi="宋体" w:eastAsia="宋体" w:cs="宋体"/>
        </w:rPr>
        <w:t xml:space="preserve"> </w:t>
      </w:r>
    </w:p>
    <w:p w14:paraId="3832E57A">
      <w:pPr>
        <w:rPr>
          <w:rFonts w:hint="eastAsia" w:ascii="宋体" w:hAnsi="宋体" w:eastAsia="宋体" w:cs="宋体"/>
        </w:rPr>
      </w:pPr>
    </w:p>
    <w:p w14:paraId="330C4269">
      <w:pPr>
        <w:adjustRightInd w:val="0"/>
        <w:snapToGrid w:val="0"/>
        <w:spacing w:line="560" w:lineRule="exact"/>
        <w:jc w:val="center"/>
        <w:rPr>
          <w:rFonts w:hint="eastAsia" w:ascii="宋体" w:hAnsi="宋体" w:eastAsia="宋体" w:cs="宋体"/>
        </w:rPr>
      </w:pPr>
    </w:p>
    <w:p w14:paraId="25BDDD08">
      <w:pPr>
        <w:pStyle w:val="31"/>
        <w:rPr>
          <w:rFonts w:hint="eastAsia" w:ascii="宋体" w:hAnsi="宋体" w:eastAsia="宋体" w:cs="宋体"/>
        </w:rPr>
      </w:pPr>
    </w:p>
    <w:p w14:paraId="750AC6F0">
      <w:pPr>
        <w:rPr>
          <w:rFonts w:hint="eastAsia" w:ascii="宋体" w:hAnsi="宋体" w:eastAsia="宋体" w:cs="宋体"/>
        </w:rPr>
      </w:pPr>
    </w:p>
    <w:p w14:paraId="3C8010D5">
      <w:pPr>
        <w:pStyle w:val="31"/>
        <w:rPr>
          <w:rFonts w:hint="eastAsia" w:ascii="宋体" w:hAnsi="宋体" w:eastAsia="宋体" w:cs="宋体"/>
        </w:rPr>
      </w:pPr>
    </w:p>
    <w:p w14:paraId="3717B306">
      <w:pPr>
        <w:rPr>
          <w:rFonts w:hint="eastAsia" w:ascii="宋体" w:hAnsi="宋体" w:eastAsia="宋体" w:cs="宋体"/>
        </w:rPr>
      </w:pPr>
    </w:p>
    <w:p w14:paraId="12892148">
      <w:pPr>
        <w:pStyle w:val="31"/>
        <w:rPr>
          <w:rFonts w:hint="eastAsia" w:ascii="宋体" w:hAnsi="宋体" w:eastAsia="宋体" w:cs="宋体"/>
        </w:rPr>
      </w:pPr>
    </w:p>
    <w:p w14:paraId="3AAF2825">
      <w:pPr>
        <w:rPr>
          <w:rFonts w:hint="eastAsia" w:ascii="宋体" w:hAnsi="宋体" w:eastAsia="宋体" w:cs="宋体"/>
        </w:rPr>
      </w:pPr>
    </w:p>
    <w:p w14:paraId="38B7FC86">
      <w:pPr>
        <w:pStyle w:val="31"/>
        <w:rPr>
          <w:rFonts w:hint="eastAsia" w:ascii="宋体" w:hAnsi="宋体" w:eastAsia="宋体" w:cs="宋体"/>
        </w:rPr>
      </w:pPr>
    </w:p>
    <w:p w14:paraId="316D7E25">
      <w:pPr>
        <w:rPr>
          <w:rFonts w:hint="eastAsia" w:ascii="宋体" w:hAnsi="宋体" w:eastAsia="宋体" w:cs="宋体"/>
        </w:rPr>
      </w:pPr>
    </w:p>
    <w:p w14:paraId="336D9FE4">
      <w:pPr>
        <w:pStyle w:val="2"/>
        <w:rPr>
          <w:rFonts w:hint="eastAsia" w:ascii="宋体" w:hAnsi="宋体" w:eastAsia="宋体" w:cs="宋体"/>
        </w:rPr>
      </w:pPr>
    </w:p>
    <w:p w14:paraId="162C6D59">
      <w:pPr>
        <w:rPr>
          <w:rFonts w:hint="eastAsia" w:ascii="宋体" w:hAnsi="宋体" w:eastAsia="宋体" w:cs="宋体"/>
        </w:rPr>
      </w:pPr>
    </w:p>
    <w:p w14:paraId="5E1F0DA2">
      <w:pPr>
        <w:pStyle w:val="2"/>
        <w:rPr>
          <w:rFonts w:hint="eastAsia" w:ascii="宋体" w:hAnsi="宋体" w:eastAsia="宋体" w:cs="宋体"/>
        </w:rPr>
      </w:pPr>
    </w:p>
    <w:p w14:paraId="4D72E464">
      <w:pPr>
        <w:spacing w:before="156"/>
        <w:jc w:val="center"/>
        <w:rPr>
          <w:rFonts w:hint="eastAsia" w:ascii="宋体" w:hAnsi="宋体" w:eastAsia="宋体" w:cs="宋体"/>
          <w:b/>
          <w:sz w:val="32"/>
        </w:rPr>
      </w:pPr>
      <w:r>
        <w:rPr>
          <w:rFonts w:hint="eastAsia" w:ascii="宋体" w:hAnsi="宋体" w:eastAsia="宋体" w:cs="宋体"/>
          <w:b/>
          <w:sz w:val="30"/>
          <w:szCs w:val="30"/>
        </w:rPr>
        <w:t>投标文件封面</w:t>
      </w:r>
      <w:r>
        <w:rPr>
          <w:rFonts w:hint="eastAsia" w:ascii="宋体" w:hAnsi="宋体" w:eastAsia="宋体" w:cs="宋体"/>
          <w:b/>
          <w:sz w:val="32"/>
        </w:rPr>
        <w:t>（格式供参考）</w:t>
      </w:r>
    </w:p>
    <w:p w14:paraId="27B532EA">
      <w:pPr>
        <w:spacing w:before="156"/>
        <w:jc w:val="center"/>
        <w:rPr>
          <w:rFonts w:hint="eastAsia" w:ascii="宋体" w:hAnsi="宋体" w:eastAsia="宋体" w:cs="宋体"/>
          <w:b/>
          <w:sz w:val="52"/>
          <w:szCs w:val="52"/>
        </w:rPr>
      </w:pPr>
      <w:r>
        <w:rPr>
          <w:rFonts w:hint="eastAsia" w:ascii="宋体" w:hAnsi="宋体" w:eastAsia="宋体" w:cs="宋体"/>
          <w:b/>
          <w:sz w:val="52"/>
          <w:szCs w:val="52"/>
        </w:rPr>
        <w:t>资格文件</w:t>
      </w:r>
    </w:p>
    <w:p w14:paraId="5F969BF6">
      <w:pPr>
        <w:spacing w:before="156"/>
        <w:rPr>
          <w:rFonts w:hint="eastAsia" w:ascii="宋体" w:hAnsi="宋体" w:eastAsia="宋体" w:cs="宋体"/>
          <w:b/>
          <w:sz w:val="28"/>
          <w:szCs w:val="28"/>
        </w:rPr>
      </w:pPr>
    </w:p>
    <w:p w14:paraId="7463BB15">
      <w:pPr>
        <w:spacing w:before="156"/>
        <w:rPr>
          <w:rFonts w:hint="eastAsia" w:ascii="宋体" w:hAnsi="宋体" w:eastAsia="宋体" w:cs="宋体"/>
          <w:b/>
          <w:sz w:val="30"/>
          <w:szCs w:val="30"/>
        </w:rPr>
      </w:pPr>
      <w:r>
        <w:rPr>
          <w:rFonts w:hint="eastAsia" w:ascii="宋体" w:hAnsi="宋体" w:eastAsia="宋体" w:cs="宋体"/>
          <w:b/>
          <w:sz w:val="30"/>
          <w:szCs w:val="30"/>
        </w:rPr>
        <w:t>项目名称：</w:t>
      </w:r>
      <w:r>
        <w:rPr>
          <w:rFonts w:hint="eastAsia" w:ascii="宋体" w:hAnsi="宋体" w:eastAsia="宋体" w:cs="宋体"/>
          <w:b/>
          <w:sz w:val="30"/>
          <w:szCs w:val="30"/>
          <w:u w:val="single"/>
        </w:rPr>
        <w:t xml:space="preserve">                                    </w:t>
      </w:r>
    </w:p>
    <w:p w14:paraId="16B873EB">
      <w:pPr>
        <w:spacing w:before="156"/>
        <w:rPr>
          <w:rFonts w:hint="eastAsia" w:ascii="宋体" w:hAnsi="宋体" w:eastAsia="宋体" w:cs="宋体"/>
          <w:b/>
          <w:sz w:val="30"/>
          <w:szCs w:val="30"/>
        </w:rPr>
      </w:pPr>
      <w:r>
        <w:rPr>
          <w:rFonts w:hint="eastAsia" w:ascii="宋体" w:hAnsi="宋体" w:eastAsia="宋体" w:cs="宋体"/>
          <w:b/>
          <w:sz w:val="30"/>
          <w:szCs w:val="30"/>
        </w:rPr>
        <w:t>项目编号：</w:t>
      </w:r>
      <w:r>
        <w:rPr>
          <w:rFonts w:hint="eastAsia" w:ascii="宋体" w:hAnsi="宋体" w:eastAsia="宋体" w:cs="宋体"/>
          <w:b/>
          <w:sz w:val="30"/>
          <w:szCs w:val="30"/>
          <w:u w:val="single"/>
        </w:rPr>
        <w:t xml:space="preserve">                                    </w:t>
      </w:r>
    </w:p>
    <w:p w14:paraId="5E2C062D">
      <w:pPr>
        <w:spacing w:before="156"/>
        <w:rPr>
          <w:rFonts w:hint="eastAsia" w:ascii="宋体" w:hAnsi="宋体" w:eastAsia="宋体" w:cs="宋体"/>
          <w:b/>
          <w:sz w:val="30"/>
          <w:szCs w:val="30"/>
        </w:rPr>
      </w:pPr>
      <w:r>
        <w:rPr>
          <w:rFonts w:hint="eastAsia" w:ascii="宋体" w:hAnsi="宋体" w:eastAsia="宋体" w:cs="宋体"/>
          <w:b/>
          <w:sz w:val="30"/>
          <w:szCs w:val="30"/>
        </w:rPr>
        <w:t>投标人全称（电子签章）：</w:t>
      </w:r>
      <w:r>
        <w:rPr>
          <w:rFonts w:hint="eastAsia" w:ascii="宋体" w:hAnsi="宋体" w:eastAsia="宋体" w:cs="宋体"/>
          <w:b/>
          <w:sz w:val="30"/>
          <w:szCs w:val="30"/>
          <w:u w:val="single"/>
        </w:rPr>
        <w:t xml:space="preserve">                        </w:t>
      </w:r>
    </w:p>
    <w:p w14:paraId="6A1655C7">
      <w:pPr>
        <w:spacing w:before="156"/>
        <w:rPr>
          <w:rFonts w:hint="eastAsia" w:ascii="宋体" w:hAnsi="宋体" w:eastAsia="宋体" w:cs="宋体"/>
          <w:b/>
          <w:sz w:val="30"/>
          <w:szCs w:val="30"/>
        </w:rPr>
      </w:pPr>
      <w:r>
        <w:rPr>
          <w:rFonts w:hint="eastAsia" w:ascii="宋体" w:hAnsi="宋体" w:eastAsia="宋体" w:cs="宋体"/>
          <w:b/>
          <w:sz w:val="30"/>
          <w:szCs w:val="30"/>
        </w:rPr>
        <w:t>法定代表人或授权代表（签名或盖章）：</w:t>
      </w:r>
      <w:r>
        <w:rPr>
          <w:rFonts w:hint="eastAsia" w:ascii="宋体" w:hAnsi="宋体" w:eastAsia="宋体" w:cs="宋体"/>
          <w:b/>
          <w:sz w:val="30"/>
          <w:szCs w:val="30"/>
          <w:u w:val="single"/>
        </w:rPr>
        <w:t xml:space="preserve">              </w:t>
      </w:r>
    </w:p>
    <w:p w14:paraId="0E53B86D">
      <w:pPr>
        <w:spacing w:before="156"/>
        <w:rPr>
          <w:rFonts w:hint="eastAsia" w:ascii="宋体" w:hAnsi="宋体" w:eastAsia="宋体" w:cs="宋体"/>
          <w:b/>
          <w:sz w:val="30"/>
          <w:szCs w:val="30"/>
        </w:rPr>
      </w:pPr>
    </w:p>
    <w:p w14:paraId="01F36E89">
      <w:pPr>
        <w:pStyle w:val="8"/>
        <w:rPr>
          <w:rFonts w:hint="eastAsia" w:ascii="宋体" w:hAnsi="宋体" w:eastAsia="宋体" w:cs="宋体"/>
        </w:rPr>
      </w:pPr>
    </w:p>
    <w:p w14:paraId="27E285F2">
      <w:pPr>
        <w:rPr>
          <w:rFonts w:hint="eastAsia" w:ascii="宋体" w:hAnsi="宋体" w:eastAsia="宋体" w:cs="宋体"/>
        </w:rPr>
      </w:pPr>
    </w:p>
    <w:p w14:paraId="60F8E341">
      <w:pPr>
        <w:pStyle w:val="2"/>
        <w:rPr>
          <w:rFonts w:hint="eastAsia" w:ascii="宋体" w:hAnsi="宋体" w:eastAsia="宋体" w:cs="宋体"/>
        </w:rPr>
      </w:pPr>
    </w:p>
    <w:p w14:paraId="6A091051">
      <w:pPr>
        <w:rPr>
          <w:rFonts w:hint="eastAsia" w:ascii="宋体" w:hAnsi="宋体" w:eastAsia="宋体" w:cs="宋体"/>
        </w:rPr>
      </w:pPr>
    </w:p>
    <w:p w14:paraId="467C0FE8">
      <w:pPr>
        <w:pStyle w:val="2"/>
        <w:rPr>
          <w:rFonts w:hint="eastAsia" w:ascii="宋体" w:hAnsi="宋体" w:eastAsia="宋体" w:cs="宋体"/>
        </w:rPr>
      </w:pPr>
    </w:p>
    <w:p w14:paraId="53DDCA61">
      <w:pPr>
        <w:rPr>
          <w:rFonts w:hint="eastAsia" w:ascii="宋体" w:hAnsi="宋体" w:eastAsia="宋体" w:cs="宋体"/>
        </w:rPr>
      </w:pPr>
    </w:p>
    <w:p w14:paraId="4E2CE63A">
      <w:pPr>
        <w:pStyle w:val="2"/>
        <w:rPr>
          <w:rFonts w:hint="eastAsia" w:ascii="宋体" w:hAnsi="宋体" w:eastAsia="宋体" w:cs="宋体"/>
        </w:rPr>
      </w:pPr>
    </w:p>
    <w:p w14:paraId="4F63E1A7">
      <w:pPr>
        <w:rPr>
          <w:rFonts w:hint="eastAsia" w:ascii="宋体" w:hAnsi="宋体" w:eastAsia="宋体" w:cs="宋体"/>
        </w:rPr>
      </w:pPr>
    </w:p>
    <w:p w14:paraId="0A4F072F">
      <w:pPr>
        <w:pStyle w:val="2"/>
        <w:rPr>
          <w:rFonts w:hint="eastAsia" w:ascii="宋体" w:hAnsi="宋体" w:eastAsia="宋体" w:cs="宋体"/>
        </w:rPr>
      </w:pPr>
    </w:p>
    <w:p w14:paraId="72E4E1E4">
      <w:pPr>
        <w:rPr>
          <w:rFonts w:hint="eastAsia" w:ascii="宋体" w:hAnsi="宋体" w:eastAsia="宋体" w:cs="宋体"/>
        </w:rPr>
      </w:pPr>
    </w:p>
    <w:p w14:paraId="716CDE1E">
      <w:pPr>
        <w:pStyle w:val="2"/>
        <w:rPr>
          <w:rFonts w:hint="eastAsia" w:ascii="宋体" w:hAnsi="宋体" w:eastAsia="宋体" w:cs="宋体"/>
        </w:rPr>
      </w:pPr>
    </w:p>
    <w:p w14:paraId="7B9C83FD">
      <w:pPr>
        <w:rPr>
          <w:rFonts w:hint="eastAsia" w:ascii="宋体" w:hAnsi="宋体" w:eastAsia="宋体" w:cs="宋体"/>
        </w:rPr>
      </w:pPr>
    </w:p>
    <w:p w14:paraId="44618C1A">
      <w:pPr>
        <w:rPr>
          <w:rFonts w:hint="eastAsia" w:ascii="宋体" w:hAnsi="宋体" w:eastAsia="宋体" w:cs="宋体"/>
        </w:rPr>
      </w:pPr>
    </w:p>
    <w:p w14:paraId="5C1D9EA7">
      <w:pPr>
        <w:spacing w:before="156"/>
        <w:jc w:val="center"/>
        <w:rPr>
          <w:rFonts w:hint="eastAsia" w:ascii="宋体" w:hAnsi="宋体" w:eastAsia="宋体" w:cs="宋体"/>
          <w:b/>
          <w:sz w:val="52"/>
          <w:szCs w:val="52"/>
        </w:rPr>
      </w:pPr>
      <w:r>
        <w:rPr>
          <w:rFonts w:hint="eastAsia" w:ascii="宋体" w:hAnsi="宋体" w:eastAsia="宋体" w:cs="宋体"/>
          <w:b/>
          <w:sz w:val="52"/>
          <w:szCs w:val="52"/>
        </w:rPr>
        <w:t>商务及技术文件</w:t>
      </w:r>
    </w:p>
    <w:p w14:paraId="05CD2694">
      <w:pPr>
        <w:spacing w:before="156"/>
        <w:rPr>
          <w:rFonts w:hint="eastAsia" w:ascii="宋体" w:hAnsi="宋体" w:eastAsia="宋体" w:cs="宋体"/>
          <w:b/>
          <w:sz w:val="28"/>
          <w:szCs w:val="28"/>
        </w:rPr>
      </w:pPr>
    </w:p>
    <w:p w14:paraId="142043AE">
      <w:pPr>
        <w:spacing w:before="156"/>
        <w:rPr>
          <w:rFonts w:hint="eastAsia" w:ascii="宋体" w:hAnsi="宋体" w:eastAsia="宋体" w:cs="宋体"/>
          <w:b/>
          <w:sz w:val="30"/>
          <w:szCs w:val="30"/>
        </w:rPr>
      </w:pPr>
      <w:r>
        <w:rPr>
          <w:rFonts w:hint="eastAsia" w:ascii="宋体" w:hAnsi="宋体" w:eastAsia="宋体" w:cs="宋体"/>
          <w:b/>
          <w:sz w:val="30"/>
          <w:szCs w:val="30"/>
        </w:rPr>
        <w:t>项目名称：</w:t>
      </w:r>
      <w:r>
        <w:rPr>
          <w:rFonts w:hint="eastAsia" w:ascii="宋体" w:hAnsi="宋体" w:eastAsia="宋体" w:cs="宋体"/>
          <w:b/>
          <w:sz w:val="30"/>
          <w:szCs w:val="30"/>
          <w:u w:val="single"/>
        </w:rPr>
        <w:t xml:space="preserve">                                    </w:t>
      </w:r>
    </w:p>
    <w:p w14:paraId="543B029C">
      <w:pPr>
        <w:spacing w:before="156"/>
        <w:rPr>
          <w:rFonts w:hint="eastAsia" w:ascii="宋体" w:hAnsi="宋体" w:eastAsia="宋体" w:cs="宋体"/>
          <w:b/>
          <w:sz w:val="30"/>
          <w:szCs w:val="30"/>
        </w:rPr>
      </w:pPr>
      <w:r>
        <w:rPr>
          <w:rFonts w:hint="eastAsia" w:ascii="宋体" w:hAnsi="宋体" w:eastAsia="宋体" w:cs="宋体"/>
          <w:b/>
          <w:sz w:val="30"/>
          <w:szCs w:val="30"/>
        </w:rPr>
        <w:t>项目编号：</w:t>
      </w:r>
      <w:r>
        <w:rPr>
          <w:rFonts w:hint="eastAsia" w:ascii="宋体" w:hAnsi="宋体" w:eastAsia="宋体" w:cs="宋体"/>
          <w:b/>
          <w:sz w:val="30"/>
          <w:szCs w:val="30"/>
          <w:u w:val="single"/>
        </w:rPr>
        <w:t xml:space="preserve">                                    </w:t>
      </w:r>
    </w:p>
    <w:p w14:paraId="4DA981B2">
      <w:pPr>
        <w:spacing w:before="156"/>
        <w:rPr>
          <w:rFonts w:hint="eastAsia" w:ascii="宋体" w:hAnsi="宋体" w:eastAsia="宋体" w:cs="宋体"/>
          <w:b/>
          <w:sz w:val="30"/>
          <w:szCs w:val="30"/>
        </w:rPr>
      </w:pPr>
      <w:r>
        <w:rPr>
          <w:rFonts w:hint="eastAsia" w:ascii="宋体" w:hAnsi="宋体" w:eastAsia="宋体" w:cs="宋体"/>
          <w:b/>
          <w:sz w:val="30"/>
          <w:szCs w:val="30"/>
        </w:rPr>
        <w:t>投标人全称（电子签章）：</w:t>
      </w:r>
      <w:r>
        <w:rPr>
          <w:rFonts w:hint="eastAsia" w:ascii="宋体" w:hAnsi="宋体" w:eastAsia="宋体" w:cs="宋体"/>
          <w:b/>
          <w:sz w:val="30"/>
          <w:szCs w:val="30"/>
          <w:u w:val="single"/>
        </w:rPr>
        <w:t xml:space="preserve">                          </w:t>
      </w:r>
    </w:p>
    <w:p w14:paraId="3BA19D27">
      <w:pPr>
        <w:spacing w:before="156"/>
        <w:rPr>
          <w:rFonts w:hint="eastAsia" w:ascii="宋体" w:hAnsi="宋体" w:eastAsia="宋体" w:cs="宋体"/>
          <w:b/>
          <w:sz w:val="30"/>
          <w:szCs w:val="30"/>
        </w:rPr>
      </w:pPr>
      <w:r>
        <w:rPr>
          <w:rFonts w:hint="eastAsia" w:ascii="宋体" w:hAnsi="宋体" w:eastAsia="宋体" w:cs="宋体"/>
          <w:b/>
          <w:sz w:val="30"/>
          <w:szCs w:val="30"/>
        </w:rPr>
        <w:t>法定代表人或授权代表（签名或盖章）：</w:t>
      </w:r>
      <w:r>
        <w:rPr>
          <w:rFonts w:hint="eastAsia" w:ascii="宋体" w:hAnsi="宋体" w:eastAsia="宋体" w:cs="宋体"/>
          <w:b/>
          <w:sz w:val="30"/>
          <w:szCs w:val="30"/>
          <w:u w:val="single"/>
        </w:rPr>
        <w:t xml:space="preserve">                </w:t>
      </w:r>
    </w:p>
    <w:p w14:paraId="2E538733">
      <w:pPr>
        <w:spacing w:before="156"/>
        <w:ind w:firstLine="6475" w:firstLineChars="2150"/>
        <w:rPr>
          <w:rFonts w:hint="eastAsia" w:ascii="宋体" w:hAnsi="宋体" w:eastAsia="宋体" w:cs="宋体"/>
          <w:b/>
          <w:sz w:val="30"/>
          <w:szCs w:val="30"/>
        </w:rPr>
      </w:pPr>
    </w:p>
    <w:p w14:paraId="6A2C3586">
      <w:pPr>
        <w:pStyle w:val="2"/>
        <w:rPr>
          <w:rFonts w:hint="eastAsia" w:ascii="宋体" w:hAnsi="宋体" w:eastAsia="宋体" w:cs="宋体"/>
          <w:sz w:val="30"/>
          <w:szCs w:val="30"/>
        </w:rPr>
      </w:pPr>
    </w:p>
    <w:p w14:paraId="24BF3C83">
      <w:pPr>
        <w:rPr>
          <w:rFonts w:hint="eastAsia" w:ascii="宋体" w:hAnsi="宋体" w:eastAsia="宋体" w:cs="宋体"/>
          <w:b/>
          <w:sz w:val="30"/>
          <w:szCs w:val="30"/>
        </w:rPr>
      </w:pPr>
    </w:p>
    <w:p w14:paraId="31C9BCA4">
      <w:pPr>
        <w:pStyle w:val="2"/>
        <w:rPr>
          <w:rFonts w:hint="eastAsia" w:ascii="宋体" w:hAnsi="宋体" w:eastAsia="宋体" w:cs="宋体"/>
          <w:sz w:val="30"/>
          <w:szCs w:val="30"/>
        </w:rPr>
      </w:pPr>
    </w:p>
    <w:p w14:paraId="405F789D">
      <w:pPr>
        <w:rPr>
          <w:rFonts w:hint="eastAsia" w:ascii="宋体" w:hAnsi="宋体" w:eastAsia="宋体" w:cs="宋体"/>
          <w:b/>
          <w:sz w:val="30"/>
          <w:szCs w:val="30"/>
        </w:rPr>
      </w:pPr>
    </w:p>
    <w:p w14:paraId="188A6600">
      <w:pPr>
        <w:pStyle w:val="2"/>
        <w:rPr>
          <w:rFonts w:hint="eastAsia" w:ascii="宋体" w:hAnsi="宋体" w:eastAsia="宋体" w:cs="宋体"/>
          <w:sz w:val="30"/>
          <w:szCs w:val="30"/>
        </w:rPr>
      </w:pPr>
    </w:p>
    <w:p w14:paraId="0079A6EC">
      <w:pPr>
        <w:rPr>
          <w:rFonts w:hint="eastAsia" w:ascii="宋体" w:hAnsi="宋体" w:eastAsia="宋体" w:cs="宋体"/>
          <w:b/>
          <w:sz w:val="30"/>
          <w:szCs w:val="30"/>
        </w:rPr>
      </w:pPr>
    </w:p>
    <w:p w14:paraId="7304D1C3">
      <w:pPr>
        <w:pStyle w:val="2"/>
        <w:rPr>
          <w:rFonts w:hint="eastAsia" w:ascii="宋体" w:hAnsi="宋体" w:eastAsia="宋体" w:cs="宋体"/>
          <w:sz w:val="30"/>
          <w:szCs w:val="30"/>
        </w:rPr>
      </w:pPr>
    </w:p>
    <w:p w14:paraId="02477083">
      <w:pPr>
        <w:rPr>
          <w:rFonts w:hint="eastAsia" w:ascii="宋体" w:hAnsi="宋体" w:eastAsia="宋体" w:cs="宋体"/>
          <w:b/>
          <w:sz w:val="30"/>
          <w:szCs w:val="30"/>
        </w:rPr>
      </w:pPr>
    </w:p>
    <w:p w14:paraId="10130FEF">
      <w:pPr>
        <w:pStyle w:val="2"/>
        <w:rPr>
          <w:rFonts w:hint="eastAsia" w:ascii="宋体" w:hAnsi="宋体" w:eastAsia="宋体" w:cs="宋体"/>
          <w:sz w:val="30"/>
          <w:szCs w:val="30"/>
        </w:rPr>
      </w:pPr>
    </w:p>
    <w:p w14:paraId="7758D8F6">
      <w:pPr>
        <w:rPr>
          <w:rFonts w:hint="eastAsia" w:ascii="宋体" w:hAnsi="宋体" w:eastAsia="宋体" w:cs="宋体"/>
          <w:b/>
          <w:sz w:val="30"/>
          <w:szCs w:val="30"/>
        </w:rPr>
      </w:pPr>
    </w:p>
    <w:p w14:paraId="6C8D67B9">
      <w:pPr>
        <w:pStyle w:val="2"/>
        <w:rPr>
          <w:rFonts w:hint="eastAsia" w:ascii="宋体" w:hAnsi="宋体" w:eastAsia="宋体" w:cs="宋体"/>
        </w:rPr>
      </w:pPr>
    </w:p>
    <w:p w14:paraId="7525BD90">
      <w:pPr>
        <w:spacing w:before="156"/>
        <w:jc w:val="center"/>
        <w:rPr>
          <w:rFonts w:hint="eastAsia" w:ascii="宋体" w:hAnsi="宋体" w:eastAsia="宋体" w:cs="宋体"/>
          <w:b/>
          <w:sz w:val="30"/>
          <w:szCs w:val="30"/>
        </w:rPr>
      </w:pPr>
    </w:p>
    <w:p w14:paraId="458D19F7">
      <w:pPr>
        <w:spacing w:before="156"/>
        <w:jc w:val="center"/>
        <w:rPr>
          <w:rFonts w:hint="eastAsia" w:ascii="宋体" w:hAnsi="宋体" w:eastAsia="宋体" w:cs="宋体"/>
          <w:b/>
          <w:sz w:val="52"/>
          <w:szCs w:val="52"/>
        </w:rPr>
      </w:pPr>
      <w:r>
        <w:rPr>
          <w:rFonts w:hint="eastAsia" w:ascii="宋体" w:hAnsi="宋体" w:eastAsia="宋体" w:cs="宋体"/>
          <w:b/>
          <w:sz w:val="52"/>
          <w:szCs w:val="52"/>
        </w:rPr>
        <w:t>报价文件</w:t>
      </w:r>
    </w:p>
    <w:p w14:paraId="7C24825E">
      <w:pPr>
        <w:spacing w:before="156"/>
        <w:rPr>
          <w:rFonts w:hint="eastAsia" w:ascii="宋体" w:hAnsi="宋体" w:eastAsia="宋体" w:cs="宋体"/>
          <w:b/>
          <w:sz w:val="28"/>
          <w:szCs w:val="28"/>
        </w:rPr>
      </w:pPr>
    </w:p>
    <w:p w14:paraId="3B5AFD3A">
      <w:pPr>
        <w:spacing w:before="156"/>
        <w:rPr>
          <w:rFonts w:hint="eastAsia" w:ascii="宋体" w:hAnsi="宋体" w:eastAsia="宋体" w:cs="宋体"/>
          <w:b/>
          <w:sz w:val="30"/>
          <w:szCs w:val="30"/>
        </w:rPr>
      </w:pPr>
      <w:r>
        <w:rPr>
          <w:rFonts w:hint="eastAsia" w:ascii="宋体" w:hAnsi="宋体" w:eastAsia="宋体" w:cs="宋体"/>
          <w:b/>
          <w:sz w:val="30"/>
          <w:szCs w:val="30"/>
        </w:rPr>
        <w:t>项目名称：</w:t>
      </w:r>
      <w:r>
        <w:rPr>
          <w:rFonts w:hint="eastAsia" w:ascii="宋体" w:hAnsi="宋体" w:eastAsia="宋体" w:cs="宋体"/>
          <w:b/>
          <w:sz w:val="30"/>
          <w:szCs w:val="30"/>
          <w:u w:val="single"/>
        </w:rPr>
        <w:t xml:space="preserve">                                    </w:t>
      </w:r>
    </w:p>
    <w:p w14:paraId="7F4224D9">
      <w:pPr>
        <w:spacing w:before="156"/>
        <w:rPr>
          <w:rFonts w:hint="eastAsia" w:ascii="宋体" w:hAnsi="宋体" w:eastAsia="宋体" w:cs="宋体"/>
          <w:b/>
          <w:sz w:val="30"/>
          <w:szCs w:val="30"/>
        </w:rPr>
      </w:pPr>
      <w:r>
        <w:rPr>
          <w:rFonts w:hint="eastAsia" w:ascii="宋体" w:hAnsi="宋体" w:eastAsia="宋体" w:cs="宋体"/>
          <w:b/>
          <w:sz w:val="30"/>
          <w:szCs w:val="30"/>
        </w:rPr>
        <w:t>项目编号：</w:t>
      </w:r>
      <w:r>
        <w:rPr>
          <w:rFonts w:hint="eastAsia" w:ascii="宋体" w:hAnsi="宋体" w:eastAsia="宋体" w:cs="宋体"/>
          <w:b/>
          <w:sz w:val="30"/>
          <w:szCs w:val="30"/>
          <w:u w:val="single"/>
        </w:rPr>
        <w:t xml:space="preserve">                                    </w:t>
      </w:r>
    </w:p>
    <w:p w14:paraId="2C00A728">
      <w:pPr>
        <w:spacing w:before="156"/>
        <w:rPr>
          <w:rFonts w:hint="eastAsia" w:ascii="宋体" w:hAnsi="宋体" w:eastAsia="宋体" w:cs="宋体"/>
          <w:b/>
          <w:sz w:val="30"/>
          <w:szCs w:val="30"/>
        </w:rPr>
      </w:pPr>
      <w:r>
        <w:rPr>
          <w:rFonts w:hint="eastAsia" w:ascii="宋体" w:hAnsi="宋体" w:eastAsia="宋体" w:cs="宋体"/>
          <w:b/>
          <w:sz w:val="30"/>
          <w:szCs w:val="30"/>
        </w:rPr>
        <w:t>投标人全称（电子签章）：</w:t>
      </w:r>
      <w:r>
        <w:rPr>
          <w:rFonts w:hint="eastAsia" w:ascii="宋体" w:hAnsi="宋体" w:eastAsia="宋体" w:cs="宋体"/>
          <w:b/>
          <w:sz w:val="30"/>
          <w:szCs w:val="30"/>
          <w:u w:val="single"/>
        </w:rPr>
        <w:t xml:space="preserve">                        </w:t>
      </w:r>
    </w:p>
    <w:p w14:paraId="0E450B6F">
      <w:pPr>
        <w:spacing w:before="156"/>
        <w:rPr>
          <w:rFonts w:hint="eastAsia" w:ascii="宋体" w:hAnsi="宋体" w:eastAsia="宋体" w:cs="宋体"/>
          <w:b/>
          <w:sz w:val="30"/>
          <w:szCs w:val="30"/>
        </w:rPr>
      </w:pPr>
      <w:r>
        <w:rPr>
          <w:rFonts w:hint="eastAsia" w:ascii="宋体" w:hAnsi="宋体" w:eastAsia="宋体" w:cs="宋体"/>
          <w:b/>
          <w:sz w:val="30"/>
          <w:szCs w:val="30"/>
        </w:rPr>
        <w:t>法定代表人或授权代表（签名或盖章）：</w:t>
      </w:r>
      <w:r>
        <w:rPr>
          <w:rFonts w:hint="eastAsia" w:ascii="宋体" w:hAnsi="宋体" w:eastAsia="宋体" w:cs="宋体"/>
          <w:b/>
          <w:sz w:val="30"/>
          <w:szCs w:val="30"/>
          <w:u w:val="single"/>
        </w:rPr>
        <w:t xml:space="preserve">               </w:t>
      </w:r>
    </w:p>
    <w:p w14:paraId="4C07CD3A">
      <w:pPr>
        <w:snapToGrid w:val="0"/>
        <w:spacing w:before="156"/>
        <w:jc w:val="center"/>
        <w:rPr>
          <w:rFonts w:hint="eastAsia" w:ascii="宋体" w:hAnsi="宋体" w:eastAsia="宋体" w:cs="宋体"/>
          <w:color w:val="000000"/>
        </w:rPr>
      </w:pPr>
    </w:p>
    <w:p w14:paraId="7A88B2B9">
      <w:pPr>
        <w:spacing w:before="156"/>
        <w:rPr>
          <w:rFonts w:hint="eastAsia" w:ascii="宋体" w:hAnsi="宋体" w:eastAsia="宋体" w:cs="宋体"/>
          <w:color w:val="000000"/>
        </w:rPr>
      </w:pPr>
    </w:p>
    <w:p w14:paraId="4713055C">
      <w:pPr>
        <w:snapToGrid w:val="0"/>
        <w:spacing w:before="156"/>
        <w:jc w:val="center"/>
        <w:rPr>
          <w:rFonts w:hint="eastAsia" w:ascii="宋体" w:hAnsi="宋体" w:eastAsia="宋体" w:cs="宋体"/>
          <w:color w:val="000000"/>
        </w:rPr>
      </w:pPr>
    </w:p>
    <w:p w14:paraId="5D4093D7">
      <w:pPr>
        <w:rPr>
          <w:rFonts w:hint="eastAsia" w:ascii="宋体" w:hAnsi="宋体" w:eastAsia="宋体" w:cs="宋体"/>
        </w:rPr>
      </w:pPr>
    </w:p>
    <w:sectPr>
      <w:pgSz w:w="11906" w:h="16838"/>
      <w:pgMar w:top="1417" w:right="1191" w:bottom="1417" w:left="119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0DC2B">
    <w:pPr>
      <w:pStyle w:val="15"/>
      <w:spacing w:before="1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7CED40">
                          <w:pPr>
                            <w:pStyle w:val="15"/>
                            <w:spacing w:before="1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177</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17CED40">
                    <w:pPr>
                      <w:pStyle w:val="15"/>
                      <w:spacing w:before="1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177</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DFB11">
    <w:pPr>
      <w:pStyle w:val="15"/>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7D086">
    <w:pPr>
      <w:pStyle w:val="15"/>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287DE">
    <w:pPr>
      <w:pStyle w:val="15"/>
      <w:spacing w:before="1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E87BC1">
                          <w:pPr>
                            <w:pStyle w:val="15"/>
                            <w:spacing w:before="1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160</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177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7FE87BC1">
                    <w:pPr>
                      <w:pStyle w:val="15"/>
                      <w:spacing w:before="1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160</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177</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F5BFD">
    <w:pPr>
      <w:pStyle w:val="15"/>
      <w:spacing w:before="1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24F4EF">
                          <w:pPr>
                            <w:pStyle w:val="15"/>
                            <w:spacing w:before="1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164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177</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D24F4EF">
                    <w:pPr>
                      <w:pStyle w:val="15"/>
                      <w:spacing w:before="12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164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177</w:t>
                    </w:r>
                    <w:r>
                      <w:rPr>
                        <w:rFonts w:hint="eastAsia"/>
                      </w:rP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63C36">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517A5">
    <w:pPr>
      <w:pStyle w:val="16"/>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C468E">
    <w:pPr>
      <w:pStyle w:val="16"/>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9B5BA">
    <w:pPr>
      <w:pStyle w:val="16"/>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E344D">
    <w:pPr>
      <w:pStyle w:val="16"/>
      <w:pBdr>
        <w:bottom w:val="none" w:color="auto" w:sz="0" w:space="0"/>
      </w:pBdr>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7C158"/>
    <w:multiLevelType w:val="singleLevel"/>
    <w:tmpl w:val="B957C158"/>
    <w:lvl w:ilvl="0" w:tentative="0">
      <w:start w:val="3"/>
      <w:numFmt w:val="decimal"/>
      <w:lvlText w:val="%1."/>
      <w:lvlJc w:val="left"/>
      <w:pPr>
        <w:tabs>
          <w:tab w:val="left" w:pos="312"/>
        </w:tabs>
      </w:pPr>
    </w:lvl>
  </w:abstractNum>
  <w:abstractNum w:abstractNumId="1">
    <w:nsid w:val="00F0690F"/>
    <w:multiLevelType w:val="singleLevel"/>
    <w:tmpl w:val="00F0690F"/>
    <w:lvl w:ilvl="0" w:tentative="0">
      <w:start w:val="4"/>
      <w:numFmt w:val="decimal"/>
      <w:lvlText w:val="%1."/>
      <w:lvlJc w:val="left"/>
      <w:pPr>
        <w:tabs>
          <w:tab w:val="left" w:pos="312"/>
        </w:tabs>
      </w:pPr>
    </w:lvl>
  </w:abstractNum>
  <w:abstractNum w:abstractNumId="2">
    <w:nsid w:val="0FFFFF7C"/>
    <w:multiLevelType w:val="singleLevel"/>
    <w:tmpl w:val="0FFFFF7C"/>
    <w:lvl w:ilvl="0" w:tentative="0">
      <w:start w:val="1"/>
      <w:numFmt w:val="decimal"/>
      <w:pStyle w:val="29"/>
      <w:lvlText w:val="%1."/>
      <w:lvlJc w:val="left"/>
      <w:pPr>
        <w:tabs>
          <w:tab w:val="left" w:pos="2040"/>
        </w:tabs>
        <w:ind w:left="2040" w:hanging="360"/>
      </w:pPr>
    </w:lvl>
  </w:abstractNum>
  <w:abstractNum w:abstractNumId="3">
    <w:nsid w:val="19843007"/>
    <w:multiLevelType w:val="singleLevel"/>
    <w:tmpl w:val="19843007"/>
    <w:lvl w:ilvl="0" w:tentative="0">
      <w:start w:val="5"/>
      <w:numFmt w:val="decimal"/>
      <w:suff w:val="nothing"/>
      <w:lvlText w:val="（%1）"/>
      <w:lvlJc w:val="left"/>
    </w:lvl>
  </w:abstractNum>
  <w:abstractNum w:abstractNumId="4">
    <w:nsid w:val="2071EBBE"/>
    <w:multiLevelType w:val="singleLevel"/>
    <w:tmpl w:val="2071EBBE"/>
    <w:lvl w:ilvl="0" w:tentative="0">
      <w:start w:val="1"/>
      <w:numFmt w:val="decimal"/>
      <w:lvlText w:val="%1."/>
      <w:lvlJc w:val="left"/>
      <w:pPr>
        <w:tabs>
          <w:tab w:val="left" w:pos="312"/>
        </w:tabs>
      </w:pPr>
    </w:lvl>
  </w:abstractNum>
  <w:abstractNum w:abstractNumId="5">
    <w:nsid w:val="32B871D8"/>
    <w:multiLevelType w:val="singleLevel"/>
    <w:tmpl w:val="32B871D8"/>
    <w:lvl w:ilvl="0" w:tentative="0">
      <w:start w:val="2"/>
      <w:numFmt w:val="decimal"/>
      <w:lvlText w:val="%1."/>
      <w:lvlJc w:val="left"/>
      <w:pPr>
        <w:tabs>
          <w:tab w:val="left" w:pos="312"/>
        </w:tabs>
      </w:pPr>
    </w:lvl>
  </w:abstractNum>
  <w:abstractNum w:abstractNumId="6">
    <w:nsid w:val="36AAFDC3"/>
    <w:multiLevelType w:val="singleLevel"/>
    <w:tmpl w:val="36AAFDC3"/>
    <w:lvl w:ilvl="0" w:tentative="0">
      <w:start w:val="2"/>
      <w:numFmt w:val="decimal"/>
      <w:suff w:val="nothing"/>
      <w:lvlText w:val="（%1）"/>
      <w:lvlJc w:val="left"/>
    </w:lvl>
  </w:abstractNum>
  <w:abstractNum w:abstractNumId="7">
    <w:nsid w:val="4D917A7B"/>
    <w:multiLevelType w:val="singleLevel"/>
    <w:tmpl w:val="4D917A7B"/>
    <w:lvl w:ilvl="0" w:tentative="0">
      <w:start w:val="4"/>
      <w:numFmt w:val="chineseCounting"/>
      <w:suff w:val="space"/>
      <w:lvlText w:val="第%1章"/>
      <w:lvlJc w:val="left"/>
      <w:rPr>
        <w:rFonts w:hint="eastAsia"/>
      </w:rPr>
    </w:lvl>
  </w:abstractNum>
  <w:abstractNum w:abstractNumId="8">
    <w:nsid w:val="6A7EABB2"/>
    <w:multiLevelType w:val="singleLevel"/>
    <w:tmpl w:val="6A7EABB2"/>
    <w:lvl w:ilvl="0" w:tentative="0">
      <w:start w:val="4"/>
      <w:numFmt w:val="chineseCounting"/>
      <w:suff w:val="nothing"/>
      <w:lvlText w:val="（%1）"/>
      <w:lvlJc w:val="left"/>
      <w:rPr>
        <w:rFonts w:hint="eastAsia"/>
      </w:rPr>
    </w:lvl>
  </w:abstractNum>
  <w:num w:numId="1">
    <w:abstractNumId w:val="2"/>
  </w:num>
  <w:num w:numId="2">
    <w:abstractNumId w:val="3"/>
  </w:num>
  <w:num w:numId="3">
    <w:abstractNumId w:val="1"/>
  </w:num>
  <w:num w:numId="4">
    <w:abstractNumId w:val="6"/>
  </w:num>
  <w:num w:numId="5">
    <w:abstractNumId w:val="0"/>
  </w:num>
  <w:num w:numId="6">
    <w:abstractNumId w:val="8"/>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YjVmZGE5OGVlYWRhMzc0YzZmNzBhN2QwMmJhMmYifQ=="/>
  </w:docVars>
  <w:rsids>
    <w:rsidRoot w:val="00AC1965"/>
    <w:rsid w:val="0003204C"/>
    <w:rsid w:val="000630DF"/>
    <w:rsid w:val="000819DB"/>
    <w:rsid w:val="000B7C46"/>
    <w:rsid w:val="001736AA"/>
    <w:rsid w:val="0017585B"/>
    <w:rsid w:val="001A65B8"/>
    <w:rsid w:val="001B0BF5"/>
    <w:rsid w:val="001C7F64"/>
    <w:rsid w:val="001D4AA0"/>
    <w:rsid w:val="001F4F6C"/>
    <w:rsid w:val="00232E6C"/>
    <w:rsid w:val="00265712"/>
    <w:rsid w:val="002A1382"/>
    <w:rsid w:val="002D477A"/>
    <w:rsid w:val="002D6F34"/>
    <w:rsid w:val="003179D9"/>
    <w:rsid w:val="00345BFD"/>
    <w:rsid w:val="003674F8"/>
    <w:rsid w:val="00372010"/>
    <w:rsid w:val="00386B52"/>
    <w:rsid w:val="00495776"/>
    <w:rsid w:val="004C751D"/>
    <w:rsid w:val="00681464"/>
    <w:rsid w:val="006940E1"/>
    <w:rsid w:val="006A3325"/>
    <w:rsid w:val="00713367"/>
    <w:rsid w:val="00801D05"/>
    <w:rsid w:val="008E2DDA"/>
    <w:rsid w:val="008F23A7"/>
    <w:rsid w:val="00946632"/>
    <w:rsid w:val="00993D8A"/>
    <w:rsid w:val="00A83F88"/>
    <w:rsid w:val="00AB4D8D"/>
    <w:rsid w:val="00AC1026"/>
    <w:rsid w:val="00AC1965"/>
    <w:rsid w:val="00AE643A"/>
    <w:rsid w:val="00B2242E"/>
    <w:rsid w:val="00B52176"/>
    <w:rsid w:val="00BF48AF"/>
    <w:rsid w:val="00BF6CD7"/>
    <w:rsid w:val="00C36D78"/>
    <w:rsid w:val="00C41BDF"/>
    <w:rsid w:val="00C65F51"/>
    <w:rsid w:val="00D106C8"/>
    <w:rsid w:val="00D551B8"/>
    <w:rsid w:val="00DA1277"/>
    <w:rsid w:val="00DC3EFD"/>
    <w:rsid w:val="00E35D1B"/>
    <w:rsid w:val="00E75832"/>
    <w:rsid w:val="00E96CD9"/>
    <w:rsid w:val="00EE3E46"/>
    <w:rsid w:val="00F00AD8"/>
    <w:rsid w:val="00F70538"/>
    <w:rsid w:val="01091EAB"/>
    <w:rsid w:val="022937DD"/>
    <w:rsid w:val="027C3567"/>
    <w:rsid w:val="029B6008"/>
    <w:rsid w:val="02FB5F6B"/>
    <w:rsid w:val="03202C83"/>
    <w:rsid w:val="055A2EE4"/>
    <w:rsid w:val="057A1D93"/>
    <w:rsid w:val="05F24570"/>
    <w:rsid w:val="06790D31"/>
    <w:rsid w:val="077434B5"/>
    <w:rsid w:val="07F67816"/>
    <w:rsid w:val="07F86297"/>
    <w:rsid w:val="087B30E7"/>
    <w:rsid w:val="08CB09E4"/>
    <w:rsid w:val="090B3FFA"/>
    <w:rsid w:val="09181E41"/>
    <w:rsid w:val="09997FFE"/>
    <w:rsid w:val="0A7D0C9A"/>
    <w:rsid w:val="0A8E3A36"/>
    <w:rsid w:val="0AA74703"/>
    <w:rsid w:val="0AE71698"/>
    <w:rsid w:val="0BB432AE"/>
    <w:rsid w:val="0BE91440"/>
    <w:rsid w:val="0C74062D"/>
    <w:rsid w:val="0CD55B98"/>
    <w:rsid w:val="0DD332DE"/>
    <w:rsid w:val="0F2C1D70"/>
    <w:rsid w:val="0FF418A1"/>
    <w:rsid w:val="10093497"/>
    <w:rsid w:val="109D3F35"/>
    <w:rsid w:val="10A431C6"/>
    <w:rsid w:val="10B36D18"/>
    <w:rsid w:val="10F845FF"/>
    <w:rsid w:val="114666D2"/>
    <w:rsid w:val="12801A92"/>
    <w:rsid w:val="13BB20E0"/>
    <w:rsid w:val="14830CF0"/>
    <w:rsid w:val="148D2D02"/>
    <w:rsid w:val="14B67B5A"/>
    <w:rsid w:val="15175EED"/>
    <w:rsid w:val="16093CE1"/>
    <w:rsid w:val="161769EB"/>
    <w:rsid w:val="16B042E4"/>
    <w:rsid w:val="177A55CA"/>
    <w:rsid w:val="1797736D"/>
    <w:rsid w:val="18073D96"/>
    <w:rsid w:val="18E111C6"/>
    <w:rsid w:val="194A79C2"/>
    <w:rsid w:val="1954639B"/>
    <w:rsid w:val="1B1D73DC"/>
    <w:rsid w:val="1C0E2656"/>
    <w:rsid w:val="1F554BC1"/>
    <w:rsid w:val="20326142"/>
    <w:rsid w:val="20A35C0A"/>
    <w:rsid w:val="20DC5417"/>
    <w:rsid w:val="215A276C"/>
    <w:rsid w:val="233F6628"/>
    <w:rsid w:val="23BF36BC"/>
    <w:rsid w:val="23E66539"/>
    <w:rsid w:val="265A320F"/>
    <w:rsid w:val="26760048"/>
    <w:rsid w:val="2753038A"/>
    <w:rsid w:val="27620747"/>
    <w:rsid w:val="277001D9"/>
    <w:rsid w:val="28130EEA"/>
    <w:rsid w:val="28363ABA"/>
    <w:rsid w:val="286B23AB"/>
    <w:rsid w:val="293F1A95"/>
    <w:rsid w:val="294732B1"/>
    <w:rsid w:val="29CA6F99"/>
    <w:rsid w:val="29EA41AA"/>
    <w:rsid w:val="2A573CED"/>
    <w:rsid w:val="2A6537CF"/>
    <w:rsid w:val="2BE5357A"/>
    <w:rsid w:val="2C5A7B0A"/>
    <w:rsid w:val="2DF2520D"/>
    <w:rsid w:val="2E1B2357"/>
    <w:rsid w:val="2E884DBD"/>
    <w:rsid w:val="2E9260A7"/>
    <w:rsid w:val="2FF42946"/>
    <w:rsid w:val="300A2D10"/>
    <w:rsid w:val="31C84F9B"/>
    <w:rsid w:val="32C76822"/>
    <w:rsid w:val="32EE0F67"/>
    <w:rsid w:val="33402462"/>
    <w:rsid w:val="336F654B"/>
    <w:rsid w:val="33876BA3"/>
    <w:rsid w:val="33CB2F77"/>
    <w:rsid w:val="34524719"/>
    <w:rsid w:val="34A93963"/>
    <w:rsid w:val="34B7592F"/>
    <w:rsid w:val="355919BA"/>
    <w:rsid w:val="365E28A7"/>
    <w:rsid w:val="383455AF"/>
    <w:rsid w:val="39755F3E"/>
    <w:rsid w:val="3A1E0383"/>
    <w:rsid w:val="3A3D1F6C"/>
    <w:rsid w:val="3C6376F4"/>
    <w:rsid w:val="3C797AF3"/>
    <w:rsid w:val="3C7E66EE"/>
    <w:rsid w:val="3C8446EA"/>
    <w:rsid w:val="3D2C5E89"/>
    <w:rsid w:val="3DC00DA8"/>
    <w:rsid w:val="3DD812EA"/>
    <w:rsid w:val="3DF15613"/>
    <w:rsid w:val="3F1375B9"/>
    <w:rsid w:val="3FED2A16"/>
    <w:rsid w:val="406D73B9"/>
    <w:rsid w:val="40AC7331"/>
    <w:rsid w:val="41102052"/>
    <w:rsid w:val="412349FE"/>
    <w:rsid w:val="418C43BE"/>
    <w:rsid w:val="423A59C9"/>
    <w:rsid w:val="42B75819"/>
    <w:rsid w:val="43E67ADB"/>
    <w:rsid w:val="44012085"/>
    <w:rsid w:val="44C66F93"/>
    <w:rsid w:val="44FC69E5"/>
    <w:rsid w:val="454C09BF"/>
    <w:rsid w:val="45610BE6"/>
    <w:rsid w:val="459E53F5"/>
    <w:rsid w:val="45AE5A07"/>
    <w:rsid w:val="46D02154"/>
    <w:rsid w:val="47070DC3"/>
    <w:rsid w:val="47DE615F"/>
    <w:rsid w:val="48A801F3"/>
    <w:rsid w:val="48B870E3"/>
    <w:rsid w:val="493C25D4"/>
    <w:rsid w:val="49523BA5"/>
    <w:rsid w:val="497025B5"/>
    <w:rsid w:val="4AA35D62"/>
    <w:rsid w:val="4B751DCD"/>
    <w:rsid w:val="4BE2661C"/>
    <w:rsid w:val="4CBD3A2C"/>
    <w:rsid w:val="4DBE675C"/>
    <w:rsid w:val="4E804508"/>
    <w:rsid w:val="4EE03594"/>
    <w:rsid w:val="4F2A27BA"/>
    <w:rsid w:val="502C75D5"/>
    <w:rsid w:val="51EE28D9"/>
    <w:rsid w:val="52257019"/>
    <w:rsid w:val="527D00F0"/>
    <w:rsid w:val="52FB65B7"/>
    <w:rsid w:val="533573F7"/>
    <w:rsid w:val="54632B5D"/>
    <w:rsid w:val="55313B18"/>
    <w:rsid w:val="5537337F"/>
    <w:rsid w:val="55387EE2"/>
    <w:rsid w:val="564A38D2"/>
    <w:rsid w:val="56A96ACF"/>
    <w:rsid w:val="57811E04"/>
    <w:rsid w:val="591C1ADA"/>
    <w:rsid w:val="59D10B16"/>
    <w:rsid w:val="5A2410CE"/>
    <w:rsid w:val="5B49704C"/>
    <w:rsid w:val="5C671A4C"/>
    <w:rsid w:val="5C8956D8"/>
    <w:rsid w:val="5DA43827"/>
    <w:rsid w:val="5E81248C"/>
    <w:rsid w:val="5E8D7721"/>
    <w:rsid w:val="60607015"/>
    <w:rsid w:val="60851483"/>
    <w:rsid w:val="60B71C42"/>
    <w:rsid w:val="60FF41BB"/>
    <w:rsid w:val="611A3696"/>
    <w:rsid w:val="614E2583"/>
    <w:rsid w:val="61834CDC"/>
    <w:rsid w:val="619E75CA"/>
    <w:rsid w:val="63602996"/>
    <w:rsid w:val="6379503A"/>
    <w:rsid w:val="63915794"/>
    <w:rsid w:val="64010257"/>
    <w:rsid w:val="640E28A7"/>
    <w:rsid w:val="645C7181"/>
    <w:rsid w:val="64F742FE"/>
    <w:rsid w:val="65BA470F"/>
    <w:rsid w:val="65D82D3C"/>
    <w:rsid w:val="66051FFE"/>
    <w:rsid w:val="66455786"/>
    <w:rsid w:val="66546D57"/>
    <w:rsid w:val="66891460"/>
    <w:rsid w:val="66C8684D"/>
    <w:rsid w:val="68271F6F"/>
    <w:rsid w:val="699F52CF"/>
    <w:rsid w:val="69A72542"/>
    <w:rsid w:val="69FE33CB"/>
    <w:rsid w:val="6A446B35"/>
    <w:rsid w:val="6B3C6188"/>
    <w:rsid w:val="6C066875"/>
    <w:rsid w:val="6C5729D6"/>
    <w:rsid w:val="6CF77EBA"/>
    <w:rsid w:val="6D45564C"/>
    <w:rsid w:val="6DCA3DA3"/>
    <w:rsid w:val="6E7B48A4"/>
    <w:rsid w:val="6E8B5C0E"/>
    <w:rsid w:val="6E985C4F"/>
    <w:rsid w:val="6EEB2223"/>
    <w:rsid w:val="6F3F4FE1"/>
    <w:rsid w:val="6F495FDB"/>
    <w:rsid w:val="70302181"/>
    <w:rsid w:val="70BE049F"/>
    <w:rsid w:val="70CA35FF"/>
    <w:rsid w:val="70F4664D"/>
    <w:rsid w:val="72844B3D"/>
    <w:rsid w:val="72BD5537"/>
    <w:rsid w:val="73E162A4"/>
    <w:rsid w:val="73E5505E"/>
    <w:rsid w:val="74C60D93"/>
    <w:rsid w:val="751B6B56"/>
    <w:rsid w:val="77EC2CD0"/>
    <w:rsid w:val="77F536D3"/>
    <w:rsid w:val="790C4629"/>
    <w:rsid w:val="791E5261"/>
    <w:rsid w:val="79735A85"/>
    <w:rsid w:val="7A8A6D94"/>
    <w:rsid w:val="7BA93064"/>
    <w:rsid w:val="7BEC7380"/>
    <w:rsid w:val="7C563D87"/>
    <w:rsid w:val="7EA42731"/>
    <w:rsid w:val="7EDE7842"/>
    <w:rsid w:val="7F581C70"/>
    <w:rsid w:val="7F647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2">
    <w:name w:val="heading 1"/>
    <w:basedOn w:val="1"/>
    <w:next w:val="1"/>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3">
    <w:name w:val="heading 2"/>
    <w:basedOn w:val="1"/>
    <w:next w:val="4"/>
    <w:link w:val="32"/>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qFormat/>
    <w:uiPriority w:val="0"/>
    <w:pPr>
      <w:keepNext/>
      <w:keepLines/>
      <w:tabs>
        <w:tab w:val="left" w:pos="864"/>
      </w:tabs>
      <w:ind w:left="862" w:hanging="862"/>
      <w:outlineLvl w:val="3"/>
    </w:pPr>
    <w:rPr>
      <w:b/>
      <w:bCs/>
      <w:sz w:val="28"/>
      <w:szCs w:val="28"/>
    </w:rPr>
  </w:style>
  <w:style w:type="paragraph" w:styleId="8">
    <w:name w:val="heading 5"/>
    <w:basedOn w:val="1"/>
    <w:next w:val="1"/>
    <w:qFormat/>
    <w:uiPriority w:val="9"/>
    <w:pPr>
      <w:keepNext/>
      <w:keepLines/>
      <w:tabs>
        <w:tab w:val="left" w:pos="1008"/>
      </w:tabs>
      <w:spacing w:before="280" w:after="290" w:line="376" w:lineRule="auto"/>
      <w:ind w:left="1008" w:hanging="1008"/>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pPr>
    <w:rPr>
      <w:szCs w:val="20"/>
    </w:rPr>
  </w:style>
  <w:style w:type="paragraph" w:styleId="5">
    <w:name w:val="Body Text Indent"/>
    <w:basedOn w:val="1"/>
    <w:qFormat/>
    <w:uiPriority w:val="99"/>
    <w:pPr>
      <w:spacing w:line="200" w:lineRule="exact"/>
      <w:ind w:firstLine="301"/>
    </w:pPr>
    <w:rPr>
      <w:rFonts w:ascii="宋体" w:hAnsi="Courier New"/>
      <w:spacing w:val="-4"/>
      <w:sz w:val="18"/>
      <w:szCs w:val="20"/>
    </w:rPr>
  </w:style>
  <w:style w:type="paragraph" w:styleId="9">
    <w:name w:val="caption"/>
    <w:basedOn w:val="1"/>
    <w:next w:val="1"/>
    <w:qFormat/>
    <w:uiPriority w:val="0"/>
    <w:pPr>
      <w:spacing w:before="152" w:after="160"/>
    </w:pPr>
    <w:rPr>
      <w:rFonts w:ascii="Arial" w:hAnsi="Arial" w:eastAsia="黑体"/>
      <w:sz w:val="20"/>
      <w:szCs w:val="20"/>
    </w:rPr>
  </w:style>
  <w:style w:type="paragraph" w:styleId="10">
    <w:name w:val="Body Text"/>
    <w:basedOn w:val="1"/>
    <w:next w:val="11"/>
    <w:qFormat/>
    <w:uiPriority w:val="0"/>
    <w:pPr>
      <w:spacing w:after="120"/>
    </w:pPr>
    <w:rPr>
      <w:sz w:val="28"/>
    </w:rPr>
  </w:style>
  <w:style w:type="paragraph" w:styleId="11">
    <w:name w:val="Body Text First Indent"/>
    <w:basedOn w:val="10"/>
    <w:qFormat/>
    <w:uiPriority w:val="0"/>
    <w:pPr>
      <w:ind w:firstLine="420" w:firstLineChars="100"/>
    </w:pPr>
    <w:rPr>
      <w:sz w:val="21"/>
    </w:rPr>
  </w:style>
  <w:style w:type="paragraph" w:styleId="12">
    <w:name w:val="List 2"/>
    <w:basedOn w:val="1"/>
    <w:qFormat/>
    <w:uiPriority w:val="0"/>
    <w:pPr>
      <w:ind w:left="100" w:leftChars="200" w:hanging="200" w:hangingChars="200"/>
    </w:pPr>
    <w:rPr>
      <w:sz w:val="28"/>
    </w:rPr>
  </w:style>
  <w:style w:type="paragraph" w:styleId="13">
    <w:name w:val="Plain Text"/>
    <w:basedOn w:val="1"/>
    <w:next w:val="1"/>
    <w:qFormat/>
    <w:uiPriority w:val="0"/>
    <w:pPr>
      <w:spacing w:beforeLines="50" w:afterLines="50" w:line="400" w:lineRule="exact"/>
    </w:pPr>
    <w:rPr>
      <w:rFonts w:ascii="宋体" w:hAnsi="Courier New"/>
    </w:rPr>
  </w:style>
  <w:style w:type="paragraph" w:styleId="14">
    <w:name w:val="Date"/>
    <w:basedOn w:val="1"/>
    <w:next w:val="1"/>
    <w:qFormat/>
    <w:uiPriority w:val="0"/>
    <w:pPr>
      <w:ind w:left="2500" w:leftChars="2500"/>
    </w:pPr>
    <w:rPr>
      <w:rFonts w:eastAsia="楷体_GB2312"/>
      <w:sz w:val="32"/>
      <w:szCs w:val="20"/>
    </w:rPr>
  </w:style>
  <w:style w:type="paragraph" w:styleId="15">
    <w:name w:val="footer"/>
    <w:basedOn w:val="1"/>
    <w:unhideWhenUsed/>
    <w:qFormat/>
    <w:uiPriority w:val="0"/>
    <w:pPr>
      <w:tabs>
        <w:tab w:val="center" w:pos="4153"/>
        <w:tab w:val="right" w:pos="8306"/>
      </w:tabs>
      <w:snapToGrid w:val="0"/>
      <w:jc w:val="left"/>
    </w:pPr>
    <w:rPr>
      <w:sz w:val="18"/>
      <w:szCs w:val="18"/>
    </w:rPr>
  </w:style>
  <w:style w:type="paragraph" w:styleId="16">
    <w:name w:val="header"/>
    <w:basedOn w:val="1"/>
    <w:unhideWhenUsed/>
    <w:qFormat/>
    <w:uiPriority w:val="99"/>
    <w:pPr>
      <w:pBdr>
        <w:bottom w:val="single" w:color="auto" w:sz="6" w:space="0"/>
      </w:pBdr>
      <w:tabs>
        <w:tab w:val="center" w:pos="4153"/>
        <w:tab w:val="right" w:pos="8306"/>
      </w:tabs>
      <w:snapToGrid w:val="0"/>
      <w:spacing w:before="120"/>
    </w:pPr>
    <w:rPr>
      <w:sz w:val="18"/>
      <w:szCs w:val="18"/>
    </w:rPr>
  </w:style>
  <w:style w:type="paragraph" w:styleId="17">
    <w:name w:val="toc 1"/>
    <w:basedOn w:val="1"/>
    <w:next w:val="1"/>
    <w:qFormat/>
    <w:uiPriority w:val="0"/>
    <w:rPr>
      <w:sz w:val="30"/>
    </w:rPr>
  </w:style>
  <w:style w:type="paragraph" w:styleId="18">
    <w:name w:val="List"/>
    <w:basedOn w:val="1"/>
    <w:qFormat/>
    <w:uiPriority w:val="0"/>
    <w:pPr>
      <w:ind w:left="200" w:hanging="200" w:hangingChars="200"/>
    </w:pPr>
    <w:rPr>
      <w:sz w:val="28"/>
    </w:rPr>
  </w:style>
  <w:style w:type="paragraph" w:styleId="19">
    <w:name w:val="toc 6"/>
    <w:basedOn w:val="1"/>
    <w:next w:val="1"/>
    <w:qFormat/>
    <w:uiPriority w:val="0"/>
    <w:pPr>
      <w:spacing w:beforeLines="0"/>
      <w:ind w:left="2100" w:leftChars="1000"/>
    </w:pPr>
    <w:rPr>
      <w:rFonts w:ascii="Calibri" w:hAnsi="Calibri"/>
      <w:szCs w:val="22"/>
    </w:rPr>
  </w:style>
  <w:style w:type="paragraph" w:styleId="20">
    <w:name w:val="toc 2"/>
    <w:basedOn w:val="1"/>
    <w:next w:val="1"/>
    <w:qFormat/>
    <w:uiPriority w:val="0"/>
    <w:pPr>
      <w:tabs>
        <w:tab w:val="right" w:leader="dot" w:pos="8493"/>
      </w:tabs>
      <w:ind w:left="420" w:leftChars="200"/>
    </w:pPr>
    <w:rPr>
      <w:rFonts w:ascii="宋体" w:hAnsi="宋体"/>
      <w:b/>
      <w:bCs/>
      <w:sz w:val="24"/>
      <w:szCs w:val="30"/>
      <w:lang w:val="en-US" w:eastAsia="zh-CN"/>
    </w:rPr>
  </w:style>
  <w:style w:type="paragraph" w:styleId="21">
    <w:name w:val="Normal (Web)"/>
    <w:basedOn w:val="1"/>
    <w:unhideWhenUsed/>
    <w:qFormat/>
    <w:uiPriority w:val="0"/>
    <w:pPr>
      <w:widowControl/>
      <w:spacing w:beforeAutospacing="1" w:after="100" w:afterAutospacing="1"/>
      <w:jc w:val="left"/>
    </w:pPr>
    <w:rPr>
      <w:rFonts w:ascii="宋体" w:hAnsi="宋体"/>
      <w:kern w:val="0"/>
    </w:rPr>
  </w:style>
  <w:style w:type="paragraph" w:styleId="22">
    <w:name w:val="Title"/>
    <w:basedOn w:val="1"/>
    <w:next w:val="1"/>
    <w:qFormat/>
    <w:uiPriority w:val="0"/>
    <w:pPr>
      <w:widowControl/>
      <w:overflowPunct w:val="0"/>
      <w:autoSpaceDE w:val="0"/>
      <w:autoSpaceDN w:val="0"/>
      <w:adjustRightInd w:val="0"/>
      <w:jc w:val="center"/>
      <w:textAlignment w:val="baseline"/>
    </w:pPr>
    <w:rPr>
      <w:sz w:val="18"/>
      <w:szCs w:val="18"/>
    </w:rPr>
  </w:style>
  <w:style w:type="paragraph" w:styleId="23">
    <w:name w:val="Body Text First Indent 2"/>
    <w:basedOn w:val="5"/>
    <w:next w:val="11"/>
    <w:qFormat/>
    <w:uiPriority w:val="99"/>
    <w:pPr>
      <w:spacing w:after="120" w:line="240" w:lineRule="auto"/>
      <w:ind w:left="420" w:leftChars="200" w:firstLine="420" w:firstLineChars="200"/>
    </w:pPr>
    <w:rPr>
      <w:rFonts w:ascii="Times New Roman" w:hAnsi="Times New Roman"/>
      <w:spacing w:val="0"/>
      <w:sz w:val="21"/>
      <w:szCs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Hyperlink"/>
    <w:qFormat/>
    <w:uiPriority w:val="99"/>
    <w:rPr>
      <w:color w:val="0000FF"/>
      <w:u w:val="single"/>
    </w:rPr>
  </w:style>
  <w:style w:type="paragraph" w:customStyle="1" w:styleId="29">
    <w:name w:val="NormalIndent"/>
    <w:basedOn w:val="1"/>
    <w:qFormat/>
    <w:uiPriority w:val="0"/>
    <w:pPr>
      <w:numPr>
        <w:ilvl w:val="0"/>
        <w:numId w:val="1"/>
      </w:numPr>
      <w:ind w:left="0" w:firstLine="420"/>
    </w:pPr>
    <w:rPr>
      <w:szCs w:val="20"/>
    </w:rPr>
  </w:style>
  <w:style w:type="paragraph" w:customStyle="1" w:styleId="30">
    <w:name w:val="_Style 1"/>
    <w:qFormat/>
    <w:uiPriority w:val="0"/>
    <w:rPr>
      <w:rFonts w:ascii="Calibri" w:hAnsi="Calibri" w:eastAsia="宋体" w:cs="Times New Roman"/>
      <w:kern w:val="2"/>
      <w:sz w:val="28"/>
      <w:szCs w:val="22"/>
      <w:lang w:val="en-US" w:eastAsia="zh-CN" w:bidi="ar-SA"/>
    </w:rPr>
  </w:style>
  <w:style w:type="paragraph" w:customStyle="1" w:styleId="31">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32">
    <w:name w:val="标题 2 Char"/>
    <w:link w:val="3"/>
    <w:qFormat/>
    <w:uiPriority w:val="0"/>
    <w:rPr>
      <w:b/>
      <w:bCs/>
      <w:sz w:val="32"/>
      <w:szCs w:val="32"/>
    </w:rPr>
  </w:style>
  <w:style w:type="paragraph" w:customStyle="1" w:styleId="33">
    <w:name w:val="正文无缩进 Char"/>
    <w:basedOn w:val="1"/>
    <w:qFormat/>
    <w:uiPriority w:val="0"/>
    <w:pPr>
      <w:tabs>
        <w:tab w:val="left" w:pos="420"/>
      </w:tabs>
      <w:spacing w:beforeLines="40" w:afterLines="40"/>
    </w:pPr>
  </w:style>
  <w:style w:type="paragraph" w:customStyle="1" w:styleId="34">
    <w:name w:val="正文2"/>
    <w:basedOn w:val="1"/>
    <w:qFormat/>
    <w:uiPriority w:val="0"/>
    <w:pPr>
      <w:spacing w:before="156"/>
      <w:ind w:firstLine="510" w:firstLineChars="200"/>
      <w:jc w:val="left"/>
    </w:pPr>
    <w:rPr>
      <w:rFonts w:ascii="宋体" w:hAnsi="宋体" w:eastAsia="仿宋_GB2312" w:cs="Arial"/>
      <w:szCs w:val="20"/>
    </w:rPr>
  </w:style>
  <w:style w:type="paragraph" w:customStyle="1" w:styleId="35">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36">
    <w:name w:val="默认段落字体 Para Char Char Char Char Char Char Char Char Char1 Char Char Char Char"/>
    <w:basedOn w:val="1"/>
    <w:qFormat/>
    <w:uiPriority w:val="0"/>
    <w:rPr>
      <w:rFonts w:ascii="Tahoma" w:hAnsi="Tahoma"/>
      <w:szCs w:val="20"/>
    </w:rPr>
  </w:style>
  <w:style w:type="paragraph" w:customStyle="1" w:styleId="37">
    <w:name w:val="纯文本_0_0"/>
    <w:basedOn w:val="38"/>
    <w:qFormat/>
    <w:uiPriority w:val="0"/>
    <w:rPr>
      <w:rFonts w:ascii="宋体" w:hAnsi="Courier New"/>
      <w:szCs w:val="21"/>
    </w:rPr>
  </w:style>
  <w:style w:type="paragraph" w:customStyle="1" w:styleId="3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Normal Indent1"/>
    <w:basedOn w:val="1"/>
    <w:qFormat/>
    <w:uiPriority w:val="0"/>
    <w:pPr>
      <w:ind w:firstLine="420" w:firstLineChars="200"/>
    </w:pPr>
  </w:style>
  <w:style w:type="paragraph" w:styleId="40">
    <w:name w:val="List Paragraph"/>
    <w:basedOn w:val="1"/>
    <w:unhideWhenUsed/>
    <w:qFormat/>
    <w:uiPriority w:val="99"/>
    <w:pPr>
      <w:ind w:firstLine="420" w:firstLineChars="200"/>
    </w:pPr>
  </w:style>
  <w:style w:type="paragraph" w:customStyle="1" w:styleId="41">
    <w:name w:val="af17cgridlangnp1033langf"/>
    <w:qFormat/>
    <w:uiPriority w:val="0"/>
    <w:pPr>
      <w:widowControl w:val="0"/>
      <w:autoSpaceDE w:val="0"/>
      <w:autoSpaceDN w:val="0"/>
      <w:adjustRightInd w:val="0"/>
      <w:spacing w:beforeLines="50" w:line="360" w:lineRule="atLeast"/>
      <w:ind w:left="567" w:firstLine="510"/>
      <w:jc w:val="both"/>
    </w:pPr>
    <w:rPr>
      <w:rFonts w:ascii="Times New Roman" w:hAnsi="Times New Roman" w:eastAsia="宋体" w:cs="Times New Roman"/>
      <w:lang w:val="en-US" w:eastAsia="zh-CN" w:bidi="ar-SA"/>
    </w:rPr>
  </w:style>
  <w:style w:type="paragraph" w:customStyle="1" w:styleId="42">
    <w:name w:val="表格文字靠左"/>
    <w:basedOn w:val="1"/>
    <w:qFormat/>
    <w:uiPriority w:val="2"/>
    <w:pPr>
      <w:jc w:val="left"/>
    </w:pPr>
  </w:style>
  <w:style w:type="paragraph" w:customStyle="1" w:styleId="43">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35695</Words>
  <Characters>37468</Characters>
  <Lines>230</Lines>
  <Paragraphs>64</Paragraphs>
  <TotalTime>14</TotalTime>
  <ScaleCrop>false</ScaleCrop>
  <LinksUpToDate>false</LinksUpToDate>
  <CharactersWithSpaces>39460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2022-01-18T05:28:00Z</dcterms:created>
  <dc:creator>Administrator</dc:creator>
  <cp:lastModifiedBy>楼太浪</cp:lastModifiedBy>
  <dcterms:modified xsi:type="dcterms:W3CDTF">2024-08-28T01:17:06Z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3663B34DDAFE46C3B46560D4083C518D_13</vt:lpwstr>
  </property>
</Properties>
</file>