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6ABB7">
      <w:pPr>
        <w:jc w:val="distribute"/>
        <w:rPr>
          <w:rFonts w:hint="eastAsia" w:ascii="新宋体" w:hAnsi="新宋体" w:eastAsia="新宋体" w:cs="新宋体"/>
          <w:color w:val="auto"/>
          <w:spacing w:val="120"/>
          <w:sz w:val="96"/>
          <w:szCs w:val="96"/>
          <w:highlight w:val="none"/>
        </w:rPr>
      </w:pPr>
      <w:bookmarkStart w:id="0" w:name="第五部分"/>
      <w:bookmarkStart w:id="1" w:name="_Toc86217003"/>
    </w:p>
    <w:p w14:paraId="627DB9B5">
      <w:pPr>
        <w:jc w:val="distribute"/>
        <w:rPr>
          <w:rFonts w:hint="eastAsia" w:ascii="新宋体" w:hAnsi="新宋体" w:eastAsia="新宋体" w:cs="新宋体"/>
          <w:b/>
          <w:bCs/>
          <w:color w:val="auto"/>
          <w:sz w:val="56"/>
          <w:szCs w:val="56"/>
          <w:highlight w:val="none"/>
        </w:rPr>
      </w:pPr>
      <w:r>
        <w:rPr>
          <w:rFonts w:hint="eastAsia" w:ascii="新宋体" w:hAnsi="新宋体" w:eastAsia="新宋体" w:cs="新宋体"/>
          <w:color w:val="auto"/>
          <w:spacing w:val="120"/>
          <w:sz w:val="96"/>
          <w:szCs w:val="96"/>
          <w:highlight w:val="none"/>
        </w:rPr>
        <w:t>温州市国有企业</w:t>
      </w:r>
    </w:p>
    <w:p w14:paraId="4E86A12A">
      <w:pPr>
        <w:jc w:val="center"/>
        <w:rPr>
          <w:rFonts w:hint="eastAsia" w:ascii="新宋体" w:hAnsi="新宋体" w:eastAsia="新宋体" w:cs="新宋体"/>
          <w:b/>
          <w:bCs/>
          <w:color w:val="auto"/>
          <w:spacing w:val="26"/>
          <w:sz w:val="52"/>
          <w:highlight w:val="none"/>
        </w:rPr>
      </w:pPr>
    </w:p>
    <w:p w14:paraId="76377350">
      <w:pPr>
        <w:ind w:firstLine="2357" w:firstLineChars="235"/>
        <w:rPr>
          <w:rFonts w:hint="eastAsia" w:ascii="新宋体" w:hAnsi="新宋体" w:eastAsia="新宋体" w:cs="新宋体"/>
          <w:b/>
          <w:bCs/>
          <w:color w:val="auto"/>
          <w:spacing w:val="140"/>
          <w:sz w:val="72"/>
          <w:highlight w:val="none"/>
        </w:rPr>
      </w:pPr>
    </w:p>
    <w:p w14:paraId="3EE6B124">
      <w:pPr>
        <w:jc w:val="center"/>
        <w:rPr>
          <w:rFonts w:hint="eastAsia" w:ascii="新宋体" w:hAnsi="新宋体" w:eastAsia="新宋体" w:cs="新宋体"/>
          <w:b/>
          <w:bCs/>
          <w:color w:val="auto"/>
          <w:spacing w:val="140"/>
          <w:sz w:val="72"/>
          <w:highlight w:val="none"/>
        </w:rPr>
      </w:pPr>
    </w:p>
    <w:p w14:paraId="70DE542C">
      <w:pPr>
        <w:adjustRightInd w:val="0"/>
        <w:snapToGrid w:val="0"/>
        <w:spacing w:line="480" w:lineRule="auto"/>
        <w:ind w:right="361"/>
        <w:jc w:val="center"/>
        <w:rPr>
          <w:rFonts w:hint="eastAsia" w:ascii="新宋体" w:hAnsi="新宋体" w:eastAsia="新宋体" w:cs="新宋体"/>
          <w:color w:val="auto"/>
          <w:sz w:val="84"/>
          <w:szCs w:val="84"/>
          <w:highlight w:val="none"/>
        </w:rPr>
      </w:pPr>
      <w:r>
        <w:rPr>
          <w:rFonts w:hint="eastAsia" w:ascii="新宋体" w:hAnsi="新宋体" w:eastAsia="新宋体" w:cs="新宋体"/>
          <w:b/>
          <w:bCs/>
          <w:color w:val="auto"/>
          <w:sz w:val="84"/>
          <w:szCs w:val="84"/>
          <w:highlight w:val="none"/>
        </w:rPr>
        <w:t>采 购 文 件</w:t>
      </w:r>
    </w:p>
    <w:p w14:paraId="4C230DA8">
      <w:pPr>
        <w:ind w:left="1888" w:leftChars="899" w:firstLine="210" w:firstLineChars="87"/>
        <w:rPr>
          <w:rFonts w:hint="eastAsia" w:ascii="新宋体" w:hAnsi="新宋体" w:eastAsia="新宋体" w:cs="新宋体"/>
          <w:b/>
          <w:bCs/>
          <w:color w:val="auto"/>
          <w:sz w:val="24"/>
          <w:highlight w:val="none"/>
        </w:rPr>
      </w:pPr>
    </w:p>
    <w:p w14:paraId="09B42526">
      <w:pPr>
        <w:spacing w:line="800" w:lineRule="exact"/>
        <w:ind w:firstLine="1140" w:firstLineChars="300"/>
        <w:jc w:val="left"/>
        <w:rPr>
          <w:rFonts w:hint="eastAsia" w:ascii="新宋体" w:hAnsi="新宋体" w:eastAsia="新宋体" w:cs="新宋体"/>
          <w:b/>
          <w:color w:val="auto"/>
          <w:spacing w:val="40"/>
          <w:sz w:val="30"/>
          <w:szCs w:val="30"/>
          <w:highlight w:val="none"/>
        </w:rPr>
      </w:pPr>
      <w:r>
        <w:rPr>
          <w:rFonts w:hint="eastAsia" w:ascii="新宋体" w:hAnsi="新宋体" w:eastAsia="新宋体" w:cs="新宋体"/>
          <w:color w:val="auto"/>
          <w:spacing w:val="40"/>
          <w:sz w:val="30"/>
          <w:szCs w:val="30"/>
          <w:highlight w:val="none"/>
        </w:rPr>
        <w:t>项 目 编 号</w:t>
      </w:r>
      <w:r>
        <w:rPr>
          <w:rFonts w:hint="eastAsia" w:ascii="新宋体" w:hAnsi="新宋体" w:eastAsia="新宋体" w:cs="新宋体"/>
          <w:color w:val="auto"/>
          <w:spacing w:val="40"/>
          <w:sz w:val="28"/>
          <w:highlight w:val="none"/>
        </w:rPr>
        <w:t>：</w:t>
      </w:r>
      <w:r>
        <w:rPr>
          <w:rFonts w:hint="eastAsia" w:ascii="新宋体" w:hAnsi="新宋体" w:eastAsia="新宋体" w:cs="新宋体"/>
          <w:b/>
          <w:bCs/>
          <w:color w:val="auto"/>
          <w:spacing w:val="40"/>
          <w:sz w:val="30"/>
          <w:szCs w:val="30"/>
          <w:highlight w:val="none"/>
          <w:lang w:eastAsia="zh-CN"/>
        </w:rPr>
        <w:t>WGSS-GYNY-X-2024004</w:t>
      </w:r>
      <w:r>
        <w:rPr>
          <w:rFonts w:hint="eastAsia" w:ascii="新宋体" w:hAnsi="新宋体" w:eastAsia="新宋体" w:cs="新宋体"/>
          <w:b/>
          <w:bCs/>
          <w:color w:val="auto"/>
          <w:sz w:val="30"/>
          <w:szCs w:val="30"/>
          <w:highlight w:val="none"/>
        </w:rPr>
        <w:t xml:space="preserve">   </w:t>
      </w:r>
    </w:p>
    <w:p w14:paraId="4303F1BA">
      <w:pPr>
        <w:spacing w:line="800" w:lineRule="exact"/>
        <w:ind w:firstLine="1140" w:firstLineChars="300"/>
        <w:jc w:val="left"/>
        <w:rPr>
          <w:rFonts w:hint="eastAsia" w:ascii="新宋体" w:hAnsi="新宋体" w:eastAsia="新宋体" w:cs="新宋体"/>
          <w:b/>
          <w:bCs/>
          <w:color w:val="auto"/>
          <w:sz w:val="30"/>
          <w:szCs w:val="30"/>
          <w:highlight w:val="none"/>
          <w:lang w:eastAsia="zh-CN"/>
        </w:rPr>
      </w:pPr>
      <w:bookmarkStart w:id="2" w:name="_Toc27306"/>
      <w:bookmarkStart w:id="3" w:name="_Toc7691"/>
      <w:r>
        <w:rPr>
          <w:rFonts w:hint="eastAsia" w:ascii="新宋体" w:hAnsi="新宋体" w:eastAsia="新宋体" w:cs="新宋体"/>
          <w:color w:val="auto"/>
          <w:spacing w:val="40"/>
          <w:sz w:val="30"/>
          <w:szCs w:val="30"/>
          <w:highlight w:val="none"/>
        </w:rPr>
        <w:t>项 目 名 称：</w:t>
      </w:r>
      <w:bookmarkEnd w:id="2"/>
      <w:bookmarkEnd w:id="3"/>
      <w:r>
        <w:rPr>
          <w:rFonts w:hint="eastAsia" w:ascii="新宋体" w:hAnsi="新宋体" w:eastAsia="新宋体" w:cs="新宋体"/>
          <w:b/>
          <w:bCs/>
          <w:color w:val="auto"/>
          <w:sz w:val="30"/>
          <w:szCs w:val="30"/>
          <w:highlight w:val="none"/>
          <w:lang w:eastAsia="zh-CN"/>
        </w:rPr>
        <w:t>智算中心 AI 智算系统及智算管理平台（第三期）</w:t>
      </w:r>
    </w:p>
    <w:p w14:paraId="01722835">
      <w:pPr>
        <w:spacing w:line="800" w:lineRule="exact"/>
        <w:ind w:left="3794" w:leftChars="540" w:hanging="2660" w:hangingChars="700"/>
        <w:rPr>
          <w:rFonts w:hint="eastAsia" w:ascii="新宋体" w:hAnsi="新宋体" w:eastAsia="新宋体" w:cs="新宋体"/>
          <w:b/>
          <w:color w:val="auto"/>
          <w:spacing w:val="40"/>
          <w:sz w:val="30"/>
          <w:szCs w:val="30"/>
          <w:highlight w:val="none"/>
        </w:rPr>
      </w:pPr>
      <w:r>
        <w:rPr>
          <w:rFonts w:hint="eastAsia" w:ascii="新宋体" w:hAnsi="新宋体" w:eastAsia="新宋体" w:cs="新宋体"/>
          <w:color w:val="auto"/>
          <w:spacing w:val="40"/>
          <w:sz w:val="30"/>
          <w:szCs w:val="30"/>
          <w:highlight w:val="none"/>
        </w:rPr>
        <w:t>采 购 方 式：</w:t>
      </w:r>
      <w:r>
        <w:rPr>
          <w:rFonts w:hint="eastAsia" w:ascii="新宋体" w:hAnsi="新宋体" w:eastAsia="新宋体" w:cs="新宋体"/>
          <w:b/>
          <w:color w:val="auto"/>
          <w:spacing w:val="40"/>
          <w:sz w:val="30"/>
          <w:szCs w:val="30"/>
          <w:highlight w:val="none"/>
        </w:rPr>
        <w:t>公开招标</w:t>
      </w:r>
    </w:p>
    <w:p w14:paraId="47E80D70">
      <w:pPr>
        <w:spacing w:line="600" w:lineRule="exact"/>
        <w:ind w:firstLine="1140" w:firstLineChars="300"/>
        <w:rPr>
          <w:rFonts w:hint="eastAsia" w:ascii="新宋体" w:hAnsi="新宋体" w:eastAsia="新宋体" w:cs="新宋体"/>
          <w:color w:val="auto"/>
          <w:spacing w:val="40"/>
          <w:sz w:val="30"/>
          <w:szCs w:val="30"/>
          <w:highlight w:val="none"/>
        </w:rPr>
      </w:pPr>
    </w:p>
    <w:p w14:paraId="14B73CAD">
      <w:pPr>
        <w:spacing w:line="600" w:lineRule="exact"/>
        <w:ind w:firstLine="1140" w:firstLineChars="300"/>
        <w:rPr>
          <w:rFonts w:hint="eastAsia" w:ascii="新宋体" w:hAnsi="新宋体" w:eastAsia="新宋体" w:cs="新宋体"/>
          <w:color w:val="auto"/>
          <w:spacing w:val="40"/>
          <w:sz w:val="30"/>
          <w:szCs w:val="30"/>
          <w:highlight w:val="none"/>
        </w:rPr>
      </w:pPr>
    </w:p>
    <w:p w14:paraId="3A515726">
      <w:pPr>
        <w:spacing w:line="600" w:lineRule="exact"/>
        <w:ind w:firstLine="1980" w:firstLineChars="550"/>
        <w:rPr>
          <w:rFonts w:hint="eastAsia" w:ascii="新宋体" w:hAnsi="新宋体" w:eastAsia="新宋体" w:cs="新宋体"/>
          <w:color w:val="auto"/>
          <w:spacing w:val="30"/>
          <w:sz w:val="30"/>
          <w:highlight w:val="none"/>
        </w:rPr>
      </w:pPr>
      <w:r>
        <w:rPr>
          <w:rFonts w:hint="eastAsia" w:ascii="新宋体" w:hAnsi="新宋体" w:eastAsia="新宋体" w:cs="新宋体"/>
          <w:color w:val="auto"/>
          <w:spacing w:val="30"/>
          <w:sz w:val="30"/>
          <w:highlight w:val="none"/>
        </w:rPr>
        <w:t>采 购 人:</w:t>
      </w:r>
      <w:r>
        <w:rPr>
          <w:rFonts w:hint="eastAsia" w:ascii="新宋体" w:hAnsi="新宋体" w:eastAsia="新宋体" w:cs="新宋体"/>
          <w:b/>
          <w:color w:val="auto"/>
          <w:sz w:val="22"/>
          <w:szCs w:val="22"/>
          <w:highlight w:val="none"/>
        </w:rPr>
        <w:t xml:space="preserve"> </w:t>
      </w:r>
      <w:r>
        <w:rPr>
          <w:rFonts w:hint="eastAsia" w:ascii="新宋体" w:hAnsi="新宋体" w:eastAsia="新宋体" w:cs="新宋体"/>
          <w:color w:val="auto"/>
          <w:spacing w:val="30"/>
          <w:sz w:val="30"/>
          <w:highlight w:val="none"/>
        </w:rPr>
        <w:t>温州市工睿实业有限公司</w:t>
      </w:r>
    </w:p>
    <w:p w14:paraId="526C81A6">
      <w:pPr>
        <w:spacing w:line="600" w:lineRule="exact"/>
        <w:jc w:val="center"/>
        <w:rPr>
          <w:rFonts w:hint="eastAsia" w:ascii="新宋体" w:hAnsi="新宋体" w:eastAsia="新宋体" w:cs="新宋体"/>
          <w:color w:val="auto"/>
          <w:spacing w:val="30"/>
          <w:sz w:val="30"/>
          <w:highlight w:val="none"/>
        </w:rPr>
      </w:pPr>
      <w:r>
        <w:rPr>
          <w:rFonts w:hint="eastAsia" w:ascii="新宋体" w:hAnsi="新宋体" w:eastAsia="新宋体" w:cs="新宋体"/>
          <w:color w:val="auto"/>
          <w:spacing w:val="30"/>
          <w:sz w:val="30"/>
          <w:highlight w:val="none"/>
        </w:rPr>
        <w:t xml:space="preserve">  </w:t>
      </w:r>
      <w:bookmarkStart w:id="4" w:name="_Toc11667"/>
      <w:bookmarkStart w:id="5" w:name="_Toc27314"/>
      <w:r>
        <w:rPr>
          <w:rFonts w:hint="eastAsia" w:ascii="新宋体" w:hAnsi="新宋体" w:eastAsia="新宋体" w:cs="新宋体"/>
          <w:color w:val="auto"/>
          <w:spacing w:val="30"/>
          <w:sz w:val="30"/>
          <w:highlight w:val="none"/>
        </w:rPr>
        <w:t>采购代理机构：温州历程招标有限公司</w:t>
      </w:r>
      <w:bookmarkEnd w:id="4"/>
      <w:bookmarkEnd w:id="5"/>
    </w:p>
    <w:p w14:paraId="21DFE83F">
      <w:pPr>
        <w:rPr>
          <w:rFonts w:hint="eastAsia" w:ascii="新宋体" w:hAnsi="新宋体" w:eastAsia="新宋体" w:cs="新宋体"/>
          <w:color w:val="auto"/>
          <w:spacing w:val="40"/>
          <w:sz w:val="28"/>
          <w:highlight w:val="none"/>
        </w:rPr>
      </w:pPr>
    </w:p>
    <w:p w14:paraId="6F5D4BCE">
      <w:pPr>
        <w:spacing w:line="600" w:lineRule="exact"/>
        <w:jc w:val="center"/>
        <w:rPr>
          <w:rFonts w:hint="eastAsia" w:ascii="新宋体" w:hAnsi="新宋体" w:eastAsia="新宋体" w:cs="新宋体"/>
          <w:color w:val="auto"/>
          <w:spacing w:val="30"/>
          <w:sz w:val="30"/>
          <w:highlight w:val="none"/>
        </w:rPr>
      </w:pPr>
      <w:r>
        <w:rPr>
          <w:rFonts w:hint="eastAsia" w:ascii="新宋体" w:hAnsi="新宋体" w:eastAsia="新宋体" w:cs="新宋体"/>
          <w:color w:val="auto"/>
          <w:spacing w:val="30"/>
          <w:sz w:val="30"/>
          <w:highlight w:val="none"/>
        </w:rPr>
        <w:t>二0二四年</w:t>
      </w:r>
      <w:r>
        <w:rPr>
          <w:rFonts w:hint="eastAsia" w:ascii="新宋体" w:hAnsi="新宋体" w:eastAsia="新宋体" w:cs="新宋体"/>
          <w:color w:val="auto"/>
          <w:spacing w:val="30"/>
          <w:sz w:val="30"/>
          <w:highlight w:val="none"/>
          <w:lang w:val="en-US" w:eastAsia="zh-CN"/>
        </w:rPr>
        <w:t>十一</w:t>
      </w:r>
      <w:r>
        <w:rPr>
          <w:rFonts w:hint="eastAsia" w:ascii="新宋体" w:hAnsi="新宋体" w:eastAsia="新宋体" w:cs="新宋体"/>
          <w:color w:val="auto"/>
          <w:spacing w:val="30"/>
          <w:sz w:val="30"/>
          <w:highlight w:val="none"/>
        </w:rPr>
        <w:t>月</w:t>
      </w:r>
    </w:p>
    <w:p w14:paraId="6F05B699">
      <w:pP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br w:type="page"/>
      </w:r>
    </w:p>
    <w:p w14:paraId="09C09FC6">
      <w:pPr>
        <w:spacing w:line="46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乐采云国企采购平台项目采购收费标准 (温州市市属国企区)</w:t>
      </w:r>
    </w:p>
    <w:p w14:paraId="4886BE1A">
      <w:pPr>
        <w:spacing w:line="460" w:lineRule="exact"/>
        <w:rPr>
          <w:rFonts w:hint="eastAsia" w:ascii="新宋体" w:hAnsi="新宋体" w:eastAsia="新宋体" w:cs="新宋体"/>
          <w:b/>
          <w:bCs/>
          <w:color w:val="auto"/>
          <w:sz w:val="22"/>
          <w:szCs w:val="22"/>
          <w:highlight w:val="none"/>
        </w:rPr>
      </w:pPr>
    </w:p>
    <w:p w14:paraId="6284F2CC">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一、收费标准</w:t>
      </w:r>
    </w:p>
    <w:p w14:paraId="4CA91B2D">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(一)不涉及具体金额的采购项目，技术服务费800元/件:</w:t>
      </w:r>
    </w:p>
    <w:p w14:paraId="1A1DEAD6">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(二)涉及具体金额的采购项目，根据标的额，按照以下比例收取技术服务费:</w:t>
      </w:r>
    </w:p>
    <w:p w14:paraId="4A6A5181">
      <w:pPr>
        <w:numPr>
          <w:ilvl w:val="0"/>
          <w:numId w:val="1"/>
        </w:num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中标价80万元以下 (含80万元的) : 按800元收取:</w:t>
      </w:r>
    </w:p>
    <w:p w14:paraId="4F37E06A">
      <w:pPr>
        <w:numPr>
          <w:ilvl w:val="0"/>
          <w:numId w:val="1"/>
        </w:num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中标价超过80万元的: 中标价的千分之一 (0.1%)，以30000元封顶</w:t>
      </w:r>
    </w:p>
    <w:p w14:paraId="7A8A937B">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二、收费对象</w:t>
      </w:r>
    </w:p>
    <w:p w14:paraId="41FFCCBD">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中标供应商</w:t>
      </w:r>
    </w:p>
    <w:p w14:paraId="5F7AAA50">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三、缴款内容</w:t>
      </w:r>
    </w:p>
    <w:p w14:paraId="22E407DE">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各供应商于每次中标结果公示后支付该项目的技术服务费</w:t>
      </w:r>
    </w:p>
    <w:p w14:paraId="3A87E21B">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四、实施时间</w:t>
      </w:r>
    </w:p>
    <w:p w14:paraId="30C4BFA2">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本收费标准自2023年9月6日起实施</w:t>
      </w:r>
    </w:p>
    <w:p w14:paraId="7C414BC4">
      <w:pPr>
        <w:spacing w:before="100" w:beforeAutospacing="1" w:after="100" w:afterAutospacing="1" w:line="440" w:lineRule="exact"/>
        <w:jc w:val="center"/>
        <w:rPr>
          <w:rFonts w:hint="eastAsia" w:ascii="新宋体" w:hAnsi="新宋体" w:eastAsia="新宋体" w:cs="新宋体"/>
          <w:b/>
          <w:bCs/>
          <w:color w:val="auto"/>
          <w:sz w:val="32"/>
          <w:szCs w:val="32"/>
          <w:highlight w:val="none"/>
        </w:rPr>
      </w:pPr>
      <w:r>
        <w:rPr>
          <w:rFonts w:hint="eastAsia" w:ascii="新宋体" w:hAnsi="新宋体" w:eastAsia="新宋体" w:cs="新宋体"/>
          <w:b/>
          <w:bCs/>
          <w:color w:val="auto"/>
          <w:sz w:val="32"/>
          <w:szCs w:val="32"/>
          <w:highlight w:val="none"/>
        </w:rPr>
        <w:br w:type="page"/>
      </w:r>
      <w:r>
        <w:rPr>
          <w:rFonts w:hint="eastAsia" w:ascii="新宋体" w:hAnsi="新宋体" w:eastAsia="新宋体" w:cs="新宋体"/>
          <w:b/>
          <w:bCs/>
          <w:color w:val="auto"/>
          <w:sz w:val="32"/>
          <w:szCs w:val="32"/>
          <w:highlight w:val="none"/>
        </w:rPr>
        <w:t>目    录</w:t>
      </w:r>
    </w:p>
    <w:p w14:paraId="65E50892">
      <w:pPr>
        <w:pStyle w:val="1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color w:val="auto"/>
          <w:highlight w:val="none"/>
        </w:rPr>
      </w:pPr>
      <w:r>
        <w:rPr>
          <w:rFonts w:hint="eastAsia" w:ascii="新宋体" w:hAnsi="新宋体" w:eastAsia="新宋体" w:cs="新宋体"/>
          <w:b/>
          <w:color w:val="auto"/>
          <w:sz w:val="22"/>
          <w:szCs w:val="22"/>
          <w:highlight w:val="none"/>
        </w:rPr>
        <w:fldChar w:fldCharType="begin"/>
      </w:r>
      <w:r>
        <w:rPr>
          <w:rFonts w:hint="eastAsia" w:ascii="新宋体" w:hAnsi="新宋体" w:eastAsia="新宋体" w:cs="新宋体"/>
          <w:b/>
          <w:color w:val="auto"/>
          <w:sz w:val="22"/>
          <w:szCs w:val="22"/>
          <w:highlight w:val="none"/>
        </w:rPr>
        <w:instrText xml:space="preserve">TOC \o "1-3" \h \u </w:instrText>
      </w:r>
      <w:r>
        <w:rPr>
          <w:rFonts w:hint="eastAsia" w:ascii="新宋体" w:hAnsi="新宋体" w:eastAsia="新宋体" w:cs="新宋体"/>
          <w:b/>
          <w:color w:val="auto"/>
          <w:sz w:val="22"/>
          <w:szCs w:val="22"/>
          <w:highlight w:val="none"/>
        </w:rPr>
        <w:fldChar w:fldCharType="separate"/>
      </w:r>
      <w:r>
        <w:rPr>
          <w:rFonts w:hint="eastAsia" w:ascii="新宋体" w:hAnsi="新宋体" w:eastAsia="新宋体" w:cs="新宋体"/>
          <w:color w:val="auto"/>
          <w:szCs w:val="22"/>
          <w:highlight w:val="none"/>
        </w:rPr>
        <w:fldChar w:fldCharType="begin"/>
      </w:r>
      <w:r>
        <w:rPr>
          <w:rFonts w:hint="eastAsia" w:ascii="新宋体" w:hAnsi="新宋体" w:eastAsia="新宋体" w:cs="新宋体"/>
          <w:color w:val="auto"/>
          <w:szCs w:val="22"/>
          <w:highlight w:val="none"/>
        </w:rPr>
        <w:instrText xml:space="preserve"> HYPERLINK \l _Toc21715 </w:instrText>
      </w:r>
      <w:r>
        <w:rPr>
          <w:rFonts w:hint="eastAsia" w:ascii="新宋体" w:hAnsi="新宋体" w:eastAsia="新宋体" w:cs="新宋体"/>
          <w:color w:val="auto"/>
          <w:szCs w:val="22"/>
          <w:highlight w:val="none"/>
        </w:rPr>
        <w:fldChar w:fldCharType="separate"/>
      </w:r>
      <w:r>
        <w:rPr>
          <w:rFonts w:hint="eastAsia" w:ascii="新宋体" w:hAnsi="新宋体" w:eastAsia="新宋体" w:cs="新宋体"/>
          <w:bCs/>
          <w:color w:val="auto"/>
          <w:highlight w:val="none"/>
        </w:rPr>
        <w:t>通  用  文  本</w:t>
      </w:r>
      <w:r>
        <w:rPr>
          <w:color w:val="auto"/>
          <w:highlight w:val="none"/>
        </w:rPr>
        <w:tab/>
      </w:r>
      <w:r>
        <w:rPr>
          <w:color w:val="auto"/>
          <w:highlight w:val="none"/>
        </w:rPr>
        <w:fldChar w:fldCharType="begin"/>
      </w:r>
      <w:r>
        <w:rPr>
          <w:color w:val="auto"/>
          <w:highlight w:val="none"/>
        </w:rPr>
        <w:instrText xml:space="preserve"> PAGEREF _Toc21715 \h </w:instrText>
      </w:r>
      <w:r>
        <w:rPr>
          <w:color w:val="auto"/>
          <w:highlight w:val="none"/>
        </w:rPr>
        <w:fldChar w:fldCharType="separate"/>
      </w:r>
      <w:r>
        <w:rPr>
          <w:color w:val="auto"/>
          <w:highlight w:val="none"/>
        </w:rPr>
        <w:t>4</w:t>
      </w:r>
      <w:r>
        <w:rPr>
          <w:color w:val="auto"/>
          <w:highlight w:val="none"/>
        </w:rPr>
        <w:fldChar w:fldCharType="end"/>
      </w:r>
      <w:r>
        <w:rPr>
          <w:rFonts w:hint="eastAsia" w:ascii="新宋体" w:hAnsi="新宋体" w:eastAsia="新宋体" w:cs="新宋体"/>
          <w:color w:val="auto"/>
          <w:szCs w:val="22"/>
          <w:highlight w:val="none"/>
        </w:rPr>
        <w:fldChar w:fldCharType="end"/>
      </w:r>
    </w:p>
    <w:p w14:paraId="464CB432">
      <w:pPr>
        <w:pStyle w:val="16"/>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color w:val="auto"/>
          <w:highlight w:val="none"/>
        </w:rPr>
      </w:pPr>
      <w:r>
        <w:rPr>
          <w:rFonts w:hint="eastAsia" w:ascii="新宋体" w:hAnsi="新宋体" w:eastAsia="新宋体" w:cs="新宋体"/>
          <w:color w:val="auto"/>
          <w:szCs w:val="22"/>
          <w:highlight w:val="none"/>
        </w:rPr>
        <w:fldChar w:fldCharType="begin"/>
      </w:r>
      <w:r>
        <w:rPr>
          <w:rFonts w:hint="eastAsia" w:ascii="新宋体" w:hAnsi="新宋体" w:eastAsia="新宋体" w:cs="新宋体"/>
          <w:color w:val="auto"/>
          <w:szCs w:val="22"/>
          <w:highlight w:val="none"/>
        </w:rPr>
        <w:instrText xml:space="preserve"> HYPERLINK \l _Toc24388 </w:instrText>
      </w:r>
      <w:r>
        <w:rPr>
          <w:rFonts w:hint="eastAsia" w:ascii="新宋体" w:hAnsi="新宋体" w:eastAsia="新宋体" w:cs="新宋体"/>
          <w:color w:val="auto"/>
          <w:szCs w:val="22"/>
          <w:highlight w:val="none"/>
        </w:rPr>
        <w:fldChar w:fldCharType="separate"/>
      </w:r>
      <w:r>
        <w:rPr>
          <w:rFonts w:hint="eastAsia" w:ascii="新宋体" w:hAnsi="新宋体" w:eastAsia="新宋体" w:cs="新宋体"/>
          <w:bCs/>
          <w:color w:val="auto"/>
          <w:szCs w:val="28"/>
          <w:highlight w:val="none"/>
        </w:rPr>
        <w:t>温州市工业与能源集团所属温州市工睿实业有限公司关于</w:t>
      </w:r>
      <w:r>
        <w:rPr>
          <w:rFonts w:hint="eastAsia" w:ascii="新宋体" w:hAnsi="新宋体" w:eastAsia="新宋体" w:cs="新宋体"/>
          <w:bCs/>
          <w:color w:val="auto"/>
          <w:szCs w:val="28"/>
          <w:highlight w:val="none"/>
          <w:lang w:eastAsia="zh-CN"/>
        </w:rPr>
        <w:t>智算中心 AI 智算系统及智算管理平台（第三期）</w:t>
      </w:r>
      <w:r>
        <w:rPr>
          <w:rFonts w:hint="eastAsia" w:ascii="新宋体" w:hAnsi="新宋体" w:eastAsia="新宋体" w:cs="新宋体"/>
          <w:bCs/>
          <w:color w:val="auto"/>
          <w:szCs w:val="28"/>
          <w:highlight w:val="none"/>
        </w:rPr>
        <w:t>项目的采购公告</w:t>
      </w:r>
      <w:r>
        <w:rPr>
          <w:color w:val="auto"/>
          <w:highlight w:val="none"/>
        </w:rPr>
        <w:tab/>
      </w:r>
      <w:r>
        <w:rPr>
          <w:color w:val="auto"/>
          <w:highlight w:val="none"/>
        </w:rPr>
        <w:fldChar w:fldCharType="begin"/>
      </w:r>
      <w:r>
        <w:rPr>
          <w:color w:val="auto"/>
          <w:highlight w:val="none"/>
        </w:rPr>
        <w:instrText xml:space="preserve"> PAGEREF _Toc24388 \h </w:instrText>
      </w:r>
      <w:r>
        <w:rPr>
          <w:color w:val="auto"/>
          <w:highlight w:val="none"/>
        </w:rPr>
        <w:fldChar w:fldCharType="separate"/>
      </w:r>
      <w:r>
        <w:rPr>
          <w:color w:val="auto"/>
          <w:highlight w:val="none"/>
        </w:rPr>
        <w:t>5</w:t>
      </w:r>
      <w:r>
        <w:rPr>
          <w:color w:val="auto"/>
          <w:highlight w:val="none"/>
        </w:rPr>
        <w:fldChar w:fldCharType="end"/>
      </w:r>
      <w:r>
        <w:rPr>
          <w:rFonts w:hint="eastAsia" w:ascii="新宋体" w:hAnsi="新宋体" w:eastAsia="新宋体" w:cs="新宋体"/>
          <w:color w:val="auto"/>
          <w:szCs w:val="22"/>
          <w:highlight w:val="none"/>
        </w:rPr>
        <w:fldChar w:fldCharType="end"/>
      </w:r>
    </w:p>
    <w:p w14:paraId="0EA5D389">
      <w:pPr>
        <w:pStyle w:val="16"/>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color w:val="auto"/>
          <w:highlight w:val="none"/>
        </w:rPr>
      </w:pPr>
      <w:r>
        <w:rPr>
          <w:rFonts w:hint="eastAsia" w:ascii="新宋体" w:hAnsi="新宋体" w:eastAsia="新宋体" w:cs="新宋体"/>
          <w:color w:val="auto"/>
          <w:szCs w:val="22"/>
          <w:highlight w:val="none"/>
        </w:rPr>
        <w:fldChar w:fldCharType="begin"/>
      </w:r>
      <w:r>
        <w:rPr>
          <w:rFonts w:hint="eastAsia" w:ascii="新宋体" w:hAnsi="新宋体" w:eastAsia="新宋体" w:cs="新宋体"/>
          <w:color w:val="auto"/>
          <w:szCs w:val="22"/>
          <w:highlight w:val="none"/>
        </w:rPr>
        <w:instrText xml:space="preserve"> HYPERLINK \l _Toc26495 </w:instrText>
      </w:r>
      <w:r>
        <w:rPr>
          <w:rFonts w:hint="eastAsia" w:ascii="新宋体" w:hAnsi="新宋体" w:eastAsia="新宋体" w:cs="新宋体"/>
          <w:color w:val="auto"/>
          <w:szCs w:val="22"/>
          <w:highlight w:val="none"/>
        </w:rPr>
        <w:fldChar w:fldCharType="separate"/>
      </w:r>
      <w:r>
        <w:rPr>
          <w:rFonts w:hint="eastAsia" w:ascii="新宋体" w:hAnsi="新宋体" w:eastAsia="新宋体" w:cs="新宋体"/>
          <w:bCs/>
          <w:color w:val="auto"/>
          <w:szCs w:val="28"/>
          <w:highlight w:val="none"/>
        </w:rPr>
        <w:t>温州市工业与能源集团所属温州市工睿实业有限公司关于</w:t>
      </w:r>
      <w:r>
        <w:rPr>
          <w:rFonts w:hint="eastAsia" w:ascii="新宋体" w:hAnsi="新宋体" w:eastAsia="新宋体" w:cs="新宋体"/>
          <w:bCs/>
          <w:color w:val="auto"/>
          <w:szCs w:val="28"/>
          <w:highlight w:val="none"/>
          <w:lang w:eastAsia="zh-CN"/>
        </w:rPr>
        <w:t>智算中心 AI 智算系统及智算管理平台（第三期）</w:t>
      </w:r>
      <w:r>
        <w:rPr>
          <w:rFonts w:hint="eastAsia" w:ascii="新宋体" w:hAnsi="新宋体" w:eastAsia="新宋体" w:cs="新宋体"/>
          <w:bCs/>
          <w:color w:val="auto"/>
          <w:szCs w:val="28"/>
          <w:highlight w:val="none"/>
        </w:rPr>
        <w:t>项目征求意见公示</w:t>
      </w:r>
      <w:r>
        <w:rPr>
          <w:color w:val="auto"/>
          <w:highlight w:val="none"/>
        </w:rPr>
        <w:tab/>
      </w:r>
      <w:r>
        <w:rPr>
          <w:color w:val="auto"/>
          <w:highlight w:val="none"/>
        </w:rPr>
        <w:fldChar w:fldCharType="begin"/>
      </w:r>
      <w:r>
        <w:rPr>
          <w:color w:val="auto"/>
          <w:highlight w:val="none"/>
        </w:rPr>
        <w:instrText xml:space="preserve"> PAGEREF _Toc26495 \h </w:instrText>
      </w:r>
      <w:r>
        <w:rPr>
          <w:color w:val="auto"/>
          <w:highlight w:val="none"/>
        </w:rPr>
        <w:fldChar w:fldCharType="separate"/>
      </w:r>
      <w:r>
        <w:rPr>
          <w:color w:val="auto"/>
          <w:highlight w:val="none"/>
        </w:rPr>
        <w:t>8</w:t>
      </w:r>
      <w:r>
        <w:rPr>
          <w:color w:val="auto"/>
          <w:highlight w:val="none"/>
        </w:rPr>
        <w:fldChar w:fldCharType="end"/>
      </w:r>
      <w:r>
        <w:rPr>
          <w:rFonts w:hint="eastAsia" w:ascii="新宋体" w:hAnsi="新宋体" w:eastAsia="新宋体" w:cs="新宋体"/>
          <w:color w:val="auto"/>
          <w:szCs w:val="22"/>
          <w:highlight w:val="none"/>
        </w:rPr>
        <w:fldChar w:fldCharType="end"/>
      </w:r>
    </w:p>
    <w:p w14:paraId="4AEC827B">
      <w:pPr>
        <w:pStyle w:val="1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color w:val="auto"/>
          <w:highlight w:val="none"/>
        </w:rPr>
      </w:pPr>
      <w:r>
        <w:rPr>
          <w:rFonts w:hint="eastAsia" w:ascii="新宋体" w:hAnsi="新宋体" w:eastAsia="新宋体" w:cs="新宋体"/>
          <w:color w:val="auto"/>
          <w:szCs w:val="22"/>
          <w:highlight w:val="none"/>
        </w:rPr>
        <w:fldChar w:fldCharType="begin"/>
      </w:r>
      <w:r>
        <w:rPr>
          <w:rFonts w:hint="eastAsia" w:ascii="新宋体" w:hAnsi="新宋体" w:eastAsia="新宋体" w:cs="新宋体"/>
          <w:color w:val="auto"/>
          <w:szCs w:val="22"/>
          <w:highlight w:val="none"/>
        </w:rPr>
        <w:instrText xml:space="preserve"> HYPERLINK \l _Toc17496 </w:instrText>
      </w:r>
      <w:r>
        <w:rPr>
          <w:rFonts w:hint="eastAsia" w:ascii="新宋体" w:hAnsi="新宋体" w:eastAsia="新宋体" w:cs="新宋体"/>
          <w:color w:val="auto"/>
          <w:szCs w:val="22"/>
          <w:highlight w:val="none"/>
        </w:rPr>
        <w:fldChar w:fldCharType="separate"/>
      </w:r>
      <w:r>
        <w:rPr>
          <w:rFonts w:hint="eastAsia" w:ascii="新宋体" w:hAnsi="新宋体" w:eastAsia="新宋体" w:cs="新宋体"/>
          <w:color w:val="auto"/>
          <w:highlight w:val="none"/>
        </w:rPr>
        <w:t>第一部分    投标人须知</w:t>
      </w:r>
      <w:r>
        <w:rPr>
          <w:color w:val="auto"/>
          <w:highlight w:val="none"/>
        </w:rPr>
        <w:tab/>
      </w:r>
      <w:r>
        <w:rPr>
          <w:color w:val="auto"/>
          <w:highlight w:val="none"/>
        </w:rPr>
        <w:fldChar w:fldCharType="begin"/>
      </w:r>
      <w:r>
        <w:rPr>
          <w:color w:val="auto"/>
          <w:highlight w:val="none"/>
        </w:rPr>
        <w:instrText xml:space="preserve"> PAGEREF _Toc17496 \h </w:instrText>
      </w:r>
      <w:r>
        <w:rPr>
          <w:color w:val="auto"/>
          <w:highlight w:val="none"/>
        </w:rPr>
        <w:fldChar w:fldCharType="separate"/>
      </w:r>
      <w:r>
        <w:rPr>
          <w:color w:val="auto"/>
          <w:highlight w:val="none"/>
        </w:rPr>
        <w:t>9</w:t>
      </w:r>
      <w:r>
        <w:rPr>
          <w:color w:val="auto"/>
          <w:highlight w:val="none"/>
        </w:rPr>
        <w:fldChar w:fldCharType="end"/>
      </w:r>
      <w:r>
        <w:rPr>
          <w:rFonts w:hint="eastAsia" w:ascii="新宋体" w:hAnsi="新宋体" w:eastAsia="新宋体" w:cs="新宋体"/>
          <w:color w:val="auto"/>
          <w:szCs w:val="22"/>
          <w:highlight w:val="none"/>
        </w:rPr>
        <w:fldChar w:fldCharType="end"/>
      </w:r>
    </w:p>
    <w:p w14:paraId="51F87BE8">
      <w:pPr>
        <w:pStyle w:val="16"/>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color w:val="auto"/>
          <w:highlight w:val="none"/>
        </w:rPr>
      </w:pPr>
      <w:r>
        <w:rPr>
          <w:rFonts w:hint="eastAsia" w:ascii="新宋体" w:hAnsi="新宋体" w:eastAsia="新宋体" w:cs="新宋体"/>
          <w:color w:val="auto"/>
          <w:szCs w:val="22"/>
          <w:highlight w:val="none"/>
        </w:rPr>
        <w:fldChar w:fldCharType="begin"/>
      </w:r>
      <w:r>
        <w:rPr>
          <w:rFonts w:hint="eastAsia" w:ascii="新宋体" w:hAnsi="新宋体" w:eastAsia="新宋体" w:cs="新宋体"/>
          <w:color w:val="auto"/>
          <w:szCs w:val="22"/>
          <w:highlight w:val="none"/>
        </w:rPr>
        <w:instrText xml:space="preserve"> HYPERLINK \l _Toc18595 </w:instrText>
      </w:r>
      <w:r>
        <w:rPr>
          <w:rFonts w:hint="eastAsia" w:ascii="新宋体" w:hAnsi="新宋体" w:eastAsia="新宋体" w:cs="新宋体"/>
          <w:color w:val="auto"/>
          <w:szCs w:val="22"/>
          <w:highlight w:val="none"/>
        </w:rPr>
        <w:fldChar w:fldCharType="separate"/>
      </w:r>
      <w:r>
        <w:rPr>
          <w:rFonts w:hint="eastAsia" w:ascii="新宋体" w:hAnsi="新宋体" w:eastAsia="新宋体" w:cs="新宋体"/>
          <w:bCs/>
          <w:color w:val="auto"/>
          <w:szCs w:val="36"/>
          <w:highlight w:val="none"/>
        </w:rPr>
        <w:t>前 附 表</w:t>
      </w:r>
      <w:r>
        <w:rPr>
          <w:color w:val="auto"/>
          <w:highlight w:val="none"/>
        </w:rPr>
        <w:tab/>
      </w:r>
      <w:r>
        <w:rPr>
          <w:color w:val="auto"/>
          <w:highlight w:val="none"/>
        </w:rPr>
        <w:fldChar w:fldCharType="begin"/>
      </w:r>
      <w:r>
        <w:rPr>
          <w:color w:val="auto"/>
          <w:highlight w:val="none"/>
        </w:rPr>
        <w:instrText xml:space="preserve"> PAGEREF _Toc18595 \h </w:instrText>
      </w:r>
      <w:r>
        <w:rPr>
          <w:color w:val="auto"/>
          <w:highlight w:val="none"/>
        </w:rPr>
        <w:fldChar w:fldCharType="separate"/>
      </w:r>
      <w:r>
        <w:rPr>
          <w:color w:val="auto"/>
          <w:highlight w:val="none"/>
        </w:rPr>
        <w:t>9</w:t>
      </w:r>
      <w:r>
        <w:rPr>
          <w:color w:val="auto"/>
          <w:highlight w:val="none"/>
        </w:rPr>
        <w:fldChar w:fldCharType="end"/>
      </w:r>
      <w:r>
        <w:rPr>
          <w:rFonts w:hint="eastAsia" w:ascii="新宋体" w:hAnsi="新宋体" w:eastAsia="新宋体" w:cs="新宋体"/>
          <w:color w:val="auto"/>
          <w:szCs w:val="22"/>
          <w:highlight w:val="none"/>
        </w:rPr>
        <w:fldChar w:fldCharType="end"/>
      </w:r>
    </w:p>
    <w:p w14:paraId="46FC7D09">
      <w:pPr>
        <w:pStyle w:val="16"/>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color w:val="auto"/>
          <w:highlight w:val="none"/>
        </w:rPr>
      </w:pPr>
      <w:r>
        <w:rPr>
          <w:rFonts w:hint="eastAsia" w:ascii="新宋体" w:hAnsi="新宋体" w:eastAsia="新宋体" w:cs="新宋体"/>
          <w:color w:val="auto"/>
          <w:szCs w:val="22"/>
          <w:highlight w:val="none"/>
        </w:rPr>
        <w:fldChar w:fldCharType="begin"/>
      </w:r>
      <w:r>
        <w:rPr>
          <w:rFonts w:hint="eastAsia" w:ascii="新宋体" w:hAnsi="新宋体" w:eastAsia="新宋体" w:cs="新宋体"/>
          <w:color w:val="auto"/>
          <w:szCs w:val="22"/>
          <w:highlight w:val="none"/>
        </w:rPr>
        <w:instrText xml:space="preserve"> HYPERLINK \l _Toc14571 </w:instrText>
      </w:r>
      <w:r>
        <w:rPr>
          <w:rFonts w:hint="eastAsia" w:ascii="新宋体" w:hAnsi="新宋体" w:eastAsia="新宋体" w:cs="新宋体"/>
          <w:color w:val="auto"/>
          <w:szCs w:val="22"/>
          <w:highlight w:val="none"/>
        </w:rPr>
        <w:fldChar w:fldCharType="separate"/>
      </w:r>
      <w:r>
        <w:rPr>
          <w:rFonts w:hint="eastAsia" w:ascii="新宋体" w:hAnsi="新宋体" w:eastAsia="新宋体" w:cs="新宋体"/>
          <w:bCs/>
          <w:color w:val="auto"/>
          <w:szCs w:val="26"/>
          <w:highlight w:val="none"/>
        </w:rPr>
        <w:t>一、 说   明</w:t>
      </w:r>
      <w:r>
        <w:rPr>
          <w:color w:val="auto"/>
          <w:highlight w:val="none"/>
        </w:rPr>
        <w:tab/>
      </w:r>
      <w:r>
        <w:rPr>
          <w:color w:val="auto"/>
          <w:highlight w:val="none"/>
        </w:rPr>
        <w:fldChar w:fldCharType="begin"/>
      </w:r>
      <w:r>
        <w:rPr>
          <w:color w:val="auto"/>
          <w:highlight w:val="none"/>
        </w:rPr>
        <w:instrText xml:space="preserve"> PAGEREF _Toc14571 \h </w:instrText>
      </w:r>
      <w:r>
        <w:rPr>
          <w:color w:val="auto"/>
          <w:highlight w:val="none"/>
        </w:rPr>
        <w:fldChar w:fldCharType="separate"/>
      </w:r>
      <w:r>
        <w:rPr>
          <w:color w:val="auto"/>
          <w:highlight w:val="none"/>
        </w:rPr>
        <w:t>10</w:t>
      </w:r>
      <w:r>
        <w:rPr>
          <w:color w:val="auto"/>
          <w:highlight w:val="none"/>
        </w:rPr>
        <w:fldChar w:fldCharType="end"/>
      </w:r>
      <w:r>
        <w:rPr>
          <w:rFonts w:hint="eastAsia" w:ascii="新宋体" w:hAnsi="新宋体" w:eastAsia="新宋体" w:cs="新宋体"/>
          <w:color w:val="auto"/>
          <w:szCs w:val="22"/>
          <w:highlight w:val="none"/>
        </w:rPr>
        <w:fldChar w:fldCharType="end"/>
      </w:r>
    </w:p>
    <w:p w14:paraId="00911A66">
      <w:pPr>
        <w:pStyle w:val="16"/>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color w:val="auto"/>
          <w:highlight w:val="none"/>
        </w:rPr>
      </w:pPr>
      <w:r>
        <w:rPr>
          <w:rFonts w:hint="eastAsia" w:ascii="新宋体" w:hAnsi="新宋体" w:eastAsia="新宋体" w:cs="新宋体"/>
          <w:color w:val="auto"/>
          <w:szCs w:val="22"/>
          <w:highlight w:val="none"/>
        </w:rPr>
        <w:fldChar w:fldCharType="begin"/>
      </w:r>
      <w:r>
        <w:rPr>
          <w:rFonts w:hint="eastAsia" w:ascii="新宋体" w:hAnsi="新宋体" w:eastAsia="新宋体" w:cs="新宋体"/>
          <w:color w:val="auto"/>
          <w:szCs w:val="22"/>
          <w:highlight w:val="none"/>
        </w:rPr>
        <w:instrText xml:space="preserve"> HYPERLINK \l _Toc18311 </w:instrText>
      </w:r>
      <w:r>
        <w:rPr>
          <w:rFonts w:hint="eastAsia" w:ascii="新宋体" w:hAnsi="新宋体" w:eastAsia="新宋体" w:cs="新宋体"/>
          <w:color w:val="auto"/>
          <w:szCs w:val="22"/>
          <w:highlight w:val="none"/>
        </w:rPr>
        <w:fldChar w:fldCharType="separate"/>
      </w:r>
      <w:r>
        <w:rPr>
          <w:rFonts w:hint="eastAsia" w:ascii="新宋体" w:hAnsi="新宋体" w:eastAsia="新宋体" w:cs="新宋体"/>
          <w:bCs/>
          <w:color w:val="auto"/>
          <w:szCs w:val="26"/>
          <w:highlight w:val="none"/>
        </w:rPr>
        <w:t>二、 采购文件</w:t>
      </w:r>
      <w:r>
        <w:rPr>
          <w:color w:val="auto"/>
          <w:highlight w:val="none"/>
        </w:rPr>
        <w:tab/>
      </w:r>
      <w:r>
        <w:rPr>
          <w:color w:val="auto"/>
          <w:highlight w:val="none"/>
        </w:rPr>
        <w:fldChar w:fldCharType="begin"/>
      </w:r>
      <w:r>
        <w:rPr>
          <w:color w:val="auto"/>
          <w:highlight w:val="none"/>
        </w:rPr>
        <w:instrText xml:space="preserve"> PAGEREF _Toc18311 \h </w:instrText>
      </w:r>
      <w:r>
        <w:rPr>
          <w:color w:val="auto"/>
          <w:highlight w:val="none"/>
        </w:rPr>
        <w:fldChar w:fldCharType="separate"/>
      </w:r>
      <w:r>
        <w:rPr>
          <w:color w:val="auto"/>
          <w:highlight w:val="none"/>
        </w:rPr>
        <w:t>10</w:t>
      </w:r>
      <w:r>
        <w:rPr>
          <w:color w:val="auto"/>
          <w:highlight w:val="none"/>
        </w:rPr>
        <w:fldChar w:fldCharType="end"/>
      </w:r>
      <w:r>
        <w:rPr>
          <w:rFonts w:hint="eastAsia" w:ascii="新宋体" w:hAnsi="新宋体" w:eastAsia="新宋体" w:cs="新宋体"/>
          <w:color w:val="auto"/>
          <w:szCs w:val="22"/>
          <w:highlight w:val="none"/>
        </w:rPr>
        <w:fldChar w:fldCharType="end"/>
      </w:r>
    </w:p>
    <w:p w14:paraId="229E2FC6">
      <w:pPr>
        <w:pStyle w:val="16"/>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color w:val="auto"/>
          <w:highlight w:val="none"/>
        </w:rPr>
      </w:pPr>
      <w:r>
        <w:rPr>
          <w:rFonts w:hint="eastAsia" w:ascii="新宋体" w:hAnsi="新宋体" w:eastAsia="新宋体" w:cs="新宋体"/>
          <w:color w:val="auto"/>
          <w:szCs w:val="22"/>
          <w:highlight w:val="none"/>
        </w:rPr>
        <w:fldChar w:fldCharType="begin"/>
      </w:r>
      <w:r>
        <w:rPr>
          <w:rFonts w:hint="eastAsia" w:ascii="新宋体" w:hAnsi="新宋体" w:eastAsia="新宋体" w:cs="新宋体"/>
          <w:color w:val="auto"/>
          <w:szCs w:val="22"/>
          <w:highlight w:val="none"/>
        </w:rPr>
        <w:instrText xml:space="preserve"> HYPERLINK \l _Toc14468 </w:instrText>
      </w:r>
      <w:r>
        <w:rPr>
          <w:rFonts w:hint="eastAsia" w:ascii="新宋体" w:hAnsi="新宋体" w:eastAsia="新宋体" w:cs="新宋体"/>
          <w:color w:val="auto"/>
          <w:szCs w:val="22"/>
          <w:highlight w:val="none"/>
        </w:rPr>
        <w:fldChar w:fldCharType="separate"/>
      </w:r>
      <w:r>
        <w:rPr>
          <w:rFonts w:hint="eastAsia" w:ascii="新宋体" w:hAnsi="新宋体" w:eastAsia="新宋体" w:cs="新宋体"/>
          <w:bCs/>
          <w:color w:val="auto"/>
          <w:szCs w:val="26"/>
          <w:highlight w:val="none"/>
        </w:rPr>
        <w:t>三、 投标文件的编制</w:t>
      </w:r>
      <w:r>
        <w:rPr>
          <w:color w:val="auto"/>
          <w:highlight w:val="none"/>
        </w:rPr>
        <w:tab/>
      </w:r>
      <w:r>
        <w:rPr>
          <w:color w:val="auto"/>
          <w:highlight w:val="none"/>
        </w:rPr>
        <w:fldChar w:fldCharType="begin"/>
      </w:r>
      <w:r>
        <w:rPr>
          <w:color w:val="auto"/>
          <w:highlight w:val="none"/>
        </w:rPr>
        <w:instrText xml:space="preserve"> PAGEREF _Toc14468 \h </w:instrText>
      </w:r>
      <w:r>
        <w:rPr>
          <w:color w:val="auto"/>
          <w:highlight w:val="none"/>
        </w:rPr>
        <w:fldChar w:fldCharType="separate"/>
      </w:r>
      <w:r>
        <w:rPr>
          <w:color w:val="auto"/>
          <w:highlight w:val="none"/>
        </w:rPr>
        <w:t>11</w:t>
      </w:r>
      <w:r>
        <w:rPr>
          <w:color w:val="auto"/>
          <w:highlight w:val="none"/>
        </w:rPr>
        <w:fldChar w:fldCharType="end"/>
      </w:r>
      <w:r>
        <w:rPr>
          <w:rFonts w:hint="eastAsia" w:ascii="新宋体" w:hAnsi="新宋体" w:eastAsia="新宋体" w:cs="新宋体"/>
          <w:color w:val="auto"/>
          <w:szCs w:val="22"/>
          <w:highlight w:val="none"/>
        </w:rPr>
        <w:fldChar w:fldCharType="end"/>
      </w:r>
    </w:p>
    <w:p w14:paraId="3BD81DDE">
      <w:pPr>
        <w:pStyle w:val="16"/>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color w:val="auto"/>
          <w:highlight w:val="none"/>
        </w:rPr>
      </w:pPr>
      <w:r>
        <w:rPr>
          <w:rFonts w:hint="eastAsia" w:ascii="新宋体" w:hAnsi="新宋体" w:eastAsia="新宋体" w:cs="新宋体"/>
          <w:color w:val="auto"/>
          <w:szCs w:val="22"/>
          <w:highlight w:val="none"/>
        </w:rPr>
        <w:fldChar w:fldCharType="begin"/>
      </w:r>
      <w:r>
        <w:rPr>
          <w:rFonts w:hint="eastAsia" w:ascii="新宋体" w:hAnsi="新宋体" w:eastAsia="新宋体" w:cs="新宋体"/>
          <w:color w:val="auto"/>
          <w:szCs w:val="22"/>
          <w:highlight w:val="none"/>
        </w:rPr>
        <w:instrText xml:space="preserve"> HYPERLINK \l _Toc7562 </w:instrText>
      </w:r>
      <w:r>
        <w:rPr>
          <w:rFonts w:hint="eastAsia" w:ascii="新宋体" w:hAnsi="新宋体" w:eastAsia="新宋体" w:cs="新宋体"/>
          <w:color w:val="auto"/>
          <w:szCs w:val="22"/>
          <w:highlight w:val="none"/>
        </w:rPr>
        <w:fldChar w:fldCharType="separate"/>
      </w:r>
      <w:r>
        <w:rPr>
          <w:rFonts w:hint="eastAsia" w:ascii="新宋体" w:hAnsi="新宋体" w:eastAsia="新宋体" w:cs="新宋体"/>
          <w:bCs/>
          <w:color w:val="auto"/>
          <w:szCs w:val="26"/>
          <w:highlight w:val="none"/>
        </w:rPr>
        <w:t>四、 投标文件的递交</w:t>
      </w:r>
      <w:r>
        <w:rPr>
          <w:color w:val="auto"/>
          <w:highlight w:val="none"/>
        </w:rPr>
        <w:tab/>
      </w:r>
      <w:r>
        <w:rPr>
          <w:color w:val="auto"/>
          <w:highlight w:val="none"/>
        </w:rPr>
        <w:fldChar w:fldCharType="begin"/>
      </w:r>
      <w:r>
        <w:rPr>
          <w:color w:val="auto"/>
          <w:highlight w:val="none"/>
        </w:rPr>
        <w:instrText xml:space="preserve"> PAGEREF _Toc7562 \h </w:instrText>
      </w:r>
      <w:r>
        <w:rPr>
          <w:color w:val="auto"/>
          <w:highlight w:val="none"/>
        </w:rPr>
        <w:fldChar w:fldCharType="separate"/>
      </w:r>
      <w:r>
        <w:rPr>
          <w:color w:val="auto"/>
          <w:highlight w:val="none"/>
        </w:rPr>
        <w:t>14</w:t>
      </w:r>
      <w:r>
        <w:rPr>
          <w:color w:val="auto"/>
          <w:highlight w:val="none"/>
        </w:rPr>
        <w:fldChar w:fldCharType="end"/>
      </w:r>
      <w:r>
        <w:rPr>
          <w:rFonts w:hint="eastAsia" w:ascii="新宋体" w:hAnsi="新宋体" w:eastAsia="新宋体" w:cs="新宋体"/>
          <w:color w:val="auto"/>
          <w:szCs w:val="22"/>
          <w:highlight w:val="none"/>
        </w:rPr>
        <w:fldChar w:fldCharType="end"/>
      </w:r>
    </w:p>
    <w:p w14:paraId="3F5D6FB2">
      <w:pPr>
        <w:pStyle w:val="16"/>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color w:val="auto"/>
          <w:highlight w:val="none"/>
        </w:rPr>
      </w:pPr>
      <w:r>
        <w:rPr>
          <w:rFonts w:hint="eastAsia" w:ascii="新宋体" w:hAnsi="新宋体" w:eastAsia="新宋体" w:cs="新宋体"/>
          <w:color w:val="auto"/>
          <w:szCs w:val="22"/>
          <w:highlight w:val="none"/>
        </w:rPr>
        <w:fldChar w:fldCharType="begin"/>
      </w:r>
      <w:r>
        <w:rPr>
          <w:rFonts w:hint="eastAsia" w:ascii="新宋体" w:hAnsi="新宋体" w:eastAsia="新宋体" w:cs="新宋体"/>
          <w:color w:val="auto"/>
          <w:szCs w:val="22"/>
          <w:highlight w:val="none"/>
        </w:rPr>
        <w:instrText xml:space="preserve"> HYPERLINK \l _Toc23344 </w:instrText>
      </w:r>
      <w:r>
        <w:rPr>
          <w:rFonts w:hint="eastAsia" w:ascii="新宋体" w:hAnsi="新宋体" w:eastAsia="新宋体" w:cs="新宋体"/>
          <w:color w:val="auto"/>
          <w:szCs w:val="22"/>
          <w:highlight w:val="none"/>
        </w:rPr>
        <w:fldChar w:fldCharType="separate"/>
      </w:r>
      <w:r>
        <w:rPr>
          <w:rFonts w:hint="eastAsia" w:ascii="新宋体" w:hAnsi="新宋体" w:eastAsia="新宋体" w:cs="新宋体"/>
          <w:bCs/>
          <w:color w:val="auto"/>
          <w:szCs w:val="26"/>
          <w:highlight w:val="none"/>
        </w:rPr>
        <w:t>五、 开标和评标</w:t>
      </w:r>
      <w:r>
        <w:rPr>
          <w:color w:val="auto"/>
          <w:highlight w:val="none"/>
        </w:rPr>
        <w:tab/>
      </w:r>
      <w:r>
        <w:rPr>
          <w:color w:val="auto"/>
          <w:highlight w:val="none"/>
        </w:rPr>
        <w:fldChar w:fldCharType="begin"/>
      </w:r>
      <w:r>
        <w:rPr>
          <w:color w:val="auto"/>
          <w:highlight w:val="none"/>
        </w:rPr>
        <w:instrText xml:space="preserve"> PAGEREF _Toc23344 \h </w:instrText>
      </w:r>
      <w:r>
        <w:rPr>
          <w:color w:val="auto"/>
          <w:highlight w:val="none"/>
        </w:rPr>
        <w:fldChar w:fldCharType="separate"/>
      </w:r>
      <w:r>
        <w:rPr>
          <w:color w:val="auto"/>
          <w:highlight w:val="none"/>
        </w:rPr>
        <w:t>14</w:t>
      </w:r>
      <w:r>
        <w:rPr>
          <w:color w:val="auto"/>
          <w:highlight w:val="none"/>
        </w:rPr>
        <w:fldChar w:fldCharType="end"/>
      </w:r>
      <w:r>
        <w:rPr>
          <w:rFonts w:hint="eastAsia" w:ascii="新宋体" w:hAnsi="新宋体" w:eastAsia="新宋体" w:cs="新宋体"/>
          <w:color w:val="auto"/>
          <w:szCs w:val="22"/>
          <w:highlight w:val="none"/>
        </w:rPr>
        <w:fldChar w:fldCharType="end"/>
      </w:r>
    </w:p>
    <w:p w14:paraId="7916C094">
      <w:pPr>
        <w:pStyle w:val="16"/>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color w:val="auto"/>
          <w:highlight w:val="none"/>
        </w:rPr>
      </w:pPr>
      <w:r>
        <w:rPr>
          <w:rFonts w:hint="eastAsia" w:ascii="新宋体" w:hAnsi="新宋体" w:eastAsia="新宋体" w:cs="新宋体"/>
          <w:color w:val="auto"/>
          <w:szCs w:val="22"/>
          <w:highlight w:val="none"/>
        </w:rPr>
        <w:fldChar w:fldCharType="begin"/>
      </w:r>
      <w:r>
        <w:rPr>
          <w:rFonts w:hint="eastAsia" w:ascii="新宋体" w:hAnsi="新宋体" w:eastAsia="新宋体" w:cs="新宋体"/>
          <w:color w:val="auto"/>
          <w:szCs w:val="22"/>
          <w:highlight w:val="none"/>
        </w:rPr>
        <w:instrText xml:space="preserve"> HYPERLINK \l _Toc24071 </w:instrText>
      </w:r>
      <w:r>
        <w:rPr>
          <w:rFonts w:hint="eastAsia" w:ascii="新宋体" w:hAnsi="新宋体" w:eastAsia="新宋体" w:cs="新宋体"/>
          <w:color w:val="auto"/>
          <w:szCs w:val="22"/>
          <w:highlight w:val="none"/>
        </w:rPr>
        <w:fldChar w:fldCharType="separate"/>
      </w:r>
      <w:r>
        <w:rPr>
          <w:rFonts w:hint="eastAsia" w:ascii="新宋体" w:hAnsi="新宋体" w:eastAsia="新宋体" w:cs="新宋体"/>
          <w:bCs/>
          <w:color w:val="auto"/>
          <w:szCs w:val="26"/>
          <w:highlight w:val="none"/>
        </w:rPr>
        <w:t>六、 授予合同</w:t>
      </w:r>
      <w:r>
        <w:rPr>
          <w:color w:val="auto"/>
          <w:highlight w:val="none"/>
        </w:rPr>
        <w:tab/>
      </w:r>
      <w:r>
        <w:rPr>
          <w:color w:val="auto"/>
          <w:highlight w:val="none"/>
        </w:rPr>
        <w:fldChar w:fldCharType="begin"/>
      </w:r>
      <w:r>
        <w:rPr>
          <w:color w:val="auto"/>
          <w:highlight w:val="none"/>
        </w:rPr>
        <w:instrText xml:space="preserve"> PAGEREF _Toc24071 \h </w:instrText>
      </w:r>
      <w:r>
        <w:rPr>
          <w:color w:val="auto"/>
          <w:highlight w:val="none"/>
        </w:rPr>
        <w:fldChar w:fldCharType="separate"/>
      </w:r>
      <w:r>
        <w:rPr>
          <w:color w:val="auto"/>
          <w:highlight w:val="none"/>
        </w:rPr>
        <w:t>17</w:t>
      </w:r>
      <w:r>
        <w:rPr>
          <w:color w:val="auto"/>
          <w:highlight w:val="none"/>
        </w:rPr>
        <w:fldChar w:fldCharType="end"/>
      </w:r>
      <w:r>
        <w:rPr>
          <w:rFonts w:hint="eastAsia" w:ascii="新宋体" w:hAnsi="新宋体" w:eastAsia="新宋体" w:cs="新宋体"/>
          <w:color w:val="auto"/>
          <w:szCs w:val="22"/>
          <w:highlight w:val="none"/>
        </w:rPr>
        <w:fldChar w:fldCharType="end"/>
      </w:r>
    </w:p>
    <w:p w14:paraId="6D55117F">
      <w:pPr>
        <w:pStyle w:val="1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color w:val="auto"/>
          <w:highlight w:val="none"/>
        </w:rPr>
      </w:pPr>
      <w:r>
        <w:rPr>
          <w:rFonts w:hint="eastAsia" w:ascii="新宋体" w:hAnsi="新宋体" w:eastAsia="新宋体" w:cs="新宋体"/>
          <w:color w:val="auto"/>
          <w:szCs w:val="22"/>
          <w:highlight w:val="none"/>
        </w:rPr>
        <w:fldChar w:fldCharType="begin"/>
      </w:r>
      <w:r>
        <w:rPr>
          <w:rFonts w:hint="eastAsia" w:ascii="新宋体" w:hAnsi="新宋体" w:eastAsia="新宋体" w:cs="新宋体"/>
          <w:color w:val="auto"/>
          <w:szCs w:val="22"/>
          <w:highlight w:val="none"/>
        </w:rPr>
        <w:instrText xml:space="preserve"> HYPERLINK \l _Toc23640 </w:instrText>
      </w:r>
      <w:r>
        <w:rPr>
          <w:rFonts w:hint="eastAsia" w:ascii="新宋体" w:hAnsi="新宋体" w:eastAsia="新宋体" w:cs="新宋体"/>
          <w:color w:val="auto"/>
          <w:szCs w:val="22"/>
          <w:highlight w:val="none"/>
        </w:rPr>
        <w:fldChar w:fldCharType="separate"/>
      </w:r>
      <w:r>
        <w:rPr>
          <w:rFonts w:hint="eastAsia" w:ascii="新宋体" w:hAnsi="新宋体" w:eastAsia="新宋体" w:cs="新宋体"/>
          <w:color w:val="auto"/>
          <w:highlight w:val="none"/>
        </w:rPr>
        <w:t>第二部分 合同主要条款</w:t>
      </w:r>
      <w:r>
        <w:rPr>
          <w:color w:val="auto"/>
          <w:highlight w:val="none"/>
        </w:rPr>
        <w:tab/>
      </w:r>
      <w:r>
        <w:rPr>
          <w:color w:val="auto"/>
          <w:highlight w:val="none"/>
        </w:rPr>
        <w:fldChar w:fldCharType="begin"/>
      </w:r>
      <w:r>
        <w:rPr>
          <w:color w:val="auto"/>
          <w:highlight w:val="none"/>
        </w:rPr>
        <w:instrText xml:space="preserve"> PAGEREF _Toc23640 \h </w:instrText>
      </w:r>
      <w:r>
        <w:rPr>
          <w:color w:val="auto"/>
          <w:highlight w:val="none"/>
        </w:rPr>
        <w:fldChar w:fldCharType="separate"/>
      </w:r>
      <w:r>
        <w:rPr>
          <w:color w:val="auto"/>
          <w:highlight w:val="none"/>
        </w:rPr>
        <w:t>20</w:t>
      </w:r>
      <w:r>
        <w:rPr>
          <w:color w:val="auto"/>
          <w:highlight w:val="none"/>
        </w:rPr>
        <w:fldChar w:fldCharType="end"/>
      </w:r>
      <w:r>
        <w:rPr>
          <w:rFonts w:hint="eastAsia" w:ascii="新宋体" w:hAnsi="新宋体" w:eastAsia="新宋体" w:cs="新宋体"/>
          <w:color w:val="auto"/>
          <w:szCs w:val="22"/>
          <w:highlight w:val="none"/>
        </w:rPr>
        <w:fldChar w:fldCharType="end"/>
      </w:r>
    </w:p>
    <w:p w14:paraId="79246941">
      <w:pPr>
        <w:pStyle w:val="1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color w:val="auto"/>
          <w:highlight w:val="none"/>
        </w:rPr>
      </w:pPr>
      <w:r>
        <w:rPr>
          <w:rFonts w:hint="eastAsia" w:ascii="新宋体" w:hAnsi="新宋体" w:eastAsia="新宋体" w:cs="新宋体"/>
          <w:color w:val="auto"/>
          <w:szCs w:val="22"/>
          <w:highlight w:val="none"/>
        </w:rPr>
        <w:fldChar w:fldCharType="begin"/>
      </w:r>
      <w:r>
        <w:rPr>
          <w:rFonts w:hint="eastAsia" w:ascii="新宋体" w:hAnsi="新宋体" w:eastAsia="新宋体" w:cs="新宋体"/>
          <w:color w:val="auto"/>
          <w:szCs w:val="22"/>
          <w:highlight w:val="none"/>
        </w:rPr>
        <w:instrText xml:space="preserve"> HYPERLINK \l _Toc8582 </w:instrText>
      </w:r>
      <w:r>
        <w:rPr>
          <w:rFonts w:hint="eastAsia" w:ascii="新宋体" w:hAnsi="新宋体" w:eastAsia="新宋体" w:cs="新宋体"/>
          <w:color w:val="auto"/>
          <w:szCs w:val="22"/>
          <w:highlight w:val="none"/>
        </w:rPr>
        <w:fldChar w:fldCharType="separate"/>
      </w:r>
      <w:r>
        <w:rPr>
          <w:rFonts w:hint="eastAsia" w:ascii="新宋体" w:hAnsi="新宋体" w:eastAsia="新宋体" w:cs="新宋体"/>
          <w:color w:val="auto"/>
          <w:highlight w:val="none"/>
        </w:rPr>
        <w:t>第三部分 附件</w:t>
      </w:r>
      <w:r>
        <w:rPr>
          <w:color w:val="auto"/>
          <w:highlight w:val="none"/>
        </w:rPr>
        <w:tab/>
      </w:r>
      <w:r>
        <w:rPr>
          <w:color w:val="auto"/>
          <w:highlight w:val="none"/>
        </w:rPr>
        <w:fldChar w:fldCharType="begin"/>
      </w:r>
      <w:r>
        <w:rPr>
          <w:color w:val="auto"/>
          <w:highlight w:val="none"/>
        </w:rPr>
        <w:instrText xml:space="preserve"> PAGEREF _Toc8582 \h </w:instrText>
      </w:r>
      <w:r>
        <w:rPr>
          <w:color w:val="auto"/>
          <w:highlight w:val="none"/>
        </w:rPr>
        <w:fldChar w:fldCharType="separate"/>
      </w:r>
      <w:r>
        <w:rPr>
          <w:color w:val="auto"/>
          <w:highlight w:val="none"/>
        </w:rPr>
        <w:t>25</w:t>
      </w:r>
      <w:r>
        <w:rPr>
          <w:color w:val="auto"/>
          <w:highlight w:val="none"/>
        </w:rPr>
        <w:fldChar w:fldCharType="end"/>
      </w:r>
      <w:r>
        <w:rPr>
          <w:rFonts w:hint="eastAsia" w:ascii="新宋体" w:hAnsi="新宋体" w:eastAsia="新宋体" w:cs="新宋体"/>
          <w:color w:val="auto"/>
          <w:szCs w:val="22"/>
          <w:highlight w:val="none"/>
        </w:rPr>
        <w:fldChar w:fldCharType="end"/>
      </w:r>
    </w:p>
    <w:p w14:paraId="5AEB1470">
      <w:pPr>
        <w:pStyle w:val="1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color w:val="auto"/>
          <w:highlight w:val="none"/>
        </w:rPr>
      </w:pPr>
      <w:r>
        <w:rPr>
          <w:rFonts w:hint="eastAsia" w:ascii="新宋体" w:hAnsi="新宋体" w:eastAsia="新宋体" w:cs="新宋体"/>
          <w:color w:val="auto"/>
          <w:szCs w:val="22"/>
          <w:highlight w:val="none"/>
        </w:rPr>
        <w:fldChar w:fldCharType="begin"/>
      </w:r>
      <w:r>
        <w:rPr>
          <w:rFonts w:hint="eastAsia" w:ascii="新宋体" w:hAnsi="新宋体" w:eastAsia="新宋体" w:cs="新宋体"/>
          <w:color w:val="auto"/>
          <w:szCs w:val="22"/>
          <w:highlight w:val="none"/>
        </w:rPr>
        <w:instrText xml:space="preserve"> HYPERLINK \l _Toc16968 </w:instrText>
      </w:r>
      <w:r>
        <w:rPr>
          <w:rFonts w:hint="eastAsia" w:ascii="新宋体" w:hAnsi="新宋体" w:eastAsia="新宋体" w:cs="新宋体"/>
          <w:color w:val="auto"/>
          <w:szCs w:val="22"/>
          <w:highlight w:val="none"/>
        </w:rPr>
        <w:fldChar w:fldCharType="separate"/>
      </w:r>
      <w:r>
        <w:rPr>
          <w:rFonts w:hint="eastAsia" w:ascii="新宋体" w:hAnsi="新宋体" w:eastAsia="新宋体" w:cs="新宋体"/>
          <w:bCs/>
          <w:color w:val="auto"/>
          <w:highlight w:val="none"/>
        </w:rPr>
        <w:t>专  用  文  本</w:t>
      </w:r>
      <w:r>
        <w:rPr>
          <w:color w:val="auto"/>
          <w:highlight w:val="none"/>
        </w:rPr>
        <w:tab/>
      </w:r>
      <w:r>
        <w:rPr>
          <w:color w:val="auto"/>
          <w:highlight w:val="none"/>
        </w:rPr>
        <w:fldChar w:fldCharType="begin"/>
      </w:r>
      <w:r>
        <w:rPr>
          <w:color w:val="auto"/>
          <w:highlight w:val="none"/>
        </w:rPr>
        <w:instrText xml:space="preserve"> PAGEREF _Toc16968 \h </w:instrText>
      </w:r>
      <w:r>
        <w:rPr>
          <w:color w:val="auto"/>
          <w:highlight w:val="none"/>
        </w:rPr>
        <w:fldChar w:fldCharType="separate"/>
      </w:r>
      <w:r>
        <w:rPr>
          <w:color w:val="auto"/>
          <w:highlight w:val="none"/>
        </w:rPr>
        <w:t>43</w:t>
      </w:r>
      <w:r>
        <w:rPr>
          <w:color w:val="auto"/>
          <w:highlight w:val="none"/>
        </w:rPr>
        <w:fldChar w:fldCharType="end"/>
      </w:r>
      <w:r>
        <w:rPr>
          <w:rFonts w:hint="eastAsia" w:ascii="新宋体" w:hAnsi="新宋体" w:eastAsia="新宋体" w:cs="新宋体"/>
          <w:color w:val="auto"/>
          <w:szCs w:val="22"/>
          <w:highlight w:val="none"/>
        </w:rPr>
        <w:fldChar w:fldCharType="end"/>
      </w:r>
    </w:p>
    <w:p w14:paraId="4C4094CD">
      <w:pPr>
        <w:pStyle w:val="1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color w:val="auto"/>
          <w:highlight w:val="none"/>
        </w:rPr>
      </w:pPr>
      <w:r>
        <w:rPr>
          <w:rFonts w:hint="eastAsia" w:ascii="新宋体" w:hAnsi="新宋体" w:eastAsia="新宋体" w:cs="新宋体"/>
          <w:color w:val="auto"/>
          <w:szCs w:val="22"/>
          <w:highlight w:val="none"/>
        </w:rPr>
        <w:fldChar w:fldCharType="begin"/>
      </w:r>
      <w:r>
        <w:rPr>
          <w:rFonts w:hint="eastAsia" w:ascii="新宋体" w:hAnsi="新宋体" w:eastAsia="新宋体" w:cs="新宋体"/>
          <w:color w:val="auto"/>
          <w:szCs w:val="22"/>
          <w:highlight w:val="none"/>
        </w:rPr>
        <w:instrText xml:space="preserve"> HYPERLINK \l _Toc2983 </w:instrText>
      </w:r>
      <w:r>
        <w:rPr>
          <w:rFonts w:hint="eastAsia" w:ascii="新宋体" w:hAnsi="新宋体" w:eastAsia="新宋体" w:cs="新宋体"/>
          <w:color w:val="auto"/>
          <w:szCs w:val="22"/>
          <w:highlight w:val="none"/>
        </w:rPr>
        <w:fldChar w:fldCharType="separate"/>
      </w:r>
      <w:r>
        <w:rPr>
          <w:rFonts w:hint="eastAsia" w:ascii="新宋体" w:hAnsi="新宋体" w:eastAsia="新宋体" w:cs="新宋体"/>
          <w:color w:val="auto"/>
          <w:highlight w:val="none"/>
        </w:rPr>
        <w:t>第四部分 采购内容及要求</w:t>
      </w:r>
      <w:r>
        <w:rPr>
          <w:color w:val="auto"/>
          <w:highlight w:val="none"/>
        </w:rPr>
        <w:tab/>
      </w:r>
      <w:r>
        <w:rPr>
          <w:color w:val="auto"/>
          <w:highlight w:val="none"/>
        </w:rPr>
        <w:fldChar w:fldCharType="begin"/>
      </w:r>
      <w:r>
        <w:rPr>
          <w:color w:val="auto"/>
          <w:highlight w:val="none"/>
        </w:rPr>
        <w:instrText xml:space="preserve"> PAGEREF _Toc2983 \h </w:instrText>
      </w:r>
      <w:r>
        <w:rPr>
          <w:color w:val="auto"/>
          <w:highlight w:val="none"/>
        </w:rPr>
        <w:fldChar w:fldCharType="separate"/>
      </w:r>
      <w:r>
        <w:rPr>
          <w:color w:val="auto"/>
          <w:highlight w:val="none"/>
        </w:rPr>
        <w:t>44</w:t>
      </w:r>
      <w:r>
        <w:rPr>
          <w:color w:val="auto"/>
          <w:highlight w:val="none"/>
        </w:rPr>
        <w:fldChar w:fldCharType="end"/>
      </w:r>
      <w:r>
        <w:rPr>
          <w:rFonts w:hint="eastAsia" w:ascii="新宋体" w:hAnsi="新宋体" w:eastAsia="新宋体" w:cs="新宋体"/>
          <w:color w:val="auto"/>
          <w:szCs w:val="22"/>
          <w:highlight w:val="none"/>
        </w:rPr>
        <w:fldChar w:fldCharType="end"/>
      </w:r>
    </w:p>
    <w:p w14:paraId="278AD7C9">
      <w:pPr>
        <w:pStyle w:val="1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color w:val="auto"/>
          <w:highlight w:val="none"/>
        </w:rPr>
      </w:pPr>
      <w:r>
        <w:rPr>
          <w:rFonts w:hint="eastAsia" w:ascii="新宋体" w:hAnsi="新宋体" w:eastAsia="新宋体" w:cs="新宋体"/>
          <w:color w:val="auto"/>
          <w:szCs w:val="22"/>
          <w:highlight w:val="none"/>
        </w:rPr>
        <w:fldChar w:fldCharType="begin"/>
      </w:r>
      <w:r>
        <w:rPr>
          <w:rFonts w:hint="eastAsia" w:ascii="新宋体" w:hAnsi="新宋体" w:eastAsia="新宋体" w:cs="新宋体"/>
          <w:color w:val="auto"/>
          <w:szCs w:val="22"/>
          <w:highlight w:val="none"/>
        </w:rPr>
        <w:instrText xml:space="preserve"> HYPERLINK \l _Toc14145 </w:instrText>
      </w:r>
      <w:r>
        <w:rPr>
          <w:rFonts w:hint="eastAsia" w:ascii="新宋体" w:hAnsi="新宋体" w:eastAsia="新宋体" w:cs="新宋体"/>
          <w:color w:val="auto"/>
          <w:szCs w:val="22"/>
          <w:highlight w:val="none"/>
        </w:rPr>
        <w:fldChar w:fldCharType="separate"/>
      </w:r>
      <w:r>
        <w:rPr>
          <w:rFonts w:hint="eastAsia" w:ascii="新宋体" w:hAnsi="新宋体" w:eastAsia="新宋体" w:cs="新宋体"/>
          <w:color w:val="auto"/>
          <w:highlight w:val="none"/>
        </w:rPr>
        <w:t>第五部分   评标原则及方法</w:t>
      </w:r>
      <w:r>
        <w:rPr>
          <w:color w:val="auto"/>
          <w:highlight w:val="none"/>
        </w:rPr>
        <w:tab/>
      </w:r>
      <w:r>
        <w:rPr>
          <w:color w:val="auto"/>
          <w:highlight w:val="none"/>
        </w:rPr>
        <w:fldChar w:fldCharType="begin"/>
      </w:r>
      <w:r>
        <w:rPr>
          <w:color w:val="auto"/>
          <w:highlight w:val="none"/>
        </w:rPr>
        <w:instrText xml:space="preserve"> PAGEREF _Toc14145 \h </w:instrText>
      </w:r>
      <w:r>
        <w:rPr>
          <w:color w:val="auto"/>
          <w:highlight w:val="none"/>
        </w:rPr>
        <w:fldChar w:fldCharType="separate"/>
      </w:r>
      <w:r>
        <w:rPr>
          <w:color w:val="auto"/>
          <w:highlight w:val="none"/>
        </w:rPr>
        <w:t>47</w:t>
      </w:r>
      <w:r>
        <w:rPr>
          <w:color w:val="auto"/>
          <w:highlight w:val="none"/>
        </w:rPr>
        <w:fldChar w:fldCharType="end"/>
      </w:r>
      <w:r>
        <w:rPr>
          <w:rFonts w:hint="eastAsia" w:ascii="新宋体" w:hAnsi="新宋体" w:eastAsia="新宋体" w:cs="新宋体"/>
          <w:color w:val="auto"/>
          <w:szCs w:val="22"/>
          <w:highlight w:val="none"/>
        </w:rPr>
        <w:fldChar w:fldCharType="end"/>
      </w:r>
    </w:p>
    <w:p w14:paraId="08FF4064">
      <w:pPr>
        <w:pStyle w:val="16"/>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color w:val="auto"/>
          <w:highlight w:val="none"/>
        </w:rPr>
      </w:pPr>
      <w:r>
        <w:rPr>
          <w:rFonts w:hint="eastAsia" w:ascii="新宋体" w:hAnsi="新宋体" w:eastAsia="新宋体" w:cs="新宋体"/>
          <w:color w:val="auto"/>
          <w:szCs w:val="22"/>
          <w:highlight w:val="none"/>
        </w:rPr>
        <w:fldChar w:fldCharType="begin"/>
      </w:r>
      <w:r>
        <w:rPr>
          <w:rFonts w:hint="eastAsia" w:ascii="新宋体" w:hAnsi="新宋体" w:eastAsia="新宋体" w:cs="新宋体"/>
          <w:color w:val="auto"/>
          <w:szCs w:val="22"/>
          <w:highlight w:val="none"/>
        </w:rPr>
        <w:instrText xml:space="preserve"> HYPERLINK \l _Toc26819 </w:instrText>
      </w:r>
      <w:r>
        <w:rPr>
          <w:rFonts w:hint="eastAsia" w:ascii="新宋体" w:hAnsi="新宋体" w:eastAsia="新宋体" w:cs="新宋体"/>
          <w:color w:val="auto"/>
          <w:szCs w:val="22"/>
          <w:highlight w:val="none"/>
        </w:rPr>
        <w:fldChar w:fldCharType="separate"/>
      </w:r>
      <w:r>
        <w:rPr>
          <w:rFonts w:hint="eastAsia" w:ascii="新宋体" w:hAnsi="新宋体" w:eastAsia="新宋体" w:cs="新宋体"/>
          <w:color w:val="auto"/>
          <w:szCs w:val="22"/>
          <w:highlight w:val="none"/>
        </w:rPr>
        <w:t>一、总 则</w:t>
      </w:r>
      <w:r>
        <w:rPr>
          <w:color w:val="auto"/>
          <w:highlight w:val="none"/>
        </w:rPr>
        <w:tab/>
      </w:r>
      <w:r>
        <w:rPr>
          <w:color w:val="auto"/>
          <w:highlight w:val="none"/>
        </w:rPr>
        <w:fldChar w:fldCharType="begin"/>
      </w:r>
      <w:r>
        <w:rPr>
          <w:color w:val="auto"/>
          <w:highlight w:val="none"/>
        </w:rPr>
        <w:instrText xml:space="preserve"> PAGEREF _Toc26819 \h </w:instrText>
      </w:r>
      <w:r>
        <w:rPr>
          <w:color w:val="auto"/>
          <w:highlight w:val="none"/>
        </w:rPr>
        <w:fldChar w:fldCharType="separate"/>
      </w:r>
      <w:r>
        <w:rPr>
          <w:color w:val="auto"/>
          <w:highlight w:val="none"/>
        </w:rPr>
        <w:t>47</w:t>
      </w:r>
      <w:r>
        <w:rPr>
          <w:color w:val="auto"/>
          <w:highlight w:val="none"/>
        </w:rPr>
        <w:fldChar w:fldCharType="end"/>
      </w:r>
      <w:r>
        <w:rPr>
          <w:rFonts w:hint="eastAsia" w:ascii="新宋体" w:hAnsi="新宋体" w:eastAsia="新宋体" w:cs="新宋体"/>
          <w:color w:val="auto"/>
          <w:szCs w:val="22"/>
          <w:highlight w:val="none"/>
        </w:rPr>
        <w:fldChar w:fldCharType="end"/>
      </w:r>
    </w:p>
    <w:p w14:paraId="1AC6D8A3">
      <w:pPr>
        <w:pStyle w:val="16"/>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color w:val="auto"/>
          <w:highlight w:val="none"/>
        </w:rPr>
      </w:pPr>
      <w:r>
        <w:rPr>
          <w:rFonts w:hint="eastAsia" w:ascii="新宋体" w:hAnsi="新宋体" w:eastAsia="新宋体" w:cs="新宋体"/>
          <w:color w:val="auto"/>
          <w:szCs w:val="22"/>
          <w:highlight w:val="none"/>
        </w:rPr>
        <w:fldChar w:fldCharType="begin"/>
      </w:r>
      <w:r>
        <w:rPr>
          <w:rFonts w:hint="eastAsia" w:ascii="新宋体" w:hAnsi="新宋体" w:eastAsia="新宋体" w:cs="新宋体"/>
          <w:color w:val="auto"/>
          <w:szCs w:val="22"/>
          <w:highlight w:val="none"/>
        </w:rPr>
        <w:instrText xml:space="preserve"> HYPERLINK \l _Toc4649 </w:instrText>
      </w:r>
      <w:r>
        <w:rPr>
          <w:rFonts w:hint="eastAsia" w:ascii="新宋体" w:hAnsi="新宋体" w:eastAsia="新宋体" w:cs="新宋体"/>
          <w:color w:val="auto"/>
          <w:szCs w:val="22"/>
          <w:highlight w:val="none"/>
        </w:rPr>
        <w:fldChar w:fldCharType="separate"/>
      </w:r>
      <w:r>
        <w:rPr>
          <w:rFonts w:hint="eastAsia" w:ascii="新宋体" w:hAnsi="新宋体" w:eastAsia="新宋体" w:cs="新宋体"/>
          <w:color w:val="auto"/>
          <w:szCs w:val="22"/>
          <w:highlight w:val="none"/>
        </w:rPr>
        <w:t>二、评标组织</w:t>
      </w:r>
      <w:r>
        <w:rPr>
          <w:color w:val="auto"/>
          <w:highlight w:val="none"/>
        </w:rPr>
        <w:tab/>
      </w:r>
      <w:r>
        <w:rPr>
          <w:color w:val="auto"/>
          <w:highlight w:val="none"/>
        </w:rPr>
        <w:fldChar w:fldCharType="begin"/>
      </w:r>
      <w:r>
        <w:rPr>
          <w:color w:val="auto"/>
          <w:highlight w:val="none"/>
        </w:rPr>
        <w:instrText xml:space="preserve"> PAGEREF _Toc4649 \h </w:instrText>
      </w:r>
      <w:r>
        <w:rPr>
          <w:color w:val="auto"/>
          <w:highlight w:val="none"/>
        </w:rPr>
        <w:fldChar w:fldCharType="separate"/>
      </w:r>
      <w:r>
        <w:rPr>
          <w:color w:val="auto"/>
          <w:highlight w:val="none"/>
        </w:rPr>
        <w:t>47</w:t>
      </w:r>
      <w:r>
        <w:rPr>
          <w:color w:val="auto"/>
          <w:highlight w:val="none"/>
        </w:rPr>
        <w:fldChar w:fldCharType="end"/>
      </w:r>
      <w:r>
        <w:rPr>
          <w:rFonts w:hint="eastAsia" w:ascii="新宋体" w:hAnsi="新宋体" w:eastAsia="新宋体" w:cs="新宋体"/>
          <w:color w:val="auto"/>
          <w:szCs w:val="22"/>
          <w:highlight w:val="none"/>
        </w:rPr>
        <w:fldChar w:fldCharType="end"/>
      </w:r>
    </w:p>
    <w:p w14:paraId="5A3FE742">
      <w:pPr>
        <w:pStyle w:val="16"/>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color w:val="auto"/>
          <w:highlight w:val="none"/>
        </w:rPr>
      </w:pPr>
      <w:r>
        <w:rPr>
          <w:rFonts w:hint="eastAsia" w:ascii="新宋体" w:hAnsi="新宋体" w:eastAsia="新宋体" w:cs="新宋体"/>
          <w:color w:val="auto"/>
          <w:szCs w:val="22"/>
          <w:highlight w:val="none"/>
        </w:rPr>
        <w:fldChar w:fldCharType="begin"/>
      </w:r>
      <w:r>
        <w:rPr>
          <w:rFonts w:hint="eastAsia" w:ascii="新宋体" w:hAnsi="新宋体" w:eastAsia="新宋体" w:cs="新宋体"/>
          <w:color w:val="auto"/>
          <w:szCs w:val="22"/>
          <w:highlight w:val="none"/>
        </w:rPr>
        <w:instrText xml:space="preserve"> HYPERLINK \l _Toc25189 </w:instrText>
      </w:r>
      <w:r>
        <w:rPr>
          <w:rFonts w:hint="eastAsia" w:ascii="新宋体" w:hAnsi="新宋体" w:eastAsia="新宋体" w:cs="新宋体"/>
          <w:color w:val="auto"/>
          <w:szCs w:val="22"/>
          <w:highlight w:val="none"/>
        </w:rPr>
        <w:fldChar w:fldCharType="separate"/>
      </w:r>
      <w:r>
        <w:rPr>
          <w:rFonts w:hint="eastAsia" w:ascii="新宋体" w:hAnsi="新宋体" w:eastAsia="新宋体" w:cs="新宋体"/>
          <w:color w:val="auto"/>
          <w:szCs w:val="22"/>
          <w:highlight w:val="none"/>
        </w:rPr>
        <w:t>三、评标程序</w:t>
      </w:r>
      <w:r>
        <w:rPr>
          <w:color w:val="auto"/>
          <w:highlight w:val="none"/>
        </w:rPr>
        <w:tab/>
      </w:r>
      <w:r>
        <w:rPr>
          <w:color w:val="auto"/>
          <w:highlight w:val="none"/>
        </w:rPr>
        <w:fldChar w:fldCharType="begin"/>
      </w:r>
      <w:r>
        <w:rPr>
          <w:color w:val="auto"/>
          <w:highlight w:val="none"/>
        </w:rPr>
        <w:instrText xml:space="preserve"> PAGEREF _Toc25189 \h </w:instrText>
      </w:r>
      <w:r>
        <w:rPr>
          <w:color w:val="auto"/>
          <w:highlight w:val="none"/>
        </w:rPr>
        <w:fldChar w:fldCharType="separate"/>
      </w:r>
      <w:r>
        <w:rPr>
          <w:color w:val="auto"/>
          <w:highlight w:val="none"/>
        </w:rPr>
        <w:t>47</w:t>
      </w:r>
      <w:r>
        <w:rPr>
          <w:color w:val="auto"/>
          <w:highlight w:val="none"/>
        </w:rPr>
        <w:fldChar w:fldCharType="end"/>
      </w:r>
      <w:r>
        <w:rPr>
          <w:rFonts w:hint="eastAsia" w:ascii="新宋体" w:hAnsi="新宋体" w:eastAsia="新宋体" w:cs="新宋体"/>
          <w:color w:val="auto"/>
          <w:szCs w:val="22"/>
          <w:highlight w:val="none"/>
        </w:rPr>
        <w:fldChar w:fldCharType="end"/>
      </w:r>
    </w:p>
    <w:p w14:paraId="1C5E1270">
      <w:pPr>
        <w:pStyle w:val="16"/>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color w:val="auto"/>
          <w:highlight w:val="none"/>
        </w:rPr>
      </w:pPr>
      <w:r>
        <w:rPr>
          <w:rFonts w:hint="eastAsia" w:ascii="新宋体" w:hAnsi="新宋体" w:eastAsia="新宋体" w:cs="新宋体"/>
          <w:color w:val="auto"/>
          <w:szCs w:val="22"/>
          <w:highlight w:val="none"/>
        </w:rPr>
        <w:fldChar w:fldCharType="begin"/>
      </w:r>
      <w:r>
        <w:rPr>
          <w:rFonts w:hint="eastAsia" w:ascii="新宋体" w:hAnsi="新宋体" w:eastAsia="新宋体" w:cs="新宋体"/>
          <w:color w:val="auto"/>
          <w:szCs w:val="22"/>
          <w:highlight w:val="none"/>
        </w:rPr>
        <w:instrText xml:space="preserve"> HYPERLINK \l _Toc14811 </w:instrText>
      </w:r>
      <w:r>
        <w:rPr>
          <w:rFonts w:hint="eastAsia" w:ascii="新宋体" w:hAnsi="新宋体" w:eastAsia="新宋体" w:cs="新宋体"/>
          <w:color w:val="auto"/>
          <w:szCs w:val="22"/>
          <w:highlight w:val="none"/>
        </w:rPr>
        <w:fldChar w:fldCharType="separate"/>
      </w:r>
      <w:r>
        <w:rPr>
          <w:rFonts w:hint="eastAsia" w:ascii="新宋体" w:hAnsi="新宋体" w:eastAsia="新宋体" w:cs="新宋体"/>
          <w:color w:val="auto"/>
          <w:szCs w:val="22"/>
          <w:highlight w:val="none"/>
        </w:rPr>
        <w:t>四、评标办法</w:t>
      </w:r>
      <w:r>
        <w:rPr>
          <w:color w:val="auto"/>
          <w:highlight w:val="none"/>
        </w:rPr>
        <w:tab/>
      </w:r>
      <w:r>
        <w:rPr>
          <w:color w:val="auto"/>
          <w:highlight w:val="none"/>
        </w:rPr>
        <w:fldChar w:fldCharType="begin"/>
      </w:r>
      <w:r>
        <w:rPr>
          <w:color w:val="auto"/>
          <w:highlight w:val="none"/>
        </w:rPr>
        <w:instrText xml:space="preserve"> PAGEREF _Toc14811 \h </w:instrText>
      </w:r>
      <w:r>
        <w:rPr>
          <w:color w:val="auto"/>
          <w:highlight w:val="none"/>
        </w:rPr>
        <w:fldChar w:fldCharType="separate"/>
      </w:r>
      <w:r>
        <w:rPr>
          <w:color w:val="auto"/>
          <w:highlight w:val="none"/>
        </w:rPr>
        <w:t>47</w:t>
      </w:r>
      <w:r>
        <w:rPr>
          <w:color w:val="auto"/>
          <w:highlight w:val="none"/>
        </w:rPr>
        <w:fldChar w:fldCharType="end"/>
      </w:r>
      <w:r>
        <w:rPr>
          <w:rFonts w:hint="eastAsia" w:ascii="新宋体" w:hAnsi="新宋体" w:eastAsia="新宋体" w:cs="新宋体"/>
          <w:color w:val="auto"/>
          <w:szCs w:val="22"/>
          <w:highlight w:val="none"/>
        </w:rPr>
        <w:fldChar w:fldCharType="end"/>
      </w:r>
    </w:p>
    <w:p w14:paraId="6B0F81A5">
      <w:pPr>
        <w:pStyle w:val="16"/>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color w:val="auto"/>
          <w:highlight w:val="none"/>
        </w:rPr>
      </w:pPr>
      <w:r>
        <w:rPr>
          <w:rFonts w:hint="eastAsia" w:ascii="新宋体" w:hAnsi="新宋体" w:eastAsia="新宋体" w:cs="新宋体"/>
          <w:color w:val="auto"/>
          <w:szCs w:val="22"/>
          <w:highlight w:val="none"/>
        </w:rPr>
        <w:fldChar w:fldCharType="begin"/>
      </w:r>
      <w:r>
        <w:rPr>
          <w:rFonts w:hint="eastAsia" w:ascii="新宋体" w:hAnsi="新宋体" w:eastAsia="新宋体" w:cs="新宋体"/>
          <w:color w:val="auto"/>
          <w:szCs w:val="22"/>
          <w:highlight w:val="none"/>
        </w:rPr>
        <w:instrText xml:space="preserve"> HYPERLINK \l _Toc4777 </w:instrText>
      </w:r>
      <w:r>
        <w:rPr>
          <w:rFonts w:hint="eastAsia" w:ascii="新宋体" w:hAnsi="新宋体" w:eastAsia="新宋体" w:cs="新宋体"/>
          <w:color w:val="auto"/>
          <w:szCs w:val="22"/>
          <w:highlight w:val="none"/>
        </w:rPr>
        <w:fldChar w:fldCharType="separate"/>
      </w:r>
      <w:r>
        <w:rPr>
          <w:rFonts w:hint="eastAsia" w:ascii="新宋体" w:hAnsi="新宋体" w:eastAsia="新宋体" w:cs="新宋体"/>
          <w:color w:val="auto"/>
          <w:szCs w:val="22"/>
          <w:highlight w:val="none"/>
        </w:rPr>
        <w:t>五、评分细则</w:t>
      </w:r>
      <w:r>
        <w:rPr>
          <w:color w:val="auto"/>
          <w:highlight w:val="none"/>
        </w:rPr>
        <w:tab/>
      </w:r>
      <w:r>
        <w:rPr>
          <w:color w:val="auto"/>
          <w:highlight w:val="none"/>
        </w:rPr>
        <w:fldChar w:fldCharType="begin"/>
      </w:r>
      <w:r>
        <w:rPr>
          <w:color w:val="auto"/>
          <w:highlight w:val="none"/>
        </w:rPr>
        <w:instrText xml:space="preserve"> PAGEREF _Toc4777 \h </w:instrText>
      </w:r>
      <w:r>
        <w:rPr>
          <w:color w:val="auto"/>
          <w:highlight w:val="none"/>
        </w:rPr>
        <w:fldChar w:fldCharType="separate"/>
      </w:r>
      <w:r>
        <w:rPr>
          <w:color w:val="auto"/>
          <w:highlight w:val="none"/>
        </w:rPr>
        <w:t>47</w:t>
      </w:r>
      <w:r>
        <w:rPr>
          <w:color w:val="auto"/>
          <w:highlight w:val="none"/>
        </w:rPr>
        <w:fldChar w:fldCharType="end"/>
      </w:r>
      <w:r>
        <w:rPr>
          <w:rFonts w:hint="eastAsia" w:ascii="新宋体" w:hAnsi="新宋体" w:eastAsia="新宋体" w:cs="新宋体"/>
          <w:color w:val="auto"/>
          <w:szCs w:val="22"/>
          <w:highlight w:val="none"/>
        </w:rPr>
        <w:fldChar w:fldCharType="end"/>
      </w:r>
    </w:p>
    <w:p w14:paraId="667544B6">
      <w:pPr>
        <w:pStyle w:val="16"/>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color w:val="auto"/>
          <w:highlight w:val="none"/>
        </w:rPr>
      </w:pPr>
      <w:r>
        <w:rPr>
          <w:rFonts w:hint="eastAsia" w:ascii="新宋体" w:hAnsi="新宋体" w:eastAsia="新宋体" w:cs="新宋体"/>
          <w:color w:val="auto"/>
          <w:szCs w:val="22"/>
          <w:highlight w:val="none"/>
        </w:rPr>
        <w:fldChar w:fldCharType="begin"/>
      </w:r>
      <w:r>
        <w:rPr>
          <w:rFonts w:hint="eastAsia" w:ascii="新宋体" w:hAnsi="新宋体" w:eastAsia="新宋体" w:cs="新宋体"/>
          <w:color w:val="auto"/>
          <w:szCs w:val="22"/>
          <w:highlight w:val="none"/>
        </w:rPr>
        <w:instrText xml:space="preserve"> HYPERLINK \l _Toc13278 </w:instrText>
      </w:r>
      <w:r>
        <w:rPr>
          <w:rFonts w:hint="eastAsia" w:ascii="新宋体" w:hAnsi="新宋体" w:eastAsia="新宋体" w:cs="新宋体"/>
          <w:color w:val="auto"/>
          <w:szCs w:val="22"/>
          <w:highlight w:val="none"/>
        </w:rPr>
        <w:fldChar w:fldCharType="separate"/>
      </w:r>
      <w:r>
        <w:rPr>
          <w:rFonts w:hint="eastAsia" w:ascii="新宋体" w:hAnsi="新宋体" w:eastAsia="新宋体" w:cs="新宋体"/>
          <w:bCs/>
          <w:color w:val="auto"/>
          <w:szCs w:val="22"/>
          <w:highlight w:val="none"/>
        </w:rPr>
        <w:t>六、定标办法</w:t>
      </w:r>
      <w:r>
        <w:rPr>
          <w:color w:val="auto"/>
          <w:highlight w:val="none"/>
        </w:rPr>
        <w:tab/>
      </w:r>
      <w:r>
        <w:rPr>
          <w:color w:val="auto"/>
          <w:highlight w:val="none"/>
        </w:rPr>
        <w:fldChar w:fldCharType="begin"/>
      </w:r>
      <w:r>
        <w:rPr>
          <w:color w:val="auto"/>
          <w:highlight w:val="none"/>
        </w:rPr>
        <w:instrText xml:space="preserve"> PAGEREF _Toc13278 \h </w:instrText>
      </w:r>
      <w:r>
        <w:rPr>
          <w:color w:val="auto"/>
          <w:highlight w:val="none"/>
        </w:rPr>
        <w:fldChar w:fldCharType="separate"/>
      </w:r>
      <w:r>
        <w:rPr>
          <w:color w:val="auto"/>
          <w:highlight w:val="none"/>
        </w:rPr>
        <w:t>49</w:t>
      </w:r>
      <w:r>
        <w:rPr>
          <w:color w:val="auto"/>
          <w:highlight w:val="none"/>
        </w:rPr>
        <w:fldChar w:fldCharType="end"/>
      </w:r>
      <w:r>
        <w:rPr>
          <w:rFonts w:hint="eastAsia" w:ascii="新宋体" w:hAnsi="新宋体" w:eastAsia="新宋体" w:cs="新宋体"/>
          <w:color w:val="auto"/>
          <w:szCs w:val="22"/>
          <w:highlight w:val="none"/>
        </w:rPr>
        <w:fldChar w:fldCharType="end"/>
      </w:r>
    </w:p>
    <w:p w14:paraId="385365B5">
      <w:pPr>
        <w:pStyle w:val="16"/>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color w:val="auto"/>
          <w:highlight w:val="none"/>
        </w:rPr>
      </w:pPr>
      <w:r>
        <w:rPr>
          <w:rFonts w:hint="eastAsia" w:ascii="新宋体" w:hAnsi="新宋体" w:eastAsia="新宋体" w:cs="新宋体"/>
          <w:color w:val="auto"/>
          <w:szCs w:val="22"/>
          <w:highlight w:val="none"/>
        </w:rPr>
        <w:fldChar w:fldCharType="begin"/>
      </w:r>
      <w:r>
        <w:rPr>
          <w:rFonts w:hint="eastAsia" w:ascii="新宋体" w:hAnsi="新宋体" w:eastAsia="新宋体" w:cs="新宋体"/>
          <w:color w:val="auto"/>
          <w:szCs w:val="22"/>
          <w:highlight w:val="none"/>
        </w:rPr>
        <w:instrText xml:space="preserve"> HYPERLINK \l _Toc31282 </w:instrText>
      </w:r>
      <w:r>
        <w:rPr>
          <w:rFonts w:hint="eastAsia" w:ascii="新宋体" w:hAnsi="新宋体" w:eastAsia="新宋体" w:cs="新宋体"/>
          <w:color w:val="auto"/>
          <w:szCs w:val="22"/>
          <w:highlight w:val="none"/>
        </w:rPr>
        <w:fldChar w:fldCharType="separate"/>
      </w:r>
      <w:r>
        <w:rPr>
          <w:rFonts w:hint="eastAsia" w:ascii="新宋体" w:hAnsi="新宋体" w:eastAsia="新宋体" w:cs="新宋体"/>
          <w:color w:val="auto"/>
          <w:szCs w:val="22"/>
          <w:highlight w:val="none"/>
        </w:rPr>
        <w:t>七、投标人义务</w:t>
      </w:r>
      <w:r>
        <w:rPr>
          <w:color w:val="auto"/>
          <w:highlight w:val="none"/>
        </w:rPr>
        <w:tab/>
      </w:r>
      <w:r>
        <w:rPr>
          <w:color w:val="auto"/>
          <w:highlight w:val="none"/>
        </w:rPr>
        <w:fldChar w:fldCharType="begin"/>
      </w:r>
      <w:r>
        <w:rPr>
          <w:color w:val="auto"/>
          <w:highlight w:val="none"/>
        </w:rPr>
        <w:instrText xml:space="preserve"> PAGEREF _Toc31282 \h </w:instrText>
      </w:r>
      <w:r>
        <w:rPr>
          <w:color w:val="auto"/>
          <w:highlight w:val="none"/>
        </w:rPr>
        <w:fldChar w:fldCharType="separate"/>
      </w:r>
      <w:r>
        <w:rPr>
          <w:color w:val="auto"/>
          <w:highlight w:val="none"/>
        </w:rPr>
        <w:t>50</w:t>
      </w:r>
      <w:r>
        <w:rPr>
          <w:color w:val="auto"/>
          <w:highlight w:val="none"/>
        </w:rPr>
        <w:fldChar w:fldCharType="end"/>
      </w:r>
      <w:r>
        <w:rPr>
          <w:rFonts w:hint="eastAsia" w:ascii="新宋体" w:hAnsi="新宋体" w:eastAsia="新宋体" w:cs="新宋体"/>
          <w:color w:val="auto"/>
          <w:szCs w:val="22"/>
          <w:highlight w:val="none"/>
        </w:rPr>
        <w:fldChar w:fldCharType="end"/>
      </w:r>
    </w:p>
    <w:p w14:paraId="71388AEA">
      <w:pPr>
        <w:spacing w:line="360" w:lineRule="auto"/>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Cs w:val="22"/>
          <w:highlight w:val="none"/>
        </w:rPr>
        <w:fldChar w:fldCharType="end"/>
      </w:r>
    </w:p>
    <w:p w14:paraId="01DE41B8">
      <w:pPr>
        <w:spacing w:line="360" w:lineRule="auto"/>
        <w:jc w:val="center"/>
        <w:rPr>
          <w:rFonts w:hint="eastAsia" w:ascii="新宋体" w:hAnsi="新宋体" w:eastAsia="新宋体" w:cs="新宋体"/>
          <w:b/>
          <w:color w:val="auto"/>
          <w:sz w:val="22"/>
          <w:szCs w:val="22"/>
          <w:highlight w:val="none"/>
        </w:rPr>
      </w:pPr>
    </w:p>
    <w:p w14:paraId="38C0F804">
      <w:pPr>
        <w:spacing w:line="360" w:lineRule="auto"/>
        <w:rPr>
          <w:rFonts w:hint="eastAsia" w:ascii="新宋体" w:hAnsi="新宋体" w:eastAsia="新宋体" w:cs="新宋体"/>
          <w:b/>
          <w:color w:val="auto"/>
          <w:sz w:val="22"/>
          <w:szCs w:val="22"/>
          <w:highlight w:val="none"/>
        </w:rPr>
      </w:pPr>
    </w:p>
    <w:p w14:paraId="400ADD1F">
      <w:pPr>
        <w:spacing w:line="360" w:lineRule="auto"/>
        <w:jc w:val="center"/>
        <w:rPr>
          <w:rFonts w:hint="eastAsia" w:ascii="新宋体" w:hAnsi="新宋体" w:eastAsia="新宋体" w:cs="新宋体"/>
          <w:b/>
          <w:color w:val="auto"/>
          <w:sz w:val="22"/>
          <w:szCs w:val="22"/>
          <w:highlight w:val="none"/>
        </w:rPr>
      </w:pPr>
    </w:p>
    <w:p w14:paraId="2A2F9C2D">
      <w:pPr>
        <w:spacing w:line="360" w:lineRule="auto"/>
        <w:jc w:val="center"/>
        <w:rPr>
          <w:rFonts w:hint="eastAsia" w:ascii="新宋体" w:hAnsi="新宋体" w:eastAsia="新宋体" w:cs="新宋体"/>
          <w:b/>
          <w:color w:val="auto"/>
          <w:sz w:val="22"/>
          <w:szCs w:val="22"/>
          <w:highlight w:val="none"/>
        </w:rPr>
      </w:pPr>
    </w:p>
    <w:p w14:paraId="39BBDA7F">
      <w:pPr>
        <w:rPr>
          <w:rFonts w:hint="eastAsia" w:ascii="新宋体" w:hAnsi="新宋体" w:eastAsia="新宋体" w:cs="新宋体"/>
          <w:b/>
          <w:color w:val="auto"/>
          <w:sz w:val="22"/>
          <w:szCs w:val="22"/>
          <w:highlight w:val="none"/>
        </w:rPr>
      </w:pPr>
    </w:p>
    <w:p w14:paraId="4600F7E4">
      <w:pPr>
        <w:pStyle w:val="3"/>
        <w:rPr>
          <w:rFonts w:hint="eastAsia" w:ascii="新宋体" w:hAnsi="新宋体" w:eastAsia="新宋体" w:cs="新宋体"/>
          <w:b w:val="0"/>
          <w:color w:val="auto"/>
          <w:sz w:val="22"/>
          <w:szCs w:val="22"/>
          <w:highlight w:val="none"/>
        </w:rPr>
      </w:pPr>
    </w:p>
    <w:p w14:paraId="60DCCCDA">
      <w:pPr>
        <w:rPr>
          <w:rFonts w:hint="eastAsia" w:ascii="新宋体" w:hAnsi="新宋体" w:eastAsia="新宋体" w:cs="新宋体"/>
          <w:b/>
          <w:color w:val="auto"/>
          <w:sz w:val="22"/>
          <w:szCs w:val="22"/>
          <w:highlight w:val="none"/>
        </w:rPr>
      </w:pPr>
    </w:p>
    <w:p w14:paraId="342C04E5">
      <w:pPr>
        <w:pStyle w:val="3"/>
        <w:rPr>
          <w:rFonts w:hint="eastAsia" w:ascii="新宋体" w:hAnsi="新宋体" w:eastAsia="新宋体" w:cs="新宋体"/>
          <w:b w:val="0"/>
          <w:color w:val="auto"/>
          <w:sz w:val="22"/>
          <w:szCs w:val="22"/>
          <w:highlight w:val="none"/>
        </w:rPr>
      </w:pPr>
    </w:p>
    <w:p w14:paraId="5F4B4205">
      <w:pPr>
        <w:rPr>
          <w:rFonts w:hint="eastAsia" w:ascii="新宋体" w:hAnsi="新宋体" w:eastAsia="新宋体" w:cs="新宋体"/>
          <w:b/>
          <w:color w:val="auto"/>
          <w:sz w:val="22"/>
          <w:szCs w:val="22"/>
          <w:highlight w:val="none"/>
        </w:rPr>
      </w:pPr>
    </w:p>
    <w:p w14:paraId="5C382FFC">
      <w:pPr>
        <w:pStyle w:val="3"/>
        <w:rPr>
          <w:rFonts w:hint="eastAsia"/>
          <w:color w:val="auto"/>
          <w:highlight w:val="none"/>
        </w:rPr>
      </w:pPr>
    </w:p>
    <w:p w14:paraId="5B1DFDC1">
      <w:pPr>
        <w:pStyle w:val="8"/>
        <w:rPr>
          <w:rFonts w:hint="eastAsia" w:ascii="新宋体" w:hAnsi="新宋体" w:eastAsia="新宋体" w:cs="新宋体"/>
          <w:b w:val="0"/>
          <w:color w:val="auto"/>
          <w:sz w:val="22"/>
          <w:szCs w:val="22"/>
          <w:highlight w:val="none"/>
        </w:rPr>
      </w:pPr>
    </w:p>
    <w:p w14:paraId="76CC4461">
      <w:pPr>
        <w:rPr>
          <w:rFonts w:hint="eastAsia" w:ascii="新宋体" w:hAnsi="新宋体" w:eastAsia="新宋体" w:cs="新宋体"/>
          <w:color w:val="auto"/>
          <w:highlight w:val="none"/>
        </w:rPr>
      </w:pPr>
    </w:p>
    <w:p w14:paraId="631CB978">
      <w:pPr>
        <w:spacing w:line="360" w:lineRule="auto"/>
        <w:jc w:val="center"/>
        <w:rPr>
          <w:rFonts w:hint="eastAsia" w:ascii="新宋体" w:hAnsi="新宋体" w:eastAsia="新宋体" w:cs="新宋体"/>
          <w:b/>
          <w:color w:val="auto"/>
          <w:sz w:val="22"/>
          <w:szCs w:val="22"/>
          <w:highlight w:val="none"/>
        </w:rPr>
      </w:pPr>
    </w:p>
    <w:p w14:paraId="540B89E0">
      <w:pPr>
        <w:spacing w:line="360" w:lineRule="auto"/>
        <w:jc w:val="center"/>
        <w:rPr>
          <w:rFonts w:hint="eastAsia" w:ascii="新宋体" w:hAnsi="新宋体" w:eastAsia="新宋体" w:cs="新宋体"/>
          <w:b/>
          <w:color w:val="auto"/>
          <w:sz w:val="22"/>
          <w:szCs w:val="22"/>
          <w:highlight w:val="none"/>
        </w:rPr>
      </w:pPr>
    </w:p>
    <w:p w14:paraId="4C013753">
      <w:pPr>
        <w:jc w:val="center"/>
        <w:rPr>
          <w:rFonts w:hint="eastAsia" w:ascii="新宋体" w:hAnsi="新宋体" w:eastAsia="新宋体" w:cs="新宋体"/>
          <w:b/>
          <w:bCs/>
          <w:color w:val="auto"/>
          <w:sz w:val="52"/>
          <w:szCs w:val="52"/>
          <w:highlight w:val="none"/>
        </w:rPr>
      </w:pPr>
      <w:r>
        <w:rPr>
          <w:rFonts w:hint="eastAsia" w:ascii="新宋体" w:hAnsi="新宋体" w:eastAsia="新宋体" w:cs="新宋体"/>
          <w:b/>
          <w:bCs/>
          <w:color w:val="auto"/>
          <w:sz w:val="52"/>
          <w:szCs w:val="52"/>
          <w:highlight w:val="none"/>
        </w:rPr>
        <w:t>第一册</w:t>
      </w:r>
    </w:p>
    <w:p w14:paraId="312C1883">
      <w:pPr>
        <w:rPr>
          <w:rFonts w:hint="eastAsia" w:ascii="新宋体" w:hAnsi="新宋体" w:eastAsia="新宋体" w:cs="新宋体"/>
          <w:b/>
          <w:bCs/>
          <w:color w:val="auto"/>
          <w:sz w:val="48"/>
          <w:highlight w:val="none"/>
        </w:rPr>
      </w:pPr>
    </w:p>
    <w:p w14:paraId="1AE8C5C4">
      <w:pPr>
        <w:jc w:val="center"/>
        <w:outlineLvl w:val="0"/>
        <w:rPr>
          <w:rFonts w:hint="eastAsia" w:ascii="新宋体" w:hAnsi="新宋体" w:eastAsia="新宋体" w:cs="新宋体"/>
          <w:b/>
          <w:bCs/>
          <w:color w:val="auto"/>
          <w:sz w:val="48"/>
          <w:highlight w:val="none"/>
        </w:rPr>
      </w:pPr>
      <w:bookmarkStart w:id="6" w:name="_Toc21715"/>
      <w:r>
        <w:rPr>
          <w:rFonts w:hint="eastAsia" w:ascii="新宋体" w:hAnsi="新宋体" w:eastAsia="新宋体" w:cs="新宋体"/>
          <w:b/>
          <w:bCs/>
          <w:color w:val="auto"/>
          <w:sz w:val="48"/>
          <w:highlight w:val="none"/>
        </w:rPr>
        <w:t>通  用  文  本</w:t>
      </w:r>
      <w:bookmarkEnd w:id="6"/>
    </w:p>
    <w:p w14:paraId="7A5A8826">
      <w:pPr>
        <w:spacing w:line="360" w:lineRule="auto"/>
        <w:jc w:val="center"/>
        <w:rPr>
          <w:rFonts w:hint="eastAsia" w:ascii="新宋体" w:hAnsi="新宋体" w:eastAsia="新宋体" w:cs="新宋体"/>
          <w:b/>
          <w:color w:val="auto"/>
          <w:sz w:val="22"/>
          <w:szCs w:val="22"/>
          <w:highlight w:val="none"/>
        </w:rPr>
      </w:pPr>
    </w:p>
    <w:p w14:paraId="130E42DD">
      <w:pPr>
        <w:spacing w:line="360" w:lineRule="auto"/>
        <w:jc w:val="center"/>
        <w:rPr>
          <w:rFonts w:hint="eastAsia" w:ascii="新宋体" w:hAnsi="新宋体" w:eastAsia="新宋体" w:cs="新宋体"/>
          <w:b/>
          <w:color w:val="auto"/>
          <w:sz w:val="22"/>
          <w:szCs w:val="22"/>
          <w:highlight w:val="none"/>
        </w:rPr>
      </w:pPr>
    </w:p>
    <w:p w14:paraId="62441C6B">
      <w:pPr>
        <w:spacing w:line="360" w:lineRule="auto"/>
        <w:jc w:val="center"/>
        <w:rPr>
          <w:rFonts w:hint="eastAsia" w:ascii="新宋体" w:hAnsi="新宋体" w:eastAsia="新宋体" w:cs="新宋体"/>
          <w:b/>
          <w:color w:val="auto"/>
          <w:sz w:val="22"/>
          <w:szCs w:val="22"/>
          <w:highlight w:val="none"/>
        </w:rPr>
      </w:pPr>
    </w:p>
    <w:p w14:paraId="77A27398">
      <w:pPr>
        <w:spacing w:line="360" w:lineRule="auto"/>
        <w:jc w:val="center"/>
        <w:rPr>
          <w:rFonts w:hint="eastAsia" w:ascii="新宋体" w:hAnsi="新宋体" w:eastAsia="新宋体" w:cs="新宋体"/>
          <w:b/>
          <w:color w:val="auto"/>
          <w:sz w:val="22"/>
          <w:szCs w:val="22"/>
          <w:highlight w:val="none"/>
        </w:rPr>
      </w:pPr>
    </w:p>
    <w:p w14:paraId="14359F08">
      <w:pPr>
        <w:spacing w:line="360" w:lineRule="auto"/>
        <w:jc w:val="center"/>
        <w:rPr>
          <w:rFonts w:hint="eastAsia" w:ascii="新宋体" w:hAnsi="新宋体" w:eastAsia="新宋体" w:cs="新宋体"/>
          <w:b/>
          <w:color w:val="auto"/>
          <w:sz w:val="22"/>
          <w:szCs w:val="22"/>
          <w:highlight w:val="none"/>
        </w:rPr>
      </w:pPr>
    </w:p>
    <w:p w14:paraId="4850B16B">
      <w:pPr>
        <w:spacing w:line="360" w:lineRule="auto"/>
        <w:jc w:val="center"/>
        <w:rPr>
          <w:rFonts w:hint="eastAsia" w:ascii="新宋体" w:hAnsi="新宋体" w:eastAsia="新宋体" w:cs="新宋体"/>
          <w:b/>
          <w:color w:val="auto"/>
          <w:sz w:val="22"/>
          <w:szCs w:val="22"/>
          <w:highlight w:val="none"/>
        </w:rPr>
      </w:pPr>
    </w:p>
    <w:p w14:paraId="69B42FD0">
      <w:pPr>
        <w:spacing w:line="360" w:lineRule="auto"/>
        <w:jc w:val="center"/>
        <w:rPr>
          <w:rFonts w:hint="eastAsia" w:ascii="新宋体" w:hAnsi="新宋体" w:eastAsia="新宋体" w:cs="新宋体"/>
          <w:b/>
          <w:color w:val="auto"/>
          <w:sz w:val="22"/>
          <w:szCs w:val="22"/>
          <w:highlight w:val="none"/>
        </w:rPr>
      </w:pPr>
    </w:p>
    <w:p w14:paraId="3DFFC223">
      <w:pPr>
        <w:spacing w:line="360" w:lineRule="auto"/>
        <w:jc w:val="center"/>
        <w:rPr>
          <w:rFonts w:hint="eastAsia" w:ascii="新宋体" w:hAnsi="新宋体" w:eastAsia="新宋体" w:cs="新宋体"/>
          <w:b/>
          <w:color w:val="auto"/>
          <w:sz w:val="22"/>
          <w:szCs w:val="22"/>
          <w:highlight w:val="none"/>
        </w:rPr>
      </w:pPr>
    </w:p>
    <w:p w14:paraId="0435AE4D">
      <w:pPr>
        <w:spacing w:line="360" w:lineRule="auto"/>
        <w:jc w:val="center"/>
        <w:rPr>
          <w:rFonts w:hint="eastAsia" w:ascii="新宋体" w:hAnsi="新宋体" w:eastAsia="新宋体" w:cs="新宋体"/>
          <w:b/>
          <w:color w:val="auto"/>
          <w:sz w:val="22"/>
          <w:szCs w:val="22"/>
          <w:highlight w:val="none"/>
        </w:rPr>
      </w:pPr>
    </w:p>
    <w:p w14:paraId="2D3BF81A">
      <w:pPr>
        <w:spacing w:line="360" w:lineRule="auto"/>
        <w:jc w:val="center"/>
        <w:rPr>
          <w:rFonts w:hint="eastAsia" w:ascii="新宋体" w:hAnsi="新宋体" w:eastAsia="新宋体" w:cs="新宋体"/>
          <w:b/>
          <w:color w:val="auto"/>
          <w:sz w:val="22"/>
          <w:szCs w:val="22"/>
          <w:highlight w:val="none"/>
        </w:rPr>
      </w:pPr>
    </w:p>
    <w:p w14:paraId="74C14226">
      <w:pPr>
        <w:spacing w:line="360" w:lineRule="auto"/>
        <w:jc w:val="center"/>
        <w:rPr>
          <w:rFonts w:hint="eastAsia" w:ascii="新宋体" w:hAnsi="新宋体" w:eastAsia="新宋体" w:cs="新宋体"/>
          <w:b/>
          <w:color w:val="auto"/>
          <w:sz w:val="22"/>
          <w:szCs w:val="22"/>
          <w:highlight w:val="none"/>
        </w:rPr>
      </w:pPr>
    </w:p>
    <w:p w14:paraId="1906E3A2">
      <w:pPr>
        <w:spacing w:line="360" w:lineRule="auto"/>
        <w:jc w:val="center"/>
        <w:rPr>
          <w:rFonts w:hint="eastAsia" w:ascii="新宋体" w:hAnsi="新宋体" w:eastAsia="新宋体" w:cs="新宋体"/>
          <w:b/>
          <w:color w:val="auto"/>
          <w:sz w:val="22"/>
          <w:szCs w:val="22"/>
          <w:highlight w:val="none"/>
        </w:rPr>
      </w:pPr>
    </w:p>
    <w:p w14:paraId="7083B4C5">
      <w:pPr>
        <w:spacing w:line="360" w:lineRule="auto"/>
        <w:jc w:val="center"/>
        <w:rPr>
          <w:rFonts w:hint="eastAsia" w:ascii="新宋体" w:hAnsi="新宋体" w:eastAsia="新宋体" w:cs="新宋体"/>
          <w:b/>
          <w:color w:val="auto"/>
          <w:sz w:val="22"/>
          <w:szCs w:val="22"/>
          <w:highlight w:val="none"/>
        </w:rPr>
      </w:pPr>
    </w:p>
    <w:p w14:paraId="2532DE14">
      <w:pPr>
        <w:pStyle w:val="6"/>
        <w:keepNext w:val="0"/>
        <w:widowControl/>
        <w:spacing w:before="156" w:after="156" w:line="460" w:lineRule="exact"/>
        <w:jc w:val="center"/>
        <w:rPr>
          <w:rFonts w:hint="eastAsia" w:ascii="新宋体" w:hAnsi="新宋体" w:eastAsia="新宋体" w:cs="新宋体"/>
          <w:color w:val="auto"/>
          <w:sz w:val="22"/>
          <w:szCs w:val="22"/>
          <w:highlight w:val="none"/>
        </w:rPr>
      </w:pPr>
      <w:bookmarkStart w:id="7" w:name="_Toc84779266"/>
      <w:r>
        <w:rPr>
          <w:rFonts w:hint="eastAsia" w:ascii="新宋体" w:hAnsi="新宋体" w:eastAsia="新宋体" w:cs="新宋体"/>
          <w:b w:val="0"/>
          <w:color w:val="auto"/>
          <w:sz w:val="30"/>
          <w:highlight w:val="none"/>
        </w:rPr>
        <w:br w:type="page"/>
      </w:r>
      <w:bookmarkEnd w:id="7"/>
      <w:bookmarkStart w:id="8" w:name="_Toc24388"/>
      <w:bookmarkStart w:id="9" w:name="_Toc19610"/>
      <w:r>
        <w:rPr>
          <w:rFonts w:hint="eastAsia" w:ascii="新宋体" w:hAnsi="新宋体" w:eastAsia="新宋体" w:cs="新宋体"/>
          <w:bCs/>
          <w:color w:val="auto"/>
          <w:szCs w:val="28"/>
          <w:highlight w:val="none"/>
        </w:rPr>
        <w:t>温州市工业与能源集团所属温州市工睿实业有限公司关于</w:t>
      </w:r>
      <w:r>
        <w:rPr>
          <w:rFonts w:hint="eastAsia" w:ascii="新宋体" w:hAnsi="新宋体" w:eastAsia="新宋体" w:cs="新宋体"/>
          <w:bCs/>
          <w:color w:val="auto"/>
          <w:szCs w:val="28"/>
          <w:highlight w:val="none"/>
          <w:lang w:eastAsia="zh-CN"/>
        </w:rPr>
        <w:t>智算中心 AI 智算系统及智算管理平台（第三期）</w:t>
      </w:r>
      <w:r>
        <w:rPr>
          <w:rFonts w:hint="eastAsia" w:ascii="新宋体" w:hAnsi="新宋体" w:eastAsia="新宋体" w:cs="新宋体"/>
          <w:bCs/>
          <w:color w:val="auto"/>
          <w:szCs w:val="28"/>
          <w:highlight w:val="none"/>
        </w:rPr>
        <w:t>项目</w:t>
      </w:r>
      <w:r>
        <w:rPr>
          <w:rFonts w:hint="eastAsia" w:ascii="新宋体" w:hAnsi="新宋体" w:eastAsia="新宋体" w:cs="新宋体"/>
          <w:bCs/>
          <w:color w:val="auto"/>
          <w:szCs w:val="28"/>
          <w:highlight w:val="none"/>
          <w:lang w:eastAsia="zh-CN"/>
        </w:rPr>
        <w:t>（</w:t>
      </w:r>
      <w:r>
        <w:rPr>
          <w:rFonts w:hint="eastAsia" w:ascii="新宋体" w:hAnsi="新宋体" w:eastAsia="新宋体" w:cs="新宋体"/>
          <w:bCs/>
          <w:color w:val="auto"/>
          <w:szCs w:val="28"/>
          <w:highlight w:val="none"/>
          <w:lang w:val="en-US" w:eastAsia="zh-CN"/>
        </w:rPr>
        <w:t>自主</w:t>
      </w:r>
      <w:r>
        <w:rPr>
          <w:rFonts w:hint="eastAsia" w:ascii="新宋体" w:hAnsi="新宋体" w:eastAsia="新宋体" w:cs="新宋体"/>
          <w:bCs/>
          <w:color w:val="auto"/>
          <w:szCs w:val="28"/>
          <w:highlight w:val="none"/>
          <w:lang w:eastAsia="zh-CN"/>
        </w:rPr>
        <w:t>）</w:t>
      </w:r>
      <w:r>
        <w:rPr>
          <w:rFonts w:hint="eastAsia" w:ascii="新宋体" w:hAnsi="新宋体" w:eastAsia="新宋体" w:cs="新宋体"/>
          <w:bCs/>
          <w:color w:val="auto"/>
          <w:szCs w:val="28"/>
          <w:highlight w:val="none"/>
        </w:rPr>
        <w:t>的采购公告</w:t>
      </w:r>
      <w:bookmarkEnd w:id="8"/>
      <w:bookmarkEnd w:id="9"/>
    </w:p>
    <w:p w14:paraId="78062EA3">
      <w:pPr>
        <w:pStyle w:val="17"/>
        <w:spacing w:before="75" w:beforeAutospacing="0" w:after="75" w:afterAutospacing="0" w:line="460" w:lineRule="exact"/>
        <w:ind w:firstLine="5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w:t>
      </w:r>
      <w:r>
        <w:rPr>
          <w:rFonts w:hint="eastAsia" w:ascii="新宋体" w:hAnsi="新宋体" w:eastAsia="新宋体" w:cs="新宋体"/>
          <w:color w:val="auto"/>
          <w:sz w:val="22"/>
          <w:highlight w:val="none"/>
        </w:rPr>
        <w:t>《温州市市属国有企业采购管理办法》温国资委〔2024〕51号</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温州历程招标有限公司</w:t>
      </w:r>
      <w:r>
        <w:rPr>
          <w:rFonts w:hint="eastAsia" w:ascii="新宋体" w:hAnsi="新宋体" w:eastAsia="新宋体" w:cs="新宋体"/>
          <w:color w:val="auto"/>
          <w:sz w:val="22"/>
          <w:szCs w:val="22"/>
          <w:highlight w:val="none"/>
        </w:rPr>
        <w:t>受</w:t>
      </w:r>
      <w:r>
        <w:rPr>
          <w:rFonts w:hint="eastAsia" w:ascii="新宋体" w:hAnsi="新宋体" w:eastAsia="新宋体" w:cs="新宋体"/>
          <w:color w:val="auto"/>
          <w:sz w:val="22"/>
          <w:szCs w:val="22"/>
          <w:highlight w:val="none"/>
          <w:u w:val="single"/>
        </w:rPr>
        <w:t>温州市工睿实业有限公司</w:t>
      </w:r>
      <w:r>
        <w:rPr>
          <w:rFonts w:hint="eastAsia" w:ascii="新宋体" w:hAnsi="新宋体" w:eastAsia="新宋体" w:cs="新宋体"/>
          <w:color w:val="auto"/>
          <w:sz w:val="22"/>
          <w:szCs w:val="22"/>
          <w:highlight w:val="none"/>
        </w:rPr>
        <w:t>的委托，就</w:t>
      </w:r>
      <w:r>
        <w:rPr>
          <w:rFonts w:hint="eastAsia" w:ascii="新宋体" w:hAnsi="新宋体" w:eastAsia="新宋体" w:cs="新宋体"/>
          <w:color w:val="auto"/>
          <w:sz w:val="22"/>
          <w:szCs w:val="22"/>
          <w:highlight w:val="none"/>
          <w:u w:val="single"/>
          <w:lang w:eastAsia="zh-CN"/>
        </w:rPr>
        <w:t>智算中心 AI 智算系统及智算管理平台（第三期）</w:t>
      </w:r>
      <w:r>
        <w:rPr>
          <w:rFonts w:hint="eastAsia" w:ascii="新宋体" w:hAnsi="新宋体" w:eastAsia="新宋体" w:cs="新宋体"/>
          <w:color w:val="auto"/>
          <w:sz w:val="22"/>
          <w:szCs w:val="22"/>
          <w:highlight w:val="none"/>
          <w:u w:val="single"/>
        </w:rPr>
        <w:t>项目</w:t>
      </w:r>
      <w:r>
        <w:rPr>
          <w:rFonts w:hint="eastAsia" w:ascii="新宋体" w:hAnsi="新宋体" w:eastAsia="新宋体" w:cs="新宋体"/>
          <w:color w:val="auto"/>
          <w:sz w:val="22"/>
          <w:szCs w:val="22"/>
          <w:highlight w:val="none"/>
        </w:rPr>
        <w:t>以</w:t>
      </w:r>
      <w:r>
        <w:rPr>
          <w:rFonts w:hint="eastAsia" w:ascii="新宋体" w:hAnsi="新宋体" w:eastAsia="新宋体" w:cs="新宋体"/>
          <w:color w:val="auto"/>
          <w:sz w:val="22"/>
          <w:szCs w:val="22"/>
          <w:highlight w:val="none"/>
          <w:u w:val="single"/>
        </w:rPr>
        <w:t>公开招标</w:t>
      </w:r>
      <w:r>
        <w:rPr>
          <w:rFonts w:hint="eastAsia" w:ascii="新宋体" w:hAnsi="新宋体" w:eastAsia="新宋体" w:cs="新宋体"/>
          <w:color w:val="auto"/>
          <w:sz w:val="22"/>
          <w:szCs w:val="22"/>
          <w:highlight w:val="none"/>
        </w:rPr>
        <w:t>方式进行采购，欢迎国内合格的供应商前来投标。</w:t>
      </w:r>
    </w:p>
    <w:p w14:paraId="1665E414">
      <w:pPr>
        <w:pStyle w:val="17"/>
        <w:spacing w:before="75" w:beforeAutospacing="0" w:after="75" w:afterAutospacing="0" w:line="460" w:lineRule="exact"/>
        <w:rPr>
          <w:rFonts w:hint="eastAsia" w:ascii="新宋体" w:hAnsi="新宋体" w:eastAsia="新宋体" w:cs="新宋体"/>
          <w:color w:val="auto"/>
          <w:sz w:val="22"/>
          <w:szCs w:val="22"/>
          <w:highlight w:val="none"/>
          <w:lang w:eastAsia="zh-CN"/>
        </w:rPr>
      </w:pPr>
      <w:bookmarkStart w:id="10" w:name="_Toc14375"/>
      <w:r>
        <w:rPr>
          <w:rStyle w:val="22"/>
          <w:rFonts w:hint="eastAsia" w:ascii="新宋体" w:hAnsi="新宋体" w:eastAsia="新宋体" w:cs="新宋体"/>
          <w:b/>
          <w:bCs w:val="0"/>
          <w:color w:val="auto"/>
          <w:sz w:val="22"/>
          <w:szCs w:val="22"/>
          <w:highlight w:val="none"/>
        </w:rPr>
        <w:t>一、项目编号：</w:t>
      </w:r>
      <w:bookmarkEnd w:id="10"/>
      <w:r>
        <w:rPr>
          <w:rStyle w:val="22"/>
          <w:rFonts w:hint="eastAsia" w:ascii="新宋体" w:hAnsi="新宋体" w:eastAsia="新宋体" w:cs="新宋体"/>
          <w:b/>
          <w:bCs w:val="0"/>
          <w:color w:val="auto"/>
          <w:sz w:val="22"/>
          <w:szCs w:val="22"/>
          <w:highlight w:val="none"/>
          <w:lang w:eastAsia="zh-CN"/>
        </w:rPr>
        <w:t>WGSS-GYNY-X-2024004</w:t>
      </w:r>
    </w:p>
    <w:p w14:paraId="06ACEBD0">
      <w:pPr>
        <w:pStyle w:val="17"/>
        <w:spacing w:before="75" w:beforeAutospacing="0" w:after="75" w:afterAutospacing="0" w:line="460" w:lineRule="exact"/>
        <w:rPr>
          <w:rFonts w:hint="eastAsia" w:ascii="新宋体" w:hAnsi="新宋体" w:eastAsia="新宋体" w:cs="新宋体"/>
          <w:color w:val="auto"/>
          <w:sz w:val="22"/>
          <w:szCs w:val="22"/>
          <w:highlight w:val="none"/>
        </w:rPr>
      </w:pPr>
      <w:r>
        <w:rPr>
          <w:rStyle w:val="22"/>
          <w:rFonts w:hint="eastAsia" w:ascii="新宋体" w:hAnsi="新宋体" w:eastAsia="新宋体" w:cs="新宋体"/>
          <w:b/>
          <w:bCs w:val="0"/>
          <w:color w:val="auto"/>
          <w:sz w:val="22"/>
          <w:szCs w:val="22"/>
          <w:highlight w:val="none"/>
        </w:rPr>
        <w:t>二、项目性质：</w:t>
      </w:r>
      <w:r>
        <w:rPr>
          <w:rFonts w:hint="eastAsia" w:ascii="新宋体" w:hAnsi="新宋体" w:eastAsia="新宋体" w:cs="新宋体"/>
          <w:color w:val="auto"/>
          <w:sz w:val="22"/>
          <w:szCs w:val="22"/>
          <w:highlight w:val="none"/>
        </w:rPr>
        <w:t>国企采购（非政府采购）</w:t>
      </w:r>
    </w:p>
    <w:p w14:paraId="2F6037A5">
      <w:pPr>
        <w:pStyle w:val="17"/>
        <w:spacing w:before="75" w:beforeAutospacing="0" w:after="75" w:afterAutospacing="0" w:line="460" w:lineRule="exact"/>
        <w:rPr>
          <w:rFonts w:hint="eastAsia" w:ascii="新宋体" w:hAnsi="新宋体" w:eastAsia="新宋体" w:cs="新宋体"/>
          <w:color w:val="auto"/>
          <w:sz w:val="22"/>
          <w:szCs w:val="22"/>
          <w:highlight w:val="none"/>
        </w:rPr>
      </w:pPr>
      <w:r>
        <w:rPr>
          <w:rStyle w:val="22"/>
          <w:rFonts w:hint="eastAsia" w:ascii="新宋体" w:hAnsi="新宋体" w:eastAsia="新宋体" w:cs="新宋体"/>
          <w:b/>
          <w:bCs w:val="0"/>
          <w:color w:val="auto"/>
          <w:sz w:val="22"/>
          <w:szCs w:val="22"/>
          <w:highlight w:val="none"/>
        </w:rPr>
        <w:t>三、采购项目概况（内容、用途、数量、简要技术要求）：</w:t>
      </w:r>
    </w:p>
    <w:tbl>
      <w:tblPr>
        <w:tblStyle w:val="19"/>
        <w:tblW w:w="0" w:type="auto"/>
        <w:tblInd w:w="0" w:type="dxa"/>
        <w:tblLayout w:type="fixed"/>
        <w:tblCellMar>
          <w:top w:w="0" w:type="dxa"/>
          <w:left w:w="0" w:type="dxa"/>
          <w:bottom w:w="0" w:type="dxa"/>
          <w:right w:w="0" w:type="dxa"/>
        </w:tblCellMar>
      </w:tblPr>
      <w:tblGrid>
        <w:gridCol w:w="859"/>
        <w:gridCol w:w="3351"/>
        <w:gridCol w:w="3369"/>
        <w:gridCol w:w="2088"/>
      </w:tblGrid>
      <w:tr w14:paraId="6868821B">
        <w:tblPrEx>
          <w:tblCellMar>
            <w:top w:w="0" w:type="dxa"/>
            <w:left w:w="0" w:type="dxa"/>
            <w:bottom w:w="0" w:type="dxa"/>
            <w:right w:w="0" w:type="dxa"/>
          </w:tblCellMar>
        </w:tblPrEx>
        <w:trPr>
          <w:trHeight w:val="90" w:hRule="atLeast"/>
        </w:trPr>
        <w:tc>
          <w:tcPr>
            <w:tcW w:w="859"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14:paraId="3A53B6D9">
            <w:pPr>
              <w:pStyle w:val="17"/>
              <w:spacing w:before="0" w:beforeAutospacing="0" w:after="0" w:afterAutospacing="0" w:line="460" w:lineRule="exact"/>
              <w:jc w:val="center"/>
              <w:rPr>
                <w:rFonts w:hint="eastAsia" w:ascii="新宋体" w:hAnsi="新宋体" w:eastAsia="新宋体" w:cs="新宋体"/>
                <w:color w:val="auto"/>
                <w:sz w:val="22"/>
                <w:szCs w:val="22"/>
                <w:highlight w:val="none"/>
              </w:rPr>
            </w:pPr>
            <w:r>
              <w:rPr>
                <w:rStyle w:val="22"/>
                <w:rFonts w:hint="eastAsia" w:ascii="新宋体" w:hAnsi="新宋体" w:eastAsia="新宋体" w:cs="新宋体"/>
                <w:color w:val="auto"/>
                <w:sz w:val="22"/>
                <w:szCs w:val="22"/>
                <w:highlight w:val="none"/>
              </w:rPr>
              <w:t>序号</w:t>
            </w:r>
          </w:p>
        </w:tc>
        <w:tc>
          <w:tcPr>
            <w:tcW w:w="3351" w:type="dxa"/>
            <w:tcBorders>
              <w:top w:val="single" w:color="auto" w:sz="6" w:space="0"/>
              <w:left w:val="nil"/>
              <w:bottom w:val="single" w:color="auto" w:sz="6" w:space="0"/>
              <w:right w:val="single" w:color="auto" w:sz="6" w:space="0"/>
            </w:tcBorders>
            <w:noWrap w:val="0"/>
            <w:tcMar>
              <w:left w:w="105" w:type="dxa"/>
              <w:right w:w="105" w:type="dxa"/>
            </w:tcMar>
            <w:vAlign w:val="center"/>
          </w:tcPr>
          <w:p w14:paraId="2F8AFD66">
            <w:pPr>
              <w:pStyle w:val="17"/>
              <w:spacing w:before="0" w:beforeAutospacing="0" w:after="0" w:afterAutospacing="0" w:line="460" w:lineRule="exact"/>
              <w:jc w:val="center"/>
              <w:rPr>
                <w:rFonts w:hint="eastAsia" w:ascii="新宋体" w:hAnsi="新宋体" w:eastAsia="新宋体" w:cs="新宋体"/>
                <w:color w:val="auto"/>
                <w:sz w:val="22"/>
                <w:szCs w:val="22"/>
                <w:highlight w:val="none"/>
              </w:rPr>
            </w:pPr>
            <w:r>
              <w:rPr>
                <w:rStyle w:val="22"/>
                <w:rFonts w:hint="eastAsia" w:ascii="新宋体" w:hAnsi="新宋体" w:eastAsia="新宋体" w:cs="新宋体"/>
                <w:color w:val="auto"/>
                <w:sz w:val="22"/>
                <w:szCs w:val="22"/>
                <w:highlight w:val="none"/>
              </w:rPr>
              <w:t>项目名称</w:t>
            </w:r>
          </w:p>
        </w:tc>
        <w:tc>
          <w:tcPr>
            <w:tcW w:w="3369" w:type="dxa"/>
            <w:tcBorders>
              <w:top w:val="single" w:color="auto" w:sz="6" w:space="0"/>
              <w:left w:val="nil"/>
              <w:bottom w:val="single" w:color="auto" w:sz="6" w:space="0"/>
              <w:right w:val="single" w:color="auto" w:sz="6" w:space="0"/>
            </w:tcBorders>
            <w:noWrap w:val="0"/>
            <w:tcMar>
              <w:left w:w="105" w:type="dxa"/>
              <w:right w:w="105" w:type="dxa"/>
            </w:tcMar>
            <w:vAlign w:val="center"/>
          </w:tcPr>
          <w:p w14:paraId="2DE1F010">
            <w:pPr>
              <w:pStyle w:val="17"/>
              <w:spacing w:before="0" w:beforeAutospacing="0" w:after="0" w:afterAutospacing="0" w:line="460" w:lineRule="exact"/>
              <w:jc w:val="center"/>
              <w:rPr>
                <w:rFonts w:hint="eastAsia" w:ascii="新宋体" w:hAnsi="新宋体" w:eastAsia="新宋体" w:cs="新宋体"/>
                <w:color w:val="auto"/>
                <w:sz w:val="22"/>
                <w:szCs w:val="22"/>
                <w:highlight w:val="none"/>
              </w:rPr>
            </w:pPr>
            <w:r>
              <w:rPr>
                <w:rStyle w:val="22"/>
                <w:rFonts w:hint="eastAsia" w:ascii="新宋体" w:hAnsi="新宋体" w:eastAsia="新宋体" w:cs="新宋体"/>
                <w:color w:val="auto"/>
                <w:sz w:val="22"/>
                <w:szCs w:val="22"/>
                <w:highlight w:val="none"/>
              </w:rPr>
              <w:t>主要采购内容</w:t>
            </w:r>
          </w:p>
        </w:tc>
        <w:tc>
          <w:tcPr>
            <w:tcW w:w="2088" w:type="dxa"/>
            <w:tcBorders>
              <w:top w:val="single" w:color="auto" w:sz="6" w:space="0"/>
              <w:left w:val="nil"/>
              <w:bottom w:val="single" w:color="auto" w:sz="6" w:space="0"/>
              <w:right w:val="single" w:color="auto" w:sz="6" w:space="0"/>
            </w:tcBorders>
            <w:noWrap w:val="0"/>
            <w:tcMar>
              <w:left w:w="105" w:type="dxa"/>
              <w:right w:w="105" w:type="dxa"/>
            </w:tcMar>
            <w:vAlign w:val="center"/>
          </w:tcPr>
          <w:p w14:paraId="20BC369E">
            <w:pPr>
              <w:pStyle w:val="17"/>
              <w:spacing w:before="0" w:beforeAutospacing="0" w:after="0" w:afterAutospacing="0" w:line="460" w:lineRule="exact"/>
              <w:jc w:val="center"/>
              <w:rPr>
                <w:rFonts w:hint="eastAsia" w:ascii="新宋体" w:hAnsi="新宋体" w:eastAsia="新宋体" w:cs="新宋体"/>
                <w:color w:val="auto"/>
                <w:sz w:val="22"/>
                <w:szCs w:val="22"/>
                <w:highlight w:val="none"/>
              </w:rPr>
            </w:pPr>
            <w:r>
              <w:rPr>
                <w:rStyle w:val="22"/>
                <w:rFonts w:hint="eastAsia" w:ascii="新宋体" w:hAnsi="新宋体" w:eastAsia="新宋体" w:cs="新宋体"/>
                <w:color w:val="auto"/>
                <w:sz w:val="22"/>
                <w:szCs w:val="22"/>
                <w:highlight w:val="none"/>
              </w:rPr>
              <w:t>采购预算</w:t>
            </w:r>
          </w:p>
        </w:tc>
      </w:tr>
      <w:tr w14:paraId="63B2CE4F">
        <w:tblPrEx>
          <w:tblCellMar>
            <w:top w:w="0" w:type="dxa"/>
            <w:left w:w="0" w:type="dxa"/>
            <w:bottom w:w="0" w:type="dxa"/>
            <w:right w:w="0" w:type="dxa"/>
          </w:tblCellMar>
        </w:tblPrEx>
        <w:trPr>
          <w:trHeight w:val="690" w:hRule="atLeast"/>
        </w:trPr>
        <w:tc>
          <w:tcPr>
            <w:tcW w:w="85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3EFE4C5C">
            <w:pPr>
              <w:pStyle w:val="17"/>
              <w:spacing w:before="0" w:beforeAutospacing="0" w:after="0" w:afterAutospacing="0"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3351" w:type="dxa"/>
            <w:tcBorders>
              <w:top w:val="nil"/>
              <w:left w:val="nil"/>
              <w:bottom w:val="single" w:color="auto" w:sz="6" w:space="0"/>
              <w:right w:val="single" w:color="auto" w:sz="6" w:space="0"/>
            </w:tcBorders>
            <w:noWrap w:val="0"/>
            <w:tcMar>
              <w:left w:w="105" w:type="dxa"/>
              <w:right w:w="105" w:type="dxa"/>
            </w:tcMar>
            <w:vAlign w:val="center"/>
          </w:tcPr>
          <w:p w14:paraId="17BD23E3">
            <w:pPr>
              <w:pStyle w:val="17"/>
              <w:spacing w:before="0" w:beforeAutospacing="0" w:after="0" w:afterAutospacing="0"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智算中心 AI 智算系统及智算管理平台（第三期）</w:t>
            </w:r>
          </w:p>
        </w:tc>
        <w:tc>
          <w:tcPr>
            <w:tcW w:w="3369" w:type="dxa"/>
            <w:tcBorders>
              <w:top w:val="nil"/>
              <w:left w:val="nil"/>
              <w:bottom w:val="single" w:color="auto" w:sz="6" w:space="0"/>
              <w:right w:val="single" w:color="auto" w:sz="6" w:space="0"/>
            </w:tcBorders>
            <w:noWrap w:val="0"/>
            <w:tcMar>
              <w:left w:w="105" w:type="dxa"/>
              <w:right w:w="105" w:type="dxa"/>
            </w:tcMar>
            <w:vAlign w:val="center"/>
          </w:tcPr>
          <w:p w14:paraId="29B8230E">
            <w:pPr>
              <w:pStyle w:val="17"/>
              <w:spacing w:before="0" w:beforeAutospacing="0" w:after="0" w:afterAutospacing="0"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详见第四部分采购内容及要求。</w:t>
            </w:r>
          </w:p>
        </w:tc>
        <w:tc>
          <w:tcPr>
            <w:tcW w:w="2088" w:type="dxa"/>
            <w:tcBorders>
              <w:top w:val="nil"/>
              <w:left w:val="nil"/>
              <w:bottom w:val="single" w:color="auto" w:sz="6" w:space="0"/>
              <w:right w:val="single" w:color="auto" w:sz="6" w:space="0"/>
            </w:tcBorders>
            <w:noWrap w:val="0"/>
            <w:tcMar>
              <w:left w:w="105" w:type="dxa"/>
              <w:right w:w="105" w:type="dxa"/>
            </w:tcMar>
            <w:vAlign w:val="center"/>
          </w:tcPr>
          <w:p w14:paraId="2B034696">
            <w:pPr>
              <w:pStyle w:val="17"/>
              <w:spacing w:before="0" w:beforeAutospacing="0" w:after="0" w:afterAutospacing="0"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45.352万元</w:t>
            </w:r>
          </w:p>
        </w:tc>
      </w:tr>
    </w:tbl>
    <w:p w14:paraId="0C362B65">
      <w:pPr>
        <w:pStyle w:val="17"/>
        <w:spacing w:before="75" w:beforeAutospacing="0" w:after="75" w:afterAutospacing="0" w:line="460" w:lineRule="exact"/>
        <w:rPr>
          <w:rFonts w:hint="eastAsia" w:ascii="新宋体" w:hAnsi="新宋体" w:eastAsia="新宋体" w:cs="新宋体"/>
          <w:b/>
          <w:color w:val="auto"/>
          <w:sz w:val="22"/>
          <w:szCs w:val="22"/>
          <w:highlight w:val="none"/>
        </w:rPr>
      </w:pPr>
      <w:r>
        <w:rPr>
          <w:rStyle w:val="22"/>
          <w:rFonts w:hint="eastAsia" w:ascii="新宋体" w:hAnsi="新宋体" w:eastAsia="新宋体" w:cs="新宋体"/>
          <w:b/>
          <w:bCs w:val="0"/>
          <w:color w:val="auto"/>
          <w:sz w:val="22"/>
          <w:szCs w:val="22"/>
          <w:highlight w:val="none"/>
        </w:rPr>
        <w:t>四、投标供应商资格要求</w:t>
      </w:r>
    </w:p>
    <w:p w14:paraId="4573146C">
      <w:pPr>
        <w:tabs>
          <w:tab w:val="left" w:pos="360"/>
        </w:tabs>
        <w:spacing w:line="460" w:lineRule="exact"/>
        <w:ind w:firstLine="539" w:firstLineChars="245"/>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1、符合</w:t>
      </w:r>
      <w:r>
        <w:rPr>
          <w:rFonts w:hint="eastAsia" w:ascii="新宋体" w:hAnsi="新宋体" w:eastAsia="新宋体" w:cs="新宋体"/>
          <w:color w:val="auto"/>
          <w:sz w:val="22"/>
          <w:highlight w:val="none"/>
          <w:lang w:val="en-US" w:eastAsia="zh-CN"/>
        </w:rPr>
        <w:t>《温州市市属国有企业采购管理办法》</w:t>
      </w:r>
      <w:r>
        <w:rPr>
          <w:rFonts w:hint="eastAsia" w:ascii="新宋体" w:hAnsi="新宋体" w:eastAsia="新宋体" w:cs="新宋体"/>
          <w:color w:val="auto"/>
          <w:sz w:val="22"/>
          <w:highlight w:val="none"/>
        </w:rPr>
        <w:t>第</w:t>
      </w:r>
      <w:r>
        <w:rPr>
          <w:rFonts w:hint="eastAsia" w:ascii="新宋体" w:hAnsi="新宋体" w:eastAsia="新宋体" w:cs="新宋体"/>
          <w:color w:val="auto"/>
          <w:sz w:val="22"/>
          <w:highlight w:val="none"/>
          <w:lang w:val="en-US" w:eastAsia="zh-CN"/>
        </w:rPr>
        <w:t>十八</w:t>
      </w:r>
      <w:r>
        <w:rPr>
          <w:rFonts w:hint="eastAsia" w:ascii="新宋体" w:hAnsi="新宋体" w:eastAsia="新宋体" w:cs="新宋体"/>
          <w:color w:val="auto"/>
          <w:sz w:val="22"/>
          <w:highlight w:val="none"/>
        </w:rPr>
        <w:t>条对供应商参加温州市国有企业采购活动应当具备的条件的要求；</w:t>
      </w:r>
    </w:p>
    <w:p w14:paraId="73D61784">
      <w:pPr>
        <w:tabs>
          <w:tab w:val="left" w:pos="360"/>
        </w:tabs>
        <w:spacing w:line="460" w:lineRule="exact"/>
        <w:ind w:firstLine="539" w:firstLineChars="245"/>
        <w:rPr>
          <w:rFonts w:hint="eastAsia" w:ascii="新宋体" w:hAnsi="新宋体" w:eastAsia="新宋体" w:cs="新宋体"/>
          <w:color w:val="auto"/>
          <w:sz w:val="22"/>
          <w:highlight w:val="none"/>
        </w:rPr>
      </w:pPr>
      <w:bookmarkStart w:id="11" w:name="_Toc23153"/>
      <w:r>
        <w:rPr>
          <w:rFonts w:hint="eastAsia" w:ascii="新宋体" w:hAnsi="新宋体" w:eastAsia="新宋体" w:cs="新宋体"/>
          <w:color w:val="auto"/>
          <w:sz w:val="22"/>
          <w:highlight w:val="none"/>
        </w:rPr>
        <w:t>2、不接受联合体投标；</w:t>
      </w:r>
      <w:bookmarkEnd w:id="11"/>
    </w:p>
    <w:p w14:paraId="5423AF69">
      <w:pPr>
        <w:tabs>
          <w:tab w:val="left" w:pos="360"/>
        </w:tabs>
        <w:spacing w:line="460" w:lineRule="exact"/>
        <w:ind w:firstLine="539" w:firstLineChars="245"/>
        <w:rPr>
          <w:rFonts w:hint="eastAsia" w:ascii="新宋体" w:hAnsi="新宋体" w:eastAsia="新宋体" w:cs="新宋体"/>
          <w:color w:val="auto"/>
          <w:sz w:val="22"/>
          <w:highlight w:val="none"/>
          <w:lang w:val="en-US" w:eastAsia="zh-CN"/>
        </w:rPr>
      </w:pPr>
      <w:r>
        <w:rPr>
          <w:rFonts w:hint="eastAsia" w:ascii="新宋体" w:hAnsi="新宋体" w:eastAsia="新宋体" w:cs="新宋体"/>
          <w:color w:val="auto"/>
          <w:sz w:val="22"/>
          <w:highlight w:val="none"/>
          <w:lang w:val="en-US" w:eastAsia="zh-CN"/>
        </w:rPr>
        <w:t>3、具有电子通信广电行业专业甲级及以上工程设计资质；</w:t>
      </w:r>
    </w:p>
    <w:p w14:paraId="70F56AC3">
      <w:pPr>
        <w:tabs>
          <w:tab w:val="left" w:pos="360"/>
        </w:tabs>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highlight w:val="none"/>
          <w:lang w:val="en-US" w:eastAsia="zh-CN"/>
        </w:rPr>
        <w:t>4</w:t>
      </w:r>
      <w:r>
        <w:rPr>
          <w:rFonts w:hint="eastAsia" w:ascii="新宋体" w:hAnsi="新宋体" w:eastAsia="新宋体" w:cs="新宋体"/>
          <w:color w:val="auto"/>
          <w:sz w:val="22"/>
          <w:highlight w:val="none"/>
        </w:rPr>
        <w:t>、单位负责人为同一人或者存在直接控股、管理关系的不同供应商，不得参加同一合同项下的采购活动。违反该款规定的，相关投标均无效。</w:t>
      </w:r>
    </w:p>
    <w:p w14:paraId="0C21508B">
      <w:pPr>
        <w:pStyle w:val="17"/>
        <w:spacing w:before="75" w:beforeAutospacing="0" w:after="75" w:afterAutospacing="0" w:line="460" w:lineRule="exact"/>
        <w:rPr>
          <w:rFonts w:hint="eastAsia" w:ascii="新宋体" w:hAnsi="新宋体" w:eastAsia="新宋体" w:cs="新宋体"/>
          <w:b/>
          <w:color w:val="auto"/>
          <w:sz w:val="22"/>
          <w:szCs w:val="22"/>
          <w:highlight w:val="none"/>
        </w:rPr>
      </w:pPr>
      <w:bookmarkStart w:id="12" w:name="_Toc28604"/>
      <w:r>
        <w:rPr>
          <w:rStyle w:val="22"/>
          <w:rFonts w:hint="eastAsia" w:ascii="新宋体" w:hAnsi="新宋体" w:eastAsia="新宋体" w:cs="新宋体"/>
          <w:b/>
          <w:bCs w:val="0"/>
          <w:color w:val="auto"/>
          <w:sz w:val="22"/>
          <w:szCs w:val="22"/>
          <w:highlight w:val="none"/>
        </w:rPr>
        <w:t>五、报名方式、时间、地点</w:t>
      </w:r>
      <w:bookmarkEnd w:id="12"/>
    </w:p>
    <w:p w14:paraId="6720D9E3">
      <w:pPr>
        <w:pStyle w:val="17"/>
        <w:spacing w:before="75" w:beforeAutospacing="0" w:after="75" w:afterAutospacing="0" w:line="460" w:lineRule="exact"/>
        <w:ind w:firstLine="43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报名时间：即日起至截标之前（09:30-11:30，14:30-17:00），节假日除外，截标之前获取采购文件均有效，未购买采购文件的潜在投标供应商拒绝参加投标。投标供应商如对采购文件有异议应按采购文件规定的时间提出，逾期提出的，采购组织机构可不予受理、答复。</w:t>
      </w:r>
    </w:p>
    <w:p w14:paraId="08035FD9">
      <w:pPr>
        <w:pStyle w:val="17"/>
        <w:spacing w:before="75" w:beforeAutospacing="0" w:after="75" w:afterAutospacing="0" w:line="460" w:lineRule="exact"/>
        <w:ind w:firstLine="435"/>
        <w:rPr>
          <w:rFonts w:hint="eastAsia" w:ascii="新宋体" w:hAnsi="新宋体" w:eastAsia="新宋体" w:cs="新宋体"/>
          <w:color w:val="auto"/>
          <w:sz w:val="22"/>
          <w:szCs w:val="22"/>
          <w:highlight w:val="none"/>
        </w:rPr>
      </w:pPr>
      <w:bookmarkStart w:id="13" w:name="_Toc661"/>
      <w:r>
        <w:rPr>
          <w:rFonts w:hint="eastAsia" w:ascii="新宋体" w:hAnsi="新宋体" w:eastAsia="新宋体" w:cs="新宋体"/>
          <w:color w:val="auto"/>
          <w:sz w:val="22"/>
          <w:szCs w:val="22"/>
          <w:highlight w:val="none"/>
        </w:rPr>
        <w:t>2.报名方式：</w:t>
      </w:r>
      <w:bookmarkEnd w:id="13"/>
    </w:p>
    <w:p w14:paraId="1291C4B6">
      <w:pPr>
        <w:pStyle w:val="17"/>
        <w:spacing w:before="75" w:beforeAutospacing="0" w:after="75" w:afterAutospacing="0" w:line="460" w:lineRule="exact"/>
        <w:ind w:firstLine="43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（1）网上报名</w:t>
      </w:r>
    </w:p>
    <w:p w14:paraId="6CE01D17">
      <w:pPr>
        <w:pStyle w:val="17"/>
        <w:spacing w:before="75" w:beforeAutospacing="0" w:after="75" w:afterAutospacing="0" w:line="460" w:lineRule="exact"/>
        <w:ind w:firstLine="43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供应商登录</w:t>
      </w:r>
      <w:r>
        <w:rPr>
          <w:rFonts w:hint="eastAsia" w:ascii="新宋体" w:hAnsi="新宋体" w:eastAsia="新宋体" w:cs="新宋体"/>
          <w:color w:val="auto"/>
          <w:sz w:val="22"/>
          <w:szCs w:val="22"/>
          <w:highlight w:val="none"/>
          <w:lang w:eastAsia="zh-CN"/>
        </w:rPr>
        <w:t>乐采云平台</w:t>
      </w:r>
      <w:r>
        <w:rPr>
          <w:rFonts w:hint="eastAsia" w:ascii="新宋体" w:hAnsi="新宋体" w:eastAsia="新宋体" w:cs="新宋体"/>
          <w:color w:val="auto"/>
          <w:sz w:val="22"/>
          <w:szCs w:val="22"/>
          <w:highlight w:val="none"/>
        </w:rPr>
        <w:t>（https://www.lecaiyun.com/）进行注册并报名。网上报名成功后，请供应商将“</w:t>
      </w:r>
      <w:r>
        <w:rPr>
          <w:rFonts w:hint="eastAsia" w:ascii="新宋体" w:hAnsi="新宋体" w:eastAsia="新宋体" w:cs="新宋体"/>
          <w:color w:val="auto"/>
          <w:sz w:val="22"/>
          <w:szCs w:val="22"/>
          <w:highlight w:val="none"/>
          <w:lang w:eastAsia="zh-CN"/>
        </w:rPr>
        <w:t>乐采云</w:t>
      </w:r>
      <w:r>
        <w:rPr>
          <w:rFonts w:hint="eastAsia" w:ascii="新宋体" w:hAnsi="新宋体" w:eastAsia="新宋体" w:cs="新宋体"/>
          <w:color w:val="auto"/>
          <w:sz w:val="22"/>
          <w:szCs w:val="22"/>
          <w:highlight w:val="none"/>
        </w:rPr>
        <w:t>”平台报名成功后的界面截图（内容包含项目名称、供应商名称）并添写联系人、联系方式后发送电子邮件至代理机构电子邮箱</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3752194390@qq.com</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t>
      </w:r>
    </w:p>
    <w:p w14:paraId="7D491820">
      <w:pPr>
        <w:pStyle w:val="17"/>
        <w:spacing w:before="75" w:beforeAutospacing="0" w:after="75" w:afterAutospacing="0" w:line="460" w:lineRule="exact"/>
        <w:ind w:firstLine="43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（2）现场报名/邮寄报名</w:t>
      </w:r>
    </w:p>
    <w:p w14:paraId="31210F46">
      <w:pPr>
        <w:pStyle w:val="17"/>
        <w:spacing w:before="75" w:beforeAutospacing="0" w:after="75" w:afterAutospacing="0" w:line="460" w:lineRule="exact"/>
        <w:ind w:firstLine="43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供应商将报名资料送（邮寄）至温州市鹿城区南汇街道勤民路鹿城壹号18幢803室（温州历程招标有限公司）完成报名。</w:t>
      </w:r>
    </w:p>
    <w:p w14:paraId="3AADBFB6">
      <w:pPr>
        <w:pStyle w:val="17"/>
        <w:spacing w:before="75" w:beforeAutospacing="0" w:after="75" w:afterAutospacing="0" w:line="460" w:lineRule="exact"/>
        <w:ind w:firstLine="43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3.采购文件售价：人民币500元整（售后不退）</w:t>
      </w:r>
    </w:p>
    <w:p w14:paraId="1CED00AC">
      <w:pPr>
        <w:pStyle w:val="17"/>
        <w:spacing w:before="75" w:beforeAutospacing="0" w:after="75" w:afterAutospacing="0" w:line="460" w:lineRule="exact"/>
        <w:ind w:firstLine="43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4.报名时须提交以下文件资料</w:t>
      </w:r>
    </w:p>
    <w:p w14:paraId="6314D904">
      <w:pPr>
        <w:pStyle w:val="17"/>
        <w:spacing w:before="75" w:beforeAutospacing="0" w:after="75" w:afterAutospacing="0" w:line="460" w:lineRule="exact"/>
        <w:ind w:firstLine="8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4.1 报名登记表；</w:t>
      </w:r>
    </w:p>
    <w:p w14:paraId="73C945BF">
      <w:pPr>
        <w:pStyle w:val="17"/>
        <w:spacing w:before="75" w:beforeAutospacing="0" w:after="75" w:afterAutospacing="0" w:line="460" w:lineRule="exact"/>
        <w:ind w:firstLine="8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4.2 供应商介绍信或法人代表授权书；（加盖单位公章）</w:t>
      </w:r>
    </w:p>
    <w:p w14:paraId="039D8BD6">
      <w:pPr>
        <w:pStyle w:val="17"/>
        <w:spacing w:before="75" w:beforeAutospacing="0" w:after="75" w:afterAutospacing="0" w:line="460" w:lineRule="exact"/>
        <w:ind w:firstLine="88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4.3 投标供应商有效的营业执照复印件；（复印件加盖单位公章）</w:t>
      </w:r>
    </w:p>
    <w:p w14:paraId="1E000553">
      <w:pPr>
        <w:pStyle w:val="17"/>
        <w:spacing w:before="75" w:beforeAutospacing="0" w:after="75" w:afterAutospacing="0" w:line="460" w:lineRule="exact"/>
        <w:ind w:firstLine="8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4.4 投标供应商认为需要提供的其他资料。（复印件加盖单位公章）</w:t>
      </w:r>
    </w:p>
    <w:p w14:paraId="72F342F8">
      <w:pPr>
        <w:pStyle w:val="17"/>
        <w:spacing w:before="75" w:beforeAutospacing="0" w:after="75" w:afterAutospacing="0" w:line="460" w:lineRule="exact"/>
        <w:rPr>
          <w:rFonts w:hint="eastAsia" w:ascii="新宋体" w:hAnsi="新宋体" w:eastAsia="新宋体" w:cs="新宋体"/>
          <w:b/>
          <w:color w:val="auto"/>
          <w:sz w:val="22"/>
          <w:szCs w:val="22"/>
          <w:highlight w:val="none"/>
        </w:rPr>
      </w:pPr>
      <w:bookmarkStart w:id="14" w:name="_Toc15442"/>
      <w:r>
        <w:rPr>
          <w:rStyle w:val="22"/>
          <w:rFonts w:hint="eastAsia" w:ascii="新宋体" w:hAnsi="新宋体" w:eastAsia="新宋体" w:cs="新宋体"/>
          <w:b/>
          <w:bCs w:val="0"/>
          <w:color w:val="auto"/>
          <w:sz w:val="22"/>
          <w:szCs w:val="22"/>
          <w:highlight w:val="none"/>
        </w:rPr>
        <w:t>六、投标文件递交截止时间、开标时间及地点</w:t>
      </w:r>
      <w:bookmarkEnd w:id="14"/>
    </w:p>
    <w:p w14:paraId="148B018B">
      <w:pPr>
        <w:pStyle w:val="17"/>
        <w:spacing w:before="75" w:beforeAutospacing="0" w:after="75" w:afterAutospacing="0" w:line="460" w:lineRule="exact"/>
        <w:ind w:firstLine="43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1.投标文件递交截止时间：</w:t>
      </w:r>
      <w:r>
        <w:rPr>
          <w:rFonts w:hint="eastAsia" w:ascii="新宋体" w:hAnsi="新宋体" w:eastAsia="新宋体" w:cs="新宋体"/>
          <w:color w:val="auto"/>
          <w:sz w:val="22"/>
          <w:szCs w:val="22"/>
          <w:highlight w:val="none"/>
          <w:lang w:eastAsia="zh-CN"/>
        </w:rPr>
        <w:t>2024年</w:t>
      </w:r>
      <w:r>
        <w:rPr>
          <w:rFonts w:hint="eastAsia" w:ascii="新宋体" w:hAnsi="新宋体" w:eastAsia="新宋体" w:cs="新宋体"/>
          <w:color w:val="auto"/>
          <w:sz w:val="22"/>
          <w:szCs w:val="22"/>
          <w:highlight w:val="none"/>
          <w:lang w:val="en-US" w:eastAsia="zh-CN"/>
        </w:rPr>
        <w:t>11</w:t>
      </w:r>
      <w:r>
        <w:rPr>
          <w:rFonts w:hint="eastAsia" w:ascii="新宋体" w:hAnsi="新宋体" w:eastAsia="新宋体" w:cs="新宋体"/>
          <w:color w:val="auto"/>
          <w:sz w:val="22"/>
          <w:szCs w:val="22"/>
          <w:highlight w:val="none"/>
          <w:lang w:eastAsia="zh-CN"/>
        </w:rPr>
        <w:t>月</w:t>
      </w:r>
      <w:r>
        <w:rPr>
          <w:rFonts w:hint="eastAsia" w:ascii="新宋体" w:hAnsi="新宋体" w:eastAsia="新宋体" w:cs="新宋体"/>
          <w:color w:val="auto"/>
          <w:sz w:val="22"/>
          <w:szCs w:val="22"/>
          <w:highlight w:val="none"/>
          <w:lang w:val="en-US" w:eastAsia="zh-CN"/>
        </w:rPr>
        <w:t>18</w:t>
      </w:r>
      <w:r>
        <w:rPr>
          <w:rFonts w:hint="eastAsia" w:ascii="新宋体" w:hAnsi="新宋体" w:eastAsia="新宋体" w:cs="新宋体"/>
          <w:color w:val="auto"/>
          <w:sz w:val="22"/>
          <w:szCs w:val="22"/>
          <w:highlight w:val="none"/>
          <w:lang w:eastAsia="zh-CN"/>
        </w:rPr>
        <w:t>日</w:t>
      </w:r>
      <w:r>
        <w:rPr>
          <w:rFonts w:hint="eastAsia" w:ascii="新宋体" w:hAnsi="新宋体" w:eastAsia="新宋体" w:cs="新宋体"/>
          <w:color w:val="auto"/>
          <w:sz w:val="22"/>
          <w:szCs w:val="22"/>
          <w:highlight w:val="none"/>
        </w:rPr>
        <w:t>09:30（北京时间）</w:t>
      </w:r>
    </w:p>
    <w:p w14:paraId="2191D7A4">
      <w:pPr>
        <w:pStyle w:val="17"/>
        <w:spacing w:before="75" w:beforeAutospacing="0" w:after="75" w:afterAutospacing="0" w:line="460" w:lineRule="exact"/>
        <w:ind w:firstLine="435"/>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递交地点：</w:t>
      </w:r>
      <w:r>
        <w:rPr>
          <w:rFonts w:hint="eastAsia" w:ascii="新宋体" w:hAnsi="新宋体" w:eastAsia="新宋体" w:cs="新宋体"/>
          <w:color w:val="auto"/>
          <w:spacing w:val="-6"/>
          <w:sz w:val="22"/>
          <w:szCs w:val="22"/>
          <w:highlight w:val="none"/>
          <w:lang w:eastAsia="zh-CN"/>
        </w:rPr>
        <w:t>温州市鹿城区南汇街道勤民路鹿城壹号18幢803室</w:t>
      </w: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color w:val="auto"/>
          <w:sz w:val="22"/>
          <w:szCs w:val="22"/>
          <w:highlight w:val="none"/>
          <w:lang w:val="en-US" w:eastAsia="zh-CN"/>
        </w:rPr>
        <w:t xml:space="preserve">     </w:t>
      </w:r>
    </w:p>
    <w:p w14:paraId="3EAF41B4">
      <w:pPr>
        <w:pStyle w:val="17"/>
        <w:spacing w:before="75" w:beforeAutospacing="0" w:after="75" w:afterAutospacing="0" w:line="460" w:lineRule="exact"/>
        <w:ind w:firstLine="43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2.开标时间：</w:t>
      </w:r>
      <w:r>
        <w:rPr>
          <w:rFonts w:hint="eastAsia" w:ascii="新宋体" w:hAnsi="新宋体" w:eastAsia="新宋体" w:cs="新宋体"/>
          <w:color w:val="auto"/>
          <w:sz w:val="22"/>
          <w:szCs w:val="22"/>
          <w:highlight w:val="none"/>
          <w:lang w:eastAsia="zh-CN"/>
        </w:rPr>
        <w:t>2024年</w:t>
      </w:r>
      <w:r>
        <w:rPr>
          <w:rFonts w:hint="eastAsia" w:ascii="新宋体" w:hAnsi="新宋体" w:eastAsia="新宋体" w:cs="新宋体"/>
          <w:color w:val="auto"/>
          <w:sz w:val="22"/>
          <w:szCs w:val="22"/>
          <w:highlight w:val="none"/>
          <w:lang w:val="en-US" w:eastAsia="zh-CN"/>
        </w:rPr>
        <w:t>11</w:t>
      </w:r>
      <w:r>
        <w:rPr>
          <w:rFonts w:hint="eastAsia" w:ascii="新宋体" w:hAnsi="新宋体" w:eastAsia="新宋体" w:cs="新宋体"/>
          <w:color w:val="auto"/>
          <w:sz w:val="22"/>
          <w:szCs w:val="22"/>
          <w:highlight w:val="none"/>
          <w:lang w:eastAsia="zh-CN"/>
        </w:rPr>
        <w:t>月</w:t>
      </w:r>
      <w:r>
        <w:rPr>
          <w:rFonts w:hint="eastAsia" w:ascii="新宋体" w:hAnsi="新宋体" w:eastAsia="新宋体" w:cs="新宋体"/>
          <w:color w:val="auto"/>
          <w:sz w:val="22"/>
          <w:szCs w:val="22"/>
          <w:highlight w:val="none"/>
          <w:lang w:val="en-US" w:eastAsia="zh-CN"/>
        </w:rPr>
        <w:t>18</w:t>
      </w:r>
      <w:r>
        <w:rPr>
          <w:rFonts w:hint="eastAsia" w:ascii="新宋体" w:hAnsi="新宋体" w:eastAsia="新宋体" w:cs="新宋体"/>
          <w:color w:val="auto"/>
          <w:sz w:val="22"/>
          <w:szCs w:val="22"/>
          <w:highlight w:val="none"/>
          <w:lang w:eastAsia="zh-CN"/>
        </w:rPr>
        <w:t>日</w:t>
      </w:r>
      <w:r>
        <w:rPr>
          <w:rFonts w:hint="eastAsia" w:ascii="新宋体" w:hAnsi="新宋体" w:eastAsia="新宋体" w:cs="新宋体"/>
          <w:color w:val="auto"/>
          <w:sz w:val="22"/>
          <w:szCs w:val="22"/>
          <w:highlight w:val="none"/>
        </w:rPr>
        <w:t>09:30（北京时间）</w:t>
      </w:r>
    </w:p>
    <w:p w14:paraId="3F06EE97">
      <w:pPr>
        <w:pStyle w:val="17"/>
        <w:spacing w:before="75" w:beforeAutospacing="0" w:after="75" w:afterAutospacing="0" w:line="460" w:lineRule="exact"/>
        <w:ind w:firstLine="435"/>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开标地点：</w:t>
      </w:r>
      <w:r>
        <w:rPr>
          <w:rFonts w:hint="eastAsia" w:ascii="新宋体" w:hAnsi="新宋体" w:eastAsia="新宋体" w:cs="新宋体"/>
          <w:color w:val="auto"/>
          <w:spacing w:val="-6"/>
          <w:sz w:val="22"/>
          <w:szCs w:val="22"/>
          <w:highlight w:val="none"/>
          <w:lang w:eastAsia="zh-CN"/>
        </w:rPr>
        <w:t>温州市鹿城区南汇街道勤民路鹿城壹号18幢803室</w:t>
      </w:r>
      <w:r>
        <w:rPr>
          <w:rFonts w:hint="eastAsia" w:ascii="新宋体" w:hAnsi="新宋体" w:eastAsia="新宋体" w:cs="新宋体"/>
          <w:color w:val="auto"/>
          <w:sz w:val="22"/>
          <w:szCs w:val="22"/>
          <w:highlight w:val="none"/>
          <w:lang w:val="en-US" w:eastAsia="zh-CN"/>
        </w:rPr>
        <w:t xml:space="preserve">      </w:t>
      </w:r>
    </w:p>
    <w:p w14:paraId="647E9562">
      <w:pPr>
        <w:pStyle w:val="17"/>
        <w:spacing w:before="75" w:beforeAutospacing="0" w:after="75" w:afterAutospacing="0" w:line="460" w:lineRule="exact"/>
        <w:rPr>
          <w:rFonts w:hint="eastAsia" w:ascii="新宋体" w:hAnsi="新宋体" w:eastAsia="新宋体" w:cs="新宋体"/>
          <w:b/>
          <w:color w:val="auto"/>
          <w:sz w:val="22"/>
          <w:szCs w:val="22"/>
          <w:highlight w:val="none"/>
        </w:rPr>
      </w:pPr>
      <w:bookmarkStart w:id="15" w:name="_Toc14578"/>
      <w:r>
        <w:rPr>
          <w:rStyle w:val="22"/>
          <w:rFonts w:hint="eastAsia" w:ascii="新宋体" w:hAnsi="新宋体" w:eastAsia="新宋体" w:cs="新宋体"/>
          <w:b/>
          <w:bCs w:val="0"/>
          <w:color w:val="auto"/>
          <w:sz w:val="22"/>
          <w:szCs w:val="22"/>
          <w:highlight w:val="none"/>
        </w:rPr>
        <w:t>七、投标保证金</w:t>
      </w:r>
      <w:bookmarkEnd w:id="15"/>
    </w:p>
    <w:p w14:paraId="4CF0D2B1">
      <w:pPr>
        <w:pStyle w:val="17"/>
        <w:spacing w:before="75" w:beforeAutospacing="0" w:after="75" w:afterAutospacing="0" w:line="460" w:lineRule="exact"/>
        <w:ind w:firstLine="435"/>
        <w:rPr>
          <w:rFonts w:hint="eastAsia" w:ascii="新宋体" w:hAnsi="新宋体" w:eastAsia="新宋体" w:cs="新宋体"/>
          <w:color w:val="auto"/>
          <w:sz w:val="22"/>
          <w:szCs w:val="22"/>
          <w:highlight w:val="none"/>
        </w:rPr>
      </w:pPr>
      <w:r>
        <w:rPr>
          <w:rStyle w:val="22"/>
          <w:rFonts w:hint="eastAsia" w:ascii="新宋体" w:hAnsi="新宋体" w:eastAsia="新宋体" w:cs="新宋体"/>
          <w:color w:val="auto"/>
          <w:sz w:val="22"/>
          <w:szCs w:val="22"/>
          <w:highlight w:val="none"/>
        </w:rPr>
        <w:t>1.</w:t>
      </w:r>
      <w:r>
        <w:rPr>
          <w:rStyle w:val="22"/>
          <w:rFonts w:hint="eastAsia" w:ascii="新宋体" w:hAnsi="新宋体" w:eastAsia="新宋体" w:cs="新宋体"/>
          <w:b/>
          <w:bCs w:val="0"/>
          <w:color w:val="auto"/>
          <w:sz w:val="22"/>
          <w:szCs w:val="22"/>
          <w:highlight w:val="none"/>
        </w:rPr>
        <w:t>人民币</w:t>
      </w:r>
      <w:r>
        <w:rPr>
          <w:rStyle w:val="22"/>
          <w:rFonts w:hint="eastAsia" w:ascii="新宋体" w:hAnsi="新宋体" w:eastAsia="新宋体" w:cs="新宋体"/>
          <w:b/>
          <w:bCs w:val="0"/>
          <w:color w:val="auto"/>
          <w:sz w:val="22"/>
          <w:szCs w:val="22"/>
          <w:highlight w:val="none"/>
          <w:lang w:val="en-US" w:eastAsia="zh-CN"/>
        </w:rPr>
        <w:t>肆仟</w:t>
      </w:r>
      <w:r>
        <w:rPr>
          <w:rStyle w:val="22"/>
          <w:rFonts w:hint="eastAsia" w:ascii="新宋体" w:hAnsi="新宋体" w:eastAsia="新宋体" w:cs="新宋体"/>
          <w:b/>
          <w:bCs w:val="0"/>
          <w:color w:val="auto"/>
          <w:sz w:val="22"/>
          <w:szCs w:val="22"/>
          <w:highlight w:val="none"/>
        </w:rPr>
        <w:t>元整（¥</w:t>
      </w:r>
      <w:r>
        <w:rPr>
          <w:rStyle w:val="22"/>
          <w:rFonts w:hint="eastAsia" w:ascii="新宋体" w:hAnsi="新宋体" w:eastAsia="新宋体" w:cs="新宋体"/>
          <w:b/>
          <w:bCs w:val="0"/>
          <w:color w:val="auto"/>
          <w:sz w:val="22"/>
          <w:szCs w:val="22"/>
          <w:highlight w:val="none"/>
          <w:lang w:val="en-US" w:eastAsia="zh-CN"/>
        </w:rPr>
        <w:t>4000</w:t>
      </w:r>
      <w:r>
        <w:rPr>
          <w:rStyle w:val="22"/>
          <w:rFonts w:hint="eastAsia" w:ascii="新宋体" w:hAnsi="新宋体" w:eastAsia="新宋体" w:cs="新宋体"/>
          <w:b/>
          <w:bCs w:val="0"/>
          <w:color w:val="auto"/>
          <w:sz w:val="22"/>
          <w:szCs w:val="22"/>
          <w:highlight w:val="none"/>
        </w:rPr>
        <w:t>.00元）</w:t>
      </w:r>
      <w:r>
        <w:rPr>
          <w:rStyle w:val="22"/>
          <w:rFonts w:hint="eastAsia" w:ascii="新宋体" w:hAnsi="新宋体" w:eastAsia="新宋体" w:cs="新宋体"/>
          <w:color w:val="auto"/>
          <w:sz w:val="22"/>
          <w:szCs w:val="22"/>
          <w:highlight w:val="none"/>
        </w:rPr>
        <w:t>。（投标供应商须在投标截止时间前将投标保证金以</w:t>
      </w:r>
      <w:r>
        <w:rPr>
          <w:rStyle w:val="22"/>
          <w:rFonts w:hint="eastAsia" w:ascii="新宋体" w:hAnsi="新宋体" w:eastAsia="新宋体" w:cs="新宋体"/>
          <w:color w:val="auto"/>
          <w:sz w:val="22"/>
          <w:szCs w:val="22"/>
          <w:highlight w:val="none"/>
          <w:lang w:eastAsia="zh-CN"/>
        </w:rPr>
        <w:t>银行转账</w:t>
      </w:r>
      <w:r>
        <w:rPr>
          <w:rStyle w:val="22"/>
          <w:rFonts w:hint="eastAsia" w:ascii="新宋体" w:hAnsi="新宋体" w:eastAsia="新宋体" w:cs="新宋体"/>
          <w:color w:val="auto"/>
          <w:sz w:val="22"/>
          <w:szCs w:val="22"/>
          <w:highlight w:val="none"/>
        </w:rPr>
        <w:t>形式缴纳并</w:t>
      </w:r>
      <w:r>
        <w:rPr>
          <w:rStyle w:val="22"/>
          <w:rFonts w:hint="eastAsia" w:ascii="新宋体" w:hAnsi="新宋体" w:eastAsia="新宋体" w:cs="新宋体"/>
          <w:color w:val="auto"/>
          <w:sz w:val="22"/>
          <w:szCs w:val="22"/>
          <w:highlight w:val="none"/>
          <w:lang w:eastAsia="zh-CN"/>
        </w:rPr>
        <w:t>到账</w:t>
      </w:r>
      <w:r>
        <w:rPr>
          <w:rStyle w:val="22"/>
          <w:rFonts w:hint="eastAsia" w:ascii="新宋体" w:hAnsi="新宋体" w:eastAsia="新宋体" w:cs="新宋体"/>
          <w:color w:val="auto"/>
          <w:sz w:val="22"/>
          <w:szCs w:val="22"/>
          <w:highlight w:val="none"/>
        </w:rPr>
        <w:t>，汇出账号须为投标供应商</w:t>
      </w:r>
      <w:r>
        <w:rPr>
          <w:rStyle w:val="22"/>
          <w:rFonts w:hint="eastAsia" w:ascii="新宋体" w:hAnsi="新宋体" w:eastAsia="新宋体" w:cs="新宋体"/>
          <w:color w:val="auto"/>
          <w:sz w:val="22"/>
          <w:szCs w:val="22"/>
          <w:highlight w:val="none"/>
          <w:lang w:eastAsia="zh-CN"/>
        </w:rPr>
        <w:t>银行账户</w:t>
      </w:r>
      <w:r>
        <w:rPr>
          <w:rStyle w:val="22"/>
          <w:rFonts w:hint="eastAsia" w:ascii="新宋体" w:hAnsi="新宋体" w:eastAsia="新宋体" w:cs="新宋体"/>
          <w:color w:val="auto"/>
          <w:sz w:val="22"/>
          <w:szCs w:val="22"/>
          <w:highlight w:val="none"/>
        </w:rPr>
        <w:t>）</w:t>
      </w:r>
    </w:p>
    <w:p w14:paraId="0214C736">
      <w:pPr>
        <w:pStyle w:val="17"/>
        <w:spacing w:before="75" w:beforeAutospacing="0" w:after="75" w:afterAutospacing="0" w:line="460" w:lineRule="exact"/>
        <w:ind w:firstLine="435"/>
        <w:rPr>
          <w:rStyle w:val="22"/>
          <w:rFonts w:hint="eastAsia" w:ascii="新宋体" w:hAnsi="新宋体" w:eastAsia="新宋体" w:cs="新宋体"/>
          <w:color w:val="auto"/>
          <w:sz w:val="22"/>
          <w:szCs w:val="22"/>
          <w:highlight w:val="none"/>
        </w:rPr>
      </w:pPr>
      <w:r>
        <w:rPr>
          <w:rStyle w:val="22"/>
          <w:rFonts w:hint="eastAsia" w:ascii="新宋体" w:hAnsi="新宋体" w:eastAsia="新宋体" w:cs="新宋体"/>
          <w:color w:val="auto"/>
          <w:sz w:val="22"/>
          <w:szCs w:val="22"/>
          <w:highlight w:val="none"/>
        </w:rPr>
        <w:t>户 名：温州历程招标有限公司</w:t>
      </w:r>
    </w:p>
    <w:p w14:paraId="0DECC03A">
      <w:pPr>
        <w:pStyle w:val="17"/>
        <w:spacing w:before="75" w:beforeAutospacing="0" w:after="75" w:afterAutospacing="0" w:line="460" w:lineRule="exact"/>
        <w:ind w:firstLine="435"/>
        <w:rPr>
          <w:rStyle w:val="22"/>
          <w:rFonts w:hint="eastAsia" w:ascii="新宋体" w:hAnsi="新宋体" w:eastAsia="新宋体" w:cs="新宋体"/>
          <w:color w:val="auto"/>
          <w:sz w:val="22"/>
          <w:szCs w:val="22"/>
          <w:highlight w:val="none"/>
        </w:rPr>
      </w:pPr>
      <w:r>
        <w:rPr>
          <w:rStyle w:val="22"/>
          <w:rFonts w:hint="eastAsia" w:ascii="新宋体" w:hAnsi="新宋体" w:eastAsia="新宋体" w:cs="新宋体"/>
          <w:color w:val="auto"/>
          <w:sz w:val="22"/>
          <w:szCs w:val="22"/>
          <w:highlight w:val="none"/>
        </w:rPr>
        <w:t>账 号：76010122001040137</w:t>
      </w:r>
    </w:p>
    <w:p w14:paraId="0EBC732B">
      <w:pPr>
        <w:pStyle w:val="17"/>
        <w:spacing w:before="75" w:beforeAutospacing="0" w:after="75" w:afterAutospacing="0" w:line="460" w:lineRule="exact"/>
        <w:ind w:firstLine="435"/>
        <w:rPr>
          <w:rFonts w:hint="eastAsia" w:ascii="新宋体" w:hAnsi="新宋体" w:eastAsia="新宋体" w:cs="新宋体"/>
          <w:color w:val="auto"/>
          <w:sz w:val="22"/>
          <w:szCs w:val="22"/>
          <w:highlight w:val="none"/>
        </w:rPr>
      </w:pPr>
      <w:r>
        <w:rPr>
          <w:rStyle w:val="22"/>
          <w:rFonts w:hint="eastAsia" w:ascii="新宋体" w:hAnsi="新宋体" w:eastAsia="新宋体" w:cs="新宋体"/>
          <w:color w:val="auto"/>
          <w:sz w:val="22"/>
          <w:szCs w:val="22"/>
          <w:highlight w:val="none"/>
        </w:rPr>
        <w:t>开户行：宁波银行股份有限公司温州分行</w:t>
      </w:r>
    </w:p>
    <w:p w14:paraId="124FC23D">
      <w:pPr>
        <w:pStyle w:val="17"/>
        <w:spacing w:before="75" w:beforeAutospacing="0" w:after="75" w:afterAutospacing="0" w:line="460" w:lineRule="exact"/>
        <w:ind w:firstLine="435"/>
        <w:rPr>
          <w:rFonts w:hint="eastAsia" w:ascii="新宋体" w:hAnsi="新宋体" w:eastAsia="新宋体" w:cs="新宋体"/>
          <w:color w:val="auto"/>
          <w:sz w:val="22"/>
          <w:szCs w:val="22"/>
          <w:highlight w:val="none"/>
        </w:rPr>
      </w:pPr>
      <w:r>
        <w:rPr>
          <w:rStyle w:val="22"/>
          <w:rFonts w:hint="eastAsia" w:ascii="新宋体" w:hAnsi="新宋体" w:eastAsia="新宋体" w:cs="新宋体"/>
          <w:color w:val="auto"/>
          <w:sz w:val="22"/>
          <w:szCs w:val="22"/>
          <w:highlight w:val="none"/>
        </w:rPr>
        <w:t>保证金缴纳截止时间：</w:t>
      </w:r>
      <w:r>
        <w:rPr>
          <w:rFonts w:hint="eastAsia" w:ascii="新宋体" w:hAnsi="新宋体" w:eastAsia="新宋体" w:cs="新宋体"/>
          <w:color w:val="auto"/>
          <w:sz w:val="22"/>
          <w:szCs w:val="22"/>
          <w:highlight w:val="none"/>
        </w:rPr>
        <w:t>投标文件递交截止时间之</w:t>
      </w:r>
      <w:r>
        <w:rPr>
          <w:rStyle w:val="22"/>
          <w:rFonts w:hint="eastAsia" w:ascii="新宋体" w:hAnsi="新宋体" w:eastAsia="新宋体" w:cs="新宋体"/>
          <w:color w:val="auto"/>
          <w:sz w:val="22"/>
          <w:szCs w:val="22"/>
          <w:highlight w:val="none"/>
        </w:rPr>
        <w:t>前</w:t>
      </w:r>
    </w:p>
    <w:p w14:paraId="628B7E63">
      <w:pPr>
        <w:pStyle w:val="17"/>
        <w:spacing w:before="75" w:beforeAutospacing="0" w:after="75" w:afterAutospacing="0" w:line="460" w:lineRule="exact"/>
        <w:ind w:firstLine="43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2.投标供应商缴纳投标保证金后，请携带投标保证金缴纳凭证（银行转账支票进账单、电汇单等，缴纳保证金用途必须注明采购项目名称）复印件在递交投标文件时递交给采购代理机构。</w:t>
      </w:r>
    </w:p>
    <w:p w14:paraId="57AD8606">
      <w:pPr>
        <w:pStyle w:val="17"/>
        <w:spacing w:before="75" w:beforeAutospacing="0" w:after="75" w:afterAutospacing="0" w:line="460" w:lineRule="exact"/>
        <w:rPr>
          <w:rFonts w:hint="eastAsia" w:ascii="新宋体" w:hAnsi="新宋体" w:eastAsia="新宋体" w:cs="新宋体"/>
          <w:b/>
          <w:color w:val="auto"/>
          <w:sz w:val="22"/>
          <w:szCs w:val="22"/>
          <w:highlight w:val="none"/>
        </w:rPr>
      </w:pPr>
      <w:bookmarkStart w:id="16" w:name="_Toc892"/>
      <w:r>
        <w:rPr>
          <w:rStyle w:val="22"/>
          <w:rFonts w:hint="eastAsia" w:ascii="新宋体" w:hAnsi="新宋体" w:eastAsia="新宋体" w:cs="新宋体"/>
          <w:b/>
          <w:bCs w:val="0"/>
          <w:color w:val="auto"/>
          <w:sz w:val="22"/>
          <w:szCs w:val="22"/>
          <w:highlight w:val="none"/>
        </w:rPr>
        <w:t>八、其他</w:t>
      </w:r>
      <w:bookmarkEnd w:id="16"/>
    </w:p>
    <w:p w14:paraId="751B4DF8">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kern w:val="0"/>
          <w:sz w:val="22"/>
          <w:szCs w:val="22"/>
          <w:highlight w:val="none"/>
          <w:u w:val="single"/>
          <w:lang w:val="en-US" w:eastAsia="zh-CN" w:bidi="ar"/>
        </w:rPr>
      </w:pPr>
      <w:r>
        <w:rPr>
          <w:rFonts w:hint="eastAsia" w:ascii="新宋体" w:hAnsi="新宋体" w:eastAsia="新宋体" w:cs="新宋体"/>
          <w:color w:val="auto"/>
          <w:sz w:val="22"/>
          <w:szCs w:val="22"/>
          <w:highlight w:val="none"/>
          <w:u w:val="single"/>
          <w:lang w:val="en-US" w:eastAsia="zh-CN"/>
        </w:rPr>
        <w:t>1</w:t>
      </w: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kern w:val="0"/>
          <w:sz w:val="22"/>
          <w:szCs w:val="22"/>
          <w:highlight w:val="none"/>
          <w:u w:val="single"/>
          <w:lang w:val="en-US" w:eastAsia="zh-CN" w:bidi="ar"/>
        </w:rPr>
        <w:t>供应商认为采购文件使自己的权益受到损害的，可以自采购公告发出之日（采购公告发布当天不算）起6日内，以书面形式向采购人和采购代理机构提出质疑。质疑投标供应商对采购人、采购代理机构的答复不满意或者采购人、采购代理机构未在规定的时间内作出答复的，可以在答复期满后十五个工作日内向采购人（集团）的内设监管职能部门投诉。</w:t>
      </w:r>
    </w:p>
    <w:p w14:paraId="0281566E">
      <w:pPr>
        <w:pStyle w:val="17"/>
        <w:spacing w:before="75" w:beforeAutospacing="0" w:after="75" w:afterAutospacing="0" w:line="460" w:lineRule="exact"/>
        <w:ind w:firstLine="43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3.温州市工业与能源发展集团有限公司负责对投标供应商反映的企业本部及所属企业在采购活动中出现的违法违规问题进行答疑回复。投标供应商认为温州市工业与能源发展集团有限公司答疑回复处理结果不合法的，可以以采购人或代理机构为对象依法向法院提起诉讼。</w:t>
      </w:r>
    </w:p>
    <w:p w14:paraId="244A4440">
      <w:pPr>
        <w:pStyle w:val="17"/>
        <w:spacing w:before="75" w:beforeAutospacing="0" w:after="75" w:afterAutospacing="0" w:line="460" w:lineRule="exact"/>
        <w:ind w:firstLine="43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4.采购公告附件的采购文件仅供阅览使用，未按照本公告规定的方式获取采购文件的潜在供应商提起的质疑采购组织机构将不予受理、答复。</w:t>
      </w:r>
    </w:p>
    <w:p w14:paraId="4C7F54E3">
      <w:pPr>
        <w:pStyle w:val="17"/>
        <w:spacing w:before="75" w:beforeAutospacing="0" w:after="75" w:afterAutospacing="0" w:line="460" w:lineRule="exact"/>
        <w:ind w:firstLine="43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5.采购文件发售截止时间之后潜在投标人仍然可以购买采购文件，但该投标人如对采购文件有疑问应按采购文件规定的询疑截止时间前提出，逾期提出的，采购代理机构可以不予受理、答复。</w:t>
      </w:r>
    </w:p>
    <w:p w14:paraId="2E5CA86F">
      <w:pPr>
        <w:pStyle w:val="17"/>
        <w:spacing w:before="75" w:beforeAutospacing="0" w:after="75" w:afterAutospacing="0" w:line="460" w:lineRule="exact"/>
        <w:ind w:left="437" w:leftChars="208" w:firstLine="15" w:firstLineChars="7"/>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6.书面质疑受理地点：温州市鹿城区南汇街道勤民路鹿城壹号18幢803室（温州历程招标有限公司），联系人：肖女士，联系电话：13757727199。</w:t>
      </w:r>
    </w:p>
    <w:p w14:paraId="21A53A03">
      <w:pPr>
        <w:pStyle w:val="17"/>
        <w:spacing w:before="75" w:beforeAutospacing="0" w:after="75" w:afterAutospacing="0" w:line="460" w:lineRule="exact"/>
        <w:rPr>
          <w:rFonts w:hint="eastAsia" w:ascii="新宋体" w:hAnsi="新宋体" w:eastAsia="新宋体" w:cs="新宋体"/>
          <w:b/>
          <w:color w:val="auto"/>
          <w:sz w:val="22"/>
          <w:szCs w:val="22"/>
          <w:highlight w:val="none"/>
        </w:rPr>
      </w:pPr>
      <w:bookmarkStart w:id="17" w:name="_Toc6023"/>
      <w:r>
        <w:rPr>
          <w:rStyle w:val="22"/>
          <w:rFonts w:hint="eastAsia" w:ascii="新宋体" w:hAnsi="新宋体" w:eastAsia="新宋体" w:cs="新宋体"/>
          <w:b/>
          <w:bCs w:val="0"/>
          <w:color w:val="auto"/>
          <w:sz w:val="22"/>
          <w:szCs w:val="22"/>
          <w:highlight w:val="none"/>
        </w:rPr>
        <w:t>九、联系人及联系方式</w:t>
      </w:r>
      <w:bookmarkEnd w:id="17"/>
    </w:p>
    <w:p w14:paraId="26192D9F">
      <w:pPr>
        <w:pStyle w:val="17"/>
        <w:spacing w:before="75" w:beforeAutospacing="0" w:after="75" w:afterAutospacing="0" w:line="460" w:lineRule="exact"/>
        <w:ind w:firstLine="43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采购人：温州市工睿实业有限公司</w:t>
      </w:r>
    </w:p>
    <w:p w14:paraId="1B019FAA">
      <w:pPr>
        <w:pStyle w:val="17"/>
        <w:spacing w:before="75" w:beforeAutospacing="0" w:after="75" w:afterAutospacing="0" w:line="460" w:lineRule="exact"/>
        <w:ind w:firstLine="43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联系人：应先生</w:t>
      </w:r>
    </w:p>
    <w:p w14:paraId="0D8CF6DB">
      <w:pPr>
        <w:pStyle w:val="17"/>
        <w:spacing w:before="75" w:beforeAutospacing="0" w:after="75" w:afterAutospacing="0" w:line="460" w:lineRule="exact"/>
        <w:ind w:firstLine="43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联系方式：0577-88785090</w:t>
      </w:r>
    </w:p>
    <w:p w14:paraId="496820BA">
      <w:pPr>
        <w:pStyle w:val="17"/>
        <w:spacing w:before="75" w:beforeAutospacing="0" w:after="75" w:afterAutospacing="0" w:line="460" w:lineRule="exact"/>
        <w:ind w:firstLine="43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采购代理机构名称：温州历程招标有限公司</w:t>
      </w:r>
    </w:p>
    <w:p w14:paraId="2FA80FE8">
      <w:pPr>
        <w:pStyle w:val="17"/>
        <w:spacing w:before="75" w:beforeAutospacing="0" w:after="75" w:afterAutospacing="0" w:line="460" w:lineRule="exact"/>
        <w:ind w:firstLine="43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地址：温州市鹿城区南汇街道勤民路鹿城壹号18幢803室（温州历程招标有限公司）</w:t>
      </w:r>
    </w:p>
    <w:p w14:paraId="3EBEEDAD">
      <w:pPr>
        <w:pStyle w:val="17"/>
        <w:spacing w:before="75" w:beforeAutospacing="0" w:after="75" w:afterAutospacing="0" w:line="460" w:lineRule="exact"/>
        <w:ind w:firstLine="43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联系人：张 斌、郑永强 联系方式：13757727199  0577-89887232</w:t>
      </w:r>
    </w:p>
    <w:p w14:paraId="1BE423A9">
      <w:pPr>
        <w:pStyle w:val="17"/>
        <w:spacing w:before="75" w:beforeAutospacing="0" w:after="75" w:afterAutospacing="0" w:line="460" w:lineRule="exact"/>
        <w:ind w:firstLine="43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采购监督管理部门：温州市工业与能源发展集团有限公司纪检监察室</w:t>
      </w:r>
    </w:p>
    <w:p w14:paraId="5DAC1D13">
      <w:pPr>
        <w:pStyle w:val="17"/>
        <w:spacing w:before="75" w:beforeAutospacing="0" w:after="75" w:afterAutospacing="0" w:line="460" w:lineRule="exact"/>
        <w:ind w:firstLine="43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联系人：龚先生 </w:t>
      </w:r>
    </w:p>
    <w:p w14:paraId="16117327">
      <w:pPr>
        <w:pStyle w:val="17"/>
        <w:spacing w:before="75" w:beforeAutospacing="0" w:after="75" w:afterAutospacing="0" w:line="460" w:lineRule="exact"/>
        <w:ind w:firstLine="43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联系方式：0577-55598012</w:t>
      </w:r>
    </w:p>
    <w:p w14:paraId="023A9A83">
      <w:pPr>
        <w:pStyle w:val="17"/>
        <w:spacing w:before="75" w:beforeAutospacing="0" w:after="75" w:afterAutospacing="0" w:line="46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温州市工睿实业有限公司</w:t>
      </w:r>
    </w:p>
    <w:p w14:paraId="06C72FF9">
      <w:pPr>
        <w:pStyle w:val="17"/>
        <w:spacing w:before="75" w:beforeAutospacing="0" w:after="75" w:afterAutospacing="0" w:line="46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温州历程招标有限公司</w:t>
      </w:r>
    </w:p>
    <w:p w14:paraId="4D67E150">
      <w:pPr>
        <w:pStyle w:val="17"/>
        <w:spacing w:before="75" w:beforeAutospacing="0" w:after="75" w:afterAutospacing="0" w:line="460" w:lineRule="exact"/>
        <w:jc w:val="right"/>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2024年</w:t>
      </w:r>
      <w:r>
        <w:rPr>
          <w:rFonts w:hint="eastAsia" w:ascii="新宋体" w:hAnsi="新宋体" w:eastAsia="新宋体" w:cs="新宋体"/>
          <w:color w:val="auto"/>
          <w:sz w:val="22"/>
          <w:szCs w:val="22"/>
          <w:highlight w:val="none"/>
          <w:lang w:val="en-US" w:eastAsia="zh-CN"/>
        </w:rPr>
        <w:t>11</w:t>
      </w:r>
      <w:r>
        <w:rPr>
          <w:rFonts w:hint="eastAsia" w:ascii="新宋体" w:hAnsi="新宋体" w:eastAsia="新宋体" w:cs="新宋体"/>
          <w:color w:val="auto"/>
          <w:sz w:val="22"/>
          <w:szCs w:val="22"/>
          <w:highlight w:val="none"/>
        </w:rPr>
        <w:t>月</w:t>
      </w:r>
      <w:r>
        <w:rPr>
          <w:rFonts w:hint="eastAsia" w:ascii="新宋体" w:hAnsi="新宋体" w:eastAsia="新宋体" w:cs="新宋体"/>
          <w:color w:val="auto"/>
          <w:sz w:val="22"/>
          <w:szCs w:val="22"/>
          <w:highlight w:val="none"/>
          <w:lang w:val="en-US" w:eastAsia="zh-CN"/>
        </w:rPr>
        <w:t>6日</w:t>
      </w:r>
    </w:p>
    <w:p w14:paraId="21058B4D">
      <w:pPr>
        <w:pStyle w:val="17"/>
        <w:spacing w:before="75" w:beforeAutospacing="0" w:after="75" w:afterAutospacing="0" w:line="460" w:lineRule="exact"/>
        <w:jc w:val="right"/>
        <w:rPr>
          <w:rFonts w:hint="eastAsia" w:ascii="新宋体" w:hAnsi="新宋体" w:eastAsia="新宋体" w:cs="新宋体"/>
          <w:color w:val="auto"/>
          <w:sz w:val="22"/>
          <w:szCs w:val="22"/>
          <w:highlight w:val="none"/>
        </w:rPr>
      </w:pPr>
    </w:p>
    <w:p w14:paraId="1CC5D06D">
      <w:pPr>
        <w:pStyle w:val="17"/>
        <w:spacing w:before="75" w:beforeAutospacing="0" w:after="75" w:afterAutospacing="0" w:line="460" w:lineRule="exact"/>
        <w:jc w:val="center"/>
        <w:rPr>
          <w:rStyle w:val="22"/>
          <w:rFonts w:hint="eastAsia" w:ascii="新宋体" w:hAnsi="新宋体" w:eastAsia="新宋体" w:cs="新宋体"/>
          <w:color w:val="auto"/>
          <w:sz w:val="22"/>
          <w:szCs w:val="22"/>
          <w:highlight w:val="none"/>
        </w:rPr>
      </w:pPr>
    </w:p>
    <w:p w14:paraId="67179261">
      <w:pPr>
        <w:pStyle w:val="17"/>
        <w:spacing w:before="75" w:beforeAutospacing="0" w:after="75" w:afterAutospacing="0" w:line="460" w:lineRule="exact"/>
        <w:jc w:val="center"/>
        <w:rPr>
          <w:rStyle w:val="22"/>
          <w:rFonts w:hint="eastAsia" w:ascii="新宋体" w:hAnsi="新宋体" w:eastAsia="新宋体" w:cs="新宋体"/>
          <w:color w:val="auto"/>
          <w:sz w:val="22"/>
          <w:szCs w:val="22"/>
          <w:highlight w:val="none"/>
        </w:rPr>
      </w:pPr>
    </w:p>
    <w:p w14:paraId="3AADB605">
      <w:pPr>
        <w:pStyle w:val="6"/>
        <w:keepNext w:val="0"/>
        <w:widowControl/>
        <w:spacing w:before="156" w:after="156" w:line="460" w:lineRule="exact"/>
        <w:jc w:val="center"/>
        <w:rPr>
          <w:rFonts w:hint="eastAsia" w:ascii="新宋体" w:hAnsi="新宋体" w:eastAsia="新宋体" w:cs="新宋体"/>
          <w:bCs/>
          <w:color w:val="auto"/>
          <w:sz w:val="22"/>
          <w:szCs w:val="22"/>
          <w:highlight w:val="none"/>
        </w:rPr>
      </w:pPr>
      <w:r>
        <w:rPr>
          <w:rStyle w:val="22"/>
          <w:rFonts w:hint="eastAsia" w:ascii="新宋体" w:hAnsi="新宋体" w:eastAsia="新宋体" w:cs="新宋体"/>
          <w:color w:val="auto"/>
          <w:sz w:val="22"/>
          <w:szCs w:val="22"/>
          <w:highlight w:val="none"/>
        </w:rPr>
        <w:br w:type="page"/>
      </w:r>
      <w:bookmarkStart w:id="18" w:name="_Toc26495"/>
      <w:bookmarkStart w:id="19" w:name="_Toc19051"/>
      <w:r>
        <w:rPr>
          <w:rFonts w:hint="eastAsia" w:ascii="新宋体" w:hAnsi="新宋体" w:eastAsia="新宋体" w:cs="新宋体"/>
          <w:bCs/>
          <w:color w:val="auto"/>
          <w:szCs w:val="28"/>
          <w:highlight w:val="none"/>
        </w:rPr>
        <w:t>温州市工业与能源集团所属温州市工睿实业有限公司关于</w:t>
      </w:r>
      <w:r>
        <w:rPr>
          <w:rFonts w:hint="eastAsia" w:ascii="新宋体" w:hAnsi="新宋体" w:eastAsia="新宋体" w:cs="新宋体"/>
          <w:bCs/>
          <w:color w:val="auto"/>
          <w:szCs w:val="28"/>
          <w:highlight w:val="none"/>
          <w:lang w:eastAsia="zh-CN"/>
        </w:rPr>
        <w:t>智算中心 AI 智算系统及智算管理平台（第三期）</w:t>
      </w:r>
      <w:r>
        <w:rPr>
          <w:rFonts w:hint="eastAsia" w:ascii="新宋体" w:hAnsi="新宋体" w:eastAsia="新宋体" w:cs="新宋体"/>
          <w:bCs/>
          <w:color w:val="auto"/>
          <w:szCs w:val="28"/>
          <w:highlight w:val="none"/>
        </w:rPr>
        <w:t>项目征求意见公示</w:t>
      </w:r>
      <w:bookmarkEnd w:id="18"/>
      <w:bookmarkEnd w:id="19"/>
    </w:p>
    <w:p w14:paraId="6D18BC16">
      <w:pPr>
        <w:pStyle w:val="17"/>
        <w:spacing w:before="75" w:beforeAutospacing="0" w:after="75" w:afterAutospacing="0" w:line="460" w:lineRule="exact"/>
        <w:ind w:firstLine="48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温州历程招标有限公司受温州市工睿实业有限公司的委托，就</w:t>
      </w:r>
      <w:r>
        <w:rPr>
          <w:rFonts w:hint="eastAsia" w:ascii="新宋体" w:hAnsi="新宋体" w:eastAsia="新宋体" w:cs="新宋体"/>
          <w:color w:val="auto"/>
          <w:sz w:val="22"/>
          <w:szCs w:val="22"/>
          <w:highlight w:val="none"/>
          <w:lang w:eastAsia="zh-CN"/>
        </w:rPr>
        <w:t>智算中心 AI 智算系统及智算管理平台（第三期）</w:t>
      </w:r>
      <w:r>
        <w:rPr>
          <w:rFonts w:hint="eastAsia" w:ascii="新宋体" w:hAnsi="新宋体" w:eastAsia="新宋体" w:cs="新宋体"/>
          <w:color w:val="auto"/>
          <w:sz w:val="22"/>
          <w:szCs w:val="22"/>
          <w:highlight w:val="none"/>
        </w:rPr>
        <w:t>项目以公开招标方式进行采购。现将本项目采购文件公布如下，并公开征求供应商及专家意见。</w:t>
      </w:r>
    </w:p>
    <w:p w14:paraId="00601257">
      <w:pPr>
        <w:pStyle w:val="17"/>
        <w:spacing w:before="75" w:beforeAutospacing="0" w:after="75" w:afterAutospacing="0" w:line="460" w:lineRule="exact"/>
        <w:rPr>
          <w:rFonts w:hint="eastAsia" w:ascii="新宋体" w:hAnsi="新宋体" w:eastAsia="新宋体" w:cs="新宋体"/>
          <w:b/>
          <w:color w:val="auto"/>
          <w:sz w:val="22"/>
          <w:szCs w:val="22"/>
          <w:highlight w:val="none"/>
        </w:rPr>
      </w:pPr>
      <w:bookmarkStart w:id="20" w:name="_Toc15975"/>
      <w:r>
        <w:rPr>
          <w:rStyle w:val="22"/>
          <w:rFonts w:hint="eastAsia" w:ascii="新宋体" w:hAnsi="新宋体" w:eastAsia="新宋体" w:cs="新宋体"/>
          <w:b/>
          <w:bCs w:val="0"/>
          <w:color w:val="auto"/>
          <w:sz w:val="22"/>
          <w:szCs w:val="22"/>
          <w:highlight w:val="none"/>
        </w:rPr>
        <w:t>一、征求意见范围：</w:t>
      </w:r>
      <w:bookmarkEnd w:id="20"/>
    </w:p>
    <w:p w14:paraId="79295230">
      <w:pPr>
        <w:pStyle w:val="17"/>
        <w:spacing w:before="75" w:beforeAutospacing="0" w:after="75" w:afterAutospacing="0" w:line="460" w:lineRule="exact"/>
        <w:ind w:firstLine="43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1.是否出现明显的倾向性意见和特定的性能指标；</w:t>
      </w:r>
    </w:p>
    <w:p w14:paraId="359D0E2A">
      <w:pPr>
        <w:pStyle w:val="17"/>
        <w:spacing w:before="75" w:beforeAutospacing="0" w:after="75" w:afterAutospacing="0" w:line="460" w:lineRule="exact"/>
        <w:ind w:firstLine="43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2.投标供应商资格条件是否具有明显倾向性和歧视性；</w:t>
      </w:r>
    </w:p>
    <w:p w14:paraId="23F81A6A">
      <w:pPr>
        <w:pStyle w:val="17"/>
        <w:spacing w:before="75" w:beforeAutospacing="0" w:after="75" w:afterAutospacing="0" w:line="460" w:lineRule="exact"/>
        <w:ind w:firstLine="43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3.影响温州市国有企业采购“公开、公平、公正”原则的其他情况。</w:t>
      </w:r>
    </w:p>
    <w:p w14:paraId="472D857E">
      <w:pPr>
        <w:pStyle w:val="17"/>
        <w:spacing w:before="75" w:beforeAutospacing="0" w:after="75" w:afterAutospacing="0" w:line="460" w:lineRule="exact"/>
        <w:rPr>
          <w:rFonts w:hint="eastAsia" w:ascii="新宋体" w:hAnsi="新宋体" w:eastAsia="新宋体" w:cs="新宋体"/>
          <w:b/>
          <w:color w:val="auto"/>
          <w:sz w:val="22"/>
          <w:szCs w:val="22"/>
          <w:highlight w:val="none"/>
        </w:rPr>
      </w:pPr>
      <w:bookmarkStart w:id="21" w:name="_Toc7134"/>
      <w:r>
        <w:rPr>
          <w:rStyle w:val="22"/>
          <w:rFonts w:hint="eastAsia" w:ascii="新宋体" w:hAnsi="新宋体" w:eastAsia="新宋体" w:cs="新宋体"/>
          <w:b/>
          <w:bCs w:val="0"/>
          <w:color w:val="auto"/>
          <w:sz w:val="22"/>
          <w:szCs w:val="22"/>
          <w:highlight w:val="none"/>
        </w:rPr>
        <w:t>二、征求意见的回复：</w:t>
      </w:r>
      <w:bookmarkEnd w:id="21"/>
    </w:p>
    <w:p w14:paraId="242BCD56">
      <w:pPr>
        <w:pStyle w:val="17"/>
        <w:spacing w:before="75" w:beforeAutospacing="0" w:after="75" w:afterAutospacing="0" w:line="460" w:lineRule="exact"/>
        <w:ind w:firstLine="43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各投标供应商及专家提出修改理由和建议，请于2024年</w:t>
      </w:r>
      <w:r>
        <w:rPr>
          <w:rFonts w:hint="eastAsia" w:ascii="新宋体" w:hAnsi="新宋体" w:eastAsia="新宋体" w:cs="新宋体"/>
          <w:color w:val="auto"/>
          <w:sz w:val="22"/>
          <w:szCs w:val="22"/>
          <w:highlight w:val="none"/>
          <w:lang w:val="en-US" w:eastAsia="zh-CN"/>
        </w:rPr>
        <w:t>11</w:t>
      </w:r>
      <w:r>
        <w:rPr>
          <w:rFonts w:hint="eastAsia" w:ascii="新宋体" w:hAnsi="新宋体" w:eastAsia="新宋体" w:cs="新宋体"/>
          <w:color w:val="auto"/>
          <w:sz w:val="22"/>
          <w:szCs w:val="22"/>
          <w:highlight w:val="none"/>
        </w:rPr>
        <w:t>月</w:t>
      </w:r>
      <w:r>
        <w:rPr>
          <w:rFonts w:hint="eastAsia" w:ascii="新宋体" w:hAnsi="新宋体" w:eastAsia="新宋体" w:cs="新宋体"/>
          <w:color w:val="auto"/>
          <w:sz w:val="22"/>
          <w:szCs w:val="22"/>
          <w:highlight w:val="none"/>
          <w:lang w:val="en-US" w:eastAsia="zh-CN"/>
        </w:rPr>
        <w:t>13</w:t>
      </w:r>
      <w:r>
        <w:rPr>
          <w:rFonts w:hint="eastAsia" w:ascii="新宋体" w:hAnsi="新宋体" w:eastAsia="新宋体" w:cs="新宋体"/>
          <w:color w:val="auto"/>
          <w:sz w:val="22"/>
          <w:szCs w:val="22"/>
          <w:highlight w:val="none"/>
        </w:rPr>
        <w:t>日17:00前（节假日除外）将书面材料签字（盖章）并密封后送至温州历程招标有限公司，外地可传真送达，传真：0577-89887232，传真件必须签字（盖章），同时将该传真原件邮寄至我公司。</w:t>
      </w:r>
    </w:p>
    <w:p w14:paraId="01816622">
      <w:pPr>
        <w:pStyle w:val="17"/>
        <w:spacing w:before="75" w:beforeAutospacing="0" w:after="75" w:afterAutospacing="0" w:line="460" w:lineRule="exact"/>
        <w:rPr>
          <w:rFonts w:hint="eastAsia" w:ascii="新宋体" w:hAnsi="新宋体" w:eastAsia="新宋体" w:cs="新宋体"/>
          <w:b/>
          <w:color w:val="auto"/>
          <w:sz w:val="22"/>
          <w:szCs w:val="22"/>
          <w:highlight w:val="none"/>
        </w:rPr>
      </w:pPr>
      <w:bookmarkStart w:id="22" w:name="_Toc30994"/>
      <w:r>
        <w:rPr>
          <w:rStyle w:val="22"/>
          <w:rFonts w:hint="eastAsia" w:ascii="新宋体" w:hAnsi="新宋体" w:eastAsia="新宋体" w:cs="新宋体"/>
          <w:b/>
          <w:bCs w:val="0"/>
          <w:color w:val="auto"/>
          <w:sz w:val="22"/>
          <w:szCs w:val="22"/>
          <w:highlight w:val="none"/>
        </w:rPr>
        <w:t>三、联系方式：</w:t>
      </w:r>
      <w:bookmarkEnd w:id="22"/>
    </w:p>
    <w:p w14:paraId="0690EEC8">
      <w:pPr>
        <w:pStyle w:val="17"/>
        <w:spacing w:before="75" w:beforeAutospacing="0" w:after="75" w:afterAutospacing="0" w:line="460" w:lineRule="exact"/>
        <w:ind w:firstLine="43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联系人：张 斌、郑永强</w:t>
      </w:r>
    </w:p>
    <w:p w14:paraId="45238A04">
      <w:pPr>
        <w:pStyle w:val="17"/>
        <w:spacing w:before="75" w:beforeAutospacing="0" w:after="75" w:afterAutospacing="0" w:line="460" w:lineRule="exact"/>
        <w:ind w:firstLine="43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联系方式：13757727199</w:t>
      </w:r>
    </w:p>
    <w:p w14:paraId="26FE6DE5">
      <w:pPr>
        <w:pStyle w:val="17"/>
        <w:spacing w:before="75" w:beforeAutospacing="0" w:after="75" w:afterAutospacing="0" w:line="460" w:lineRule="exact"/>
        <w:ind w:firstLine="43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联系地址：温州市鹿城区南汇街道勤民路鹿城壹号18幢803室（温州历程招标有限公司）</w:t>
      </w:r>
    </w:p>
    <w:p w14:paraId="47437ABF">
      <w:pPr>
        <w:pStyle w:val="17"/>
        <w:spacing w:before="75" w:beforeAutospacing="0" w:after="75" w:afterAutospacing="0" w:line="460" w:lineRule="exact"/>
        <w:ind w:firstLine="43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对逾期送达的意见、建议书恕不接受。</w:t>
      </w:r>
    </w:p>
    <w:p w14:paraId="309D1C11">
      <w:pPr>
        <w:pStyle w:val="17"/>
        <w:spacing w:before="75" w:beforeAutospacing="0" w:after="75" w:afterAutospacing="0" w:line="46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温州市工睿实业有限公司</w:t>
      </w:r>
    </w:p>
    <w:p w14:paraId="59AD299C">
      <w:pPr>
        <w:pStyle w:val="17"/>
        <w:spacing w:before="75" w:beforeAutospacing="0" w:after="75" w:afterAutospacing="0" w:line="46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温州历程招标有限公司</w:t>
      </w:r>
    </w:p>
    <w:p w14:paraId="71D9A812">
      <w:pPr>
        <w:pStyle w:val="17"/>
        <w:spacing w:before="75" w:beforeAutospacing="0" w:after="75" w:afterAutospacing="0" w:line="460" w:lineRule="exact"/>
        <w:jc w:val="right"/>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2024年</w:t>
      </w:r>
      <w:r>
        <w:rPr>
          <w:rFonts w:hint="eastAsia" w:ascii="新宋体" w:hAnsi="新宋体" w:eastAsia="新宋体" w:cs="新宋体"/>
          <w:color w:val="auto"/>
          <w:sz w:val="22"/>
          <w:szCs w:val="22"/>
          <w:highlight w:val="none"/>
          <w:lang w:val="en-US" w:eastAsia="zh-CN"/>
        </w:rPr>
        <w:t>11</w:t>
      </w:r>
      <w:r>
        <w:rPr>
          <w:rFonts w:hint="eastAsia" w:ascii="新宋体" w:hAnsi="新宋体" w:eastAsia="新宋体" w:cs="新宋体"/>
          <w:color w:val="auto"/>
          <w:sz w:val="22"/>
          <w:szCs w:val="22"/>
          <w:highlight w:val="none"/>
        </w:rPr>
        <w:t>月</w:t>
      </w:r>
      <w:r>
        <w:rPr>
          <w:rFonts w:hint="eastAsia" w:ascii="新宋体" w:hAnsi="新宋体" w:eastAsia="新宋体" w:cs="新宋体"/>
          <w:color w:val="auto"/>
          <w:sz w:val="22"/>
          <w:szCs w:val="22"/>
          <w:highlight w:val="none"/>
          <w:lang w:val="en-US" w:eastAsia="zh-CN"/>
        </w:rPr>
        <w:t>6日</w:t>
      </w:r>
    </w:p>
    <w:p w14:paraId="4804F853">
      <w:pPr>
        <w:pStyle w:val="17"/>
        <w:spacing w:before="75" w:beforeAutospacing="0" w:after="75" w:afterAutospacing="0" w:line="460" w:lineRule="exact"/>
        <w:jc w:val="right"/>
        <w:rPr>
          <w:rFonts w:hint="eastAsia" w:ascii="新宋体" w:hAnsi="新宋体" w:eastAsia="新宋体" w:cs="新宋体"/>
          <w:color w:val="auto"/>
          <w:sz w:val="22"/>
          <w:szCs w:val="22"/>
          <w:highlight w:val="none"/>
        </w:rPr>
      </w:pPr>
      <w:bookmarkStart w:id="124" w:name="_GoBack"/>
      <w:bookmarkEnd w:id="124"/>
    </w:p>
    <w:p w14:paraId="1B5509B3">
      <w:pPr>
        <w:spacing w:line="420" w:lineRule="exact"/>
        <w:jc w:val="right"/>
        <w:rPr>
          <w:rFonts w:hint="eastAsia" w:ascii="新宋体" w:hAnsi="新宋体" w:eastAsia="新宋体" w:cs="新宋体"/>
          <w:color w:val="auto"/>
          <w:sz w:val="22"/>
          <w:highlight w:val="none"/>
        </w:rPr>
      </w:pPr>
    </w:p>
    <w:p w14:paraId="5767CF64">
      <w:pPr>
        <w:pStyle w:val="10"/>
        <w:spacing w:line="460" w:lineRule="exact"/>
        <w:ind w:left="433" w:leftChars="206" w:firstLine="0" w:firstLineChars="0"/>
        <w:jc w:val="center"/>
        <w:outlineLvl w:val="0"/>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br w:type="page"/>
      </w:r>
      <w:bookmarkStart w:id="23" w:name="_Toc17496"/>
      <w:r>
        <w:rPr>
          <w:rFonts w:hint="eastAsia" w:ascii="新宋体" w:hAnsi="新宋体" w:eastAsia="新宋体" w:cs="新宋体"/>
          <w:b/>
          <w:color w:val="auto"/>
          <w:sz w:val="30"/>
          <w:highlight w:val="none"/>
        </w:rPr>
        <w:t>第一部分    投标人须知</w:t>
      </w:r>
      <w:bookmarkEnd w:id="23"/>
    </w:p>
    <w:p w14:paraId="2B5DF911">
      <w:pPr>
        <w:jc w:val="center"/>
        <w:outlineLvl w:val="1"/>
        <w:rPr>
          <w:rFonts w:hint="eastAsia" w:ascii="新宋体" w:hAnsi="新宋体" w:eastAsia="新宋体" w:cs="新宋体"/>
          <w:b/>
          <w:bCs/>
          <w:color w:val="auto"/>
          <w:sz w:val="28"/>
          <w:szCs w:val="36"/>
          <w:highlight w:val="none"/>
        </w:rPr>
      </w:pPr>
      <w:bookmarkStart w:id="24" w:name="_Toc18595"/>
      <w:r>
        <w:rPr>
          <w:rFonts w:hint="eastAsia" w:ascii="新宋体" w:hAnsi="新宋体" w:eastAsia="新宋体" w:cs="新宋体"/>
          <w:b/>
          <w:bCs/>
          <w:color w:val="auto"/>
          <w:sz w:val="28"/>
          <w:szCs w:val="36"/>
          <w:highlight w:val="none"/>
        </w:rPr>
        <w:t>前 附 表</w:t>
      </w:r>
      <w:bookmarkEnd w:id="24"/>
    </w:p>
    <w:tbl>
      <w:tblPr>
        <w:tblStyle w:val="19"/>
        <w:tblW w:w="9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83"/>
        <w:gridCol w:w="9286"/>
      </w:tblGrid>
      <w:tr w14:paraId="23F40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83" w:type="dxa"/>
            <w:shd w:val="clear" w:color="auto" w:fill="FFFFFF"/>
            <w:noWrap w:val="0"/>
            <w:vAlign w:val="center"/>
          </w:tcPr>
          <w:p w14:paraId="096F3492">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条款</w:t>
            </w:r>
          </w:p>
        </w:tc>
        <w:tc>
          <w:tcPr>
            <w:tcW w:w="9286" w:type="dxa"/>
            <w:shd w:val="clear" w:color="auto" w:fill="FFFFFF"/>
            <w:noWrap w:val="0"/>
            <w:vAlign w:val="center"/>
          </w:tcPr>
          <w:p w14:paraId="73B2138B">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内容规定</w:t>
            </w:r>
          </w:p>
        </w:tc>
      </w:tr>
      <w:tr w14:paraId="7416F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83" w:type="dxa"/>
            <w:shd w:val="clear" w:color="auto" w:fill="FFFFFF"/>
            <w:noWrap w:val="0"/>
            <w:vAlign w:val="center"/>
          </w:tcPr>
          <w:p w14:paraId="5DE4A081">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w:t>
            </w:r>
          </w:p>
        </w:tc>
        <w:tc>
          <w:tcPr>
            <w:tcW w:w="9286" w:type="dxa"/>
            <w:shd w:val="clear" w:color="auto" w:fill="FFFFFF"/>
            <w:noWrap w:val="0"/>
            <w:vAlign w:val="top"/>
          </w:tcPr>
          <w:p w14:paraId="51762DBD">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一、项目名称：</w:t>
            </w:r>
            <w:r>
              <w:rPr>
                <w:rFonts w:hint="eastAsia" w:ascii="新宋体" w:hAnsi="新宋体" w:eastAsia="新宋体" w:cs="新宋体"/>
                <w:color w:val="auto"/>
                <w:sz w:val="22"/>
                <w:szCs w:val="22"/>
                <w:highlight w:val="none"/>
                <w:lang w:eastAsia="zh-CN"/>
              </w:rPr>
              <w:t>智算中心 AI 智算系统及智算管理平台（第三期）</w:t>
            </w:r>
            <w:r>
              <w:rPr>
                <w:rFonts w:hint="eastAsia" w:ascii="新宋体" w:hAnsi="新宋体" w:eastAsia="新宋体" w:cs="新宋体"/>
                <w:color w:val="auto"/>
                <w:sz w:val="22"/>
                <w:szCs w:val="22"/>
                <w:highlight w:val="none"/>
              </w:rPr>
              <w:t>项目</w:t>
            </w:r>
          </w:p>
          <w:p w14:paraId="785FD37E">
            <w:pPr>
              <w:tabs>
                <w:tab w:val="left" w:pos="360"/>
              </w:tabs>
              <w:spacing w:line="460" w:lineRule="exact"/>
              <w:rPr>
                <w:rFonts w:hint="eastAsia" w:ascii="新宋体" w:hAnsi="新宋体" w:eastAsia="新宋体" w:cs="新宋体"/>
                <w:b/>
                <w:bCs/>
                <w:color w:val="auto"/>
                <w:sz w:val="22"/>
                <w:szCs w:val="22"/>
                <w:highlight w:val="none"/>
              </w:rPr>
            </w:pPr>
            <w:bookmarkStart w:id="25" w:name="_Hlt75139851"/>
            <w:bookmarkEnd w:id="25"/>
            <w:r>
              <w:rPr>
                <w:rFonts w:hint="eastAsia" w:ascii="新宋体" w:hAnsi="新宋体" w:eastAsia="新宋体" w:cs="新宋体"/>
                <w:b/>
                <w:bCs/>
                <w:color w:val="auto"/>
                <w:sz w:val="22"/>
                <w:szCs w:val="22"/>
                <w:highlight w:val="none"/>
              </w:rPr>
              <w:t>二、采购内容：</w:t>
            </w:r>
          </w:p>
          <w:tbl>
            <w:tblPr>
              <w:tblStyle w:val="19"/>
              <w:tblW w:w="0" w:type="auto"/>
              <w:tblInd w:w="1" w:type="dxa"/>
              <w:tblLayout w:type="fixed"/>
              <w:tblCellMar>
                <w:top w:w="0" w:type="dxa"/>
                <w:left w:w="0" w:type="dxa"/>
                <w:bottom w:w="0" w:type="dxa"/>
                <w:right w:w="0" w:type="dxa"/>
              </w:tblCellMar>
            </w:tblPr>
            <w:tblGrid>
              <w:gridCol w:w="859"/>
              <w:gridCol w:w="3351"/>
              <w:gridCol w:w="2817"/>
              <w:gridCol w:w="2088"/>
            </w:tblGrid>
            <w:tr w14:paraId="002A5136">
              <w:tblPrEx>
                <w:tblCellMar>
                  <w:top w:w="0" w:type="dxa"/>
                  <w:left w:w="0" w:type="dxa"/>
                  <w:bottom w:w="0" w:type="dxa"/>
                  <w:right w:w="0" w:type="dxa"/>
                </w:tblCellMar>
              </w:tblPrEx>
              <w:trPr>
                <w:trHeight w:val="90" w:hRule="atLeast"/>
              </w:trPr>
              <w:tc>
                <w:tcPr>
                  <w:tcW w:w="859"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14:paraId="17879787">
                  <w:pPr>
                    <w:pStyle w:val="17"/>
                    <w:spacing w:before="0" w:beforeAutospacing="0" w:after="0" w:afterAutospacing="0" w:line="460" w:lineRule="exact"/>
                    <w:jc w:val="center"/>
                    <w:rPr>
                      <w:rFonts w:hint="eastAsia" w:ascii="新宋体" w:hAnsi="新宋体" w:eastAsia="新宋体" w:cs="新宋体"/>
                      <w:b/>
                      <w:color w:val="auto"/>
                      <w:sz w:val="22"/>
                      <w:szCs w:val="22"/>
                      <w:highlight w:val="none"/>
                    </w:rPr>
                  </w:pPr>
                  <w:r>
                    <w:rPr>
                      <w:rStyle w:val="22"/>
                      <w:rFonts w:hint="eastAsia" w:ascii="新宋体" w:hAnsi="新宋体" w:eastAsia="新宋体" w:cs="新宋体"/>
                      <w:b/>
                      <w:bCs w:val="0"/>
                      <w:color w:val="auto"/>
                      <w:sz w:val="22"/>
                      <w:szCs w:val="22"/>
                      <w:highlight w:val="none"/>
                    </w:rPr>
                    <w:t>序号</w:t>
                  </w:r>
                </w:p>
              </w:tc>
              <w:tc>
                <w:tcPr>
                  <w:tcW w:w="3351" w:type="dxa"/>
                  <w:tcBorders>
                    <w:top w:val="single" w:color="auto" w:sz="6" w:space="0"/>
                    <w:left w:val="nil"/>
                    <w:bottom w:val="single" w:color="auto" w:sz="6" w:space="0"/>
                    <w:right w:val="single" w:color="auto" w:sz="6" w:space="0"/>
                  </w:tcBorders>
                  <w:noWrap w:val="0"/>
                  <w:tcMar>
                    <w:left w:w="105" w:type="dxa"/>
                    <w:right w:w="105" w:type="dxa"/>
                  </w:tcMar>
                  <w:vAlign w:val="center"/>
                </w:tcPr>
                <w:p w14:paraId="23AE1B96">
                  <w:pPr>
                    <w:pStyle w:val="17"/>
                    <w:spacing w:before="0" w:beforeAutospacing="0" w:after="0" w:afterAutospacing="0" w:line="460" w:lineRule="exact"/>
                    <w:jc w:val="center"/>
                    <w:rPr>
                      <w:rFonts w:hint="eastAsia" w:ascii="新宋体" w:hAnsi="新宋体" w:eastAsia="新宋体" w:cs="新宋体"/>
                      <w:b/>
                      <w:color w:val="auto"/>
                      <w:sz w:val="22"/>
                      <w:szCs w:val="22"/>
                      <w:highlight w:val="none"/>
                    </w:rPr>
                  </w:pPr>
                  <w:r>
                    <w:rPr>
                      <w:rStyle w:val="22"/>
                      <w:rFonts w:hint="eastAsia" w:ascii="新宋体" w:hAnsi="新宋体" w:eastAsia="新宋体" w:cs="新宋体"/>
                      <w:b/>
                      <w:bCs w:val="0"/>
                      <w:color w:val="auto"/>
                      <w:sz w:val="22"/>
                      <w:szCs w:val="22"/>
                      <w:highlight w:val="none"/>
                    </w:rPr>
                    <w:t>项目名称</w:t>
                  </w:r>
                </w:p>
              </w:tc>
              <w:tc>
                <w:tcPr>
                  <w:tcW w:w="2817" w:type="dxa"/>
                  <w:tcBorders>
                    <w:top w:val="single" w:color="auto" w:sz="6" w:space="0"/>
                    <w:left w:val="nil"/>
                    <w:bottom w:val="single" w:color="auto" w:sz="6" w:space="0"/>
                    <w:right w:val="single" w:color="auto" w:sz="6" w:space="0"/>
                  </w:tcBorders>
                  <w:noWrap w:val="0"/>
                  <w:tcMar>
                    <w:left w:w="105" w:type="dxa"/>
                    <w:right w:w="105" w:type="dxa"/>
                  </w:tcMar>
                  <w:vAlign w:val="center"/>
                </w:tcPr>
                <w:p w14:paraId="3F32185E">
                  <w:pPr>
                    <w:pStyle w:val="17"/>
                    <w:spacing w:before="0" w:beforeAutospacing="0" w:after="0" w:afterAutospacing="0" w:line="460" w:lineRule="exact"/>
                    <w:jc w:val="center"/>
                    <w:rPr>
                      <w:rFonts w:hint="eastAsia" w:ascii="新宋体" w:hAnsi="新宋体" w:eastAsia="新宋体" w:cs="新宋体"/>
                      <w:b/>
                      <w:color w:val="auto"/>
                      <w:sz w:val="22"/>
                      <w:szCs w:val="22"/>
                      <w:highlight w:val="none"/>
                    </w:rPr>
                  </w:pPr>
                  <w:r>
                    <w:rPr>
                      <w:rStyle w:val="22"/>
                      <w:rFonts w:hint="eastAsia" w:ascii="新宋体" w:hAnsi="新宋体" w:eastAsia="新宋体" w:cs="新宋体"/>
                      <w:b/>
                      <w:bCs w:val="0"/>
                      <w:color w:val="auto"/>
                      <w:sz w:val="22"/>
                      <w:szCs w:val="22"/>
                      <w:highlight w:val="none"/>
                    </w:rPr>
                    <w:t>主要采购内容</w:t>
                  </w:r>
                </w:p>
              </w:tc>
              <w:tc>
                <w:tcPr>
                  <w:tcW w:w="2088" w:type="dxa"/>
                  <w:tcBorders>
                    <w:top w:val="single" w:color="auto" w:sz="6" w:space="0"/>
                    <w:left w:val="nil"/>
                    <w:bottom w:val="single" w:color="auto" w:sz="6" w:space="0"/>
                    <w:right w:val="single" w:color="auto" w:sz="6" w:space="0"/>
                  </w:tcBorders>
                  <w:noWrap w:val="0"/>
                  <w:tcMar>
                    <w:left w:w="105" w:type="dxa"/>
                    <w:right w:w="105" w:type="dxa"/>
                  </w:tcMar>
                  <w:vAlign w:val="center"/>
                </w:tcPr>
                <w:p w14:paraId="7905AE71">
                  <w:pPr>
                    <w:pStyle w:val="17"/>
                    <w:spacing w:before="0" w:beforeAutospacing="0" w:after="0" w:afterAutospacing="0" w:line="460" w:lineRule="exact"/>
                    <w:jc w:val="center"/>
                    <w:rPr>
                      <w:rFonts w:hint="eastAsia" w:ascii="新宋体" w:hAnsi="新宋体" w:eastAsia="新宋体" w:cs="新宋体"/>
                      <w:b/>
                      <w:color w:val="auto"/>
                      <w:sz w:val="22"/>
                      <w:szCs w:val="22"/>
                      <w:highlight w:val="none"/>
                    </w:rPr>
                  </w:pPr>
                  <w:r>
                    <w:rPr>
                      <w:rStyle w:val="22"/>
                      <w:rFonts w:hint="eastAsia" w:ascii="新宋体" w:hAnsi="新宋体" w:eastAsia="新宋体" w:cs="新宋体"/>
                      <w:b/>
                      <w:bCs w:val="0"/>
                      <w:color w:val="auto"/>
                      <w:sz w:val="22"/>
                      <w:szCs w:val="22"/>
                      <w:highlight w:val="none"/>
                    </w:rPr>
                    <w:t>采购预算</w:t>
                  </w:r>
                </w:p>
              </w:tc>
            </w:tr>
            <w:tr w14:paraId="330CEDCE">
              <w:tblPrEx>
                <w:tblCellMar>
                  <w:top w:w="0" w:type="dxa"/>
                  <w:left w:w="0" w:type="dxa"/>
                  <w:bottom w:w="0" w:type="dxa"/>
                  <w:right w:w="0" w:type="dxa"/>
                </w:tblCellMar>
              </w:tblPrEx>
              <w:trPr>
                <w:trHeight w:val="690" w:hRule="atLeast"/>
              </w:trPr>
              <w:tc>
                <w:tcPr>
                  <w:tcW w:w="85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3DF9B9E7">
                  <w:pPr>
                    <w:pStyle w:val="17"/>
                    <w:spacing w:before="0" w:beforeAutospacing="0" w:after="0" w:afterAutospacing="0"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3351" w:type="dxa"/>
                  <w:tcBorders>
                    <w:top w:val="nil"/>
                    <w:left w:val="nil"/>
                    <w:bottom w:val="single" w:color="auto" w:sz="6" w:space="0"/>
                    <w:right w:val="single" w:color="auto" w:sz="6" w:space="0"/>
                  </w:tcBorders>
                  <w:noWrap w:val="0"/>
                  <w:tcMar>
                    <w:left w:w="105" w:type="dxa"/>
                    <w:right w:w="105" w:type="dxa"/>
                  </w:tcMar>
                  <w:vAlign w:val="center"/>
                </w:tcPr>
                <w:p w14:paraId="18E3EC41">
                  <w:pPr>
                    <w:pStyle w:val="17"/>
                    <w:spacing w:before="0" w:beforeAutospacing="0" w:after="0" w:afterAutospacing="0"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智算中心 AI 智算系统及智算管理平台（第三期）</w:t>
                  </w:r>
                </w:p>
              </w:tc>
              <w:tc>
                <w:tcPr>
                  <w:tcW w:w="2817" w:type="dxa"/>
                  <w:tcBorders>
                    <w:top w:val="nil"/>
                    <w:left w:val="nil"/>
                    <w:bottom w:val="single" w:color="auto" w:sz="6" w:space="0"/>
                    <w:right w:val="single" w:color="auto" w:sz="6" w:space="0"/>
                  </w:tcBorders>
                  <w:noWrap w:val="0"/>
                  <w:tcMar>
                    <w:left w:w="105" w:type="dxa"/>
                    <w:right w:w="105" w:type="dxa"/>
                  </w:tcMar>
                  <w:vAlign w:val="center"/>
                </w:tcPr>
                <w:p w14:paraId="5CF3242B">
                  <w:pPr>
                    <w:pStyle w:val="17"/>
                    <w:spacing w:before="0" w:beforeAutospacing="0" w:after="0" w:afterAutospacing="0"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详见第四部分采购内容及要求。</w:t>
                  </w:r>
                </w:p>
              </w:tc>
              <w:tc>
                <w:tcPr>
                  <w:tcW w:w="2088" w:type="dxa"/>
                  <w:tcBorders>
                    <w:top w:val="nil"/>
                    <w:left w:val="nil"/>
                    <w:bottom w:val="single" w:color="auto" w:sz="6" w:space="0"/>
                    <w:right w:val="single" w:color="auto" w:sz="6" w:space="0"/>
                  </w:tcBorders>
                  <w:noWrap w:val="0"/>
                  <w:tcMar>
                    <w:left w:w="105" w:type="dxa"/>
                    <w:right w:w="105" w:type="dxa"/>
                  </w:tcMar>
                  <w:vAlign w:val="center"/>
                </w:tcPr>
                <w:p w14:paraId="1E888794">
                  <w:pPr>
                    <w:pStyle w:val="17"/>
                    <w:spacing w:before="0" w:beforeAutospacing="0" w:after="0" w:afterAutospacing="0"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eastAsia="zh-CN"/>
                    </w:rPr>
                    <w:t>45.352万元</w:t>
                  </w:r>
                </w:p>
              </w:tc>
            </w:tr>
          </w:tbl>
          <w:p w14:paraId="07DDDBF4">
            <w:pPr>
              <w:pStyle w:val="8"/>
              <w:ind w:firstLine="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▲如投标人报价超过预算金额按无效标处理。</w:t>
            </w:r>
          </w:p>
        </w:tc>
      </w:tr>
      <w:tr w14:paraId="50E26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83" w:type="dxa"/>
            <w:shd w:val="clear" w:color="auto" w:fill="FFFFFF"/>
            <w:noWrap w:val="0"/>
            <w:vAlign w:val="center"/>
          </w:tcPr>
          <w:p w14:paraId="2AF6F6D2">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w:t>
            </w:r>
          </w:p>
        </w:tc>
        <w:tc>
          <w:tcPr>
            <w:tcW w:w="9286" w:type="dxa"/>
            <w:shd w:val="clear" w:color="auto" w:fill="FFFFFF"/>
            <w:noWrap w:val="0"/>
            <w:vAlign w:val="center"/>
          </w:tcPr>
          <w:p w14:paraId="3C3C74CE">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zh-CN"/>
              </w:rPr>
              <w:t>投标</w:t>
            </w:r>
            <w:r>
              <w:rPr>
                <w:rFonts w:hint="eastAsia" w:ascii="新宋体" w:hAnsi="新宋体" w:eastAsia="新宋体" w:cs="新宋体"/>
                <w:b/>
                <w:bCs/>
                <w:color w:val="auto"/>
                <w:sz w:val="22"/>
                <w:szCs w:val="22"/>
                <w:highlight w:val="none"/>
              </w:rPr>
              <w:t>有效期：</w:t>
            </w:r>
            <w:r>
              <w:rPr>
                <w:rFonts w:hint="eastAsia" w:ascii="新宋体" w:hAnsi="新宋体" w:eastAsia="新宋体" w:cs="新宋体"/>
                <w:color w:val="auto"/>
                <w:sz w:val="22"/>
                <w:szCs w:val="22"/>
                <w:highlight w:val="none"/>
              </w:rPr>
              <w:t>自投标截止日起90天。</w:t>
            </w:r>
          </w:p>
        </w:tc>
      </w:tr>
      <w:tr w14:paraId="50D07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83" w:type="dxa"/>
            <w:shd w:val="clear" w:color="auto" w:fill="FFFFFF"/>
            <w:noWrap w:val="0"/>
            <w:vAlign w:val="center"/>
          </w:tcPr>
          <w:p w14:paraId="61BECC3D">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w:t>
            </w:r>
          </w:p>
        </w:tc>
        <w:tc>
          <w:tcPr>
            <w:tcW w:w="9286" w:type="dxa"/>
            <w:shd w:val="clear" w:color="auto" w:fill="FFFFFF"/>
            <w:noWrap w:val="0"/>
            <w:vAlign w:val="center"/>
          </w:tcPr>
          <w:p w14:paraId="0F04C983">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投标保证金数额：人民币</w:t>
            </w:r>
            <w:r>
              <w:rPr>
                <w:rFonts w:hint="eastAsia" w:ascii="新宋体" w:hAnsi="新宋体" w:eastAsia="新宋体" w:cs="新宋体"/>
                <w:b/>
                <w:bCs/>
                <w:color w:val="auto"/>
                <w:sz w:val="22"/>
                <w:szCs w:val="22"/>
                <w:highlight w:val="none"/>
                <w:lang w:val="en-US" w:eastAsia="zh-CN"/>
              </w:rPr>
              <w:t>肆仟</w:t>
            </w:r>
            <w:r>
              <w:rPr>
                <w:rFonts w:hint="eastAsia" w:ascii="新宋体" w:hAnsi="新宋体" w:eastAsia="新宋体" w:cs="新宋体"/>
                <w:b/>
                <w:bCs/>
                <w:color w:val="auto"/>
                <w:sz w:val="22"/>
                <w:szCs w:val="22"/>
                <w:highlight w:val="none"/>
              </w:rPr>
              <w:t>元整</w:t>
            </w:r>
            <w:r>
              <w:rPr>
                <w:rFonts w:hint="eastAsia" w:ascii="新宋体" w:hAnsi="新宋体" w:eastAsia="新宋体" w:cs="新宋体"/>
                <w:color w:val="auto"/>
                <w:sz w:val="22"/>
                <w:szCs w:val="22"/>
                <w:highlight w:val="none"/>
              </w:rPr>
              <w:t>。</w:t>
            </w:r>
          </w:p>
        </w:tc>
      </w:tr>
      <w:tr w14:paraId="4C94C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83" w:type="dxa"/>
            <w:shd w:val="clear" w:color="auto" w:fill="FFFFFF"/>
            <w:noWrap w:val="0"/>
            <w:vAlign w:val="center"/>
          </w:tcPr>
          <w:p w14:paraId="6178D255">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w:t>
            </w:r>
          </w:p>
        </w:tc>
        <w:tc>
          <w:tcPr>
            <w:tcW w:w="9286" w:type="dxa"/>
            <w:shd w:val="clear" w:color="auto" w:fill="FFFFFF"/>
            <w:noWrap w:val="0"/>
            <w:vAlign w:val="center"/>
          </w:tcPr>
          <w:p w14:paraId="5188460D">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采购代理服务费：人民币</w:t>
            </w:r>
            <w:r>
              <w:rPr>
                <w:rFonts w:hint="eastAsia" w:ascii="新宋体" w:hAnsi="新宋体" w:eastAsia="新宋体" w:cs="新宋体"/>
                <w:b/>
                <w:bCs/>
                <w:color w:val="auto"/>
                <w:sz w:val="22"/>
                <w:szCs w:val="22"/>
                <w:highlight w:val="none"/>
                <w:lang w:val="en-US" w:eastAsia="zh-CN"/>
              </w:rPr>
              <w:t>陆仟</w:t>
            </w:r>
            <w:r>
              <w:rPr>
                <w:rFonts w:hint="eastAsia" w:ascii="新宋体" w:hAnsi="新宋体" w:eastAsia="新宋体" w:cs="新宋体"/>
                <w:b/>
                <w:bCs/>
                <w:color w:val="auto"/>
                <w:sz w:val="22"/>
                <w:szCs w:val="22"/>
                <w:highlight w:val="none"/>
              </w:rPr>
              <w:t>元整（¥</w:t>
            </w:r>
            <w:r>
              <w:rPr>
                <w:rFonts w:hint="eastAsia" w:ascii="新宋体" w:hAnsi="新宋体" w:eastAsia="新宋体" w:cs="新宋体"/>
                <w:b/>
                <w:bCs/>
                <w:color w:val="auto"/>
                <w:sz w:val="22"/>
                <w:szCs w:val="22"/>
                <w:highlight w:val="none"/>
                <w:lang w:val="en-US" w:eastAsia="zh-CN"/>
              </w:rPr>
              <w:t>6000</w:t>
            </w:r>
            <w:r>
              <w:rPr>
                <w:rFonts w:hint="eastAsia" w:ascii="新宋体" w:hAnsi="新宋体" w:eastAsia="新宋体" w:cs="新宋体"/>
                <w:b/>
                <w:bCs/>
                <w:color w:val="auto"/>
                <w:sz w:val="22"/>
                <w:szCs w:val="22"/>
                <w:highlight w:val="none"/>
              </w:rPr>
              <w:t>.00元）,由中标人在领取中标通知书时支付</w:t>
            </w:r>
            <w:r>
              <w:rPr>
                <w:rFonts w:hint="eastAsia" w:ascii="新宋体" w:hAnsi="新宋体" w:eastAsia="新宋体" w:cs="新宋体"/>
                <w:b/>
                <w:bCs/>
                <w:color w:val="auto"/>
                <w:sz w:val="22"/>
                <w:highlight w:val="none"/>
              </w:rPr>
              <w:t>。</w:t>
            </w:r>
          </w:p>
          <w:p w14:paraId="21ED520E">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户   名：温州历程招标有限公司</w:t>
            </w:r>
          </w:p>
          <w:p w14:paraId="0EC16333">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账   号：33050162870409101001</w:t>
            </w:r>
          </w:p>
          <w:p w14:paraId="56969C92">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开户银行：中国建设银行股份有限公司温州新城支行</w:t>
            </w:r>
          </w:p>
        </w:tc>
      </w:tr>
      <w:tr w14:paraId="166CC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83" w:type="dxa"/>
            <w:shd w:val="clear" w:color="auto" w:fill="FFFFFF"/>
            <w:noWrap w:val="0"/>
            <w:vAlign w:val="center"/>
          </w:tcPr>
          <w:p w14:paraId="3C5778F6">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w:t>
            </w:r>
          </w:p>
        </w:tc>
        <w:tc>
          <w:tcPr>
            <w:tcW w:w="9286" w:type="dxa"/>
            <w:shd w:val="clear" w:color="auto" w:fill="FFFFFF"/>
            <w:noWrap w:val="0"/>
            <w:vAlign w:val="center"/>
          </w:tcPr>
          <w:p w14:paraId="5ACEC67C">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投标文件的组成：</w:t>
            </w:r>
            <w:r>
              <w:rPr>
                <w:rFonts w:hint="eastAsia" w:ascii="新宋体" w:hAnsi="新宋体" w:eastAsia="新宋体" w:cs="新宋体"/>
                <w:color w:val="auto"/>
                <w:sz w:val="22"/>
                <w:szCs w:val="22"/>
                <w:highlight w:val="none"/>
                <w:lang w:bidi="ar"/>
              </w:rPr>
              <w:t>完整的《投标文件》由</w:t>
            </w:r>
            <w:r>
              <w:rPr>
                <w:rFonts w:hint="eastAsia" w:ascii="新宋体" w:hAnsi="新宋体" w:eastAsia="新宋体" w:cs="新宋体"/>
                <w:color w:val="auto"/>
                <w:sz w:val="22"/>
                <w:szCs w:val="22"/>
                <w:highlight w:val="none"/>
              </w:rPr>
              <w:t>技术标和商务标两部分构成。</w:t>
            </w:r>
          </w:p>
        </w:tc>
      </w:tr>
      <w:tr w14:paraId="77021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83" w:type="dxa"/>
            <w:shd w:val="clear" w:color="auto" w:fill="FFFFFF"/>
            <w:noWrap w:val="0"/>
            <w:vAlign w:val="center"/>
          </w:tcPr>
          <w:p w14:paraId="2038ADAB">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6</w:t>
            </w:r>
          </w:p>
        </w:tc>
        <w:tc>
          <w:tcPr>
            <w:tcW w:w="9286" w:type="dxa"/>
            <w:shd w:val="clear" w:color="auto" w:fill="FFFFFF"/>
            <w:noWrap w:val="0"/>
            <w:vAlign w:val="center"/>
          </w:tcPr>
          <w:p w14:paraId="709A335C">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投标文件的形式：</w:t>
            </w:r>
            <w:r>
              <w:rPr>
                <w:rFonts w:hint="eastAsia" w:ascii="新宋体" w:hAnsi="新宋体" w:eastAsia="新宋体" w:cs="新宋体"/>
                <w:color w:val="auto"/>
                <w:sz w:val="22"/>
                <w:szCs w:val="22"/>
                <w:highlight w:val="none"/>
                <w:lang w:bidi="ar"/>
              </w:rPr>
              <w:t>☑线下纸质投标文件</w:t>
            </w:r>
          </w:p>
        </w:tc>
      </w:tr>
      <w:tr w14:paraId="2683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83" w:type="dxa"/>
            <w:shd w:val="clear" w:color="auto" w:fill="FFFFFF"/>
            <w:noWrap w:val="0"/>
            <w:vAlign w:val="center"/>
          </w:tcPr>
          <w:p w14:paraId="795D2280">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7</w:t>
            </w:r>
          </w:p>
        </w:tc>
        <w:tc>
          <w:tcPr>
            <w:tcW w:w="9286" w:type="dxa"/>
            <w:shd w:val="clear" w:color="auto" w:fill="FFFFFF"/>
            <w:noWrap w:val="0"/>
            <w:vAlign w:val="center"/>
          </w:tcPr>
          <w:p w14:paraId="7D0ADC50">
            <w:pPr>
              <w:spacing w:line="4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
                <w:bCs/>
                <w:color w:val="auto"/>
                <w:sz w:val="22"/>
                <w:szCs w:val="22"/>
                <w:highlight w:val="none"/>
                <w:lang w:bidi="ar"/>
              </w:rPr>
              <w:t>投标文件份数：</w:t>
            </w:r>
            <w:r>
              <w:rPr>
                <w:rFonts w:hint="eastAsia" w:ascii="新宋体" w:hAnsi="新宋体" w:eastAsia="新宋体" w:cs="新宋体"/>
                <w:bCs/>
                <w:color w:val="auto"/>
                <w:sz w:val="22"/>
                <w:szCs w:val="22"/>
                <w:highlight w:val="none"/>
              </w:rPr>
              <w:t>投标人应提供技术标、商务标各一式</w:t>
            </w:r>
            <w:r>
              <w:rPr>
                <w:rFonts w:hint="eastAsia" w:ascii="新宋体" w:hAnsi="新宋体" w:eastAsia="新宋体" w:cs="新宋体"/>
                <w:bCs/>
                <w:color w:val="auto"/>
                <w:sz w:val="22"/>
                <w:szCs w:val="22"/>
                <w:highlight w:val="none"/>
                <w:lang w:val="en-US" w:eastAsia="zh-CN"/>
              </w:rPr>
              <w:t>陆</w:t>
            </w:r>
            <w:r>
              <w:rPr>
                <w:rFonts w:hint="eastAsia" w:ascii="新宋体" w:hAnsi="新宋体" w:eastAsia="新宋体" w:cs="新宋体"/>
                <w:bCs/>
                <w:color w:val="auto"/>
                <w:sz w:val="22"/>
                <w:szCs w:val="22"/>
                <w:highlight w:val="none"/>
              </w:rPr>
              <w:t>份的投标文件，分别装订成册。其中正本一份、副本</w:t>
            </w:r>
            <w:r>
              <w:rPr>
                <w:rFonts w:hint="eastAsia" w:ascii="新宋体" w:hAnsi="新宋体" w:eastAsia="新宋体" w:cs="新宋体"/>
                <w:bCs/>
                <w:color w:val="auto"/>
                <w:sz w:val="22"/>
                <w:szCs w:val="22"/>
                <w:highlight w:val="none"/>
                <w:lang w:val="en-US" w:eastAsia="zh-CN"/>
              </w:rPr>
              <w:t>伍</w:t>
            </w:r>
            <w:r>
              <w:rPr>
                <w:rFonts w:hint="eastAsia" w:ascii="新宋体" w:hAnsi="新宋体" w:eastAsia="新宋体" w:cs="新宋体"/>
                <w:bCs/>
                <w:color w:val="auto"/>
                <w:sz w:val="22"/>
                <w:szCs w:val="22"/>
                <w:highlight w:val="none"/>
              </w:rPr>
              <w:t>份，每套投标文件的封面应清楚标明“正本”或“副本”字样，若“正本”与“副本”不符，以“正本”为准。</w:t>
            </w:r>
          </w:p>
          <w:p w14:paraId="5E6FF8DB">
            <w:pPr>
              <w:spacing w:line="460" w:lineRule="exact"/>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
                <w:bCs w:val="0"/>
                <w:color w:val="auto"/>
                <w:kern w:val="2"/>
                <w:sz w:val="22"/>
                <w:szCs w:val="22"/>
                <w:highlight w:val="none"/>
                <w:lang w:val="en-US" w:eastAsia="zh-CN" w:bidi="ar-SA"/>
              </w:rPr>
              <w:t>电子文档：</w:t>
            </w:r>
            <w:r>
              <w:rPr>
                <w:rFonts w:hint="eastAsia" w:ascii="新宋体" w:hAnsi="新宋体" w:eastAsia="新宋体" w:cs="新宋体"/>
                <w:bCs/>
                <w:color w:val="auto"/>
                <w:sz w:val="22"/>
                <w:szCs w:val="22"/>
                <w:highlight w:val="none"/>
                <w:lang w:val="en-US" w:eastAsia="zh-CN"/>
              </w:rPr>
              <w:t>投标</w:t>
            </w:r>
            <w:r>
              <w:rPr>
                <w:rFonts w:hint="eastAsia" w:ascii="新宋体" w:hAnsi="新宋体" w:eastAsia="新宋体" w:cs="新宋体"/>
                <w:bCs/>
                <w:color w:val="auto"/>
                <w:kern w:val="2"/>
                <w:sz w:val="22"/>
                <w:szCs w:val="22"/>
                <w:highlight w:val="none"/>
                <w:lang w:val="en-US" w:eastAsia="zh-CN" w:bidi="ar-SA"/>
              </w:rPr>
              <w:t>响应文件正本扫描件一份（签字盖章，PDF格式），以U盘形式（装入密封袋）</w:t>
            </w:r>
          </w:p>
          <w:p w14:paraId="46ED36F1">
            <w:pPr>
              <w:spacing w:line="460" w:lineRule="exact"/>
              <w:rPr>
                <w:rFonts w:hint="eastAsia"/>
                <w:color w:val="auto"/>
                <w:highlight w:val="none"/>
              </w:rPr>
            </w:pPr>
            <w:r>
              <w:rPr>
                <w:rFonts w:hint="eastAsia" w:ascii="新宋体" w:hAnsi="新宋体" w:eastAsia="新宋体" w:cs="新宋体"/>
                <w:bCs/>
                <w:color w:val="auto"/>
                <w:kern w:val="2"/>
                <w:sz w:val="22"/>
                <w:szCs w:val="22"/>
                <w:highlight w:val="none"/>
                <w:lang w:val="en-US" w:eastAsia="zh-CN" w:bidi="ar-SA"/>
              </w:rPr>
              <w:t>提交。电子文档只作为备案，不作评审依据。</w:t>
            </w:r>
          </w:p>
        </w:tc>
      </w:tr>
      <w:tr w14:paraId="05AF4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83" w:type="dxa"/>
            <w:shd w:val="clear" w:color="auto" w:fill="FFFFFF"/>
            <w:noWrap w:val="0"/>
            <w:vAlign w:val="center"/>
          </w:tcPr>
          <w:p w14:paraId="6C1A9E0B">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w:t>
            </w:r>
          </w:p>
        </w:tc>
        <w:tc>
          <w:tcPr>
            <w:tcW w:w="9286" w:type="dxa"/>
            <w:shd w:val="clear" w:color="auto" w:fill="FFFFFF"/>
            <w:noWrap w:val="0"/>
            <w:vAlign w:val="center"/>
          </w:tcPr>
          <w:p w14:paraId="16621424">
            <w:pPr>
              <w:snapToGrid w:val="0"/>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投标截止时间：</w:t>
            </w:r>
            <w:r>
              <w:rPr>
                <w:rFonts w:hint="eastAsia" w:ascii="新宋体" w:hAnsi="新宋体" w:eastAsia="新宋体" w:cs="新宋体"/>
                <w:color w:val="auto"/>
                <w:sz w:val="22"/>
                <w:szCs w:val="22"/>
                <w:highlight w:val="none"/>
                <w:lang w:eastAsia="zh-CN"/>
              </w:rPr>
              <w:t>2024年</w:t>
            </w:r>
            <w:r>
              <w:rPr>
                <w:rFonts w:hint="eastAsia" w:ascii="新宋体" w:hAnsi="新宋体" w:eastAsia="新宋体" w:cs="新宋体"/>
                <w:color w:val="auto"/>
                <w:sz w:val="22"/>
                <w:szCs w:val="22"/>
                <w:highlight w:val="none"/>
                <w:lang w:val="en-US" w:eastAsia="zh-CN"/>
              </w:rPr>
              <w:t>11</w:t>
            </w:r>
            <w:r>
              <w:rPr>
                <w:rFonts w:hint="eastAsia" w:ascii="新宋体" w:hAnsi="新宋体" w:eastAsia="新宋体" w:cs="新宋体"/>
                <w:color w:val="auto"/>
                <w:sz w:val="22"/>
                <w:szCs w:val="22"/>
                <w:highlight w:val="none"/>
                <w:lang w:eastAsia="zh-CN"/>
              </w:rPr>
              <w:t>月</w:t>
            </w:r>
            <w:r>
              <w:rPr>
                <w:rFonts w:hint="eastAsia" w:ascii="新宋体" w:hAnsi="新宋体" w:eastAsia="新宋体" w:cs="新宋体"/>
                <w:color w:val="auto"/>
                <w:sz w:val="22"/>
                <w:szCs w:val="22"/>
                <w:highlight w:val="none"/>
                <w:lang w:val="en-US" w:eastAsia="zh-CN"/>
              </w:rPr>
              <w:t>18</w:t>
            </w:r>
            <w:r>
              <w:rPr>
                <w:rFonts w:hint="eastAsia" w:ascii="新宋体" w:hAnsi="新宋体" w:eastAsia="新宋体" w:cs="新宋体"/>
                <w:color w:val="auto"/>
                <w:sz w:val="22"/>
                <w:szCs w:val="22"/>
                <w:highlight w:val="none"/>
                <w:lang w:eastAsia="zh-CN"/>
              </w:rPr>
              <w:t>日</w:t>
            </w:r>
            <w:r>
              <w:rPr>
                <w:rFonts w:hint="eastAsia" w:ascii="新宋体" w:hAnsi="新宋体" w:eastAsia="新宋体" w:cs="新宋体"/>
                <w:color w:val="auto"/>
                <w:sz w:val="22"/>
                <w:szCs w:val="22"/>
                <w:highlight w:val="none"/>
              </w:rPr>
              <w:t>09:30</w:t>
            </w:r>
            <w:r>
              <w:rPr>
                <w:rFonts w:hint="eastAsia" w:ascii="新宋体" w:hAnsi="新宋体" w:eastAsia="新宋体" w:cs="新宋体"/>
                <w:color w:val="auto"/>
                <w:sz w:val="22"/>
                <w:szCs w:val="22"/>
                <w:highlight w:val="none"/>
                <w:lang w:bidi="ar"/>
              </w:rPr>
              <w:t>。</w:t>
            </w:r>
          </w:p>
        </w:tc>
      </w:tr>
      <w:tr w14:paraId="16796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83" w:type="dxa"/>
            <w:shd w:val="clear" w:color="auto" w:fill="FFFFFF"/>
            <w:noWrap w:val="0"/>
            <w:vAlign w:val="center"/>
          </w:tcPr>
          <w:p w14:paraId="51721775">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w:t>
            </w:r>
          </w:p>
        </w:tc>
        <w:tc>
          <w:tcPr>
            <w:tcW w:w="9286" w:type="dxa"/>
            <w:shd w:val="clear" w:color="auto" w:fill="FFFFFF"/>
            <w:noWrap w:val="0"/>
            <w:vAlign w:val="center"/>
          </w:tcPr>
          <w:p w14:paraId="0BCFF505">
            <w:pPr>
              <w:snapToGrid w:val="0"/>
              <w:spacing w:line="460" w:lineRule="exact"/>
              <w:rPr>
                <w:rFonts w:hint="default" w:ascii="新宋体" w:hAnsi="新宋体" w:eastAsia="新宋体" w:cs="新宋体"/>
                <w:color w:val="auto"/>
                <w:sz w:val="22"/>
                <w:szCs w:val="22"/>
                <w:highlight w:val="none"/>
                <w:lang w:val="en-US" w:eastAsia="zh-CN" w:bidi="ar"/>
              </w:rPr>
            </w:pPr>
            <w:r>
              <w:rPr>
                <w:rFonts w:hint="eastAsia" w:ascii="新宋体" w:hAnsi="新宋体" w:eastAsia="新宋体" w:cs="新宋体"/>
                <w:b/>
                <w:bCs/>
                <w:color w:val="auto"/>
                <w:sz w:val="22"/>
                <w:szCs w:val="22"/>
                <w:highlight w:val="none"/>
                <w:lang w:bidi="ar"/>
              </w:rPr>
              <w:t>投标地点：</w:t>
            </w:r>
            <w:r>
              <w:rPr>
                <w:rFonts w:hint="eastAsia" w:ascii="新宋体" w:hAnsi="新宋体" w:eastAsia="新宋体" w:cs="新宋体"/>
                <w:color w:val="auto"/>
                <w:sz w:val="22"/>
                <w:szCs w:val="22"/>
                <w:highlight w:val="none"/>
              </w:rPr>
              <w:t>温州市鹿城区南汇街道勤民路鹿城壹号18幢803室</w:t>
            </w:r>
            <w:r>
              <w:rPr>
                <w:rFonts w:hint="eastAsia" w:ascii="新宋体" w:hAnsi="新宋体" w:eastAsia="新宋体" w:cs="新宋体"/>
                <w:color w:val="auto"/>
                <w:sz w:val="22"/>
                <w:szCs w:val="22"/>
                <w:highlight w:val="none"/>
                <w:lang w:val="en-US" w:eastAsia="zh-CN"/>
              </w:rPr>
              <w:t xml:space="preserve"> </w:t>
            </w:r>
          </w:p>
        </w:tc>
      </w:tr>
      <w:tr w14:paraId="6DAD2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83" w:type="dxa"/>
            <w:shd w:val="clear" w:color="auto" w:fill="FFFFFF"/>
            <w:noWrap w:val="0"/>
            <w:vAlign w:val="center"/>
          </w:tcPr>
          <w:p w14:paraId="4E912FC8">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w:t>
            </w:r>
          </w:p>
        </w:tc>
        <w:tc>
          <w:tcPr>
            <w:tcW w:w="9286" w:type="dxa"/>
            <w:shd w:val="clear" w:color="auto" w:fill="FFFFFF"/>
            <w:noWrap w:val="0"/>
            <w:vAlign w:val="center"/>
          </w:tcPr>
          <w:p w14:paraId="3E595BE9">
            <w:pPr>
              <w:widowControl/>
              <w:snapToGrid w:val="0"/>
              <w:spacing w:line="460" w:lineRule="exact"/>
              <w:jc w:val="lef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开标时间和地点：</w:t>
            </w:r>
            <w:r>
              <w:rPr>
                <w:rFonts w:hint="eastAsia" w:ascii="新宋体" w:hAnsi="新宋体" w:eastAsia="新宋体" w:cs="新宋体"/>
                <w:color w:val="auto"/>
                <w:sz w:val="22"/>
                <w:szCs w:val="22"/>
                <w:highlight w:val="none"/>
                <w:lang w:bidi="ar"/>
              </w:rPr>
              <w:t>同投标截止时间与地点</w:t>
            </w:r>
          </w:p>
        </w:tc>
      </w:tr>
      <w:tr w14:paraId="3479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83" w:type="dxa"/>
            <w:shd w:val="clear" w:color="auto" w:fill="FFFFFF"/>
            <w:noWrap w:val="0"/>
            <w:vAlign w:val="center"/>
          </w:tcPr>
          <w:p w14:paraId="3BDEE750">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11</w:t>
            </w:r>
          </w:p>
        </w:tc>
        <w:tc>
          <w:tcPr>
            <w:tcW w:w="9286" w:type="dxa"/>
            <w:shd w:val="clear" w:color="auto" w:fill="FFFFFF"/>
            <w:noWrap w:val="0"/>
            <w:vAlign w:val="center"/>
          </w:tcPr>
          <w:p w14:paraId="508BB6ED">
            <w:pPr>
              <w:snapToGrid w:val="0"/>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rPr>
              <w:t>“▲”为实质性响应项，不满足则报价无效。“★”是关键技术参数及要求</w:t>
            </w:r>
            <w:r>
              <w:rPr>
                <w:rFonts w:hint="eastAsia" w:ascii="新宋体" w:hAnsi="新宋体" w:eastAsia="新宋体" w:cs="新宋体"/>
                <w:color w:val="auto"/>
                <w:sz w:val="22"/>
                <w:szCs w:val="22"/>
                <w:highlight w:val="none"/>
                <w:lang w:bidi="ar"/>
              </w:rPr>
              <w:t>。</w:t>
            </w:r>
          </w:p>
        </w:tc>
      </w:tr>
      <w:tr w14:paraId="3C6EC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83" w:type="dxa"/>
            <w:shd w:val="clear" w:color="auto" w:fill="FFFFFF"/>
            <w:noWrap w:val="0"/>
            <w:vAlign w:val="center"/>
          </w:tcPr>
          <w:p w14:paraId="77182201">
            <w:pPr>
              <w:widowControl/>
              <w:snapToGrid w:val="0"/>
              <w:spacing w:line="460" w:lineRule="exact"/>
              <w:jc w:val="center"/>
              <w:textAlignment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lang w:bidi="ar"/>
              </w:rPr>
              <w:t>12</w:t>
            </w:r>
          </w:p>
        </w:tc>
        <w:tc>
          <w:tcPr>
            <w:tcW w:w="9286" w:type="dxa"/>
            <w:shd w:val="clear" w:color="auto" w:fill="FFFFFF"/>
            <w:noWrap w:val="0"/>
            <w:vAlign w:val="center"/>
          </w:tcPr>
          <w:p w14:paraId="7203772F">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1）采购人或采购代理机构将对本项目供应商的信用记录进行查询。查询渠道为信用中国网站（www.creditchina.gov.cn）、中国政府采购网（www.ccgp.gov.cn）；</w:t>
            </w:r>
          </w:p>
          <w:p w14:paraId="49CA91DF">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2）截止时点：</w:t>
            </w:r>
            <w:r>
              <w:rPr>
                <w:rFonts w:hint="eastAsia" w:ascii="新宋体" w:hAnsi="新宋体" w:eastAsia="新宋体" w:cs="新宋体"/>
                <w:color w:val="auto"/>
                <w:sz w:val="22"/>
                <w:highlight w:val="none"/>
              </w:rPr>
              <w:t>采购公告发布之日至投标截止时间前</w:t>
            </w:r>
            <w:r>
              <w:rPr>
                <w:rFonts w:hint="eastAsia" w:ascii="新宋体" w:hAnsi="新宋体" w:eastAsia="新宋体" w:cs="新宋体"/>
                <w:color w:val="auto"/>
                <w:sz w:val="22"/>
                <w:szCs w:val="22"/>
                <w:highlight w:val="none"/>
              </w:rPr>
              <w:t>；</w:t>
            </w:r>
          </w:p>
          <w:p w14:paraId="6412A19E">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3）查询记录和证据的留存：信用信息查询记录和证据以网页截图等方式留存。</w:t>
            </w:r>
          </w:p>
          <w:p w14:paraId="5C66D151">
            <w:pPr>
              <w:snapToGrid w:val="0"/>
              <w:spacing w:line="460" w:lineRule="exact"/>
              <w:ind w:left="105" w:leftChars="50"/>
              <w:rPr>
                <w:rFonts w:hint="eastAsia" w:ascii="新宋体" w:hAnsi="新宋体" w:eastAsia="新宋体" w:cs="新宋体"/>
                <w:b/>
                <w:color w:val="auto"/>
                <w:kern w:val="10"/>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4）使用规则：被列入失信被执行人、重大税收违法案件当事人名单、采购严重违法失信行为记录名单，其投标将被拒绝。</w:t>
            </w:r>
          </w:p>
        </w:tc>
      </w:tr>
    </w:tbl>
    <w:p w14:paraId="744D499A">
      <w:pPr>
        <w:spacing w:before="100" w:beforeAutospacing="1" w:after="100" w:afterAutospacing="1" w:line="460" w:lineRule="exact"/>
        <w:jc w:val="center"/>
        <w:outlineLvl w:val="1"/>
        <w:rPr>
          <w:rFonts w:hint="eastAsia" w:ascii="新宋体" w:hAnsi="新宋体" w:eastAsia="新宋体" w:cs="新宋体"/>
          <w:b/>
          <w:bCs/>
          <w:color w:val="auto"/>
          <w:sz w:val="32"/>
          <w:szCs w:val="32"/>
          <w:highlight w:val="none"/>
        </w:rPr>
      </w:pPr>
      <w:bookmarkStart w:id="26" w:name="_Toc14571"/>
      <w:r>
        <w:rPr>
          <w:rFonts w:hint="eastAsia" w:ascii="新宋体" w:hAnsi="新宋体" w:eastAsia="新宋体" w:cs="新宋体"/>
          <w:b/>
          <w:bCs/>
          <w:color w:val="auto"/>
          <w:sz w:val="26"/>
          <w:szCs w:val="26"/>
          <w:highlight w:val="none"/>
        </w:rPr>
        <w:t>一、 说   明</w:t>
      </w:r>
      <w:bookmarkEnd w:id="26"/>
    </w:p>
    <w:p w14:paraId="3D66F701">
      <w:pPr>
        <w:tabs>
          <w:tab w:val="left" w:pos="360"/>
        </w:tabs>
        <w:spacing w:line="460" w:lineRule="exact"/>
        <w:ind w:firstLine="550" w:firstLineChars="25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1、本次采购是根据</w:t>
      </w:r>
      <w:r>
        <w:rPr>
          <w:rFonts w:hint="eastAsia" w:ascii="新宋体" w:hAnsi="新宋体" w:eastAsia="新宋体" w:cs="新宋体"/>
          <w:color w:val="auto"/>
          <w:sz w:val="22"/>
          <w:highlight w:val="none"/>
        </w:rPr>
        <w:t>《温州市市属国有企业采购管理办法》温国资委〔2024〕51号</w:t>
      </w:r>
      <w:r>
        <w:rPr>
          <w:rFonts w:hint="eastAsia" w:ascii="新宋体" w:hAnsi="新宋体" w:eastAsia="新宋体" w:cs="新宋体"/>
          <w:color w:val="auto"/>
          <w:sz w:val="22"/>
          <w:szCs w:val="22"/>
          <w:highlight w:val="none"/>
        </w:rPr>
        <w:t>等法律及有关法规组织和实施的。</w:t>
      </w:r>
    </w:p>
    <w:p w14:paraId="72BE16FE">
      <w:pPr>
        <w:spacing w:line="460" w:lineRule="exact"/>
        <w:ind w:firstLine="541" w:firstLineChars="245"/>
        <w:rPr>
          <w:rFonts w:hint="eastAsia" w:ascii="新宋体" w:hAnsi="新宋体" w:eastAsia="新宋体" w:cs="新宋体"/>
          <w:b/>
          <w:color w:val="auto"/>
          <w:sz w:val="22"/>
          <w:szCs w:val="22"/>
          <w:highlight w:val="none"/>
        </w:rPr>
      </w:pPr>
      <w:bookmarkStart w:id="27" w:name="_Toc14913"/>
      <w:r>
        <w:rPr>
          <w:rFonts w:hint="eastAsia" w:ascii="新宋体" w:hAnsi="新宋体" w:eastAsia="新宋体" w:cs="新宋体"/>
          <w:b/>
          <w:color w:val="auto"/>
          <w:sz w:val="22"/>
          <w:szCs w:val="22"/>
          <w:highlight w:val="none"/>
        </w:rPr>
        <w:t>2、定义</w:t>
      </w:r>
      <w:bookmarkEnd w:id="27"/>
    </w:p>
    <w:p w14:paraId="2EF44879">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采购人：是指依</w:t>
      </w:r>
      <w:r>
        <w:rPr>
          <w:rFonts w:hint="eastAsia" w:ascii="新宋体" w:hAnsi="新宋体" w:eastAsia="新宋体" w:cs="新宋体"/>
          <w:color w:val="auto"/>
          <w:sz w:val="22"/>
          <w:highlight w:val="none"/>
        </w:rPr>
        <w:t>《温州市市属国有企业采购管理办法》温国资委〔2024〕51号</w:t>
      </w:r>
      <w:r>
        <w:rPr>
          <w:rFonts w:hint="eastAsia" w:ascii="新宋体" w:hAnsi="新宋体" w:eastAsia="新宋体" w:cs="新宋体"/>
          <w:bCs/>
          <w:color w:val="auto"/>
          <w:sz w:val="22"/>
          <w:szCs w:val="22"/>
          <w:highlight w:val="none"/>
        </w:rPr>
        <w:t>进行采购的</w:t>
      </w:r>
      <w:r>
        <w:rPr>
          <w:rFonts w:hint="eastAsia" w:ascii="新宋体" w:hAnsi="新宋体" w:eastAsia="新宋体" w:cs="新宋体"/>
          <w:color w:val="auto"/>
          <w:sz w:val="22"/>
          <w:szCs w:val="22"/>
          <w:highlight w:val="none"/>
        </w:rPr>
        <w:t>温州市国有企业</w:t>
      </w:r>
    </w:p>
    <w:p w14:paraId="02F792F7">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采购代理机构：受采购人委托，在委托的范围内办理采购事宜的机构；</w:t>
      </w:r>
    </w:p>
    <w:p w14:paraId="3B8EF8FD">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投标人：是指参加本采购项目投标的供应商；</w:t>
      </w:r>
    </w:p>
    <w:p w14:paraId="0E75C93D">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投标人代表：是指参加本项目投标活动的供应商法定代表人或法定代表人授权代表；</w:t>
      </w:r>
    </w:p>
    <w:p w14:paraId="62D88D63">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甲方：是指合同签订的一方，一般与采购人、用户相同；</w:t>
      </w:r>
    </w:p>
    <w:p w14:paraId="5FE76BCE">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乙方：是指合同签订的另一方，与中标人相同；</w:t>
      </w:r>
    </w:p>
    <w:p w14:paraId="6546CE6E">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制造商：是指拥有投标产品自主知识产权的单位；</w:t>
      </w:r>
    </w:p>
    <w:p w14:paraId="77890231">
      <w:pPr>
        <w:spacing w:line="460" w:lineRule="exact"/>
        <w:ind w:firstLine="539" w:firstLineChars="245"/>
        <w:rPr>
          <w:rFonts w:hint="eastAsia" w:ascii="新宋体" w:hAnsi="新宋体" w:eastAsia="新宋体" w:cs="新宋体"/>
          <w:color w:val="auto"/>
          <w:sz w:val="22"/>
          <w:highlight w:val="none"/>
        </w:rPr>
      </w:pPr>
      <w:r>
        <w:rPr>
          <w:rFonts w:hint="eastAsia" w:ascii="新宋体" w:hAnsi="新宋体" w:eastAsia="新宋体" w:cs="新宋体"/>
          <w:bCs/>
          <w:color w:val="auto"/>
          <w:sz w:val="22"/>
          <w:szCs w:val="22"/>
          <w:highlight w:val="none"/>
        </w:rPr>
        <w:t>要求携带原件备查的，供应商应按要求携带备查，如评标委员会发现投标文件资料复印件存有瑕疵，致使内容模糊、关键信息难以辨认、材料真实性存疑等情形的，有权核对原件或评标委员会认为有必</w:t>
      </w:r>
      <w:r>
        <w:rPr>
          <w:rFonts w:hint="eastAsia" w:ascii="新宋体" w:hAnsi="新宋体" w:eastAsia="新宋体" w:cs="新宋体"/>
          <w:bCs/>
          <w:color w:val="auto"/>
          <w:sz w:val="22"/>
          <w:szCs w:val="22"/>
          <w:highlight w:val="none"/>
          <w:lang w:val="en-US" w:eastAsia="zh-CN"/>
        </w:rPr>
        <w:t>要</w:t>
      </w:r>
      <w:r>
        <w:rPr>
          <w:rFonts w:hint="eastAsia" w:ascii="新宋体" w:hAnsi="新宋体" w:eastAsia="新宋体" w:cs="新宋体"/>
          <w:bCs/>
          <w:color w:val="auto"/>
          <w:sz w:val="22"/>
          <w:szCs w:val="22"/>
          <w:highlight w:val="none"/>
        </w:rPr>
        <w:t>核对原件，若供应商未能提交原件，将会导致评标委员会作出对其不利的评定，一切后果由供应商自行承担。</w:t>
      </w:r>
    </w:p>
    <w:p w14:paraId="6111E7CD">
      <w:pPr>
        <w:tabs>
          <w:tab w:val="left" w:pos="360"/>
        </w:tabs>
        <w:spacing w:line="460" w:lineRule="exact"/>
        <w:ind w:firstLine="541" w:firstLineChars="245"/>
        <w:rPr>
          <w:rFonts w:hint="eastAsia" w:ascii="新宋体" w:hAnsi="新宋体" w:eastAsia="新宋体" w:cs="新宋体"/>
          <w:color w:val="auto"/>
          <w:sz w:val="22"/>
          <w:szCs w:val="22"/>
          <w:highlight w:val="none"/>
        </w:rPr>
      </w:pPr>
      <w:bookmarkStart w:id="28" w:name="_Toc19360"/>
      <w:r>
        <w:rPr>
          <w:rFonts w:hint="eastAsia" w:ascii="新宋体" w:hAnsi="新宋体" w:eastAsia="新宋体" w:cs="新宋体"/>
          <w:b/>
          <w:color w:val="auto"/>
          <w:sz w:val="22"/>
          <w:szCs w:val="22"/>
          <w:highlight w:val="none"/>
        </w:rPr>
        <w:t>3、投标人代表</w:t>
      </w:r>
      <w:bookmarkEnd w:id="28"/>
    </w:p>
    <w:p w14:paraId="4DAE2D83">
      <w:pPr>
        <w:tabs>
          <w:tab w:val="left" w:pos="360"/>
        </w:tabs>
        <w:spacing w:line="460" w:lineRule="exact"/>
        <w:ind w:firstLine="541" w:firstLineChars="245"/>
        <w:rPr>
          <w:rFonts w:hint="eastAsia" w:ascii="新宋体" w:hAnsi="新宋体" w:eastAsia="新宋体" w:cs="新宋体"/>
          <w:b/>
          <w:color w:val="auto"/>
          <w:sz w:val="22"/>
          <w:highlight w:val="none"/>
        </w:rPr>
      </w:pPr>
      <w:r>
        <w:rPr>
          <w:rFonts w:hint="eastAsia" w:ascii="新宋体" w:hAnsi="新宋体" w:eastAsia="新宋体" w:cs="新宋体"/>
          <w:b/>
          <w:color w:val="auto"/>
          <w:sz w:val="22"/>
          <w:szCs w:val="22"/>
          <w:highlight w:val="none"/>
        </w:rPr>
        <w:t>3.1</w:t>
      </w:r>
      <w:r>
        <w:rPr>
          <w:rFonts w:hint="eastAsia" w:ascii="新宋体" w:hAnsi="新宋体" w:eastAsia="新宋体" w:cs="新宋体"/>
          <w:b/>
          <w:color w:val="auto"/>
          <w:sz w:val="22"/>
          <w:highlight w:val="none"/>
        </w:rPr>
        <w:t>指全权代表投标人参加投标活动并签署投标文件的人。如果投标人代表不是法定代表人，须持有《法定代表人授权书》（见附件）</w:t>
      </w:r>
    </w:p>
    <w:p w14:paraId="00C58E90">
      <w:pPr>
        <w:tabs>
          <w:tab w:val="left" w:pos="360"/>
        </w:tabs>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根据采购相关法律、法规、规章、文件规定并满足采购文件规定资格条件的区域性分支机构、个体工商户、个人独资企业、合伙企业参加本项目投标并由单位负责人签署的相关投标资料与本采购文件规定由法定代表人签署的文件材料具有同等效力</w:t>
      </w:r>
      <w:r>
        <w:rPr>
          <w:rFonts w:hint="eastAsia" w:ascii="新宋体" w:hAnsi="新宋体" w:eastAsia="新宋体" w:cs="新宋体"/>
          <w:b/>
          <w:color w:val="auto"/>
          <w:sz w:val="22"/>
          <w:szCs w:val="22"/>
          <w:highlight w:val="none"/>
        </w:rPr>
        <w:t>。</w:t>
      </w:r>
    </w:p>
    <w:p w14:paraId="681C783D">
      <w:pPr>
        <w:spacing w:line="460" w:lineRule="exact"/>
        <w:ind w:firstLine="541" w:firstLineChars="245"/>
        <w:rPr>
          <w:rFonts w:hint="eastAsia" w:ascii="新宋体" w:hAnsi="新宋体" w:eastAsia="新宋体" w:cs="新宋体"/>
          <w:b/>
          <w:color w:val="auto"/>
          <w:sz w:val="22"/>
          <w:szCs w:val="22"/>
          <w:highlight w:val="none"/>
        </w:rPr>
      </w:pPr>
      <w:bookmarkStart w:id="29" w:name="_Toc28352"/>
      <w:r>
        <w:rPr>
          <w:rFonts w:hint="eastAsia" w:ascii="新宋体" w:hAnsi="新宋体" w:eastAsia="新宋体" w:cs="新宋体"/>
          <w:b/>
          <w:color w:val="auto"/>
          <w:sz w:val="22"/>
          <w:szCs w:val="22"/>
          <w:highlight w:val="none"/>
        </w:rPr>
        <w:t>4、投标费用</w:t>
      </w:r>
      <w:bookmarkEnd w:id="29"/>
    </w:p>
    <w:p w14:paraId="39C08354">
      <w:pPr>
        <w:spacing w:line="460" w:lineRule="exact"/>
        <w:ind w:firstLine="541" w:firstLineChars="245"/>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4.1</w:t>
      </w:r>
      <w:r>
        <w:rPr>
          <w:rFonts w:hint="eastAsia" w:ascii="新宋体" w:hAnsi="新宋体" w:eastAsia="新宋体" w:cs="新宋体"/>
          <w:color w:val="auto"/>
          <w:sz w:val="22"/>
          <w:szCs w:val="22"/>
          <w:highlight w:val="none"/>
        </w:rPr>
        <w:t>投标人应承担所有与准备和参加投标有关费用，不论投标的结果如何，采购人或采购代理机构均无义务和责任承担这些费用。</w:t>
      </w:r>
    </w:p>
    <w:p w14:paraId="306B6C63">
      <w:pPr>
        <w:spacing w:before="100" w:beforeAutospacing="1" w:after="100" w:afterAutospacing="1" w:line="460" w:lineRule="exact"/>
        <w:jc w:val="center"/>
        <w:outlineLvl w:val="1"/>
        <w:rPr>
          <w:rFonts w:hint="eastAsia" w:ascii="新宋体" w:hAnsi="新宋体" w:eastAsia="新宋体" w:cs="新宋体"/>
          <w:b/>
          <w:bCs/>
          <w:color w:val="auto"/>
          <w:sz w:val="26"/>
          <w:szCs w:val="26"/>
          <w:highlight w:val="none"/>
        </w:rPr>
      </w:pPr>
      <w:bookmarkStart w:id="30" w:name="_Toc18311"/>
      <w:r>
        <w:rPr>
          <w:rFonts w:hint="eastAsia" w:ascii="新宋体" w:hAnsi="新宋体" w:eastAsia="新宋体" w:cs="新宋体"/>
          <w:b/>
          <w:bCs/>
          <w:color w:val="auto"/>
          <w:sz w:val="26"/>
          <w:szCs w:val="26"/>
          <w:highlight w:val="none"/>
        </w:rPr>
        <w:t>二、 采购文件</w:t>
      </w:r>
      <w:bookmarkEnd w:id="30"/>
    </w:p>
    <w:p w14:paraId="796F6141">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1、采购文件由采购文件目录所列内容及相关资料组成。</w:t>
      </w:r>
    </w:p>
    <w:p w14:paraId="782C8B01">
      <w:pPr>
        <w:tabs>
          <w:tab w:val="left" w:pos="360"/>
        </w:tabs>
        <w:spacing w:line="460" w:lineRule="exact"/>
        <w:ind w:firstLine="552" w:firstLineChars="250"/>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2、采购文件的澄清</w:t>
      </w:r>
    </w:p>
    <w:p w14:paraId="51DC8E76">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2.1 任何要求对采购文件进行澄清的投标人，均应以书面形式（信函、传真，下同）通知，但该通知在知道或应知道其权益受到损害之日起七个工作日内以使采购人或采购代理机构收到，采购人或采购代理机构将以书面形式予以答复。如有必要，可将不说明问题来源的答复发给各投标文件收受人或召开答疑会。如果采购文件澄清期内未收到有关澄清要求，视为投标人完全同意采购文件所有条款，且对于采购文件有关表述以及未尽事宜如有异议，以采购人或采购代理机构解释为准。</w:t>
      </w:r>
    </w:p>
    <w:p w14:paraId="1555DEBB">
      <w:pPr>
        <w:tabs>
          <w:tab w:val="left" w:pos="360"/>
        </w:tabs>
        <w:spacing w:line="460" w:lineRule="exact"/>
        <w:ind w:firstLine="552" w:firstLineChars="250"/>
        <w:rPr>
          <w:rFonts w:hint="eastAsia" w:ascii="新宋体" w:hAnsi="新宋体" w:eastAsia="新宋体" w:cs="新宋体"/>
          <w:b/>
          <w:color w:val="auto"/>
          <w:sz w:val="22"/>
          <w:highlight w:val="none"/>
        </w:rPr>
      </w:pPr>
      <w:bookmarkStart w:id="31" w:name="_Toc1200"/>
      <w:r>
        <w:rPr>
          <w:rFonts w:hint="eastAsia" w:ascii="新宋体" w:hAnsi="新宋体" w:eastAsia="新宋体" w:cs="新宋体"/>
          <w:b/>
          <w:color w:val="auto"/>
          <w:sz w:val="22"/>
          <w:highlight w:val="none"/>
        </w:rPr>
        <w:t>3、采购文件的修改</w:t>
      </w:r>
      <w:bookmarkEnd w:id="31"/>
    </w:p>
    <w:p w14:paraId="62DB28B9">
      <w:pPr>
        <w:tabs>
          <w:tab w:val="left" w:pos="360"/>
        </w:tabs>
        <w:spacing w:line="460" w:lineRule="exact"/>
        <w:ind w:firstLine="550" w:firstLineChars="250"/>
        <w:outlineLvl w:val="9"/>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3.1采购人或采购代理机构对已发出的采购文件进行必要的澄清或者修改的，应当在采购文件要求递交投标文件截止时间前，在指定的采购信息发布媒体上发布更正公告，并以书面形式通知所有采购文件收受人。该澄清或修改内容为采购文件的组成部分。采购文件收受人收到该书面通知后，应立即书面回复确认已收到该通知。</w:t>
      </w:r>
    </w:p>
    <w:p w14:paraId="1EB05370">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3.2采购人、采购代理机构可以视采购的具体情况决定是否延长投标截止时间和开标时间，并在采购文件要求递交投标文件的截止时间前，将变更时间书面通知所有采购文件收受人，同时在指定的采购信息发布媒体上发布变更公告。采购文件收受人收到变更时间的书面通知后，应立即书面回复确认已收到该通知</w:t>
      </w:r>
      <w:r>
        <w:rPr>
          <w:rFonts w:hint="eastAsia" w:ascii="新宋体" w:hAnsi="新宋体" w:eastAsia="新宋体" w:cs="新宋体"/>
          <w:color w:val="auto"/>
          <w:sz w:val="22"/>
          <w:szCs w:val="22"/>
          <w:highlight w:val="none"/>
        </w:rPr>
        <w:t>。</w:t>
      </w:r>
    </w:p>
    <w:p w14:paraId="069A9BE4">
      <w:pPr>
        <w:spacing w:before="100" w:beforeAutospacing="1" w:after="100" w:afterAutospacing="1" w:line="460" w:lineRule="exact"/>
        <w:jc w:val="center"/>
        <w:outlineLvl w:val="1"/>
        <w:rPr>
          <w:rFonts w:hint="eastAsia" w:ascii="新宋体" w:hAnsi="新宋体" w:eastAsia="新宋体" w:cs="新宋体"/>
          <w:b/>
          <w:bCs/>
          <w:color w:val="auto"/>
          <w:sz w:val="26"/>
          <w:szCs w:val="26"/>
          <w:highlight w:val="none"/>
        </w:rPr>
      </w:pPr>
      <w:bookmarkStart w:id="32" w:name="_Toc14468"/>
      <w:r>
        <w:rPr>
          <w:rFonts w:hint="eastAsia" w:ascii="新宋体" w:hAnsi="新宋体" w:eastAsia="新宋体" w:cs="新宋体"/>
          <w:b/>
          <w:bCs/>
          <w:color w:val="auto"/>
          <w:sz w:val="26"/>
          <w:szCs w:val="26"/>
          <w:highlight w:val="none"/>
        </w:rPr>
        <w:t>三、 投标文件的编制</w:t>
      </w:r>
      <w:bookmarkEnd w:id="32"/>
    </w:p>
    <w:p w14:paraId="480417F3">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1、投标人应认真阅读采购文件中所有事项、格式、条款和技术规范等。</w:t>
      </w:r>
      <w:r>
        <w:rPr>
          <w:rFonts w:hint="eastAsia" w:ascii="新宋体" w:hAnsi="新宋体" w:eastAsia="新宋体" w:cs="新宋体"/>
          <w:b/>
          <w:color w:val="auto"/>
          <w:sz w:val="22"/>
          <w:highlight w:val="none"/>
        </w:rPr>
        <w:t>投标人没有按照采购文件要求提交全部资料，或者没有对采购文件各个方面做出实质性响应，导致投标被否决的风险由投标人自行承担。</w:t>
      </w:r>
    </w:p>
    <w:p w14:paraId="0BD90F65">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2、投标人应保证所提供文件资料的真实性，所有文件资料必须是针对本次投标的。如发现投标人提供了虚假文件资料，其投标将被否决，并自行承担相应的法律责任。</w:t>
      </w:r>
    </w:p>
    <w:p w14:paraId="324934D5">
      <w:pPr>
        <w:spacing w:line="460" w:lineRule="exact"/>
        <w:ind w:firstLine="541" w:firstLineChars="245"/>
        <w:rPr>
          <w:rFonts w:hint="eastAsia" w:ascii="新宋体" w:hAnsi="新宋体" w:eastAsia="新宋体" w:cs="新宋体"/>
          <w:b/>
          <w:color w:val="auto"/>
          <w:sz w:val="22"/>
          <w:szCs w:val="22"/>
          <w:highlight w:val="none"/>
        </w:rPr>
      </w:pPr>
      <w:bookmarkStart w:id="33" w:name="_Toc3509"/>
      <w:r>
        <w:rPr>
          <w:rFonts w:hint="eastAsia" w:ascii="新宋体" w:hAnsi="新宋体" w:eastAsia="新宋体" w:cs="新宋体"/>
          <w:b/>
          <w:color w:val="auto"/>
          <w:sz w:val="22"/>
          <w:szCs w:val="22"/>
          <w:highlight w:val="none"/>
        </w:rPr>
        <w:t>3、</w:t>
      </w:r>
      <w:r>
        <w:rPr>
          <w:rFonts w:hint="eastAsia" w:ascii="新宋体" w:hAnsi="新宋体" w:eastAsia="新宋体" w:cs="新宋体"/>
          <w:b/>
          <w:bCs/>
          <w:color w:val="auto"/>
          <w:sz w:val="22"/>
          <w:szCs w:val="22"/>
          <w:highlight w:val="none"/>
        </w:rPr>
        <w:t>投标文件的构成：</w:t>
      </w:r>
      <w:bookmarkEnd w:id="33"/>
    </w:p>
    <w:p w14:paraId="5323DD40">
      <w:pPr>
        <w:spacing w:line="460" w:lineRule="exact"/>
        <w:ind w:firstLine="541" w:firstLineChars="245"/>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3.1</w:t>
      </w:r>
      <w:r>
        <w:rPr>
          <w:rFonts w:hint="eastAsia" w:ascii="新宋体" w:hAnsi="新宋体" w:eastAsia="新宋体" w:cs="新宋体"/>
          <w:color w:val="auto"/>
          <w:sz w:val="22"/>
          <w:szCs w:val="22"/>
          <w:highlight w:val="none"/>
        </w:rPr>
        <w:t>投标文件由技术标和商务标两部分构成：</w:t>
      </w:r>
    </w:p>
    <w:p w14:paraId="17C21B25">
      <w:pPr>
        <w:numPr>
          <w:ilvl w:val="0"/>
          <w:numId w:val="2"/>
        </w:num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技术标</w:t>
      </w:r>
    </w:p>
    <w:tbl>
      <w:tblPr>
        <w:tblStyle w:val="19"/>
        <w:tblW w:w="10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7913"/>
        <w:gridCol w:w="1285"/>
      </w:tblGrid>
      <w:tr w14:paraId="12F16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dxa"/>
            <w:noWrap w:val="0"/>
            <w:vAlign w:val="center"/>
          </w:tcPr>
          <w:p w14:paraId="417D9087">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序号</w:t>
            </w:r>
          </w:p>
        </w:tc>
        <w:tc>
          <w:tcPr>
            <w:tcW w:w="7913" w:type="dxa"/>
            <w:noWrap w:val="0"/>
            <w:vAlign w:val="center"/>
          </w:tcPr>
          <w:p w14:paraId="1BD9EA75">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内容</w:t>
            </w:r>
          </w:p>
        </w:tc>
        <w:tc>
          <w:tcPr>
            <w:tcW w:w="1285" w:type="dxa"/>
            <w:noWrap w:val="0"/>
            <w:vAlign w:val="center"/>
          </w:tcPr>
          <w:p w14:paraId="1BEB4BA9">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备注</w:t>
            </w:r>
          </w:p>
        </w:tc>
      </w:tr>
      <w:tr w14:paraId="40835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dxa"/>
            <w:noWrap w:val="0"/>
            <w:vAlign w:val="center"/>
          </w:tcPr>
          <w:p w14:paraId="16E9DF93">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p>
        </w:tc>
        <w:tc>
          <w:tcPr>
            <w:tcW w:w="7913" w:type="dxa"/>
            <w:noWrap w:val="0"/>
            <w:vAlign w:val="center"/>
          </w:tcPr>
          <w:p w14:paraId="45B242F9">
            <w:pPr>
              <w:spacing w:line="460" w:lineRule="exact"/>
              <w:rPr>
                <w:rFonts w:hint="eastAsia" w:ascii="新宋体" w:hAnsi="新宋体" w:eastAsia="新宋体" w:cs="新宋体"/>
                <w:bCs/>
                <w:color w:val="auto"/>
                <w:sz w:val="22"/>
                <w:szCs w:val="22"/>
                <w:highlight w:val="none"/>
              </w:rPr>
            </w:pPr>
            <w:bookmarkStart w:id="34" w:name="_Toc25408"/>
            <w:r>
              <w:rPr>
                <w:rFonts w:hint="eastAsia" w:ascii="新宋体" w:hAnsi="新宋体" w:eastAsia="新宋体" w:cs="新宋体"/>
                <w:bCs/>
                <w:color w:val="auto"/>
                <w:sz w:val="22"/>
                <w:szCs w:val="22"/>
                <w:highlight w:val="none"/>
                <w:lang w:val="zh-CN"/>
              </w:rPr>
              <w:t>投标函</w:t>
            </w:r>
            <w:bookmarkEnd w:id="34"/>
          </w:p>
        </w:tc>
        <w:tc>
          <w:tcPr>
            <w:tcW w:w="1285" w:type="dxa"/>
            <w:noWrap w:val="0"/>
            <w:vAlign w:val="center"/>
          </w:tcPr>
          <w:p w14:paraId="43AE58A7">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附件一</w:t>
            </w:r>
          </w:p>
        </w:tc>
      </w:tr>
      <w:tr w14:paraId="09BD9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dxa"/>
            <w:noWrap w:val="0"/>
            <w:vAlign w:val="center"/>
          </w:tcPr>
          <w:p w14:paraId="2570B4AC">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w:t>
            </w:r>
          </w:p>
        </w:tc>
        <w:tc>
          <w:tcPr>
            <w:tcW w:w="7913" w:type="dxa"/>
            <w:noWrap w:val="0"/>
            <w:vAlign w:val="center"/>
          </w:tcPr>
          <w:p w14:paraId="2747C7F0">
            <w:pPr>
              <w:spacing w:line="4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zh-CN"/>
              </w:rPr>
              <w:t>资格证明文件</w:t>
            </w:r>
          </w:p>
        </w:tc>
        <w:tc>
          <w:tcPr>
            <w:tcW w:w="1285" w:type="dxa"/>
            <w:noWrap w:val="0"/>
            <w:vAlign w:val="center"/>
          </w:tcPr>
          <w:p w14:paraId="52D24E2E">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附件四</w:t>
            </w:r>
          </w:p>
        </w:tc>
      </w:tr>
      <w:tr w14:paraId="27D59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dxa"/>
            <w:noWrap w:val="0"/>
            <w:vAlign w:val="center"/>
          </w:tcPr>
          <w:p w14:paraId="7826CDCF">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2.1</w:t>
            </w:r>
          </w:p>
        </w:tc>
        <w:tc>
          <w:tcPr>
            <w:tcW w:w="7913" w:type="dxa"/>
            <w:noWrap w:val="0"/>
            <w:vAlign w:val="center"/>
          </w:tcPr>
          <w:p w14:paraId="220F962C">
            <w:pPr>
              <w:spacing w:line="460" w:lineRule="exact"/>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法定代表人授权书</w:t>
            </w:r>
          </w:p>
        </w:tc>
        <w:tc>
          <w:tcPr>
            <w:tcW w:w="1285" w:type="dxa"/>
            <w:noWrap w:val="0"/>
            <w:vAlign w:val="center"/>
          </w:tcPr>
          <w:p w14:paraId="5CBAF713">
            <w:pPr>
              <w:spacing w:line="460" w:lineRule="exact"/>
              <w:jc w:val="center"/>
              <w:rPr>
                <w:rFonts w:hint="eastAsia" w:ascii="新宋体" w:hAnsi="新宋体" w:eastAsia="新宋体" w:cs="新宋体"/>
                <w:bCs/>
                <w:color w:val="auto"/>
                <w:sz w:val="22"/>
                <w:szCs w:val="22"/>
                <w:highlight w:val="none"/>
              </w:rPr>
            </w:pPr>
          </w:p>
        </w:tc>
      </w:tr>
      <w:tr w14:paraId="0350E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dxa"/>
            <w:noWrap w:val="0"/>
            <w:vAlign w:val="center"/>
          </w:tcPr>
          <w:p w14:paraId="0F18D124">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2.2</w:t>
            </w:r>
          </w:p>
        </w:tc>
        <w:tc>
          <w:tcPr>
            <w:tcW w:w="7913" w:type="dxa"/>
            <w:noWrap w:val="0"/>
            <w:vAlign w:val="center"/>
          </w:tcPr>
          <w:p w14:paraId="657C9DF0">
            <w:pPr>
              <w:spacing w:line="4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投标人情况表</w:t>
            </w:r>
          </w:p>
        </w:tc>
        <w:tc>
          <w:tcPr>
            <w:tcW w:w="1285" w:type="dxa"/>
            <w:noWrap w:val="0"/>
            <w:vAlign w:val="center"/>
          </w:tcPr>
          <w:p w14:paraId="17F8CE69">
            <w:pPr>
              <w:spacing w:line="460" w:lineRule="exact"/>
              <w:jc w:val="center"/>
              <w:rPr>
                <w:rFonts w:hint="eastAsia" w:ascii="新宋体" w:hAnsi="新宋体" w:eastAsia="新宋体" w:cs="新宋体"/>
                <w:bCs/>
                <w:color w:val="auto"/>
                <w:sz w:val="22"/>
                <w:szCs w:val="22"/>
                <w:highlight w:val="none"/>
              </w:rPr>
            </w:pPr>
          </w:p>
        </w:tc>
      </w:tr>
      <w:tr w14:paraId="4FB0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dxa"/>
            <w:noWrap w:val="0"/>
            <w:vAlign w:val="center"/>
          </w:tcPr>
          <w:p w14:paraId="52CAE75D">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2.3</w:t>
            </w:r>
          </w:p>
        </w:tc>
        <w:tc>
          <w:tcPr>
            <w:tcW w:w="7913" w:type="dxa"/>
            <w:noWrap w:val="0"/>
            <w:vAlign w:val="center"/>
          </w:tcPr>
          <w:p w14:paraId="2900DBB8">
            <w:pPr>
              <w:spacing w:line="4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有效营业执照</w:t>
            </w:r>
          </w:p>
        </w:tc>
        <w:tc>
          <w:tcPr>
            <w:tcW w:w="1285" w:type="dxa"/>
            <w:noWrap w:val="0"/>
            <w:vAlign w:val="center"/>
          </w:tcPr>
          <w:p w14:paraId="09F196A3">
            <w:pPr>
              <w:spacing w:line="460" w:lineRule="exact"/>
              <w:jc w:val="center"/>
              <w:rPr>
                <w:rFonts w:hint="eastAsia" w:ascii="新宋体" w:hAnsi="新宋体" w:eastAsia="新宋体" w:cs="新宋体"/>
                <w:bCs/>
                <w:color w:val="auto"/>
                <w:sz w:val="22"/>
                <w:szCs w:val="22"/>
                <w:highlight w:val="none"/>
              </w:rPr>
            </w:pPr>
          </w:p>
        </w:tc>
      </w:tr>
      <w:tr w14:paraId="3A165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dxa"/>
            <w:noWrap w:val="0"/>
            <w:vAlign w:val="center"/>
          </w:tcPr>
          <w:p w14:paraId="4608070B">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2.4</w:t>
            </w:r>
          </w:p>
        </w:tc>
        <w:tc>
          <w:tcPr>
            <w:tcW w:w="7913" w:type="dxa"/>
            <w:noWrap w:val="0"/>
            <w:vAlign w:val="center"/>
          </w:tcPr>
          <w:p w14:paraId="69E0B8AE">
            <w:pPr>
              <w:spacing w:line="4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投标人“信用中国”(www.creditchina.gov.cn)；“中国政府采购网”（http://www.ccgp.gov.cn/）信用记录网页截图（采购公告发布之日至投标截止时间前）</w:t>
            </w:r>
          </w:p>
        </w:tc>
        <w:tc>
          <w:tcPr>
            <w:tcW w:w="1285" w:type="dxa"/>
            <w:noWrap w:val="0"/>
            <w:vAlign w:val="center"/>
          </w:tcPr>
          <w:p w14:paraId="75280A41">
            <w:pPr>
              <w:spacing w:line="460" w:lineRule="exact"/>
              <w:jc w:val="center"/>
              <w:rPr>
                <w:rFonts w:hint="eastAsia" w:ascii="新宋体" w:hAnsi="新宋体" w:eastAsia="新宋体" w:cs="新宋体"/>
                <w:bCs/>
                <w:color w:val="auto"/>
                <w:sz w:val="22"/>
                <w:szCs w:val="22"/>
                <w:highlight w:val="none"/>
              </w:rPr>
            </w:pPr>
          </w:p>
        </w:tc>
      </w:tr>
      <w:tr w14:paraId="494EA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dxa"/>
            <w:noWrap w:val="0"/>
            <w:vAlign w:val="center"/>
          </w:tcPr>
          <w:p w14:paraId="73E1AF1C">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w:t>
            </w:r>
          </w:p>
        </w:tc>
        <w:tc>
          <w:tcPr>
            <w:tcW w:w="7913" w:type="dxa"/>
            <w:noWrap w:val="0"/>
            <w:vAlign w:val="center"/>
          </w:tcPr>
          <w:p w14:paraId="03A2597A">
            <w:pPr>
              <w:spacing w:line="460" w:lineRule="exact"/>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偏离表</w:t>
            </w:r>
          </w:p>
        </w:tc>
        <w:tc>
          <w:tcPr>
            <w:tcW w:w="1285" w:type="dxa"/>
            <w:noWrap w:val="0"/>
            <w:vAlign w:val="center"/>
          </w:tcPr>
          <w:p w14:paraId="489FC4DD">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附件五</w:t>
            </w:r>
          </w:p>
        </w:tc>
      </w:tr>
      <w:tr w14:paraId="486D9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dxa"/>
            <w:noWrap w:val="0"/>
            <w:vAlign w:val="center"/>
          </w:tcPr>
          <w:p w14:paraId="2CF4D3DF">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w:t>
            </w:r>
          </w:p>
        </w:tc>
        <w:tc>
          <w:tcPr>
            <w:tcW w:w="7913" w:type="dxa"/>
            <w:shd w:val="clear" w:color="auto" w:fill="auto"/>
            <w:noWrap w:val="0"/>
            <w:vAlign w:val="center"/>
          </w:tcPr>
          <w:p w14:paraId="49A06453">
            <w:pPr>
              <w:spacing w:line="460" w:lineRule="exact"/>
              <w:rPr>
                <w:rFonts w:hint="eastAsia" w:ascii="新宋体" w:hAnsi="新宋体" w:eastAsia="新宋体" w:cs="新宋体"/>
                <w:color w:val="auto"/>
                <w:kern w:val="0"/>
                <w:sz w:val="22"/>
                <w:szCs w:val="22"/>
                <w:highlight w:val="none"/>
                <w:lang w:val="zh-CN" w:eastAsia="zh-CN" w:bidi="ar-SA"/>
              </w:rPr>
            </w:pPr>
            <w:r>
              <w:rPr>
                <w:rFonts w:hint="eastAsia" w:ascii="新宋体" w:hAnsi="新宋体" w:eastAsia="新宋体" w:cs="新宋体"/>
                <w:color w:val="auto"/>
                <w:kern w:val="0"/>
                <w:sz w:val="22"/>
                <w:szCs w:val="22"/>
                <w:highlight w:val="none"/>
              </w:rPr>
              <w:t>企业实力</w:t>
            </w:r>
          </w:p>
        </w:tc>
        <w:tc>
          <w:tcPr>
            <w:tcW w:w="1285" w:type="dxa"/>
            <w:noWrap w:val="0"/>
            <w:vAlign w:val="center"/>
          </w:tcPr>
          <w:p w14:paraId="1E8C6C1E">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附件六</w:t>
            </w:r>
          </w:p>
        </w:tc>
      </w:tr>
      <w:tr w14:paraId="29E7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dxa"/>
            <w:noWrap w:val="0"/>
            <w:vAlign w:val="center"/>
          </w:tcPr>
          <w:p w14:paraId="1250FB46">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w:t>
            </w:r>
          </w:p>
        </w:tc>
        <w:tc>
          <w:tcPr>
            <w:tcW w:w="7913" w:type="dxa"/>
            <w:shd w:val="clear" w:color="auto" w:fill="auto"/>
            <w:noWrap w:val="0"/>
            <w:vAlign w:val="center"/>
          </w:tcPr>
          <w:p w14:paraId="2F1B1DEA">
            <w:pPr>
              <w:spacing w:line="460" w:lineRule="exact"/>
              <w:rPr>
                <w:rFonts w:hint="eastAsia" w:ascii="新宋体" w:hAnsi="新宋体" w:eastAsia="新宋体" w:cs="新宋体"/>
                <w:color w:val="auto"/>
                <w:kern w:val="2"/>
                <w:sz w:val="22"/>
                <w:szCs w:val="22"/>
                <w:highlight w:val="none"/>
                <w:lang w:val="zh-CN" w:eastAsia="zh-CN" w:bidi="ar-SA"/>
              </w:rPr>
            </w:pPr>
            <w:r>
              <w:rPr>
                <w:rFonts w:hint="eastAsia" w:ascii="新宋体" w:hAnsi="新宋体" w:eastAsia="新宋体" w:cs="新宋体"/>
                <w:color w:val="auto"/>
                <w:sz w:val="22"/>
                <w:szCs w:val="22"/>
                <w:highlight w:val="none"/>
                <w:lang w:val="zh-CN"/>
              </w:rPr>
              <w:t>项目业绩</w:t>
            </w:r>
          </w:p>
        </w:tc>
        <w:tc>
          <w:tcPr>
            <w:tcW w:w="1285" w:type="dxa"/>
            <w:noWrap w:val="0"/>
            <w:vAlign w:val="center"/>
          </w:tcPr>
          <w:p w14:paraId="7C82678C">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附件七</w:t>
            </w:r>
          </w:p>
        </w:tc>
      </w:tr>
      <w:tr w14:paraId="14FD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dxa"/>
            <w:noWrap w:val="0"/>
            <w:vAlign w:val="center"/>
          </w:tcPr>
          <w:p w14:paraId="3D8BD39F">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w:t>
            </w:r>
          </w:p>
        </w:tc>
        <w:tc>
          <w:tcPr>
            <w:tcW w:w="7913" w:type="dxa"/>
            <w:shd w:val="clear" w:color="auto" w:fill="auto"/>
            <w:noWrap w:val="0"/>
            <w:vAlign w:val="center"/>
          </w:tcPr>
          <w:p w14:paraId="1FA5A329">
            <w:pPr>
              <w:spacing w:line="460" w:lineRule="exact"/>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rPr>
              <w:t>团队实力</w:t>
            </w:r>
          </w:p>
        </w:tc>
        <w:tc>
          <w:tcPr>
            <w:tcW w:w="1285" w:type="dxa"/>
            <w:noWrap w:val="0"/>
            <w:vAlign w:val="center"/>
          </w:tcPr>
          <w:p w14:paraId="76CFD562">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附件八</w:t>
            </w:r>
          </w:p>
        </w:tc>
      </w:tr>
      <w:tr w14:paraId="57B4A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dxa"/>
            <w:noWrap w:val="0"/>
            <w:vAlign w:val="center"/>
          </w:tcPr>
          <w:p w14:paraId="3E80DCEA">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w:t>
            </w:r>
          </w:p>
        </w:tc>
        <w:tc>
          <w:tcPr>
            <w:tcW w:w="7913" w:type="dxa"/>
            <w:shd w:val="clear" w:color="auto" w:fill="auto"/>
            <w:noWrap w:val="0"/>
            <w:vAlign w:val="center"/>
          </w:tcPr>
          <w:p w14:paraId="5C20B749">
            <w:pPr>
              <w:spacing w:line="460" w:lineRule="exact"/>
              <w:rPr>
                <w:rFonts w:hint="eastAsia" w:ascii="新宋体" w:hAnsi="新宋体" w:eastAsia="新宋体" w:cs="新宋体"/>
                <w:color w:val="auto"/>
                <w:kern w:val="0"/>
                <w:sz w:val="22"/>
                <w:szCs w:val="22"/>
                <w:highlight w:val="none"/>
                <w:lang w:val="zh-CN" w:eastAsia="zh-CN" w:bidi="ar-SA"/>
              </w:rPr>
            </w:pPr>
            <w:r>
              <w:rPr>
                <w:rFonts w:hint="eastAsia" w:ascii="新宋体" w:hAnsi="新宋体" w:eastAsia="新宋体" w:cs="新宋体"/>
                <w:color w:val="auto"/>
                <w:kern w:val="0"/>
                <w:sz w:val="22"/>
                <w:szCs w:val="22"/>
                <w:highlight w:val="none"/>
              </w:rPr>
              <w:t>项目理解及总体咨询服务方案</w:t>
            </w:r>
          </w:p>
        </w:tc>
        <w:tc>
          <w:tcPr>
            <w:tcW w:w="1285" w:type="dxa"/>
            <w:noWrap w:val="0"/>
            <w:vAlign w:val="center"/>
          </w:tcPr>
          <w:p w14:paraId="1A2BD4F8">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附件九</w:t>
            </w:r>
          </w:p>
        </w:tc>
      </w:tr>
      <w:tr w14:paraId="03C56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dxa"/>
            <w:noWrap w:val="0"/>
            <w:vAlign w:val="center"/>
          </w:tcPr>
          <w:p w14:paraId="001C1877">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8</w:t>
            </w:r>
          </w:p>
        </w:tc>
        <w:tc>
          <w:tcPr>
            <w:tcW w:w="7913" w:type="dxa"/>
            <w:shd w:val="clear" w:color="auto" w:fill="auto"/>
            <w:noWrap w:val="0"/>
            <w:vAlign w:val="center"/>
          </w:tcPr>
          <w:p w14:paraId="067EAB9A">
            <w:pPr>
              <w:spacing w:line="460" w:lineRule="exact"/>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rPr>
              <w:t>保证措施</w:t>
            </w:r>
          </w:p>
        </w:tc>
        <w:tc>
          <w:tcPr>
            <w:tcW w:w="1285" w:type="dxa"/>
            <w:noWrap w:val="0"/>
            <w:vAlign w:val="center"/>
          </w:tcPr>
          <w:p w14:paraId="69095E5A">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附件十</w:t>
            </w:r>
          </w:p>
        </w:tc>
      </w:tr>
      <w:tr w14:paraId="1E1E8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dxa"/>
            <w:noWrap w:val="0"/>
            <w:vAlign w:val="center"/>
          </w:tcPr>
          <w:p w14:paraId="04DD46DD">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9</w:t>
            </w:r>
          </w:p>
        </w:tc>
        <w:tc>
          <w:tcPr>
            <w:tcW w:w="7913" w:type="dxa"/>
            <w:shd w:val="clear" w:color="auto" w:fill="auto"/>
            <w:noWrap w:val="0"/>
            <w:vAlign w:val="center"/>
          </w:tcPr>
          <w:p w14:paraId="2D6DD470">
            <w:pPr>
              <w:spacing w:line="460" w:lineRule="exac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管理制度</w:t>
            </w:r>
          </w:p>
        </w:tc>
        <w:tc>
          <w:tcPr>
            <w:tcW w:w="1285" w:type="dxa"/>
            <w:noWrap w:val="0"/>
            <w:vAlign w:val="center"/>
          </w:tcPr>
          <w:p w14:paraId="2E5AA66C">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附件十一</w:t>
            </w:r>
          </w:p>
        </w:tc>
      </w:tr>
    </w:tbl>
    <w:p w14:paraId="0F5959F3">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 商务（报价）标</w:t>
      </w:r>
    </w:p>
    <w:tbl>
      <w:tblPr>
        <w:tblStyle w:val="19"/>
        <w:tblW w:w="10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8101"/>
        <w:gridCol w:w="1285"/>
      </w:tblGrid>
      <w:tr w14:paraId="7492F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noWrap w:val="0"/>
            <w:vAlign w:val="center"/>
          </w:tcPr>
          <w:p w14:paraId="7387E050">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序号</w:t>
            </w:r>
          </w:p>
        </w:tc>
        <w:tc>
          <w:tcPr>
            <w:tcW w:w="8101" w:type="dxa"/>
            <w:noWrap w:val="0"/>
            <w:vAlign w:val="center"/>
          </w:tcPr>
          <w:p w14:paraId="6C5A7606">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内容</w:t>
            </w:r>
          </w:p>
        </w:tc>
        <w:tc>
          <w:tcPr>
            <w:tcW w:w="1285" w:type="dxa"/>
            <w:noWrap w:val="0"/>
            <w:vAlign w:val="center"/>
          </w:tcPr>
          <w:p w14:paraId="1365D3CB">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备注</w:t>
            </w:r>
          </w:p>
        </w:tc>
      </w:tr>
      <w:tr w14:paraId="0053B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noWrap w:val="0"/>
            <w:vAlign w:val="center"/>
          </w:tcPr>
          <w:p w14:paraId="7EB24AB9">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p>
        </w:tc>
        <w:tc>
          <w:tcPr>
            <w:tcW w:w="8101" w:type="dxa"/>
            <w:noWrap w:val="0"/>
            <w:vAlign w:val="center"/>
          </w:tcPr>
          <w:p w14:paraId="39828FEE">
            <w:pPr>
              <w:spacing w:line="4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zh-CN"/>
              </w:rPr>
              <w:t>投标报价一览表</w:t>
            </w:r>
          </w:p>
        </w:tc>
        <w:tc>
          <w:tcPr>
            <w:tcW w:w="1285" w:type="dxa"/>
            <w:noWrap w:val="0"/>
            <w:vAlign w:val="center"/>
          </w:tcPr>
          <w:p w14:paraId="1146D3BA">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附件二</w:t>
            </w:r>
          </w:p>
        </w:tc>
      </w:tr>
      <w:tr w14:paraId="6980D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noWrap w:val="0"/>
            <w:vAlign w:val="center"/>
          </w:tcPr>
          <w:p w14:paraId="2F2A1E7E">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w:t>
            </w:r>
          </w:p>
        </w:tc>
        <w:tc>
          <w:tcPr>
            <w:tcW w:w="8101" w:type="dxa"/>
            <w:noWrap w:val="0"/>
            <w:vAlign w:val="center"/>
          </w:tcPr>
          <w:p w14:paraId="28D1C63A">
            <w:pPr>
              <w:spacing w:line="4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投标分项报价表</w:t>
            </w:r>
          </w:p>
        </w:tc>
        <w:tc>
          <w:tcPr>
            <w:tcW w:w="1285" w:type="dxa"/>
            <w:noWrap w:val="0"/>
            <w:vAlign w:val="center"/>
          </w:tcPr>
          <w:p w14:paraId="6CF40B0D">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附件三</w:t>
            </w:r>
          </w:p>
        </w:tc>
      </w:tr>
    </w:tbl>
    <w:p w14:paraId="0DF87E5A">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3.2 投标文件格式</w:t>
      </w:r>
    </w:p>
    <w:p w14:paraId="3E655609">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投标人应根据采购文件中所提供的格式，内容按顺序填写并装订成册，分别装于技术标和商务标内。</w:t>
      </w:r>
    </w:p>
    <w:p w14:paraId="5377D8A5">
      <w:pPr>
        <w:spacing w:line="460" w:lineRule="exact"/>
        <w:ind w:firstLine="541" w:firstLineChars="245"/>
        <w:rPr>
          <w:rFonts w:hint="eastAsia" w:ascii="新宋体" w:hAnsi="新宋体" w:eastAsia="新宋体" w:cs="新宋体"/>
          <w:b/>
          <w:color w:val="auto"/>
          <w:sz w:val="22"/>
          <w:szCs w:val="22"/>
          <w:highlight w:val="none"/>
        </w:rPr>
      </w:pPr>
      <w:bookmarkStart w:id="35" w:name="_Toc11721"/>
      <w:r>
        <w:rPr>
          <w:rFonts w:hint="eastAsia" w:ascii="新宋体" w:hAnsi="新宋体" w:eastAsia="新宋体" w:cs="新宋体"/>
          <w:b/>
          <w:bCs/>
          <w:color w:val="auto"/>
          <w:sz w:val="22"/>
          <w:szCs w:val="22"/>
          <w:highlight w:val="none"/>
        </w:rPr>
        <w:t>4、投标报价</w:t>
      </w:r>
      <w:bookmarkEnd w:id="35"/>
    </w:p>
    <w:p w14:paraId="1323EFCB">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highlight w:val="none"/>
        </w:rPr>
        <w:t>4.1</w:t>
      </w:r>
      <w:r>
        <w:rPr>
          <w:rFonts w:hint="eastAsia" w:ascii="新宋体" w:hAnsi="新宋体" w:eastAsia="新宋体"/>
          <w:b/>
          <w:color w:val="auto"/>
          <w:sz w:val="22"/>
          <w:szCs w:val="22"/>
          <w:highlight w:val="none"/>
        </w:rPr>
        <w:t>投标报价是指合同期内项目的全部费用，包括但不限于投标人各项成本支出、合理的利润、应交纳的税金及采购代理费用等，完成合同所需的一切本身和不可或缺的所有工作开支、政策性文件规定及合同包含的所有风险、责任等各项全部费用，投标人应根据上述因素自行考虑含入投标报价。</w:t>
      </w:r>
    </w:p>
    <w:p w14:paraId="2A588A64">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4.2投标人必须按附件中的投标报价一览表、投标分项报价表（均统一格式）内容填写价格，并由投标人代表签署。</w:t>
      </w:r>
    </w:p>
    <w:p w14:paraId="2B46C32D">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4.3</w:t>
      </w:r>
      <w:r>
        <w:rPr>
          <w:rFonts w:hint="eastAsia" w:ascii="新宋体" w:hAnsi="新宋体" w:eastAsia="新宋体" w:cs="新宋体"/>
          <w:b/>
          <w:color w:val="auto"/>
          <w:sz w:val="22"/>
          <w:highlight w:val="none"/>
        </w:rPr>
        <w:t>投标货币以人民币进行投标</w:t>
      </w:r>
      <w:r>
        <w:rPr>
          <w:rFonts w:hint="eastAsia" w:ascii="新宋体" w:hAnsi="新宋体" w:eastAsia="新宋体" w:cs="新宋体"/>
          <w:b/>
          <w:color w:val="auto"/>
          <w:sz w:val="22"/>
          <w:szCs w:val="22"/>
          <w:highlight w:val="none"/>
        </w:rPr>
        <w:t>。</w:t>
      </w:r>
    </w:p>
    <w:p w14:paraId="2AD615AF">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4.4</w:t>
      </w:r>
      <w:r>
        <w:rPr>
          <w:rFonts w:hint="eastAsia" w:ascii="新宋体" w:hAnsi="新宋体" w:eastAsia="新宋体" w:cs="新宋体"/>
          <w:b/>
          <w:color w:val="auto"/>
          <w:sz w:val="22"/>
          <w:highlight w:val="none"/>
        </w:rPr>
        <w:t>采购人和采购代理机构不接受任何选择投标，对任何服务只允许一个价格。</w:t>
      </w:r>
    </w:p>
    <w:p w14:paraId="2E988CCA">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4.5采购人和</w:t>
      </w:r>
      <w:r>
        <w:rPr>
          <w:rFonts w:hint="eastAsia" w:ascii="新宋体" w:hAnsi="新宋体" w:eastAsia="新宋体" w:cs="新宋体"/>
          <w:color w:val="auto"/>
          <w:sz w:val="22"/>
          <w:highlight w:val="none"/>
        </w:rPr>
        <w:t>采购代理机构</w:t>
      </w:r>
      <w:r>
        <w:rPr>
          <w:rFonts w:hint="eastAsia" w:ascii="新宋体" w:hAnsi="新宋体" w:eastAsia="新宋体" w:cs="新宋体"/>
          <w:color w:val="auto"/>
          <w:sz w:val="22"/>
          <w:szCs w:val="22"/>
          <w:highlight w:val="none"/>
        </w:rPr>
        <w:t>要求分类报价是为了方便评标，但在任何情况下不限制采购人以其认为最合适的条款、条件签订合同的权利。</w:t>
      </w:r>
    </w:p>
    <w:p w14:paraId="7BD449D4">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4.6投标报价报出后，投标人不得以任何理由予以变更。任何包含价格调整的要求，将被认为是非实质性响应投标而予以否决。</w:t>
      </w:r>
    </w:p>
    <w:p w14:paraId="5F767D3D">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4.7最低报价不能作为中标的保证。</w:t>
      </w:r>
    </w:p>
    <w:p w14:paraId="6F9B8AF3">
      <w:pPr>
        <w:spacing w:line="460" w:lineRule="exact"/>
        <w:ind w:firstLine="541" w:firstLineChars="245"/>
        <w:rPr>
          <w:rFonts w:hint="eastAsia" w:ascii="新宋体" w:hAnsi="新宋体" w:eastAsia="新宋体" w:cs="新宋体"/>
          <w:b/>
          <w:color w:val="auto"/>
          <w:sz w:val="22"/>
          <w:szCs w:val="22"/>
          <w:highlight w:val="none"/>
        </w:rPr>
      </w:pPr>
      <w:bookmarkStart w:id="36" w:name="_Toc24673"/>
      <w:r>
        <w:rPr>
          <w:rFonts w:hint="eastAsia" w:ascii="新宋体" w:hAnsi="新宋体" w:eastAsia="新宋体" w:cs="新宋体"/>
          <w:b/>
          <w:bCs/>
          <w:color w:val="auto"/>
          <w:sz w:val="22"/>
          <w:szCs w:val="22"/>
          <w:highlight w:val="none"/>
        </w:rPr>
        <w:t>5、投标保证金</w:t>
      </w:r>
      <w:bookmarkEnd w:id="36"/>
    </w:p>
    <w:p w14:paraId="60720C63">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5.1</w:t>
      </w:r>
      <w:r>
        <w:rPr>
          <w:rFonts w:hint="eastAsia" w:ascii="新宋体" w:hAnsi="新宋体" w:eastAsia="新宋体" w:cs="新宋体"/>
          <w:bCs/>
          <w:color w:val="auto"/>
          <w:sz w:val="22"/>
          <w:szCs w:val="22"/>
          <w:highlight w:val="none"/>
        </w:rPr>
        <w:t>投标人须提供由投标人单位汇出的</w:t>
      </w:r>
      <w:r>
        <w:rPr>
          <w:rFonts w:hint="eastAsia" w:ascii="新宋体" w:hAnsi="新宋体" w:eastAsia="新宋体" w:cs="新宋体"/>
          <w:b/>
          <w:color w:val="auto"/>
          <w:sz w:val="22"/>
          <w:szCs w:val="22"/>
          <w:highlight w:val="none"/>
        </w:rPr>
        <w:t>投标保证金</w:t>
      </w:r>
      <w:r>
        <w:rPr>
          <w:rFonts w:hint="eastAsia" w:ascii="新宋体" w:hAnsi="新宋体" w:eastAsia="新宋体" w:cs="新宋体"/>
          <w:b/>
          <w:bCs/>
          <w:color w:val="auto"/>
          <w:sz w:val="22"/>
          <w:szCs w:val="22"/>
          <w:highlight w:val="none"/>
        </w:rPr>
        <w:t>人民币</w:t>
      </w:r>
      <w:r>
        <w:rPr>
          <w:rFonts w:hint="eastAsia" w:ascii="新宋体" w:hAnsi="新宋体" w:eastAsia="新宋体" w:cs="新宋体"/>
          <w:b/>
          <w:bCs/>
          <w:color w:val="auto"/>
          <w:sz w:val="22"/>
          <w:szCs w:val="22"/>
          <w:highlight w:val="none"/>
          <w:lang w:val="en-US" w:eastAsia="zh-CN"/>
        </w:rPr>
        <w:t>肆仟</w:t>
      </w:r>
      <w:r>
        <w:rPr>
          <w:rFonts w:hint="eastAsia" w:ascii="新宋体" w:hAnsi="新宋体" w:eastAsia="新宋体" w:cs="新宋体"/>
          <w:b/>
          <w:bCs/>
          <w:color w:val="auto"/>
          <w:sz w:val="22"/>
          <w:szCs w:val="22"/>
          <w:highlight w:val="none"/>
        </w:rPr>
        <w:t>元整</w:t>
      </w:r>
      <w:r>
        <w:rPr>
          <w:rFonts w:hint="eastAsia" w:ascii="新宋体" w:hAnsi="新宋体" w:eastAsia="新宋体" w:cs="新宋体"/>
          <w:bCs/>
          <w:color w:val="auto"/>
          <w:sz w:val="22"/>
          <w:szCs w:val="22"/>
          <w:highlight w:val="none"/>
        </w:rPr>
        <w:t>。否则采购人、</w:t>
      </w:r>
      <w:r>
        <w:rPr>
          <w:rFonts w:hint="eastAsia" w:ascii="新宋体" w:hAnsi="新宋体" w:eastAsia="新宋体" w:cs="新宋体"/>
          <w:color w:val="auto"/>
          <w:sz w:val="22"/>
          <w:highlight w:val="none"/>
        </w:rPr>
        <w:t>采购代理机构</w:t>
      </w:r>
      <w:r>
        <w:rPr>
          <w:rFonts w:hint="eastAsia" w:ascii="新宋体" w:hAnsi="新宋体" w:eastAsia="新宋体" w:cs="新宋体"/>
          <w:bCs/>
          <w:color w:val="auto"/>
          <w:sz w:val="22"/>
          <w:szCs w:val="22"/>
          <w:highlight w:val="none"/>
        </w:rPr>
        <w:t>将不接受其投标。</w:t>
      </w:r>
    </w:p>
    <w:p w14:paraId="688AE713">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5.2 投标保证金应以汇票（包括电汇）、支票形式从投标人开户银行汇出，不得从第三者或者分支机构汇出。投标保证金按以下</w:t>
      </w:r>
      <w:r>
        <w:rPr>
          <w:rFonts w:hint="eastAsia" w:ascii="新宋体" w:hAnsi="新宋体" w:eastAsia="新宋体" w:cs="新宋体"/>
          <w:color w:val="auto"/>
          <w:sz w:val="22"/>
          <w:szCs w:val="22"/>
          <w:highlight w:val="none"/>
          <w:lang w:eastAsia="zh-CN"/>
        </w:rPr>
        <w:t>开户银行及账号</w:t>
      </w:r>
      <w:r>
        <w:rPr>
          <w:rFonts w:hint="eastAsia" w:ascii="新宋体" w:hAnsi="新宋体" w:eastAsia="新宋体" w:cs="新宋体"/>
          <w:color w:val="auto"/>
          <w:sz w:val="22"/>
          <w:szCs w:val="22"/>
          <w:highlight w:val="none"/>
        </w:rPr>
        <w:t>汇入：</w:t>
      </w:r>
    </w:p>
    <w:p w14:paraId="36DB424A">
      <w:pPr>
        <w:spacing w:line="460" w:lineRule="exact"/>
        <w:ind w:firstLine="571" w:firstLineChars="245"/>
        <w:rPr>
          <w:rFonts w:hint="eastAsia" w:ascii="新宋体" w:hAnsi="新宋体" w:eastAsia="新宋体" w:cs="新宋体"/>
          <w:b/>
          <w:color w:val="auto"/>
          <w:spacing w:val="6"/>
          <w:sz w:val="22"/>
          <w:szCs w:val="22"/>
          <w:highlight w:val="none"/>
        </w:rPr>
      </w:pPr>
      <w:r>
        <w:rPr>
          <w:rFonts w:hint="eastAsia" w:ascii="新宋体" w:hAnsi="新宋体" w:eastAsia="新宋体" w:cs="新宋体"/>
          <w:b/>
          <w:color w:val="auto"/>
          <w:spacing w:val="6"/>
          <w:sz w:val="22"/>
          <w:szCs w:val="22"/>
          <w:highlight w:val="none"/>
        </w:rPr>
        <w:t>户 名：温州历程招标有限公司</w:t>
      </w:r>
    </w:p>
    <w:p w14:paraId="1BEC5852">
      <w:pPr>
        <w:spacing w:line="460" w:lineRule="exact"/>
        <w:ind w:firstLine="571" w:firstLineChars="245"/>
        <w:rPr>
          <w:rFonts w:hint="eastAsia" w:ascii="新宋体" w:hAnsi="新宋体" w:eastAsia="新宋体" w:cs="新宋体"/>
          <w:b/>
          <w:color w:val="auto"/>
          <w:spacing w:val="6"/>
          <w:sz w:val="22"/>
          <w:szCs w:val="22"/>
          <w:highlight w:val="none"/>
        </w:rPr>
      </w:pPr>
      <w:r>
        <w:rPr>
          <w:rFonts w:hint="eastAsia" w:ascii="新宋体" w:hAnsi="新宋体" w:eastAsia="新宋体" w:cs="新宋体"/>
          <w:b/>
          <w:color w:val="auto"/>
          <w:spacing w:val="6"/>
          <w:sz w:val="22"/>
          <w:szCs w:val="22"/>
          <w:highlight w:val="none"/>
        </w:rPr>
        <w:t>账 号：76010122001040137</w:t>
      </w:r>
    </w:p>
    <w:p w14:paraId="117E9D91">
      <w:pPr>
        <w:spacing w:line="460" w:lineRule="exact"/>
        <w:ind w:firstLine="571" w:firstLineChars="245"/>
        <w:rPr>
          <w:rFonts w:hint="eastAsia" w:ascii="新宋体" w:hAnsi="新宋体" w:eastAsia="新宋体" w:cs="新宋体"/>
          <w:b/>
          <w:color w:val="auto"/>
          <w:spacing w:val="6"/>
          <w:sz w:val="22"/>
          <w:szCs w:val="22"/>
          <w:highlight w:val="none"/>
        </w:rPr>
      </w:pPr>
      <w:r>
        <w:rPr>
          <w:rFonts w:hint="eastAsia" w:ascii="新宋体" w:hAnsi="新宋体" w:eastAsia="新宋体" w:cs="新宋体"/>
          <w:b/>
          <w:color w:val="auto"/>
          <w:spacing w:val="6"/>
          <w:sz w:val="22"/>
          <w:szCs w:val="22"/>
          <w:highlight w:val="none"/>
        </w:rPr>
        <w:t xml:space="preserve">开户行：宁波银行股份有限公司温州分行 </w:t>
      </w:r>
    </w:p>
    <w:p w14:paraId="662CDB83">
      <w:pPr>
        <w:spacing w:line="460" w:lineRule="exact"/>
        <w:ind w:firstLine="539" w:firstLineChars="245"/>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 xml:space="preserve">5.3 </w:t>
      </w:r>
      <w:r>
        <w:rPr>
          <w:rFonts w:hint="eastAsia" w:ascii="新宋体" w:hAnsi="新宋体" w:eastAsia="新宋体" w:cs="新宋体"/>
          <w:b/>
          <w:bCs/>
          <w:color w:val="auto"/>
          <w:sz w:val="22"/>
          <w:szCs w:val="22"/>
          <w:highlight w:val="none"/>
        </w:rPr>
        <w:t>投标保证金缴纳截止时间：开标时间及投标文件递交截止时。</w:t>
      </w:r>
      <w:r>
        <w:rPr>
          <w:rFonts w:hint="eastAsia" w:ascii="新宋体" w:hAnsi="新宋体" w:eastAsia="新宋体" w:cs="新宋体"/>
          <w:b/>
          <w:color w:val="auto"/>
          <w:sz w:val="22"/>
          <w:szCs w:val="22"/>
          <w:highlight w:val="none"/>
          <w:u w:val="single"/>
        </w:rPr>
        <w:t>投标人必须在保证金缴纳截止时间前缴纳，该保证金凭证（银行转账支票进账单、电汇单等，缴纳保证金用途必须注明项目名称）作为递交投标保证金的凭据在投标时和投标文件同时提交。</w:t>
      </w:r>
    </w:p>
    <w:p w14:paraId="0D13FFC1">
      <w:pPr>
        <w:spacing w:line="460" w:lineRule="exact"/>
        <w:ind w:firstLine="541" w:firstLineChars="245"/>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未提交保证金凭据的其投标将不予接受。</w:t>
      </w:r>
    </w:p>
    <w:p w14:paraId="7EE473AC">
      <w:pPr>
        <w:spacing w:line="460" w:lineRule="exact"/>
        <w:ind w:firstLine="571" w:firstLineChars="245"/>
        <w:rPr>
          <w:rFonts w:hint="eastAsia" w:ascii="新宋体" w:hAnsi="新宋体" w:eastAsia="新宋体" w:cs="新宋体"/>
          <w:color w:val="auto"/>
          <w:sz w:val="22"/>
          <w:szCs w:val="22"/>
          <w:highlight w:val="none"/>
        </w:rPr>
      </w:pPr>
      <w:r>
        <w:rPr>
          <w:rFonts w:hint="eastAsia" w:ascii="新宋体" w:hAnsi="新宋体" w:eastAsia="新宋体" w:cs="新宋体"/>
          <w:b/>
          <w:color w:val="auto"/>
          <w:spacing w:val="6"/>
          <w:sz w:val="22"/>
          <w:szCs w:val="22"/>
          <w:highlight w:val="none"/>
        </w:rPr>
        <w:t>5.4</w:t>
      </w:r>
      <w:r>
        <w:rPr>
          <w:rFonts w:hint="eastAsia" w:ascii="新宋体" w:hAnsi="新宋体" w:eastAsia="新宋体" w:cs="新宋体"/>
          <w:color w:val="auto"/>
          <w:sz w:val="22"/>
          <w:szCs w:val="22"/>
          <w:highlight w:val="none"/>
        </w:rPr>
        <w:t>中标人的投标保证金在中标人与采购人签订了采购合同后7个工作日内无息退还，未中标人的投标保证金将在中标通知书发出后3个工作日内无息退还。</w:t>
      </w:r>
    </w:p>
    <w:p w14:paraId="490F2ED2">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5.5如发生下列情况之一，投标保证金将不予退还：</w:t>
      </w:r>
    </w:p>
    <w:p w14:paraId="608E1DCE">
      <w:pPr>
        <w:spacing w:line="460" w:lineRule="exact"/>
        <w:ind w:firstLine="539" w:firstLineChars="245"/>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（1）投标人在采购文件规定的投标有效期内撤回投标；</w:t>
      </w:r>
    </w:p>
    <w:p w14:paraId="59ED8591">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（2）中标人未按中标通知书中规定的时间与采购人签订合同；</w:t>
      </w:r>
    </w:p>
    <w:p w14:paraId="47C5616E">
      <w:pPr>
        <w:spacing w:line="460" w:lineRule="exact"/>
        <w:ind w:firstLine="539" w:firstLineChars="245"/>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（3）中标人在规定期限内未能根据采购文件要求提供履约保证金（</w:t>
      </w:r>
      <w:r>
        <w:rPr>
          <w:rFonts w:hint="eastAsia" w:ascii="新宋体" w:hAnsi="新宋体" w:eastAsia="新宋体" w:cs="新宋体"/>
          <w:color w:val="auto"/>
          <w:spacing w:val="6"/>
          <w:sz w:val="22"/>
          <w:szCs w:val="22"/>
          <w:highlight w:val="none"/>
        </w:rPr>
        <w:t>或履约保函</w:t>
      </w:r>
      <w:r>
        <w:rPr>
          <w:rFonts w:hint="eastAsia" w:ascii="新宋体" w:hAnsi="新宋体" w:eastAsia="新宋体" w:cs="新宋体"/>
          <w:color w:val="auto"/>
          <w:sz w:val="22"/>
          <w:highlight w:val="none"/>
        </w:rPr>
        <w:t>）；</w:t>
      </w:r>
    </w:p>
    <w:p w14:paraId="51B08D0F">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（4）投标人在采购文件中提供虚假技术指标及参数或在投标时提供虚假承诺，经评标委员会确认属实的；</w:t>
      </w:r>
    </w:p>
    <w:p w14:paraId="287FC9FD">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（5）经采购监管部门审查认定投标人有违反《温州市市属国有企业采购管理办法》温国资委〔2024〕51号等有关法律法规的行为。</w:t>
      </w:r>
    </w:p>
    <w:p w14:paraId="4315E083">
      <w:pPr>
        <w:spacing w:line="460" w:lineRule="exact"/>
        <w:ind w:firstLine="541" w:firstLineChars="245"/>
        <w:rPr>
          <w:rFonts w:hint="eastAsia" w:ascii="新宋体" w:hAnsi="新宋体" w:eastAsia="新宋体" w:cs="新宋体"/>
          <w:b/>
          <w:color w:val="auto"/>
          <w:sz w:val="22"/>
          <w:szCs w:val="22"/>
          <w:highlight w:val="none"/>
        </w:rPr>
      </w:pPr>
      <w:bookmarkStart w:id="37" w:name="_Toc30445"/>
      <w:r>
        <w:rPr>
          <w:rFonts w:hint="eastAsia" w:ascii="新宋体" w:hAnsi="新宋体" w:eastAsia="新宋体" w:cs="新宋体"/>
          <w:b/>
          <w:bCs/>
          <w:color w:val="auto"/>
          <w:sz w:val="22"/>
          <w:szCs w:val="22"/>
          <w:highlight w:val="none"/>
        </w:rPr>
        <w:t>6、投标有效期</w:t>
      </w:r>
      <w:bookmarkEnd w:id="37"/>
    </w:p>
    <w:p w14:paraId="12B78718">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6.1自开标之日起</w:t>
      </w:r>
      <w:r>
        <w:rPr>
          <w:rFonts w:hint="eastAsia" w:ascii="新宋体" w:hAnsi="新宋体" w:eastAsia="新宋体" w:cs="新宋体"/>
          <w:b/>
          <w:bCs/>
          <w:color w:val="auto"/>
          <w:sz w:val="22"/>
          <w:szCs w:val="22"/>
          <w:highlight w:val="none"/>
        </w:rPr>
        <w:t xml:space="preserve"> 90 </w:t>
      </w:r>
      <w:r>
        <w:rPr>
          <w:rFonts w:hint="eastAsia" w:ascii="新宋体" w:hAnsi="新宋体" w:eastAsia="新宋体" w:cs="新宋体"/>
          <w:b/>
          <w:color w:val="auto"/>
          <w:sz w:val="22"/>
          <w:szCs w:val="22"/>
          <w:highlight w:val="none"/>
        </w:rPr>
        <w:t>天内投标应保持有效。</w:t>
      </w:r>
    </w:p>
    <w:p w14:paraId="1176C25D">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6.2特殊情况下，在原投标有效期截止前，采购人、采购代理机构可与投标人协商延长投标有效期，这种要求和答复均以书面形式进行。投标人可拒绝接受延期要求，而不会导致投标保证金不予退还。同意延长投标有效期的投标人不得修改投标文件。有关退还不予退还投标保证金的规定在投标有效期的延长期内继续有效。</w:t>
      </w:r>
    </w:p>
    <w:p w14:paraId="27AA9749">
      <w:pPr>
        <w:spacing w:line="460" w:lineRule="exact"/>
        <w:ind w:firstLine="541" w:firstLineChars="245"/>
        <w:rPr>
          <w:rFonts w:hint="eastAsia" w:ascii="新宋体" w:hAnsi="新宋体" w:eastAsia="新宋体" w:cs="新宋体"/>
          <w:b/>
          <w:bCs/>
          <w:color w:val="auto"/>
          <w:sz w:val="22"/>
          <w:szCs w:val="22"/>
          <w:highlight w:val="none"/>
        </w:rPr>
      </w:pPr>
      <w:bookmarkStart w:id="38" w:name="_Toc14721"/>
      <w:r>
        <w:rPr>
          <w:rFonts w:hint="eastAsia" w:ascii="新宋体" w:hAnsi="新宋体" w:eastAsia="新宋体" w:cs="新宋体"/>
          <w:b/>
          <w:bCs/>
          <w:color w:val="auto"/>
          <w:sz w:val="22"/>
          <w:szCs w:val="22"/>
          <w:highlight w:val="none"/>
        </w:rPr>
        <w:t>7、投标文件的签署和规定</w:t>
      </w:r>
      <w:bookmarkEnd w:id="38"/>
    </w:p>
    <w:p w14:paraId="28CDFEA4">
      <w:pPr>
        <w:tabs>
          <w:tab w:val="left" w:pos="360"/>
        </w:tabs>
        <w:spacing w:line="460" w:lineRule="exact"/>
        <w:ind w:firstLine="552" w:firstLineChars="25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7.1投标人应提供技术标、商务标各一式</w:t>
      </w:r>
      <w:r>
        <w:rPr>
          <w:rFonts w:hint="eastAsia" w:ascii="新宋体" w:hAnsi="新宋体" w:eastAsia="新宋体" w:cs="新宋体"/>
          <w:b/>
          <w:color w:val="auto"/>
          <w:sz w:val="22"/>
          <w:szCs w:val="22"/>
          <w:highlight w:val="none"/>
          <w:lang w:val="en-US" w:eastAsia="zh-CN"/>
        </w:rPr>
        <w:t>陆</w:t>
      </w:r>
      <w:r>
        <w:rPr>
          <w:rFonts w:hint="eastAsia" w:ascii="新宋体" w:hAnsi="新宋体" w:eastAsia="新宋体" w:cs="新宋体"/>
          <w:b/>
          <w:color w:val="auto"/>
          <w:sz w:val="22"/>
          <w:szCs w:val="22"/>
          <w:highlight w:val="none"/>
        </w:rPr>
        <w:t>份的投标文件，分别装订成册。其中正本一份、副本</w:t>
      </w:r>
      <w:r>
        <w:rPr>
          <w:rFonts w:hint="eastAsia" w:ascii="新宋体" w:hAnsi="新宋体" w:eastAsia="新宋体" w:cs="新宋体"/>
          <w:b/>
          <w:color w:val="auto"/>
          <w:sz w:val="22"/>
          <w:szCs w:val="22"/>
          <w:highlight w:val="none"/>
          <w:lang w:val="en-US" w:eastAsia="zh-CN"/>
        </w:rPr>
        <w:t>伍</w:t>
      </w:r>
      <w:r>
        <w:rPr>
          <w:rFonts w:hint="eastAsia" w:ascii="新宋体" w:hAnsi="新宋体" w:eastAsia="新宋体" w:cs="新宋体"/>
          <w:b/>
          <w:color w:val="auto"/>
          <w:sz w:val="22"/>
          <w:szCs w:val="22"/>
          <w:highlight w:val="none"/>
        </w:rPr>
        <w:t>份，每套投标文件的封面应清楚标明“正本”或“副本”字样，若“正本”与“副本”不符，以“正本”为准</w:t>
      </w:r>
      <w:r>
        <w:rPr>
          <w:rFonts w:hint="eastAsia" w:ascii="新宋体" w:hAnsi="新宋体" w:eastAsia="新宋体" w:cs="新宋体"/>
          <w:color w:val="auto"/>
          <w:sz w:val="22"/>
          <w:szCs w:val="22"/>
          <w:highlight w:val="none"/>
        </w:rPr>
        <w:t>。</w:t>
      </w:r>
    </w:p>
    <w:p w14:paraId="78E8E209">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7.2投标文件的正本必须打印或用不褪色的墨水书写，并由投标人代表签署，副本可用正本的复印。</w:t>
      </w:r>
    </w:p>
    <w:p w14:paraId="21F301D0">
      <w:pPr>
        <w:tabs>
          <w:tab w:val="left" w:pos="360"/>
        </w:tabs>
        <w:spacing w:line="460" w:lineRule="exact"/>
        <w:ind w:firstLine="552" w:firstLineChars="25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7.3 投标文件如有修改和增删必须由投标人代表在修改和增删处旁签署或盖章，方才有效。</w:t>
      </w:r>
    </w:p>
    <w:p w14:paraId="54E5A115">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7.4 投标文件因字迹模糊或在关键的技术、商务条款上表述不清楚，将可能导致其投标被否决。</w:t>
      </w:r>
    </w:p>
    <w:p w14:paraId="515A4590">
      <w:pPr>
        <w:spacing w:line="460" w:lineRule="exact"/>
        <w:ind w:firstLine="541" w:firstLineChars="245"/>
        <w:rPr>
          <w:rFonts w:hint="eastAsia" w:ascii="新宋体" w:hAnsi="新宋体" w:eastAsia="新宋体" w:cs="新宋体"/>
          <w:b/>
          <w:bCs/>
          <w:color w:val="auto"/>
          <w:sz w:val="22"/>
          <w:szCs w:val="22"/>
          <w:highlight w:val="none"/>
        </w:rPr>
      </w:pPr>
      <w:bookmarkStart w:id="39" w:name="_Toc27532"/>
      <w:r>
        <w:rPr>
          <w:rFonts w:hint="eastAsia" w:ascii="新宋体" w:hAnsi="新宋体" w:eastAsia="新宋体" w:cs="新宋体"/>
          <w:b/>
          <w:bCs/>
          <w:color w:val="auto"/>
          <w:sz w:val="22"/>
          <w:szCs w:val="22"/>
          <w:highlight w:val="none"/>
        </w:rPr>
        <w:t>8、投标文件的密封及标记</w:t>
      </w:r>
      <w:bookmarkEnd w:id="39"/>
    </w:p>
    <w:p w14:paraId="76BD6340">
      <w:pPr>
        <w:spacing w:line="460" w:lineRule="exact"/>
        <w:ind w:firstLine="541" w:firstLineChars="245"/>
        <w:rPr>
          <w:rFonts w:hint="eastAsia" w:ascii="新宋体" w:hAnsi="新宋体" w:eastAsia="新宋体" w:cs="新宋体"/>
          <w:color w:val="auto"/>
          <w:sz w:val="22"/>
          <w:highlight w:val="none"/>
        </w:rPr>
      </w:pPr>
      <w:r>
        <w:rPr>
          <w:rFonts w:hint="eastAsia" w:ascii="新宋体" w:hAnsi="新宋体" w:eastAsia="新宋体" w:cs="新宋体"/>
          <w:b/>
          <w:color w:val="auto"/>
          <w:sz w:val="22"/>
          <w:szCs w:val="22"/>
          <w:highlight w:val="none"/>
        </w:rPr>
        <w:t>8.1投标人必须将投标文件的“技术标”“商务标”分别单独密封，且在各自的密封袋上标明“技术标”和“商务标”字样。</w:t>
      </w:r>
      <w:r>
        <w:rPr>
          <w:rFonts w:hint="eastAsia" w:ascii="新宋体" w:hAnsi="新宋体" w:eastAsia="新宋体" w:cs="新宋体"/>
          <w:color w:val="auto"/>
          <w:sz w:val="22"/>
          <w:highlight w:val="none"/>
        </w:rPr>
        <w:t>封口处贴上封条，骑缝处加盖投标人公章或由投标人代表签字。封皮上写明投标项目名称、编号、投标人名称、电话联系人，并注明“开标时启封”字样。</w:t>
      </w:r>
    </w:p>
    <w:p w14:paraId="4AF9CDC1">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8.2如果投标人未按上述要求密封及加写标记，采购机构对投标文件的误投和提前启封不负责任。</w:t>
      </w:r>
    </w:p>
    <w:p w14:paraId="2BDC75BA">
      <w:pPr>
        <w:spacing w:before="100" w:beforeAutospacing="1" w:after="100" w:afterAutospacing="1" w:line="440" w:lineRule="exact"/>
        <w:jc w:val="center"/>
        <w:outlineLvl w:val="1"/>
        <w:rPr>
          <w:rFonts w:hint="eastAsia" w:ascii="新宋体" w:hAnsi="新宋体" w:eastAsia="新宋体" w:cs="新宋体"/>
          <w:b/>
          <w:bCs/>
          <w:color w:val="auto"/>
          <w:sz w:val="26"/>
          <w:szCs w:val="26"/>
          <w:highlight w:val="none"/>
        </w:rPr>
      </w:pPr>
      <w:bookmarkStart w:id="40" w:name="_Toc7562"/>
      <w:r>
        <w:rPr>
          <w:rFonts w:hint="eastAsia" w:ascii="新宋体" w:hAnsi="新宋体" w:eastAsia="新宋体" w:cs="新宋体"/>
          <w:b/>
          <w:bCs/>
          <w:color w:val="auto"/>
          <w:sz w:val="26"/>
          <w:szCs w:val="26"/>
          <w:highlight w:val="none"/>
        </w:rPr>
        <w:t>四、 投标文件的递交</w:t>
      </w:r>
      <w:bookmarkEnd w:id="40"/>
    </w:p>
    <w:p w14:paraId="38FA0C30">
      <w:pPr>
        <w:spacing w:line="460" w:lineRule="exact"/>
        <w:ind w:firstLine="541" w:firstLineChars="245"/>
        <w:rPr>
          <w:rFonts w:hint="eastAsia" w:ascii="新宋体" w:hAnsi="新宋体" w:eastAsia="新宋体" w:cs="新宋体"/>
          <w:b/>
          <w:color w:val="auto"/>
          <w:sz w:val="22"/>
          <w:szCs w:val="22"/>
          <w:highlight w:val="none"/>
        </w:rPr>
      </w:pPr>
      <w:bookmarkStart w:id="41" w:name="_Toc9460"/>
      <w:r>
        <w:rPr>
          <w:rFonts w:hint="eastAsia" w:ascii="新宋体" w:hAnsi="新宋体" w:eastAsia="新宋体" w:cs="新宋体"/>
          <w:b/>
          <w:bCs/>
          <w:color w:val="auto"/>
          <w:sz w:val="22"/>
          <w:szCs w:val="22"/>
          <w:highlight w:val="none"/>
        </w:rPr>
        <w:t>1、投标文件的递交</w:t>
      </w:r>
      <w:bookmarkEnd w:id="41"/>
    </w:p>
    <w:p w14:paraId="797EAD85">
      <w:pPr>
        <w:spacing w:line="460" w:lineRule="exact"/>
        <w:ind w:firstLine="541" w:firstLineChars="245"/>
        <w:rPr>
          <w:rFonts w:hint="eastAsia" w:ascii="新宋体" w:hAnsi="新宋体" w:eastAsia="新宋体" w:cs="新宋体"/>
          <w:b/>
          <w:color w:val="auto"/>
          <w:sz w:val="22"/>
          <w:highlight w:val="none"/>
        </w:rPr>
      </w:pPr>
      <w:r>
        <w:rPr>
          <w:rFonts w:hint="eastAsia" w:ascii="新宋体" w:hAnsi="新宋体" w:eastAsia="新宋体" w:cs="新宋体"/>
          <w:b/>
          <w:bCs/>
          <w:color w:val="auto"/>
          <w:sz w:val="22"/>
          <w:szCs w:val="22"/>
          <w:highlight w:val="none"/>
        </w:rPr>
        <w:t>1.1</w:t>
      </w:r>
      <w:r>
        <w:rPr>
          <w:rFonts w:hint="eastAsia" w:ascii="新宋体" w:hAnsi="新宋体" w:eastAsia="新宋体" w:cs="新宋体"/>
          <w:b/>
          <w:color w:val="auto"/>
          <w:sz w:val="22"/>
          <w:highlight w:val="none"/>
        </w:rPr>
        <w:t>投标文件必须在规定的投标截止时间前送达到指定的收标地点，并同时递交投标保证金凭据、法定代表人授权书和投标人代表有效身份证件和营业执照（以上证明文件复印件加盖公章，需提供原件备查），确认投标资格。</w:t>
      </w:r>
    </w:p>
    <w:p w14:paraId="73144076">
      <w:pPr>
        <w:spacing w:line="460" w:lineRule="exact"/>
        <w:ind w:firstLine="541" w:firstLineChars="245"/>
        <w:rPr>
          <w:rFonts w:hint="eastAsia" w:ascii="新宋体" w:hAnsi="新宋体" w:eastAsia="新宋体" w:cs="新宋体"/>
          <w:b/>
          <w:color w:val="auto"/>
          <w:sz w:val="22"/>
          <w:szCs w:val="22"/>
          <w:highlight w:val="none"/>
        </w:rPr>
      </w:pPr>
      <w:bookmarkStart w:id="42" w:name="_Toc30465"/>
      <w:r>
        <w:rPr>
          <w:rFonts w:hint="eastAsia" w:ascii="新宋体" w:hAnsi="新宋体" w:eastAsia="新宋体" w:cs="新宋体"/>
          <w:b/>
          <w:bCs/>
          <w:color w:val="auto"/>
          <w:sz w:val="22"/>
          <w:szCs w:val="22"/>
          <w:highlight w:val="none"/>
        </w:rPr>
        <w:t>2、投标文件的修改和撤回</w:t>
      </w:r>
      <w:bookmarkEnd w:id="42"/>
    </w:p>
    <w:p w14:paraId="7122F4E4">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2.1在投标截止时间前，投标人可以用书面形式提出修改或撤回其投标并送达到采购人，但不得影响开标活动的正常进行。</w:t>
      </w:r>
    </w:p>
    <w:p w14:paraId="331D7E4C">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2.2“投标文件修改”或“投标文件撤回通知”都应密封并在密封袋上写明投标项目名称、编号、投标人名称，并注明“投标文件修改”或“投标文件撤回通知”字样。</w:t>
      </w:r>
    </w:p>
    <w:p w14:paraId="6FF82A30">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2.3  从投标截止日期起至投标有效期满这段时间内，投标人不撤回其投标，否则投标保证金将被不予退还。</w:t>
      </w:r>
    </w:p>
    <w:p w14:paraId="3823D7E8">
      <w:pPr>
        <w:spacing w:line="460" w:lineRule="exact"/>
        <w:ind w:firstLine="541" w:firstLineChars="245"/>
        <w:rPr>
          <w:rFonts w:hint="eastAsia" w:ascii="新宋体" w:hAnsi="新宋体" w:eastAsia="新宋体" w:cs="新宋体"/>
          <w:b/>
          <w:color w:val="auto"/>
          <w:sz w:val="22"/>
          <w:szCs w:val="22"/>
          <w:highlight w:val="none"/>
        </w:rPr>
      </w:pPr>
      <w:bookmarkStart w:id="43" w:name="_Toc18060"/>
      <w:r>
        <w:rPr>
          <w:rFonts w:hint="eastAsia" w:ascii="新宋体" w:hAnsi="新宋体" w:eastAsia="新宋体" w:cs="新宋体"/>
          <w:b/>
          <w:bCs/>
          <w:color w:val="auto"/>
          <w:sz w:val="22"/>
          <w:szCs w:val="22"/>
          <w:highlight w:val="none"/>
        </w:rPr>
        <w:t>3、</w:t>
      </w:r>
      <w:r>
        <w:rPr>
          <w:rFonts w:hint="eastAsia" w:ascii="新宋体" w:hAnsi="新宋体" w:eastAsia="新宋体" w:cs="新宋体"/>
          <w:b/>
          <w:color w:val="auto"/>
          <w:sz w:val="22"/>
          <w:highlight w:val="none"/>
        </w:rPr>
        <w:t>发生下列情况之一的投标文件将拒收:</w:t>
      </w:r>
      <w:bookmarkEnd w:id="43"/>
    </w:p>
    <w:p w14:paraId="0F89103F">
      <w:pPr>
        <w:tabs>
          <w:tab w:val="left" w:pos="360"/>
        </w:tabs>
        <w:spacing w:line="460" w:lineRule="exact"/>
        <w:ind w:firstLine="552" w:firstLineChars="25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3.1 在投标截止时间以后送达的投标文件；</w:t>
      </w:r>
    </w:p>
    <w:p w14:paraId="7810102F">
      <w:pPr>
        <w:tabs>
          <w:tab w:val="left" w:pos="360"/>
        </w:tabs>
        <w:spacing w:line="460" w:lineRule="exact"/>
        <w:ind w:firstLine="552" w:firstLineChars="25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3.2 未密封的投标文件；</w:t>
      </w:r>
    </w:p>
    <w:p w14:paraId="6035F4A1">
      <w:pPr>
        <w:tabs>
          <w:tab w:val="left" w:pos="360"/>
        </w:tabs>
        <w:spacing w:line="460" w:lineRule="exact"/>
        <w:ind w:firstLine="552" w:firstLineChars="25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3.3 由于包装不妥在送达途中严重破损或失散的投标文件；</w:t>
      </w:r>
    </w:p>
    <w:p w14:paraId="37023F7E">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3.4 以电讯形式递交的投标文件。</w:t>
      </w:r>
    </w:p>
    <w:p w14:paraId="67407B97">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u w:val="single"/>
        </w:rPr>
        <w:t>4、组织供应商签署不存在影响公平竞争的《采购活动现场确认声明书》。</w:t>
      </w:r>
    </w:p>
    <w:p w14:paraId="2FA4D53A">
      <w:pPr>
        <w:spacing w:before="100" w:beforeAutospacing="1" w:after="100" w:afterAutospacing="1" w:line="460" w:lineRule="exact"/>
        <w:jc w:val="center"/>
        <w:outlineLvl w:val="1"/>
        <w:rPr>
          <w:rFonts w:hint="eastAsia" w:ascii="新宋体" w:hAnsi="新宋体" w:eastAsia="新宋体" w:cs="新宋体"/>
          <w:b/>
          <w:bCs/>
          <w:color w:val="auto"/>
          <w:sz w:val="26"/>
          <w:szCs w:val="26"/>
          <w:highlight w:val="none"/>
        </w:rPr>
      </w:pPr>
      <w:bookmarkStart w:id="44" w:name="_Toc23344"/>
      <w:r>
        <w:rPr>
          <w:rFonts w:hint="eastAsia" w:ascii="新宋体" w:hAnsi="新宋体" w:eastAsia="新宋体" w:cs="新宋体"/>
          <w:b/>
          <w:bCs/>
          <w:color w:val="auto"/>
          <w:sz w:val="26"/>
          <w:szCs w:val="26"/>
          <w:highlight w:val="none"/>
        </w:rPr>
        <w:t>五、 开标和评标</w:t>
      </w:r>
      <w:bookmarkEnd w:id="44"/>
    </w:p>
    <w:p w14:paraId="10AE4CC4">
      <w:pPr>
        <w:spacing w:line="460" w:lineRule="exact"/>
        <w:ind w:firstLine="541" w:firstLineChars="245"/>
        <w:rPr>
          <w:rFonts w:hint="eastAsia" w:ascii="新宋体" w:hAnsi="新宋体" w:eastAsia="新宋体" w:cs="新宋体"/>
          <w:b/>
          <w:color w:val="auto"/>
          <w:sz w:val="22"/>
          <w:szCs w:val="22"/>
          <w:highlight w:val="none"/>
        </w:rPr>
      </w:pPr>
      <w:bookmarkStart w:id="45" w:name="_Toc27561"/>
      <w:r>
        <w:rPr>
          <w:rFonts w:hint="eastAsia" w:ascii="新宋体" w:hAnsi="新宋体" w:eastAsia="新宋体" w:cs="新宋体"/>
          <w:b/>
          <w:bCs/>
          <w:color w:val="auto"/>
          <w:sz w:val="22"/>
          <w:szCs w:val="22"/>
          <w:highlight w:val="none"/>
        </w:rPr>
        <w:t>1、评标委员会</w:t>
      </w:r>
      <w:bookmarkEnd w:id="45"/>
    </w:p>
    <w:p w14:paraId="1F9442A5">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1.1采购人和采购代理机构组建评标委员会。评标委员会的成员在评标过程中必须严格遵守</w:t>
      </w:r>
      <w:r>
        <w:rPr>
          <w:rFonts w:hint="eastAsia" w:ascii="新宋体" w:hAnsi="新宋体" w:eastAsia="新宋体" w:cs="新宋体"/>
          <w:color w:val="auto"/>
          <w:sz w:val="22"/>
          <w:highlight w:val="none"/>
        </w:rPr>
        <w:t>《温州市市属国有企业采购管理办法》温国资委〔2024〕51号</w:t>
      </w:r>
      <w:r>
        <w:rPr>
          <w:rFonts w:hint="eastAsia" w:ascii="新宋体" w:hAnsi="新宋体" w:eastAsia="新宋体" w:cs="新宋体"/>
          <w:bCs/>
          <w:color w:val="auto"/>
          <w:sz w:val="22"/>
          <w:szCs w:val="22"/>
          <w:highlight w:val="none"/>
        </w:rPr>
        <w:t>等有关法律、法规的规定。</w:t>
      </w:r>
    </w:p>
    <w:p w14:paraId="732BB6E6">
      <w:pPr>
        <w:spacing w:line="460" w:lineRule="exact"/>
        <w:ind w:firstLine="539" w:firstLineChars="245"/>
        <w:rPr>
          <w:rFonts w:hint="eastAsia" w:ascii="新宋体" w:hAnsi="新宋体" w:eastAsia="新宋体" w:cs="新宋体"/>
          <w:b/>
          <w:color w:val="auto"/>
          <w:sz w:val="22"/>
          <w:szCs w:val="22"/>
          <w:highlight w:val="none"/>
        </w:rPr>
      </w:pPr>
      <w:bookmarkStart w:id="46" w:name="_Toc30260"/>
      <w:r>
        <w:rPr>
          <w:rFonts w:hint="eastAsia" w:ascii="新宋体" w:hAnsi="新宋体" w:eastAsia="新宋体" w:cs="新宋体"/>
          <w:bCs/>
          <w:color w:val="auto"/>
          <w:sz w:val="22"/>
          <w:szCs w:val="22"/>
          <w:highlight w:val="none"/>
        </w:rPr>
        <w:t>2、评标过程的保密性</w:t>
      </w:r>
      <w:bookmarkEnd w:id="46"/>
    </w:p>
    <w:p w14:paraId="3518C51B">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2.1开标后直至向中标人授予合同时止，凡与评审有关的资料均不得向投标人及与评标无关人员透露。如果投标人在评标过程中试图向采购人和采购代理机构施加影响，其投标将被拒绝。</w:t>
      </w:r>
    </w:p>
    <w:p w14:paraId="7CF63B10">
      <w:pPr>
        <w:spacing w:line="460" w:lineRule="exact"/>
        <w:ind w:firstLine="541" w:firstLineChars="245"/>
        <w:rPr>
          <w:rFonts w:hint="eastAsia" w:ascii="新宋体" w:hAnsi="新宋体" w:eastAsia="新宋体" w:cs="新宋体"/>
          <w:b/>
          <w:color w:val="auto"/>
          <w:sz w:val="22"/>
          <w:szCs w:val="22"/>
          <w:highlight w:val="none"/>
        </w:rPr>
      </w:pPr>
      <w:bookmarkStart w:id="47" w:name="_Toc27962"/>
      <w:r>
        <w:rPr>
          <w:rFonts w:hint="eastAsia" w:ascii="新宋体" w:hAnsi="新宋体" w:eastAsia="新宋体" w:cs="新宋体"/>
          <w:b/>
          <w:bCs/>
          <w:color w:val="auto"/>
          <w:sz w:val="22"/>
          <w:szCs w:val="22"/>
          <w:highlight w:val="none"/>
        </w:rPr>
        <w:t>3、开标、评标</w:t>
      </w:r>
      <w:bookmarkEnd w:id="47"/>
    </w:p>
    <w:p w14:paraId="1AEC6A9D">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3.1 开标时邀请所有投标人代表参加，参加开标的代表应准时出席并签名报到以证明其出席。</w:t>
      </w:r>
    </w:p>
    <w:p w14:paraId="52A87DEA">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3.2 开标时，应当由投标人推选的代表检查投标文件的密封情况；经确认无误后，由采购代理机构工作人员当众拆封，宣布投标人名称、投标价格和采购文件规定的需要宣布的其他内容。</w:t>
      </w:r>
    </w:p>
    <w:p w14:paraId="44644B77">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投标人不足3家的，不得开标。</w:t>
      </w:r>
    </w:p>
    <w:p w14:paraId="35298B8B">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开标过程应当由采购人或者采购代理机构负责记录，由参加开标的各投标人代表和相关工作人员签字确认后随采购文件一并存档。</w:t>
      </w:r>
    </w:p>
    <w:p w14:paraId="5F317CBA">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投标人代表对开标过程和开标记录有疑义，以及认为采购人、采购代理机构相关工作人员有需要回避的情形的，应当场提出询问或者回避申请。</w:t>
      </w:r>
    </w:p>
    <w:p w14:paraId="5958C76F">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投标人未参加开标的，视同认可开标结果。</w:t>
      </w:r>
    </w:p>
    <w:p w14:paraId="105A2C32">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3.3 开标结束后，采购人依法对投标人的资格进行审查，合格投标人不足3家的，不得评标。</w:t>
      </w:r>
    </w:p>
    <w:p w14:paraId="69CEA366">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3.4 评标委员会对符合资格的投标人的投标文件进行符合性审查，以确定其是否满足采购文件的实质性要求。</w:t>
      </w:r>
    </w:p>
    <w:p w14:paraId="782FE65E">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3.5 没有满足采购文件的实质性要求的投标作无效标处理。评标委员会决定投标的实质性要求只根据投标文件本身的内容，而不寻求外部的证据。投标人不得通过修正或</w:t>
      </w:r>
      <w:r>
        <w:rPr>
          <w:rFonts w:hint="eastAsia" w:ascii="新宋体" w:hAnsi="新宋体" w:eastAsia="新宋体" w:cs="新宋体"/>
          <w:bCs/>
          <w:color w:val="auto"/>
          <w:sz w:val="22"/>
          <w:szCs w:val="22"/>
          <w:highlight w:val="none"/>
          <w:lang w:eastAsia="zh-CN"/>
        </w:rPr>
        <w:t>撤销</w:t>
      </w:r>
      <w:r>
        <w:rPr>
          <w:rFonts w:hint="eastAsia" w:ascii="新宋体" w:hAnsi="新宋体" w:eastAsia="新宋体" w:cs="新宋体"/>
          <w:bCs/>
          <w:color w:val="auto"/>
          <w:sz w:val="22"/>
          <w:szCs w:val="22"/>
          <w:highlight w:val="none"/>
        </w:rPr>
        <w:t>不合要求的偏离或保留从而使其投标成为实质上响应的投标。</w:t>
      </w:r>
    </w:p>
    <w:p w14:paraId="21638C14">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3.6 评标委员会按照采购文件中规定的评标方法和标准，对投标文件进行商务和技术评估，综合比较与评价。</w:t>
      </w:r>
    </w:p>
    <w:p w14:paraId="7082852A">
      <w:pPr>
        <w:spacing w:line="460" w:lineRule="exact"/>
        <w:ind w:firstLine="541" w:firstLineChars="245"/>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u w:val="single"/>
        </w:rPr>
        <w:t>3.7 投标人存在下列情况之一的，投标无效：</w:t>
      </w:r>
    </w:p>
    <w:p w14:paraId="4C23969B">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（1）未按照采购文件的规定提交投标保证金的；</w:t>
      </w:r>
    </w:p>
    <w:p w14:paraId="3D9D9A41">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（2）投标文件未按采购文件要求签署、盖章的；</w:t>
      </w:r>
    </w:p>
    <w:p w14:paraId="65B05C45">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（3）不具备采购文件中规定的资格要求的； </w:t>
      </w:r>
    </w:p>
    <w:p w14:paraId="32F5D46D">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（4）明显不符合采购文件中主要技术规格、技术标准的；</w:t>
      </w:r>
    </w:p>
    <w:p w14:paraId="464F0D7E">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（5）投标文件内容不全或关键字迹模糊无法辨认的；</w:t>
      </w:r>
    </w:p>
    <w:p w14:paraId="60429EC4">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（6）报价超过采购文件中规定的预算金额或者最高限价的；</w:t>
      </w:r>
    </w:p>
    <w:p w14:paraId="3686E3CB">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（7）投标人代表没有法定代表人合法、有效委托的；</w:t>
      </w:r>
    </w:p>
    <w:p w14:paraId="38F2E368">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（8）投标文件含有采购人不能接受的附加条件的；</w:t>
      </w:r>
    </w:p>
    <w:p w14:paraId="083693C9">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（9）法律、法规和采购文件规定的其他无效情形。</w:t>
      </w:r>
    </w:p>
    <w:p w14:paraId="1C22D592">
      <w:pPr>
        <w:spacing w:line="460" w:lineRule="exact"/>
        <w:ind w:firstLine="541" w:firstLineChars="245"/>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3.8有下列情形之一的，视为投标人串通投标，其投标无效：</w:t>
      </w:r>
    </w:p>
    <w:p w14:paraId="24FC628D">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（1）不同投标人的投标文件由同一单位或者个人编制；</w:t>
      </w:r>
    </w:p>
    <w:p w14:paraId="03B62562">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（2）不同投标人委托同一单位或者个人办理投标事宜；</w:t>
      </w:r>
    </w:p>
    <w:p w14:paraId="247E2D7E">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（3）不同投标人的投标文件载明的项目管理成员或者联系人员为同一人；</w:t>
      </w:r>
    </w:p>
    <w:p w14:paraId="126A53CF">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（4）不同投标人的投标文件异常一致或者投标报价呈规律性差异；</w:t>
      </w:r>
    </w:p>
    <w:p w14:paraId="2DEC3562">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（5）不同投标人的投标文件相互混装；</w:t>
      </w:r>
    </w:p>
    <w:p w14:paraId="164CB584">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（6）不同投标人的投标保证金从同一单位或者个人的账户转出。</w:t>
      </w:r>
    </w:p>
    <w:p w14:paraId="2EB8884C">
      <w:pPr>
        <w:spacing w:line="460" w:lineRule="exact"/>
        <w:ind w:firstLine="541" w:firstLineChars="245"/>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3.9 投标文件报价出现前后不一致的，按照下列规定修正：</w:t>
      </w:r>
    </w:p>
    <w:p w14:paraId="5E52A3FF">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（1）投标文件中开标一览表（报价表）内容与投标文件中相应内容不一致的，以开标一览表（报价表）为准；</w:t>
      </w:r>
    </w:p>
    <w:p w14:paraId="1D270489">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（2）大写金额和小写金额不一致的，以大写金额为准；</w:t>
      </w:r>
    </w:p>
    <w:p w14:paraId="7254AF23">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（3）单价金额小数点或者百分比有明显错位的，以开标一览表的总价为准，并修改单价；</w:t>
      </w:r>
    </w:p>
    <w:p w14:paraId="1DDE6C8B">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（4）总价金额与按单价汇总金额不一致的，以单价金额计算结果为准。</w:t>
      </w:r>
    </w:p>
    <w:p w14:paraId="15D44CAC">
      <w:pPr>
        <w:spacing w:line="460" w:lineRule="exact"/>
        <w:ind w:firstLine="539" w:firstLineChars="245"/>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同时出现两种以上不一致的，按照前款规定的顺序修正。修正后的报价按照本小节第4.1条第二款的规定经投标人确认后产生约束力，投标人不确认的，其投标无效。</w:t>
      </w:r>
    </w:p>
    <w:p w14:paraId="013039B8">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3.10 投标的评定</w:t>
      </w:r>
    </w:p>
    <w:p w14:paraId="0CBE5592">
      <w:pPr>
        <w:tabs>
          <w:tab w:val="left" w:pos="1365"/>
        </w:tabs>
        <w:spacing w:line="460" w:lineRule="exact"/>
        <w:ind w:left="638" w:leftChars="104" w:hanging="420" w:hanging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 xml:space="preserve">   </w:t>
      </w:r>
      <w:r>
        <w:rPr>
          <w:rFonts w:hint="eastAsia" w:ascii="新宋体" w:hAnsi="新宋体" w:eastAsia="新宋体" w:cs="新宋体"/>
          <w:color w:val="auto"/>
          <w:sz w:val="22"/>
          <w:szCs w:val="22"/>
          <w:highlight w:val="none"/>
        </w:rPr>
        <w:t xml:space="preserve"> 评标委员会除考虑投标人的投标报价的竞争有利性外，同时还应考虑以下几方面：</w:t>
      </w:r>
    </w:p>
    <w:p w14:paraId="6003C9FA">
      <w:pPr>
        <w:spacing w:line="460" w:lineRule="exact"/>
        <w:ind w:firstLine="759" w:firstLineChars="3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（1）交货及完工时间的满足性；</w:t>
      </w:r>
    </w:p>
    <w:p w14:paraId="38DA7D7B">
      <w:pPr>
        <w:spacing w:line="460" w:lineRule="exact"/>
        <w:ind w:firstLine="759" w:firstLineChars="3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（2）与合同条款规定的付款方式和条件的偏差；</w:t>
      </w:r>
    </w:p>
    <w:p w14:paraId="0C7422A3">
      <w:pPr>
        <w:spacing w:line="460" w:lineRule="exact"/>
        <w:ind w:firstLine="759" w:firstLineChars="3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（3）质量保证措施的可行性；</w:t>
      </w:r>
    </w:p>
    <w:p w14:paraId="62667948">
      <w:pPr>
        <w:spacing w:line="460" w:lineRule="exact"/>
        <w:ind w:firstLine="759" w:firstLineChars="3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（4）产品的质量水平、先进性和设备配套的齐全性；</w:t>
      </w:r>
    </w:p>
    <w:p w14:paraId="0C11CEC7">
      <w:pPr>
        <w:spacing w:line="460" w:lineRule="exact"/>
        <w:ind w:firstLine="759" w:firstLineChars="3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（5）投标人在买方所在地为用户提供售后服务的保障措施；</w:t>
      </w:r>
    </w:p>
    <w:p w14:paraId="3DC63D60">
      <w:pPr>
        <w:spacing w:line="460" w:lineRule="exact"/>
        <w:ind w:firstLine="759" w:firstLineChars="3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（6）投标人针对本项目安排的工程技术人员的业绩、素质、能力和信誉；</w:t>
      </w:r>
    </w:p>
    <w:p w14:paraId="31B08495">
      <w:pPr>
        <w:spacing w:line="460" w:lineRule="exact"/>
        <w:ind w:firstLine="759" w:firstLineChars="3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（7）投标人的经营信誉、资信和实力；</w:t>
      </w:r>
    </w:p>
    <w:p w14:paraId="25D6691E">
      <w:pPr>
        <w:spacing w:line="460" w:lineRule="exact"/>
        <w:ind w:firstLine="759" w:firstLineChars="3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（8）投标人的同类业绩；</w:t>
      </w:r>
    </w:p>
    <w:p w14:paraId="0A63F13D">
      <w:pPr>
        <w:spacing w:line="460" w:lineRule="exact"/>
        <w:ind w:firstLine="759" w:firstLineChars="3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（9）投标人提出的使采购人满意的优惠条款。</w:t>
      </w:r>
    </w:p>
    <w:p w14:paraId="2485CBC6">
      <w:pPr>
        <w:spacing w:line="460" w:lineRule="exact"/>
        <w:ind w:firstLine="759" w:firstLineChars="3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3.11 评标委员会成员对需要共同认定的事项存在争议的，应当按照少数服从多数的原则作出结论。持不同意见的评标委员会成员应当在评标报告上签署不同意见及理由，否则视为同意评标报告。</w:t>
      </w:r>
    </w:p>
    <w:p w14:paraId="2F1EAAEF">
      <w:pPr>
        <w:spacing w:line="460" w:lineRule="exact"/>
        <w:ind w:firstLine="759" w:firstLineChars="345"/>
        <w:rPr>
          <w:rFonts w:hint="eastAsia" w:ascii="新宋体" w:hAnsi="新宋体" w:eastAsia="新宋体" w:cs="新宋体"/>
          <w:bCs/>
          <w:color w:val="auto"/>
          <w:sz w:val="22"/>
          <w:szCs w:val="22"/>
          <w:highlight w:val="none"/>
        </w:rPr>
      </w:pPr>
      <w:bookmarkStart w:id="48" w:name="_Toc15588"/>
      <w:r>
        <w:rPr>
          <w:rFonts w:hint="eastAsia" w:ascii="新宋体" w:hAnsi="新宋体" w:eastAsia="新宋体" w:cs="新宋体"/>
          <w:bCs/>
          <w:color w:val="auto"/>
          <w:sz w:val="22"/>
          <w:szCs w:val="22"/>
          <w:highlight w:val="none"/>
        </w:rPr>
        <w:t>4、投标文件的澄清</w:t>
      </w:r>
      <w:bookmarkEnd w:id="48"/>
    </w:p>
    <w:p w14:paraId="7DFD7109">
      <w:pPr>
        <w:spacing w:line="460" w:lineRule="exact"/>
        <w:ind w:firstLine="759" w:firstLineChars="3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4.1在评标期间，评标委员会可要求投标人对于投标文件中含义不明确、同类问题表述不一致或者有明显文字和计算错误的内容，评标委员会应当以书面形式要求投标人作出必要的澄清、说明或者补正。</w:t>
      </w:r>
    </w:p>
    <w:p w14:paraId="70D7C167">
      <w:pPr>
        <w:spacing w:line="460" w:lineRule="exact"/>
        <w:ind w:firstLine="759" w:firstLineChars="3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投标人的澄清、说明或者补正应当采用书面形式，并加盖公章，或者由法定代表人或其授权的代表签字。投标人的澄清、说明或者补正不得超出投标文件的范围或者改变投标文件的实质性内容。</w:t>
      </w:r>
    </w:p>
    <w:p w14:paraId="6B22EDB8">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拒不按要求对其投标文件进行澄清，说明或补正的投标人，评标委员会可以否决其投标。</w:t>
      </w:r>
    </w:p>
    <w:p w14:paraId="1F2BBE94">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4.2</w:t>
      </w:r>
      <w:r>
        <w:rPr>
          <w:rFonts w:hint="eastAsia" w:ascii="新宋体" w:hAnsi="新宋体" w:eastAsia="新宋体" w:cs="新宋体"/>
          <w:b/>
          <w:color w:val="auto"/>
          <w:sz w:val="22"/>
          <w:szCs w:val="22"/>
          <w:highlight w:val="none"/>
        </w:rPr>
        <w:t>经澄清后，若偏差仍存在，且不可接受，投标人则被认为是“没有实质性响应采购文件要求”，其投标将被拒绝。</w:t>
      </w:r>
    </w:p>
    <w:p w14:paraId="53323748">
      <w:pPr>
        <w:spacing w:line="460" w:lineRule="exact"/>
        <w:ind w:firstLine="539" w:firstLineChars="245"/>
        <w:rPr>
          <w:rFonts w:hint="eastAsia" w:ascii="新宋体" w:hAnsi="新宋体" w:eastAsia="新宋体" w:cs="新宋体"/>
          <w:b/>
          <w:color w:val="auto"/>
          <w:sz w:val="22"/>
          <w:szCs w:val="22"/>
          <w:highlight w:val="none"/>
        </w:rPr>
      </w:pPr>
      <w:bookmarkStart w:id="49" w:name="_Toc1440"/>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确定中标候选人</w:t>
      </w:r>
      <w:bookmarkEnd w:id="49"/>
    </w:p>
    <w:p w14:paraId="14270408">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5.1由评标委员会确定中标候选人。</w:t>
      </w:r>
    </w:p>
    <w:p w14:paraId="46BDCB83">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5.2评标委员会依据法律、法规及采购文件有关规定按评审后得分（即技术分与商务分之和）由高到低顺序排序，得分前二名的投标人确定为该项目的第一和第二中标候选人（得分相同的，按投标报价由低到高顺序排列。得分且投标报价相同的并列。）向采购人推荐。</w:t>
      </w:r>
    </w:p>
    <w:p w14:paraId="24738EF6">
      <w:pPr>
        <w:spacing w:line="460" w:lineRule="exact"/>
        <w:ind w:firstLine="541" w:firstLineChars="245"/>
        <w:rPr>
          <w:rFonts w:hint="eastAsia" w:ascii="新宋体" w:hAnsi="新宋体" w:eastAsia="新宋体" w:cs="新宋体"/>
          <w:b/>
          <w:bCs/>
          <w:color w:val="auto"/>
          <w:sz w:val="22"/>
          <w:szCs w:val="22"/>
          <w:highlight w:val="none"/>
        </w:rPr>
      </w:pPr>
      <w:bookmarkStart w:id="50" w:name="_Toc17009"/>
      <w:r>
        <w:rPr>
          <w:rFonts w:hint="eastAsia" w:ascii="新宋体" w:hAnsi="新宋体" w:eastAsia="新宋体" w:cs="新宋体"/>
          <w:b/>
          <w:bCs/>
          <w:color w:val="auto"/>
          <w:sz w:val="22"/>
          <w:szCs w:val="22"/>
          <w:highlight w:val="none"/>
        </w:rPr>
        <w:t>6、确定中标人</w:t>
      </w:r>
      <w:bookmarkEnd w:id="50"/>
    </w:p>
    <w:p w14:paraId="6CFDDB47">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6.1采购人按照评标报告中推荐的中标候选供应商顺序确定中标人；也可以事先授权评标委员会按照推荐的中标候选供应商顺序直接确定中标人。中标候选人并列的，采取随机抽取的方式确定。</w:t>
      </w:r>
    </w:p>
    <w:p w14:paraId="1CF79F8B">
      <w:pPr>
        <w:spacing w:line="460" w:lineRule="exact"/>
        <w:ind w:firstLine="539" w:firstLineChars="245"/>
        <w:outlineLvl w:val="9"/>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6.2</w:t>
      </w:r>
      <w:r>
        <w:rPr>
          <w:rFonts w:hint="eastAsia" w:ascii="宋体" w:hAnsi="宋体" w:eastAsia="宋体" w:cs="宋体"/>
          <w:bCs/>
          <w:color w:val="auto"/>
          <w:sz w:val="22"/>
          <w:szCs w:val="22"/>
          <w:highlight w:val="none"/>
        </w:rPr>
        <w:t>中标人确定之日起2个工作日内，在发布采购公告的网站上公示中标结果。中标公告期为3日，中标公告期限结束无异议的，采购人向中标人发出中标通知书。</w:t>
      </w:r>
    </w:p>
    <w:p w14:paraId="729D5AEF">
      <w:pPr>
        <w:spacing w:line="460" w:lineRule="exact"/>
        <w:ind w:firstLine="539" w:firstLineChars="245"/>
        <w:rPr>
          <w:rFonts w:hint="eastAsia" w:ascii="新宋体" w:hAnsi="新宋体" w:eastAsia="新宋体" w:cs="新宋体"/>
          <w:color w:val="auto"/>
          <w:sz w:val="22"/>
          <w:szCs w:val="22"/>
          <w:highlight w:val="none"/>
        </w:rPr>
      </w:pPr>
      <w:r>
        <w:rPr>
          <w:rFonts w:hint="eastAsia" w:ascii="宋体" w:hAnsi="宋体" w:eastAsia="宋体" w:cs="宋体"/>
          <w:color w:val="auto"/>
          <w:sz w:val="22"/>
          <w:highlight w:val="none"/>
          <w:lang w:val="en-US" w:eastAsia="zh-CN"/>
        </w:rPr>
        <w:t>6.3</w:t>
      </w:r>
      <w:r>
        <w:rPr>
          <w:rFonts w:hint="eastAsia" w:ascii="宋体" w:hAnsi="宋体" w:eastAsia="宋体" w:cs="宋体"/>
          <w:color w:val="auto"/>
          <w:sz w:val="22"/>
          <w:highlight w:val="none"/>
        </w:rPr>
        <w:t>各投标人对</w:t>
      </w:r>
      <w:r>
        <w:rPr>
          <w:rFonts w:hint="eastAsia" w:ascii="宋体" w:hAnsi="宋体" w:eastAsia="宋体" w:cs="宋体"/>
          <w:bCs/>
          <w:color w:val="auto"/>
          <w:sz w:val="22"/>
          <w:szCs w:val="22"/>
          <w:highlight w:val="none"/>
          <w:lang w:val="en-US" w:eastAsia="zh-CN"/>
        </w:rPr>
        <w:t>评标</w:t>
      </w:r>
      <w:r>
        <w:rPr>
          <w:rFonts w:hint="eastAsia" w:ascii="宋体" w:hAnsi="宋体" w:eastAsia="宋体" w:cs="宋体"/>
          <w:color w:val="auto"/>
          <w:sz w:val="22"/>
          <w:highlight w:val="none"/>
        </w:rPr>
        <w:t>结果如有异议，可在中标公告期内以书面形式向采购人进行署名投诉或提出质疑，但需对投诉或质疑内容的真实性承担法律责任。</w:t>
      </w:r>
    </w:p>
    <w:p w14:paraId="4A3F5386">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如中标人放弃中标、或者采购文件规定应当提交履约保证金（</w:t>
      </w:r>
      <w:r>
        <w:rPr>
          <w:rFonts w:hint="eastAsia" w:ascii="新宋体" w:hAnsi="新宋体" w:eastAsia="新宋体" w:cs="新宋体"/>
          <w:color w:val="auto"/>
          <w:spacing w:val="6"/>
          <w:sz w:val="22"/>
          <w:szCs w:val="22"/>
          <w:highlight w:val="none"/>
        </w:rPr>
        <w:t>或履约保函</w:t>
      </w:r>
      <w:r>
        <w:rPr>
          <w:rFonts w:hint="eastAsia" w:ascii="新宋体" w:hAnsi="新宋体" w:eastAsia="新宋体" w:cs="新宋体"/>
          <w:color w:val="auto"/>
          <w:sz w:val="22"/>
          <w:szCs w:val="22"/>
          <w:highlight w:val="none"/>
        </w:rPr>
        <w:t>）而在规定的期限内未能提交的；或未能在规定时间内与采购单位签订合同的；或者经质疑，采购人审查后，确因排名第一的候选人在本次采购活动中存在违法违规行为或其他原因使质疑成立的，采购人可以视情况直接确定排名第二的候选人为中标人或重新组织采购活动。</w:t>
      </w:r>
    </w:p>
    <w:p w14:paraId="656ABBB0">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中标人确定后，采购人将在指定媒体公告中标结果，采购人向中标人发出中标通知书。</w:t>
      </w:r>
    </w:p>
    <w:p w14:paraId="6A0055EB">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8、</w:t>
      </w:r>
      <w:r>
        <w:rPr>
          <w:rFonts w:hint="eastAsia" w:ascii="新宋体" w:hAnsi="新宋体" w:eastAsia="新宋体" w:cs="新宋体"/>
          <w:b/>
          <w:color w:val="auto"/>
          <w:sz w:val="22"/>
          <w:szCs w:val="22"/>
          <w:highlight w:val="none"/>
        </w:rPr>
        <w:t>采购人对决标结果不做任何解释，也不保证最低价中标。</w:t>
      </w:r>
    </w:p>
    <w:p w14:paraId="340BE499">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9、评标细则详见“评标原则及方法”。</w:t>
      </w:r>
    </w:p>
    <w:p w14:paraId="4381FA00">
      <w:pPr>
        <w:spacing w:before="100" w:beforeAutospacing="1" w:after="100" w:afterAutospacing="1" w:line="440" w:lineRule="exact"/>
        <w:jc w:val="center"/>
        <w:outlineLvl w:val="1"/>
        <w:rPr>
          <w:rFonts w:hint="eastAsia" w:ascii="新宋体" w:hAnsi="新宋体" w:eastAsia="新宋体" w:cs="新宋体"/>
          <w:b/>
          <w:bCs/>
          <w:color w:val="auto"/>
          <w:sz w:val="26"/>
          <w:szCs w:val="26"/>
          <w:highlight w:val="none"/>
        </w:rPr>
      </w:pPr>
      <w:bookmarkStart w:id="51" w:name="_Toc24071"/>
      <w:r>
        <w:rPr>
          <w:rFonts w:hint="eastAsia" w:ascii="新宋体" w:hAnsi="新宋体" w:eastAsia="新宋体" w:cs="新宋体"/>
          <w:b/>
          <w:bCs/>
          <w:color w:val="auto"/>
          <w:sz w:val="26"/>
          <w:szCs w:val="26"/>
          <w:highlight w:val="none"/>
        </w:rPr>
        <w:t>六、 授予合同</w:t>
      </w:r>
      <w:bookmarkEnd w:id="51"/>
    </w:p>
    <w:p w14:paraId="072775C2">
      <w:pPr>
        <w:spacing w:line="460" w:lineRule="exact"/>
        <w:ind w:firstLine="541" w:firstLineChars="245"/>
        <w:rPr>
          <w:rFonts w:hint="eastAsia" w:ascii="新宋体" w:hAnsi="新宋体" w:eastAsia="新宋体" w:cs="新宋体"/>
          <w:b/>
          <w:color w:val="auto"/>
          <w:sz w:val="22"/>
          <w:szCs w:val="22"/>
          <w:highlight w:val="none"/>
        </w:rPr>
      </w:pPr>
      <w:bookmarkStart w:id="52" w:name="_Toc7420"/>
      <w:r>
        <w:rPr>
          <w:rFonts w:hint="eastAsia" w:ascii="新宋体" w:hAnsi="新宋体" w:eastAsia="新宋体" w:cs="新宋体"/>
          <w:b/>
          <w:color w:val="auto"/>
          <w:sz w:val="22"/>
          <w:highlight w:val="none"/>
        </w:rPr>
        <w:t>1、中标通知书</w:t>
      </w:r>
      <w:bookmarkEnd w:id="52"/>
    </w:p>
    <w:p w14:paraId="4DCA985C">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1.1</w:t>
      </w:r>
      <w:r>
        <w:rPr>
          <w:rFonts w:hint="eastAsia" w:ascii="新宋体" w:hAnsi="新宋体" w:eastAsia="新宋体" w:cs="新宋体"/>
          <w:color w:val="auto"/>
          <w:sz w:val="22"/>
          <w:szCs w:val="22"/>
          <w:highlight w:val="none"/>
        </w:rPr>
        <w:t xml:space="preserve">中标人确定后，采购人将向中标人发出中标通知书。 </w:t>
      </w:r>
    </w:p>
    <w:p w14:paraId="61214DC1">
      <w:pPr>
        <w:spacing w:line="460" w:lineRule="exact"/>
        <w:ind w:firstLine="541" w:firstLineChars="245"/>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1.2</w:t>
      </w:r>
      <w:r>
        <w:rPr>
          <w:rFonts w:hint="eastAsia" w:ascii="新宋体" w:hAnsi="新宋体" w:eastAsia="新宋体" w:cs="新宋体"/>
          <w:color w:val="auto"/>
          <w:sz w:val="22"/>
          <w:szCs w:val="22"/>
          <w:highlight w:val="none"/>
        </w:rPr>
        <w:t>中标通知书是合同的一个组成部分,对采购人和中标人均具有同等法律效力。</w:t>
      </w:r>
    </w:p>
    <w:p w14:paraId="40C47135">
      <w:pPr>
        <w:spacing w:line="460" w:lineRule="exact"/>
        <w:ind w:firstLine="539" w:firstLineChars="245"/>
        <w:rPr>
          <w:rFonts w:hint="eastAsia" w:ascii="新宋体" w:hAnsi="新宋体" w:eastAsia="新宋体" w:cs="新宋体"/>
          <w:b/>
          <w:color w:val="auto"/>
          <w:sz w:val="22"/>
          <w:szCs w:val="22"/>
          <w:highlight w:val="none"/>
        </w:rPr>
      </w:pPr>
      <w:bookmarkStart w:id="53" w:name="_Toc4292"/>
      <w:r>
        <w:rPr>
          <w:rFonts w:hint="eastAsia" w:ascii="新宋体" w:hAnsi="新宋体" w:eastAsia="新宋体" w:cs="新宋体"/>
          <w:color w:val="auto"/>
          <w:sz w:val="22"/>
          <w:highlight w:val="none"/>
        </w:rPr>
        <w:t>2、授标时更改采购货物数量的权力</w:t>
      </w:r>
      <w:bookmarkEnd w:id="53"/>
    </w:p>
    <w:p w14:paraId="461FAA69">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2.1采购人在授予合同时有权对采购货物的数量和服务在一定幅度范围内予以增加或减少,但不得对单价和其他的条款和条件作任何改变。</w:t>
      </w:r>
    </w:p>
    <w:p w14:paraId="64D6DC5D">
      <w:pPr>
        <w:spacing w:line="460" w:lineRule="exact"/>
        <w:ind w:firstLine="539" w:firstLineChars="245"/>
        <w:rPr>
          <w:rFonts w:hint="eastAsia" w:ascii="新宋体" w:hAnsi="新宋体" w:eastAsia="新宋体" w:cs="新宋体"/>
          <w:b/>
          <w:color w:val="auto"/>
          <w:sz w:val="22"/>
          <w:szCs w:val="22"/>
          <w:highlight w:val="none"/>
        </w:rPr>
      </w:pPr>
      <w:bookmarkStart w:id="54" w:name="_Toc12800"/>
      <w:r>
        <w:rPr>
          <w:rFonts w:hint="eastAsia" w:ascii="新宋体" w:hAnsi="新宋体" w:eastAsia="新宋体" w:cs="新宋体"/>
          <w:color w:val="auto"/>
          <w:sz w:val="22"/>
          <w:highlight w:val="none"/>
        </w:rPr>
        <w:t>3、签订合同</w:t>
      </w:r>
      <w:bookmarkEnd w:id="54"/>
    </w:p>
    <w:p w14:paraId="325B914B">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3.1中标人应按中标通知书规定的时间、地点与采购人签订合同。</w:t>
      </w:r>
    </w:p>
    <w:p w14:paraId="68BFD672">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3.2</w:t>
      </w:r>
      <w:r>
        <w:rPr>
          <w:rFonts w:hint="eastAsia" w:ascii="新宋体" w:hAnsi="新宋体" w:eastAsia="新宋体" w:cs="新宋体"/>
          <w:b/>
          <w:color w:val="auto"/>
          <w:spacing w:val="6"/>
          <w:sz w:val="22"/>
          <w:szCs w:val="22"/>
          <w:highlight w:val="none"/>
        </w:rPr>
        <w:t>在签订合同前，采购人有权在中标总价不变的前提下要求中标人对商务报价中的不平衡报价和缺漏项进行调整，如果中标人无合理理由拒绝调整，其中投标资格将被取消，保证金将不予退还，且将导致其它进一步的赔偿和处罚。</w:t>
      </w:r>
    </w:p>
    <w:p w14:paraId="065472C4">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3.3采购文件、中标人的投标文件、投标修改文件、评标过程中有关澄清文件及经投标人和评委双方签字的询标纪要和中标通知书均作为合同附件。</w:t>
      </w:r>
    </w:p>
    <w:p w14:paraId="243C773F">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3.4拒签合同的违约责任</w:t>
      </w:r>
    </w:p>
    <w:p w14:paraId="461BBB11">
      <w:pPr>
        <w:spacing w:line="460" w:lineRule="exact"/>
        <w:ind w:firstLine="57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pacing w:val="6"/>
          <w:sz w:val="22"/>
          <w:szCs w:val="22"/>
          <w:highlight w:val="none"/>
        </w:rPr>
        <w:t>中标人接到中标通知书后，在规定时间内借故否认已经承诺的条件而拒签合同的，以违约处理，其投标保证金将不予退还。</w:t>
      </w:r>
    </w:p>
    <w:p w14:paraId="60F481BB">
      <w:pPr>
        <w:spacing w:line="460" w:lineRule="exact"/>
        <w:ind w:firstLine="541" w:firstLineChars="245"/>
        <w:outlineLvl w:val="9"/>
        <w:rPr>
          <w:rFonts w:hint="eastAsia" w:ascii="新宋体" w:hAnsi="新宋体" w:eastAsia="新宋体" w:cs="新宋体"/>
          <w:b/>
          <w:color w:val="auto"/>
          <w:sz w:val="22"/>
          <w:szCs w:val="22"/>
          <w:highlight w:val="none"/>
          <w:u w:val="single"/>
        </w:rPr>
      </w:pPr>
      <w:bookmarkStart w:id="55" w:name="_Toc17031"/>
      <w:r>
        <w:rPr>
          <w:rFonts w:hint="eastAsia" w:ascii="新宋体" w:hAnsi="新宋体" w:eastAsia="新宋体" w:cs="新宋体"/>
          <w:b/>
          <w:color w:val="auto"/>
          <w:sz w:val="22"/>
          <w:highlight w:val="none"/>
          <w:u w:val="single"/>
          <w:lang w:val="en-US" w:eastAsia="zh-CN"/>
        </w:rPr>
        <w:t>4</w:t>
      </w:r>
      <w:r>
        <w:rPr>
          <w:rFonts w:hint="eastAsia" w:ascii="新宋体" w:hAnsi="新宋体" w:eastAsia="新宋体" w:cs="新宋体"/>
          <w:b/>
          <w:color w:val="auto"/>
          <w:sz w:val="22"/>
          <w:highlight w:val="none"/>
          <w:u w:val="single"/>
        </w:rPr>
        <w:t>、质疑与投诉</w:t>
      </w:r>
      <w:bookmarkEnd w:id="55"/>
    </w:p>
    <w:p w14:paraId="42BBA357">
      <w:pPr>
        <w:spacing w:line="460" w:lineRule="exact"/>
        <w:ind w:firstLine="541" w:firstLineChars="245"/>
        <w:outlineLvl w:val="9"/>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en-US" w:eastAsia="zh-CN"/>
        </w:rPr>
        <w:t>4.1</w:t>
      </w:r>
      <w:r>
        <w:rPr>
          <w:rFonts w:hint="eastAsia" w:ascii="宋体" w:hAnsi="宋体" w:eastAsia="宋体" w:cs="宋体"/>
          <w:b/>
          <w:color w:val="auto"/>
          <w:sz w:val="22"/>
          <w:szCs w:val="22"/>
          <w:highlight w:val="none"/>
          <w:lang w:val="zh-CN"/>
        </w:rPr>
        <w:t>供应商质疑</w:t>
      </w:r>
    </w:p>
    <w:p w14:paraId="7C1A763C">
      <w:pPr>
        <w:spacing w:line="460" w:lineRule="exact"/>
        <w:ind w:firstLine="539" w:firstLineChars="245"/>
        <w:outlineLvl w:val="9"/>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w:t>
      </w:r>
      <w:r>
        <w:rPr>
          <w:rFonts w:hint="eastAsia" w:ascii="宋体" w:hAnsi="宋体" w:eastAsia="宋体" w:cs="宋体"/>
          <w:bCs/>
          <w:color w:val="auto"/>
          <w:sz w:val="22"/>
          <w:szCs w:val="22"/>
          <w:highlight w:val="none"/>
          <w:lang w:val="en-US" w:eastAsia="zh-CN"/>
        </w:rPr>
        <w:t>1</w:t>
      </w:r>
      <w:r>
        <w:rPr>
          <w:rFonts w:hint="eastAsia" w:ascii="宋体" w:hAnsi="宋体" w:eastAsia="宋体" w:cs="宋体"/>
          <w:bCs/>
          <w:color w:val="auto"/>
          <w:sz w:val="22"/>
          <w:szCs w:val="22"/>
          <w:highlight w:val="none"/>
          <w:lang w:val="zh-CN"/>
        </w:rPr>
        <w:t>）提出质疑的供应商（以下简称质疑供应商）应当是参与所质疑项目采购活动的供应商。潜在供应商已依法获取其可质疑的采购文件的，可以对该文件提出质疑。</w:t>
      </w:r>
    </w:p>
    <w:p w14:paraId="60CC0DBD">
      <w:pPr>
        <w:spacing w:line="460" w:lineRule="exact"/>
        <w:ind w:firstLine="539" w:firstLineChars="245"/>
        <w:outlineLvl w:val="9"/>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w:t>
      </w: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lang w:val="zh-CN"/>
        </w:rPr>
        <w:t>）供应商认为采购文件、采购过程、中标</w:t>
      </w:r>
      <w:r>
        <w:rPr>
          <w:rFonts w:hint="eastAsia" w:ascii="宋体" w:hAnsi="宋体" w:eastAsia="宋体" w:cs="宋体"/>
          <w:bCs/>
          <w:color w:val="auto"/>
          <w:sz w:val="22"/>
          <w:szCs w:val="22"/>
          <w:highlight w:val="none"/>
        </w:rPr>
        <w:t>或者成交</w:t>
      </w:r>
      <w:r>
        <w:rPr>
          <w:rFonts w:hint="eastAsia" w:ascii="宋体" w:hAnsi="宋体" w:eastAsia="宋体" w:cs="宋体"/>
          <w:bCs/>
          <w:color w:val="auto"/>
          <w:sz w:val="22"/>
          <w:szCs w:val="22"/>
          <w:highlight w:val="none"/>
          <w:lang w:val="zh-CN"/>
        </w:rPr>
        <w:t>结果使自己的权益受到损害的，可以在知道或者应知其权益受到损害之日起</w:t>
      </w:r>
      <w:r>
        <w:rPr>
          <w:rFonts w:hint="eastAsia" w:ascii="宋体" w:hAnsi="宋体" w:eastAsia="宋体" w:cs="宋体"/>
          <w:bCs/>
          <w:color w:val="auto"/>
          <w:sz w:val="22"/>
          <w:szCs w:val="22"/>
          <w:highlight w:val="none"/>
        </w:rPr>
        <w:t>规定的时间</w:t>
      </w:r>
      <w:r>
        <w:rPr>
          <w:rFonts w:hint="eastAsia" w:ascii="宋体" w:hAnsi="宋体" w:eastAsia="宋体" w:cs="宋体"/>
          <w:bCs/>
          <w:color w:val="auto"/>
          <w:sz w:val="22"/>
          <w:szCs w:val="22"/>
          <w:highlight w:val="none"/>
          <w:lang w:val="zh-CN"/>
        </w:rPr>
        <w:t>内，以书面形式向采购人或者采购代理机构提出质疑，否则，采购人或者采购代理机构不予受理：</w:t>
      </w:r>
    </w:p>
    <w:p w14:paraId="7F316E8D">
      <w:pPr>
        <w:spacing w:line="460" w:lineRule="exact"/>
        <w:ind w:firstLine="539" w:firstLineChars="245"/>
        <w:outlineLvl w:val="9"/>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highlight w:val="none"/>
          <w:lang w:val="en-US" w:eastAsia="zh-CN"/>
        </w:rPr>
        <w:t>1）对采购文件提出质疑的，质疑期限为自采购公告发出之日（采购公告发布当天不算）起6日内，以书面形式向采购人和采购代理机构提出质疑。</w:t>
      </w:r>
    </w:p>
    <w:p w14:paraId="0BA92D6F">
      <w:pPr>
        <w:spacing w:line="460" w:lineRule="exact"/>
        <w:ind w:firstLine="539" w:firstLineChars="245"/>
        <w:outlineLvl w:val="9"/>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lang w:val="zh-CN"/>
        </w:rPr>
        <w:t>对采购结果提出质疑的，质疑</w:t>
      </w:r>
      <w:r>
        <w:rPr>
          <w:rFonts w:hint="eastAsia" w:ascii="宋体" w:hAnsi="宋体" w:eastAsia="宋体" w:cs="宋体"/>
          <w:bCs/>
          <w:color w:val="auto"/>
          <w:sz w:val="22"/>
          <w:szCs w:val="22"/>
          <w:highlight w:val="none"/>
          <w:lang w:val="en-US" w:eastAsia="zh-CN"/>
        </w:rPr>
        <w:t>须在</w:t>
      </w:r>
      <w:r>
        <w:rPr>
          <w:rFonts w:hint="eastAsia" w:ascii="宋体" w:hAnsi="宋体" w:eastAsia="宋体" w:cs="宋体"/>
          <w:bCs/>
          <w:color w:val="auto"/>
          <w:sz w:val="22"/>
          <w:szCs w:val="22"/>
          <w:highlight w:val="none"/>
        </w:rPr>
        <w:t>采购结果公</w:t>
      </w:r>
      <w:r>
        <w:rPr>
          <w:rFonts w:hint="eastAsia" w:ascii="宋体" w:hAnsi="宋体" w:eastAsia="宋体" w:cs="宋体"/>
          <w:bCs/>
          <w:color w:val="auto"/>
          <w:sz w:val="22"/>
          <w:szCs w:val="22"/>
          <w:highlight w:val="none"/>
          <w:lang w:val="en-US" w:eastAsia="zh-CN"/>
        </w:rPr>
        <w:t>告</w:t>
      </w:r>
      <w:r>
        <w:rPr>
          <w:rFonts w:hint="eastAsia" w:ascii="宋体" w:hAnsi="宋体" w:eastAsia="宋体" w:cs="宋体"/>
          <w:bCs/>
          <w:color w:val="auto"/>
          <w:sz w:val="22"/>
          <w:szCs w:val="22"/>
          <w:highlight w:val="none"/>
        </w:rPr>
        <w:t>期</w:t>
      </w:r>
      <w:r>
        <w:rPr>
          <w:rFonts w:hint="eastAsia" w:ascii="宋体" w:hAnsi="宋体" w:eastAsia="宋体" w:cs="宋体"/>
          <w:bCs/>
          <w:color w:val="auto"/>
          <w:sz w:val="22"/>
          <w:szCs w:val="22"/>
          <w:highlight w:val="none"/>
          <w:lang w:val="zh-CN"/>
        </w:rPr>
        <w:t>内提出。</w:t>
      </w:r>
    </w:p>
    <w:p w14:paraId="56169720">
      <w:pPr>
        <w:spacing w:line="460" w:lineRule="exact"/>
        <w:ind w:firstLine="539" w:firstLineChars="245"/>
        <w:outlineLvl w:val="9"/>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w:t>
      </w:r>
      <w:r>
        <w:rPr>
          <w:rFonts w:hint="eastAsia" w:ascii="宋体" w:hAnsi="宋体" w:eastAsia="宋体" w:cs="宋体"/>
          <w:bCs/>
          <w:color w:val="auto"/>
          <w:sz w:val="22"/>
          <w:szCs w:val="22"/>
          <w:highlight w:val="none"/>
          <w:lang w:val="en-US" w:eastAsia="zh-CN"/>
        </w:rPr>
        <w:t>3</w:t>
      </w:r>
      <w:r>
        <w:rPr>
          <w:rFonts w:hint="eastAsia" w:ascii="宋体" w:hAnsi="宋体" w:eastAsia="宋体" w:cs="宋体"/>
          <w:bCs/>
          <w:color w:val="auto"/>
          <w:sz w:val="22"/>
          <w:szCs w:val="22"/>
          <w:highlight w:val="none"/>
          <w:lang w:val="zh-CN"/>
        </w:rPr>
        <w:t>）供应商提出质疑应当提交质疑函和必要的证明材料。质疑函应当包括下列内容：</w:t>
      </w:r>
    </w:p>
    <w:p w14:paraId="20B4AD65">
      <w:pPr>
        <w:spacing w:line="460" w:lineRule="exact"/>
        <w:ind w:firstLine="539" w:firstLineChars="245"/>
        <w:outlineLvl w:val="9"/>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1）</w:t>
      </w:r>
      <w:r>
        <w:rPr>
          <w:rFonts w:hint="eastAsia" w:ascii="宋体" w:hAnsi="宋体" w:eastAsia="宋体" w:cs="宋体"/>
          <w:bCs/>
          <w:color w:val="auto"/>
          <w:sz w:val="22"/>
          <w:szCs w:val="22"/>
          <w:highlight w:val="none"/>
          <w:lang w:val="zh-CN"/>
        </w:rPr>
        <w:t>供应商的姓名或者名称、地址、邮编、联系人及联系电话；</w:t>
      </w:r>
    </w:p>
    <w:p w14:paraId="3CB607B4">
      <w:pPr>
        <w:spacing w:line="460" w:lineRule="exact"/>
        <w:ind w:firstLine="568" w:firstLineChars="245"/>
        <w:outlineLvl w:val="9"/>
        <w:rPr>
          <w:rFonts w:hint="eastAsia" w:ascii="新宋体" w:hAnsi="新宋体" w:eastAsia="新宋体" w:cs="新宋体"/>
          <w:color w:val="auto"/>
          <w:spacing w:val="6"/>
          <w:sz w:val="22"/>
          <w:szCs w:val="22"/>
          <w:highlight w:val="none"/>
          <w:lang w:val="zh-CN"/>
        </w:rPr>
      </w:pPr>
      <w:r>
        <w:rPr>
          <w:rFonts w:hint="eastAsia" w:ascii="新宋体" w:hAnsi="新宋体" w:eastAsia="新宋体" w:cs="新宋体"/>
          <w:color w:val="auto"/>
          <w:spacing w:val="6"/>
          <w:sz w:val="22"/>
          <w:szCs w:val="22"/>
          <w:highlight w:val="none"/>
          <w:lang w:val="en-US" w:eastAsia="zh-CN"/>
        </w:rPr>
        <w:t>2）</w:t>
      </w:r>
      <w:r>
        <w:rPr>
          <w:rFonts w:hint="eastAsia" w:ascii="新宋体" w:hAnsi="新宋体" w:eastAsia="新宋体" w:cs="新宋体"/>
          <w:color w:val="auto"/>
          <w:spacing w:val="6"/>
          <w:sz w:val="22"/>
          <w:szCs w:val="22"/>
          <w:highlight w:val="none"/>
          <w:lang w:val="zh-CN"/>
        </w:rPr>
        <w:t>质疑项目的名称、编号；</w:t>
      </w:r>
    </w:p>
    <w:p w14:paraId="199B9F98">
      <w:pPr>
        <w:spacing w:line="460" w:lineRule="exact"/>
        <w:ind w:firstLine="568" w:firstLineChars="245"/>
        <w:outlineLvl w:val="9"/>
        <w:rPr>
          <w:rFonts w:hint="eastAsia" w:ascii="新宋体" w:hAnsi="新宋体" w:eastAsia="新宋体" w:cs="新宋体"/>
          <w:color w:val="auto"/>
          <w:spacing w:val="6"/>
          <w:sz w:val="22"/>
          <w:szCs w:val="22"/>
          <w:highlight w:val="none"/>
          <w:lang w:val="zh-CN"/>
        </w:rPr>
      </w:pPr>
      <w:r>
        <w:rPr>
          <w:rFonts w:hint="eastAsia" w:ascii="新宋体" w:hAnsi="新宋体" w:eastAsia="新宋体" w:cs="新宋体"/>
          <w:color w:val="auto"/>
          <w:spacing w:val="6"/>
          <w:sz w:val="22"/>
          <w:szCs w:val="22"/>
          <w:highlight w:val="none"/>
          <w:lang w:val="en-US" w:eastAsia="zh-CN"/>
        </w:rPr>
        <w:t>3）</w:t>
      </w:r>
      <w:r>
        <w:rPr>
          <w:rFonts w:hint="eastAsia" w:ascii="新宋体" w:hAnsi="新宋体" w:eastAsia="新宋体" w:cs="新宋体"/>
          <w:color w:val="auto"/>
          <w:spacing w:val="6"/>
          <w:sz w:val="22"/>
          <w:szCs w:val="22"/>
          <w:highlight w:val="none"/>
          <w:lang w:val="zh-CN"/>
        </w:rPr>
        <w:t>具体、明确的质疑事项和与质疑事项相关的请求；</w:t>
      </w:r>
    </w:p>
    <w:p w14:paraId="2182970C">
      <w:pPr>
        <w:spacing w:line="460" w:lineRule="exact"/>
        <w:ind w:firstLine="568" w:firstLineChars="245"/>
        <w:outlineLvl w:val="9"/>
        <w:rPr>
          <w:rFonts w:hint="eastAsia" w:ascii="新宋体" w:hAnsi="新宋体" w:eastAsia="新宋体" w:cs="新宋体"/>
          <w:color w:val="auto"/>
          <w:spacing w:val="6"/>
          <w:sz w:val="22"/>
          <w:szCs w:val="22"/>
          <w:highlight w:val="none"/>
          <w:lang w:val="zh-CN"/>
        </w:rPr>
      </w:pPr>
      <w:r>
        <w:rPr>
          <w:rFonts w:hint="eastAsia" w:ascii="新宋体" w:hAnsi="新宋体" w:eastAsia="新宋体" w:cs="新宋体"/>
          <w:color w:val="auto"/>
          <w:spacing w:val="6"/>
          <w:sz w:val="22"/>
          <w:szCs w:val="22"/>
          <w:highlight w:val="none"/>
          <w:lang w:val="en-US" w:eastAsia="zh-CN"/>
        </w:rPr>
        <w:t>4）</w:t>
      </w:r>
      <w:r>
        <w:rPr>
          <w:rFonts w:hint="eastAsia" w:ascii="新宋体" w:hAnsi="新宋体" w:eastAsia="新宋体" w:cs="新宋体"/>
          <w:color w:val="auto"/>
          <w:spacing w:val="6"/>
          <w:sz w:val="22"/>
          <w:szCs w:val="22"/>
          <w:highlight w:val="none"/>
          <w:lang w:val="zh-CN"/>
        </w:rPr>
        <w:t>事实依据；</w:t>
      </w:r>
    </w:p>
    <w:p w14:paraId="506F8440">
      <w:pPr>
        <w:spacing w:line="460" w:lineRule="exact"/>
        <w:ind w:firstLine="568" w:firstLineChars="245"/>
        <w:outlineLvl w:val="9"/>
        <w:rPr>
          <w:rFonts w:hint="eastAsia" w:ascii="新宋体" w:hAnsi="新宋体" w:eastAsia="新宋体" w:cs="新宋体"/>
          <w:color w:val="auto"/>
          <w:spacing w:val="6"/>
          <w:sz w:val="22"/>
          <w:szCs w:val="22"/>
          <w:highlight w:val="none"/>
          <w:lang w:val="zh-CN"/>
        </w:rPr>
      </w:pPr>
      <w:r>
        <w:rPr>
          <w:rFonts w:hint="eastAsia" w:ascii="新宋体" w:hAnsi="新宋体" w:eastAsia="新宋体" w:cs="新宋体"/>
          <w:color w:val="auto"/>
          <w:spacing w:val="6"/>
          <w:sz w:val="22"/>
          <w:szCs w:val="22"/>
          <w:highlight w:val="none"/>
          <w:lang w:val="en-US" w:eastAsia="zh-CN"/>
        </w:rPr>
        <w:t>5）</w:t>
      </w:r>
      <w:r>
        <w:rPr>
          <w:rFonts w:hint="eastAsia" w:ascii="新宋体" w:hAnsi="新宋体" w:eastAsia="新宋体" w:cs="新宋体"/>
          <w:color w:val="auto"/>
          <w:spacing w:val="6"/>
          <w:sz w:val="22"/>
          <w:szCs w:val="22"/>
          <w:highlight w:val="none"/>
          <w:lang w:val="zh-CN"/>
        </w:rPr>
        <w:t>必要的法律依据；</w:t>
      </w:r>
    </w:p>
    <w:p w14:paraId="1E4230CF">
      <w:pPr>
        <w:spacing w:line="460" w:lineRule="exact"/>
        <w:ind w:firstLine="568" w:firstLineChars="245"/>
        <w:outlineLvl w:val="9"/>
        <w:rPr>
          <w:rFonts w:hint="eastAsia" w:ascii="新宋体" w:hAnsi="新宋体" w:eastAsia="新宋体" w:cs="新宋体"/>
          <w:color w:val="auto"/>
          <w:spacing w:val="6"/>
          <w:sz w:val="22"/>
          <w:szCs w:val="22"/>
          <w:highlight w:val="none"/>
          <w:lang w:val="zh-CN"/>
        </w:rPr>
      </w:pPr>
      <w:r>
        <w:rPr>
          <w:rFonts w:hint="eastAsia" w:ascii="新宋体" w:hAnsi="新宋体" w:eastAsia="新宋体" w:cs="新宋体"/>
          <w:color w:val="auto"/>
          <w:spacing w:val="6"/>
          <w:sz w:val="22"/>
          <w:szCs w:val="22"/>
          <w:highlight w:val="none"/>
          <w:lang w:val="en-US" w:eastAsia="zh-CN"/>
        </w:rPr>
        <w:t>6）</w:t>
      </w:r>
      <w:r>
        <w:rPr>
          <w:rFonts w:hint="eastAsia" w:ascii="新宋体" w:hAnsi="新宋体" w:eastAsia="新宋体" w:cs="新宋体"/>
          <w:color w:val="auto"/>
          <w:spacing w:val="6"/>
          <w:sz w:val="22"/>
          <w:szCs w:val="22"/>
          <w:highlight w:val="none"/>
          <w:lang w:val="zh-CN"/>
        </w:rPr>
        <w:t>提出质疑的日期。</w:t>
      </w:r>
    </w:p>
    <w:p w14:paraId="05505055">
      <w:pPr>
        <w:spacing w:line="460" w:lineRule="exact"/>
        <w:ind w:firstLine="568" w:firstLineChars="245"/>
        <w:outlineLvl w:val="9"/>
        <w:rPr>
          <w:rFonts w:hint="eastAsia" w:ascii="新宋体" w:hAnsi="新宋体" w:eastAsia="新宋体" w:cs="新宋体"/>
          <w:color w:val="auto"/>
          <w:spacing w:val="6"/>
          <w:sz w:val="22"/>
          <w:szCs w:val="22"/>
          <w:highlight w:val="none"/>
          <w:lang w:val="zh-CN"/>
        </w:rPr>
      </w:pPr>
      <w:r>
        <w:rPr>
          <w:rFonts w:hint="eastAsia" w:ascii="新宋体" w:hAnsi="新宋体" w:eastAsia="新宋体" w:cs="新宋体"/>
          <w:color w:val="auto"/>
          <w:spacing w:val="6"/>
          <w:sz w:val="22"/>
          <w:szCs w:val="22"/>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522A0AB1">
      <w:pPr>
        <w:spacing w:line="460" w:lineRule="exact"/>
        <w:ind w:firstLine="568" w:firstLineChars="245"/>
        <w:outlineLvl w:val="9"/>
        <w:rPr>
          <w:rFonts w:hint="eastAsia" w:ascii="宋体" w:hAnsi="宋体" w:eastAsia="宋体" w:cs="宋体"/>
          <w:b w:val="0"/>
          <w:bCs/>
          <w:color w:val="auto"/>
          <w:sz w:val="22"/>
          <w:szCs w:val="22"/>
          <w:highlight w:val="none"/>
          <w:u w:val="none"/>
          <w:lang w:val="zh-CN"/>
        </w:rPr>
      </w:pPr>
      <w:r>
        <w:rPr>
          <w:rFonts w:hint="eastAsia" w:ascii="新宋体" w:hAnsi="新宋体" w:eastAsia="新宋体" w:cs="新宋体"/>
          <w:color w:val="auto"/>
          <w:spacing w:val="6"/>
          <w:sz w:val="22"/>
          <w:szCs w:val="22"/>
          <w:highlight w:val="none"/>
          <w:lang w:val="zh-CN"/>
        </w:rPr>
        <w:t>质疑供应商的《质疑函》可参考政府采购质疑函范本的格式进行编写。下载地址如下：“https://sitecdn.zcycdn.com/site_group/prod/site_1/2018/06/12/15-22-570613413750772.docx”。供应商可以先发电子版质疑函，但质疑函的</w:t>
      </w:r>
      <w:r>
        <w:rPr>
          <w:rFonts w:hint="eastAsia" w:ascii="宋体" w:hAnsi="宋体" w:eastAsia="宋体" w:cs="宋体"/>
          <w:b w:val="0"/>
          <w:bCs/>
          <w:color w:val="auto"/>
          <w:sz w:val="22"/>
          <w:szCs w:val="22"/>
          <w:highlight w:val="none"/>
          <w:u w:val="none"/>
          <w:lang w:val="zh-CN"/>
        </w:rPr>
        <w:t>收到日期以招标代理或采购人收到纸质原件的日期为准。</w:t>
      </w:r>
    </w:p>
    <w:p w14:paraId="40D99173">
      <w:pPr>
        <w:spacing w:line="460" w:lineRule="exact"/>
        <w:ind w:firstLine="541" w:firstLineChars="245"/>
        <w:outlineLvl w:val="9"/>
        <w:rPr>
          <w:rFonts w:hint="eastAsia" w:ascii="宋体" w:hAnsi="宋体" w:eastAsia="宋体" w:cs="宋体"/>
          <w:b/>
          <w:color w:val="auto"/>
          <w:sz w:val="22"/>
          <w:szCs w:val="22"/>
          <w:highlight w:val="none"/>
          <w:u w:val="single"/>
          <w:lang w:val="zh-CN"/>
        </w:rPr>
      </w:pPr>
      <w:r>
        <w:rPr>
          <w:rFonts w:hint="eastAsia" w:ascii="宋体" w:hAnsi="宋体" w:eastAsia="宋体" w:cs="宋体"/>
          <w:b/>
          <w:color w:val="auto"/>
          <w:sz w:val="22"/>
          <w:szCs w:val="22"/>
          <w:highlight w:val="none"/>
          <w:u w:val="single"/>
          <w:lang w:val="zh-CN"/>
        </w:rPr>
        <w:t>（</w:t>
      </w:r>
      <w:r>
        <w:rPr>
          <w:rFonts w:hint="eastAsia" w:ascii="宋体" w:hAnsi="宋体" w:eastAsia="宋体" w:cs="宋体"/>
          <w:b/>
          <w:color w:val="auto"/>
          <w:sz w:val="22"/>
          <w:szCs w:val="22"/>
          <w:highlight w:val="none"/>
          <w:u w:val="single"/>
          <w:lang w:val="en-US" w:eastAsia="zh-CN"/>
        </w:rPr>
        <w:t>4</w:t>
      </w:r>
      <w:r>
        <w:rPr>
          <w:rFonts w:hint="eastAsia" w:ascii="宋体" w:hAnsi="宋体" w:eastAsia="宋体" w:cs="宋体"/>
          <w:b/>
          <w:color w:val="auto"/>
          <w:sz w:val="22"/>
          <w:szCs w:val="22"/>
          <w:highlight w:val="none"/>
          <w:u w:val="single"/>
          <w:lang w:val="zh-CN"/>
        </w:rPr>
        <w:t>）对同一采购程序环节的质疑</w:t>
      </w:r>
      <w:r>
        <w:rPr>
          <w:rFonts w:hint="eastAsia" w:ascii="宋体" w:hAnsi="宋体" w:eastAsia="宋体" w:cs="宋体"/>
          <w:b/>
          <w:color w:val="auto"/>
          <w:sz w:val="22"/>
          <w:szCs w:val="22"/>
          <w:highlight w:val="none"/>
          <w:u w:val="single"/>
        </w:rPr>
        <w:t>时</w:t>
      </w:r>
      <w:r>
        <w:rPr>
          <w:rFonts w:hint="eastAsia" w:ascii="宋体" w:hAnsi="宋体" w:eastAsia="宋体" w:cs="宋体"/>
          <w:b/>
          <w:color w:val="auto"/>
          <w:sz w:val="22"/>
          <w:szCs w:val="22"/>
          <w:highlight w:val="none"/>
          <w:u w:val="single"/>
          <w:lang w:val="zh-CN"/>
        </w:rPr>
        <w:t>，供应商须在法定质疑期内一次性提出，</w:t>
      </w:r>
      <w:r>
        <w:rPr>
          <w:rFonts w:hint="eastAsia" w:ascii="宋体" w:hAnsi="宋体" w:eastAsia="宋体" w:cs="宋体"/>
          <w:b/>
          <w:color w:val="auto"/>
          <w:sz w:val="22"/>
          <w:highlight w:val="none"/>
          <w:u w:val="single"/>
          <w:lang w:val="zh-CN"/>
        </w:rPr>
        <w:t>已经提出过质疑的投标供应商在质疑期内不能提出新的质疑。</w:t>
      </w:r>
    </w:p>
    <w:p w14:paraId="7D27E3E8">
      <w:pPr>
        <w:spacing w:line="460" w:lineRule="exact"/>
        <w:ind w:firstLine="539" w:firstLineChars="245"/>
        <w:outlineLvl w:val="9"/>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w:t>
      </w:r>
      <w:r>
        <w:rPr>
          <w:rFonts w:hint="eastAsia" w:ascii="宋体" w:hAnsi="宋体" w:eastAsia="宋体" w:cs="宋体"/>
          <w:bCs/>
          <w:color w:val="auto"/>
          <w:sz w:val="22"/>
          <w:szCs w:val="22"/>
          <w:highlight w:val="none"/>
          <w:lang w:val="en-US" w:eastAsia="zh-CN"/>
        </w:rPr>
        <w:t>5</w:t>
      </w:r>
      <w:r>
        <w:rPr>
          <w:rFonts w:hint="eastAsia" w:ascii="宋体" w:hAnsi="宋体" w:eastAsia="宋体" w:cs="宋体"/>
          <w:bCs/>
          <w:color w:val="auto"/>
          <w:sz w:val="22"/>
          <w:szCs w:val="22"/>
          <w:highlight w:val="none"/>
          <w:lang w:val="zh-CN"/>
        </w:rPr>
        <w:t>）采购人负责供应商质疑答复。采购人委托采购代理机构采购的，采购代理机构对委托授权范围内质疑事项作出答复。</w:t>
      </w:r>
    </w:p>
    <w:p w14:paraId="3518B0D2">
      <w:pPr>
        <w:spacing w:line="460" w:lineRule="exact"/>
        <w:ind w:firstLine="539" w:firstLineChars="245"/>
        <w:outlineLvl w:val="9"/>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w:t>
      </w:r>
      <w:r>
        <w:rPr>
          <w:rFonts w:hint="eastAsia" w:ascii="宋体" w:hAnsi="宋体" w:eastAsia="宋体" w:cs="宋体"/>
          <w:bCs/>
          <w:color w:val="auto"/>
          <w:sz w:val="22"/>
          <w:szCs w:val="22"/>
          <w:highlight w:val="none"/>
          <w:lang w:val="en-US" w:eastAsia="zh-CN"/>
        </w:rPr>
        <w:t>6</w:t>
      </w:r>
      <w:r>
        <w:rPr>
          <w:rFonts w:hint="eastAsia" w:ascii="宋体" w:hAnsi="宋体" w:eastAsia="宋体" w:cs="宋体"/>
          <w:bCs/>
          <w:color w:val="auto"/>
          <w:sz w:val="22"/>
          <w:szCs w:val="22"/>
          <w:highlight w:val="none"/>
          <w:lang w:val="zh-CN"/>
        </w:rPr>
        <w:t>）采购人或者采购代理机构应当在收到供应商的书面质疑后七个工作日内作出答复，但答复的内容不得涉及商业秘密。</w:t>
      </w:r>
    </w:p>
    <w:p w14:paraId="30E30C1A">
      <w:pPr>
        <w:spacing w:line="460" w:lineRule="exact"/>
        <w:ind w:firstLine="541" w:firstLineChars="245"/>
        <w:outlineLvl w:val="9"/>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en-US" w:eastAsia="zh-CN"/>
        </w:rPr>
        <w:t>4.</w:t>
      </w:r>
      <w:r>
        <w:rPr>
          <w:rFonts w:hint="eastAsia" w:ascii="宋体" w:hAnsi="宋体" w:eastAsia="宋体" w:cs="宋体"/>
          <w:b/>
          <w:color w:val="auto"/>
          <w:sz w:val="22"/>
          <w:szCs w:val="22"/>
          <w:highlight w:val="none"/>
        </w:rPr>
        <w:t>2</w:t>
      </w:r>
      <w:r>
        <w:rPr>
          <w:rFonts w:hint="eastAsia" w:ascii="宋体" w:hAnsi="宋体" w:eastAsia="宋体" w:cs="宋体"/>
          <w:b/>
          <w:color w:val="auto"/>
          <w:sz w:val="22"/>
          <w:szCs w:val="22"/>
          <w:highlight w:val="none"/>
          <w:lang w:val="zh-CN"/>
        </w:rPr>
        <w:t>供应商投诉</w:t>
      </w:r>
    </w:p>
    <w:p w14:paraId="3192AA9B">
      <w:pPr>
        <w:spacing w:line="460" w:lineRule="exact"/>
        <w:ind w:firstLine="539" w:firstLineChars="245"/>
        <w:outlineLvl w:val="9"/>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w:t>
      </w:r>
      <w:r>
        <w:rPr>
          <w:rFonts w:hint="eastAsia" w:ascii="宋体" w:hAnsi="宋体" w:eastAsia="宋体" w:cs="宋体"/>
          <w:bCs/>
          <w:color w:val="auto"/>
          <w:sz w:val="22"/>
          <w:szCs w:val="22"/>
          <w:highlight w:val="none"/>
          <w:lang w:val="en-US" w:eastAsia="zh-CN"/>
        </w:rPr>
        <w:t>1</w:t>
      </w:r>
      <w:r>
        <w:rPr>
          <w:rFonts w:hint="eastAsia" w:ascii="宋体" w:hAnsi="宋体" w:eastAsia="宋体" w:cs="宋体"/>
          <w:bCs/>
          <w:color w:val="auto"/>
          <w:sz w:val="22"/>
          <w:szCs w:val="22"/>
          <w:highlight w:val="none"/>
          <w:lang w:val="zh-CN"/>
        </w:rPr>
        <w:t>）质疑供应商对采购人、采购代理机构的答复不满意或者采购人、采购代理机构未在规定的时间内作出答复的，可以在答复期满后</w:t>
      </w:r>
      <w:r>
        <w:rPr>
          <w:rFonts w:hint="eastAsia" w:ascii="宋体" w:hAnsi="宋体" w:eastAsia="宋体" w:cs="宋体"/>
          <w:bCs/>
          <w:color w:val="auto"/>
          <w:sz w:val="22"/>
          <w:szCs w:val="22"/>
          <w:highlight w:val="none"/>
        </w:rPr>
        <w:t>15</w:t>
      </w:r>
      <w:r>
        <w:rPr>
          <w:rFonts w:hint="eastAsia" w:ascii="宋体" w:hAnsi="宋体" w:eastAsia="宋体" w:cs="宋体"/>
          <w:bCs/>
          <w:color w:val="auto"/>
          <w:sz w:val="22"/>
          <w:szCs w:val="22"/>
          <w:highlight w:val="none"/>
          <w:lang w:val="zh-CN"/>
        </w:rPr>
        <w:t>个工作日内向采购人（集团）的内设监管职能部门投诉。</w:t>
      </w:r>
    </w:p>
    <w:p w14:paraId="0A15CBB9">
      <w:pPr>
        <w:spacing w:line="460" w:lineRule="exact"/>
        <w:ind w:firstLine="539" w:firstLineChars="245"/>
        <w:outlineLvl w:val="9"/>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w:t>
      </w: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lang w:val="zh-CN"/>
        </w:rPr>
        <w:t>）供应商投诉的事项不得超出已质疑事项的范围，基于质疑答复内容提出的投诉事项除外。</w:t>
      </w:r>
    </w:p>
    <w:p w14:paraId="7C356F84">
      <w:pPr>
        <w:spacing w:line="460" w:lineRule="exact"/>
        <w:ind w:firstLine="539" w:firstLineChars="245"/>
        <w:outlineLvl w:val="9"/>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w:t>
      </w:r>
      <w:r>
        <w:rPr>
          <w:rFonts w:hint="eastAsia" w:ascii="宋体" w:hAnsi="宋体" w:eastAsia="宋体" w:cs="宋体"/>
          <w:bCs/>
          <w:color w:val="auto"/>
          <w:sz w:val="22"/>
          <w:szCs w:val="22"/>
          <w:highlight w:val="none"/>
          <w:lang w:val="en-US" w:eastAsia="zh-CN"/>
        </w:rPr>
        <w:t>3</w:t>
      </w:r>
      <w:r>
        <w:rPr>
          <w:rFonts w:hint="eastAsia" w:ascii="宋体" w:hAnsi="宋体" w:eastAsia="宋体" w:cs="宋体"/>
          <w:bCs/>
          <w:color w:val="auto"/>
          <w:sz w:val="22"/>
          <w:szCs w:val="22"/>
          <w:highlight w:val="none"/>
          <w:lang w:val="zh-CN"/>
        </w:rPr>
        <w:t>）供应商投诉应当有明确的请求和必要的证明材料。</w:t>
      </w:r>
    </w:p>
    <w:p w14:paraId="4373A4CC">
      <w:pPr>
        <w:spacing w:line="460" w:lineRule="exact"/>
        <w:ind w:firstLine="539" w:firstLineChars="245"/>
        <w:outlineLvl w:val="9"/>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w:t>
      </w:r>
      <w:r>
        <w:rPr>
          <w:rFonts w:hint="eastAsia" w:ascii="宋体" w:hAnsi="宋体" w:eastAsia="宋体" w:cs="宋体"/>
          <w:bCs/>
          <w:color w:val="auto"/>
          <w:sz w:val="22"/>
          <w:szCs w:val="22"/>
          <w:highlight w:val="none"/>
          <w:lang w:val="en-US" w:eastAsia="zh-CN"/>
        </w:rPr>
        <w:t>4</w:t>
      </w:r>
      <w:r>
        <w:rPr>
          <w:rFonts w:hint="eastAsia" w:ascii="宋体" w:hAnsi="宋体" w:eastAsia="宋体" w:cs="宋体"/>
          <w:bCs/>
          <w:color w:val="auto"/>
          <w:sz w:val="22"/>
          <w:szCs w:val="22"/>
          <w:highlight w:val="none"/>
          <w:lang w:val="zh-CN"/>
        </w:rPr>
        <w:t>）以联合体形式参加采购活动的，其投诉应当由组成联合体的所有供应商共同提出。</w:t>
      </w:r>
    </w:p>
    <w:p w14:paraId="1B1F3D84">
      <w:pPr>
        <w:spacing w:line="460" w:lineRule="exact"/>
        <w:ind w:firstLine="539" w:firstLineChars="245"/>
        <w:outlineLvl w:val="9"/>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（5）投诉供应商认为投诉回复处理结果不合法的，可以依法向采购人所在地人民法院提起诉讼。</w:t>
      </w:r>
    </w:p>
    <w:p w14:paraId="58959057">
      <w:pPr>
        <w:spacing w:line="460" w:lineRule="exact"/>
        <w:ind w:firstLine="541" w:firstLineChars="245"/>
        <w:outlineLvl w:val="9"/>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4.3其他</w:t>
      </w:r>
    </w:p>
    <w:p w14:paraId="0B400E00">
      <w:pPr>
        <w:spacing w:line="460" w:lineRule="exact"/>
        <w:ind w:firstLine="568" w:firstLineChars="245"/>
        <w:outlineLvl w:val="9"/>
        <w:rPr>
          <w:rFonts w:hint="eastAsia" w:ascii="新宋体" w:hAnsi="新宋体" w:eastAsia="新宋体" w:cs="新宋体"/>
          <w:color w:val="auto"/>
          <w:spacing w:val="6"/>
          <w:sz w:val="22"/>
          <w:szCs w:val="22"/>
          <w:highlight w:val="none"/>
          <w:lang w:val="zh-CN" w:eastAsia="zh-CN"/>
        </w:rPr>
      </w:pPr>
      <w:r>
        <w:rPr>
          <w:rFonts w:hint="eastAsia" w:ascii="新宋体" w:hAnsi="新宋体" w:eastAsia="新宋体" w:cs="新宋体"/>
          <w:color w:val="auto"/>
          <w:spacing w:val="6"/>
          <w:sz w:val="22"/>
          <w:szCs w:val="22"/>
          <w:highlight w:val="none"/>
          <w:lang w:val="zh-CN" w:eastAsia="zh-CN"/>
        </w:rPr>
        <w:t>（</w:t>
      </w:r>
      <w:r>
        <w:rPr>
          <w:rFonts w:hint="eastAsia" w:ascii="新宋体" w:hAnsi="新宋体" w:eastAsia="新宋体" w:cs="新宋体"/>
          <w:color w:val="auto"/>
          <w:spacing w:val="6"/>
          <w:sz w:val="22"/>
          <w:szCs w:val="22"/>
          <w:highlight w:val="none"/>
          <w:lang w:val="en-US" w:eastAsia="zh-CN"/>
        </w:rPr>
        <w:t>1</w:t>
      </w:r>
      <w:r>
        <w:rPr>
          <w:rFonts w:hint="eastAsia" w:ascii="新宋体" w:hAnsi="新宋体" w:eastAsia="新宋体" w:cs="新宋体"/>
          <w:color w:val="auto"/>
          <w:spacing w:val="6"/>
          <w:sz w:val="22"/>
          <w:szCs w:val="22"/>
          <w:highlight w:val="none"/>
          <w:lang w:val="zh-CN" w:eastAsia="zh-CN"/>
        </w:rPr>
        <w:t>）质疑供应商或投诉供应商应当承担投诉事项的举证责任，质疑供应商或投诉供应商未提供相关证据、依据和其他有关材料的，视为该质疑或投诉事项不成立；被质疑供应商或被投诉供应商未按照质疑答复通知书或投诉答复通知书要求提交相关证据、依据和其他有关材料的，视同其放弃说明权利，依法承担不利后果。</w:t>
      </w:r>
    </w:p>
    <w:p w14:paraId="3385DEFB">
      <w:pPr>
        <w:spacing w:line="460" w:lineRule="exact"/>
        <w:ind w:firstLine="568" w:firstLineChars="245"/>
        <w:rPr>
          <w:rFonts w:hint="eastAsia" w:ascii="新宋体" w:hAnsi="新宋体" w:eastAsia="新宋体" w:cs="新宋体"/>
          <w:color w:val="auto"/>
          <w:highlight w:val="none"/>
        </w:rPr>
      </w:pPr>
      <w:r>
        <w:rPr>
          <w:rFonts w:hint="eastAsia" w:ascii="新宋体" w:hAnsi="新宋体" w:eastAsia="新宋体" w:cs="新宋体"/>
          <w:color w:val="auto"/>
          <w:spacing w:val="6"/>
          <w:sz w:val="22"/>
          <w:szCs w:val="22"/>
          <w:highlight w:val="none"/>
          <w:lang w:val="zh-CN" w:eastAsia="zh-CN"/>
        </w:rPr>
        <w:t>（</w:t>
      </w:r>
      <w:r>
        <w:rPr>
          <w:rFonts w:hint="eastAsia" w:ascii="新宋体" w:hAnsi="新宋体" w:eastAsia="新宋体" w:cs="新宋体"/>
          <w:color w:val="auto"/>
          <w:spacing w:val="6"/>
          <w:sz w:val="22"/>
          <w:szCs w:val="22"/>
          <w:highlight w:val="none"/>
          <w:lang w:val="en-US" w:eastAsia="zh-CN"/>
        </w:rPr>
        <w:t>2</w:t>
      </w:r>
      <w:r>
        <w:rPr>
          <w:rFonts w:hint="eastAsia" w:ascii="新宋体" w:hAnsi="新宋体" w:eastAsia="新宋体" w:cs="新宋体"/>
          <w:color w:val="auto"/>
          <w:spacing w:val="6"/>
          <w:sz w:val="22"/>
          <w:szCs w:val="22"/>
          <w:highlight w:val="none"/>
          <w:lang w:val="zh-CN" w:eastAsia="zh-CN"/>
        </w:rPr>
        <w:t>）如有发现不实的质疑或投诉（包括但不限于未提供证据、证据与质疑或投诉内容无关联、虚假证据等），采购人有权视其为不实的质疑投诉，并有权将该供应商纳入集团黑名单，同时保留对外公布的权利。</w:t>
      </w:r>
    </w:p>
    <w:p w14:paraId="35F4CA73">
      <w:pPr>
        <w:rPr>
          <w:rFonts w:hint="eastAsia" w:ascii="新宋体" w:hAnsi="新宋体" w:eastAsia="新宋体" w:cs="新宋体"/>
          <w:color w:val="auto"/>
          <w:sz w:val="22"/>
          <w:szCs w:val="22"/>
          <w:highlight w:val="none"/>
          <w:u w:val="single"/>
          <w:lang w:val="zh-CN"/>
        </w:rPr>
      </w:pPr>
    </w:p>
    <w:p w14:paraId="58AFE55F">
      <w:pPr>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br w:type="page"/>
      </w:r>
    </w:p>
    <w:p w14:paraId="36F15981">
      <w:pPr>
        <w:pStyle w:val="10"/>
        <w:spacing w:line="460" w:lineRule="exact"/>
        <w:ind w:left="433" w:leftChars="206" w:firstLine="0" w:firstLineChars="0"/>
        <w:jc w:val="center"/>
        <w:outlineLvl w:val="0"/>
        <w:rPr>
          <w:rFonts w:hint="eastAsia" w:ascii="新宋体" w:hAnsi="新宋体" w:eastAsia="新宋体" w:cs="新宋体"/>
          <w:b/>
          <w:color w:val="auto"/>
          <w:sz w:val="30"/>
          <w:highlight w:val="none"/>
        </w:rPr>
      </w:pPr>
      <w:bookmarkStart w:id="56" w:name="_Toc23640"/>
      <w:r>
        <w:rPr>
          <w:rFonts w:hint="eastAsia" w:ascii="新宋体" w:hAnsi="新宋体" w:eastAsia="新宋体" w:cs="新宋体"/>
          <w:b/>
          <w:color w:val="auto"/>
          <w:sz w:val="30"/>
          <w:highlight w:val="none"/>
        </w:rPr>
        <w:t>第二部分 合同主要条款</w:t>
      </w:r>
      <w:bookmarkEnd w:id="56"/>
    </w:p>
    <w:bookmarkEnd w:id="0"/>
    <w:bookmarkEnd w:id="1"/>
    <w:p w14:paraId="37BB3E7B">
      <w:pPr>
        <w:spacing w:line="460" w:lineRule="exact"/>
        <w:ind w:firstLine="541" w:firstLineChars="245"/>
        <w:rPr>
          <w:rFonts w:hint="eastAsia" w:ascii="宋体" w:hAnsi="宋体" w:cs="宋体"/>
          <w:b/>
          <w:color w:val="auto"/>
          <w:sz w:val="22"/>
          <w:szCs w:val="22"/>
          <w:highlight w:val="none"/>
        </w:rPr>
      </w:pPr>
      <w:r>
        <w:rPr>
          <w:rFonts w:hint="eastAsia" w:ascii="宋体" w:hAnsi="宋体" w:cs="宋体"/>
          <w:b/>
          <w:color w:val="auto"/>
          <w:sz w:val="22"/>
          <w:szCs w:val="22"/>
          <w:highlight w:val="none"/>
        </w:rPr>
        <w:t>注：如甲、乙双方同意，合同格式也可以按照其他形式, 具体条款以甲方为主协商确定。但合同条款的基本内容应与以下要求的内容相一致。</w:t>
      </w:r>
    </w:p>
    <w:p w14:paraId="2F639F7D">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w:t>
      </w:r>
    </w:p>
    <w:p w14:paraId="3C250C54">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乙方</w:t>
      </w:r>
      <w:r>
        <w:rPr>
          <w:rFonts w:hint="eastAsia" w:ascii="宋体" w:hAnsi="宋体" w:eastAsia="宋体" w:cs="宋体"/>
          <w:color w:val="auto"/>
          <w:sz w:val="22"/>
          <w:szCs w:val="22"/>
          <w:highlight w:val="none"/>
        </w:rPr>
        <w:t>：</w:t>
      </w:r>
    </w:p>
    <w:p w14:paraId="640595D2">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bookmarkStart w:id="57" w:name="_Toc200785162"/>
      <w:bookmarkStart w:id="58" w:name="_Toc200784876"/>
      <w:r>
        <w:rPr>
          <w:rFonts w:hint="eastAsia" w:ascii="宋体" w:hAnsi="宋体" w:eastAsia="宋体" w:cs="宋体"/>
          <w:color w:val="auto"/>
          <w:kern w:val="0"/>
          <w:sz w:val="22"/>
          <w:szCs w:val="22"/>
          <w:highlight w:val="none"/>
          <w:lang w:bidi="ar"/>
        </w:rPr>
        <w:t>甲、乙双方依据《中华人民共和国政府采购法》、《中华人民共和国民法典》等相关法律法规</w:t>
      </w:r>
      <w:r>
        <w:rPr>
          <w:rFonts w:hint="eastAsia" w:ascii="宋体" w:hAnsi="宋体" w:eastAsia="宋体" w:cs="宋体"/>
          <w:color w:val="auto"/>
          <w:kern w:val="0"/>
          <w:sz w:val="22"/>
          <w:szCs w:val="22"/>
          <w:highlight w:val="none"/>
          <w:lang w:val="en-US" w:eastAsia="zh-CN" w:bidi="ar"/>
        </w:rPr>
        <w:t>之</w:t>
      </w:r>
      <w:r>
        <w:rPr>
          <w:rFonts w:hint="eastAsia" w:ascii="宋体" w:hAnsi="宋体" w:eastAsia="宋体" w:cs="宋体"/>
          <w:color w:val="auto"/>
          <w:kern w:val="0"/>
          <w:sz w:val="22"/>
          <w:szCs w:val="22"/>
          <w:highlight w:val="none"/>
          <w:lang w:bidi="ar"/>
        </w:rPr>
        <w:t xml:space="preserve">规定，在平等自愿的基础上，同意按照下面的条款和条件，签署本合同。 </w:t>
      </w:r>
    </w:p>
    <w:p w14:paraId="6C7C4A56">
      <w:pPr>
        <w:keepNext w:val="0"/>
        <w:keepLines w:val="0"/>
        <w:pageBreakBefore w:val="0"/>
        <w:widowControl/>
        <w:kinsoku/>
        <w:wordWrap/>
        <w:overflowPunct/>
        <w:topLinePunct w:val="0"/>
        <w:autoSpaceDE/>
        <w:autoSpaceDN/>
        <w:bidi w:val="0"/>
        <w:adjustRightInd/>
        <w:snapToGrid/>
        <w:spacing w:line="460" w:lineRule="exact"/>
        <w:ind w:firstLine="442" w:firstLineChars="200"/>
        <w:jc w:val="left"/>
        <w:textAlignment w:val="auto"/>
        <w:outlineLvl w:val="1"/>
        <w:rPr>
          <w:rFonts w:hint="eastAsia" w:ascii="宋体" w:hAnsi="宋体" w:eastAsia="宋体" w:cs="宋体"/>
          <w:color w:val="auto"/>
          <w:sz w:val="22"/>
          <w:szCs w:val="22"/>
          <w:highlight w:val="none"/>
        </w:rPr>
      </w:pPr>
      <w:r>
        <w:rPr>
          <w:rFonts w:hint="eastAsia" w:ascii="宋体" w:hAnsi="宋体" w:eastAsia="宋体" w:cs="宋体"/>
          <w:b/>
          <w:color w:val="auto"/>
          <w:kern w:val="0"/>
          <w:sz w:val="22"/>
          <w:szCs w:val="22"/>
          <w:highlight w:val="none"/>
          <w:lang w:bidi="ar"/>
        </w:rPr>
        <w:t xml:space="preserve">（一）项目采购依据 </w:t>
      </w:r>
    </w:p>
    <w:p w14:paraId="4FF5D29A">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采购预算执行确认书：</w:t>
      </w:r>
      <w:r>
        <w:rPr>
          <w:rFonts w:hint="eastAsia" w:ascii="宋体" w:hAnsi="宋体" w:eastAsia="宋体" w:cs="宋体"/>
          <w:color w:val="auto"/>
          <w:kern w:val="0"/>
          <w:sz w:val="22"/>
          <w:szCs w:val="22"/>
          <w:highlight w:val="none"/>
          <w:u w:val="single"/>
          <w:lang w:bidi="ar"/>
        </w:rPr>
        <w:t xml:space="preserve">             </w:t>
      </w:r>
      <w:r>
        <w:rPr>
          <w:rFonts w:hint="eastAsia" w:ascii="宋体" w:hAnsi="宋体" w:eastAsia="宋体" w:cs="宋体"/>
          <w:color w:val="auto"/>
          <w:kern w:val="0"/>
          <w:sz w:val="22"/>
          <w:szCs w:val="22"/>
          <w:highlight w:val="none"/>
          <w:lang w:bidi="ar"/>
        </w:rPr>
        <w:t xml:space="preserve"> </w:t>
      </w:r>
    </w:p>
    <w:p w14:paraId="1BA5582F">
      <w:pPr>
        <w:keepNext w:val="0"/>
        <w:keepLines w:val="0"/>
        <w:pageBreakBefore w:val="0"/>
        <w:widowControl/>
        <w:kinsoku/>
        <w:wordWrap/>
        <w:overflowPunct/>
        <w:topLinePunct w:val="0"/>
        <w:autoSpaceDE/>
        <w:autoSpaceDN/>
        <w:bidi w:val="0"/>
        <w:adjustRightInd/>
        <w:snapToGrid/>
        <w:spacing w:line="460" w:lineRule="exact"/>
        <w:ind w:firstLine="442" w:firstLineChars="200"/>
        <w:jc w:val="left"/>
        <w:textAlignment w:val="auto"/>
        <w:outlineLvl w:val="1"/>
        <w:rPr>
          <w:rFonts w:hint="eastAsia" w:ascii="宋体" w:hAnsi="宋体" w:eastAsia="宋体" w:cs="宋体"/>
          <w:color w:val="auto"/>
          <w:sz w:val="22"/>
          <w:szCs w:val="22"/>
          <w:highlight w:val="none"/>
        </w:rPr>
      </w:pPr>
      <w:r>
        <w:rPr>
          <w:rFonts w:hint="eastAsia" w:ascii="宋体" w:hAnsi="宋体" w:eastAsia="宋体" w:cs="宋体"/>
          <w:b/>
          <w:color w:val="auto"/>
          <w:kern w:val="0"/>
          <w:sz w:val="22"/>
          <w:szCs w:val="22"/>
          <w:highlight w:val="none"/>
          <w:lang w:bidi="ar"/>
        </w:rPr>
        <w:t xml:space="preserve">（二）下列文件构成本合同的组成部分 </w:t>
      </w:r>
    </w:p>
    <w:p w14:paraId="19C583F5">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以下文件为本合同的组成部分，应该认为是一个整体，彼此相互解释，相互补充。组成合同的多个文件的优先支配地位的次序如下： </w:t>
      </w:r>
    </w:p>
    <w:p w14:paraId="7E3F2130">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a. 本合同书 </w:t>
      </w:r>
    </w:p>
    <w:p w14:paraId="69B303EA">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b. </w:t>
      </w:r>
      <w:r>
        <w:rPr>
          <w:rFonts w:hint="eastAsia" w:ascii="宋体" w:hAnsi="宋体" w:eastAsia="宋体" w:cs="宋体"/>
          <w:color w:val="auto"/>
          <w:kern w:val="0"/>
          <w:sz w:val="22"/>
          <w:szCs w:val="22"/>
          <w:highlight w:val="none"/>
          <w:lang w:val="en-US" w:eastAsia="zh-CN" w:bidi="ar"/>
        </w:rPr>
        <w:t>中标</w:t>
      </w:r>
      <w:r>
        <w:rPr>
          <w:rFonts w:hint="eastAsia" w:ascii="宋体" w:hAnsi="宋体" w:eastAsia="宋体" w:cs="宋体"/>
          <w:color w:val="auto"/>
          <w:kern w:val="0"/>
          <w:sz w:val="22"/>
          <w:szCs w:val="22"/>
          <w:highlight w:val="none"/>
          <w:lang w:bidi="ar"/>
        </w:rPr>
        <w:t xml:space="preserve">通知书 </w:t>
      </w:r>
    </w:p>
    <w:p w14:paraId="654BECE5">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c. 询标承诺 </w:t>
      </w:r>
    </w:p>
    <w:p w14:paraId="3EF742C9">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d. 中标供应商响应文件 </w:t>
      </w:r>
    </w:p>
    <w:p w14:paraId="110D61F5">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e. 采购人的</w:t>
      </w:r>
      <w:r>
        <w:rPr>
          <w:rFonts w:hint="eastAsia" w:ascii="宋体" w:hAnsi="宋体" w:eastAsia="宋体" w:cs="宋体"/>
          <w:color w:val="auto"/>
          <w:kern w:val="0"/>
          <w:sz w:val="22"/>
          <w:szCs w:val="22"/>
          <w:highlight w:val="none"/>
          <w:lang w:val="en-US" w:eastAsia="zh-CN" w:bidi="ar"/>
        </w:rPr>
        <w:t>采购</w:t>
      </w:r>
      <w:r>
        <w:rPr>
          <w:rFonts w:hint="eastAsia" w:ascii="宋体" w:hAnsi="宋体" w:eastAsia="宋体" w:cs="宋体"/>
          <w:color w:val="auto"/>
          <w:kern w:val="0"/>
          <w:sz w:val="22"/>
          <w:szCs w:val="22"/>
          <w:highlight w:val="none"/>
          <w:lang w:bidi="ar"/>
        </w:rPr>
        <w:t xml:space="preserve">文件 </w:t>
      </w:r>
    </w:p>
    <w:p w14:paraId="7C51553E">
      <w:pPr>
        <w:keepNext w:val="0"/>
        <w:keepLines w:val="0"/>
        <w:pageBreakBefore w:val="0"/>
        <w:widowControl/>
        <w:kinsoku/>
        <w:wordWrap/>
        <w:overflowPunct/>
        <w:topLinePunct w:val="0"/>
        <w:autoSpaceDE/>
        <w:autoSpaceDN/>
        <w:bidi w:val="0"/>
        <w:adjustRightInd/>
        <w:snapToGrid/>
        <w:spacing w:line="460" w:lineRule="exact"/>
        <w:ind w:firstLine="442" w:firstLineChars="200"/>
        <w:jc w:val="left"/>
        <w:textAlignment w:val="auto"/>
        <w:outlineLvl w:val="1"/>
        <w:rPr>
          <w:rFonts w:hint="eastAsia" w:ascii="宋体" w:hAnsi="宋体" w:eastAsia="宋体" w:cs="宋体"/>
          <w:color w:val="auto"/>
          <w:sz w:val="22"/>
          <w:szCs w:val="22"/>
          <w:highlight w:val="none"/>
        </w:rPr>
      </w:pPr>
      <w:r>
        <w:rPr>
          <w:rFonts w:hint="eastAsia" w:ascii="宋体" w:hAnsi="宋体" w:eastAsia="宋体" w:cs="宋体"/>
          <w:b/>
          <w:color w:val="auto"/>
          <w:kern w:val="0"/>
          <w:sz w:val="22"/>
          <w:szCs w:val="22"/>
          <w:highlight w:val="none"/>
          <w:lang w:bidi="ar"/>
        </w:rPr>
        <w:t xml:space="preserve">（三）合同标的物 </w:t>
      </w:r>
    </w:p>
    <w:p w14:paraId="337C3413">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本合同标的物名称及数量：</w:t>
      </w:r>
      <w:r>
        <w:rPr>
          <w:rFonts w:hint="eastAsia" w:ascii="宋体" w:hAnsi="宋体" w:eastAsia="宋体" w:cs="宋体"/>
          <w:color w:val="auto"/>
          <w:kern w:val="0"/>
          <w:sz w:val="22"/>
          <w:szCs w:val="22"/>
          <w:highlight w:val="none"/>
          <w:u w:val="single"/>
          <w:lang w:bidi="ar"/>
        </w:rPr>
        <w:t xml:space="preserve">      </w:t>
      </w:r>
      <w:r>
        <w:rPr>
          <w:rFonts w:hint="eastAsia" w:ascii="宋体" w:hAnsi="宋体" w:eastAsia="宋体" w:cs="宋体"/>
          <w:color w:val="auto"/>
          <w:kern w:val="0"/>
          <w:sz w:val="22"/>
          <w:szCs w:val="22"/>
          <w:highlight w:val="none"/>
          <w:lang w:bidi="ar"/>
        </w:rPr>
        <w:t xml:space="preserve"> </w:t>
      </w:r>
    </w:p>
    <w:p w14:paraId="4B7AEE23">
      <w:pPr>
        <w:keepNext w:val="0"/>
        <w:keepLines w:val="0"/>
        <w:pageBreakBefore w:val="0"/>
        <w:widowControl/>
        <w:kinsoku/>
        <w:wordWrap/>
        <w:overflowPunct/>
        <w:topLinePunct w:val="0"/>
        <w:autoSpaceDE/>
        <w:autoSpaceDN/>
        <w:bidi w:val="0"/>
        <w:adjustRightInd/>
        <w:snapToGrid/>
        <w:spacing w:line="460" w:lineRule="exact"/>
        <w:ind w:firstLine="442" w:firstLineChars="200"/>
        <w:jc w:val="left"/>
        <w:textAlignment w:val="auto"/>
        <w:outlineLvl w:val="1"/>
        <w:rPr>
          <w:rFonts w:hint="eastAsia" w:ascii="宋体" w:hAnsi="宋体" w:eastAsia="宋体" w:cs="宋体"/>
          <w:color w:val="auto"/>
          <w:sz w:val="22"/>
          <w:szCs w:val="22"/>
          <w:highlight w:val="none"/>
        </w:rPr>
      </w:pPr>
      <w:r>
        <w:rPr>
          <w:rFonts w:hint="eastAsia" w:ascii="宋体" w:hAnsi="宋体" w:eastAsia="宋体" w:cs="宋体"/>
          <w:b/>
          <w:color w:val="auto"/>
          <w:kern w:val="0"/>
          <w:sz w:val="22"/>
          <w:szCs w:val="22"/>
          <w:highlight w:val="none"/>
          <w:lang w:bidi="ar"/>
        </w:rPr>
        <w:t xml:space="preserve">（四）合同总价 </w:t>
      </w:r>
    </w:p>
    <w:p w14:paraId="55396DF3">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本合同总价为</w:t>
      </w:r>
      <w:r>
        <w:rPr>
          <w:rFonts w:hint="eastAsia" w:ascii="宋体" w:hAnsi="宋体" w:eastAsia="宋体" w:cs="宋体"/>
          <w:color w:val="auto"/>
          <w:kern w:val="0"/>
          <w:sz w:val="22"/>
          <w:szCs w:val="22"/>
          <w:highlight w:val="none"/>
          <w:u w:val="single"/>
          <w:lang w:bidi="ar"/>
        </w:rPr>
        <w:t xml:space="preserve">         </w:t>
      </w:r>
      <w:r>
        <w:rPr>
          <w:rFonts w:hint="eastAsia" w:ascii="宋体" w:hAnsi="宋体" w:eastAsia="宋体" w:cs="宋体"/>
          <w:color w:val="auto"/>
          <w:kern w:val="0"/>
          <w:sz w:val="22"/>
          <w:szCs w:val="22"/>
          <w:highlight w:val="none"/>
          <w:lang w:bidi="ar"/>
        </w:rPr>
        <w:t xml:space="preserve">元人民币。 </w:t>
      </w:r>
    </w:p>
    <w:p w14:paraId="454EA611">
      <w:pPr>
        <w:keepNext w:val="0"/>
        <w:keepLines w:val="0"/>
        <w:pageBreakBefore w:val="0"/>
        <w:widowControl/>
        <w:kinsoku/>
        <w:wordWrap/>
        <w:overflowPunct/>
        <w:topLinePunct w:val="0"/>
        <w:autoSpaceDE/>
        <w:autoSpaceDN/>
        <w:bidi w:val="0"/>
        <w:adjustRightInd/>
        <w:snapToGrid/>
        <w:spacing w:line="460" w:lineRule="exact"/>
        <w:ind w:firstLine="442" w:firstLineChars="200"/>
        <w:jc w:val="left"/>
        <w:textAlignment w:val="auto"/>
        <w:outlineLvl w:val="1"/>
        <w:rPr>
          <w:rFonts w:hint="eastAsia" w:ascii="宋体" w:hAnsi="宋体" w:eastAsia="宋体" w:cs="宋体"/>
          <w:color w:val="auto"/>
          <w:sz w:val="22"/>
          <w:szCs w:val="22"/>
          <w:highlight w:val="none"/>
        </w:rPr>
      </w:pPr>
      <w:r>
        <w:rPr>
          <w:rFonts w:hint="eastAsia" w:ascii="宋体" w:hAnsi="宋体" w:eastAsia="宋体" w:cs="宋体"/>
          <w:b/>
          <w:color w:val="auto"/>
          <w:kern w:val="0"/>
          <w:sz w:val="22"/>
          <w:szCs w:val="22"/>
          <w:highlight w:val="none"/>
          <w:lang w:bidi="ar"/>
        </w:rPr>
        <w:t xml:space="preserve">（五）合同价款的支付 </w:t>
      </w:r>
    </w:p>
    <w:p w14:paraId="2FE5D6E5">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1、本合同中甲乙双方之间所发生的一切费用以人民币进行结算。 </w:t>
      </w:r>
    </w:p>
    <w:p w14:paraId="5D8D2E29">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 xml:space="preserve">2、支付方式： </w:t>
      </w:r>
    </w:p>
    <w:p w14:paraId="65144229">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1、在合同签订后</w:t>
      </w:r>
      <w:r>
        <w:rPr>
          <w:rFonts w:hint="eastAsia" w:ascii="宋体" w:hAnsi="宋体" w:eastAsia="宋体" w:cs="宋体"/>
          <w:color w:val="auto"/>
          <w:kern w:val="0"/>
          <w:sz w:val="22"/>
          <w:szCs w:val="22"/>
          <w:highlight w:val="none"/>
          <w:lang w:val="en-US" w:eastAsia="zh-CN" w:bidi="ar"/>
        </w:rPr>
        <w:t>7</w:t>
      </w:r>
      <w:r>
        <w:rPr>
          <w:rFonts w:hint="eastAsia" w:ascii="宋体" w:hAnsi="宋体" w:eastAsia="宋体" w:cs="宋体"/>
          <w:color w:val="auto"/>
          <w:kern w:val="0"/>
          <w:sz w:val="22"/>
          <w:szCs w:val="22"/>
          <w:highlight w:val="none"/>
          <w:lang w:bidi="ar"/>
        </w:rPr>
        <w:t>日内支付合同总金额</w:t>
      </w:r>
      <w:r>
        <w:rPr>
          <w:rFonts w:hint="eastAsia" w:ascii="宋体" w:hAnsi="宋体" w:eastAsia="宋体" w:cs="宋体"/>
          <w:color w:val="auto"/>
          <w:kern w:val="0"/>
          <w:sz w:val="22"/>
          <w:szCs w:val="22"/>
          <w:highlight w:val="none"/>
          <w:lang w:val="en-US" w:eastAsia="zh-CN" w:bidi="ar"/>
        </w:rPr>
        <w:t>4</w:t>
      </w:r>
      <w:r>
        <w:rPr>
          <w:rFonts w:hint="eastAsia" w:ascii="宋体" w:hAnsi="宋体" w:eastAsia="宋体" w:cs="宋体"/>
          <w:color w:val="auto"/>
          <w:kern w:val="0"/>
          <w:sz w:val="22"/>
          <w:szCs w:val="22"/>
          <w:highlight w:val="none"/>
          <w:lang w:bidi="ar"/>
        </w:rPr>
        <w:t>0%作为预付款；</w:t>
      </w:r>
      <w:r>
        <w:rPr>
          <w:rFonts w:hint="eastAsia" w:ascii="宋体" w:hAnsi="宋体"/>
          <w:color w:val="auto"/>
          <w:kern w:val="0"/>
          <w:sz w:val="24"/>
          <w:highlight w:val="none"/>
        </w:rPr>
        <w:t>提交初稿后7日内支付合同总金额的4</w:t>
      </w:r>
      <w:r>
        <w:rPr>
          <w:rFonts w:ascii="宋体" w:hAnsi="宋体"/>
          <w:color w:val="auto"/>
          <w:kern w:val="0"/>
          <w:sz w:val="24"/>
          <w:highlight w:val="none"/>
        </w:rPr>
        <w:t>0%</w:t>
      </w:r>
      <w:r>
        <w:rPr>
          <w:rFonts w:hint="eastAsia" w:ascii="宋体" w:hAnsi="宋体"/>
          <w:color w:val="auto"/>
          <w:kern w:val="0"/>
          <w:sz w:val="24"/>
          <w:highlight w:val="none"/>
        </w:rPr>
        <w:t>，余款在最终验收合格后7日内付清</w:t>
      </w:r>
      <w:r>
        <w:rPr>
          <w:rFonts w:hint="eastAsia" w:ascii="宋体" w:hAnsi="宋体" w:eastAsia="宋体" w:cs="宋体"/>
          <w:color w:val="auto"/>
          <w:kern w:val="0"/>
          <w:sz w:val="22"/>
          <w:szCs w:val="22"/>
          <w:highlight w:val="none"/>
          <w:lang w:bidi="ar"/>
        </w:rPr>
        <w:t>。</w:t>
      </w:r>
    </w:p>
    <w:p w14:paraId="6C02AE9D">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每次合同款项支付，乙方需提供同等金额的正规发票或收据（应符合甲方财务管理要求）给甲方，甲方收到发票后支付。</w:t>
      </w:r>
    </w:p>
    <w:p w14:paraId="37E66919">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发票类型：增值税发票。 </w:t>
      </w:r>
    </w:p>
    <w:p w14:paraId="7A957551">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3、甲方应付合同款至以下乙方指定的银行账户： </w:t>
      </w:r>
    </w:p>
    <w:p w14:paraId="4A4D643E">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开户名称：</w:t>
      </w:r>
      <w:r>
        <w:rPr>
          <w:rFonts w:hint="eastAsia" w:ascii="宋体" w:hAnsi="宋体" w:eastAsia="宋体" w:cs="宋体"/>
          <w:color w:val="auto"/>
          <w:kern w:val="0"/>
          <w:sz w:val="22"/>
          <w:szCs w:val="22"/>
          <w:highlight w:val="none"/>
          <w:u w:val="single"/>
          <w:lang w:bidi="ar"/>
        </w:rPr>
        <w:t xml:space="preserve">            </w:t>
      </w:r>
      <w:r>
        <w:rPr>
          <w:rFonts w:hint="eastAsia" w:ascii="宋体" w:hAnsi="宋体" w:eastAsia="宋体" w:cs="宋体"/>
          <w:color w:val="auto"/>
          <w:kern w:val="0"/>
          <w:sz w:val="22"/>
          <w:szCs w:val="22"/>
          <w:highlight w:val="none"/>
          <w:lang w:bidi="ar"/>
        </w:rPr>
        <w:t xml:space="preserve"> </w:t>
      </w:r>
    </w:p>
    <w:p w14:paraId="2B664F30">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开户银行：</w:t>
      </w:r>
      <w:r>
        <w:rPr>
          <w:rFonts w:hint="eastAsia" w:ascii="宋体" w:hAnsi="宋体" w:eastAsia="宋体" w:cs="宋体"/>
          <w:color w:val="auto"/>
          <w:kern w:val="0"/>
          <w:sz w:val="22"/>
          <w:szCs w:val="22"/>
          <w:highlight w:val="none"/>
          <w:u w:val="single"/>
          <w:lang w:bidi="ar"/>
        </w:rPr>
        <w:t xml:space="preserve">            </w:t>
      </w:r>
    </w:p>
    <w:p w14:paraId="3921789B">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账 号：</w:t>
      </w:r>
      <w:r>
        <w:rPr>
          <w:rFonts w:hint="eastAsia" w:ascii="宋体" w:hAnsi="宋体" w:eastAsia="宋体" w:cs="宋体"/>
          <w:color w:val="auto"/>
          <w:kern w:val="0"/>
          <w:sz w:val="22"/>
          <w:szCs w:val="22"/>
          <w:highlight w:val="none"/>
          <w:u w:val="single"/>
          <w:lang w:bidi="ar"/>
        </w:rPr>
        <w:t xml:space="preserve">               </w:t>
      </w:r>
    </w:p>
    <w:p w14:paraId="245C4D4C">
      <w:pPr>
        <w:keepNext w:val="0"/>
        <w:keepLines w:val="0"/>
        <w:pageBreakBefore w:val="0"/>
        <w:widowControl/>
        <w:kinsoku/>
        <w:wordWrap/>
        <w:overflowPunct/>
        <w:topLinePunct w:val="0"/>
        <w:autoSpaceDE/>
        <w:autoSpaceDN/>
        <w:bidi w:val="0"/>
        <w:adjustRightInd/>
        <w:snapToGrid/>
        <w:spacing w:line="460" w:lineRule="exact"/>
        <w:ind w:firstLine="442" w:firstLineChars="200"/>
        <w:jc w:val="left"/>
        <w:textAlignment w:val="auto"/>
        <w:outlineLvl w:val="1"/>
        <w:rPr>
          <w:rFonts w:hint="default" w:ascii="宋体" w:hAnsi="宋体" w:eastAsia="宋体" w:cs="宋体"/>
          <w:color w:val="auto"/>
          <w:sz w:val="22"/>
          <w:szCs w:val="22"/>
          <w:highlight w:val="none"/>
          <w:lang w:val="en-US" w:eastAsia="zh-CN"/>
        </w:rPr>
      </w:pPr>
      <w:r>
        <w:rPr>
          <w:rFonts w:hint="eastAsia" w:ascii="宋体" w:hAnsi="宋体" w:eastAsia="宋体" w:cs="宋体"/>
          <w:b/>
          <w:color w:val="auto"/>
          <w:kern w:val="0"/>
          <w:sz w:val="22"/>
          <w:szCs w:val="22"/>
          <w:highlight w:val="none"/>
          <w:lang w:bidi="ar"/>
        </w:rPr>
        <w:t xml:space="preserve">（六）履约保证金 </w:t>
      </w:r>
      <w:r>
        <w:rPr>
          <w:rFonts w:hint="eastAsia" w:ascii="宋体" w:hAnsi="宋体" w:eastAsia="宋体" w:cs="宋体"/>
          <w:b/>
          <w:color w:val="auto"/>
          <w:kern w:val="0"/>
          <w:sz w:val="22"/>
          <w:szCs w:val="22"/>
          <w:highlight w:val="none"/>
          <w:lang w:eastAsia="zh-CN" w:bidi="ar"/>
        </w:rPr>
        <w:t>：</w:t>
      </w:r>
      <w:r>
        <w:rPr>
          <w:rFonts w:hint="eastAsia" w:ascii="宋体" w:hAnsi="宋体" w:eastAsia="宋体" w:cs="宋体"/>
          <w:b/>
          <w:color w:val="auto"/>
          <w:kern w:val="0"/>
          <w:sz w:val="22"/>
          <w:szCs w:val="22"/>
          <w:highlight w:val="none"/>
          <w:lang w:val="en-US" w:eastAsia="zh-CN" w:bidi="ar"/>
        </w:rPr>
        <w:t>无</w:t>
      </w:r>
    </w:p>
    <w:p w14:paraId="2551DBB0">
      <w:pPr>
        <w:keepNext w:val="0"/>
        <w:keepLines w:val="0"/>
        <w:pageBreakBefore w:val="0"/>
        <w:widowControl/>
        <w:kinsoku/>
        <w:wordWrap/>
        <w:overflowPunct/>
        <w:topLinePunct w:val="0"/>
        <w:autoSpaceDE/>
        <w:autoSpaceDN/>
        <w:bidi w:val="0"/>
        <w:adjustRightInd/>
        <w:snapToGrid/>
        <w:spacing w:line="460" w:lineRule="exact"/>
        <w:ind w:firstLine="442" w:firstLineChars="200"/>
        <w:jc w:val="left"/>
        <w:textAlignment w:val="auto"/>
        <w:outlineLvl w:val="1"/>
        <w:rPr>
          <w:rFonts w:hint="eastAsia" w:ascii="宋体" w:hAnsi="宋体" w:eastAsia="宋体" w:cs="宋体"/>
          <w:color w:val="auto"/>
          <w:sz w:val="22"/>
          <w:szCs w:val="22"/>
          <w:highlight w:val="none"/>
        </w:rPr>
      </w:pPr>
      <w:r>
        <w:rPr>
          <w:rFonts w:hint="eastAsia" w:ascii="宋体" w:hAnsi="宋体" w:eastAsia="宋体" w:cs="宋体"/>
          <w:b/>
          <w:color w:val="auto"/>
          <w:kern w:val="0"/>
          <w:sz w:val="22"/>
          <w:szCs w:val="22"/>
          <w:highlight w:val="none"/>
          <w:lang w:bidi="ar"/>
        </w:rPr>
        <w:t xml:space="preserve">（七）服务内容及要求 </w:t>
      </w:r>
    </w:p>
    <w:p w14:paraId="2D6D3CD5">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1、服务期内，乙方应在充分了解甲方现有环境基础上，提供规范化、高质量的服务，具体服务内容与要求及甲乙双方责任义务详见合同附件。 </w:t>
      </w:r>
    </w:p>
    <w:p w14:paraId="44D9C81C">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2、除合同约定内容外，乙方不得向第三方外包其服务。 </w:t>
      </w:r>
    </w:p>
    <w:p w14:paraId="049E7FB7">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3、履行期限：</w:t>
      </w:r>
      <w:r>
        <w:rPr>
          <w:rFonts w:hint="eastAsia" w:ascii="宋体" w:hAnsi="宋体" w:eastAsia="宋体" w:cs="宋体"/>
          <w:color w:val="auto"/>
          <w:kern w:val="0"/>
          <w:sz w:val="22"/>
          <w:szCs w:val="22"/>
          <w:highlight w:val="none"/>
          <w:u w:val="single"/>
          <w:lang w:bidi="ar"/>
        </w:rPr>
        <w:t xml:space="preserve">        </w:t>
      </w:r>
      <w:r>
        <w:rPr>
          <w:rFonts w:hint="eastAsia" w:ascii="宋体" w:hAnsi="宋体" w:eastAsia="宋体" w:cs="宋体"/>
          <w:color w:val="auto"/>
          <w:kern w:val="0"/>
          <w:sz w:val="22"/>
          <w:szCs w:val="22"/>
          <w:highlight w:val="none"/>
          <w:lang w:bidi="ar"/>
        </w:rPr>
        <w:t xml:space="preserve"> </w:t>
      </w:r>
    </w:p>
    <w:p w14:paraId="13AD99EC">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kern w:val="0"/>
          <w:sz w:val="22"/>
          <w:szCs w:val="22"/>
          <w:highlight w:val="none"/>
          <w:u w:val="single"/>
          <w:lang w:bidi="ar"/>
        </w:rPr>
      </w:pPr>
      <w:r>
        <w:rPr>
          <w:rFonts w:hint="eastAsia" w:ascii="宋体" w:hAnsi="宋体" w:eastAsia="宋体" w:cs="宋体"/>
          <w:color w:val="auto"/>
          <w:kern w:val="0"/>
          <w:sz w:val="22"/>
          <w:szCs w:val="22"/>
          <w:highlight w:val="none"/>
          <w:lang w:bidi="ar"/>
        </w:rPr>
        <w:t>4、履行地点：</w:t>
      </w:r>
      <w:r>
        <w:rPr>
          <w:rFonts w:hint="eastAsia" w:ascii="宋体" w:hAnsi="宋体" w:eastAsia="宋体" w:cs="宋体"/>
          <w:color w:val="auto"/>
          <w:kern w:val="0"/>
          <w:sz w:val="22"/>
          <w:szCs w:val="22"/>
          <w:highlight w:val="none"/>
          <w:u w:val="single"/>
          <w:lang w:bidi="ar"/>
        </w:rPr>
        <w:t xml:space="preserve">        </w:t>
      </w:r>
    </w:p>
    <w:p w14:paraId="6ECEC2BE">
      <w:pPr>
        <w:keepNext w:val="0"/>
        <w:keepLines w:val="0"/>
        <w:pageBreakBefore w:val="0"/>
        <w:widowControl/>
        <w:kinsoku/>
        <w:wordWrap/>
        <w:overflowPunct/>
        <w:topLinePunct w:val="0"/>
        <w:autoSpaceDE/>
        <w:autoSpaceDN/>
        <w:bidi w:val="0"/>
        <w:adjustRightInd/>
        <w:snapToGrid/>
        <w:spacing w:line="460" w:lineRule="exact"/>
        <w:ind w:firstLine="442" w:firstLineChars="200"/>
        <w:jc w:val="left"/>
        <w:textAlignment w:val="auto"/>
        <w:outlineLvl w:val="1"/>
        <w:rPr>
          <w:rFonts w:hint="eastAsia" w:ascii="宋体" w:hAnsi="宋体" w:eastAsia="宋体" w:cs="宋体"/>
          <w:color w:val="auto"/>
          <w:sz w:val="22"/>
          <w:szCs w:val="22"/>
          <w:highlight w:val="none"/>
        </w:rPr>
      </w:pPr>
      <w:r>
        <w:rPr>
          <w:rFonts w:hint="eastAsia" w:ascii="宋体" w:hAnsi="宋体" w:eastAsia="宋体" w:cs="宋体"/>
          <w:b/>
          <w:color w:val="auto"/>
          <w:kern w:val="0"/>
          <w:sz w:val="22"/>
          <w:szCs w:val="22"/>
          <w:highlight w:val="none"/>
          <w:lang w:bidi="ar"/>
        </w:rPr>
        <w:t xml:space="preserve">（八）服务人员 </w:t>
      </w:r>
    </w:p>
    <w:p w14:paraId="2FEC9D33">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 </w:t>
      </w:r>
    </w:p>
    <w:p w14:paraId="4E761AF7">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乙方应派出</w:t>
      </w:r>
      <w:r>
        <w:rPr>
          <w:rFonts w:hint="eastAsia" w:ascii="宋体" w:hAnsi="宋体" w:eastAsia="宋体" w:cs="宋体"/>
          <w:color w:val="auto"/>
          <w:kern w:val="0"/>
          <w:sz w:val="22"/>
          <w:szCs w:val="22"/>
          <w:highlight w:val="none"/>
          <w:lang w:val="en-US" w:eastAsia="zh-CN" w:bidi="ar"/>
        </w:rPr>
        <w:t>采购</w:t>
      </w:r>
      <w:r>
        <w:rPr>
          <w:rFonts w:hint="eastAsia" w:ascii="宋体" w:hAnsi="宋体" w:eastAsia="宋体" w:cs="宋体"/>
          <w:color w:val="auto"/>
          <w:kern w:val="0"/>
          <w:sz w:val="22"/>
          <w:szCs w:val="22"/>
          <w:highlight w:val="none"/>
          <w:lang w:bidi="ar"/>
        </w:rPr>
        <w:t xml:space="preserve">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 </w:t>
      </w:r>
    </w:p>
    <w:p w14:paraId="6D43DBAA">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甲乙双方指定代表，作为履行本合同服务事宜的主要联系人。 </w:t>
      </w:r>
    </w:p>
    <w:p w14:paraId="3D9E4B5F">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甲方代表：</w:t>
      </w:r>
      <w:r>
        <w:rPr>
          <w:rFonts w:hint="eastAsia" w:ascii="宋体" w:hAnsi="宋体" w:eastAsia="宋体" w:cs="宋体"/>
          <w:color w:val="auto"/>
          <w:kern w:val="0"/>
          <w:sz w:val="22"/>
          <w:szCs w:val="22"/>
          <w:highlight w:val="none"/>
          <w:u w:val="single"/>
          <w:lang w:bidi="ar"/>
        </w:rPr>
        <w:t xml:space="preserve">              </w:t>
      </w:r>
      <w:r>
        <w:rPr>
          <w:rFonts w:hint="eastAsia" w:ascii="宋体" w:hAnsi="宋体" w:eastAsia="宋体" w:cs="宋体"/>
          <w:color w:val="auto"/>
          <w:kern w:val="0"/>
          <w:sz w:val="22"/>
          <w:szCs w:val="22"/>
          <w:highlight w:val="none"/>
          <w:lang w:bidi="ar"/>
        </w:rPr>
        <w:t>电话：</w:t>
      </w:r>
      <w:r>
        <w:rPr>
          <w:rFonts w:hint="eastAsia" w:ascii="宋体" w:hAnsi="宋体" w:eastAsia="宋体" w:cs="宋体"/>
          <w:color w:val="auto"/>
          <w:kern w:val="0"/>
          <w:sz w:val="22"/>
          <w:szCs w:val="22"/>
          <w:highlight w:val="none"/>
          <w:u w:val="single"/>
          <w:lang w:bidi="ar"/>
        </w:rPr>
        <w:t xml:space="preserve">              </w:t>
      </w:r>
      <w:r>
        <w:rPr>
          <w:rFonts w:hint="eastAsia" w:ascii="宋体" w:hAnsi="宋体" w:eastAsia="宋体" w:cs="宋体"/>
          <w:color w:val="auto"/>
          <w:kern w:val="0"/>
          <w:sz w:val="22"/>
          <w:szCs w:val="22"/>
          <w:highlight w:val="none"/>
          <w:lang w:bidi="ar"/>
        </w:rPr>
        <w:t xml:space="preserve"> </w:t>
      </w:r>
    </w:p>
    <w:p w14:paraId="463864C4">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乙方代表：</w:t>
      </w:r>
      <w:r>
        <w:rPr>
          <w:rFonts w:hint="eastAsia" w:ascii="宋体" w:hAnsi="宋体" w:eastAsia="宋体" w:cs="宋体"/>
          <w:color w:val="auto"/>
          <w:kern w:val="0"/>
          <w:sz w:val="22"/>
          <w:szCs w:val="22"/>
          <w:highlight w:val="none"/>
          <w:u w:val="single"/>
          <w:lang w:bidi="ar"/>
        </w:rPr>
        <w:t xml:space="preserve">              </w:t>
      </w:r>
      <w:r>
        <w:rPr>
          <w:rFonts w:hint="eastAsia" w:ascii="宋体" w:hAnsi="宋体" w:eastAsia="宋体" w:cs="宋体"/>
          <w:color w:val="auto"/>
          <w:kern w:val="0"/>
          <w:sz w:val="22"/>
          <w:szCs w:val="22"/>
          <w:highlight w:val="none"/>
          <w:lang w:bidi="ar"/>
        </w:rPr>
        <w:t>电话：</w:t>
      </w:r>
      <w:r>
        <w:rPr>
          <w:rFonts w:hint="eastAsia" w:ascii="宋体" w:hAnsi="宋体" w:eastAsia="宋体" w:cs="宋体"/>
          <w:color w:val="auto"/>
          <w:kern w:val="0"/>
          <w:sz w:val="22"/>
          <w:szCs w:val="22"/>
          <w:highlight w:val="none"/>
          <w:u w:val="single"/>
          <w:lang w:bidi="ar"/>
        </w:rPr>
        <w:t xml:space="preserve">              </w:t>
      </w:r>
      <w:r>
        <w:rPr>
          <w:rFonts w:hint="eastAsia" w:ascii="宋体" w:hAnsi="宋体" w:eastAsia="宋体" w:cs="宋体"/>
          <w:color w:val="auto"/>
          <w:kern w:val="0"/>
          <w:sz w:val="22"/>
          <w:szCs w:val="22"/>
          <w:highlight w:val="none"/>
          <w:lang w:bidi="ar"/>
        </w:rPr>
        <w:t xml:space="preserve"> </w:t>
      </w:r>
    </w:p>
    <w:p w14:paraId="7E13B1A5">
      <w:pPr>
        <w:keepNext w:val="0"/>
        <w:keepLines w:val="0"/>
        <w:pageBreakBefore w:val="0"/>
        <w:widowControl/>
        <w:kinsoku/>
        <w:wordWrap/>
        <w:overflowPunct/>
        <w:topLinePunct w:val="0"/>
        <w:autoSpaceDE/>
        <w:autoSpaceDN/>
        <w:bidi w:val="0"/>
        <w:adjustRightInd/>
        <w:snapToGrid/>
        <w:spacing w:line="460" w:lineRule="exact"/>
        <w:ind w:firstLine="442" w:firstLineChars="200"/>
        <w:jc w:val="left"/>
        <w:textAlignment w:val="auto"/>
        <w:outlineLvl w:val="1"/>
        <w:rPr>
          <w:rFonts w:hint="eastAsia" w:ascii="宋体" w:hAnsi="宋体" w:eastAsia="宋体" w:cs="宋体"/>
          <w:color w:val="auto"/>
          <w:sz w:val="22"/>
          <w:szCs w:val="22"/>
          <w:highlight w:val="none"/>
        </w:rPr>
      </w:pPr>
      <w:r>
        <w:rPr>
          <w:rFonts w:hint="eastAsia" w:ascii="宋体" w:hAnsi="宋体" w:eastAsia="宋体" w:cs="宋体"/>
          <w:b/>
          <w:color w:val="auto"/>
          <w:kern w:val="0"/>
          <w:sz w:val="22"/>
          <w:szCs w:val="22"/>
          <w:highlight w:val="none"/>
          <w:lang w:bidi="ar"/>
        </w:rPr>
        <w:t xml:space="preserve">（九）违约责任 </w:t>
      </w:r>
    </w:p>
    <w:p w14:paraId="572C3376">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除合同规定的不可抗力外，如果乙方没有按照合同规定的时间提供服务，甲方可要求乙方支付违约金。违约金按每周合同款的1%计收。但违约金的最高限额为合同价的5%。一周按7天计算,不足7天按一周计算。如果达到最高限额，甲方有权解除合同。  </w:t>
      </w:r>
    </w:p>
    <w:p w14:paraId="6D834723">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除合同规定的不可抗力外，如果项目终止导致甲方解除合同的，乙方可要求甲方支付已完工作量对应的合同金额。</w:t>
      </w:r>
    </w:p>
    <w:p w14:paraId="014CA721">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其他违约条款双方协商确定：</w:t>
      </w:r>
      <w:r>
        <w:rPr>
          <w:rFonts w:hint="eastAsia" w:ascii="宋体" w:hAnsi="宋体" w:eastAsia="宋体" w:cs="宋体"/>
          <w:color w:val="auto"/>
          <w:kern w:val="0"/>
          <w:sz w:val="22"/>
          <w:szCs w:val="22"/>
          <w:highlight w:val="none"/>
          <w:u w:val="single"/>
          <w:lang w:bidi="ar"/>
        </w:rPr>
        <w:t xml:space="preserve">     </w:t>
      </w:r>
      <w:r>
        <w:rPr>
          <w:rFonts w:hint="eastAsia" w:ascii="宋体" w:hAnsi="宋体" w:eastAsia="宋体" w:cs="宋体"/>
          <w:color w:val="auto"/>
          <w:kern w:val="0"/>
          <w:sz w:val="22"/>
          <w:szCs w:val="22"/>
          <w:highlight w:val="none"/>
          <w:lang w:bidi="ar"/>
        </w:rPr>
        <w:t xml:space="preserve"> </w:t>
      </w:r>
    </w:p>
    <w:p w14:paraId="1596AAFF">
      <w:pPr>
        <w:keepNext w:val="0"/>
        <w:keepLines w:val="0"/>
        <w:pageBreakBefore w:val="0"/>
        <w:widowControl/>
        <w:kinsoku/>
        <w:wordWrap/>
        <w:overflowPunct/>
        <w:topLinePunct w:val="0"/>
        <w:autoSpaceDE/>
        <w:autoSpaceDN/>
        <w:bidi w:val="0"/>
        <w:adjustRightInd/>
        <w:snapToGrid/>
        <w:spacing w:line="460" w:lineRule="exact"/>
        <w:ind w:firstLine="442" w:firstLineChars="200"/>
        <w:jc w:val="left"/>
        <w:textAlignment w:val="auto"/>
        <w:outlineLvl w:val="1"/>
        <w:rPr>
          <w:rFonts w:hint="eastAsia" w:ascii="宋体" w:hAnsi="宋体" w:eastAsia="宋体" w:cs="宋体"/>
          <w:color w:val="auto"/>
          <w:sz w:val="22"/>
          <w:szCs w:val="22"/>
          <w:highlight w:val="none"/>
        </w:rPr>
      </w:pPr>
      <w:r>
        <w:rPr>
          <w:rFonts w:hint="eastAsia" w:ascii="宋体" w:hAnsi="宋体" w:eastAsia="宋体" w:cs="宋体"/>
          <w:b/>
          <w:color w:val="auto"/>
          <w:kern w:val="0"/>
          <w:sz w:val="22"/>
          <w:szCs w:val="22"/>
          <w:highlight w:val="none"/>
          <w:lang w:bidi="ar"/>
        </w:rPr>
        <w:t xml:space="preserve">（十一）解决争议的方法 </w:t>
      </w:r>
    </w:p>
    <w:p w14:paraId="77CBD138">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因合同履行中发生的争议，可通过合同当事人双方友好协商解决。如自协商开始之起15日内得不到解决，双方应将争议提交采购监管部门调解。调解不成的，可申请 / 仲裁委员会进行仲裁或向甲方所在地辖区人民法院提起诉讼。 </w:t>
      </w:r>
    </w:p>
    <w:p w14:paraId="052F82A0">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仲裁裁决为最终裁决，当事人一方在规定时间内不履行仲裁机构裁决的，另一方可以申请人民法院强制执行。 </w:t>
      </w:r>
    </w:p>
    <w:p w14:paraId="750799D6">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仲裁费用和诉讼费用除仲裁机构或人民法院另有裁决外，应由败诉方负担。 </w:t>
      </w:r>
    </w:p>
    <w:p w14:paraId="6725C433">
      <w:pPr>
        <w:keepNext w:val="0"/>
        <w:keepLines w:val="0"/>
        <w:pageBreakBefore w:val="0"/>
        <w:widowControl/>
        <w:kinsoku/>
        <w:wordWrap/>
        <w:overflowPunct/>
        <w:topLinePunct w:val="0"/>
        <w:autoSpaceDE/>
        <w:autoSpaceDN/>
        <w:bidi w:val="0"/>
        <w:adjustRightInd/>
        <w:snapToGrid/>
        <w:spacing w:line="460" w:lineRule="exact"/>
        <w:ind w:firstLine="442" w:firstLineChars="200"/>
        <w:jc w:val="left"/>
        <w:textAlignment w:val="auto"/>
        <w:outlineLvl w:val="1"/>
        <w:rPr>
          <w:rFonts w:hint="eastAsia" w:ascii="宋体" w:hAnsi="宋体" w:eastAsia="宋体" w:cs="宋体"/>
          <w:color w:val="auto"/>
          <w:sz w:val="22"/>
          <w:szCs w:val="22"/>
          <w:highlight w:val="none"/>
        </w:rPr>
      </w:pPr>
      <w:r>
        <w:rPr>
          <w:rFonts w:hint="eastAsia" w:ascii="宋体" w:hAnsi="宋体" w:eastAsia="宋体" w:cs="宋体"/>
          <w:b/>
          <w:color w:val="auto"/>
          <w:kern w:val="0"/>
          <w:sz w:val="22"/>
          <w:szCs w:val="22"/>
          <w:highlight w:val="none"/>
          <w:lang w:bidi="ar"/>
        </w:rPr>
        <w:t xml:space="preserve">（十二）违约解除合同 </w:t>
      </w:r>
    </w:p>
    <w:p w14:paraId="5D3CC34E">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1、在乙方违约的情况下，甲方可向乙方发出书面通知，部分或全部终止合同。同时保留向乙方追诉的权利。 </w:t>
      </w:r>
    </w:p>
    <w:p w14:paraId="689F6816">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1.1 乙方未能在合同规定的限期或甲方同意延长的限期内，提供全部或部分标的物的； </w:t>
      </w:r>
    </w:p>
    <w:p w14:paraId="36EEEC5F">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1.2 乙方未能履行合同规定的其它主要义务的； </w:t>
      </w:r>
    </w:p>
    <w:p w14:paraId="4B5AC696">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1.3 甲方认为乙方在本合同履行过程中有腐败和欺诈行为的。 </w:t>
      </w:r>
    </w:p>
    <w:p w14:paraId="6CF6BCC8">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1.3.1“腐败行为”和“欺诈行为”定义如下： </w:t>
      </w:r>
    </w:p>
    <w:p w14:paraId="2211FE3C">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1.3.2“腐败行为”是指提供/给予/接受或索取任何有价值的东西来影响甲方在合同签订、履行过程中的行为。 </w:t>
      </w:r>
    </w:p>
    <w:p w14:paraId="18FA4798">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1.3.3“欺诈行为”是指为了影响合同签订、履行过程，以谎报事实的方法，损害甲方的利益的行为。 </w:t>
      </w:r>
    </w:p>
    <w:p w14:paraId="68380E4A">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2、甲方解除合同的，合同于甲方发出书面解除合同通知书送达乙方之日起解除。 </w:t>
      </w:r>
    </w:p>
    <w:p w14:paraId="27BD43E8">
      <w:pPr>
        <w:keepNext w:val="0"/>
        <w:keepLines w:val="0"/>
        <w:pageBreakBefore w:val="0"/>
        <w:widowControl/>
        <w:kinsoku/>
        <w:wordWrap/>
        <w:overflowPunct/>
        <w:topLinePunct w:val="0"/>
        <w:autoSpaceDE/>
        <w:autoSpaceDN/>
        <w:bidi w:val="0"/>
        <w:adjustRightInd/>
        <w:snapToGrid/>
        <w:spacing w:line="460" w:lineRule="exact"/>
        <w:ind w:firstLine="442" w:firstLineChars="200"/>
        <w:jc w:val="left"/>
        <w:textAlignment w:val="auto"/>
        <w:outlineLvl w:val="1"/>
        <w:rPr>
          <w:rFonts w:hint="eastAsia" w:ascii="宋体" w:hAnsi="宋体" w:eastAsia="宋体" w:cs="宋体"/>
          <w:color w:val="auto"/>
          <w:sz w:val="22"/>
          <w:szCs w:val="22"/>
          <w:highlight w:val="none"/>
        </w:rPr>
      </w:pPr>
      <w:r>
        <w:rPr>
          <w:rFonts w:hint="eastAsia" w:ascii="宋体" w:hAnsi="宋体" w:eastAsia="宋体" w:cs="宋体"/>
          <w:b/>
          <w:color w:val="auto"/>
          <w:kern w:val="0"/>
          <w:sz w:val="22"/>
          <w:szCs w:val="22"/>
          <w:highlight w:val="none"/>
          <w:lang w:bidi="ar"/>
        </w:rPr>
        <w:t xml:space="preserve">（十三）破产终止合同 </w:t>
      </w:r>
    </w:p>
    <w:p w14:paraId="63AC3343">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如果乙方破产或无清偿能力时，甲方经报同级采购监督管理部门审批后，可在任何时候以书面通知乙方，提出终止合同而不给乙方补偿。该合同的终止将不损害或不影响甲方已经采取或将要采取任何行动或补救措施的权利。 </w:t>
      </w:r>
    </w:p>
    <w:p w14:paraId="556D08A4">
      <w:pPr>
        <w:keepNext w:val="0"/>
        <w:keepLines w:val="0"/>
        <w:pageBreakBefore w:val="0"/>
        <w:widowControl/>
        <w:kinsoku/>
        <w:wordWrap/>
        <w:overflowPunct/>
        <w:topLinePunct w:val="0"/>
        <w:autoSpaceDE/>
        <w:autoSpaceDN/>
        <w:bidi w:val="0"/>
        <w:adjustRightInd/>
        <w:snapToGrid/>
        <w:spacing w:line="460" w:lineRule="exact"/>
        <w:ind w:firstLine="442" w:firstLineChars="200"/>
        <w:jc w:val="left"/>
        <w:textAlignment w:val="auto"/>
        <w:outlineLvl w:val="1"/>
        <w:rPr>
          <w:rFonts w:hint="eastAsia" w:ascii="宋体" w:hAnsi="宋体" w:eastAsia="宋体" w:cs="宋体"/>
          <w:color w:val="auto"/>
          <w:sz w:val="22"/>
          <w:szCs w:val="22"/>
          <w:highlight w:val="none"/>
        </w:rPr>
      </w:pPr>
      <w:r>
        <w:rPr>
          <w:rFonts w:hint="eastAsia" w:ascii="宋体" w:hAnsi="宋体" w:eastAsia="宋体" w:cs="宋体"/>
          <w:b/>
          <w:color w:val="auto"/>
          <w:kern w:val="0"/>
          <w:sz w:val="22"/>
          <w:szCs w:val="22"/>
          <w:highlight w:val="none"/>
          <w:lang w:bidi="ar"/>
        </w:rPr>
        <w:t xml:space="preserve">（十四）转让和分包 </w:t>
      </w:r>
    </w:p>
    <w:p w14:paraId="6593A0AD">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1、采购合同不能转让。 </w:t>
      </w:r>
    </w:p>
    <w:p w14:paraId="01281E11">
      <w:pPr>
        <w:keepNext w:val="0"/>
        <w:keepLines w:val="0"/>
        <w:pageBreakBefore w:val="0"/>
        <w:widowControl/>
        <w:kinsoku/>
        <w:wordWrap/>
        <w:overflowPunct/>
        <w:topLinePunct w:val="0"/>
        <w:autoSpaceDE/>
        <w:autoSpaceDN/>
        <w:bidi w:val="0"/>
        <w:adjustRightInd/>
        <w:snapToGrid/>
        <w:spacing w:line="460" w:lineRule="exact"/>
        <w:ind w:firstLine="442" w:firstLineChars="200"/>
        <w:jc w:val="left"/>
        <w:textAlignment w:val="auto"/>
        <w:outlineLvl w:val="1"/>
        <w:rPr>
          <w:rFonts w:hint="eastAsia" w:ascii="宋体" w:hAnsi="宋体" w:eastAsia="宋体" w:cs="宋体"/>
          <w:color w:val="auto"/>
          <w:sz w:val="22"/>
          <w:szCs w:val="22"/>
          <w:highlight w:val="none"/>
        </w:rPr>
      </w:pPr>
      <w:r>
        <w:rPr>
          <w:rFonts w:hint="eastAsia" w:ascii="宋体" w:hAnsi="宋体" w:eastAsia="宋体" w:cs="宋体"/>
          <w:b/>
          <w:color w:val="auto"/>
          <w:kern w:val="0"/>
          <w:sz w:val="22"/>
          <w:szCs w:val="22"/>
          <w:highlight w:val="none"/>
          <w:lang w:bidi="ar"/>
        </w:rPr>
        <w:t xml:space="preserve">（十五）合同变更、解除 </w:t>
      </w:r>
    </w:p>
    <w:p w14:paraId="49526DF9">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1、甲方和乙方都不得擅自变更本合同，但合同继续履行将损害国家和社会公共利益的除外。如必须对合同条款进行改动时，当事人双方须共同签署书面文件，作为合同的补充，并报同级采购监督管理部门备案。 </w:t>
      </w:r>
    </w:p>
    <w:p w14:paraId="5A62A9E5">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2、有下列情形之一的，双方协商一致可以变更合同： </w:t>
      </w:r>
    </w:p>
    <w:p w14:paraId="49F506BB">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（1）发生不可预见的紧急情况，继续按照原合同履行不能实现采购目的，又不能从其他供应商处采购； </w:t>
      </w:r>
    </w:p>
    <w:p w14:paraId="6A34DD4D">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（2）因甲方的过错导致不能实现采购目的，重新采购费用和违约金、违约损失赔偿金额占合同金额比例过大，但违背社会公共利益的除外； </w:t>
      </w:r>
    </w:p>
    <w:p w14:paraId="4650BB7A">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（3）属于合同主要条款确定的事项，但变更不改变合同实质性内容； </w:t>
      </w:r>
    </w:p>
    <w:p w14:paraId="033F1629">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（4）合同主要条款以外的内容； </w:t>
      </w:r>
    </w:p>
    <w:p w14:paraId="4935CA48">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（5）法律、法规规定可以变更合同的其他情形。 </w:t>
      </w:r>
    </w:p>
    <w:p w14:paraId="318B853E">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3、有下列情形之一的，采购合同的双方当事人可以解除合同： </w:t>
      </w:r>
    </w:p>
    <w:p w14:paraId="2E23E975">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（1）因不可抗力致使不能实现合同目的； </w:t>
      </w:r>
    </w:p>
    <w:p w14:paraId="33EC48CA">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（2）在履行期限届满之前，乙方明确表示或者以自己的行为表示不履行主要义务； </w:t>
      </w:r>
    </w:p>
    <w:p w14:paraId="64AA47E6">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（3）乙方迟延履行主要义务，经催告后在合理期限内仍未履行； </w:t>
      </w:r>
    </w:p>
    <w:p w14:paraId="38BE3A90">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（4）乙方迟延履行义务或者有其他违约行为致使不能实现合同目的； </w:t>
      </w:r>
    </w:p>
    <w:p w14:paraId="01A76795">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（5）乙方转包，或者未经甲方同意采取分包方式履行合同； </w:t>
      </w:r>
    </w:p>
    <w:p w14:paraId="219DCF25">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（6）法律、法规规定的其他情形。  </w:t>
      </w:r>
    </w:p>
    <w:p w14:paraId="4361A629">
      <w:pPr>
        <w:keepNext w:val="0"/>
        <w:keepLines w:val="0"/>
        <w:pageBreakBefore w:val="0"/>
        <w:widowControl/>
        <w:kinsoku/>
        <w:wordWrap/>
        <w:overflowPunct/>
        <w:topLinePunct w:val="0"/>
        <w:autoSpaceDE/>
        <w:autoSpaceDN/>
        <w:bidi w:val="0"/>
        <w:adjustRightInd/>
        <w:snapToGrid/>
        <w:spacing w:line="460" w:lineRule="exact"/>
        <w:ind w:firstLine="442" w:firstLineChars="200"/>
        <w:jc w:val="left"/>
        <w:textAlignment w:val="auto"/>
        <w:outlineLvl w:val="1"/>
        <w:rPr>
          <w:rFonts w:hint="eastAsia" w:ascii="宋体" w:hAnsi="宋体" w:eastAsia="宋体" w:cs="宋体"/>
          <w:color w:val="auto"/>
          <w:sz w:val="22"/>
          <w:szCs w:val="22"/>
          <w:highlight w:val="none"/>
        </w:rPr>
      </w:pPr>
      <w:r>
        <w:rPr>
          <w:rFonts w:hint="eastAsia" w:ascii="宋体" w:hAnsi="宋体" w:eastAsia="宋体" w:cs="宋体"/>
          <w:b/>
          <w:color w:val="auto"/>
          <w:kern w:val="0"/>
          <w:sz w:val="22"/>
          <w:szCs w:val="22"/>
          <w:highlight w:val="none"/>
          <w:lang w:bidi="ar"/>
        </w:rPr>
        <w:t xml:space="preserve">（十六）通知 </w:t>
      </w:r>
    </w:p>
    <w:p w14:paraId="64F2149A">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本合同任何一方给另一方的通知，都应以书面形式发送，而另一方也应以书面形式确认并发送到对方明确的地址。 </w:t>
      </w:r>
    </w:p>
    <w:p w14:paraId="24FCEEFD">
      <w:pPr>
        <w:keepNext w:val="0"/>
        <w:keepLines w:val="0"/>
        <w:pageBreakBefore w:val="0"/>
        <w:widowControl/>
        <w:kinsoku/>
        <w:wordWrap/>
        <w:overflowPunct/>
        <w:topLinePunct w:val="0"/>
        <w:autoSpaceDE/>
        <w:autoSpaceDN/>
        <w:bidi w:val="0"/>
        <w:adjustRightInd/>
        <w:snapToGrid/>
        <w:spacing w:line="460" w:lineRule="exact"/>
        <w:ind w:firstLine="442" w:firstLineChars="200"/>
        <w:jc w:val="left"/>
        <w:textAlignment w:val="auto"/>
        <w:outlineLvl w:val="1"/>
        <w:rPr>
          <w:rFonts w:hint="eastAsia" w:ascii="宋体" w:hAnsi="宋体" w:eastAsia="宋体" w:cs="宋体"/>
          <w:color w:val="auto"/>
          <w:sz w:val="22"/>
          <w:szCs w:val="22"/>
          <w:highlight w:val="none"/>
        </w:rPr>
      </w:pPr>
      <w:r>
        <w:rPr>
          <w:rFonts w:hint="eastAsia" w:ascii="宋体" w:hAnsi="宋体" w:eastAsia="宋体" w:cs="宋体"/>
          <w:b/>
          <w:color w:val="auto"/>
          <w:kern w:val="0"/>
          <w:sz w:val="22"/>
          <w:szCs w:val="22"/>
          <w:highlight w:val="none"/>
          <w:lang w:bidi="ar"/>
        </w:rPr>
        <w:t xml:space="preserve">（十七）计量单位 </w:t>
      </w:r>
    </w:p>
    <w:p w14:paraId="61EE6475">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除技术规范中另有规定外，计量单位均使用国家法定计量单位。 </w:t>
      </w:r>
    </w:p>
    <w:p w14:paraId="1FEEE820">
      <w:pPr>
        <w:keepNext w:val="0"/>
        <w:keepLines w:val="0"/>
        <w:pageBreakBefore w:val="0"/>
        <w:widowControl/>
        <w:kinsoku/>
        <w:wordWrap/>
        <w:overflowPunct/>
        <w:topLinePunct w:val="0"/>
        <w:autoSpaceDE/>
        <w:autoSpaceDN/>
        <w:bidi w:val="0"/>
        <w:adjustRightInd/>
        <w:snapToGrid/>
        <w:spacing w:line="460" w:lineRule="exact"/>
        <w:ind w:firstLine="442" w:firstLineChars="200"/>
        <w:jc w:val="left"/>
        <w:textAlignment w:val="auto"/>
        <w:outlineLvl w:val="1"/>
        <w:rPr>
          <w:rFonts w:hint="eastAsia" w:ascii="宋体" w:hAnsi="宋体" w:eastAsia="宋体" w:cs="宋体"/>
          <w:color w:val="auto"/>
          <w:sz w:val="22"/>
          <w:szCs w:val="22"/>
          <w:highlight w:val="none"/>
        </w:rPr>
      </w:pPr>
      <w:r>
        <w:rPr>
          <w:rFonts w:hint="eastAsia" w:ascii="宋体" w:hAnsi="宋体" w:eastAsia="宋体" w:cs="宋体"/>
          <w:b/>
          <w:color w:val="auto"/>
          <w:kern w:val="0"/>
          <w:sz w:val="22"/>
          <w:szCs w:val="22"/>
          <w:highlight w:val="none"/>
          <w:lang w:bidi="ar"/>
        </w:rPr>
        <w:t xml:space="preserve">（十八）不可抗力 </w:t>
      </w:r>
    </w:p>
    <w:p w14:paraId="245078B6">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1、如果双方中任何一方遭遇法律规定的不可抗力，致使合同履行受阻时，履行合同的期限应予延长，延长的期限应相当于不可抗力所影响的时间。 </w:t>
      </w:r>
    </w:p>
    <w:p w14:paraId="1B1767D0">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2、受事故影响的一方应在不可抗力的事故发生后尽快书面形式通知另一方，并在事故发生后合同规定时间内，将有关部门出具的证明文件送达另一方。 </w:t>
      </w:r>
    </w:p>
    <w:p w14:paraId="5102D3A1">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3、不可抗力使合同的某些内容有变更必要的，双方应通过协商达成进一步履行合同的协议，因不可抗力致使合同不能履行的，合同终止。 </w:t>
      </w:r>
    </w:p>
    <w:p w14:paraId="48A9D705">
      <w:pPr>
        <w:keepNext w:val="0"/>
        <w:keepLines w:val="0"/>
        <w:pageBreakBefore w:val="0"/>
        <w:widowControl/>
        <w:kinsoku/>
        <w:wordWrap/>
        <w:overflowPunct/>
        <w:topLinePunct w:val="0"/>
        <w:autoSpaceDE/>
        <w:autoSpaceDN/>
        <w:bidi w:val="0"/>
        <w:adjustRightInd/>
        <w:snapToGrid/>
        <w:spacing w:line="460" w:lineRule="exact"/>
        <w:ind w:firstLine="442" w:firstLineChars="200"/>
        <w:jc w:val="left"/>
        <w:textAlignment w:val="auto"/>
        <w:outlineLvl w:val="1"/>
        <w:rPr>
          <w:rFonts w:hint="eastAsia" w:ascii="宋体" w:hAnsi="宋体" w:eastAsia="宋体" w:cs="宋体"/>
          <w:color w:val="auto"/>
          <w:sz w:val="22"/>
          <w:szCs w:val="22"/>
          <w:highlight w:val="none"/>
        </w:rPr>
      </w:pPr>
      <w:r>
        <w:rPr>
          <w:rFonts w:hint="eastAsia" w:ascii="宋体" w:hAnsi="宋体" w:eastAsia="宋体" w:cs="宋体"/>
          <w:b/>
          <w:color w:val="auto"/>
          <w:kern w:val="0"/>
          <w:sz w:val="22"/>
          <w:szCs w:val="22"/>
          <w:highlight w:val="none"/>
          <w:lang w:bidi="ar"/>
        </w:rPr>
        <w:t xml:space="preserve">（十九）适用 </w:t>
      </w:r>
    </w:p>
    <w:p w14:paraId="25C828C7">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本合同应按照《中华人民共和国政府采购法》、《中华人民共和国民法典》等相关法律法规进行解释。 </w:t>
      </w:r>
    </w:p>
    <w:p w14:paraId="6E125D17">
      <w:pPr>
        <w:keepNext w:val="0"/>
        <w:keepLines w:val="0"/>
        <w:pageBreakBefore w:val="0"/>
        <w:widowControl/>
        <w:kinsoku/>
        <w:wordWrap/>
        <w:overflowPunct/>
        <w:topLinePunct w:val="0"/>
        <w:autoSpaceDE/>
        <w:autoSpaceDN/>
        <w:bidi w:val="0"/>
        <w:adjustRightInd/>
        <w:snapToGrid/>
        <w:spacing w:line="460" w:lineRule="exact"/>
        <w:ind w:firstLine="442" w:firstLineChars="200"/>
        <w:jc w:val="left"/>
        <w:textAlignment w:val="auto"/>
        <w:outlineLvl w:val="1"/>
        <w:rPr>
          <w:rFonts w:hint="eastAsia" w:ascii="宋体" w:hAnsi="宋体" w:eastAsia="宋体" w:cs="宋体"/>
          <w:color w:val="auto"/>
          <w:sz w:val="22"/>
          <w:szCs w:val="22"/>
          <w:highlight w:val="none"/>
        </w:rPr>
      </w:pPr>
      <w:r>
        <w:rPr>
          <w:rFonts w:hint="eastAsia" w:ascii="宋体" w:hAnsi="宋体" w:eastAsia="宋体" w:cs="宋体"/>
          <w:b/>
          <w:color w:val="auto"/>
          <w:kern w:val="0"/>
          <w:sz w:val="22"/>
          <w:szCs w:val="22"/>
          <w:highlight w:val="none"/>
          <w:lang w:bidi="ar"/>
        </w:rPr>
        <w:t xml:space="preserve">（二十）合同的生效及其他 </w:t>
      </w:r>
    </w:p>
    <w:p w14:paraId="4E87952A">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采购项目的采购合同内容的确定应以采购文件和</w:t>
      </w:r>
      <w:r>
        <w:rPr>
          <w:rFonts w:hint="eastAsia" w:ascii="宋体" w:hAnsi="宋体" w:eastAsia="宋体" w:cs="宋体"/>
          <w:color w:val="auto"/>
          <w:kern w:val="0"/>
          <w:sz w:val="22"/>
          <w:szCs w:val="22"/>
          <w:highlight w:val="none"/>
          <w:lang w:val="en-US" w:eastAsia="zh-CN" w:bidi="ar"/>
        </w:rPr>
        <w:t>采购</w:t>
      </w:r>
      <w:r>
        <w:rPr>
          <w:rFonts w:hint="eastAsia" w:ascii="宋体" w:hAnsi="宋体" w:eastAsia="宋体" w:cs="宋体"/>
          <w:color w:val="auto"/>
          <w:kern w:val="0"/>
          <w:sz w:val="22"/>
          <w:szCs w:val="22"/>
          <w:highlight w:val="none"/>
          <w:lang w:bidi="ar"/>
        </w:rPr>
        <w:t xml:space="preserve">文件为基础，不得违背其实质性内容。 </w:t>
      </w:r>
    </w:p>
    <w:p w14:paraId="05659FD8">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合同将在双方签字盖章后开始生效。授权代表签署的后附法定代表人授权书。 </w:t>
      </w:r>
    </w:p>
    <w:bookmarkEnd w:id="57"/>
    <w:bookmarkEnd w:id="58"/>
    <w:p w14:paraId="7F9749D5">
      <w:pPr>
        <w:keepNext w:val="0"/>
        <w:keepLines w:val="0"/>
        <w:pageBreakBefore w:val="0"/>
        <w:widowControl/>
        <w:kinsoku/>
        <w:wordWrap/>
        <w:overflowPunct/>
        <w:topLinePunct w:val="0"/>
        <w:autoSpaceDE/>
        <w:autoSpaceDN/>
        <w:bidi w:val="0"/>
        <w:adjustRightInd/>
        <w:snapToGrid/>
        <w:spacing w:line="460" w:lineRule="exact"/>
        <w:ind w:firstLine="442" w:firstLineChars="200"/>
        <w:jc w:val="left"/>
        <w:textAlignment w:val="auto"/>
        <w:outlineLvl w:val="1"/>
        <w:rPr>
          <w:rFonts w:hint="eastAsia" w:ascii="宋体" w:hAnsi="宋体" w:eastAsia="宋体" w:cs="宋体"/>
          <w:color w:val="auto"/>
          <w:sz w:val="22"/>
          <w:szCs w:val="22"/>
          <w:highlight w:val="none"/>
        </w:rPr>
      </w:pPr>
      <w:r>
        <w:rPr>
          <w:rFonts w:hint="eastAsia" w:ascii="宋体" w:hAnsi="宋体" w:eastAsia="宋体" w:cs="宋体"/>
          <w:b/>
          <w:color w:val="auto"/>
          <w:kern w:val="0"/>
          <w:sz w:val="22"/>
          <w:szCs w:val="22"/>
          <w:highlight w:val="none"/>
          <w:lang w:bidi="ar"/>
        </w:rPr>
        <w:t xml:space="preserve">（二十一）合同附件（如有） </w:t>
      </w:r>
    </w:p>
    <w:p w14:paraId="0D097ACF">
      <w:pPr>
        <w:keepNext w:val="0"/>
        <w:keepLines w:val="0"/>
        <w:pageBreakBefore w:val="0"/>
        <w:widowControl/>
        <w:kinsoku/>
        <w:wordWrap/>
        <w:overflowPunct/>
        <w:topLinePunct w:val="0"/>
        <w:autoSpaceDE/>
        <w:autoSpaceDN/>
        <w:bidi w:val="0"/>
        <w:adjustRightInd/>
        <w:snapToGrid/>
        <w:spacing w:line="460" w:lineRule="exact"/>
        <w:ind w:firstLine="442" w:firstLineChars="200"/>
        <w:jc w:val="left"/>
        <w:textAlignment w:val="auto"/>
        <w:outlineLvl w:val="1"/>
        <w:rPr>
          <w:rFonts w:hint="eastAsia" w:ascii="宋体" w:hAnsi="宋体" w:eastAsia="宋体" w:cs="宋体"/>
          <w:color w:val="auto"/>
          <w:sz w:val="22"/>
          <w:szCs w:val="22"/>
          <w:highlight w:val="none"/>
        </w:rPr>
      </w:pPr>
      <w:r>
        <w:rPr>
          <w:rFonts w:hint="eastAsia" w:ascii="宋体" w:hAnsi="宋体" w:eastAsia="宋体" w:cs="宋体"/>
          <w:b/>
          <w:color w:val="auto"/>
          <w:kern w:val="0"/>
          <w:sz w:val="22"/>
          <w:szCs w:val="22"/>
          <w:highlight w:val="none"/>
          <w:lang w:bidi="ar"/>
        </w:rPr>
        <w:t xml:space="preserve">（二十二）合同份数 </w:t>
      </w:r>
    </w:p>
    <w:p w14:paraId="23D0EA73">
      <w:pPr>
        <w:keepNext w:val="0"/>
        <w:keepLines w:val="0"/>
        <w:pageBreakBefore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本合同一式五份，具同等法律效力。甲方、乙方双方各执二份，采购代理机构一份。</w:t>
      </w:r>
    </w:p>
    <w:p w14:paraId="3B01009B">
      <w:pPr>
        <w:keepNext w:val="0"/>
        <w:keepLines w:val="0"/>
        <w:pageBreakBefore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color w:val="auto"/>
          <w:sz w:val="22"/>
          <w:szCs w:val="22"/>
          <w:highlight w:val="none"/>
        </w:rPr>
      </w:pPr>
    </w:p>
    <w:p w14:paraId="6B757C40">
      <w:pPr>
        <w:keepNext w:val="0"/>
        <w:keepLines w:val="0"/>
        <w:pageBreakBefore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甲方：(印章)                                  乙方：(印章)</w:t>
      </w:r>
    </w:p>
    <w:p w14:paraId="549FA918">
      <w:pPr>
        <w:keepNext w:val="0"/>
        <w:keepLines w:val="0"/>
        <w:pageBreakBefore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法定代表人/授权代表(签字)：                   法定代表人/授权代表(签字)：</w:t>
      </w:r>
    </w:p>
    <w:p w14:paraId="69D79B71">
      <w:pPr>
        <w:keepNext w:val="0"/>
        <w:keepLines w:val="0"/>
        <w:pageBreakBefore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联系电话：                                    联系电话：</w:t>
      </w:r>
    </w:p>
    <w:p w14:paraId="49B90C17">
      <w:pPr>
        <w:keepNext w:val="0"/>
        <w:keepLines w:val="0"/>
        <w:pageBreakBefore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                                    开户银行：</w:t>
      </w:r>
    </w:p>
    <w:p w14:paraId="09E628A4">
      <w:pPr>
        <w:keepNext w:val="0"/>
        <w:keepLines w:val="0"/>
        <w:pageBreakBefore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开户名称：                                    开户名称： </w:t>
      </w:r>
    </w:p>
    <w:p w14:paraId="0DBED494">
      <w:pPr>
        <w:keepNext w:val="0"/>
        <w:keepLines w:val="0"/>
        <w:pageBreakBefore w:val="0"/>
        <w:kinsoku/>
        <w:wordWrap/>
        <w:overflowPunct/>
        <w:topLinePunct w:val="0"/>
        <w:autoSpaceDE/>
        <w:autoSpaceDN/>
        <w:bidi w:val="0"/>
        <w:adjustRightInd/>
        <w:snapToGrid/>
        <w:spacing w:line="460" w:lineRule="exact"/>
        <w:ind w:firstLine="482"/>
        <w:textAlignment w:val="auto"/>
        <w:rPr>
          <w:rFonts w:hint="eastAsia" w:ascii="仿宋" w:hAnsi="仿宋" w:eastAsia="仿宋" w:cs="仿宋_GB2312"/>
          <w:color w:val="auto"/>
          <w:kern w:val="0"/>
          <w:sz w:val="24"/>
          <w:highlight w:val="none"/>
        </w:rPr>
      </w:pPr>
      <w:r>
        <w:rPr>
          <w:rFonts w:hint="eastAsia" w:ascii="宋体" w:hAnsi="宋体" w:eastAsia="宋体" w:cs="宋体"/>
          <w:color w:val="auto"/>
          <w:sz w:val="22"/>
          <w:szCs w:val="22"/>
          <w:highlight w:val="none"/>
        </w:rPr>
        <w:t>账号：                                        账号：</w:t>
      </w:r>
    </w:p>
    <w:p w14:paraId="570220AF">
      <w:pPr>
        <w:widowControl/>
        <w:spacing w:line="460" w:lineRule="exact"/>
        <w:rPr>
          <w:rFonts w:hint="eastAsia" w:ascii="新宋体" w:hAnsi="新宋体" w:eastAsia="新宋体" w:cs="新宋体"/>
          <w:b/>
          <w:bCs/>
          <w:color w:val="auto"/>
          <w:kern w:val="0"/>
          <w:sz w:val="22"/>
          <w:szCs w:val="22"/>
          <w:highlight w:val="none"/>
        </w:rPr>
      </w:pPr>
    </w:p>
    <w:p w14:paraId="3CD4B2F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注：本合同作为示范文本，具体以中标供应商与采购人所签定正式合同为准。</w:t>
      </w:r>
    </w:p>
    <w:p w14:paraId="2DC2BD26">
      <w:pPr>
        <w:rPr>
          <w:color w:val="auto"/>
          <w:highlight w:val="none"/>
        </w:rPr>
      </w:pPr>
    </w:p>
    <w:p w14:paraId="7D5C0E57">
      <w:pPr>
        <w:spacing w:line="460" w:lineRule="exact"/>
        <w:rPr>
          <w:rFonts w:hint="eastAsia" w:ascii="新宋体" w:hAnsi="新宋体" w:eastAsia="新宋体" w:cs="新宋体"/>
          <w:color w:val="auto"/>
          <w:sz w:val="22"/>
          <w:szCs w:val="22"/>
          <w:highlight w:val="none"/>
        </w:rPr>
      </w:pPr>
    </w:p>
    <w:p w14:paraId="3DA982EF">
      <w:pPr>
        <w:rPr>
          <w:rFonts w:hint="eastAsia" w:ascii="新宋体" w:hAnsi="新宋体" w:eastAsia="新宋体" w:cs="新宋体"/>
          <w:color w:val="auto"/>
          <w:highlight w:val="none"/>
        </w:rPr>
      </w:pPr>
    </w:p>
    <w:p w14:paraId="43C80B38">
      <w:pPr>
        <w:pStyle w:val="10"/>
        <w:spacing w:line="460" w:lineRule="exact"/>
        <w:ind w:left="433" w:leftChars="206" w:firstLine="0" w:firstLineChars="0"/>
        <w:jc w:val="center"/>
        <w:rPr>
          <w:rFonts w:hint="eastAsia" w:ascii="新宋体" w:hAnsi="新宋体" w:eastAsia="新宋体" w:cs="新宋体"/>
          <w:b/>
          <w:color w:val="auto"/>
          <w:sz w:val="30"/>
          <w:highlight w:val="none"/>
        </w:rPr>
      </w:pPr>
    </w:p>
    <w:p w14:paraId="6AD9CCDC">
      <w:pPr>
        <w:pStyle w:val="10"/>
        <w:spacing w:line="460" w:lineRule="exact"/>
        <w:ind w:left="433" w:leftChars="206" w:firstLine="0" w:firstLineChars="0"/>
        <w:jc w:val="center"/>
        <w:rPr>
          <w:rFonts w:hint="eastAsia" w:ascii="新宋体" w:hAnsi="新宋体" w:eastAsia="新宋体" w:cs="新宋体"/>
          <w:b/>
          <w:color w:val="auto"/>
          <w:sz w:val="30"/>
          <w:highlight w:val="none"/>
        </w:rPr>
      </w:pPr>
    </w:p>
    <w:p w14:paraId="3E847D82">
      <w:pPr>
        <w:pStyle w:val="10"/>
        <w:spacing w:line="460" w:lineRule="exact"/>
        <w:ind w:left="433" w:leftChars="206" w:firstLine="0" w:firstLineChars="0"/>
        <w:jc w:val="center"/>
        <w:rPr>
          <w:rFonts w:hint="eastAsia" w:ascii="新宋体" w:hAnsi="新宋体" w:eastAsia="新宋体" w:cs="新宋体"/>
          <w:b/>
          <w:color w:val="auto"/>
          <w:sz w:val="30"/>
          <w:highlight w:val="none"/>
        </w:rPr>
      </w:pPr>
    </w:p>
    <w:p w14:paraId="3037C1AA">
      <w:pPr>
        <w:pStyle w:val="10"/>
        <w:spacing w:line="460" w:lineRule="exact"/>
        <w:ind w:left="433" w:leftChars="206" w:firstLine="0" w:firstLineChars="0"/>
        <w:jc w:val="center"/>
        <w:outlineLvl w:val="0"/>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br w:type="page"/>
      </w:r>
      <w:bookmarkStart w:id="59" w:name="_Toc8582"/>
      <w:r>
        <w:rPr>
          <w:rFonts w:hint="eastAsia" w:ascii="新宋体" w:hAnsi="新宋体" w:eastAsia="新宋体" w:cs="新宋体"/>
          <w:b/>
          <w:color w:val="auto"/>
          <w:sz w:val="30"/>
          <w:highlight w:val="none"/>
        </w:rPr>
        <w:t>第三部分 附件</w:t>
      </w:r>
      <w:bookmarkEnd w:id="59"/>
    </w:p>
    <w:p w14:paraId="612C9F46">
      <w:pPr>
        <w:pStyle w:val="10"/>
        <w:spacing w:line="460" w:lineRule="exact"/>
        <w:ind w:left="433" w:hanging="433" w:hangingChars="196"/>
        <w:outlineLvl w:val="1"/>
        <w:rPr>
          <w:rFonts w:hint="eastAsia" w:ascii="新宋体" w:hAnsi="新宋体" w:eastAsia="新宋体" w:cs="新宋体"/>
          <w:b/>
          <w:color w:val="auto"/>
          <w:sz w:val="22"/>
          <w:highlight w:val="none"/>
        </w:rPr>
      </w:pPr>
      <w:bookmarkStart w:id="60" w:name="_Toc20770"/>
      <w:bookmarkStart w:id="61" w:name="_Toc11602"/>
      <w:bookmarkStart w:id="62" w:name="_Toc2293"/>
      <w:r>
        <w:rPr>
          <w:rFonts w:hint="eastAsia" w:ascii="新宋体" w:hAnsi="新宋体" w:eastAsia="新宋体" w:cs="新宋体"/>
          <w:b/>
          <w:color w:val="auto"/>
          <w:sz w:val="22"/>
          <w:highlight w:val="none"/>
        </w:rPr>
        <w:t>附件一</w:t>
      </w:r>
      <w:bookmarkEnd w:id="60"/>
      <w:bookmarkEnd w:id="61"/>
      <w:bookmarkEnd w:id="62"/>
    </w:p>
    <w:p w14:paraId="0BA5A1D7">
      <w:pPr>
        <w:spacing w:line="400" w:lineRule="exact"/>
        <w:jc w:val="center"/>
        <w:outlineLvl w:val="2"/>
        <w:rPr>
          <w:rFonts w:hint="eastAsia" w:ascii="新宋体" w:hAnsi="新宋体" w:eastAsia="新宋体" w:cs="新宋体"/>
          <w:b/>
          <w:bCs/>
          <w:color w:val="auto"/>
          <w:sz w:val="28"/>
          <w:szCs w:val="28"/>
          <w:highlight w:val="none"/>
          <w:lang w:val="zh-CN"/>
        </w:rPr>
      </w:pPr>
      <w:bookmarkStart w:id="63" w:name="_Toc6439"/>
      <w:bookmarkStart w:id="64" w:name="_Toc23748"/>
      <w:bookmarkStart w:id="65" w:name="_Toc32038"/>
      <w:r>
        <w:rPr>
          <w:rFonts w:hint="eastAsia" w:ascii="新宋体" w:hAnsi="新宋体" w:eastAsia="新宋体" w:cs="新宋体"/>
          <w:b/>
          <w:bCs/>
          <w:color w:val="auto"/>
          <w:sz w:val="28"/>
          <w:szCs w:val="28"/>
          <w:highlight w:val="none"/>
          <w:lang w:val="zh-CN"/>
        </w:rPr>
        <w:t>投标函</w:t>
      </w:r>
      <w:bookmarkEnd w:id="63"/>
      <w:bookmarkEnd w:id="64"/>
      <w:bookmarkEnd w:id="65"/>
    </w:p>
    <w:p w14:paraId="0D68C0F5">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致：温州市工睿实业有限公司</w:t>
      </w:r>
    </w:p>
    <w:p w14:paraId="315A189C">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根据贵方为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项目（项目编号：</w:t>
      </w:r>
      <w:r>
        <w:rPr>
          <w:rFonts w:hint="eastAsia" w:ascii="新宋体" w:hAnsi="新宋体" w:eastAsia="新宋体" w:cs="新宋体"/>
          <w:b/>
          <w:color w:val="auto"/>
          <w:sz w:val="22"/>
          <w:szCs w:val="22"/>
          <w:highlight w:val="none"/>
          <w:u w:val="single"/>
        </w:rPr>
        <w:t xml:space="preserve">        </w:t>
      </w:r>
      <w:r>
        <w:rPr>
          <w:rFonts w:hint="eastAsia" w:ascii="新宋体" w:hAnsi="新宋体" w:eastAsia="新宋体" w:cs="新宋体"/>
          <w:b/>
          <w:color w:val="auto"/>
          <w:sz w:val="22"/>
          <w:szCs w:val="22"/>
          <w:highlight w:val="none"/>
        </w:rPr>
        <w:t xml:space="preserve"> </w:t>
      </w:r>
      <w:r>
        <w:rPr>
          <w:rFonts w:hint="eastAsia" w:ascii="新宋体" w:hAnsi="新宋体" w:eastAsia="新宋体" w:cs="新宋体"/>
          <w:color w:val="auto"/>
          <w:sz w:val="22"/>
          <w:szCs w:val="22"/>
          <w:highlight w:val="none"/>
        </w:rPr>
        <w:t>）的投标邀请，我方</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（投标人名称）作为投标人正式授权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（授权代表全名，职务）代表我方处理有关本投标的一切事宜。</w:t>
      </w:r>
    </w:p>
    <w:p w14:paraId="7A1E24D1">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在此提交的投标文件中，包括如下内容，并已分别单独密封装袋：</w:t>
      </w:r>
    </w:p>
    <w:p w14:paraId="04DDD4E4">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（—）按“投标人须知”要求编制的投标文件技术标【正本一份，副本</w:t>
      </w:r>
      <w:r>
        <w:rPr>
          <w:rFonts w:hint="eastAsia" w:ascii="新宋体" w:hAnsi="新宋体" w:eastAsia="新宋体" w:cs="新宋体"/>
          <w:color w:val="auto"/>
          <w:sz w:val="22"/>
          <w:szCs w:val="22"/>
          <w:highlight w:val="none"/>
          <w:lang w:val="en-US" w:eastAsia="zh-CN"/>
        </w:rPr>
        <w:t>伍</w:t>
      </w:r>
      <w:r>
        <w:rPr>
          <w:rFonts w:hint="eastAsia" w:ascii="新宋体" w:hAnsi="新宋体" w:eastAsia="新宋体" w:cs="新宋体"/>
          <w:color w:val="auto"/>
          <w:sz w:val="22"/>
          <w:szCs w:val="22"/>
          <w:highlight w:val="none"/>
        </w:rPr>
        <w:t>份】；</w:t>
      </w:r>
    </w:p>
    <w:p w14:paraId="35C796DE">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（二）按“投标人须知”要求编制的投标文件商务标【正本一份，副本</w:t>
      </w:r>
      <w:r>
        <w:rPr>
          <w:rFonts w:hint="eastAsia" w:ascii="新宋体" w:hAnsi="新宋体" w:eastAsia="新宋体" w:cs="新宋体"/>
          <w:color w:val="auto"/>
          <w:sz w:val="22"/>
          <w:szCs w:val="22"/>
          <w:highlight w:val="none"/>
          <w:lang w:val="en-US" w:eastAsia="zh-CN"/>
        </w:rPr>
        <w:t>伍</w:t>
      </w:r>
      <w:r>
        <w:rPr>
          <w:rFonts w:hint="eastAsia" w:ascii="新宋体" w:hAnsi="新宋体" w:eastAsia="新宋体" w:cs="新宋体"/>
          <w:color w:val="auto"/>
          <w:sz w:val="22"/>
          <w:szCs w:val="22"/>
          <w:highlight w:val="none"/>
        </w:rPr>
        <w:t>份】</w:t>
      </w:r>
    </w:p>
    <w:p w14:paraId="04CC9080">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我方</w:t>
      </w:r>
      <w:r>
        <w:rPr>
          <w:rFonts w:hint="eastAsia" w:ascii="新宋体" w:hAnsi="新宋体" w:eastAsia="新宋体" w:cs="新宋体"/>
          <w:color w:val="auto"/>
          <w:sz w:val="22"/>
          <w:szCs w:val="22"/>
          <w:highlight w:val="none"/>
          <w:lang w:eastAsia="zh-CN"/>
        </w:rPr>
        <w:t>已完全</w:t>
      </w:r>
      <w:r>
        <w:rPr>
          <w:rFonts w:hint="eastAsia" w:ascii="新宋体" w:hAnsi="新宋体" w:eastAsia="新宋体" w:cs="新宋体"/>
          <w:color w:val="auto"/>
          <w:sz w:val="22"/>
          <w:szCs w:val="22"/>
          <w:highlight w:val="none"/>
        </w:rPr>
        <w:t>明白采购文件的所有条款要求，并重申以下几点：</w:t>
      </w:r>
    </w:p>
    <w:p w14:paraId="184AB007">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（一）本投标文件的有效期自投标截止日起</w:t>
      </w:r>
      <w:r>
        <w:rPr>
          <w:rFonts w:hint="eastAsia" w:ascii="新宋体" w:hAnsi="新宋体" w:eastAsia="新宋体" w:cs="新宋体"/>
          <w:b/>
          <w:color w:val="auto"/>
          <w:sz w:val="22"/>
          <w:szCs w:val="22"/>
          <w:highlight w:val="none"/>
        </w:rPr>
        <w:t>90天内</w:t>
      </w:r>
      <w:r>
        <w:rPr>
          <w:rFonts w:hint="eastAsia" w:ascii="新宋体" w:hAnsi="新宋体" w:eastAsia="新宋体" w:cs="新宋体"/>
          <w:color w:val="auto"/>
          <w:sz w:val="22"/>
          <w:szCs w:val="22"/>
          <w:highlight w:val="none"/>
        </w:rPr>
        <w:t>有效，如中标，有效期将延至合同终止日为止；</w:t>
      </w:r>
    </w:p>
    <w:p w14:paraId="639CE89C">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（二）我方已详细研究了采购文件的所有内容包括修改书（如有）和所有已提供的参考资料以及有关附件，我方完全理解并同意放弃在此方面提出含糊意见或误解的一切权力；</w:t>
      </w:r>
    </w:p>
    <w:p w14:paraId="762CE56B">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（三）我方明白并愿意在规定的开标时间之后，投标人在投标有效期内撤回投标，其投标保证金将被贵方没收；</w:t>
      </w:r>
    </w:p>
    <w:p w14:paraId="50BBF064">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（四）我方同意提供按照贵方可能要求的与投标有关的一切数据或资料；</w:t>
      </w:r>
    </w:p>
    <w:p w14:paraId="23EFA663">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（五）我方理解贵方不一定接受最低报价。</w:t>
      </w:r>
    </w:p>
    <w:p w14:paraId="4A7A76E3">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（六）我方如果中标，将保证履行采购文件以及采购文件修改书（如有）中的全部责任和义务，按质、按量、按期完成《合同书》中的全部任务。</w:t>
      </w:r>
    </w:p>
    <w:p w14:paraId="1F03F354">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（七）所有与本投标有关的函件请发往下列地址：</w:t>
      </w:r>
    </w:p>
    <w:p w14:paraId="5A2AB919">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w:t>
      </w:r>
      <w:r>
        <w:rPr>
          <w:rFonts w:hint="eastAsia" w:ascii="新宋体" w:hAnsi="新宋体" w:eastAsia="新宋体" w:cs="新宋体"/>
          <w:color w:val="auto"/>
          <w:sz w:val="22"/>
          <w:szCs w:val="22"/>
          <w:highlight w:val="none"/>
          <w:u w:val="single"/>
        </w:rPr>
        <w:t xml:space="preserve">                           </w:t>
      </w:r>
    </w:p>
    <w:p w14:paraId="5D7DC2E7">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w:t>
      </w:r>
      <w:r>
        <w:rPr>
          <w:rFonts w:hint="eastAsia" w:ascii="新宋体" w:hAnsi="新宋体" w:eastAsia="新宋体" w:cs="新宋体"/>
          <w:color w:val="auto"/>
          <w:sz w:val="22"/>
          <w:szCs w:val="22"/>
          <w:highlight w:val="none"/>
          <w:u w:val="single"/>
        </w:rPr>
        <w:t xml:space="preserve">                           </w:t>
      </w:r>
    </w:p>
    <w:p w14:paraId="13CAE963">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传真</w:t>
      </w:r>
      <w:r>
        <w:rPr>
          <w:rFonts w:hint="eastAsia" w:ascii="新宋体" w:hAnsi="新宋体" w:eastAsia="新宋体" w:cs="新宋体"/>
          <w:color w:val="auto"/>
          <w:sz w:val="22"/>
          <w:szCs w:val="22"/>
          <w:highlight w:val="none"/>
          <w:u w:val="single"/>
        </w:rPr>
        <w:t xml:space="preserve">                           </w:t>
      </w:r>
    </w:p>
    <w:p w14:paraId="21EF310A">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电子邮件</w:t>
      </w:r>
      <w:r>
        <w:rPr>
          <w:rFonts w:hint="eastAsia" w:ascii="新宋体" w:hAnsi="新宋体" w:eastAsia="新宋体" w:cs="新宋体"/>
          <w:color w:val="auto"/>
          <w:sz w:val="22"/>
          <w:szCs w:val="22"/>
          <w:highlight w:val="none"/>
          <w:u w:val="single"/>
        </w:rPr>
        <w:t xml:space="preserve">                       </w:t>
      </w:r>
    </w:p>
    <w:p w14:paraId="7D0B552C">
      <w:pPr>
        <w:spacing w:line="420" w:lineRule="exact"/>
        <w:ind w:firstLine="435"/>
        <w:rPr>
          <w:rFonts w:hint="eastAsia" w:ascii="新宋体" w:hAnsi="新宋体" w:eastAsia="新宋体" w:cs="新宋体"/>
          <w:color w:val="auto"/>
          <w:sz w:val="22"/>
          <w:szCs w:val="22"/>
          <w:highlight w:val="none"/>
        </w:rPr>
      </w:pPr>
    </w:p>
    <w:p w14:paraId="448FBB2E">
      <w:pPr>
        <w:spacing w:line="420" w:lineRule="exact"/>
        <w:ind w:firstLine="43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投标人名称（公章）</w:t>
      </w:r>
      <w:r>
        <w:rPr>
          <w:rFonts w:hint="eastAsia" w:ascii="新宋体" w:hAnsi="新宋体" w:eastAsia="新宋体" w:cs="新宋体"/>
          <w:color w:val="auto"/>
          <w:sz w:val="22"/>
          <w:szCs w:val="22"/>
          <w:highlight w:val="none"/>
          <w:u w:val="single"/>
        </w:rPr>
        <w:t xml:space="preserve">                </w:t>
      </w:r>
    </w:p>
    <w:p w14:paraId="7663C6FF">
      <w:pPr>
        <w:spacing w:line="420" w:lineRule="exact"/>
        <w:ind w:firstLine="43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法定代表人或其授权代表</w:t>
      </w:r>
      <w:r>
        <w:rPr>
          <w:rFonts w:hint="eastAsia" w:ascii="新宋体" w:hAnsi="新宋体" w:eastAsia="新宋体" w:cs="新宋体"/>
          <w:color w:val="auto"/>
          <w:sz w:val="22"/>
          <w:szCs w:val="22"/>
          <w:highlight w:val="none"/>
          <w:u w:val="single"/>
        </w:rPr>
        <w:t xml:space="preserve">                        </w:t>
      </w:r>
    </w:p>
    <w:p w14:paraId="5C8FFEA0">
      <w:pPr>
        <w:spacing w:line="460" w:lineRule="exact"/>
        <w:ind w:firstLine="437"/>
        <w:jc w:val="left"/>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 xml:space="preserve">                                   日  期</w:t>
      </w:r>
      <w:r>
        <w:rPr>
          <w:rFonts w:hint="eastAsia" w:ascii="新宋体" w:hAnsi="新宋体" w:eastAsia="新宋体" w:cs="新宋体"/>
          <w:color w:val="auto"/>
          <w:sz w:val="22"/>
          <w:szCs w:val="22"/>
          <w:highlight w:val="none"/>
          <w:u w:val="single"/>
        </w:rPr>
        <w:t xml:space="preserve">                               </w:t>
      </w:r>
    </w:p>
    <w:p w14:paraId="22FF6478">
      <w:pPr>
        <w:pStyle w:val="10"/>
        <w:spacing w:line="460" w:lineRule="exact"/>
        <w:ind w:left="0" w:firstLine="0" w:firstLineChars="0"/>
        <w:outlineLvl w:val="1"/>
        <w:rPr>
          <w:rFonts w:hint="eastAsia" w:ascii="新宋体" w:hAnsi="新宋体" w:eastAsia="新宋体" w:cs="新宋体"/>
          <w:b/>
          <w:color w:val="auto"/>
          <w:sz w:val="22"/>
          <w:highlight w:val="none"/>
        </w:rPr>
      </w:pPr>
      <w:bookmarkStart w:id="66" w:name="_Toc8395"/>
      <w:bookmarkStart w:id="67" w:name="_Toc26584"/>
      <w:r>
        <w:rPr>
          <w:rFonts w:hint="eastAsia" w:ascii="新宋体" w:hAnsi="新宋体" w:eastAsia="新宋体" w:cs="新宋体"/>
          <w:b/>
          <w:color w:val="auto"/>
          <w:sz w:val="22"/>
          <w:highlight w:val="none"/>
        </w:rPr>
        <w:br w:type="page"/>
      </w:r>
      <w:bookmarkStart w:id="68" w:name="_Toc2987"/>
      <w:r>
        <w:rPr>
          <w:rFonts w:hint="eastAsia" w:ascii="新宋体" w:hAnsi="新宋体" w:eastAsia="新宋体" w:cs="新宋体"/>
          <w:b/>
          <w:color w:val="auto"/>
          <w:sz w:val="22"/>
          <w:highlight w:val="none"/>
        </w:rPr>
        <w:t>附件二</w:t>
      </w:r>
      <w:bookmarkEnd w:id="66"/>
      <w:bookmarkEnd w:id="67"/>
      <w:bookmarkEnd w:id="68"/>
    </w:p>
    <w:p w14:paraId="44FA207F">
      <w:pPr>
        <w:pStyle w:val="7"/>
        <w:keepNext w:val="0"/>
        <w:keepLines w:val="0"/>
        <w:tabs>
          <w:tab w:val="left" w:pos="774"/>
        </w:tabs>
        <w:autoSpaceDE w:val="0"/>
        <w:autoSpaceDN w:val="0"/>
        <w:spacing w:before="240" w:line="276" w:lineRule="auto"/>
        <w:ind w:left="774" w:hanging="576"/>
        <w:jc w:val="center"/>
        <w:rPr>
          <w:rFonts w:hint="eastAsia" w:ascii="新宋体" w:hAnsi="新宋体" w:eastAsia="新宋体" w:cs="新宋体"/>
          <w:bCs/>
          <w:color w:val="auto"/>
          <w:szCs w:val="28"/>
          <w:highlight w:val="none"/>
          <w:lang w:val="zh-CN"/>
        </w:rPr>
      </w:pPr>
      <w:bookmarkStart w:id="69" w:name="_Toc6756"/>
      <w:bookmarkStart w:id="70" w:name="_Toc20710"/>
      <w:bookmarkStart w:id="71" w:name="_Toc26114"/>
      <w:r>
        <w:rPr>
          <w:rFonts w:hint="eastAsia" w:ascii="新宋体" w:hAnsi="新宋体" w:eastAsia="新宋体" w:cs="新宋体"/>
          <w:bCs/>
          <w:color w:val="auto"/>
          <w:szCs w:val="28"/>
          <w:highlight w:val="none"/>
          <w:lang w:val="zh-CN"/>
        </w:rPr>
        <w:t>投标报价一览表</w:t>
      </w:r>
      <w:bookmarkEnd w:id="69"/>
      <w:bookmarkEnd w:id="70"/>
      <w:bookmarkEnd w:id="71"/>
    </w:p>
    <w:p w14:paraId="14951F93">
      <w:pPr>
        <w:spacing w:line="46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项目名称：                                              项目编号：</w:t>
      </w:r>
    </w:p>
    <w:tbl>
      <w:tblPr>
        <w:tblStyle w:val="19"/>
        <w:tblW w:w="0" w:type="auto"/>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810"/>
        <w:gridCol w:w="5805"/>
        <w:gridCol w:w="1100"/>
      </w:tblGrid>
      <w:tr w14:paraId="2F874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963" w:type="dxa"/>
            <w:tcBorders>
              <w:top w:val="single" w:color="auto" w:sz="4" w:space="0"/>
              <w:left w:val="single" w:color="auto" w:sz="4" w:space="0"/>
              <w:bottom w:val="single" w:color="auto" w:sz="4" w:space="0"/>
              <w:right w:val="single" w:color="auto" w:sz="4" w:space="0"/>
            </w:tcBorders>
            <w:noWrap w:val="0"/>
            <w:vAlign w:val="center"/>
          </w:tcPr>
          <w:p w14:paraId="6248A52C">
            <w:pPr>
              <w:spacing w:line="380" w:lineRule="exact"/>
              <w:ind w:left="440" w:hanging="440"/>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序号</w:t>
            </w:r>
          </w:p>
        </w:tc>
        <w:tc>
          <w:tcPr>
            <w:tcW w:w="1810" w:type="dxa"/>
            <w:tcBorders>
              <w:top w:val="single" w:color="auto" w:sz="4" w:space="0"/>
              <w:left w:val="single" w:color="auto" w:sz="4" w:space="0"/>
              <w:bottom w:val="single" w:color="auto" w:sz="4" w:space="0"/>
              <w:right w:val="single" w:color="auto" w:sz="4" w:space="0"/>
            </w:tcBorders>
            <w:noWrap w:val="0"/>
            <w:vAlign w:val="center"/>
          </w:tcPr>
          <w:p w14:paraId="2A2BD9F8">
            <w:pPr>
              <w:spacing w:line="380" w:lineRule="exact"/>
              <w:ind w:left="440" w:right="382" w:rightChars="182" w:hanging="440"/>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 项目名称</w:t>
            </w:r>
          </w:p>
        </w:tc>
        <w:tc>
          <w:tcPr>
            <w:tcW w:w="5805" w:type="dxa"/>
            <w:tcBorders>
              <w:top w:val="single" w:color="auto" w:sz="4" w:space="0"/>
              <w:left w:val="single" w:color="auto" w:sz="4" w:space="0"/>
              <w:bottom w:val="single" w:color="auto" w:sz="4" w:space="0"/>
              <w:right w:val="single" w:color="auto" w:sz="4" w:space="0"/>
            </w:tcBorders>
            <w:noWrap w:val="0"/>
            <w:vAlign w:val="center"/>
          </w:tcPr>
          <w:p w14:paraId="58A5237B">
            <w:pPr>
              <w:spacing w:line="380" w:lineRule="exact"/>
              <w:ind w:left="440" w:hanging="440"/>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投标报价（元）</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5FD18D52">
            <w:pPr>
              <w:spacing w:line="380" w:lineRule="exact"/>
              <w:ind w:left="440" w:hanging="440"/>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备注</w:t>
            </w:r>
          </w:p>
        </w:tc>
      </w:tr>
      <w:tr w14:paraId="49E3B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963" w:type="dxa"/>
            <w:vMerge w:val="restart"/>
            <w:tcBorders>
              <w:top w:val="single" w:color="auto" w:sz="4" w:space="0"/>
              <w:left w:val="single" w:color="auto" w:sz="4" w:space="0"/>
              <w:right w:val="single" w:color="auto" w:sz="4" w:space="0"/>
            </w:tcBorders>
            <w:noWrap w:val="0"/>
            <w:vAlign w:val="center"/>
          </w:tcPr>
          <w:p w14:paraId="354D1064">
            <w:pPr>
              <w:spacing w:line="380" w:lineRule="exact"/>
              <w:ind w:left="440" w:hanging="440"/>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p>
        </w:tc>
        <w:tc>
          <w:tcPr>
            <w:tcW w:w="1810" w:type="dxa"/>
            <w:vMerge w:val="restart"/>
            <w:tcBorders>
              <w:top w:val="single" w:color="auto" w:sz="4" w:space="0"/>
              <w:left w:val="single" w:color="auto" w:sz="4" w:space="0"/>
              <w:right w:val="single" w:color="auto" w:sz="4" w:space="0"/>
            </w:tcBorders>
            <w:noWrap w:val="0"/>
            <w:vAlign w:val="center"/>
          </w:tcPr>
          <w:p w14:paraId="1F915C00">
            <w:pPr>
              <w:spacing w:line="380" w:lineRule="exact"/>
              <w:ind w:left="440" w:hanging="440"/>
              <w:jc w:val="center"/>
              <w:rPr>
                <w:rFonts w:hint="eastAsia" w:ascii="新宋体" w:hAnsi="新宋体" w:eastAsia="新宋体" w:cs="新宋体"/>
                <w:bCs/>
                <w:color w:val="auto"/>
                <w:sz w:val="22"/>
                <w:szCs w:val="22"/>
                <w:highlight w:val="none"/>
              </w:rPr>
            </w:pPr>
          </w:p>
        </w:tc>
        <w:tc>
          <w:tcPr>
            <w:tcW w:w="5805" w:type="dxa"/>
            <w:tcBorders>
              <w:top w:val="single" w:color="auto" w:sz="4" w:space="0"/>
              <w:left w:val="single" w:color="auto" w:sz="4" w:space="0"/>
              <w:right w:val="single" w:color="auto" w:sz="4" w:space="0"/>
            </w:tcBorders>
            <w:noWrap w:val="0"/>
            <w:vAlign w:val="center"/>
          </w:tcPr>
          <w:p w14:paraId="35559AC7">
            <w:pPr>
              <w:spacing w:line="380" w:lineRule="exact"/>
              <w:ind w:left="440" w:hanging="4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小写：</w:t>
            </w:r>
          </w:p>
        </w:tc>
        <w:tc>
          <w:tcPr>
            <w:tcW w:w="1100" w:type="dxa"/>
            <w:vMerge w:val="restart"/>
            <w:tcBorders>
              <w:top w:val="single" w:color="auto" w:sz="4" w:space="0"/>
              <w:left w:val="single" w:color="auto" w:sz="4" w:space="0"/>
              <w:right w:val="single" w:color="auto" w:sz="4" w:space="0"/>
            </w:tcBorders>
            <w:noWrap w:val="0"/>
            <w:vAlign w:val="center"/>
          </w:tcPr>
          <w:p w14:paraId="4877643B">
            <w:pPr>
              <w:spacing w:line="380" w:lineRule="exact"/>
              <w:ind w:left="440" w:hanging="440"/>
              <w:jc w:val="center"/>
              <w:rPr>
                <w:rFonts w:hint="eastAsia" w:ascii="新宋体" w:hAnsi="新宋体" w:eastAsia="新宋体" w:cs="新宋体"/>
                <w:bCs/>
                <w:color w:val="auto"/>
                <w:sz w:val="22"/>
                <w:szCs w:val="22"/>
                <w:highlight w:val="none"/>
              </w:rPr>
            </w:pPr>
          </w:p>
        </w:tc>
      </w:tr>
      <w:tr w14:paraId="52A3E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963" w:type="dxa"/>
            <w:vMerge w:val="continue"/>
            <w:tcBorders>
              <w:left w:val="single" w:color="auto" w:sz="4" w:space="0"/>
              <w:right w:val="single" w:color="auto" w:sz="4" w:space="0"/>
            </w:tcBorders>
            <w:noWrap w:val="0"/>
            <w:vAlign w:val="center"/>
          </w:tcPr>
          <w:p w14:paraId="77187A6F">
            <w:pPr>
              <w:spacing w:line="380" w:lineRule="exact"/>
              <w:ind w:left="440" w:hanging="440"/>
              <w:jc w:val="center"/>
              <w:rPr>
                <w:rFonts w:hint="eastAsia" w:ascii="新宋体" w:hAnsi="新宋体" w:eastAsia="新宋体" w:cs="新宋体"/>
                <w:bCs/>
                <w:color w:val="auto"/>
                <w:sz w:val="22"/>
                <w:szCs w:val="22"/>
                <w:highlight w:val="none"/>
              </w:rPr>
            </w:pPr>
          </w:p>
        </w:tc>
        <w:tc>
          <w:tcPr>
            <w:tcW w:w="1810" w:type="dxa"/>
            <w:vMerge w:val="continue"/>
            <w:tcBorders>
              <w:left w:val="single" w:color="auto" w:sz="4" w:space="0"/>
              <w:right w:val="single" w:color="auto" w:sz="4" w:space="0"/>
            </w:tcBorders>
            <w:noWrap w:val="0"/>
            <w:vAlign w:val="center"/>
          </w:tcPr>
          <w:p w14:paraId="43472381">
            <w:pPr>
              <w:spacing w:line="380" w:lineRule="exact"/>
              <w:ind w:left="440" w:hanging="440"/>
              <w:jc w:val="center"/>
              <w:rPr>
                <w:rFonts w:hint="eastAsia" w:ascii="新宋体" w:hAnsi="新宋体" w:eastAsia="新宋体" w:cs="新宋体"/>
                <w:bCs/>
                <w:color w:val="auto"/>
                <w:sz w:val="22"/>
                <w:szCs w:val="22"/>
                <w:highlight w:val="none"/>
              </w:rPr>
            </w:pPr>
          </w:p>
        </w:tc>
        <w:tc>
          <w:tcPr>
            <w:tcW w:w="5805" w:type="dxa"/>
            <w:tcBorders>
              <w:top w:val="single" w:color="auto" w:sz="4" w:space="0"/>
              <w:left w:val="single" w:color="auto" w:sz="4" w:space="0"/>
              <w:right w:val="single" w:color="auto" w:sz="4" w:space="0"/>
            </w:tcBorders>
            <w:noWrap w:val="0"/>
            <w:vAlign w:val="center"/>
          </w:tcPr>
          <w:p w14:paraId="2DFD5E59">
            <w:pPr>
              <w:spacing w:line="380" w:lineRule="exact"/>
              <w:ind w:left="440" w:hanging="4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大写：</w:t>
            </w:r>
          </w:p>
        </w:tc>
        <w:tc>
          <w:tcPr>
            <w:tcW w:w="1100" w:type="dxa"/>
            <w:vMerge w:val="continue"/>
            <w:tcBorders>
              <w:left w:val="single" w:color="auto" w:sz="4" w:space="0"/>
              <w:right w:val="single" w:color="auto" w:sz="4" w:space="0"/>
            </w:tcBorders>
            <w:noWrap w:val="0"/>
            <w:vAlign w:val="center"/>
          </w:tcPr>
          <w:p w14:paraId="11C08435">
            <w:pPr>
              <w:spacing w:line="380" w:lineRule="exact"/>
              <w:ind w:left="440" w:hanging="440"/>
              <w:jc w:val="center"/>
              <w:rPr>
                <w:rFonts w:hint="eastAsia" w:ascii="新宋体" w:hAnsi="新宋体" w:eastAsia="新宋体" w:cs="新宋体"/>
                <w:bCs/>
                <w:color w:val="auto"/>
                <w:sz w:val="22"/>
                <w:szCs w:val="22"/>
                <w:highlight w:val="none"/>
              </w:rPr>
            </w:pPr>
          </w:p>
        </w:tc>
      </w:tr>
    </w:tbl>
    <w:p w14:paraId="3560DA65">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 xml:space="preserve">说明： </w:t>
      </w:r>
      <w:r>
        <w:rPr>
          <w:rFonts w:hint="eastAsia" w:ascii="新宋体" w:hAnsi="新宋体" w:eastAsia="新宋体" w:cs="新宋体"/>
          <w:b/>
          <w:bCs/>
          <w:color w:val="auto"/>
          <w:sz w:val="22"/>
          <w:szCs w:val="22"/>
          <w:highlight w:val="none"/>
        </w:rPr>
        <w:t>投标报价栏内的投标报价应与附件三“投标分项报价表”中的总计价相一致；</w:t>
      </w:r>
    </w:p>
    <w:p w14:paraId="5F3875E9">
      <w:pPr>
        <w:spacing w:line="380" w:lineRule="exact"/>
        <w:ind w:left="481" w:leftChars="229" w:firstLine="221" w:firstLineChars="100"/>
        <w:rPr>
          <w:rFonts w:hint="eastAsia" w:ascii="新宋体" w:hAnsi="新宋体" w:eastAsia="新宋体" w:cs="新宋体"/>
          <w:b/>
          <w:color w:val="auto"/>
          <w:sz w:val="22"/>
          <w:highlight w:val="none"/>
        </w:rPr>
      </w:pPr>
    </w:p>
    <w:p w14:paraId="1F60E8DB">
      <w:pPr>
        <w:spacing w:line="380" w:lineRule="exact"/>
        <w:ind w:left="535" w:leftChars="-171" w:hanging="894" w:hangingChars="405"/>
        <w:rPr>
          <w:rFonts w:hint="eastAsia" w:ascii="新宋体" w:hAnsi="新宋体" w:eastAsia="新宋体" w:cs="新宋体"/>
          <w:b/>
          <w:bCs/>
          <w:color w:val="auto"/>
          <w:sz w:val="22"/>
          <w:szCs w:val="22"/>
          <w:highlight w:val="none"/>
        </w:rPr>
      </w:pPr>
    </w:p>
    <w:p w14:paraId="132FE563">
      <w:pPr>
        <w:spacing w:line="360" w:lineRule="exact"/>
        <w:ind w:firstLine="883" w:firstLineChars="400"/>
        <w:rPr>
          <w:rFonts w:hint="eastAsia" w:ascii="新宋体" w:hAnsi="新宋体" w:eastAsia="新宋体" w:cs="新宋体"/>
          <w:b/>
          <w:color w:val="auto"/>
          <w:sz w:val="22"/>
          <w:szCs w:val="22"/>
          <w:highlight w:val="none"/>
        </w:rPr>
      </w:pPr>
    </w:p>
    <w:p w14:paraId="7831044D">
      <w:pPr>
        <w:spacing w:line="460" w:lineRule="exact"/>
        <w:ind w:firstLine="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投标人全称（盖章）：</w:t>
      </w:r>
    </w:p>
    <w:p w14:paraId="3B0983A2">
      <w:pPr>
        <w:spacing w:line="46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法定代表人或其授权代表（签字）：</w:t>
      </w:r>
    </w:p>
    <w:p w14:paraId="67CA43DC">
      <w:pPr>
        <w:spacing w:line="46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日   期：  </w:t>
      </w:r>
    </w:p>
    <w:p w14:paraId="5FB559C3">
      <w:pPr>
        <w:spacing w:line="460" w:lineRule="exact"/>
        <w:ind w:firstLine="437"/>
        <w:jc w:val="left"/>
        <w:rPr>
          <w:rFonts w:hint="eastAsia" w:ascii="新宋体" w:hAnsi="新宋体" w:eastAsia="新宋体" w:cs="新宋体"/>
          <w:color w:val="auto"/>
          <w:sz w:val="22"/>
          <w:szCs w:val="22"/>
          <w:highlight w:val="none"/>
          <w:u w:val="single"/>
        </w:rPr>
      </w:pPr>
    </w:p>
    <w:p w14:paraId="6583D0AB">
      <w:pPr>
        <w:spacing w:line="460" w:lineRule="exact"/>
        <w:jc w:val="left"/>
        <w:rPr>
          <w:rFonts w:hint="eastAsia" w:ascii="新宋体" w:hAnsi="新宋体" w:eastAsia="新宋体" w:cs="新宋体"/>
          <w:color w:val="auto"/>
          <w:sz w:val="22"/>
          <w:szCs w:val="22"/>
          <w:highlight w:val="none"/>
          <w:u w:val="single"/>
        </w:rPr>
      </w:pPr>
    </w:p>
    <w:p w14:paraId="581CDC3D">
      <w:pPr>
        <w:spacing w:line="440" w:lineRule="exact"/>
        <w:outlineLvl w:val="1"/>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bookmarkStart w:id="72" w:name="_Toc13125"/>
      <w:bookmarkStart w:id="73" w:name="_Toc19595"/>
      <w:bookmarkStart w:id="74" w:name="_Toc4205"/>
      <w:r>
        <w:rPr>
          <w:rFonts w:hint="eastAsia" w:ascii="新宋体" w:hAnsi="新宋体" w:eastAsia="新宋体" w:cs="新宋体"/>
          <w:b/>
          <w:bCs/>
          <w:color w:val="auto"/>
          <w:sz w:val="22"/>
          <w:szCs w:val="22"/>
          <w:highlight w:val="none"/>
        </w:rPr>
        <w:t>附件三</w:t>
      </w:r>
      <w:bookmarkEnd w:id="72"/>
      <w:bookmarkEnd w:id="73"/>
      <w:bookmarkEnd w:id="74"/>
      <w:r>
        <w:rPr>
          <w:rFonts w:hint="eastAsia" w:ascii="新宋体" w:hAnsi="新宋体" w:eastAsia="新宋体" w:cs="新宋体"/>
          <w:b/>
          <w:bCs/>
          <w:color w:val="auto"/>
          <w:sz w:val="22"/>
          <w:szCs w:val="22"/>
          <w:highlight w:val="none"/>
        </w:rPr>
        <w:t xml:space="preserve">  </w:t>
      </w:r>
    </w:p>
    <w:p w14:paraId="558882A5">
      <w:pPr>
        <w:spacing w:line="400" w:lineRule="exact"/>
        <w:jc w:val="center"/>
        <w:outlineLvl w:val="2"/>
        <w:rPr>
          <w:rFonts w:hint="eastAsia" w:ascii="新宋体" w:hAnsi="新宋体" w:eastAsia="新宋体" w:cs="新宋体"/>
          <w:b/>
          <w:bCs/>
          <w:color w:val="auto"/>
          <w:sz w:val="28"/>
          <w:szCs w:val="28"/>
          <w:highlight w:val="none"/>
        </w:rPr>
      </w:pPr>
      <w:bookmarkStart w:id="75" w:name="_Toc30769"/>
      <w:bookmarkStart w:id="76" w:name="_Toc7358"/>
      <w:bookmarkStart w:id="77" w:name="_Toc5254"/>
      <w:r>
        <w:rPr>
          <w:rFonts w:hint="eastAsia" w:ascii="新宋体" w:hAnsi="新宋体" w:eastAsia="新宋体" w:cs="新宋体"/>
          <w:b/>
          <w:bCs/>
          <w:color w:val="auto"/>
          <w:sz w:val="28"/>
          <w:szCs w:val="28"/>
          <w:highlight w:val="none"/>
        </w:rPr>
        <w:t>投标分项报价表</w:t>
      </w:r>
      <w:bookmarkEnd w:id="75"/>
      <w:bookmarkEnd w:id="76"/>
      <w:bookmarkEnd w:id="77"/>
    </w:p>
    <w:p w14:paraId="7D83B2FA">
      <w:pPr>
        <w:spacing w:line="38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项目名称： </w:t>
      </w: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b/>
          <w:bCs/>
          <w:color w:val="auto"/>
          <w:sz w:val="22"/>
          <w:szCs w:val="22"/>
          <w:highlight w:val="none"/>
        </w:rPr>
        <w:t>项目编号：</w:t>
      </w:r>
    </w:p>
    <w:tbl>
      <w:tblPr>
        <w:tblStyle w:val="19"/>
        <w:tblW w:w="9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4346"/>
        <w:gridCol w:w="1047"/>
        <w:gridCol w:w="1046"/>
        <w:gridCol w:w="1277"/>
        <w:gridCol w:w="958"/>
      </w:tblGrid>
      <w:tr w14:paraId="76A59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62" w:type="dxa"/>
            <w:noWrap w:val="0"/>
            <w:vAlign w:val="center"/>
          </w:tcPr>
          <w:p w14:paraId="0DCC0F3C">
            <w:pPr>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p w14:paraId="4EAA9C88">
            <w:pPr>
              <w:spacing w:line="460" w:lineRule="exact"/>
              <w:jc w:val="center"/>
              <w:rPr>
                <w:rFonts w:hint="eastAsia" w:ascii="宋体" w:hAnsi="宋体" w:cs="宋体"/>
                <w:color w:val="auto"/>
                <w:sz w:val="22"/>
                <w:szCs w:val="22"/>
                <w:highlight w:val="none"/>
              </w:rPr>
            </w:pPr>
          </w:p>
        </w:tc>
        <w:tc>
          <w:tcPr>
            <w:tcW w:w="4346" w:type="dxa"/>
            <w:noWrap w:val="0"/>
            <w:vAlign w:val="center"/>
          </w:tcPr>
          <w:p w14:paraId="1236B298">
            <w:pPr>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项目内容</w:t>
            </w:r>
          </w:p>
        </w:tc>
        <w:tc>
          <w:tcPr>
            <w:tcW w:w="1047" w:type="dxa"/>
            <w:noWrap w:val="0"/>
            <w:vAlign w:val="center"/>
          </w:tcPr>
          <w:p w14:paraId="3092136F">
            <w:pPr>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数量</w:t>
            </w:r>
          </w:p>
        </w:tc>
        <w:tc>
          <w:tcPr>
            <w:tcW w:w="1046" w:type="dxa"/>
            <w:noWrap w:val="0"/>
            <w:vAlign w:val="center"/>
          </w:tcPr>
          <w:p w14:paraId="4BD00BBC">
            <w:pPr>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单价 </w:t>
            </w:r>
          </w:p>
        </w:tc>
        <w:tc>
          <w:tcPr>
            <w:tcW w:w="1277" w:type="dxa"/>
            <w:noWrap w:val="0"/>
            <w:vAlign w:val="center"/>
          </w:tcPr>
          <w:p w14:paraId="0119646A">
            <w:pPr>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合价 </w:t>
            </w:r>
          </w:p>
        </w:tc>
        <w:tc>
          <w:tcPr>
            <w:tcW w:w="958" w:type="dxa"/>
            <w:noWrap w:val="0"/>
            <w:vAlign w:val="center"/>
          </w:tcPr>
          <w:p w14:paraId="152B820E">
            <w:pPr>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备注</w:t>
            </w:r>
          </w:p>
        </w:tc>
      </w:tr>
      <w:tr w14:paraId="0BB86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862" w:type="dxa"/>
            <w:shd w:val="clear" w:color="auto" w:fill="auto"/>
            <w:noWrap w:val="0"/>
            <w:vAlign w:val="center"/>
          </w:tcPr>
          <w:p w14:paraId="5539E02C">
            <w:pPr>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4346" w:type="dxa"/>
            <w:shd w:val="clear" w:color="auto" w:fill="FFFFFF"/>
            <w:noWrap w:val="0"/>
            <w:vAlign w:val="center"/>
          </w:tcPr>
          <w:p w14:paraId="0985796E">
            <w:pPr>
              <w:widowControl/>
              <w:spacing w:before="120" w:beforeLines="50" w:after="120" w:afterLines="50" w:line="460" w:lineRule="exact"/>
              <w:rPr>
                <w:rFonts w:hint="eastAsia" w:ascii="宋体" w:hAnsi="宋体" w:cs="宋体"/>
                <w:color w:val="auto"/>
                <w:sz w:val="22"/>
                <w:szCs w:val="22"/>
                <w:highlight w:val="none"/>
              </w:rPr>
            </w:pPr>
          </w:p>
        </w:tc>
        <w:tc>
          <w:tcPr>
            <w:tcW w:w="1047" w:type="dxa"/>
            <w:noWrap w:val="0"/>
            <w:vAlign w:val="center"/>
          </w:tcPr>
          <w:p w14:paraId="4EA48984">
            <w:pPr>
              <w:spacing w:line="460" w:lineRule="exact"/>
              <w:jc w:val="center"/>
              <w:rPr>
                <w:rFonts w:hint="eastAsia" w:ascii="宋体" w:hAnsi="宋体" w:cs="宋体"/>
                <w:color w:val="auto"/>
                <w:sz w:val="22"/>
                <w:szCs w:val="22"/>
                <w:highlight w:val="none"/>
              </w:rPr>
            </w:pPr>
          </w:p>
        </w:tc>
        <w:tc>
          <w:tcPr>
            <w:tcW w:w="1046" w:type="dxa"/>
            <w:noWrap w:val="0"/>
            <w:vAlign w:val="center"/>
          </w:tcPr>
          <w:p w14:paraId="2A411864">
            <w:pPr>
              <w:spacing w:line="460" w:lineRule="exact"/>
              <w:jc w:val="center"/>
              <w:rPr>
                <w:rFonts w:hint="eastAsia" w:ascii="宋体" w:hAnsi="宋体" w:cs="宋体"/>
                <w:color w:val="auto"/>
                <w:sz w:val="22"/>
                <w:szCs w:val="22"/>
                <w:highlight w:val="none"/>
              </w:rPr>
            </w:pPr>
          </w:p>
        </w:tc>
        <w:tc>
          <w:tcPr>
            <w:tcW w:w="1277" w:type="dxa"/>
            <w:noWrap w:val="0"/>
            <w:vAlign w:val="center"/>
          </w:tcPr>
          <w:p w14:paraId="138295DA">
            <w:pPr>
              <w:spacing w:line="460" w:lineRule="exact"/>
              <w:jc w:val="center"/>
              <w:rPr>
                <w:rFonts w:hint="eastAsia" w:ascii="宋体" w:hAnsi="宋体" w:cs="宋体"/>
                <w:color w:val="auto"/>
                <w:sz w:val="22"/>
                <w:szCs w:val="22"/>
                <w:highlight w:val="none"/>
              </w:rPr>
            </w:pPr>
          </w:p>
        </w:tc>
        <w:tc>
          <w:tcPr>
            <w:tcW w:w="958" w:type="dxa"/>
            <w:noWrap w:val="0"/>
            <w:vAlign w:val="center"/>
          </w:tcPr>
          <w:p w14:paraId="40C8B9F8">
            <w:pPr>
              <w:spacing w:line="460" w:lineRule="exact"/>
              <w:jc w:val="center"/>
              <w:rPr>
                <w:rFonts w:hint="eastAsia" w:ascii="宋体" w:hAnsi="宋体" w:cs="宋体"/>
                <w:color w:val="auto"/>
                <w:sz w:val="22"/>
                <w:szCs w:val="22"/>
                <w:highlight w:val="none"/>
              </w:rPr>
            </w:pPr>
          </w:p>
        </w:tc>
      </w:tr>
      <w:tr w14:paraId="5B046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862" w:type="dxa"/>
            <w:shd w:val="clear" w:color="auto" w:fill="auto"/>
            <w:noWrap w:val="0"/>
            <w:vAlign w:val="center"/>
          </w:tcPr>
          <w:p w14:paraId="7470896F">
            <w:pPr>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4346" w:type="dxa"/>
            <w:shd w:val="clear" w:color="auto" w:fill="FFFFFF"/>
            <w:noWrap w:val="0"/>
            <w:vAlign w:val="center"/>
          </w:tcPr>
          <w:p w14:paraId="12BAF87F">
            <w:pPr>
              <w:widowControl/>
              <w:spacing w:before="120" w:beforeLines="50" w:after="120" w:afterLines="50" w:line="460" w:lineRule="exact"/>
              <w:rPr>
                <w:rFonts w:hint="eastAsia" w:ascii="宋体" w:hAnsi="宋体" w:cs="宋体"/>
                <w:color w:val="auto"/>
                <w:sz w:val="22"/>
                <w:szCs w:val="22"/>
                <w:highlight w:val="none"/>
              </w:rPr>
            </w:pPr>
          </w:p>
        </w:tc>
        <w:tc>
          <w:tcPr>
            <w:tcW w:w="1047" w:type="dxa"/>
            <w:noWrap w:val="0"/>
            <w:vAlign w:val="center"/>
          </w:tcPr>
          <w:p w14:paraId="59B09646">
            <w:pPr>
              <w:spacing w:line="460" w:lineRule="exact"/>
              <w:jc w:val="center"/>
              <w:rPr>
                <w:rFonts w:hint="eastAsia" w:ascii="宋体" w:hAnsi="宋体" w:cs="宋体"/>
                <w:color w:val="auto"/>
                <w:sz w:val="22"/>
                <w:szCs w:val="22"/>
                <w:highlight w:val="none"/>
              </w:rPr>
            </w:pPr>
          </w:p>
        </w:tc>
        <w:tc>
          <w:tcPr>
            <w:tcW w:w="1046" w:type="dxa"/>
            <w:noWrap w:val="0"/>
            <w:vAlign w:val="center"/>
          </w:tcPr>
          <w:p w14:paraId="444CF707">
            <w:pPr>
              <w:spacing w:line="460" w:lineRule="exact"/>
              <w:jc w:val="center"/>
              <w:rPr>
                <w:rFonts w:hint="eastAsia" w:ascii="宋体" w:hAnsi="宋体" w:cs="宋体"/>
                <w:color w:val="auto"/>
                <w:sz w:val="22"/>
                <w:szCs w:val="22"/>
                <w:highlight w:val="none"/>
              </w:rPr>
            </w:pPr>
          </w:p>
        </w:tc>
        <w:tc>
          <w:tcPr>
            <w:tcW w:w="1277" w:type="dxa"/>
            <w:noWrap w:val="0"/>
            <w:vAlign w:val="center"/>
          </w:tcPr>
          <w:p w14:paraId="23311146">
            <w:pPr>
              <w:spacing w:line="460" w:lineRule="exact"/>
              <w:jc w:val="center"/>
              <w:rPr>
                <w:rFonts w:hint="eastAsia" w:ascii="宋体" w:hAnsi="宋体" w:cs="宋体"/>
                <w:color w:val="auto"/>
                <w:sz w:val="22"/>
                <w:szCs w:val="22"/>
                <w:highlight w:val="none"/>
              </w:rPr>
            </w:pPr>
          </w:p>
        </w:tc>
        <w:tc>
          <w:tcPr>
            <w:tcW w:w="958" w:type="dxa"/>
            <w:noWrap w:val="0"/>
            <w:vAlign w:val="center"/>
          </w:tcPr>
          <w:p w14:paraId="568A4EFD">
            <w:pPr>
              <w:spacing w:line="460" w:lineRule="exact"/>
              <w:jc w:val="center"/>
              <w:rPr>
                <w:rFonts w:hint="eastAsia" w:ascii="宋体" w:hAnsi="宋体" w:cs="宋体"/>
                <w:color w:val="auto"/>
                <w:sz w:val="22"/>
                <w:szCs w:val="22"/>
                <w:highlight w:val="none"/>
              </w:rPr>
            </w:pPr>
          </w:p>
        </w:tc>
      </w:tr>
      <w:tr w14:paraId="6ADF8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trPr>
        <w:tc>
          <w:tcPr>
            <w:tcW w:w="862" w:type="dxa"/>
            <w:shd w:val="clear" w:color="auto" w:fill="auto"/>
            <w:noWrap w:val="0"/>
            <w:vAlign w:val="center"/>
          </w:tcPr>
          <w:p w14:paraId="56C6954E">
            <w:pPr>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4346" w:type="dxa"/>
            <w:shd w:val="clear" w:color="auto" w:fill="FFFFFF"/>
            <w:noWrap w:val="0"/>
            <w:vAlign w:val="center"/>
          </w:tcPr>
          <w:p w14:paraId="537C671A">
            <w:pPr>
              <w:widowControl/>
              <w:spacing w:before="120" w:beforeLines="50" w:after="120" w:afterLines="50" w:line="460" w:lineRule="exact"/>
              <w:rPr>
                <w:rFonts w:hint="eastAsia" w:ascii="宋体" w:hAnsi="宋体" w:cs="宋体"/>
                <w:color w:val="auto"/>
                <w:sz w:val="22"/>
                <w:szCs w:val="22"/>
                <w:highlight w:val="none"/>
              </w:rPr>
            </w:pPr>
          </w:p>
        </w:tc>
        <w:tc>
          <w:tcPr>
            <w:tcW w:w="1047" w:type="dxa"/>
            <w:noWrap w:val="0"/>
            <w:vAlign w:val="center"/>
          </w:tcPr>
          <w:p w14:paraId="2D27B10D">
            <w:pPr>
              <w:spacing w:line="460" w:lineRule="exact"/>
              <w:jc w:val="center"/>
              <w:rPr>
                <w:rFonts w:hint="eastAsia" w:ascii="宋体" w:hAnsi="宋体" w:cs="宋体"/>
                <w:color w:val="auto"/>
                <w:sz w:val="22"/>
                <w:szCs w:val="22"/>
                <w:highlight w:val="none"/>
              </w:rPr>
            </w:pPr>
          </w:p>
        </w:tc>
        <w:tc>
          <w:tcPr>
            <w:tcW w:w="1046" w:type="dxa"/>
            <w:noWrap w:val="0"/>
            <w:vAlign w:val="center"/>
          </w:tcPr>
          <w:p w14:paraId="07C1FDC3">
            <w:pPr>
              <w:spacing w:line="460" w:lineRule="exact"/>
              <w:jc w:val="center"/>
              <w:rPr>
                <w:rFonts w:hint="eastAsia" w:ascii="宋体" w:hAnsi="宋体" w:cs="宋体"/>
                <w:color w:val="auto"/>
                <w:sz w:val="22"/>
                <w:szCs w:val="22"/>
                <w:highlight w:val="none"/>
              </w:rPr>
            </w:pPr>
          </w:p>
        </w:tc>
        <w:tc>
          <w:tcPr>
            <w:tcW w:w="1277" w:type="dxa"/>
            <w:noWrap w:val="0"/>
            <w:vAlign w:val="center"/>
          </w:tcPr>
          <w:p w14:paraId="027EEB12">
            <w:pPr>
              <w:spacing w:line="460" w:lineRule="exact"/>
              <w:jc w:val="center"/>
              <w:rPr>
                <w:rFonts w:hint="eastAsia" w:ascii="宋体" w:hAnsi="宋体" w:cs="宋体"/>
                <w:color w:val="auto"/>
                <w:sz w:val="22"/>
                <w:szCs w:val="22"/>
                <w:highlight w:val="none"/>
              </w:rPr>
            </w:pPr>
          </w:p>
        </w:tc>
        <w:tc>
          <w:tcPr>
            <w:tcW w:w="958" w:type="dxa"/>
            <w:noWrap w:val="0"/>
            <w:vAlign w:val="center"/>
          </w:tcPr>
          <w:p w14:paraId="30C5C167">
            <w:pPr>
              <w:spacing w:line="460" w:lineRule="exact"/>
              <w:jc w:val="center"/>
              <w:rPr>
                <w:rFonts w:hint="eastAsia" w:ascii="宋体" w:hAnsi="宋体" w:cs="宋体"/>
                <w:color w:val="auto"/>
                <w:sz w:val="22"/>
                <w:szCs w:val="22"/>
                <w:highlight w:val="none"/>
              </w:rPr>
            </w:pPr>
          </w:p>
        </w:tc>
      </w:tr>
      <w:tr w14:paraId="63822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862" w:type="dxa"/>
            <w:shd w:val="clear" w:color="auto" w:fill="auto"/>
            <w:noWrap w:val="0"/>
            <w:vAlign w:val="center"/>
          </w:tcPr>
          <w:p w14:paraId="5A843E79">
            <w:pPr>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4</w:t>
            </w:r>
          </w:p>
        </w:tc>
        <w:tc>
          <w:tcPr>
            <w:tcW w:w="4346" w:type="dxa"/>
            <w:shd w:val="clear" w:color="auto" w:fill="FFFFFF"/>
            <w:noWrap w:val="0"/>
            <w:vAlign w:val="center"/>
          </w:tcPr>
          <w:p w14:paraId="71EBC01B">
            <w:pPr>
              <w:widowControl/>
              <w:spacing w:before="120" w:beforeLines="50" w:after="120" w:afterLines="50" w:line="460" w:lineRule="exact"/>
              <w:rPr>
                <w:rFonts w:hint="eastAsia" w:ascii="宋体" w:hAnsi="宋体" w:cs="宋体"/>
                <w:color w:val="auto"/>
                <w:sz w:val="22"/>
                <w:szCs w:val="22"/>
                <w:highlight w:val="none"/>
              </w:rPr>
            </w:pPr>
          </w:p>
        </w:tc>
        <w:tc>
          <w:tcPr>
            <w:tcW w:w="1047" w:type="dxa"/>
            <w:noWrap w:val="0"/>
            <w:vAlign w:val="center"/>
          </w:tcPr>
          <w:p w14:paraId="228EA9BF">
            <w:pPr>
              <w:spacing w:line="460" w:lineRule="exact"/>
              <w:jc w:val="center"/>
              <w:rPr>
                <w:rFonts w:hint="eastAsia" w:ascii="宋体" w:hAnsi="宋体" w:cs="宋体"/>
                <w:color w:val="auto"/>
                <w:sz w:val="22"/>
                <w:szCs w:val="22"/>
                <w:highlight w:val="none"/>
              </w:rPr>
            </w:pPr>
          </w:p>
        </w:tc>
        <w:tc>
          <w:tcPr>
            <w:tcW w:w="1046" w:type="dxa"/>
            <w:noWrap w:val="0"/>
            <w:vAlign w:val="center"/>
          </w:tcPr>
          <w:p w14:paraId="785A2EDC">
            <w:pPr>
              <w:spacing w:line="460" w:lineRule="exact"/>
              <w:jc w:val="center"/>
              <w:rPr>
                <w:rFonts w:hint="eastAsia" w:ascii="宋体" w:hAnsi="宋体" w:cs="宋体"/>
                <w:color w:val="auto"/>
                <w:sz w:val="22"/>
                <w:szCs w:val="22"/>
                <w:highlight w:val="none"/>
              </w:rPr>
            </w:pPr>
          </w:p>
        </w:tc>
        <w:tc>
          <w:tcPr>
            <w:tcW w:w="1277" w:type="dxa"/>
            <w:noWrap w:val="0"/>
            <w:vAlign w:val="center"/>
          </w:tcPr>
          <w:p w14:paraId="5BE0580D">
            <w:pPr>
              <w:spacing w:line="460" w:lineRule="exact"/>
              <w:jc w:val="center"/>
              <w:rPr>
                <w:rFonts w:hint="eastAsia" w:ascii="宋体" w:hAnsi="宋体" w:cs="宋体"/>
                <w:color w:val="auto"/>
                <w:sz w:val="22"/>
                <w:szCs w:val="22"/>
                <w:highlight w:val="none"/>
              </w:rPr>
            </w:pPr>
          </w:p>
        </w:tc>
        <w:tc>
          <w:tcPr>
            <w:tcW w:w="958" w:type="dxa"/>
            <w:noWrap w:val="0"/>
            <w:vAlign w:val="center"/>
          </w:tcPr>
          <w:p w14:paraId="69325988">
            <w:pPr>
              <w:spacing w:line="460" w:lineRule="exact"/>
              <w:jc w:val="center"/>
              <w:rPr>
                <w:rFonts w:hint="eastAsia" w:ascii="宋体" w:hAnsi="宋体" w:cs="宋体"/>
                <w:color w:val="auto"/>
                <w:sz w:val="22"/>
                <w:szCs w:val="22"/>
                <w:highlight w:val="none"/>
              </w:rPr>
            </w:pPr>
          </w:p>
        </w:tc>
      </w:tr>
      <w:tr w14:paraId="290AF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trPr>
        <w:tc>
          <w:tcPr>
            <w:tcW w:w="862" w:type="dxa"/>
            <w:shd w:val="clear" w:color="auto" w:fill="auto"/>
            <w:noWrap w:val="0"/>
            <w:vAlign w:val="center"/>
          </w:tcPr>
          <w:p w14:paraId="3B0075AC">
            <w:pPr>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4346" w:type="dxa"/>
            <w:shd w:val="clear" w:color="auto" w:fill="FFFFFF"/>
            <w:noWrap w:val="0"/>
            <w:vAlign w:val="center"/>
          </w:tcPr>
          <w:p w14:paraId="5F642ABA">
            <w:pPr>
              <w:widowControl/>
              <w:spacing w:before="120" w:beforeLines="50" w:after="120" w:afterLines="50" w:line="460" w:lineRule="exact"/>
              <w:rPr>
                <w:rFonts w:hint="eastAsia" w:ascii="宋体" w:hAnsi="宋体" w:cs="宋体"/>
                <w:color w:val="auto"/>
                <w:sz w:val="22"/>
                <w:szCs w:val="22"/>
                <w:highlight w:val="none"/>
              </w:rPr>
            </w:pPr>
          </w:p>
        </w:tc>
        <w:tc>
          <w:tcPr>
            <w:tcW w:w="1047" w:type="dxa"/>
            <w:noWrap w:val="0"/>
            <w:vAlign w:val="center"/>
          </w:tcPr>
          <w:p w14:paraId="3887C08C">
            <w:pPr>
              <w:spacing w:line="460" w:lineRule="exact"/>
              <w:jc w:val="center"/>
              <w:rPr>
                <w:rFonts w:hint="eastAsia" w:ascii="宋体" w:hAnsi="宋体" w:cs="宋体"/>
                <w:color w:val="auto"/>
                <w:sz w:val="22"/>
                <w:szCs w:val="22"/>
                <w:highlight w:val="none"/>
              </w:rPr>
            </w:pPr>
          </w:p>
        </w:tc>
        <w:tc>
          <w:tcPr>
            <w:tcW w:w="1046" w:type="dxa"/>
            <w:noWrap w:val="0"/>
            <w:vAlign w:val="center"/>
          </w:tcPr>
          <w:p w14:paraId="763F3840">
            <w:pPr>
              <w:spacing w:line="460" w:lineRule="exact"/>
              <w:jc w:val="center"/>
              <w:rPr>
                <w:rFonts w:hint="eastAsia" w:ascii="宋体" w:hAnsi="宋体" w:cs="宋体"/>
                <w:color w:val="auto"/>
                <w:sz w:val="22"/>
                <w:szCs w:val="22"/>
                <w:highlight w:val="none"/>
              </w:rPr>
            </w:pPr>
          </w:p>
        </w:tc>
        <w:tc>
          <w:tcPr>
            <w:tcW w:w="1277" w:type="dxa"/>
            <w:noWrap w:val="0"/>
            <w:vAlign w:val="center"/>
          </w:tcPr>
          <w:p w14:paraId="59DE31F8">
            <w:pPr>
              <w:spacing w:line="460" w:lineRule="exact"/>
              <w:jc w:val="center"/>
              <w:rPr>
                <w:rFonts w:hint="eastAsia" w:ascii="宋体" w:hAnsi="宋体" w:cs="宋体"/>
                <w:color w:val="auto"/>
                <w:sz w:val="22"/>
                <w:szCs w:val="22"/>
                <w:highlight w:val="none"/>
              </w:rPr>
            </w:pPr>
          </w:p>
        </w:tc>
        <w:tc>
          <w:tcPr>
            <w:tcW w:w="958" w:type="dxa"/>
            <w:noWrap w:val="0"/>
            <w:vAlign w:val="center"/>
          </w:tcPr>
          <w:p w14:paraId="1575356C">
            <w:pPr>
              <w:spacing w:line="460" w:lineRule="exact"/>
              <w:jc w:val="center"/>
              <w:rPr>
                <w:rFonts w:hint="eastAsia" w:ascii="宋体" w:hAnsi="宋体" w:cs="宋体"/>
                <w:color w:val="auto"/>
                <w:sz w:val="22"/>
                <w:szCs w:val="22"/>
                <w:highlight w:val="none"/>
              </w:rPr>
            </w:pPr>
          </w:p>
        </w:tc>
      </w:tr>
      <w:tr w14:paraId="00677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862" w:type="dxa"/>
            <w:shd w:val="clear" w:color="auto" w:fill="auto"/>
            <w:noWrap w:val="0"/>
            <w:vAlign w:val="center"/>
          </w:tcPr>
          <w:p w14:paraId="0B94F630">
            <w:pPr>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6</w:t>
            </w:r>
          </w:p>
        </w:tc>
        <w:tc>
          <w:tcPr>
            <w:tcW w:w="4346" w:type="dxa"/>
            <w:shd w:val="clear" w:color="auto" w:fill="FFFFFF"/>
            <w:noWrap w:val="0"/>
            <w:vAlign w:val="center"/>
          </w:tcPr>
          <w:p w14:paraId="22D7A763">
            <w:pPr>
              <w:widowControl/>
              <w:spacing w:before="120" w:beforeLines="50" w:after="120" w:afterLines="50" w:line="460" w:lineRule="exact"/>
              <w:rPr>
                <w:rFonts w:hint="eastAsia" w:ascii="宋体" w:hAnsi="宋体" w:cs="宋体"/>
                <w:color w:val="auto"/>
                <w:sz w:val="22"/>
                <w:szCs w:val="22"/>
                <w:highlight w:val="none"/>
              </w:rPr>
            </w:pPr>
          </w:p>
        </w:tc>
        <w:tc>
          <w:tcPr>
            <w:tcW w:w="1047" w:type="dxa"/>
            <w:noWrap w:val="0"/>
            <w:vAlign w:val="center"/>
          </w:tcPr>
          <w:p w14:paraId="295E91F8">
            <w:pPr>
              <w:spacing w:line="460" w:lineRule="exact"/>
              <w:jc w:val="center"/>
              <w:rPr>
                <w:rFonts w:hint="eastAsia" w:ascii="宋体" w:hAnsi="宋体" w:cs="宋体"/>
                <w:color w:val="auto"/>
                <w:sz w:val="22"/>
                <w:szCs w:val="22"/>
                <w:highlight w:val="none"/>
              </w:rPr>
            </w:pPr>
          </w:p>
        </w:tc>
        <w:tc>
          <w:tcPr>
            <w:tcW w:w="1046" w:type="dxa"/>
            <w:noWrap w:val="0"/>
            <w:vAlign w:val="center"/>
          </w:tcPr>
          <w:p w14:paraId="411F1897">
            <w:pPr>
              <w:spacing w:line="460" w:lineRule="exact"/>
              <w:jc w:val="center"/>
              <w:rPr>
                <w:rFonts w:hint="eastAsia" w:ascii="宋体" w:hAnsi="宋体" w:cs="宋体"/>
                <w:color w:val="auto"/>
                <w:sz w:val="22"/>
                <w:szCs w:val="22"/>
                <w:highlight w:val="none"/>
              </w:rPr>
            </w:pPr>
          </w:p>
        </w:tc>
        <w:tc>
          <w:tcPr>
            <w:tcW w:w="1277" w:type="dxa"/>
            <w:noWrap w:val="0"/>
            <w:vAlign w:val="center"/>
          </w:tcPr>
          <w:p w14:paraId="42639C6D">
            <w:pPr>
              <w:spacing w:line="460" w:lineRule="exact"/>
              <w:jc w:val="center"/>
              <w:rPr>
                <w:rFonts w:hint="eastAsia" w:ascii="宋体" w:hAnsi="宋体" w:cs="宋体"/>
                <w:color w:val="auto"/>
                <w:sz w:val="22"/>
                <w:szCs w:val="22"/>
                <w:highlight w:val="none"/>
              </w:rPr>
            </w:pPr>
          </w:p>
        </w:tc>
        <w:tc>
          <w:tcPr>
            <w:tcW w:w="958" w:type="dxa"/>
            <w:noWrap w:val="0"/>
            <w:vAlign w:val="center"/>
          </w:tcPr>
          <w:p w14:paraId="13F1BAE3">
            <w:pPr>
              <w:spacing w:line="460" w:lineRule="exact"/>
              <w:jc w:val="center"/>
              <w:rPr>
                <w:rFonts w:hint="eastAsia" w:ascii="宋体" w:hAnsi="宋体" w:cs="宋体"/>
                <w:color w:val="auto"/>
                <w:sz w:val="22"/>
                <w:szCs w:val="22"/>
                <w:highlight w:val="none"/>
              </w:rPr>
            </w:pPr>
          </w:p>
        </w:tc>
      </w:tr>
      <w:tr w14:paraId="4D529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862" w:type="dxa"/>
            <w:shd w:val="clear" w:color="auto" w:fill="auto"/>
            <w:noWrap w:val="0"/>
            <w:vAlign w:val="center"/>
          </w:tcPr>
          <w:p w14:paraId="057945BE">
            <w:pPr>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7</w:t>
            </w:r>
          </w:p>
        </w:tc>
        <w:tc>
          <w:tcPr>
            <w:tcW w:w="4346" w:type="dxa"/>
            <w:shd w:val="clear" w:color="auto" w:fill="FFFFFF"/>
            <w:noWrap w:val="0"/>
            <w:vAlign w:val="center"/>
          </w:tcPr>
          <w:p w14:paraId="169E01E2">
            <w:pPr>
              <w:widowControl/>
              <w:spacing w:before="120" w:beforeLines="50" w:after="120" w:afterLines="50" w:line="460" w:lineRule="exact"/>
              <w:rPr>
                <w:rFonts w:hint="eastAsia" w:ascii="宋体" w:hAnsi="宋体" w:cs="宋体"/>
                <w:color w:val="auto"/>
                <w:sz w:val="22"/>
                <w:szCs w:val="22"/>
                <w:highlight w:val="none"/>
              </w:rPr>
            </w:pPr>
          </w:p>
        </w:tc>
        <w:tc>
          <w:tcPr>
            <w:tcW w:w="1047" w:type="dxa"/>
            <w:noWrap w:val="0"/>
            <w:vAlign w:val="center"/>
          </w:tcPr>
          <w:p w14:paraId="1B96833E">
            <w:pPr>
              <w:spacing w:line="460" w:lineRule="exact"/>
              <w:jc w:val="center"/>
              <w:rPr>
                <w:rFonts w:hint="eastAsia" w:ascii="宋体" w:hAnsi="宋体" w:cs="宋体"/>
                <w:color w:val="auto"/>
                <w:sz w:val="22"/>
                <w:szCs w:val="22"/>
                <w:highlight w:val="none"/>
              </w:rPr>
            </w:pPr>
          </w:p>
        </w:tc>
        <w:tc>
          <w:tcPr>
            <w:tcW w:w="1046" w:type="dxa"/>
            <w:noWrap w:val="0"/>
            <w:vAlign w:val="center"/>
          </w:tcPr>
          <w:p w14:paraId="23EFD8AE">
            <w:pPr>
              <w:spacing w:line="460" w:lineRule="exact"/>
              <w:jc w:val="center"/>
              <w:rPr>
                <w:rFonts w:hint="eastAsia" w:ascii="宋体" w:hAnsi="宋体" w:cs="宋体"/>
                <w:color w:val="auto"/>
                <w:sz w:val="22"/>
                <w:szCs w:val="22"/>
                <w:highlight w:val="none"/>
              </w:rPr>
            </w:pPr>
          </w:p>
        </w:tc>
        <w:tc>
          <w:tcPr>
            <w:tcW w:w="1277" w:type="dxa"/>
            <w:noWrap w:val="0"/>
            <w:vAlign w:val="center"/>
          </w:tcPr>
          <w:p w14:paraId="2B38EBAF">
            <w:pPr>
              <w:spacing w:line="460" w:lineRule="exact"/>
              <w:jc w:val="center"/>
              <w:rPr>
                <w:rFonts w:hint="eastAsia" w:ascii="宋体" w:hAnsi="宋体" w:cs="宋体"/>
                <w:color w:val="auto"/>
                <w:sz w:val="22"/>
                <w:szCs w:val="22"/>
                <w:highlight w:val="none"/>
              </w:rPr>
            </w:pPr>
          </w:p>
        </w:tc>
        <w:tc>
          <w:tcPr>
            <w:tcW w:w="958" w:type="dxa"/>
            <w:noWrap w:val="0"/>
            <w:vAlign w:val="center"/>
          </w:tcPr>
          <w:p w14:paraId="398D28B5">
            <w:pPr>
              <w:spacing w:line="460" w:lineRule="exact"/>
              <w:jc w:val="center"/>
              <w:rPr>
                <w:rFonts w:hint="eastAsia" w:ascii="宋体" w:hAnsi="宋体" w:cs="宋体"/>
                <w:color w:val="auto"/>
                <w:sz w:val="22"/>
                <w:szCs w:val="22"/>
                <w:highlight w:val="none"/>
              </w:rPr>
            </w:pPr>
          </w:p>
        </w:tc>
      </w:tr>
      <w:tr w14:paraId="5BE6E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862" w:type="dxa"/>
            <w:shd w:val="clear" w:color="auto" w:fill="auto"/>
            <w:noWrap w:val="0"/>
            <w:vAlign w:val="center"/>
          </w:tcPr>
          <w:p w14:paraId="1CC9CDD9">
            <w:pPr>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8</w:t>
            </w:r>
          </w:p>
        </w:tc>
        <w:tc>
          <w:tcPr>
            <w:tcW w:w="4346" w:type="dxa"/>
            <w:shd w:val="clear" w:color="auto" w:fill="FFFFFF"/>
            <w:noWrap w:val="0"/>
            <w:vAlign w:val="center"/>
          </w:tcPr>
          <w:p w14:paraId="36F04E84">
            <w:pPr>
              <w:widowControl/>
              <w:spacing w:before="120" w:beforeLines="50" w:after="120" w:afterLines="50" w:line="460" w:lineRule="exact"/>
              <w:rPr>
                <w:rFonts w:hint="eastAsia" w:ascii="宋体" w:hAnsi="宋体" w:cs="宋体"/>
                <w:color w:val="auto"/>
                <w:sz w:val="22"/>
                <w:szCs w:val="22"/>
                <w:highlight w:val="none"/>
              </w:rPr>
            </w:pPr>
          </w:p>
        </w:tc>
        <w:tc>
          <w:tcPr>
            <w:tcW w:w="1047" w:type="dxa"/>
            <w:noWrap w:val="0"/>
            <w:vAlign w:val="center"/>
          </w:tcPr>
          <w:p w14:paraId="2B48C22D">
            <w:pPr>
              <w:spacing w:line="460" w:lineRule="exact"/>
              <w:jc w:val="center"/>
              <w:rPr>
                <w:rFonts w:hint="eastAsia" w:ascii="宋体" w:hAnsi="宋体" w:cs="宋体"/>
                <w:color w:val="auto"/>
                <w:sz w:val="22"/>
                <w:szCs w:val="22"/>
                <w:highlight w:val="none"/>
              </w:rPr>
            </w:pPr>
          </w:p>
        </w:tc>
        <w:tc>
          <w:tcPr>
            <w:tcW w:w="1046" w:type="dxa"/>
            <w:noWrap w:val="0"/>
            <w:vAlign w:val="center"/>
          </w:tcPr>
          <w:p w14:paraId="2C0E762B">
            <w:pPr>
              <w:spacing w:line="460" w:lineRule="exact"/>
              <w:jc w:val="center"/>
              <w:rPr>
                <w:rFonts w:hint="eastAsia" w:ascii="宋体" w:hAnsi="宋体" w:cs="宋体"/>
                <w:color w:val="auto"/>
                <w:sz w:val="22"/>
                <w:szCs w:val="22"/>
                <w:highlight w:val="none"/>
              </w:rPr>
            </w:pPr>
          </w:p>
        </w:tc>
        <w:tc>
          <w:tcPr>
            <w:tcW w:w="1277" w:type="dxa"/>
            <w:noWrap w:val="0"/>
            <w:vAlign w:val="center"/>
          </w:tcPr>
          <w:p w14:paraId="2B113A65">
            <w:pPr>
              <w:spacing w:line="460" w:lineRule="exact"/>
              <w:jc w:val="center"/>
              <w:rPr>
                <w:rFonts w:hint="eastAsia" w:ascii="宋体" w:hAnsi="宋体" w:cs="宋体"/>
                <w:color w:val="auto"/>
                <w:sz w:val="22"/>
                <w:szCs w:val="22"/>
                <w:highlight w:val="none"/>
              </w:rPr>
            </w:pPr>
          </w:p>
        </w:tc>
        <w:tc>
          <w:tcPr>
            <w:tcW w:w="958" w:type="dxa"/>
            <w:noWrap w:val="0"/>
            <w:vAlign w:val="center"/>
          </w:tcPr>
          <w:p w14:paraId="128F804D">
            <w:pPr>
              <w:spacing w:line="460" w:lineRule="exact"/>
              <w:jc w:val="center"/>
              <w:rPr>
                <w:rFonts w:hint="eastAsia" w:ascii="宋体" w:hAnsi="宋体" w:cs="宋体"/>
                <w:color w:val="auto"/>
                <w:sz w:val="22"/>
                <w:szCs w:val="22"/>
                <w:highlight w:val="none"/>
              </w:rPr>
            </w:pPr>
          </w:p>
        </w:tc>
      </w:tr>
      <w:tr w14:paraId="71CEF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trPr>
        <w:tc>
          <w:tcPr>
            <w:tcW w:w="862" w:type="dxa"/>
            <w:shd w:val="clear" w:color="auto" w:fill="auto"/>
            <w:noWrap w:val="0"/>
            <w:vAlign w:val="center"/>
          </w:tcPr>
          <w:p w14:paraId="0D1E7802">
            <w:pPr>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9</w:t>
            </w:r>
          </w:p>
        </w:tc>
        <w:tc>
          <w:tcPr>
            <w:tcW w:w="4346" w:type="dxa"/>
            <w:shd w:val="clear" w:color="auto" w:fill="FFFFFF"/>
            <w:noWrap w:val="0"/>
            <w:vAlign w:val="center"/>
          </w:tcPr>
          <w:p w14:paraId="66673A56">
            <w:pPr>
              <w:widowControl/>
              <w:spacing w:before="120" w:beforeLines="50" w:after="120" w:afterLines="50" w:line="460" w:lineRule="exact"/>
              <w:rPr>
                <w:rFonts w:hint="eastAsia" w:ascii="宋体" w:hAnsi="宋体" w:cs="宋体"/>
                <w:color w:val="auto"/>
                <w:sz w:val="22"/>
                <w:szCs w:val="22"/>
                <w:highlight w:val="none"/>
              </w:rPr>
            </w:pPr>
          </w:p>
        </w:tc>
        <w:tc>
          <w:tcPr>
            <w:tcW w:w="1047" w:type="dxa"/>
            <w:noWrap w:val="0"/>
            <w:vAlign w:val="center"/>
          </w:tcPr>
          <w:p w14:paraId="21840F22">
            <w:pPr>
              <w:spacing w:line="460" w:lineRule="exact"/>
              <w:jc w:val="center"/>
              <w:rPr>
                <w:rFonts w:hint="eastAsia" w:ascii="宋体" w:hAnsi="宋体" w:cs="宋体"/>
                <w:color w:val="auto"/>
                <w:sz w:val="22"/>
                <w:szCs w:val="22"/>
                <w:highlight w:val="none"/>
              </w:rPr>
            </w:pPr>
          </w:p>
        </w:tc>
        <w:tc>
          <w:tcPr>
            <w:tcW w:w="1046" w:type="dxa"/>
            <w:noWrap w:val="0"/>
            <w:vAlign w:val="center"/>
          </w:tcPr>
          <w:p w14:paraId="328021F6">
            <w:pPr>
              <w:spacing w:line="460" w:lineRule="exact"/>
              <w:jc w:val="center"/>
              <w:rPr>
                <w:rFonts w:hint="eastAsia" w:ascii="宋体" w:hAnsi="宋体" w:cs="宋体"/>
                <w:color w:val="auto"/>
                <w:sz w:val="22"/>
                <w:szCs w:val="22"/>
                <w:highlight w:val="none"/>
              </w:rPr>
            </w:pPr>
          </w:p>
        </w:tc>
        <w:tc>
          <w:tcPr>
            <w:tcW w:w="1277" w:type="dxa"/>
            <w:noWrap w:val="0"/>
            <w:vAlign w:val="center"/>
          </w:tcPr>
          <w:p w14:paraId="541FFF84">
            <w:pPr>
              <w:spacing w:line="460" w:lineRule="exact"/>
              <w:jc w:val="center"/>
              <w:rPr>
                <w:rFonts w:hint="eastAsia" w:ascii="宋体" w:hAnsi="宋体" w:cs="宋体"/>
                <w:color w:val="auto"/>
                <w:sz w:val="22"/>
                <w:szCs w:val="22"/>
                <w:highlight w:val="none"/>
              </w:rPr>
            </w:pPr>
          </w:p>
        </w:tc>
        <w:tc>
          <w:tcPr>
            <w:tcW w:w="958" w:type="dxa"/>
            <w:noWrap w:val="0"/>
            <w:vAlign w:val="center"/>
          </w:tcPr>
          <w:p w14:paraId="02365330">
            <w:pPr>
              <w:spacing w:line="460" w:lineRule="exact"/>
              <w:jc w:val="center"/>
              <w:rPr>
                <w:rFonts w:hint="eastAsia" w:ascii="宋体" w:hAnsi="宋体" w:cs="宋体"/>
                <w:color w:val="auto"/>
                <w:sz w:val="22"/>
                <w:szCs w:val="22"/>
                <w:highlight w:val="none"/>
              </w:rPr>
            </w:pPr>
          </w:p>
        </w:tc>
      </w:tr>
      <w:tr w14:paraId="4AE0A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862" w:type="dxa"/>
            <w:shd w:val="clear" w:color="auto" w:fill="auto"/>
            <w:noWrap w:val="0"/>
            <w:vAlign w:val="center"/>
          </w:tcPr>
          <w:p w14:paraId="504B4C41">
            <w:pPr>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w:t>
            </w:r>
          </w:p>
        </w:tc>
        <w:tc>
          <w:tcPr>
            <w:tcW w:w="4346" w:type="dxa"/>
            <w:shd w:val="clear" w:color="auto" w:fill="FFFFFF"/>
            <w:noWrap w:val="0"/>
            <w:vAlign w:val="center"/>
          </w:tcPr>
          <w:p w14:paraId="3D9B20D2">
            <w:pPr>
              <w:widowControl/>
              <w:spacing w:before="120" w:beforeLines="50" w:after="120" w:afterLines="50" w:line="460" w:lineRule="exact"/>
              <w:rPr>
                <w:rFonts w:hint="eastAsia" w:ascii="宋体" w:hAnsi="宋体" w:cs="宋体"/>
                <w:color w:val="auto"/>
                <w:sz w:val="22"/>
                <w:szCs w:val="22"/>
                <w:highlight w:val="none"/>
              </w:rPr>
            </w:pPr>
            <w:r>
              <w:rPr>
                <w:rFonts w:hint="eastAsia" w:ascii="宋体" w:hAnsi="宋体" w:cs="宋体"/>
                <w:b/>
                <w:bCs/>
                <w:color w:val="auto"/>
                <w:sz w:val="22"/>
                <w:szCs w:val="22"/>
                <w:highlight w:val="none"/>
              </w:rPr>
              <w:t>......</w:t>
            </w:r>
          </w:p>
        </w:tc>
        <w:tc>
          <w:tcPr>
            <w:tcW w:w="1047" w:type="dxa"/>
            <w:noWrap w:val="0"/>
            <w:vAlign w:val="center"/>
          </w:tcPr>
          <w:p w14:paraId="2470DC4B">
            <w:pPr>
              <w:spacing w:line="460" w:lineRule="exact"/>
              <w:jc w:val="center"/>
              <w:rPr>
                <w:rFonts w:hint="eastAsia" w:ascii="宋体" w:hAnsi="宋体" w:cs="宋体"/>
                <w:color w:val="auto"/>
                <w:sz w:val="22"/>
                <w:szCs w:val="22"/>
                <w:highlight w:val="none"/>
              </w:rPr>
            </w:pPr>
          </w:p>
        </w:tc>
        <w:tc>
          <w:tcPr>
            <w:tcW w:w="1046" w:type="dxa"/>
            <w:noWrap w:val="0"/>
            <w:vAlign w:val="center"/>
          </w:tcPr>
          <w:p w14:paraId="021654F7">
            <w:pPr>
              <w:spacing w:line="460" w:lineRule="exact"/>
              <w:jc w:val="center"/>
              <w:rPr>
                <w:rFonts w:hint="eastAsia" w:ascii="宋体" w:hAnsi="宋体" w:cs="宋体"/>
                <w:color w:val="auto"/>
                <w:sz w:val="22"/>
                <w:szCs w:val="22"/>
                <w:highlight w:val="none"/>
              </w:rPr>
            </w:pPr>
          </w:p>
        </w:tc>
        <w:tc>
          <w:tcPr>
            <w:tcW w:w="1277" w:type="dxa"/>
            <w:noWrap w:val="0"/>
            <w:vAlign w:val="center"/>
          </w:tcPr>
          <w:p w14:paraId="74860E31">
            <w:pPr>
              <w:spacing w:line="460" w:lineRule="exact"/>
              <w:jc w:val="center"/>
              <w:rPr>
                <w:rFonts w:hint="eastAsia" w:ascii="宋体" w:hAnsi="宋体" w:cs="宋体"/>
                <w:color w:val="auto"/>
                <w:sz w:val="22"/>
                <w:szCs w:val="22"/>
                <w:highlight w:val="none"/>
              </w:rPr>
            </w:pPr>
          </w:p>
        </w:tc>
        <w:tc>
          <w:tcPr>
            <w:tcW w:w="958" w:type="dxa"/>
            <w:noWrap w:val="0"/>
            <w:vAlign w:val="center"/>
          </w:tcPr>
          <w:p w14:paraId="70923F87">
            <w:pPr>
              <w:spacing w:line="460" w:lineRule="exact"/>
              <w:jc w:val="center"/>
              <w:rPr>
                <w:rFonts w:hint="eastAsia" w:ascii="宋体" w:hAnsi="宋体" w:cs="宋体"/>
                <w:color w:val="auto"/>
                <w:sz w:val="22"/>
                <w:szCs w:val="22"/>
                <w:highlight w:val="none"/>
              </w:rPr>
            </w:pPr>
          </w:p>
        </w:tc>
      </w:tr>
      <w:tr w14:paraId="482C3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62" w:type="dxa"/>
            <w:noWrap w:val="0"/>
            <w:vAlign w:val="center"/>
          </w:tcPr>
          <w:p w14:paraId="18553420">
            <w:pPr>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11</w:t>
            </w:r>
          </w:p>
        </w:tc>
        <w:tc>
          <w:tcPr>
            <w:tcW w:w="4346" w:type="dxa"/>
            <w:noWrap w:val="0"/>
            <w:vAlign w:val="center"/>
          </w:tcPr>
          <w:p w14:paraId="0EFCB107">
            <w:pPr>
              <w:spacing w:line="46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人员费用</w:t>
            </w:r>
          </w:p>
        </w:tc>
        <w:tc>
          <w:tcPr>
            <w:tcW w:w="1047" w:type="dxa"/>
            <w:noWrap w:val="0"/>
            <w:vAlign w:val="center"/>
          </w:tcPr>
          <w:p w14:paraId="675E247F">
            <w:pPr>
              <w:spacing w:line="460" w:lineRule="exact"/>
              <w:jc w:val="center"/>
              <w:rPr>
                <w:rFonts w:hint="eastAsia" w:ascii="宋体" w:hAnsi="宋体" w:cs="宋体"/>
                <w:color w:val="auto"/>
                <w:sz w:val="22"/>
                <w:szCs w:val="22"/>
                <w:highlight w:val="none"/>
              </w:rPr>
            </w:pPr>
          </w:p>
        </w:tc>
        <w:tc>
          <w:tcPr>
            <w:tcW w:w="1046" w:type="dxa"/>
            <w:noWrap w:val="0"/>
            <w:vAlign w:val="center"/>
          </w:tcPr>
          <w:p w14:paraId="6B2BEF96">
            <w:pPr>
              <w:spacing w:line="460" w:lineRule="exact"/>
              <w:jc w:val="center"/>
              <w:rPr>
                <w:rFonts w:hint="eastAsia" w:ascii="宋体" w:hAnsi="宋体" w:cs="宋体"/>
                <w:color w:val="auto"/>
                <w:sz w:val="22"/>
                <w:szCs w:val="22"/>
                <w:highlight w:val="none"/>
              </w:rPr>
            </w:pPr>
          </w:p>
        </w:tc>
        <w:tc>
          <w:tcPr>
            <w:tcW w:w="1277" w:type="dxa"/>
            <w:noWrap w:val="0"/>
            <w:vAlign w:val="center"/>
          </w:tcPr>
          <w:p w14:paraId="3189702F">
            <w:pPr>
              <w:spacing w:line="460" w:lineRule="exact"/>
              <w:jc w:val="center"/>
              <w:rPr>
                <w:rFonts w:hint="eastAsia" w:ascii="宋体" w:hAnsi="宋体" w:cs="宋体"/>
                <w:color w:val="auto"/>
                <w:sz w:val="22"/>
                <w:szCs w:val="22"/>
                <w:highlight w:val="none"/>
              </w:rPr>
            </w:pPr>
          </w:p>
        </w:tc>
        <w:tc>
          <w:tcPr>
            <w:tcW w:w="958" w:type="dxa"/>
            <w:noWrap w:val="0"/>
            <w:vAlign w:val="center"/>
          </w:tcPr>
          <w:p w14:paraId="02342A48">
            <w:pPr>
              <w:spacing w:line="460" w:lineRule="exact"/>
              <w:jc w:val="center"/>
              <w:rPr>
                <w:rFonts w:hint="eastAsia" w:ascii="宋体" w:hAnsi="宋体" w:cs="宋体"/>
                <w:color w:val="auto"/>
                <w:sz w:val="22"/>
                <w:szCs w:val="22"/>
                <w:highlight w:val="none"/>
              </w:rPr>
            </w:pPr>
          </w:p>
        </w:tc>
      </w:tr>
      <w:tr w14:paraId="6A5DC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trPr>
        <w:tc>
          <w:tcPr>
            <w:tcW w:w="862" w:type="dxa"/>
            <w:noWrap w:val="0"/>
            <w:vAlign w:val="center"/>
          </w:tcPr>
          <w:p w14:paraId="133BF4E5">
            <w:pPr>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12</w:t>
            </w:r>
          </w:p>
        </w:tc>
        <w:tc>
          <w:tcPr>
            <w:tcW w:w="4346" w:type="dxa"/>
            <w:noWrap w:val="0"/>
            <w:vAlign w:val="center"/>
          </w:tcPr>
          <w:p w14:paraId="3BFC2681">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税金</w:t>
            </w:r>
          </w:p>
        </w:tc>
        <w:tc>
          <w:tcPr>
            <w:tcW w:w="4328" w:type="dxa"/>
            <w:gridSpan w:val="4"/>
            <w:noWrap w:val="0"/>
            <w:vAlign w:val="center"/>
          </w:tcPr>
          <w:p w14:paraId="5DA86C3B">
            <w:pPr>
              <w:spacing w:line="460" w:lineRule="exact"/>
              <w:jc w:val="center"/>
              <w:rPr>
                <w:rFonts w:hint="eastAsia" w:ascii="宋体" w:hAnsi="宋体" w:cs="宋体"/>
                <w:color w:val="auto"/>
                <w:sz w:val="22"/>
                <w:szCs w:val="22"/>
                <w:highlight w:val="none"/>
              </w:rPr>
            </w:pPr>
          </w:p>
        </w:tc>
      </w:tr>
      <w:tr w14:paraId="48EF3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862" w:type="dxa"/>
            <w:noWrap w:val="0"/>
            <w:vAlign w:val="center"/>
          </w:tcPr>
          <w:p w14:paraId="011A1E33">
            <w:pPr>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13</w:t>
            </w:r>
          </w:p>
        </w:tc>
        <w:tc>
          <w:tcPr>
            <w:tcW w:w="4346" w:type="dxa"/>
            <w:noWrap w:val="0"/>
            <w:vAlign w:val="center"/>
          </w:tcPr>
          <w:p w14:paraId="10F74D07">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其他</w:t>
            </w:r>
          </w:p>
        </w:tc>
        <w:tc>
          <w:tcPr>
            <w:tcW w:w="4328" w:type="dxa"/>
            <w:gridSpan w:val="4"/>
            <w:noWrap w:val="0"/>
            <w:vAlign w:val="center"/>
          </w:tcPr>
          <w:p w14:paraId="4732FE56">
            <w:pPr>
              <w:spacing w:line="460" w:lineRule="exact"/>
              <w:jc w:val="center"/>
              <w:rPr>
                <w:rFonts w:hint="eastAsia" w:ascii="宋体" w:hAnsi="宋体" w:cs="宋体"/>
                <w:color w:val="auto"/>
                <w:sz w:val="22"/>
                <w:szCs w:val="22"/>
                <w:highlight w:val="none"/>
              </w:rPr>
            </w:pPr>
          </w:p>
        </w:tc>
      </w:tr>
      <w:tr w14:paraId="77442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862" w:type="dxa"/>
            <w:noWrap w:val="0"/>
            <w:vAlign w:val="center"/>
          </w:tcPr>
          <w:p w14:paraId="131E1C8B">
            <w:pPr>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14</w:t>
            </w:r>
          </w:p>
        </w:tc>
        <w:tc>
          <w:tcPr>
            <w:tcW w:w="4346" w:type="dxa"/>
            <w:noWrap w:val="0"/>
            <w:vAlign w:val="center"/>
          </w:tcPr>
          <w:p w14:paraId="35D67A78">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采购代理服务费</w:t>
            </w:r>
          </w:p>
        </w:tc>
        <w:tc>
          <w:tcPr>
            <w:tcW w:w="4328" w:type="dxa"/>
            <w:gridSpan w:val="4"/>
            <w:noWrap w:val="0"/>
            <w:vAlign w:val="center"/>
          </w:tcPr>
          <w:p w14:paraId="157A6190">
            <w:pPr>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含</w:t>
            </w:r>
          </w:p>
        </w:tc>
      </w:tr>
      <w:tr w14:paraId="329C5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5208" w:type="dxa"/>
            <w:gridSpan w:val="2"/>
            <w:noWrap w:val="0"/>
            <w:vAlign w:val="top"/>
          </w:tcPr>
          <w:p w14:paraId="31C2992F">
            <w:pPr>
              <w:spacing w:line="460" w:lineRule="exact"/>
              <w:ind w:firstLine="1650" w:firstLineChars="750"/>
              <w:rPr>
                <w:rFonts w:hint="eastAsia" w:ascii="宋体" w:hAnsi="宋体" w:cs="宋体"/>
                <w:color w:val="auto"/>
                <w:sz w:val="22"/>
                <w:szCs w:val="22"/>
                <w:highlight w:val="none"/>
              </w:rPr>
            </w:pPr>
            <w:r>
              <w:rPr>
                <w:rFonts w:hint="eastAsia" w:ascii="宋体" w:hAnsi="宋体" w:cs="宋体"/>
                <w:color w:val="auto"/>
                <w:sz w:val="22"/>
                <w:szCs w:val="22"/>
                <w:highlight w:val="none"/>
              </w:rPr>
              <w:t>总    计   价</w:t>
            </w:r>
          </w:p>
        </w:tc>
        <w:tc>
          <w:tcPr>
            <w:tcW w:w="4328" w:type="dxa"/>
            <w:gridSpan w:val="4"/>
            <w:noWrap w:val="0"/>
            <w:vAlign w:val="center"/>
          </w:tcPr>
          <w:p w14:paraId="5EBA8BB6">
            <w:pPr>
              <w:spacing w:line="460" w:lineRule="exact"/>
              <w:jc w:val="center"/>
              <w:rPr>
                <w:rFonts w:hint="eastAsia" w:ascii="宋体" w:hAnsi="宋体" w:cs="宋体"/>
                <w:color w:val="auto"/>
                <w:sz w:val="22"/>
                <w:szCs w:val="22"/>
                <w:highlight w:val="none"/>
              </w:rPr>
            </w:pPr>
          </w:p>
        </w:tc>
      </w:tr>
    </w:tbl>
    <w:p w14:paraId="729906A4">
      <w:pPr>
        <w:spacing w:line="38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说明：  </w:t>
      </w:r>
      <w:r>
        <w:rPr>
          <w:rFonts w:hint="eastAsia" w:ascii="新宋体" w:hAnsi="新宋体" w:eastAsia="新宋体" w:cs="新宋体"/>
          <w:color w:val="auto"/>
          <w:sz w:val="22"/>
          <w:szCs w:val="22"/>
          <w:highlight w:val="none"/>
        </w:rPr>
        <w:t>1、此表总计价应与附件二“投标报价一览表”中合计总价相一致。</w:t>
      </w:r>
    </w:p>
    <w:p w14:paraId="4A029AE5">
      <w:pPr>
        <w:spacing w:line="380" w:lineRule="exact"/>
        <w:ind w:firstLine="663" w:firstLineChars="3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▲2、不提供详细投标分项报价将视为没有实质性响应采购文件。</w:t>
      </w:r>
    </w:p>
    <w:p w14:paraId="120B268F">
      <w:pPr>
        <w:spacing w:line="380" w:lineRule="exact"/>
        <w:ind w:firstLine="880" w:firstLineChars="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3、如果免费请在该项内容栏内注明“免”，如果含在产品价格中则填“含”，如无此项内容则填“无”。</w:t>
      </w:r>
    </w:p>
    <w:p w14:paraId="73309DE2">
      <w:pPr>
        <w:spacing w:line="380" w:lineRule="exact"/>
        <w:ind w:firstLine="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3057EEB8">
      <w:pPr>
        <w:spacing w:line="3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投标人全称（盖章）：</w:t>
      </w:r>
    </w:p>
    <w:p w14:paraId="53574BA7">
      <w:pPr>
        <w:spacing w:line="3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法定代表人或其授权代表（签字）：</w:t>
      </w:r>
    </w:p>
    <w:p w14:paraId="7B3D94F1">
      <w:pPr>
        <w:pStyle w:val="10"/>
        <w:spacing w:line="460" w:lineRule="exact"/>
        <w:ind w:left="431" w:hanging="431" w:hangingChars="196"/>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日 期：</w:t>
      </w:r>
    </w:p>
    <w:p w14:paraId="6E946861">
      <w:pPr>
        <w:pStyle w:val="10"/>
        <w:spacing w:line="460" w:lineRule="exact"/>
        <w:ind w:left="433" w:hanging="433" w:hangingChars="196"/>
        <w:outlineLvl w:val="1"/>
        <w:rPr>
          <w:rFonts w:hint="eastAsia" w:ascii="新宋体" w:hAnsi="新宋体" w:eastAsia="新宋体" w:cs="新宋体"/>
          <w:b/>
          <w:color w:val="auto"/>
          <w:sz w:val="22"/>
          <w:highlight w:val="none"/>
        </w:rPr>
      </w:pPr>
      <w:bookmarkStart w:id="78" w:name="_Toc27023"/>
      <w:bookmarkStart w:id="79" w:name="_Toc13056"/>
      <w:r>
        <w:rPr>
          <w:rFonts w:hint="eastAsia" w:ascii="新宋体" w:hAnsi="新宋体" w:eastAsia="新宋体" w:cs="新宋体"/>
          <w:b/>
          <w:color w:val="auto"/>
          <w:sz w:val="22"/>
          <w:highlight w:val="none"/>
        </w:rPr>
        <w:br w:type="page"/>
      </w:r>
      <w:bookmarkStart w:id="80" w:name="_Toc22441"/>
      <w:r>
        <w:rPr>
          <w:rFonts w:hint="eastAsia" w:ascii="新宋体" w:hAnsi="新宋体" w:eastAsia="新宋体" w:cs="新宋体"/>
          <w:b/>
          <w:color w:val="auto"/>
          <w:sz w:val="22"/>
          <w:highlight w:val="none"/>
        </w:rPr>
        <w:t>附件四</w:t>
      </w:r>
      <w:bookmarkEnd w:id="78"/>
      <w:bookmarkEnd w:id="79"/>
      <w:bookmarkEnd w:id="80"/>
    </w:p>
    <w:p w14:paraId="5B259816">
      <w:pPr>
        <w:spacing w:line="460" w:lineRule="exact"/>
        <w:jc w:val="center"/>
        <w:outlineLvl w:val="2"/>
        <w:rPr>
          <w:rFonts w:hint="eastAsia" w:ascii="新宋体" w:hAnsi="新宋体" w:eastAsia="新宋体" w:cs="新宋体"/>
          <w:color w:val="auto"/>
          <w:sz w:val="28"/>
          <w:szCs w:val="28"/>
          <w:highlight w:val="none"/>
        </w:rPr>
      </w:pPr>
      <w:bookmarkStart w:id="81" w:name="_Toc19114"/>
      <w:bookmarkStart w:id="82" w:name="_Toc20855"/>
      <w:bookmarkStart w:id="83" w:name="_Toc10980"/>
      <w:r>
        <w:rPr>
          <w:rFonts w:hint="eastAsia" w:ascii="新宋体" w:hAnsi="新宋体" w:eastAsia="新宋体" w:cs="新宋体"/>
          <w:b/>
          <w:bCs/>
          <w:color w:val="auto"/>
          <w:sz w:val="28"/>
          <w:szCs w:val="28"/>
          <w:highlight w:val="none"/>
          <w:lang w:val="zh-CN"/>
        </w:rPr>
        <w:t>资格证明文件</w:t>
      </w:r>
      <w:bookmarkEnd w:id="81"/>
      <w:bookmarkEnd w:id="82"/>
      <w:bookmarkEnd w:id="83"/>
      <w:r>
        <w:rPr>
          <w:rFonts w:hint="eastAsia" w:ascii="新宋体" w:hAnsi="新宋体" w:eastAsia="新宋体" w:cs="新宋体"/>
          <w:color w:val="auto"/>
          <w:sz w:val="28"/>
          <w:szCs w:val="28"/>
          <w:highlight w:val="none"/>
        </w:rPr>
        <w:t xml:space="preserve"> </w:t>
      </w:r>
    </w:p>
    <w:p w14:paraId="38C4E434">
      <w:pPr>
        <w:spacing w:line="380" w:lineRule="exact"/>
        <w:jc w:val="center"/>
        <w:outlineLvl w:val="1"/>
        <w:rPr>
          <w:rFonts w:hint="eastAsia" w:ascii="新宋体" w:hAnsi="新宋体" w:eastAsia="新宋体" w:cs="新宋体"/>
          <w:b/>
          <w:color w:val="auto"/>
          <w:sz w:val="22"/>
          <w:szCs w:val="22"/>
          <w:highlight w:val="none"/>
        </w:rPr>
      </w:pPr>
      <w:bookmarkStart w:id="84" w:name="_Toc14886"/>
      <w:bookmarkStart w:id="85" w:name="_Toc15149"/>
      <w:bookmarkStart w:id="86" w:name="_Toc7453"/>
      <w:r>
        <w:rPr>
          <w:rFonts w:hint="eastAsia" w:ascii="新宋体" w:hAnsi="新宋体" w:eastAsia="新宋体" w:cs="新宋体"/>
          <w:b/>
          <w:color w:val="auto"/>
          <w:sz w:val="22"/>
          <w:szCs w:val="22"/>
          <w:highlight w:val="none"/>
        </w:rPr>
        <w:t>（1）法定代表人授权书</w:t>
      </w:r>
      <w:bookmarkEnd w:id="84"/>
      <w:bookmarkEnd w:id="85"/>
      <w:bookmarkEnd w:id="86"/>
    </w:p>
    <w:p w14:paraId="72FE5C2E">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温州市工睿实业有限公司：</w:t>
      </w:r>
    </w:p>
    <w:p w14:paraId="4E6BCE78">
      <w:pPr>
        <w:spacing w:line="460" w:lineRule="exact"/>
        <w:rPr>
          <w:rFonts w:hint="eastAsia" w:ascii="新宋体" w:hAnsi="新宋体" w:eastAsia="新宋体" w:cs="新宋体"/>
          <w:color w:val="auto"/>
          <w:sz w:val="22"/>
          <w:szCs w:val="22"/>
          <w:highlight w:val="none"/>
          <w:u w:val="single"/>
        </w:rPr>
      </w:pPr>
    </w:p>
    <w:p w14:paraId="4BDA04FD">
      <w:pPr>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（投标人全称）法定代表人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（全权代表姓名）为全权代表，参加贵公司组织的（项目名称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、编号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）的采购活动，全权代表我方处理采购活动中的一切事宜。</w:t>
      </w:r>
    </w:p>
    <w:p w14:paraId="780D1E16">
      <w:pPr>
        <w:spacing w:line="460" w:lineRule="exact"/>
        <w:ind w:firstLine="2955"/>
        <w:rPr>
          <w:rFonts w:hint="eastAsia" w:ascii="新宋体" w:hAnsi="新宋体" w:eastAsia="新宋体" w:cs="新宋体"/>
          <w:color w:val="auto"/>
          <w:sz w:val="22"/>
          <w:szCs w:val="22"/>
          <w:highlight w:val="none"/>
        </w:rPr>
      </w:pPr>
    </w:p>
    <w:p w14:paraId="3F2A5DC9">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68095306">
      <w:pPr>
        <w:spacing w:line="460" w:lineRule="exact"/>
        <w:ind w:firstLine="4081" w:firstLineChars="18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  (签字或盖章)：</w:t>
      </w:r>
    </w:p>
    <w:p w14:paraId="3044D9B2">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投标人全称（公章）：</w:t>
      </w:r>
    </w:p>
    <w:p w14:paraId="58C249E0">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日   期：  </w:t>
      </w:r>
    </w:p>
    <w:p w14:paraId="1B0CBCE7">
      <w:pPr>
        <w:spacing w:line="380" w:lineRule="exact"/>
        <w:rPr>
          <w:rFonts w:hint="eastAsia" w:ascii="新宋体" w:hAnsi="新宋体" w:eastAsia="新宋体" w:cs="新宋体"/>
          <w:color w:val="auto"/>
          <w:sz w:val="22"/>
          <w:szCs w:val="22"/>
          <w:highlight w:val="none"/>
        </w:rPr>
      </w:pPr>
    </w:p>
    <w:p w14:paraId="219EF860">
      <w:pPr>
        <w:spacing w:line="380" w:lineRule="exact"/>
        <w:rPr>
          <w:rFonts w:hint="eastAsia" w:ascii="新宋体" w:hAnsi="新宋体" w:eastAsia="新宋体" w:cs="新宋体"/>
          <w:color w:val="auto"/>
          <w:sz w:val="22"/>
          <w:szCs w:val="22"/>
          <w:highlight w:val="none"/>
        </w:rPr>
      </w:pPr>
    </w:p>
    <w:p w14:paraId="19CA03E6">
      <w:pPr>
        <w:spacing w:line="380" w:lineRule="exact"/>
        <w:rPr>
          <w:rFonts w:hint="eastAsia" w:ascii="新宋体" w:hAnsi="新宋体" w:eastAsia="新宋体" w:cs="新宋体"/>
          <w:color w:val="auto"/>
          <w:sz w:val="22"/>
          <w:szCs w:val="22"/>
          <w:highlight w:val="none"/>
        </w:rPr>
      </w:pPr>
    </w:p>
    <w:p w14:paraId="45A3D952">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附：</w:t>
      </w:r>
    </w:p>
    <w:p w14:paraId="25C1897A">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 xml:space="preserve">授权代表姓名：                               </w:t>
      </w:r>
    </w:p>
    <w:p w14:paraId="4529EDDE">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职务：</w:t>
      </w:r>
    </w:p>
    <w:p w14:paraId="73AE0563">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详细通讯地址：</w:t>
      </w:r>
    </w:p>
    <w:p w14:paraId="19515836">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电话：</w:t>
      </w:r>
    </w:p>
    <w:p w14:paraId="30E3EBED">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传真：</w:t>
      </w:r>
    </w:p>
    <w:p w14:paraId="340812D6">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邮政编码:</w:t>
      </w:r>
    </w:p>
    <w:p w14:paraId="51B0BC50">
      <w:pPr>
        <w:spacing w:line="380" w:lineRule="exact"/>
        <w:rPr>
          <w:rFonts w:hint="eastAsia" w:ascii="新宋体" w:hAnsi="新宋体" w:eastAsia="新宋体" w:cs="新宋体"/>
          <w:color w:val="auto"/>
          <w:sz w:val="22"/>
          <w:szCs w:val="22"/>
          <w:highlight w:val="none"/>
        </w:rPr>
      </w:pPr>
    </w:p>
    <w:p w14:paraId="12650101">
      <w:pPr>
        <w:spacing w:line="460" w:lineRule="exact"/>
        <w:jc w:val="center"/>
        <w:rPr>
          <w:rFonts w:hint="eastAsia" w:ascii="新宋体" w:hAnsi="新宋体" w:eastAsia="新宋体" w:cs="新宋体"/>
          <w:b/>
          <w:bCs/>
          <w:color w:val="auto"/>
          <w:sz w:val="28"/>
          <w:szCs w:val="28"/>
          <w:highlight w:val="none"/>
        </w:rPr>
      </w:pPr>
    </w:p>
    <w:p w14:paraId="4E5F921A">
      <w:pPr>
        <w:spacing w:line="460" w:lineRule="exact"/>
        <w:jc w:val="center"/>
        <w:rPr>
          <w:rFonts w:hint="eastAsia" w:ascii="新宋体" w:hAnsi="新宋体" w:eastAsia="新宋体" w:cs="新宋体"/>
          <w:b/>
          <w:bCs/>
          <w:color w:val="auto"/>
          <w:sz w:val="28"/>
          <w:szCs w:val="28"/>
          <w:highlight w:val="none"/>
        </w:rPr>
      </w:pPr>
    </w:p>
    <w:p w14:paraId="698F020F">
      <w:pPr>
        <w:spacing w:line="460" w:lineRule="exact"/>
        <w:jc w:val="center"/>
        <w:rPr>
          <w:rFonts w:hint="eastAsia" w:ascii="新宋体" w:hAnsi="新宋体" w:eastAsia="新宋体" w:cs="新宋体"/>
          <w:b/>
          <w:bCs/>
          <w:color w:val="auto"/>
          <w:sz w:val="28"/>
          <w:szCs w:val="28"/>
          <w:highlight w:val="none"/>
        </w:rPr>
      </w:pPr>
    </w:p>
    <w:p w14:paraId="51F0A768">
      <w:pPr>
        <w:spacing w:line="460" w:lineRule="exact"/>
        <w:jc w:val="center"/>
        <w:rPr>
          <w:rFonts w:hint="eastAsia" w:ascii="新宋体" w:hAnsi="新宋体" w:eastAsia="新宋体" w:cs="新宋体"/>
          <w:b/>
          <w:bCs/>
          <w:color w:val="auto"/>
          <w:sz w:val="28"/>
          <w:szCs w:val="28"/>
          <w:highlight w:val="none"/>
        </w:rPr>
      </w:pPr>
    </w:p>
    <w:p w14:paraId="7FCF4C8C">
      <w:pPr>
        <w:spacing w:line="460" w:lineRule="exact"/>
        <w:jc w:val="center"/>
        <w:rPr>
          <w:rFonts w:hint="eastAsia" w:ascii="新宋体" w:hAnsi="新宋体" w:eastAsia="新宋体" w:cs="新宋体"/>
          <w:b/>
          <w:bCs/>
          <w:color w:val="auto"/>
          <w:sz w:val="28"/>
          <w:szCs w:val="28"/>
          <w:highlight w:val="none"/>
        </w:rPr>
      </w:pPr>
    </w:p>
    <w:p w14:paraId="56D817CA">
      <w:pPr>
        <w:spacing w:line="460" w:lineRule="exact"/>
        <w:jc w:val="center"/>
        <w:rPr>
          <w:rFonts w:hint="eastAsia" w:ascii="新宋体" w:hAnsi="新宋体" w:eastAsia="新宋体" w:cs="新宋体"/>
          <w:b/>
          <w:bCs/>
          <w:color w:val="auto"/>
          <w:sz w:val="28"/>
          <w:szCs w:val="28"/>
          <w:highlight w:val="none"/>
        </w:rPr>
      </w:pPr>
    </w:p>
    <w:p w14:paraId="177FC606">
      <w:pPr>
        <w:spacing w:line="460" w:lineRule="exact"/>
        <w:jc w:val="center"/>
        <w:rPr>
          <w:rFonts w:hint="eastAsia" w:ascii="新宋体" w:hAnsi="新宋体" w:eastAsia="新宋体" w:cs="新宋体"/>
          <w:b/>
          <w:bCs/>
          <w:color w:val="auto"/>
          <w:sz w:val="28"/>
          <w:szCs w:val="28"/>
          <w:highlight w:val="none"/>
        </w:rPr>
      </w:pPr>
    </w:p>
    <w:p w14:paraId="5611CC24">
      <w:pPr>
        <w:spacing w:line="460" w:lineRule="exact"/>
        <w:jc w:val="center"/>
        <w:rPr>
          <w:rFonts w:hint="eastAsia" w:ascii="新宋体" w:hAnsi="新宋体" w:eastAsia="新宋体" w:cs="新宋体"/>
          <w:b/>
          <w:bCs/>
          <w:color w:val="auto"/>
          <w:sz w:val="28"/>
          <w:szCs w:val="28"/>
          <w:highlight w:val="none"/>
        </w:rPr>
      </w:pPr>
    </w:p>
    <w:p w14:paraId="462ED5E0">
      <w:pPr>
        <w:spacing w:line="460" w:lineRule="exact"/>
        <w:jc w:val="center"/>
        <w:rPr>
          <w:rFonts w:hint="eastAsia" w:ascii="新宋体" w:hAnsi="新宋体" w:eastAsia="新宋体" w:cs="新宋体"/>
          <w:b/>
          <w:bCs/>
          <w:color w:val="auto"/>
          <w:sz w:val="28"/>
          <w:szCs w:val="28"/>
          <w:highlight w:val="none"/>
        </w:rPr>
      </w:pPr>
    </w:p>
    <w:p w14:paraId="49969216">
      <w:pPr>
        <w:spacing w:line="46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lang w:val="zh-CN"/>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054090" cy="3004185"/>
                <wp:effectExtent l="5080" t="4445" r="17780" b="20320"/>
                <wp:wrapNone/>
                <wp:docPr id="3" name="文本框 3"/>
                <wp:cNvGraphicFramePr/>
                <a:graphic xmlns:a="http://schemas.openxmlformats.org/drawingml/2006/main">
                  <a:graphicData uri="http://schemas.microsoft.com/office/word/2010/wordprocessingShape">
                    <wps:wsp>
                      <wps:cNvSpPr txBox="1"/>
                      <wps:spPr>
                        <a:xfrm>
                          <a:off x="0" y="0"/>
                          <a:ext cx="6054090" cy="30041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03B5BE">
                            <w:r>
                              <w:rPr>
                                <w:rFonts w:hint="eastAsia" w:ascii="新宋体" w:hAnsi="新宋体" w:eastAsia="新宋体"/>
                                <w:sz w:val="22"/>
                                <w:szCs w:val="22"/>
                              </w:rPr>
                              <w:t xml:space="preserve">  法定代表人身份证（正反面）：</w:t>
                            </w:r>
                          </w:p>
                        </w:txbxContent>
                      </wps:txbx>
                      <wps:bodyPr upright="1"/>
                    </wps:wsp>
                  </a:graphicData>
                </a:graphic>
              </wp:anchor>
            </w:drawing>
          </mc:Choice>
          <mc:Fallback>
            <w:pict>
              <v:shape id="_x0000_s1026" o:spid="_x0000_s1026" o:spt="202" type="#_x0000_t202" style="position:absolute;left:0pt;margin-left:8.95pt;margin-top:25.25pt;height:236.55pt;width:476.7pt;z-index:251659264;mso-width-relative:page;mso-height-relative:page;" fillcolor="#FFFFFF" filled="t" stroked="t" coordsize="21600,21600" o:gfxdata="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xL02AAAAAkBAAAPAAAAAAAAAAEAIAAA&#10;ACIAAABkcnMvZG93bnJldi54bWxQSwECFAAUAAAACACHTuJAwMv0QQwCAAA3BAAADgAAAAAAAAAB&#10;ACAAAAAnAQAAZHJzL2Uyb0RvYy54bWxQSwUGAAAAAAYABgBZAQAApQUAAAAA&#10;">
                <v:fill on="t" focussize="0,0"/>
                <v:stroke color="#000000" joinstyle="miter"/>
                <v:imagedata o:title=""/>
                <o:lock v:ext="edit" aspectratio="f"/>
                <v:textbox>
                  <w:txbxContent>
                    <w:p w14:paraId="0703B5BE">
                      <w:r>
                        <w:rPr>
                          <w:rFonts w:hint="eastAsia" w:ascii="新宋体" w:hAnsi="新宋体" w:eastAsia="新宋体"/>
                          <w:sz w:val="22"/>
                          <w:szCs w:val="22"/>
                        </w:rPr>
                        <w:t xml:space="preserve">  法定代表人身份证（正反面）：</w:t>
                      </w:r>
                    </w:p>
                  </w:txbxContent>
                </v:textbox>
              </v:shape>
            </w:pict>
          </mc:Fallback>
        </mc:AlternateContent>
      </w:r>
    </w:p>
    <w:p w14:paraId="3337A05D">
      <w:pPr>
        <w:spacing w:line="460" w:lineRule="exact"/>
        <w:jc w:val="center"/>
        <w:rPr>
          <w:rFonts w:hint="eastAsia" w:ascii="新宋体" w:hAnsi="新宋体" w:eastAsia="新宋体" w:cs="新宋体"/>
          <w:b/>
          <w:bCs/>
          <w:color w:val="auto"/>
          <w:sz w:val="28"/>
          <w:szCs w:val="28"/>
          <w:highlight w:val="none"/>
        </w:rPr>
      </w:pPr>
    </w:p>
    <w:p w14:paraId="09B2B875">
      <w:pPr>
        <w:spacing w:line="460" w:lineRule="exact"/>
        <w:jc w:val="center"/>
        <w:rPr>
          <w:rFonts w:hint="eastAsia" w:ascii="新宋体" w:hAnsi="新宋体" w:eastAsia="新宋体" w:cs="新宋体"/>
          <w:b/>
          <w:bCs/>
          <w:color w:val="auto"/>
          <w:sz w:val="28"/>
          <w:szCs w:val="28"/>
          <w:highlight w:val="none"/>
        </w:rPr>
      </w:pPr>
    </w:p>
    <w:p w14:paraId="72C95F5A">
      <w:pPr>
        <w:spacing w:line="460" w:lineRule="exact"/>
        <w:jc w:val="center"/>
        <w:rPr>
          <w:rFonts w:hint="eastAsia" w:ascii="新宋体" w:hAnsi="新宋体" w:eastAsia="新宋体" w:cs="新宋体"/>
          <w:b/>
          <w:bCs/>
          <w:color w:val="auto"/>
          <w:sz w:val="28"/>
          <w:szCs w:val="28"/>
          <w:highlight w:val="none"/>
        </w:rPr>
      </w:pPr>
    </w:p>
    <w:p w14:paraId="15BB5C61">
      <w:pPr>
        <w:spacing w:line="460" w:lineRule="exact"/>
        <w:jc w:val="center"/>
        <w:rPr>
          <w:rFonts w:hint="eastAsia" w:ascii="新宋体" w:hAnsi="新宋体" w:eastAsia="新宋体" w:cs="新宋体"/>
          <w:b/>
          <w:bCs/>
          <w:color w:val="auto"/>
          <w:sz w:val="28"/>
          <w:szCs w:val="28"/>
          <w:highlight w:val="none"/>
        </w:rPr>
      </w:pPr>
    </w:p>
    <w:p w14:paraId="65650171">
      <w:pPr>
        <w:spacing w:line="460" w:lineRule="exact"/>
        <w:jc w:val="center"/>
        <w:rPr>
          <w:rFonts w:hint="eastAsia" w:ascii="新宋体" w:hAnsi="新宋体" w:eastAsia="新宋体" w:cs="新宋体"/>
          <w:b/>
          <w:bCs/>
          <w:color w:val="auto"/>
          <w:sz w:val="28"/>
          <w:szCs w:val="28"/>
          <w:highlight w:val="none"/>
        </w:rPr>
      </w:pPr>
    </w:p>
    <w:p w14:paraId="0F594E70">
      <w:pPr>
        <w:spacing w:line="460" w:lineRule="exact"/>
        <w:jc w:val="center"/>
        <w:rPr>
          <w:rFonts w:hint="eastAsia" w:ascii="新宋体" w:hAnsi="新宋体" w:eastAsia="新宋体" w:cs="新宋体"/>
          <w:b/>
          <w:bCs/>
          <w:color w:val="auto"/>
          <w:sz w:val="28"/>
          <w:szCs w:val="28"/>
          <w:highlight w:val="none"/>
        </w:rPr>
      </w:pPr>
    </w:p>
    <w:p w14:paraId="001ABC70">
      <w:pPr>
        <w:spacing w:line="460" w:lineRule="exact"/>
        <w:jc w:val="center"/>
        <w:rPr>
          <w:rFonts w:hint="eastAsia" w:ascii="新宋体" w:hAnsi="新宋体" w:eastAsia="新宋体" w:cs="新宋体"/>
          <w:b/>
          <w:bCs/>
          <w:color w:val="auto"/>
          <w:sz w:val="28"/>
          <w:szCs w:val="28"/>
          <w:highlight w:val="none"/>
        </w:rPr>
      </w:pPr>
    </w:p>
    <w:p w14:paraId="214EC2B8">
      <w:pPr>
        <w:spacing w:line="460" w:lineRule="exact"/>
        <w:jc w:val="center"/>
        <w:rPr>
          <w:rFonts w:hint="eastAsia" w:ascii="新宋体" w:hAnsi="新宋体" w:eastAsia="新宋体" w:cs="新宋体"/>
          <w:b/>
          <w:bCs/>
          <w:color w:val="auto"/>
          <w:sz w:val="28"/>
          <w:szCs w:val="28"/>
          <w:highlight w:val="none"/>
        </w:rPr>
      </w:pPr>
    </w:p>
    <w:p w14:paraId="0475FA84">
      <w:pPr>
        <w:spacing w:line="460" w:lineRule="exact"/>
        <w:jc w:val="center"/>
        <w:rPr>
          <w:rFonts w:hint="eastAsia" w:ascii="新宋体" w:hAnsi="新宋体" w:eastAsia="新宋体" w:cs="新宋体"/>
          <w:b/>
          <w:bCs/>
          <w:color w:val="auto"/>
          <w:sz w:val="28"/>
          <w:szCs w:val="28"/>
          <w:highlight w:val="none"/>
        </w:rPr>
      </w:pPr>
    </w:p>
    <w:p w14:paraId="644C4327">
      <w:pPr>
        <w:spacing w:line="460" w:lineRule="exact"/>
        <w:jc w:val="center"/>
        <w:rPr>
          <w:rFonts w:hint="eastAsia" w:ascii="新宋体" w:hAnsi="新宋体" w:eastAsia="新宋体" w:cs="新宋体"/>
          <w:b/>
          <w:bCs/>
          <w:color w:val="auto"/>
          <w:sz w:val="28"/>
          <w:szCs w:val="28"/>
          <w:highlight w:val="none"/>
        </w:rPr>
      </w:pPr>
    </w:p>
    <w:p w14:paraId="0ADA0348">
      <w:pPr>
        <w:spacing w:line="460" w:lineRule="exact"/>
        <w:jc w:val="center"/>
        <w:rPr>
          <w:rFonts w:hint="eastAsia" w:ascii="新宋体" w:hAnsi="新宋体" w:eastAsia="新宋体" w:cs="新宋体"/>
          <w:b/>
          <w:bCs/>
          <w:color w:val="auto"/>
          <w:sz w:val="28"/>
          <w:szCs w:val="28"/>
          <w:highlight w:val="none"/>
        </w:rPr>
      </w:pPr>
    </w:p>
    <w:p w14:paraId="6AF3DEA6">
      <w:pPr>
        <w:spacing w:line="460" w:lineRule="exact"/>
        <w:jc w:val="center"/>
        <w:rPr>
          <w:rFonts w:hint="eastAsia" w:ascii="新宋体" w:hAnsi="新宋体" w:eastAsia="新宋体" w:cs="新宋体"/>
          <w:b/>
          <w:bCs/>
          <w:color w:val="auto"/>
          <w:sz w:val="28"/>
          <w:szCs w:val="28"/>
          <w:highlight w:val="none"/>
        </w:rPr>
      </w:pPr>
    </w:p>
    <w:p w14:paraId="1A1E36EA">
      <w:pPr>
        <w:spacing w:line="46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lang w:val="zh-CN"/>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-53975</wp:posOffset>
                </wp:positionV>
                <wp:extent cx="6036945" cy="3875405"/>
                <wp:effectExtent l="4445" t="5080" r="16510" b="5715"/>
                <wp:wrapNone/>
                <wp:docPr id="4" name="文本框 4"/>
                <wp:cNvGraphicFramePr/>
                <a:graphic xmlns:a="http://schemas.openxmlformats.org/drawingml/2006/main">
                  <a:graphicData uri="http://schemas.microsoft.com/office/word/2010/wordprocessingShape">
                    <wps:wsp>
                      <wps:cNvSpPr txBox="1"/>
                      <wps:spPr>
                        <a:xfrm>
                          <a:off x="0" y="0"/>
                          <a:ext cx="6036945" cy="38754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049E054">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shape id="_x0000_s1026" o:spid="_x0000_s1026" o:spt="202" type="#_x0000_t202" style="position:absolute;left:0pt;margin-left:6.95pt;margin-top:-4.25pt;height:305.15pt;width:475.35pt;z-index:251660288;mso-width-relative:page;mso-height-relative:page;" fillcolor="#FFFFFF" filled="t" stroked="t" coordsize="21600,21600" o:gfxdata="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MC3B2AAAAAkBAAAPAAAAAAAAAAEAIAAA&#10;ACIAAABkcnMvZG93bnJldi54bWxQSwECFAAUAAAACACHTuJAEnNtUwwCAAA3BAAADgAAAAAAAAAB&#10;ACAAAAAnAQAAZHJzL2Uyb0RvYy54bWxQSwUGAAAAAAYABgBZAQAApQUAAAAA&#10;">
                <v:fill on="t" focussize="0,0"/>
                <v:stroke color="#000000" joinstyle="miter"/>
                <v:imagedata o:title=""/>
                <o:lock v:ext="edit" aspectratio="f"/>
                <v:textbox>
                  <w:txbxContent>
                    <w:p w14:paraId="1049E054">
                      <w:r>
                        <w:rPr>
                          <w:rFonts w:hint="eastAsia" w:ascii="新宋体" w:hAnsi="新宋体" w:eastAsia="新宋体"/>
                          <w:sz w:val="22"/>
                          <w:szCs w:val="22"/>
                        </w:rPr>
                        <w:t xml:space="preserve">  授权代表身份证（正反面）：</w:t>
                      </w:r>
                    </w:p>
                  </w:txbxContent>
                </v:textbox>
              </v:shape>
            </w:pict>
          </mc:Fallback>
        </mc:AlternateContent>
      </w:r>
    </w:p>
    <w:p w14:paraId="1361BD14">
      <w:pPr>
        <w:spacing w:line="460" w:lineRule="exact"/>
        <w:jc w:val="center"/>
        <w:rPr>
          <w:rFonts w:hint="eastAsia" w:ascii="新宋体" w:hAnsi="新宋体" w:eastAsia="新宋体" w:cs="新宋体"/>
          <w:b/>
          <w:bCs/>
          <w:color w:val="auto"/>
          <w:sz w:val="28"/>
          <w:szCs w:val="28"/>
          <w:highlight w:val="none"/>
        </w:rPr>
      </w:pPr>
    </w:p>
    <w:p w14:paraId="7FD51E13">
      <w:pPr>
        <w:spacing w:line="460" w:lineRule="exact"/>
        <w:jc w:val="center"/>
        <w:rPr>
          <w:rFonts w:hint="eastAsia" w:ascii="新宋体" w:hAnsi="新宋体" w:eastAsia="新宋体" w:cs="新宋体"/>
          <w:b/>
          <w:bCs/>
          <w:color w:val="auto"/>
          <w:sz w:val="28"/>
          <w:szCs w:val="28"/>
          <w:highlight w:val="none"/>
        </w:rPr>
      </w:pPr>
    </w:p>
    <w:p w14:paraId="11302DC5">
      <w:pPr>
        <w:spacing w:line="460" w:lineRule="exact"/>
        <w:jc w:val="center"/>
        <w:rPr>
          <w:rFonts w:hint="eastAsia" w:ascii="新宋体" w:hAnsi="新宋体" w:eastAsia="新宋体" w:cs="新宋体"/>
          <w:b/>
          <w:bCs/>
          <w:color w:val="auto"/>
          <w:sz w:val="28"/>
          <w:szCs w:val="28"/>
          <w:highlight w:val="none"/>
        </w:rPr>
      </w:pPr>
    </w:p>
    <w:p w14:paraId="5380DF5A">
      <w:pPr>
        <w:spacing w:line="460" w:lineRule="exact"/>
        <w:jc w:val="center"/>
        <w:rPr>
          <w:rFonts w:hint="eastAsia" w:ascii="新宋体" w:hAnsi="新宋体" w:eastAsia="新宋体" w:cs="新宋体"/>
          <w:b/>
          <w:bCs/>
          <w:color w:val="auto"/>
          <w:sz w:val="28"/>
          <w:szCs w:val="28"/>
          <w:highlight w:val="none"/>
        </w:rPr>
      </w:pPr>
    </w:p>
    <w:p w14:paraId="591059BD">
      <w:pPr>
        <w:spacing w:line="460" w:lineRule="exact"/>
        <w:jc w:val="center"/>
        <w:rPr>
          <w:rFonts w:hint="eastAsia" w:ascii="新宋体" w:hAnsi="新宋体" w:eastAsia="新宋体" w:cs="新宋体"/>
          <w:b/>
          <w:bCs/>
          <w:color w:val="auto"/>
          <w:sz w:val="28"/>
          <w:szCs w:val="28"/>
          <w:highlight w:val="none"/>
        </w:rPr>
      </w:pPr>
    </w:p>
    <w:p w14:paraId="1D7AFF36">
      <w:pPr>
        <w:spacing w:line="460" w:lineRule="exact"/>
        <w:jc w:val="center"/>
        <w:rPr>
          <w:rFonts w:hint="eastAsia" w:ascii="新宋体" w:hAnsi="新宋体" w:eastAsia="新宋体" w:cs="新宋体"/>
          <w:b/>
          <w:bCs/>
          <w:color w:val="auto"/>
          <w:sz w:val="28"/>
          <w:szCs w:val="28"/>
          <w:highlight w:val="none"/>
        </w:rPr>
      </w:pPr>
    </w:p>
    <w:p w14:paraId="0BAE410E">
      <w:pPr>
        <w:spacing w:line="460" w:lineRule="exact"/>
        <w:jc w:val="center"/>
        <w:rPr>
          <w:rFonts w:hint="eastAsia" w:ascii="新宋体" w:hAnsi="新宋体" w:eastAsia="新宋体" w:cs="新宋体"/>
          <w:b/>
          <w:bCs/>
          <w:color w:val="auto"/>
          <w:sz w:val="28"/>
          <w:szCs w:val="28"/>
          <w:highlight w:val="none"/>
        </w:rPr>
      </w:pPr>
    </w:p>
    <w:p w14:paraId="2F2F7CE7">
      <w:pPr>
        <w:spacing w:line="460" w:lineRule="exact"/>
        <w:jc w:val="center"/>
        <w:rPr>
          <w:rFonts w:hint="eastAsia" w:ascii="新宋体" w:hAnsi="新宋体" w:eastAsia="新宋体" w:cs="新宋体"/>
          <w:b/>
          <w:bCs/>
          <w:color w:val="auto"/>
          <w:sz w:val="28"/>
          <w:szCs w:val="28"/>
          <w:highlight w:val="none"/>
        </w:rPr>
      </w:pPr>
    </w:p>
    <w:p w14:paraId="174E45B2">
      <w:pPr>
        <w:spacing w:line="460" w:lineRule="exact"/>
        <w:jc w:val="center"/>
        <w:rPr>
          <w:rFonts w:hint="eastAsia" w:ascii="新宋体" w:hAnsi="新宋体" w:eastAsia="新宋体" w:cs="新宋体"/>
          <w:b/>
          <w:bCs/>
          <w:color w:val="auto"/>
          <w:sz w:val="28"/>
          <w:szCs w:val="28"/>
          <w:highlight w:val="none"/>
        </w:rPr>
      </w:pPr>
    </w:p>
    <w:p w14:paraId="78FD22E8">
      <w:pPr>
        <w:spacing w:line="460" w:lineRule="exact"/>
        <w:jc w:val="center"/>
        <w:rPr>
          <w:rFonts w:hint="eastAsia" w:ascii="新宋体" w:hAnsi="新宋体" w:eastAsia="新宋体" w:cs="新宋体"/>
          <w:b/>
          <w:bCs/>
          <w:color w:val="auto"/>
          <w:sz w:val="28"/>
          <w:szCs w:val="28"/>
          <w:highlight w:val="none"/>
        </w:rPr>
      </w:pPr>
    </w:p>
    <w:p w14:paraId="1EF2EE89">
      <w:pPr>
        <w:spacing w:line="460" w:lineRule="exact"/>
        <w:jc w:val="center"/>
        <w:rPr>
          <w:rFonts w:hint="eastAsia" w:ascii="新宋体" w:hAnsi="新宋体" w:eastAsia="新宋体" w:cs="新宋体"/>
          <w:b/>
          <w:bCs/>
          <w:color w:val="auto"/>
          <w:sz w:val="28"/>
          <w:szCs w:val="28"/>
          <w:highlight w:val="none"/>
        </w:rPr>
      </w:pPr>
    </w:p>
    <w:p w14:paraId="1A6AFFB2">
      <w:pPr>
        <w:spacing w:line="460" w:lineRule="exact"/>
        <w:jc w:val="center"/>
        <w:rPr>
          <w:rFonts w:hint="eastAsia" w:ascii="新宋体" w:hAnsi="新宋体" w:eastAsia="新宋体" w:cs="新宋体"/>
          <w:b/>
          <w:bCs/>
          <w:color w:val="auto"/>
          <w:sz w:val="28"/>
          <w:szCs w:val="28"/>
          <w:highlight w:val="none"/>
        </w:rPr>
      </w:pPr>
    </w:p>
    <w:p w14:paraId="71440EC9">
      <w:pPr>
        <w:spacing w:line="460" w:lineRule="exact"/>
        <w:jc w:val="center"/>
        <w:rPr>
          <w:rFonts w:hint="eastAsia" w:ascii="新宋体" w:hAnsi="新宋体" w:eastAsia="新宋体" w:cs="新宋体"/>
          <w:b/>
          <w:bCs/>
          <w:color w:val="auto"/>
          <w:sz w:val="28"/>
          <w:szCs w:val="28"/>
          <w:highlight w:val="none"/>
        </w:rPr>
      </w:pPr>
    </w:p>
    <w:p w14:paraId="21598F0B">
      <w:pPr>
        <w:spacing w:line="460" w:lineRule="exact"/>
        <w:jc w:val="center"/>
        <w:rPr>
          <w:rFonts w:hint="eastAsia" w:ascii="新宋体" w:hAnsi="新宋体" w:eastAsia="新宋体" w:cs="新宋体"/>
          <w:b/>
          <w:bCs/>
          <w:color w:val="auto"/>
          <w:sz w:val="28"/>
          <w:szCs w:val="28"/>
          <w:highlight w:val="none"/>
        </w:rPr>
      </w:pPr>
    </w:p>
    <w:p w14:paraId="7B7EE363">
      <w:pPr>
        <w:spacing w:line="460" w:lineRule="exact"/>
        <w:jc w:val="center"/>
        <w:rPr>
          <w:rFonts w:hint="eastAsia" w:ascii="新宋体" w:hAnsi="新宋体" w:eastAsia="新宋体" w:cs="新宋体"/>
          <w:b/>
          <w:bCs/>
          <w:color w:val="auto"/>
          <w:sz w:val="28"/>
          <w:szCs w:val="28"/>
          <w:highlight w:val="none"/>
        </w:rPr>
      </w:pPr>
    </w:p>
    <w:p w14:paraId="222AE2DD">
      <w:pPr>
        <w:spacing w:line="460" w:lineRule="exact"/>
        <w:jc w:val="center"/>
        <w:rPr>
          <w:rFonts w:hint="eastAsia" w:ascii="新宋体" w:hAnsi="新宋体" w:eastAsia="新宋体" w:cs="新宋体"/>
          <w:b/>
          <w:bCs/>
          <w:color w:val="auto"/>
          <w:sz w:val="28"/>
          <w:szCs w:val="28"/>
          <w:highlight w:val="none"/>
        </w:rPr>
      </w:pPr>
    </w:p>
    <w:p w14:paraId="5D9B7D22">
      <w:pPr>
        <w:spacing w:line="460" w:lineRule="exact"/>
        <w:rPr>
          <w:rFonts w:hint="eastAsia" w:ascii="新宋体" w:hAnsi="新宋体" w:eastAsia="新宋体" w:cs="新宋体"/>
          <w:b/>
          <w:bCs/>
          <w:color w:val="auto"/>
          <w:sz w:val="22"/>
          <w:szCs w:val="22"/>
          <w:highlight w:val="none"/>
        </w:rPr>
        <w:sectPr>
          <w:headerReference r:id="rId4" w:type="first"/>
          <w:footerReference r:id="rId6" w:type="first"/>
          <w:headerReference r:id="rId3" w:type="default"/>
          <w:footerReference r:id="rId5" w:type="default"/>
          <w:pgSz w:w="11906" w:h="16838"/>
          <w:pgMar w:top="1134" w:right="1134" w:bottom="1134" w:left="1134" w:header="850" w:footer="992" w:gutter="0"/>
          <w:cols w:space="720" w:num="1"/>
          <w:titlePg/>
          <w:docGrid w:linePitch="312" w:charSpace="0"/>
        </w:sectPr>
      </w:pPr>
    </w:p>
    <w:p w14:paraId="190721CD">
      <w:pPr>
        <w:spacing w:line="460" w:lineRule="exact"/>
        <w:jc w:val="center"/>
        <w:outlineLvl w:val="1"/>
        <w:rPr>
          <w:rFonts w:hint="eastAsia" w:ascii="新宋体" w:hAnsi="新宋体" w:eastAsia="新宋体" w:cs="新宋体"/>
          <w:b/>
          <w:bCs/>
          <w:color w:val="auto"/>
          <w:sz w:val="22"/>
          <w:szCs w:val="22"/>
          <w:highlight w:val="none"/>
        </w:rPr>
      </w:pPr>
      <w:bookmarkStart w:id="87" w:name="_Toc22776"/>
      <w:bookmarkStart w:id="88" w:name="_Toc27303"/>
      <w:bookmarkStart w:id="89" w:name="_Toc18918"/>
      <w:r>
        <w:rPr>
          <w:rFonts w:hint="eastAsia" w:ascii="新宋体" w:hAnsi="新宋体" w:eastAsia="新宋体" w:cs="新宋体"/>
          <w:b/>
          <w:bCs/>
          <w:color w:val="auto"/>
          <w:sz w:val="22"/>
          <w:szCs w:val="22"/>
          <w:highlight w:val="none"/>
        </w:rPr>
        <w:t>（2）投标人情况表</w:t>
      </w:r>
      <w:bookmarkEnd w:id="87"/>
      <w:bookmarkEnd w:id="88"/>
      <w:bookmarkEnd w:id="89"/>
    </w:p>
    <w:p w14:paraId="19162880">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项目名称：                                             项目编号：</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14:paraId="41C5C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noWrap w:val="0"/>
            <w:vAlign w:val="top"/>
          </w:tcPr>
          <w:p w14:paraId="08951DBD">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单位名称（盖章）</w:t>
            </w:r>
          </w:p>
        </w:tc>
        <w:tc>
          <w:tcPr>
            <w:tcW w:w="2804" w:type="dxa"/>
            <w:gridSpan w:val="2"/>
            <w:noWrap w:val="0"/>
            <w:vAlign w:val="top"/>
          </w:tcPr>
          <w:p w14:paraId="4C7EF669">
            <w:pPr>
              <w:spacing w:line="480" w:lineRule="exact"/>
              <w:rPr>
                <w:rFonts w:hint="eastAsia" w:ascii="新宋体" w:hAnsi="新宋体" w:eastAsia="新宋体" w:cs="新宋体"/>
                <w:color w:val="auto"/>
                <w:sz w:val="22"/>
                <w:szCs w:val="22"/>
                <w:highlight w:val="none"/>
              </w:rPr>
            </w:pPr>
          </w:p>
        </w:tc>
        <w:tc>
          <w:tcPr>
            <w:tcW w:w="1115" w:type="dxa"/>
            <w:gridSpan w:val="2"/>
            <w:noWrap w:val="0"/>
            <w:vAlign w:val="top"/>
          </w:tcPr>
          <w:p w14:paraId="2C0660EC">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 话</w:t>
            </w:r>
          </w:p>
        </w:tc>
        <w:tc>
          <w:tcPr>
            <w:tcW w:w="2588" w:type="dxa"/>
            <w:gridSpan w:val="2"/>
            <w:noWrap w:val="0"/>
            <w:vAlign w:val="top"/>
          </w:tcPr>
          <w:p w14:paraId="3BB2D116">
            <w:pPr>
              <w:spacing w:line="480" w:lineRule="exact"/>
              <w:rPr>
                <w:rFonts w:hint="eastAsia" w:ascii="新宋体" w:hAnsi="新宋体" w:eastAsia="新宋体" w:cs="新宋体"/>
                <w:color w:val="auto"/>
                <w:sz w:val="22"/>
                <w:szCs w:val="22"/>
                <w:highlight w:val="none"/>
              </w:rPr>
            </w:pPr>
          </w:p>
        </w:tc>
        <w:tc>
          <w:tcPr>
            <w:tcW w:w="1488" w:type="dxa"/>
            <w:noWrap w:val="0"/>
            <w:vAlign w:val="top"/>
          </w:tcPr>
          <w:p w14:paraId="62586BEF">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主管部门</w:t>
            </w:r>
          </w:p>
        </w:tc>
        <w:tc>
          <w:tcPr>
            <w:tcW w:w="1502" w:type="dxa"/>
            <w:noWrap w:val="0"/>
            <w:vAlign w:val="top"/>
          </w:tcPr>
          <w:p w14:paraId="40D6D0B4">
            <w:pPr>
              <w:spacing w:line="480" w:lineRule="exact"/>
              <w:rPr>
                <w:rFonts w:hint="eastAsia" w:ascii="新宋体" w:hAnsi="新宋体" w:eastAsia="新宋体" w:cs="新宋体"/>
                <w:color w:val="auto"/>
                <w:sz w:val="22"/>
                <w:szCs w:val="22"/>
                <w:highlight w:val="none"/>
              </w:rPr>
            </w:pPr>
          </w:p>
        </w:tc>
        <w:tc>
          <w:tcPr>
            <w:tcW w:w="1488" w:type="dxa"/>
            <w:noWrap w:val="0"/>
            <w:vAlign w:val="top"/>
          </w:tcPr>
          <w:p w14:paraId="202C6401">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企业负责人</w:t>
            </w:r>
          </w:p>
        </w:tc>
        <w:tc>
          <w:tcPr>
            <w:tcW w:w="1115" w:type="dxa"/>
            <w:noWrap w:val="0"/>
            <w:vAlign w:val="top"/>
          </w:tcPr>
          <w:p w14:paraId="30EEDB67">
            <w:pPr>
              <w:spacing w:line="480" w:lineRule="exact"/>
              <w:rPr>
                <w:rFonts w:hint="eastAsia" w:ascii="新宋体" w:hAnsi="新宋体" w:eastAsia="新宋体" w:cs="新宋体"/>
                <w:color w:val="auto"/>
                <w:sz w:val="22"/>
                <w:szCs w:val="22"/>
                <w:highlight w:val="none"/>
              </w:rPr>
            </w:pPr>
          </w:p>
        </w:tc>
        <w:tc>
          <w:tcPr>
            <w:tcW w:w="1461" w:type="dxa"/>
            <w:gridSpan w:val="2"/>
            <w:noWrap w:val="0"/>
            <w:vAlign w:val="top"/>
          </w:tcPr>
          <w:p w14:paraId="5B81BA9F">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tc>
      </w:tr>
      <w:tr w14:paraId="27522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noWrap w:val="0"/>
            <w:vAlign w:val="top"/>
          </w:tcPr>
          <w:p w14:paraId="67D60D20">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w:t>
            </w:r>
          </w:p>
        </w:tc>
        <w:tc>
          <w:tcPr>
            <w:tcW w:w="2804" w:type="dxa"/>
            <w:gridSpan w:val="2"/>
            <w:noWrap w:val="0"/>
            <w:vAlign w:val="top"/>
          </w:tcPr>
          <w:p w14:paraId="70B37912">
            <w:pPr>
              <w:spacing w:line="480" w:lineRule="exact"/>
              <w:rPr>
                <w:rFonts w:hint="eastAsia" w:ascii="新宋体" w:hAnsi="新宋体" w:eastAsia="新宋体" w:cs="新宋体"/>
                <w:color w:val="auto"/>
                <w:sz w:val="22"/>
                <w:szCs w:val="22"/>
                <w:highlight w:val="none"/>
              </w:rPr>
            </w:pPr>
          </w:p>
        </w:tc>
        <w:tc>
          <w:tcPr>
            <w:tcW w:w="1115" w:type="dxa"/>
            <w:gridSpan w:val="2"/>
            <w:noWrap w:val="0"/>
            <w:vAlign w:val="top"/>
          </w:tcPr>
          <w:p w14:paraId="5EE74F3D">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w:t>
            </w:r>
          </w:p>
        </w:tc>
        <w:tc>
          <w:tcPr>
            <w:tcW w:w="2588" w:type="dxa"/>
            <w:gridSpan w:val="2"/>
            <w:noWrap w:val="0"/>
            <w:vAlign w:val="top"/>
          </w:tcPr>
          <w:p w14:paraId="276D80B4">
            <w:pPr>
              <w:spacing w:line="480" w:lineRule="exact"/>
              <w:rPr>
                <w:rFonts w:hint="eastAsia" w:ascii="新宋体" w:hAnsi="新宋体" w:eastAsia="新宋体" w:cs="新宋体"/>
                <w:color w:val="auto"/>
                <w:sz w:val="22"/>
                <w:szCs w:val="22"/>
                <w:highlight w:val="none"/>
              </w:rPr>
            </w:pPr>
          </w:p>
        </w:tc>
        <w:tc>
          <w:tcPr>
            <w:tcW w:w="1488" w:type="dxa"/>
            <w:noWrap w:val="0"/>
            <w:vAlign w:val="top"/>
          </w:tcPr>
          <w:p w14:paraId="4EFE9BE9">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企业性质</w:t>
            </w:r>
          </w:p>
        </w:tc>
        <w:tc>
          <w:tcPr>
            <w:tcW w:w="1502" w:type="dxa"/>
            <w:noWrap w:val="0"/>
            <w:vAlign w:val="top"/>
          </w:tcPr>
          <w:p w14:paraId="18D11EF2">
            <w:pPr>
              <w:spacing w:line="480" w:lineRule="exact"/>
              <w:rPr>
                <w:rFonts w:hint="eastAsia" w:ascii="新宋体" w:hAnsi="新宋体" w:eastAsia="新宋体" w:cs="新宋体"/>
                <w:color w:val="auto"/>
                <w:sz w:val="22"/>
                <w:szCs w:val="22"/>
                <w:highlight w:val="none"/>
              </w:rPr>
            </w:pPr>
          </w:p>
        </w:tc>
        <w:tc>
          <w:tcPr>
            <w:tcW w:w="1488" w:type="dxa"/>
            <w:noWrap w:val="0"/>
            <w:vAlign w:val="top"/>
          </w:tcPr>
          <w:p w14:paraId="7E770B31">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授权代表</w:t>
            </w:r>
          </w:p>
        </w:tc>
        <w:tc>
          <w:tcPr>
            <w:tcW w:w="1115" w:type="dxa"/>
            <w:noWrap w:val="0"/>
            <w:vAlign w:val="top"/>
          </w:tcPr>
          <w:p w14:paraId="0DC124BD">
            <w:pPr>
              <w:spacing w:line="480" w:lineRule="exact"/>
              <w:rPr>
                <w:rFonts w:hint="eastAsia" w:ascii="新宋体" w:hAnsi="新宋体" w:eastAsia="新宋体" w:cs="新宋体"/>
                <w:color w:val="auto"/>
                <w:sz w:val="22"/>
                <w:szCs w:val="22"/>
                <w:highlight w:val="none"/>
              </w:rPr>
            </w:pPr>
          </w:p>
        </w:tc>
        <w:tc>
          <w:tcPr>
            <w:tcW w:w="1461" w:type="dxa"/>
            <w:gridSpan w:val="2"/>
            <w:noWrap w:val="0"/>
            <w:vAlign w:val="top"/>
          </w:tcPr>
          <w:p w14:paraId="61D23B0D">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tc>
      </w:tr>
      <w:tr w14:paraId="12AF4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noWrap w:val="0"/>
            <w:vAlign w:val="center"/>
          </w:tcPr>
          <w:p w14:paraId="042FBD21">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单位简介</w:t>
            </w:r>
          </w:p>
          <w:p w14:paraId="7DBB695C">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及机构</w:t>
            </w:r>
          </w:p>
        </w:tc>
        <w:tc>
          <w:tcPr>
            <w:tcW w:w="6507" w:type="dxa"/>
            <w:gridSpan w:val="6"/>
            <w:noWrap w:val="0"/>
            <w:vAlign w:val="center"/>
          </w:tcPr>
          <w:p w14:paraId="7AD0D3C4">
            <w:pPr>
              <w:spacing w:line="480" w:lineRule="exact"/>
              <w:jc w:val="center"/>
              <w:rPr>
                <w:rFonts w:hint="eastAsia" w:ascii="新宋体" w:hAnsi="新宋体" w:eastAsia="新宋体" w:cs="新宋体"/>
                <w:color w:val="auto"/>
                <w:sz w:val="22"/>
                <w:szCs w:val="22"/>
                <w:highlight w:val="none"/>
              </w:rPr>
            </w:pPr>
          </w:p>
        </w:tc>
        <w:tc>
          <w:tcPr>
            <w:tcW w:w="1488" w:type="dxa"/>
            <w:noWrap w:val="0"/>
            <w:vAlign w:val="center"/>
          </w:tcPr>
          <w:p w14:paraId="4776959C">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单位优势</w:t>
            </w:r>
          </w:p>
          <w:p w14:paraId="0BAF7B6C">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及特长</w:t>
            </w:r>
          </w:p>
        </w:tc>
        <w:tc>
          <w:tcPr>
            <w:tcW w:w="5566" w:type="dxa"/>
            <w:gridSpan w:val="5"/>
            <w:noWrap w:val="0"/>
            <w:vAlign w:val="top"/>
          </w:tcPr>
          <w:p w14:paraId="2E17DAC1">
            <w:pPr>
              <w:spacing w:line="480" w:lineRule="exact"/>
              <w:rPr>
                <w:rFonts w:hint="eastAsia" w:ascii="新宋体" w:hAnsi="新宋体" w:eastAsia="新宋体" w:cs="新宋体"/>
                <w:color w:val="auto"/>
                <w:sz w:val="22"/>
                <w:szCs w:val="22"/>
                <w:highlight w:val="none"/>
              </w:rPr>
            </w:pPr>
          </w:p>
        </w:tc>
      </w:tr>
      <w:tr w14:paraId="50109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noWrap w:val="0"/>
            <w:vAlign w:val="center"/>
          </w:tcPr>
          <w:p w14:paraId="6FE5AFCA">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单位概况</w:t>
            </w:r>
          </w:p>
        </w:tc>
        <w:tc>
          <w:tcPr>
            <w:tcW w:w="1115" w:type="dxa"/>
            <w:vMerge w:val="restart"/>
            <w:noWrap w:val="0"/>
            <w:vAlign w:val="top"/>
          </w:tcPr>
          <w:p w14:paraId="5530BA67">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职工总数</w:t>
            </w:r>
          </w:p>
        </w:tc>
        <w:tc>
          <w:tcPr>
            <w:tcW w:w="1689" w:type="dxa"/>
            <w:vMerge w:val="restart"/>
            <w:noWrap w:val="0"/>
            <w:vAlign w:val="top"/>
          </w:tcPr>
          <w:p w14:paraId="1E79F235">
            <w:pPr>
              <w:spacing w:line="480" w:lineRule="exact"/>
              <w:ind w:firstLine="1540" w:firstLineChars="700"/>
              <w:rPr>
                <w:rFonts w:hint="eastAsia" w:ascii="新宋体" w:hAnsi="新宋体" w:eastAsia="新宋体" w:cs="新宋体"/>
                <w:color w:val="auto"/>
                <w:sz w:val="22"/>
                <w:szCs w:val="22"/>
                <w:highlight w:val="none"/>
              </w:rPr>
            </w:pPr>
          </w:p>
        </w:tc>
        <w:tc>
          <w:tcPr>
            <w:tcW w:w="3703" w:type="dxa"/>
            <w:gridSpan w:val="4"/>
            <w:vMerge w:val="restart"/>
            <w:noWrap w:val="0"/>
            <w:vAlign w:val="top"/>
          </w:tcPr>
          <w:p w14:paraId="25C4B463">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各人员构成情况</w:t>
            </w:r>
          </w:p>
        </w:tc>
        <w:tc>
          <w:tcPr>
            <w:tcW w:w="1488" w:type="dxa"/>
            <w:vMerge w:val="restart"/>
            <w:noWrap w:val="0"/>
            <w:vAlign w:val="center"/>
          </w:tcPr>
          <w:p w14:paraId="343A9952">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上一年主要  经济指标</w:t>
            </w:r>
          </w:p>
        </w:tc>
        <w:tc>
          <w:tcPr>
            <w:tcW w:w="1502" w:type="dxa"/>
            <w:noWrap w:val="0"/>
            <w:vAlign w:val="center"/>
          </w:tcPr>
          <w:p w14:paraId="32B3F300">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指标名称</w:t>
            </w:r>
          </w:p>
        </w:tc>
        <w:tc>
          <w:tcPr>
            <w:tcW w:w="1488" w:type="dxa"/>
            <w:tcBorders>
              <w:tr2bl w:val="single" w:color="auto" w:sz="4" w:space="0"/>
            </w:tcBorders>
            <w:noWrap w:val="0"/>
            <w:vAlign w:val="center"/>
          </w:tcPr>
          <w:p w14:paraId="09C53F31">
            <w:pPr>
              <w:spacing w:line="480" w:lineRule="exact"/>
              <w:jc w:val="center"/>
              <w:rPr>
                <w:rFonts w:hint="eastAsia" w:ascii="新宋体" w:hAnsi="新宋体" w:eastAsia="新宋体" w:cs="新宋体"/>
                <w:color w:val="auto"/>
                <w:sz w:val="22"/>
                <w:szCs w:val="22"/>
                <w:highlight w:val="none"/>
              </w:rPr>
            </w:pPr>
          </w:p>
        </w:tc>
        <w:tc>
          <w:tcPr>
            <w:tcW w:w="1470" w:type="dxa"/>
            <w:gridSpan w:val="2"/>
            <w:noWrap w:val="0"/>
            <w:vAlign w:val="center"/>
          </w:tcPr>
          <w:p w14:paraId="6B04DE4F">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实际完成</w:t>
            </w:r>
          </w:p>
        </w:tc>
        <w:tc>
          <w:tcPr>
            <w:tcW w:w="1106" w:type="dxa"/>
            <w:tcBorders>
              <w:tr2bl w:val="single" w:color="auto" w:sz="4" w:space="0"/>
            </w:tcBorders>
            <w:noWrap w:val="0"/>
            <w:vAlign w:val="center"/>
          </w:tcPr>
          <w:p w14:paraId="0D0E39F5">
            <w:pPr>
              <w:spacing w:line="480" w:lineRule="exact"/>
              <w:jc w:val="center"/>
              <w:rPr>
                <w:rFonts w:hint="eastAsia" w:ascii="新宋体" w:hAnsi="新宋体" w:eastAsia="新宋体" w:cs="新宋体"/>
                <w:color w:val="auto"/>
                <w:sz w:val="22"/>
                <w:szCs w:val="22"/>
                <w:highlight w:val="none"/>
              </w:rPr>
            </w:pPr>
          </w:p>
        </w:tc>
      </w:tr>
      <w:tr w14:paraId="7E49D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noWrap w:val="0"/>
            <w:vAlign w:val="top"/>
          </w:tcPr>
          <w:p w14:paraId="0553282E">
            <w:pPr>
              <w:spacing w:line="480" w:lineRule="exact"/>
              <w:rPr>
                <w:rFonts w:hint="eastAsia" w:ascii="新宋体" w:hAnsi="新宋体" w:eastAsia="新宋体" w:cs="新宋体"/>
                <w:color w:val="auto"/>
                <w:sz w:val="22"/>
                <w:szCs w:val="22"/>
                <w:highlight w:val="none"/>
              </w:rPr>
            </w:pPr>
          </w:p>
        </w:tc>
        <w:tc>
          <w:tcPr>
            <w:tcW w:w="1115" w:type="dxa"/>
            <w:vMerge w:val="continue"/>
            <w:noWrap w:val="0"/>
            <w:vAlign w:val="top"/>
          </w:tcPr>
          <w:p w14:paraId="09681682">
            <w:pPr>
              <w:spacing w:line="480" w:lineRule="exact"/>
              <w:rPr>
                <w:rFonts w:hint="eastAsia" w:ascii="新宋体" w:hAnsi="新宋体" w:eastAsia="新宋体" w:cs="新宋体"/>
                <w:color w:val="auto"/>
                <w:sz w:val="22"/>
                <w:szCs w:val="22"/>
                <w:highlight w:val="none"/>
              </w:rPr>
            </w:pPr>
          </w:p>
        </w:tc>
        <w:tc>
          <w:tcPr>
            <w:tcW w:w="1689" w:type="dxa"/>
            <w:vMerge w:val="continue"/>
            <w:noWrap w:val="0"/>
            <w:vAlign w:val="top"/>
          </w:tcPr>
          <w:p w14:paraId="3209DFEC">
            <w:pPr>
              <w:spacing w:line="480" w:lineRule="exact"/>
              <w:rPr>
                <w:rFonts w:hint="eastAsia" w:ascii="新宋体" w:hAnsi="新宋体" w:eastAsia="新宋体" w:cs="新宋体"/>
                <w:color w:val="auto"/>
                <w:sz w:val="22"/>
                <w:szCs w:val="22"/>
                <w:highlight w:val="none"/>
              </w:rPr>
            </w:pPr>
          </w:p>
        </w:tc>
        <w:tc>
          <w:tcPr>
            <w:tcW w:w="3703" w:type="dxa"/>
            <w:gridSpan w:val="4"/>
            <w:vMerge w:val="continue"/>
            <w:noWrap w:val="0"/>
            <w:vAlign w:val="top"/>
          </w:tcPr>
          <w:p w14:paraId="354E1846">
            <w:pPr>
              <w:spacing w:line="480" w:lineRule="exact"/>
              <w:rPr>
                <w:rFonts w:hint="eastAsia" w:ascii="新宋体" w:hAnsi="新宋体" w:eastAsia="新宋体" w:cs="新宋体"/>
                <w:color w:val="auto"/>
                <w:sz w:val="22"/>
                <w:szCs w:val="22"/>
                <w:highlight w:val="none"/>
              </w:rPr>
            </w:pPr>
          </w:p>
        </w:tc>
        <w:tc>
          <w:tcPr>
            <w:tcW w:w="1488" w:type="dxa"/>
            <w:vMerge w:val="continue"/>
            <w:noWrap w:val="0"/>
            <w:vAlign w:val="top"/>
          </w:tcPr>
          <w:p w14:paraId="6EF6B1C5">
            <w:pPr>
              <w:spacing w:line="480" w:lineRule="exact"/>
              <w:rPr>
                <w:rFonts w:hint="eastAsia" w:ascii="新宋体" w:hAnsi="新宋体" w:eastAsia="新宋体" w:cs="新宋体"/>
                <w:color w:val="auto"/>
                <w:sz w:val="22"/>
                <w:szCs w:val="22"/>
                <w:highlight w:val="none"/>
              </w:rPr>
            </w:pPr>
          </w:p>
        </w:tc>
        <w:tc>
          <w:tcPr>
            <w:tcW w:w="1502" w:type="dxa"/>
            <w:noWrap w:val="0"/>
            <w:vAlign w:val="center"/>
          </w:tcPr>
          <w:p w14:paraId="6CD45E1F">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总产值</w:t>
            </w:r>
          </w:p>
        </w:tc>
        <w:tc>
          <w:tcPr>
            <w:tcW w:w="1488" w:type="dxa"/>
            <w:noWrap w:val="0"/>
            <w:vAlign w:val="center"/>
          </w:tcPr>
          <w:p w14:paraId="2ED06F31">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70" w:type="dxa"/>
            <w:gridSpan w:val="2"/>
            <w:noWrap w:val="0"/>
            <w:vAlign w:val="center"/>
          </w:tcPr>
          <w:p w14:paraId="3EB1EF60">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总产值</w:t>
            </w:r>
          </w:p>
        </w:tc>
        <w:tc>
          <w:tcPr>
            <w:tcW w:w="1106" w:type="dxa"/>
            <w:noWrap w:val="0"/>
            <w:vAlign w:val="center"/>
          </w:tcPr>
          <w:p w14:paraId="6B33F69B">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r>
      <w:tr w14:paraId="2821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noWrap w:val="0"/>
            <w:vAlign w:val="top"/>
          </w:tcPr>
          <w:p w14:paraId="321FED77">
            <w:pPr>
              <w:spacing w:line="480" w:lineRule="exact"/>
              <w:rPr>
                <w:rFonts w:hint="eastAsia" w:ascii="新宋体" w:hAnsi="新宋体" w:eastAsia="新宋体" w:cs="新宋体"/>
                <w:color w:val="auto"/>
                <w:sz w:val="22"/>
                <w:szCs w:val="22"/>
                <w:highlight w:val="none"/>
              </w:rPr>
            </w:pPr>
          </w:p>
        </w:tc>
        <w:tc>
          <w:tcPr>
            <w:tcW w:w="1115" w:type="dxa"/>
            <w:vMerge w:val="restart"/>
            <w:noWrap w:val="0"/>
            <w:vAlign w:val="top"/>
          </w:tcPr>
          <w:p w14:paraId="727D8B01">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流动资金</w:t>
            </w:r>
          </w:p>
        </w:tc>
        <w:tc>
          <w:tcPr>
            <w:tcW w:w="1689" w:type="dxa"/>
            <w:vMerge w:val="restart"/>
            <w:noWrap w:val="0"/>
            <w:vAlign w:val="top"/>
          </w:tcPr>
          <w:p w14:paraId="46604259">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17D65355">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万元 </w:t>
            </w:r>
          </w:p>
        </w:tc>
        <w:tc>
          <w:tcPr>
            <w:tcW w:w="728" w:type="dxa"/>
            <w:vMerge w:val="restart"/>
            <w:noWrap w:val="0"/>
            <w:vAlign w:val="top"/>
          </w:tcPr>
          <w:p w14:paraId="0EB499F5">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资金来源</w:t>
            </w:r>
          </w:p>
        </w:tc>
        <w:tc>
          <w:tcPr>
            <w:tcW w:w="1487" w:type="dxa"/>
            <w:gridSpan w:val="2"/>
            <w:noWrap w:val="0"/>
            <w:vAlign w:val="center"/>
          </w:tcPr>
          <w:p w14:paraId="6B2C2182">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自有资金</w:t>
            </w:r>
          </w:p>
        </w:tc>
        <w:tc>
          <w:tcPr>
            <w:tcW w:w="1488" w:type="dxa"/>
            <w:noWrap w:val="0"/>
            <w:vAlign w:val="center"/>
          </w:tcPr>
          <w:p w14:paraId="38E6605B">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c>
          <w:tcPr>
            <w:tcW w:w="1488" w:type="dxa"/>
            <w:vMerge w:val="continue"/>
            <w:noWrap w:val="0"/>
            <w:vAlign w:val="top"/>
          </w:tcPr>
          <w:p w14:paraId="21CB6987">
            <w:pPr>
              <w:spacing w:line="480" w:lineRule="exact"/>
              <w:rPr>
                <w:rFonts w:hint="eastAsia" w:ascii="新宋体" w:hAnsi="新宋体" w:eastAsia="新宋体" w:cs="新宋体"/>
                <w:color w:val="auto"/>
                <w:sz w:val="22"/>
                <w:szCs w:val="22"/>
                <w:highlight w:val="none"/>
              </w:rPr>
            </w:pPr>
          </w:p>
        </w:tc>
        <w:tc>
          <w:tcPr>
            <w:tcW w:w="1502" w:type="dxa"/>
            <w:noWrap w:val="0"/>
            <w:vAlign w:val="center"/>
          </w:tcPr>
          <w:p w14:paraId="36577247">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实现利润</w:t>
            </w:r>
          </w:p>
        </w:tc>
        <w:tc>
          <w:tcPr>
            <w:tcW w:w="1488" w:type="dxa"/>
            <w:noWrap w:val="0"/>
            <w:vAlign w:val="center"/>
          </w:tcPr>
          <w:p w14:paraId="10AA1325">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70" w:type="dxa"/>
            <w:gridSpan w:val="2"/>
            <w:noWrap w:val="0"/>
            <w:vAlign w:val="center"/>
          </w:tcPr>
          <w:p w14:paraId="259CC2EF">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实现利润</w:t>
            </w:r>
          </w:p>
        </w:tc>
        <w:tc>
          <w:tcPr>
            <w:tcW w:w="1106" w:type="dxa"/>
            <w:noWrap w:val="0"/>
            <w:vAlign w:val="center"/>
          </w:tcPr>
          <w:p w14:paraId="5C97C534">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r>
      <w:tr w14:paraId="29194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noWrap w:val="0"/>
            <w:vAlign w:val="top"/>
          </w:tcPr>
          <w:p w14:paraId="2D9F7E50">
            <w:pPr>
              <w:spacing w:line="480" w:lineRule="exact"/>
              <w:rPr>
                <w:rFonts w:hint="eastAsia" w:ascii="新宋体" w:hAnsi="新宋体" w:eastAsia="新宋体" w:cs="新宋体"/>
                <w:color w:val="auto"/>
                <w:sz w:val="22"/>
                <w:szCs w:val="22"/>
                <w:highlight w:val="none"/>
              </w:rPr>
            </w:pPr>
          </w:p>
        </w:tc>
        <w:tc>
          <w:tcPr>
            <w:tcW w:w="1115" w:type="dxa"/>
            <w:vMerge w:val="continue"/>
            <w:tcBorders>
              <w:bottom w:val="single" w:color="auto" w:sz="4" w:space="0"/>
            </w:tcBorders>
            <w:noWrap w:val="0"/>
            <w:vAlign w:val="top"/>
          </w:tcPr>
          <w:p w14:paraId="0F3CA4C4">
            <w:pPr>
              <w:spacing w:line="480" w:lineRule="exact"/>
              <w:rPr>
                <w:rFonts w:hint="eastAsia" w:ascii="新宋体" w:hAnsi="新宋体" w:eastAsia="新宋体" w:cs="新宋体"/>
                <w:color w:val="auto"/>
                <w:sz w:val="22"/>
                <w:szCs w:val="22"/>
                <w:highlight w:val="none"/>
              </w:rPr>
            </w:pPr>
          </w:p>
        </w:tc>
        <w:tc>
          <w:tcPr>
            <w:tcW w:w="1689" w:type="dxa"/>
            <w:vMerge w:val="continue"/>
            <w:tcBorders>
              <w:bottom w:val="single" w:color="auto" w:sz="4" w:space="0"/>
            </w:tcBorders>
            <w:noWrap w:val="0"/>
            <w:vAlign w:val="top"/>
          </w:tcPr>
          <w:p w14:paraId="35C8A2FA">
            <w:pPr>
              <w:spacing w:line="480" w:lineRule="exact"/>
              <w:rPr>
                <w:rFonts w:hint="eastAsia" w:ascii="新宋体" w:hAnsi="新宋体" w:eastAsia="新宋体" w:cs="新宋体"/>
                <w:color w:val="auto"/>
                <w:sz w:val="22"/>
                <w:szCs w:val="22"/>
                <w:highlight w:val="none"/>
              </w:rPr>
            </w:pPr>
          </w:p>
        </w:tc>
        <w:tc>
          <w:tcPr>
            <w:tcW w:w="728" w:type="dxa"/>
            <w:vMerge w:val="continue"/>
            <w:tcBorders>
              <w:bottom w:val="single" w:color="auto" w:sz="4" w:space="0"/>
            </w:tcBorders>
            <w:noWrap w:val="0"/>
            <w:vAlign w:val="top"/>
          </w:tcPr>
          <w:p w14:paraId="728EC60B">
            <w:pPr>
              <w:spacing w:line="480" w:lineRule="exact"/>
              <w:rPr>
                <w:rFonts w:hint="eastAsia" w:ascii="新宋体" w:hAnsi="新宋体" w:eastAsia="新宋体" w:cs="新宋体"/>
                <w:color w:val="auto"/>
                <w:sz w:val="22"/>
                <w:szCs w:val="22"/>
                <w:highlight w:val="none"/>
              </w:rPr>
            </w:pPr>
          </w:p>
        </w:tc>
        <w:tc>
          <w:tcPr>
            <w:tcW w:w="1487" w:type="dxa"/>
            <w:gridSpan w:val="2"/>
            <w:tcBorders>
              <w:bottom w:val="single" w:color="auto" w:sz="4" w:space="0"/>
            </w:tcBorders>
            <w:noWrap w:val="0"/>
            <w:vAlign w:val="top"/>
          </w:tcPr>
          <w:p w14:paraId="4A0A206C">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银行贷款</w:t>
            </w:r>
          </w:p>
        </w:tc>
        <w:tc>
          <w:tcPr>
            <w:tcW w:w="1488" w:type="dxa"/>
            <w:tcBorders>
              <w:bottom w:val="single" w:color="auto" w:sz="4" w:space="0"/>
            </w:tcBorders>
            <w:noWrap w:val="0"/>
            <w:vAlign w:val="top"/>
          </w:tcPr>
          <w:p w14:paraId="3144EA79">
            <w:pPr>
              <w:spacing w:line="480" w:lineRule="exact"/>
              <w:ind w:firstLine="660" w:firstLineChars="3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Borders>
              <w:bottom w:val="single" w:color="auto" w:sz="4" w:space="0"/>
            </w:tcBorders>
            <w:noWrap w:val="0"/>
            <w:vAlign w:val="top"/>
          </w:tcPr>
          <w:p w14:paraId="3A0DB965">
            <w:pPr>
              <w:spacing w:line="480" w:lineRule="exact"/>
              <w:rPr>
                <w:rFonts w:hint="eastAsia" w:ascii="新宋体" w:hAnsi="新宋体" w:eastAsia="新宋体" w:cs="新宋体"/>
                <w:color w:val="auto"/>
                <w:sz w:val="22"/>
                <w:szCs w:val="22"/>
                <w:highlight w:val="none"/>
              </w:rPr>
            </w:pPr>
          </w:p>
        </w:tc>
        <w:tc>
          <w:tcPr>
            <w:tcW w:w="1502" w:type="dxa"/>
            <w:vMerge w:val="restart"/>
            <w:tcBorders>
              <w:bottom w:val="single" w:color="auto" w:sz="4" w:space="0"/>
            </w:tcBorders>
            <w:noWrap w:val="0"/>
            <w:vAlign w:val="center"/>
          </w:tcPr>
          <w:p w14:paraId="090FDDB3">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主要业绩</w:t>
            </w:r>
          </w:p>
        </w:tc>
        <w:tc>
          <w:tcPr>
            <w:tcW w:w="4064" w:type="dxa"/>
            <w:gridSpan w:val="4"/>
            <w:vMerge w:val="restart"/>
            <w:tcBorders>
              <w:bottom w:val="single" w:color="auto" w:sz="4" w:space="0"/>
            </w:tcBorders>
            <w:noWrap w:val="0"/>
            <w:vAlign w:val="center"/>
          </w:tcPr>
          <w:p w14:paraId="00E4C7CA">
            <w:pPr>
              <w:spacing w:line="480" w:lineRule="exact"/>
              <w:jc w:val="center"/>
              <w:rPr>
                <w:rFonts w:hint="eastAsia" w:ascii="新宋体" w:hAnsi="新宋体" w:eastAsia="新宋体" w:cs="新宋体"/>
                <w:color w:val="auto"/>
                <w:sz w:val="22"/>
                <w:szCs w:val="22"/>
                <w:highlight w:val="none"/>
              </w:rPr>
            </w:pPr>
          </w:p>
        </w:tc>
      </w:tr>
      <w:tr w14:paraId="790E0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noWrap w:val="0"/>
            <w:vAlign w:val="top"/>
          </w:tcPr>
          <w:p w14:paraId="708132D1">
            <w:pPr>
              <w:spacing w:line="480" w:lineRule="exact"/>
              <w:rPr>
                <w:rFonts w:hint="eastAsia" w:ascii="新宋体" w:hAnsi="新宋体" w:eastAsia="新宋体" w:cs="新宋体"/>
                <w:color w:val="auto"/>
                <w:sz w:val="22"/>
                <w:szCs w:val="22"/>
                <w:highlight w:val="none"/>
              </w:rPr>
            </w:pPr>
          </w:p>
        </w:tc>
        <w:tc>
          <w:tcPr>
            <w:tcW w:w="1115" w:type="dxa"/>
            <w:vMerge w:val="restart"/>
            <w:noWrap w:val="0"/>
            <w:vAlign w:val="top"/>
          </w:tcPr>
          <w:p w14:paraId="29DC2CD2">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固定资产</w:t>
            </w:r>
          </w:p>
        </w:tc>
        <w:tc>
          <w:tcPr>
            <w:tcW w:w="1689" w:type="dxa"/>
            <w:vMerge w:val="restart"/>
            <w:noWrap w:val="0"/>
            <w:vAlign w:val="top"/>
          </w:tcPr>
          <w:p w14:paraId="240361BD">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原值   万元</w:t>
            </w:r>
          </w:p>
          <w:p w14:paraId="294FA11C">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净值   万元</w:t>
            </w:r>
          </w:p>
        </w:tc>
        <w:tc>
          <w:tcPr>
            <w:tcW w:w="728" w:type="dxa"/>
            <w:vMerge w:val="restart"/>
            <w:noWrap w:val="0"/>
            <w:vAlign w:val="top"/>
          </w:tcPr>
          <w:p w14:paraId="049482D2">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资金性质</w:t>
            </w:r>
          </w:p>
        </w:tc>
        <w:tc>
          <w:tcPr>
            <w:tcW w:w="1487" w:type="dxa"/>
            <w:gridSpan w:val="2"/>
            <w:noWrap w:val="0"/>
            <w:vAlign w:val="top"/>
          </w:tcPr>
          <w:p w14:paraId="2A1D6D9B">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生产性</w:t>
            </w:r>
          </w:p>
        </w:tc>
        <w:tc>
          <w:tcPr>
            <w:tcW w:w="1488" w:type="dxa"/>
            <w:noWrap w:val="0"/>
            <w:vAlign w:val="top"/>
          </w:tcPr>
          <w:p w14:paraId="4DB893D8">
            <w:pPr>
              <w:spacing w:line="480" w:lineRule="exact"/>
              <w:ind w:left="220" w:hanging="220" w:hanging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c>
          <w:tcPr>
            <w:tcW w:w="1488" w:type="dxa"/>
            <w:vMerge w:val="continue"/>
            <w:noWrap w:val="0"/>
            <w:vAlign w:val="top"/>
          </w:tcPr>
          <w:p w14:paraId="00A1FEC9">
            <w:pPr>
              <w:spacing w:line="480" w:lineRule="exact"/>
              <w:rPr>
                <w:rFonts w:hint="eastAsia" w:ascii="新宋体" w:hAnsi="新宋体" w:eastAsia="新宋体" w:cs="新宋体"/>
                <w:color w:val="auto"/>
                <w:sz w:val="22"/>
                <w:szCs w:val="22"/>
                <w:highlight w:val="none"/>
              </w:rPr>
            </w:pPr>
          </w:p>
        </w:tc>
        <w:tc>
          <w:tcPr>
            <w:tcW w:w="1502" w:type="dxa"/>
            <w:vMerge w:val="continue"/>
            <w:noWrap w:val="0"/>
            <w:vAlign w:val="top"/>
          </w:tcPr>
          <w:p w14:paraId="389833F6">
            <w:pPr>
              <w:spacing w:line="480" w:lineRule="exact"/>
              <w:rPr>
                <w:rFonts w:hint="eastAsia" w:ascii="新宋体" w:hAnsi="新宋体" w:eastAsia="新宋体" w:cs="新宋体"/>
                <w:color w:val="auto"/>
                <w:sz w:val="22"/>
                <w:szCs w:val="22"/>
                <w:highlight w:val="none"/>
              </w:rPr>
            </w:pPr>
          </w:p>
        </w:tc>
        <w:tc>
          <w:tcPr>
            <w:tcW w:w="4064" w:type="dxa"/>
            <w:gridSpan w:val="4"/>
            <w:vMerge w:val="continue"/>
            <w:noWrap w:val="0"/>
            <w:vAlign w:val="top"/>
          </w:tcPr>
          <w:p w14:paraId="5D752AE3">
            <w:pPr>
              <w:spacing w:line="480" w:lineRule="exact"/>
              <w:rPr>
                <w:rFonts w:hint="eastAsia" w:ascii="新宋体" w:hAnsi="新宋体" w:eastAsia="新宋体" w:cs="新宋体"/>
                <w:color w:val="auto"/>
                <w:sz w:val="22"/>
                <w:szCs w:val="22"/>
                <w:highlight w:val="none"/>
              </w:rPr>
            </w:pPr>
          </w:p>
        </w:tc>
      </w:tr>
      <w:tr w14:paraId="7314A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noWrap w:val="0"/>
            <w:vAlign w:val="top"/>
          </w:tcPr>
          <w:p w14:paraId="6BB41432">
            <w:pPr>
              <w:spacing w:line="480" w:lineRule="exact"/>
              <w:rPr>
                <w:rFonts w:hint="eastAsia" w:ascii="新宋体" w:hAnsi="新宋体" w:eastAsia="新宋体" w:cs="新宋体"/>
                <w:color w:val="auto"/>
                <w:sz w:val="22"/>
                <w:szCs w:val="22"/>
                <w:highlight w:val="none"/>
              </w:rPr>
            </w:pPr>
          </w:p>
        </w:tc>
        <w:tc>
          <w:tcPr>
            <w:tcW w:w="1115" w:type="dxa"/>
            <w:vMerge w:val="continue"/>
            <w:noWrap w:val="0"/>
            <w:vAlign w:val="top"/>
          </w:tcPr>
          <w:p w14:paraId="66F19495">
            <w:pPr>
              <w:spacing w:line="480" w:lineRule="exact"/>
              <w:rPr>
                <w:rFonts w:hint="eastAsia" w:ascii="新宋体" w:hAnsi="新宋体" w:eastAsia="新宋体" w:cs="新宋体"/>
                <w:color w:val="auto"/>
                <w:sz w:val="22"/>
                <w:szCs w:val="22"/>
                <w:highlight w:val="none"/>
              </w:rPr>
            </w:pPr>
          </w:p>
        </w:tc>
        <w:tc>
          <w:tcPr>
            <w:tcW w:w="1689" w:type="dxa"/>
            <w:vMerge w:val="continue"/>
            <w:noWrap w:val="0"/>
            <w:vAlign w:val="top"/>
          </w:tcPr>
          <w:p w14:paraId="0EDF5D29">
            <w:pPr>
              <w:spacing w:line="480" w:lineRule="exact"/>
              <w:rPr>
                <w:rFonts w:hint="eastAsia" w:ascii="新宋体" w:hAnsi="新宋体" w:eastAsia="新宋体" w:cs="新宋体"/>
                <w:color w:val="auto"/>
                <w:sz w:val="22"/>
                <w:szCs w:val="22"/>
                <w:highlight w:val="none"/>
              </w:rPr>
            </w:pPr>
          </w:p>
        </w:tc>
        <w:tc>
          <w:tcPr>
            <w:tcW w:w="728" w:type="dxa"/>
            <w:vMerge w:val="continue"/>
            <w:noWrap w:val="0"/>
            <w:vAlign w:val="top"/>
          </w:tcPr>
          <w:p w14:paraId="6627D5DC">
            <w:pPr>
              <w:spacing w:line="480" w:lineRule="exact"/>
              <w:rPr>
                <w:rFonts w:hint="eastAsia" w:ascii="新宋体" w:hAnsi="新宋体" w:eastAsia="新宋体" w:cs="新宋体"/>
                <w:color w:val="auto"/>
                <w:sz w:val="22"/>
                <w:szCs w:val="22"/>
                <w:highlight w:val="none"/>
              </w:rPr>
            </w:pPr>
          </w:p>
        </w:tc>
        <w:tc>
          <w:tcPr>
            <w:tcW w:w="1487" w:type="dxa"/>
            <w:gridSpan w:val="2"/>
            <w:noWrap w:val="0"/>
            <w:vAlign w:val="top"/>
          </w:tcPr>
          <w:p w14:paraId="11A32525">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非生产性</w:t>
            </w:r>
          </w:p>
        </w:tc>
        <w:tc>
          <w:tcPr>
            <w:tcW w:w="1488" w:type="dxa"/>
            <w:noWrap w:val="0"/>
            <w:vAlign w:val="top"/>
          </w:tcPr>
          <w:p w14:paraId="58A2B1FE">
            <w:pPr>
              <w:spacing w:line="480" w:lineRule="exact"/>
              <w:ind w:left="220" w:hanging="220" w:hanging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c>
          <w:tcPr>
            <w:tcW w:w="1488" w:type="dxa"/>
            <w:vMerge w:val="continue"/>
            <w:noWrap w:val="0"/>
            <w:vAlign w:val="top"/>
          </w:tcPr>
          <w:p w14:paraId="67A63A24">
            <w:pPr>
              <w:spacing w:line="480" w:lineRule="exact"/>
              <w:rPr>
                <w:rFonts w:hint="eastAsia" w:ascii="新宋体" w:hAnsi="新宋体" w:eastAsia="新宋体" w:cs="新宋体"/>
                <w:color w:val="auto"/>
                <w:sz w:val="22"/>
                <w:szCs w:val="22"/>
                <w:highlight w:val="none"/>
              </w:rPr>
            </w:pPr>
          </w:p>
        </w:tc>
        <w:tc>
          <w:tcPr>
            <w:tcW w:w="1502" w:type="dxa"/>
            <w:vMerge w:val="continue"/>
            <w:noWrap w:val="0"/>
            <w:vAlign w:val="top"/>
          </w:tcPr>
          <w:p w14:paraId="3A137817">
            <w:pPr>
              <w:spacing w:line="480" w:lineRule="exact"/>
              <w:rPr>
                <w:rFonts w:hint="eastAsia" w:ascii="新宋体" w:hAnsi="新宋体" w:eastAsia="新宋体" w:cs="新宋体"/>
                <w:color w:val="auto"/>
                <w:sz w:val="22"/>
                <w:szCs w:val="22"/>
                <w:highlight w:val="none"/>
              </w:rPr>
            </w:pPr>
          </w:p>
        </w:tc>
        <w:tc>
          <w:tcPr>
            <w:tcW w:w="4064" w:type="dxa"/>
            <w:gridSpan w:val="4"/>
            <w:vMerge w:val="continue"/>
            <w:noWrap w:val="0"/>
            <w:vAlign w:val="top"/>
          </w:tcPr>
          <w:p w14:paraId="3E8E69E3">
            <w:pPr>
              <w:spacing w:line="480" w:lineRule="exact"/>
              <w:rPr>
                <w:rFonts w:hint="eastAsia" w:ascii="新宋体" w:hAnsi="新宋体" w:eastAsia="新宋体" w:cs="新宋体"/>
                <w:color w:val="auto"/>
                <w:sz w:val="22"/>
                <w:szCs w:val="22"/>
                <w:highlight w:val="none"/>
              </w:rPr>
            </w:pPr>
          </w:p>
        </w:tc>
      </w:tr>
    </w:tbl>
    <w:p w14:paraId="7CB91A80">
      <w:pPr>
        <w:spacing w:line="460" w:lineRule="exact"/>
        <w:ind w:firstLine="541" w:firstLineChars="245"/>
        <w:rPr>
          <w:rFonts w:hint="eastAsia" w:ascii="新宋体" w:hAnsi="新宋体" w:eastAsia="新宋体" w:cs="新宋体"/>
          <w:b/>
          <w:bCs/>
          <w:color w:val="auto"/>
          <w:sz w:val="22"/>
          <w:szCs w:val="22"/>
          <w:highlight w:val="none"/>
        </w:rPr>
      </w:pPr>
    </w:p>
    <w:p w14:paraId="4647B561">
      <w:pPr>
        <w:spacing w:line="460" w:lineRule="exact"/>
        <w:rPr>
          <w:rFonts w:hint="eastAsia" w:ascii="新宋体" w:hAnsi="新宋体" w:eastAsia="新宋体" w:cs="新宋体"/>
          <w:b/>
          <w:bCs/>
          <w:color w:val="auto"/>
          <w:sz w:val="22"/>
          <w:szCs w:val="22"/>
          <w:highlight w:val="none"/>
        </w:rPr>
      </w:pPr>
    </w:p>
    <w:p w14:paraId="682BA39A">
      <w:pPr>
        <w:spacing w:line="460" w:lineRule="exact"/>
        <w:rPr>
          <w:rFonts w:hint="eastAsia" w:ascii="新宋体" w:hAnsi="新宋体" w:eastAsia="新宋体" w:cs="新宋体"/>
          <w:b/>
          <w:bCs/>
          <w:color w:val="auto"/>
          <w:sz w:val="22"/>
          <w:szCs w:val="22"/>
          <w:highlight w:val="none"/>
        </w:rPr>
      </w:pPr>
    </w:p>
    <w:p w14:paraId="2DC539D7">
      <w:pPr>
        <w:spacing w:line="460" w:lineRule="exact"/>
        <w:rPr>
          <w:rFonts w:hint="eastAsia" w:ascii="新宋体" w:hAnsi="新宋体" w:eastAsia="新宋体" w:cs="新宋体"/>
          <w:b/>
          <w:bCs/>
          <w:color w:val="auto"/>
          <w:sz w:val="22"/>
          <w:szCs w:val="22"/>
          <w:highlight w:val="none"/>
        </w:rPr>
        <w:sectPr>
          <w:footerReference r:id="rId8" w:type="first"/>
          <w:footerReference r:id="rId7" w:type="default"/>
          <w:pgSz w:w="16838" w:h="11906" w:orient="landscape"/>
          <w:pgMar w:top="1134" w:right="1134" w:bottom="1134" w:left="1134" w:header="850" w:footer="992" w:gutter="0"/>
          <w:cols w:space="720" w:num="1"/>
          <w:titlePg/>
          <w:docGrid w:linePitch="312" w:charSpace="0"/>
        </w:sectPr>
      </w:pPr>
    </w:p>
    <w:p w14:paraId="6B065F0B">
      <w:pPr>
        <w:tabs>
          <w:tab w:val="left" w:pos="1620"/>
        </w:tabs>
        <w:spacing w:line="460" w:lineRule="exact"/>
        <w:outlineLvl w:val="1"/>
        <w:rPr>
          <w:rFonts w:hint="eastAsia" w:ascii="新宋体" w:hAnsi="新宋体" w:eastAsia="新宋体" w:cs="新宋体"/>
          <w:b/>
          <w:bCs/>
          <w:color w:val="auto"/>
          <w:sz w:val="22"/>
          <w:szCs w:val="22"/>
          <w:highlight w:val="none"/>
        </w:rPr>
      </w:pPr>
      <w:bookmarkStart w:id="90" w:name="_Toc925"/>
      <w:bookmarkStart w:id="91" w:name="_Toc8879"/>
      <w:bookmarkStart w:id="92" w:name="_Toc9101"/>
      <w:r>
        <w:rPr>
          <w:rFonts w:hint="eastAsia" w:ascii="新宋体" w:hAnsi="新宋体" w:eastAsia="新宋体" w:cs="新宋体"/>
          <w:b/>
          <w:bCs/>
          <w:color w:val="auto"/>
          <w:sz w:val="22"/>
          <w:szCs w:val="22"/>
          <w:highlight w:val="none"/>
        </w:rPr>
        <w:t>（3）有效营业执照 （复印件盖单位公章）</w:t>
      </w:r>
      <w:bookmarkEnd w:id="90"/>
      <w:bookmarkEnd w:id="91"/>
      <w:bookmarkEnd w:id="92"/>
    </w:p>
    <w:p w14:paraId="1ECC2ABD">
      <w:pPr>
        <w:tabs>
          <w:tab w:val="left" w:pos="1620"/>
        </w:tabs>
        <w:spacing w:line="460" w:lineRule="exact"/>
        <w:outlineLvl w:val="1"/>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lang w:val="en-US" w:eastAsia="zh-CN"/>
        </w:rPr>
        <w:t>4</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lang w:val="en-US" w:eastAsia="zh-CN"/>
        </w:rPr>
        <w:t>具有电子通信广电行业专业甲级及以上工程设计资质；</w:t>
      </w:r>
    </w:p>
    <w:p w14:paraId="221D1F6F">
      <w:pPr>
        <w:tabs>
          <w:tab w:val="left" w:pos="1620"/>
        </w:tabs>
        <w:spacing w:line="460" w:lineRule="exact"/>
        <w:jc w:val="center"/>
        <w:outlineLvl w:val="1"/>
        <w:rPr>
          <w:rFonts w:hint="eastAsia" w:ascii="新宋体" w:hAnsi="新宋体" w:eastAsia="新宋体" w:cs="新宋体"/>
          <w:b/>
          <w:bCs/>
          <w:color w:val="auto"/>
          <w:sz w:val="22"/>
          <w:szCs w:val="22"/>
          <w:highlight w:val="none"/>
        </w:rPr>
      </w:pPr>
      <w:bookmarkStart w:id="93" w:name="_Toc2307"/>
      <w:bookmarkStart w:id="94" w:name="_Toc16782"/>
      <w:bookmarkStart w:id="95" w:name="_Toc12513"/>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5</w:t>
      </w:r>
      <w:r>
        <w:rPr>
          <w:rFonts w:hint="eastAsia" w:ascii="新宋体" w:hAnsi="新宋体" w:eastAsia="新宋体" w:cs="新宋体"/>
          <w:b/>
          <w:bCs/>
          <w:color w:val="auto"/>
          <w:sz w:val="22"/>
          <w:szCs w:val="22"/>
          <w:highlight w:val="none"/>
        </w:rPr>
        <w:t>）投标人信用查询</w:t>
      </w:r>
      <w:bookmarkEnd w:id="93"/>
      <w:bookmarkEnd w:id="94"/>
      <w:bookmarkEnd w:id="95"/>
    </w:p>
    <w:p w14:paraId="71A7B749">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1、投标人信用信息查询的查询渠道：“信用中国”(www.creditchina.gov.cn)；“中国政府采购网”（http://www.ccgp.gov.cn/）；</w:t>
      </w:r>
    </w:p>
    <w:p w14:paraId="3FA694B9">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2、投标人信用信息查询截止时点：采购公告发布之日至投标截止时间前。</w:t>
      </w:r>
    </w:p>
    <w:p w14:paraId="279FFFFB">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3、投标人信用信息查询记录和证据留存的具体方式：网页截图打印；</w:t>
      </w:r>
    </w:p>
    <w:p w14:paraId="00B5AFB7">
      <w:pPr>
        <w:tabs>
          <w:tab w:val="left" w:pos="360"/>
        </w:tabs>
        <w:spacing w:line="460" w:lineRule="exact"/>
        <w:ind w:firstLine="552" w:firstLineChars="25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highlight w:val="none"/>
          <w:u w:val="single"/>
        </w:rPr>
        <w:t>4、信用信息的使用规则：对列入失信被执行人、重大税收违法案件当事人名单、采购严重违法失信行为记录名单及其他不符合《温州市市属国有企业采购管理办法》温国资委〔2024〕51号第十</w:t>
      </w:r>
      <w:r>
        <w:rPr>
          <w:rFonts w:hint="eastAsia" w:ascii="新宋体" w:hAnsi="新宋体" w:eastAsia="新宋体" w:cs="新宋体"/>
          <w:b/>
          <w:bCs/>
          <w:color w:val="auto"/>
          <w:sz w:val="22"/>
          <w:highlight w:val="none"/>
          <w:u w:val="single"/>
          <w:lang w:val="en-US" w:eastAsia="zh-CN"/>
        </w:rPr>
        <w:t>八</w:t>
      </w:r>
      <w:r>
        <w:rPr>
          <w:rFonts w:hint="eastAsia" w:ascii="新宋体" w:hAnsi="新宋体" w:eastAsia="新宋体" w:cs="新宋体"/>
          <w:b/>
          <w:bCs/>
          <w:color w:val="auto"/>
          <w:sz w:val="22"/>
          <w:highlight w:val="none"/>
          <w:u w:val="single"/>
        </w:rPr>
        <w:t>条规定条件的供应商，其投标</w:t>
      </w:r>
      <w:r>
        <w:rPr>
          <w:rFonts w:hint="eastAsia" w:ascii="新宋体" w:hAnsi="新宋体" w:eastAsia="新宋体" w:cs="新宋体"/>
          <w:b/>
          <w:bCs/>
          <w:color w:val="auto"/>
          <w:sz w:val="22"/>
          <w:highlight w:val="none"/>
          <w:u w:val="single"/>
          <w:lang w:eastAsia="zh-CN"/>
        </w:rPr>
        <w:t>作</w:t>
      </w:r>
      <w:r>
        <w:rPr>
          <w:rFonts w:hint="eastAsia" w:ascii="新宋体" w:hAnsi="新宋体" w:eastAsia="新宋体" w:cs="新宋体"/>
          <w:b/>
          <w:bCs/>
          <w:color w:val="auto"/>
          <w:sz w:val="22"/>
          <w:highlight w:val="none"/>
          <w:u w:val="single"/>
        </w:rPr>
        <w:t>无效投标处理。</w:t>
      </w:r>
    </w:p>
    <w:p w14:paraId="422807D4">
      <w:pPr>
        <w:rPr>
          <w:rFonts w:hint="eastAsia" w:ascii="新宋体" w:hAnsi="新宋体" w:eastAsia="新宋体" w:cs="新宋体"/>
          <w:b/>
          <w:bCs/>
          <w:color w:val="auto"/>
          <w:sz w:val="22"/>
          <w:szCs w:val="22"/>
          <w:highlight w:val="none"/>
        </w:rPr>
      </w:pPr>
    </w:p>
    <w:p w14:paraId="2A51C760">
      <w:pPr>
        <w:rPr>
          <w:rFonts w:hint="eastAsia" w:ascii="新宋体" w:hAnsi="新宋体" w:eastAsia="新宋体" w:cs="新宋体"/>
          <w:b/>
          <w:bCs/>
          <w:color w:val="auto"/>
          <w:sz w:val="22"/>
          <w:szCs w:val="22"/>
          <w:highlight w:val="none"/>
        </w:rPr>
      </w:pPr>
    </w:p>
    <w:p w14:paraId="0C5A228A">
      <w:pPr>
        <w:rPr>
          <w:rFonts w:hint="eastAsia" w:ascii="新宋体" w:hAnsi="新宋体" w:eastAsia="新宋体" w:cs="新宋体"/>
          <w:b/>
          <w:bCs/>
          <w:color w:val="auto"/>
          <w:sz w:val="22"/>
          <w:szCs w:val="22"/>
          <w:highlight w:val="none"/>
        </w:rPr>
      </w:pPr>
    </w:p>
    <w:p w14:paraId="481D9DF6">
      <w:pPr>
        <w:rPr>
          <w:rFonts w:hint="eastAsia" w:ascii="新宋体" w:hAnsi="新宋体" w:eastAsia="新宋体" w:cs="新宋体"/>
          <w:b/>
          <w:bCs/>
          <w:color w:val="auto"/>
          <w:sz w:val="22"/>
          <w:szCs w:val="22"/>
          <w:highlight w:val="none"/>
        </w:rPr>
      </w:pPr>
    </w:p>
    <w:p w14:paraId="4A4129CE">
      <w:pPr>
        <w:rPr>
          <w:rFonts w:hint="eastAsia" w:ascii="新宋体" w:hAnsi="新宋体" w:eastAsia="新宋体" w:cs="新宋体"/>
          <w:b/>
          <w:bCs/>
          <w:color w:val="auto"/>
          <w:sz w:val="22"/>
          <w:szCs w:val="22"/>
          <w:highlight w:val="none"/>
        </w:rPr>
      </w:pPr>
    </w:p>
    <w:p w14:paraId="1EF037A4">
      <w:pPr>
        <w:rPr>
          <w:rFonts w:hint="eastAsia" w:ascii="新宋体" w:hAnsi="新宋体" w:eastAsia="新宋体" w:cs="新宋体"/>
          <w:b/>
          <w:bCs/>
          <w:color w:val="auto"/>
          <w:sz w:val="22"/>
          <w:szCs w:val="22"/>
          <w:highlight w:val="none"/>
        </w:rPr>
      </w:pPr>
    </w:p>
    <w:p w14:paraId="10DCE0A5">
      <w:pPr>
        <w:rPr>
          <w:rFonts w:hint="eastAsia" w:ascii="新宋体" w:hAnsi="新宋体" w:eastAsia="新宋体" w:cs="新宋体"/>
          <w:b/>
          <w:bCs/>
          <w:color w:val="auto"/>
          <w:sz w:val="22"/>
          <w:szCs w:val="22"/>
          <w:highlight w:val="none"/>
        </w:rPr>
      </w:pPr>
    </w:p>
    <w:p w14:paraId="647ADF2A">
      <w:pPr>
        <w:rPr>
          <w:rFonts w:hint="eastAsia" w:ascii="新宋体" w:hAnsi="新宋体" w:eastAsia="新宋体" w:cs="新宋体"/>
          <w:b/>
          <w:bCs/>
          <w:color w:val="auto"/>
          <w:sz w:val="22"/>
          <w:szCs w:val="22"/>
          <w:highlight w:val="none"/>
        </w:rPr>
      </w:pPr>
    </w:p>
    <w:p w14:paraId="460BF845">
      <w:pPr>
        <w:rPr>
          <w:rFonts w:hint="eastAsia" w:ascii="新宋体" w:hAnsi="新宋体" w:eastAsia="新宋体" w:cs="新宋体"/>
          <w:b/>
          <w:bCs/>
          <w:color w:val="auto"/>
          <w:sz w:val="22"/>
          <w:szCs w:val="22"/>
          <w:highlight w:val="none"/>
        </w:rPr>
      </w:pPr>
    </w:p>
    <w:p w14:paraId="4C5AEEB4">
      <w:pPr>
        <w:rPr>
          <w:rFonts w:hint="eastAsia" w:ascii="新宋体" w:hAnsi="新宋体" w:eastAsia="新宋体" w:cs="新宋体"/>
          <w:b/>
          <w:bCs/>
          <w:color w:val="auto"/>
          <w:sz w:val="22"/>
          <w:szCs w:val="22"/>
          <w:highlight w:val="none"/>
        </w:rPr>
      </w:pPr>
    </w:p>
    <w:p w14:paraId="755EA14A">
      <w:pPr>
        <w:rPr>
          <w:rFonts w:hint="eastAsia" w:ascii="新宋体" w:hAnsi="新宋体" w:eastAsia="新宋体" w:cs="新宋体"/>
          <w:b/>
          <w:bCs/>
          <w:color w:val="auto"/>
          <w:sz w:val="22"/>
          <w:szCs w:val="22"/>
          <w:highlight w:val="none"/>
        </w:rPr>
      </w:pPr>
    </w:p>
    <w:p w14:paraId="63F3C81E">
      <w:pPr>
        <w:rPr>
          <w:rFonts w:hint="eastAsia" w:ascii="新宋体" w:hAnsi="新宋体" w:eastAsia="新宋体" w:cs="新宋体"/>
          <w:b/>
          <w:bCs/>
          <w:color w:val="auto"/>
          <w:sz w:val="22"/>
          <w:szCs w:val="22"/>
          <w:highlight w:val="none"/>
        </w:rPr>
      </w:pPr>
    </w:p>
    <w:p w14:paraId="0B56D719">
      <w:pPr>
        <w:rPr>
          <w:rFonts w:hint="eastAsia" w:ascii="新宋体" w:hAnsi="新宋体" w:eastAsia="新宋体" w:cs="新宋体"/>
          <w:b/>
          <w:bCs/>
          <w:color w:val="auto"/>
          <w:sz w:val="22"/>
          <w:szCs w:val="22"/>
          <w:highlight w:val="none"/>
        </w:rPr>
      </w:pPr>
    </w:p>
    <w:p w14:paraId="269AF127">
      <w:pPr>
        <w:rPr>
          <w:rFonts w:hint="eastAsia" w:ascii="新宋体" w:hAnsi="新宋体" w:eastAsia="新宋体" w:cs="新宋体"/>
          <w:b/>
          <w:bCs/>
          <w:color w:val="auto"/>
          <w:sz w:val="22"/>
          <w:szCs w:val="22"/>
          <w:highlight w:val="none"/>
        </w:rPr>
      </w:pPr>
    </w:p>
    <w:p w14:paraId="4BBC0DBB">
      <w:pPr>
        <w:rPr>
          <w:rFonts w:hint="eastAsia" w:ascii="新宋体" w:hAnsi="新宋体" w:eastAsia="新宋体" w:cs="新宋体"/>
          <w:b/>
          <w:bCs/>
          <w:color w:val="auto"/>
          <w:sz w:val="22"/>
          <w:szCs w:val="22"/>
          <w:highlight w:val="none"/>
        </w:rPr>
      </w:pPr>
    </w:p>
    <w:p w14:paraId="4916212F">
      <w:pPr>
        <w:rPr>
          <w:rFonts w:hint="eastAsia" w:ascii="新宋体" w:hAnsi="新宋体" w:eastAsia="新宋体" w:cs="新宋体"/>
          <w:b/>
          <w:bCs/>
          <w:color w:val="auto"/>
          <w:sz w:val="22"/>
          <w:szCs w:val="22"/>
          <w:highlight w:val="none"/>
        </w:rPr>
      </w:pPr>
    </w:p>
    <w:p w14:paraId="63B87AAF">
      <w:pPr>
        <w:rPr>
          <w:rFonts w:hint="eastAsia" w:ascii="新宋体" w:hAnsi="新宋体" w:eastAsia="新宋体" w:cs="新宋体"/>
          <w:b/>
          <w:bCs/>
          <w:color w:val="auto"/>
          <w:sz w:val="22"/>
          <w:szCs w:val="22"/>
          <w:highlight w:val="none"/>
        </w:rPr>
      </w:pPr>
    </w:p>
    <w:p w14:paraId="334CE517">
      <w:pPr>
        <w:rPr>
          <w:rFonts w:hint="eastAsia" w:ascii="新宋体" w:hAnsi="新宋体" w:eastAsia="新宋体" w:cs="新宋体"/>
          <w:b/>
          <w:bCs/>
          <w:color w:val="auto"/>
          <w:sz w:val="22"/>
          <w:szCs w:val="22"/>
          <w:highlight w:val="none"/>
        </w:rPr>
      </w:pPr>
    </w:p>
    <w:p w14:paraId="304D978A">
      <w:pPr>
        <w:rPr>
          <w:rFonts w:hint="eastAsia" w:ascii="新宋体" w:hAnsi="新宋体" w:eastAsia="新宋体" w:cs="新宋体"/>
          <w:b/>
          <w:bCs/>
          <w:color w:val="auto"/>
          <w:sz w:val="22"/>
          <w:szCs w:val="22"/>
          <w:highlight w:val="none"/>
        </w:rPr>
      </w:pPr>
    </w:p>
    <w:p w14:paraId="2F0CB14C">
      <w:pPr>
        <w:rPr>
          <w:rFonts w:hint="eastAsia" w:ascii="新宋体" w:hAnsi="新宋体" w:eastAsia="新宋体" w:cs="新宋体"/>
          <w:b/>
          <w:bCs/>
          <w:color w:val="auto"/>
          <w:sz w:val="22"/>
          <w:szCs w:val="22"/>
          <w:highlight w:val="none"/>
        </w:rPr>
      </w:pPr>
    </w:p>
    <w:p w14:paraId="7D1F8987">
      <w:pPr>
        <w:rPr>
          <w:rFonts w:hint="eastAsia" w:ascii="新宋体" w:hAnsi="新宋体" w:eastAsia="新宋体" w:cs="新宋体"/>
          <w:b/>
          <w:bCs/>
          <w:color w:val="auto"/>
          <w:sz w:val="22"/>
          <w:szCs w:val="22"/>
          <w:highlight w:val="none"/>
        </w:rPr>
      </w:pPr>
    </w:p>
    <w:p w14:paraId="4E609C2F">
      <w:pPr>
        <w:rPr>
          <w:rFonts w:hint="eastAsia" w:ascii="新宋体" w:hAnsi="新宋体" w:eastAsia="新宋体" w:cs="新宋体"/>
          <w:b/>
          <w:bCs/>
          <w:color w:val="auto"/>
          <w:sz w:val="22"/>
          <w:szCs w:val="22"/>
          <w:highlight w:val="none"/>
        </w:rPr>
      </w:pPr>
    </w:p>
    <w:p w14:paraId="08B7F5FF">
      <w:pPr>
        <w:rPr>
          <w:rFonts w:hint="eastAsia" w:ascii="新宋体" w:hAnsi="新宋体" w:eastAsia="新宋体" w:cs="新宋体"/>
          <w:b/>
          <w:bCs/>
          <w:color w:val="auto"/>
          <w:sz w:val="22"/>
          <w:szCs w:val="22"/>
          <w:highlight w:val="none"/>
        </w:rPr>
      </w:pPr>
    </w:p>
    <w:p w14:paraId="1943B2A3">
      <w:pPr>
        <w:rPr>
          <w:rFonts w:hint="eastAsia" w:ascii="新宋体" w:hAnsi="新宋体" w:eastAsia="新宋体" w:cs="新宋体"/>
          <w:b/>
          <w:bCs/>
          <w:color w:val="auto"/>
          <w:sz w:val="22"/>
          <w:szCs w:val="22"/>
          <w:highlight w:val="none"/>
        </w:rPr>
      </w:pPr>
    </w:p>
    <w:p w14:paraId="654BEE82">
      <w:pPr>
        <w:rPr>
          <w:rFonts w:hint="eastAsia" w:ascii="新宋体" w:hAnsi="新宋体" w:eastAsia="新宋体" w:cs="新宋体"/>
          <w:b/>
          <w:bCs/>
          <w:color w:val="auto"/>
          <w:sz w:val="22"/>
          <w:szCs w:val="22"/>
          <w:highlight w:val="none"/>
        </w:rPr>
      </w:pPr>
    </w:p>
    <w:p w14:paraId="1D0B01C1">
      <w:pPr>
        <w:rPr>
          <w:rFonts w:hint="eastAsia" w:ascii="新宋体" w:hAnsi="新宋体" w:eastAsia="新宋体" w:cs="新宋体"/>
          <w:b/>
          <w:bCs/>
          <w:color w:val="auto"/>
          <w:sz w:val="22"/>
          <w:szCs w:val="22"/>
          <w:highlight w:val="none"/>
        </w:rPr>
      </w:pPr>
    </w:p>
    <w:p w14:paraId="031B0ACA">
      <w:pPr>
        <w:rPr>
          <w:rFonts w:hint="eastAsia" w:ascii="新宋体" w:hAnsi="新宋体" w:eastAsia="新宋体" w:cs="新宋体"/>
          <w:b/>
          <w:bCs/>
          <w:color w:val="auto"/>
          <w:sz w:val="22"/>
          <w:szCs w:val="22"/>
          <w:highlight w:val="none"/>
        </w:rPr>
      </w:pPr>
    </w:p>
    <w:p w14:paraId="0BEA8F31">
      <w:pPr>
        <w:rPr>
          <w:rFonts w:hint="eastAsia" w:ascii="新宋体" w:hAnsi="新宋体" w:eastAsia="新宋体" w:cs="新宋体"/>
          <w:b/>
          <w:bCs/>
          <w:color w:val="auto"/>
          <w:sz w:val="22"/>
          <w:szCs w:val="22"/>
          <w:highlight w:val="none"/>
        </w:rPr>
      </w:pPr>
    </w:p>
    <w:p w14:paraId="2F976C7F">
      <w:pPr>
        <w:rPr>
          <w:rFonts w:hint="eastAsia" w:ascii="新宋体" w:hAnsi="新宋体" w:eastAsia="新宋体" w:cs="新宋体"/>
          <w:b/>
          <w:bCs/>
          <w:color w:val="auto"/>
          <w:sz w:val="22"/>
          <w:szCs w:val="22"/>
          <w:highlight w:val="none"/>
        </w:rPr>
      </w:pPr>
    </w:p>
    <w:p w14:paraId="72BFA683">
      <w:pPr>
        <w:rPr>
          <w:rFonts w:hint="eastAsia" w:ascii="新宋体" w:hAnsi="新宋体" w:eastAsia="新宋体" w:cs="新宋体"/>
          <w:b/>
          <w:bCs/>
          <w:color w:val="auto"/>
          <w:sz w:val="22"/>
          <w:szCs w:val="22"/>
          <w:highlight w:val="none"/>
        </w:rPr>
      </w:pPr>
    </w:p>
    <w:p w14:paraId="5C9485EB">
      <w:pPr>
        <w:rPr>
          <w:rFonts w:hint="eastAsia" w:ascii="新宋体" w:hAnsi="新宋体" w:eastAsia="新宋体" w:cs="新宋体"/>
          <w:b/>
          <w:bCs/>
          <w:color w:val="auto"/>
          <w:sz w:val="22"/>
          <w:szCs w:val="22"/>
          <w:highlight w:val="none"/>
        </w:rPr>
      </w:pPr>
    </w:p>
    <w:p w14:paraId="52DD58C0">
      <w:pPr>
        <w:pStyle w:val="10"/>
        <w:spacing w:line="460" w:lineRule="exact"/>
        <w:ind w:left="433" w:hanging="433" w:hangingChars="196"/>
        <w:outlineLvl w:val="1"/>
        <w:rPr>
          <w:rFonts w:hint="eastAsia" w:ascii="新宋体" w:hAnsi="新宋体" w:eastAsia="新宋体" w:cs="新宋体"/>
          <w:b/>
          <w:color w:val="auto"/>
          <w:sz w:val="22"/>
          <w:highlight w:val="none"/>
        </w:rPr>
      </w:pPr>
      <w:r>
        <w:rPr>
          <w:rFonts w:hint="eastAsia" w:ascii="新宋体" w:hAnsi="新宋体" w:eastAsia="新宋体" w:cs="新宋体"/>
          <w:b/>
          <w:bCs/>
          <w:color w:val="auto"/>
          <w:sz w:val="22"/>
          <w:szCs w:val="22"/>
          <w:highlight w:val="none"/>
        </w:rPr>
        <w:br w:type="page"/>
      </w:r>
      <w:bookmarkStart w:id="96" w:name="_Toc5264"/>
      <w:bookmarkStart w:id="97" w:name="_Toc2578"/>
      <w:bookmarkStart w:id="98" w:name="_Toc1624"/>
      <w:r>
        <w:rPr>
          <w:rFonts w:hint="eastAsia" w:ascii="新宋体" w:hAnsi="新宋体" w:eastAsia="新宋体" w:cs="新宋体"/>
          <w:b/>
          <w:color w:val="auto"/>
          <w:sz w:val="22"/>
          <w:highlight w:val="none"/>
        </w:rPr>
        <w:t>附件五</w:t>
      </w:r>
      <w:bookmarkEnd w:id="96"/>
      <w:bookmarkEnd w:id="97"/>
      <w:bookmarkEnd w:id="98"/>
    </w:p>
    <w:p w14:paraId="66D75BBB">
      <w:pPr>
        <w:spacing w:line="400" w:lineRule="exact"/>
        <w:jc w:val="center"/>
        <w:outlineLvl w:val="2"/>
        <w:rPr>
          <w:rFonts w:hint="eastAsia" w:ascii="新宋体" w:hAnsi="新宋体" w:eastAsia="新宋体" w:cs="新宋体"/>
          <w:b/>
          <w:bCs/>
          <w:color w:val="auto"/>
          <w:sz w:val="28"/>
          <w:szCs w:val="28"/>
          <w:highlight w:val="none"/>
        </w:rPr>
      </w:pPr>
      <w:bookmarkStart w:id="99" w:name="_Toc23806"/>
      <w:bookmarkStart w:id="100" w:name="_Toc25023"/>
      <w:bookmarkStart w:id="101" w:name="_Toc6274"/>
      <w:r>
        <w:rPr>
          <w:rFonts w:hint="eastAsia" w:ascii="新宋体" w:hAnsi="新宋体" w:eastAsia="新宋体" w:cs="新宋体"/>
          <w:b/>
          <w:bCs/>
          <w:color w:val="auto"/>
          <w:sz w:val="28"/>
          <w:szCs w:val="28"/>
          <w:highlight w:val="none"/>
          <w:lang w:val="zh-CN"/>
        </w:rPr>
        <w:t>偏离表</w:t>
      </w:r>
      <w:bookmarkEnd w:id="99"/>
      <w:bookmarkEnd w:id="100"/>
      <w:bookmarkEnd w:id="101"/>
    </w:p>
    <w:p w14:paraId="6AB87AFE">
      <w:pPr>
        <w:spacing w:line="560" w:lineRule="exact"/>
        <w:ind w:firstLine="433" w:firstLineChars="196"/>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项目名称：                                          项目编号：</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44"/>
        <w:gridCol w:w="3402"/>
        <w:gridCol w:w="1843"/>
      </w:tblGrid>
      <w:tr w14:paraId="7FE3F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134" w:type="dxa"/>
            <w:shd w:val="clear" w:color="auto" w:fill="FFFFFF"/>
            <w:noWrap w:val="0"/>
            <w:vAlign w:val="center"/>
          </w:tcPr>
          <w:p w14:paraId="3FB42E50">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  号</w:t>
            </w:r>
          </w:p>
        </w:tc>
        <w:tc>
          <w:tcPr>
            <w:tcW w:w="3544" w:type="dxa"/>
            <w:shd w:val="clear" w:color="auto" w:fill="FFFFFF"/>
            <w:noWrap w:val="0"/>
            <w:vAlign w:val="center"/>
          </w:tcPr>
          <w:p w14:paraId="173063A2">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采购文件</w:t>
            </w:r>
          </w:p>
          <w:p w14:paraId="12DEA328">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规格要求</w:t>
            </w:r>
          </w:p>
        </w:tc>
        <w:tc>
          <w:tcPr>
            <w:tcW w:w="3402" w:type="dxa"/>
            <w:shd w:val="clear" w:color="auto" w:fill="FFFFFF"/>
            <w:noWrap w:val="0"/>
            <w:vAlign w:val="center"/>
          </w:tcPr>
          <w:p w14:paraId="0F4458FD">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投标文件</w:t>
            </w:r>
          </w:p>
          <w:p w14:paraId="096632FF">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对应规格</w:t>
            </w:r>
          </w:p>
        </w:tc>
        <w:tc>
          <w:tcPr>
            <w:tcW w:w="1843" w:type="dxa"/>
            <w:shd w:val="clear" w:color="auto" w:fill="FFFFFF"/>
            <w:noWrap w:val="0"/>
            <w:vAlign w:val="center"/>
          </w:tcPr>
          <w:p w14:paraId="79E28B05">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   明</w:t>
            </w:r>
          </w:p>
        </w:tc>
      </w:tr>
      <w:tr w14:paraId="19852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134" w:type="dxa"/>
            <w:noWrap w:val="0"/>
            <w:vAlign w:val="center"/>
          </w:tcPr>
          <w:p w14:paraId="67AAED5D">
            <w:pPr>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3544" w:type="dxa"/>
            <w:noWrap w:val="0"/>
            <w:vAlign w:val="center"/>
          </w:tcPr>
          <w:p w14:paraId="57721198">
            <w:pPr>
              <w:jc w:val="center"/>
              <w:rPr>
                <w:rFonts w:hint="eastAsia" w:ascii="新宋体" w:hAnsi="新宋体" w:eastAsia="新宋体" w:cs="新宋体"/>
                <w:color w:val="auto"/>
                <w:sz w:val="22"/>
                <w:szCs w:val="22"/>
                <w:highlight w:val="none"/>
              </w:rPr>
            </w:pPr>
          </w:p>
        </w:tc>
        <w:tc>
          <w:tcPr>
            <w:tcW w:w="3402" w:type="dxa"/>
            <w:noWrap w:val="0"/>
            <w:vAlign w:val="center"/>
          </w:tcPr>
          <w:p w14:paraId="20E8391F">
            <w:pPr>
              <w:jc w:val="center"/>
              <w:rPr>
                <w:rFonts w:hint="eastAsia" w:ascii="新宋体" w:hAnsi="新宋体" w:eastAsia="新宋体" w:cs="新宋体"/>
                <w:color w:val="auto"/>
                <w:sz w:val="22"/>
                <w:szCs w:val="22"/>
                <w:highlight w:val="none"/>
              </w:rPr>
            </w:pPr>
          </w:p>
        </w:tc>
        <w:tc>
          <w:tcPr>
            <w:tcW w:w="1843" w:type="dxa"/>
            <w:noWrap w:val="0"/>
            <w:vAlign w:val="center"/>
          </w:tcPr>
          <w:p w14:paraId="0790D51D">
            <w:pPr>
              <w:jc w:val="center"/>
              <w:rPr>
                <w:rFonts w:hint="eastAsia" w:ascii="新宋体" w:hAnsi="新宋体" w:eastAsia="新宋体" w:cs="新宋体"/>
                <w:color w:val="auto"/>
                <w:sz w:val="22"/>
                <w:szCs w:val="22"/>
                <w:highlight w:val="none"/>
              </w:rPr>
            </w:pPr>
          </w:p>
        </w:tc>
      </w:tr>
      <w:tr w14:paraId="4A2A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noWrap w:val="0"/>
            <w:vAlign w:val="center"/>
          </w:tcPr>
          <w:p w14:paraId="53F24C5B">
            <w:pPr>
              <w:jc w:val="center"/>
              <w:rPr>
                <w:rFonts w:hint="eastAsia" w:ascii="新宋体" w:hAnsi="新宋体" w:eastAsia="新宋体" w:cs="新宋体"/>
                <w:color w:val="auto"/>
                <w:sz w:val="22"/>
                <w:szCs w:val="22"/>
                <w:highlight w:val="none"/>
              </w:rPr>
            </w:pPr>
          </w:p>
        </w:tc>
        <w:tc>
          <w:tcPr>
            <w:tcW w:w="3544" w:type="dxa"/>
            <w:noWrap w:val="0"/>
            <w:vAlign w:val="center"/>
          </w:tcPr>
          <w:p w14:paraId="5AC7B552">
            <w:pPr>
              <w:jc w:val="center"/>
              <w:rPr>
                <w:rFonts w:hint="eastAsia" w:ascii="新宋体" w:hAnsi="新宋体" w:eastAsia="新宋体" w:cs="新宋体"/>
                <w:color w:val="auto"/>
                <w:sz w:val="22"/>
                <w:szCs w:val="22"/>
                <w:highlight w:val="none"/>
              </w:rPr>
            </w:pPr>
          </w:p>
        </w:tc>
        <w:tc>
          <w:tcPr>
            <w:tcW w:w="3402" w:type="dxa"/>
            <w:noWrap w:val="0"/>
            <w:vAlign w:val="center"/>
          </w:tcPr>
          <w:p w14:paraId="6FAC7919">
            <w:pPr>
              <w:jc w:val="center"/>
              <w:rPr>
                <w:rFonts w:hint="eastAsia" w:ascii="新宋体" w:hAnsi="新宋体" w:eastAsia="新宋体" w:cs="新宋体"/>
                <w:color w:val="auto"/>
                <w:sz w:val="22"/>
                <w:szCs w:val="22"/>
                <w:highlight w:val="none"/>
              </w:rPr>
            </w:pPr>
          </w:p>
        </w:tc>
        <w:tc>
          <w:tcPr>
            <w:tcW w:w="1843" w:type="dxa"/>
            <w:noWrap w:val="0"/>
            <w:vAlign w:val="center"/>
          </w:tcPr>
          <w:p w14:paraId="36847236">
            <w:pPr>
              <w:jc w:val="center"/>
              <w:rPr>
                <w:rFonts w:hint="eastAsia" w:ascii="新宋体" w:hAnsi="新宋体" w:eastAsia="新宋体" w:cs="新宋体"/>
                <w:color w:val="auto"/>
                <w:sz w:val="22"/>
                <w:szCs w:val="22"/>
                <w:highlight w:val="none"/>
              </w:rPr>
            </w:pPr>
          </w:p>
        </w:tc>
      </w:tr>
      <w:tr w14:paraId="727E2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noWrap w:val="0"/>
            <w:vAlign w:val="center"/>
          </w:tcPr>
          <w:p w14:paraId="04EAC4B1">
            <w:pPr>
              <w:jc w:val="center"/>
              <w:rPr>
                <w:rFonts w:hint="eastAsia" w:ascii="新宋体" w:hAnsi="新宋体" w:eastAsia="新宋体" w:cs="新宋体"/>
                <w:color w:val="auto"/>
                <w:sz w:val="22"/>
                <w:szCs w:val="22"/>
                <w:highlight w:val="none"/>
              </w:rPr>
            </w:pPr>
          </w:p>
        </w:tc>
        <w:tc>
          <w:tcPr>
            <w:tcW w:w="3544" w:type="dxa"/>
            <w:noWrap w:val="0"/>
            <w:vAlign w:val="center"/>
          </w:tcPr>
          <w:p w14:paraId="15C01846">
            <w:pPr>
              <w:jc w:val="center"/>
              <w:rPr>
                <w:rFonts w:hint="eastAsia" w:ascii="新宋体" w:hAnsi="新宋体" w:eastAsia="新宋体" w:cs="新宋体"/>
                <w:color w:val="auto"/>
                <w:sz w:val="22"/>
                <w:szCs w:val="22"/>
                <w:highlight w:val="none"/>
              </w:rPr>
            </w:pPr>
          </w:p>
        </w:tc>
        <w:tc>
          <w:tcPr>
            <w:tcW w:w="3402" w:type="dxa"/>
            <w:noWrap w:val="0"/>
            <w:vAlign w:val="center"/>
          </w:tcPr>
          <w:p w14:paraId="03205C40">
            <w:pPr>
              <w:jc w:val="center"/>
              <w:rPr>
                <w:rFonts w:hint="eastAsia" w:ascii="新宋体" w:hAnsi="新宋体" w:eastAsia="新宋体" w:cs="新宋体"/>
                <w:color w:val="auto"/>
                <w:sz w:val="22"/>
                <w:szCs w:val="22"/>
                <w:highlight w:val="none"/>
              </w:rPr>
            </w:pPr>
          </w:p>
        </w:tc>
        <w:tc>
          <w:tcPr>
            <w:tcW w:w="1843" w:type="dxa"/>
            <w:noWrap w:val="0"/>
            <w:vAlign w:val="center"/>
          </w:tcPr>
          <w:p w14:paraId="131B8EDF">
            <w:pPr>
              <w:jc w:val="center"/>
              <w:rPr>
                <w:rFonts w:hint="eastAsia" w:ascii="新宋体" w:hAnsi="新宋体" w:eastAsia="新宋体" w:cs="新宋体"/>
                <w:color w:val="auto"/>
                <w:sz w:val="22"/>
                <w:szCs w:val="22"/>
                <w:highlight w:val="none"/>
              </w:rPr>
            </w:pPr>
          </w:p>
        </w:tc>
      </w:tr>
      <w:tr w14:paraId="683B4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noWrap w:val="0"/>
            <w:vAlign w:val="center"/>
          </w:tcPr>
          <w:p w14:paraId="5F5932C3">
            <w:pPr>
              <w:jc w:val="center"/>
              <w:rPr>
                <w:rFonts w:hint="eastAsia" w:ascii="新宋体" w:hAnsi="新宋体" w:eastAsia="新宋体" w:cs="新宋体"/>
                <w:color w:val="auto"/>
                <w:sz w:val="22"/>
                <w:szCs w:val="22"/>
                <w:highlight w:val="none"/>
              </w:rPr>
            </w:pPr>
          </w:p>
        </w:tc>
        <w:tc>
          <w:tcPr>
            <w:tcW w:w="3544" w:type="dxa"/>
            <w:noWrap w:val="0"/>
            <w:vAlign w:val="center"/>
          </w:tcPr>
          <w:p w14:paraId="337D862D">
            <w:pPr>
              <w:jc w:val="center"/>
              <w:rPr>
                <w:rFonts w:hint="eastAsia" w:ascii="新宋体" w:hAnsi="新宋体" w:eastAsia="新宋体" w:cs="新宋体"/>
                <w:color w:val="auto"/>
                <w:sz w:val="22"/>
                <w:szCs w:val="22"/>
                <w:highlight w:val="none"/>
              </w:rPr>
            </w:pPr>
          </w:p>
        </w:tc>
        <w:tc>
          <w:tcPr>
            <w:tcW w:w="3402" w:type="dxa"/>
            <w:noWrap w:val="0"/>
            <w:vAlign w:val="center"/>
          </w:tcPr>
          <w:p w14:paraId="0880686C">
            <w:pPr>
              <w:jc w:val="center"/>
              <w:rPr>
                <w:rFonts w:hint="eastAsia" w:ascii="新宋体" w:hAnsi="新宋体" w:eastAsia="新宋体" w:cs="新宋体"/>
                <w:color w:val="auto"/>
                <w:sz w:val="22"/>
                <w:szCs w:val="22"/>
                <w:highlight w:val="none"/>
              </w:rPr>
            </w:pPr>
          </w:p>
        </w:tc>
        <w:tc>
          <w:tcPr>
            <w:tcW w:w="1843" w:type="dxa"/>
            <w:noWrap w:val="0"/>
            <w:vAlign w:val="center"/>
          </w:tcPr>
          <w:p w14:paraId="42B159C3">
            <w:pPr>
              <w:jc w:val="center"/>
              <w:rPr>
                <w:rFonts w:hint="eastAsia" w:ascii="新宋体" w:hAnsi="新宋体" w:eastAsia="新宋体" w:cs="新宋体"/>
                <w:color w:val="auto"/>
                <w:sz w:val="22"/>
                <w:szCs w:val="22"/>
                <w:highlight w:val="none"/>
              </w:rPr>
            </w:pPr>
          </w:p>
        </w:tc>
      </w:tr>
      <w:tr w14:paraId="4D912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noWrap w:val="0"/>
            <w:vAlign w:val="center"/>
          </w:tcPr>
          <w:p w14:paraId="2639651C">
            <w:pPr>
              <w:jc w:val="center"/>
              <w:rPr>
                <w:rFonts w:hint="eastAsia" w:ascii="新宋体" w:hAnsi="新宋体" w:eastAsia="新宋体" w:cs="新宋体"/>
                <w:color w:val="auto"/>
                <w:sz w:val="22"/>
                <w:szCs w:val="22"/>
                <w:highlight w:val="none"/>
              </w:rPr>
            </w:pPr>
          </w:p>
        </w:tc>
        <w:tc>
          <w:tcPr>
            <w:tcW w:w="3544" w:type="dxa"/>
            <w:noWrap w:val="0"/>
            <w:vAlign w:val="center"/>
          </w:tcPr>
          <w:p w14:paraId="5098FF68">
            <w:pPr>
              <w:jc w:val="center"/>
              <w:rPr>
                <w:rFonts w:hint="eastAsia" w:ascii="新宋体" w:hAnsi="新宋体" w:eastAsia="新宋体" w:cs="新宋体"/>
                <w:color w:val="auto"/>
                <w:sz w:val="22"/>
                <w:szCs w:val="22"/>
                <w:highlight w:val="none"/>
              </w:rPr>
            </w:pPr>
          </w:p>
        </w:tc>
        <w:tc>
          <w:tcPr>
            <w:tcW w:w="3402" w:type="dxa"/>
            <w:noWrap w:val="0"/>
            <w:vAlign w:val="center"/>
          </w:tcPr>
          <w:p w14:paraId="6076F35D">
            <w:pPr>
              <w:jc w:val="center"/>
              <w:rPr>
                <w:rFonts w:hint="eastAsia" w:ascii="新宋体" w:hAnsi="新宋体" w:eastAsia="新宋体" w:cs="新宋体"/>
                <w:color w:val="auto"/>
                <w:sz w:val="22"/>
                <w:szCs w:val="22"/>
                <w:highlight w:val="none"/>
              </w:rPr>
            </w:pPr>
          </w:p>
        </w:tc>
        <w:tc>
          <w:tcPr>
            <w:tcW w:w="1843" w:type="dxa"/>
            <w:noWrap w:val="0"/>
            <w:vAlign w:val="center"/>
          </w:tcPr>
          <w:p w14:paraId="7CCC9862">
            <w:pPr>
              <w:jc w:val="center"/>
              <w:rPr>
                <w:rFonts w:hint="eastAsia" w:ascii="新宋体" w:hAnsi="新宋体" w:eastAsia="新宋体" w:cs="新宋体"/>
                <w:color w:val="auto"/>
                <w:sz w:val="22"/>
                <w:szCs w:val="22"/>
                <w:highlight w:val="none"/>
              </w:rPr>
            </w:pPr>
          </w:p>
        </w:tc>
      </w:tr>
      <w:tr w14:paraId="30152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noWrap w:val="0"/>
            <w:vAlign w:val="center"/>
          </w:tcPr>
          <w:p w14:paraId="4442A509">
            <w:pPr>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3544" w:type="dxa"/>
            <w:noWrap w:val="0"/>
            <w:vAlign w:val="center"/>
          </w:tcPr>
          <w:p w14:paraId="30A1B1D2">
            <w:pPr>
              <w:jc w:val="center"/>
              <w:rPr>
                <w:rFonts w:hint="eastAsia" w:ascii="新宋体" w:hAnsi="新宋体" w:eastAsia="新宋体" w:cs="新宋体"/>
                <w:color w:val="auto"/>
                <w:sz w:val="22"/>
                <w:szCs w:val="22"/>
                <w:highlight w:val="none"/>
              </w:rPr>
            </w:pPr>
          </w:p>
        </w:tc>
        <w:tc>
          <w:tcPr>
            <w:tcW w:w="3402" w:type="dxa"/>
            <w:noWrap w:val="0"/>
            <w:vAlign w:val="center"/>
          </w:tcPr>
          <w:p w14:paraId="651B4171">
            <w:pPr>
              <w:jc w:val="center"/>
              <w:rPr>
                <w:rFonts w:hint="eastAsia" w:ascii="新宋体" w:hAnsi="新宋体" w:eastAsia="新宋体" w:cs="新宋体"/>
                <w:color w:val="auto"/>
                <w:sz w:val="22"/>
                <w:szCs w:val="22"/>
                <w:highlight w:val="none"/>
              </w:rPr>
            </w:pPr>
          </w:p>
        </w:tc>
        <w:tc>
          <w:tcPr>
            <w:tcW w:w="1843" w:type="dxa"/>
            <w:noWrap w:val="0"/>
            <w:vAlign w:val="center"/>
          </w:tcPr>
          <w:p w14:paraId="6027757B">
            <w:pPr>
              <w:jc w:val="center"/>
              <w:rPr>
                <w:rFonts w:hint="eastAsia" w:ascii="新宋体" w:hAnsi="新宋体" w:eastAsia="新宋体" w:cs="新宋体"/>
                <w:color w:val="auto"/>
                <w:sz w:val="22"/>
                <w:szCs w:val="22"/>
                <w:highlight w:val="none"/>
              </w:rPr>
            </w:pPr>
          </w:p>
        </w:tc>
      </w:tr>
      <w:tr w14:paraId="3D70B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noWrap w:val="0"/>
            <w:vAlign w:val="center"/>
          </w:tcPr>
          <w:p w14:paraId="2D91F476">
            <w:pPr>
              <w:jc w:val="center"/>
              <w:rPr>
                <w:rFonts w:hint="eastAsia" w:ascii="新宋体" w:hAnsi="新宋体" w:eastAsia="新宋体" w:cs="新宋体"/>
                <w:color w:val="auto"/>
                <w:sz w:val="22"/>
                <w:szCs w:val="22"/>
                <w:highlight w:val="none"/>
              </w:rPr>
            </w:pPr>
          </w:p>
        </w:tc>
        <w:tc>
          <w:tcPr>
            <w:tcW w:w="3544" w:type="dxa"/>
            <w:noWrap w:val="0"/>
            <w:vAlign w:val="center"/>
          </w:tcPr>
          <w:p w14:paraId="3FDEE15A">
            <w:pPr>
              <w:jc w:val="center"/>
              <w:rPr>
                <w:rFonts w:hint="eastAsia" w:ascii="新宋体" w:hAnsi="新宋体" w:eastAsia="新宋体" w:cs="新宋体"/>
                <w:color w:val="auto"/>
                <w:sz w:val="22"/>
                <w:szCs w:val="22"/>
                <w:highlight w:val="none"/>
              </w:rPr>
            </w:pPr>
          </w:p>
        </w:tc>
        <w:tc>
          <w:tcPr>
            <w:tcW w:w="3402" w:type="dxa"/>
            <w:noWrap w:val="0"/>
            <w:vAlign w:val="center"/>
          </w:tcPr>
          <w:p w14:paraId="60904A4C">
            <w:pPr>
              <w:jc w:val="center"/>
              <w:rPr>
                <w:rFonts w:hint="eastAsia" w:ascii="新宋体" w:hAnsi="新宋体" w:eastAsia="新宋体" w:cs="新宋体"/>
                <w:color w:val="auto"/>
                <w:sz w:val="22"/>
                <w:szCs w:val="22"/>
                <w:highlight w:val="none"/>
              </w:rPr>
            </w:pPr>
          </w:p>
        </w:tc>
        <w:tc>
          <w:tcPr>
            <w:tcW w:w="1843" w:type="dxa"/>
            <w:noWrap w:val="0"/>
            <w:vAlign w:val="center"/>
          </w:tcPr>
          <w:p w14:paraId="2D52766A">
            <w:pPr>
              <w:jc w:val="center"/>
              <w:rPr>
                <w:rFonts w:hint="eastAsia" w:ascii="新宋体" w:hAnsi="新宋体" w:eastAsia="新宋体" w:cs="新宋体"/>
                <w:color w:val="auto"/>
                <w:sz w:val="22"/>
                <w:szCs w:val="22"/>
                <w:highlight w:val="none"/>
              </w:rPr>
            </w:pPr>
          </w:p>
        </w:tc>
      </w:tr>
      <w:tr w14:paraId="69D8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noWrap w:val="0"/>
            <w:vAlign w:val="center"/>
          </w:tcPr>
          <w:p w14:paraId="5B58BEDD">
            <w:pPr>
              <w:jc w:val="center"/>
              <w:rPr>
                <w:rFonts w:hint="eastAsia" w:ascii="新宋体" w:hAnsi="新宋体" w:eastAsia="新宋体" w:cs="新宋体"/>
                <w:color w:val="auto"/>
                <w:sz w:val="22"/>
                <w:szCs w:val="22"/>
                <w:highlight w:val="none"/>
              </w:rPr>
            </w:pPr>
          </w:p>
        </w:tc>
        <w:tc>
          <w:tcPr>
            <w:tcW w:w="3544" w:type="dxa"/>
            <w:noWrap w:val="0"/>
            <w:vAlign w:val="center"/>
          </w:tcPr>
          <w:p w14:paraId="4910345F">
            <w:pPr>
              <w:jc w:val="center"/>
              <w:rPr>
                <w:rFonts w:hint="eastAsia" w:ascii="新宋体" w:hAnsi="新宋体" w:eastAsia="新宋体" w:cs="新宋体"/>
                <w:color w:val="auto"/>
                <w:sz w:val="22"/>
                <w:szCs w:val="22"/>
                <w:highlight w:val="none"/>
              </w:rPr>
            </w:pPr>
          </w:p>
        </w:tc>
        <w:tc>
          <w:tcPr>
            <w:tcW w:w="3402" w:type="dxa"/>
            <w:noWrap w:val="0"/>
            <w:vAlign w:val="center"/>
          </w:tcPr>
          <w:p w14:paraId="2F3B075E">
            <w:pPr>
              <w:jc w:val="center"/>
              <w:rPr>
                <w:rFonts w:hint="eastAsia" w:ascii="新宋体" w:hAnsi="新宋体" w:eastAsia="新宋体" w:cs="新宋体"/>
                <w:color w:val="auto"/>
                <w:sz w:val="22"/>
                <w:szCs w:val="22"/>
                <w:highlight w:val="none"/>
              </w:rPr>
            </w:pPr>
          </w:p>
        </w:tc>
        <w:tc>
          <w:tcPr>
            <w:tcW w:w="1843" w:type="dxa"/>
            <w:noWrap w:val="0"/>
            <w:vAlign w:val="center"/>
          </w:tcPr>
          <w:p w14:paraId="14829409">
            <w:pPr>
              <w:jc w:val="center"/>
              <w:rPr>
                <w:rFonts w:hint="eastAsia" w:ascii="新宋体" w:hAnsi="新宋体" w:eastAsia="新宋体" w:cs="新宋体"/>
                <w:color w:val="auto"/>
                <w:sz w:val="22"/>
                <w:szCs w:val="22"/>
                <w:highlight w:val="none"/>
              </w:rPr>
            </w:pPr>
          </w:p>
        </w:tc>
      </w:tr>
      <w:tr w14:paraId="106F3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noWrap w:val="0"/>
            <w:vAlign w:val="center"/>
          </w:tcPr>
          <w:p w14:paraId="01D60944">
            <w:pPr>
              <w:jc w:val="center"/>
              <w:rPr>
                <w:rFonts w:hint="eastAsia" w:ascii="新宋体" w:hAnsi="新宋体" w:eastAsia="新宋体" w:cs="新宋体"/>
                <w:color w:val="auto"/>
                <w:sz w:val="22"/>
                <w:szCs w:val="22"/>
                <w:highlight w:val="none"/>
              </w:rPr>
            </w:pPr>
          </w:p>
        </w:tc>
        <w:tc>
          <w:tcPr>
            <w:tcW w:w="3544" w:type="dxa"/>
            <w:noWrap w:val="0"/>
            <w:vAlign w:val="center"/>
          </w:tcPr>
          <w:p w14:paraId="10942122">
            <w:pPr>
              <w:jc w:val="center"/>
              <w:rPr>
                <w:rFonts w:hint="eastAsia" w:ascii="新宋体" w:hAnsi="新宋体" w:eastAsia="新宋体" w:cs="新宋体"/>
                <w:color w:val="auto"/>
                <w:sz w:val="22"/>
                <w:szCs w:val="22"/>
                <w:highlight w:val="none"/>
              </w:rPr>
            </w:pPr>
          </w:p>
        </w:tc>
        <w:tc>
          <w:tcPr>
            <w:tcW w:w="3402" w:type="dxa"/>
            <w:noWrap w:val="0"/>
            <w:vAlign w:val="center"/>
          </w:tcPr>
          <w:p w14:paraId="4F5FCF0B">
            <w:pPr>
              <w:jc w:val="center"/>
              <w:rPr>
                <w:rFonts w:hint="eastAsia" w:ascii="新宋体" w:hAnsi="新宋体" w:eastAsia="新宋体" w:cs="新宋体"/>
                <w:color w:val="auto"/>
                <w:sz w:val="22"/>
                <w:szCs w:val="22"/>
                <w:highlight w:val="none"/>
              </w:rPr>
            </w:pPr>
          </w:p>
        </w:tc>
        <w:tc>
          <w:tcPr>
            <w:tcW w:w="1843" w:type="dxa"/>
            <w:noWrap w:val="0"/>
            <w:vAlign w:val="center"/>
          </w:tcPr>
          <w:p w14:paraId="39C96CF7">
            <w:pPr>
              <w:jc w:val="center"/>
              <w:rPr>
                <w:rFonts w:hint="eastAsia" w:ascii="新宋体" w:hAnsi="新宋体" w:eastAsia="新宋体" w:cs="新宋体"/>
                <w:color w:val="auto"/>
                <w:sz w:val="22"/>
                <w:szCs w:val="22"/>
                <w:highlight w:val="none"/>
              </w:rPr>
            </w:pPr>
          </w:p>
        </w:tc>
      </w:tr>
      <w:tr w14:paraId="79D35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noWrap w:val="0"/>
            <w:vAlign w:val="center"/>
          </w:tcPr>
          <w:p w14:paraId="278C20E6">
            <w:pPr>
              <w:jc w:val="center"/>
              <w:rPr>
                <w:rFonts w:hint="eastAsia" w:ascii="新宋体" w:hAnsi="新宋体" w:eastAsia="新宋体" w:cs="新宋体"/>
                <w:color w:val="auto"/>
                <w:sz w:val="22"/>
                <w:szCs w:val="22"/>
                <w:highlight w:val="none"/>
              </w:rPr>
            </w:pPr>
          </w:p>
        </w:tc>
        <w:tc>
          <w:tcPr>
            <w:tcW w:w="3544" w:type="dxa"/>
            <w:noWrap w:val="0"/>
            <w:vAlign w:val="center"/>
          </w:tcPr>
          <w:p w14:paraId="52D28CE9">
            <w:pPr>
              <w:jc w:val="center"/>
              <w:rPr>
                <w:rFonts w:hint="eastAsia" w:ascii="新宋体" w:hAnsi="新宋体" w:eastAsia="新宋体" w:cs="新宋体"/>
                <w:color w:val="auto"/>
                <w:sz w:val="22"/>
                <w:szCs w:val="22"/>
                <w:highlight w:val="none"/>
              </w:rPr>
            </w:pPr>
          </w:p>
        </w:tc>
        <w:tc>
          <w:tcPr>
            <w:tcW w:w="3402" w:type="dxa"/>
            <w:noWrap w:val="0"/>
            <w:vAlign w:val="center"/>
          </w:tcPr>
          <w:p w14:paraId="26EE3354">
            <w:pPr>
              <w:jc w:val="center"/>
              <w:rPr>
                <w:rFonts w:hint="eastAsia" w:ascii="新宋体" w:hAnsi="新宋体" w:eastAsia="新宋体" w:cs="新宋体"/>
                <w:color w:val="auto"/>
                <w:sz w:val="22"/>
                <w:szCs w:val="22"/>
                <w:highlight w:val="none"/>
              </w:rPr>
            </w:pPr>
          </w:p>
        </w:tc>
        <w:tc>
          <w:tcPr>
            <w:tcW w:w="1843" w:type="dxa"/>
            <w:noWrap w:val="0"/>
            <w:vAlign w:val="center"/>
          </w:tcPr>
          <w:p w14:paraId="228139D7">
            <w:pPr>
              <w:jc w:val="center"/>
              <w:rPr>
                <w:rFonts w:hint="eastAsia" w:ascii="新宋体" w:hAnsi="新宋体" w:eastAsia="新宋体" w:cs="新宋体"/>
                <w:color w:val="auto"/>
                <w:sz w:val="22"/>
                <w:szCs w:val="22"/>
                <w:highlight w:val="none"/>
              </w:rPr>
            </w:pPr>
          </w:p>
        </w:tc>
      </w:tr>
      <w:tr w14:paraId="7E220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noWrap w:val="0"/>
            <w:vAlign w:val="center"/>
          </w:tcPr>
          <w:p w14:paraId="3BEC141B">
            <w:pPr>
              <w:jc w:val="center"/>
              <w:rPr>
                <w:rFonts w:hint="eastAsia" w:ascii="新宋体" w:hAnsi="新宋体" w:eastAsia="新宋体" w:cs="新宋体"/>
                <w:color w:val="auto"/>
                <w:sz w:val="22"/>
                <w:szCs w:val="22"/>
                <w:highlight w:val="none"/>
              </w:rPr>
            </w:pPr>
          </w:p>
        </w:tc>
        <w:tc>
          <w:tcPr>
            <w:tcW w:w="3544" w:type="dxa"/>
            <w:noWrap w:val="0"/>
            <w:vAlign w:val="center"/>
          </w:tcPr>
          <w:p w14:paraId="6D5C46FB">
            <w:pPr>
              <w:jc w:val="center"/>
              <w:rPr>
                <w:rFonts w:hint="eastAsia" w:ascii="新宋体" w:hAnsi="新宋体" w:eastAsia="新宋体" w:cs="新宋体"/>
                <w:color w:val="auto"/>
                <w:sz w:val="22"/>
                <w:szCs w:val="22"/>
                <w:highlight w:val="none"/>
              </w:rPr>
            </w:pPr>
          </w:p>
        </w:tc>
        <w:tc>
          <w:tcPr>
            <w:tcW w:w="3402" w:type="dxa"/>
            <w:noWrap w:val="0"/>
            <w:vAlign w:val="center"/>
          </w:tcPr>
          <w:p w14:paraId="0558AA41">
            <w:pPr>
              <w:jc w:val="center"/>
              <w:rPr>
                <w:rFonts w:hint="eastAsia" w:ascii="新宋体" w:hAnsi="新宋体" w:eastAsia="新宋体" w:cs="新宋体"/>
                <w:color w:val="auto"/>
                <w:sz w:val="22"/>
                <w:szCs w:val="22"/>
                <w:highlight w:val="none"/>
              </w:rPr>
            </w:pPr>
          </w:p>
        </w:tc>
        <w:tc>
          <w:tcPr>
            <w:tcW w:w="1843" w:type="dxa"/>
            <w:noWrap w:val="0"/>
            <w:vAlign w:val="center"/>
          </w:tcPr>
          <w:p w14:paraId="7FEBECE5">
            <w:pPr>
              <w:jc w:val="center"/>
              <w:rPr>
                <w:rFonts w:hint="eastAsia" w:ascii="新宋体" w:hAnsi="新宋体" w:eastAsia="新宋体" w:cs="新宋体"/>
                <w:color w:val="auto"/>
                <w:sz w:val="22"/>
                <w:szCs w:val="22"/>
                <w:highlight w:val="none"/>
              </w:rPr>
            </w:pPr>
          </w:p>
        </w:tc>
      </w:tr>
    </w:tbl>
    <w:p w14:paraId="0BDAE2F2">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b/>
          <w:bCs/>
          <w:color w:val="auto"/>
          <w:sz w:val="22"/>
          <w:szCs w:val="22"/>
          <w:highlight w:val="none"/>
        </w:rPr>
        <w:t>注： 如有偏离，必须在偏离表中进行详细对比说明并注明正偏离和负偏离，如不说明偏离情况，视为完全响应采购文件要求无偏离</w:t>
      </w:r>
    </w:p>
    <w:p w14:paraId="3274873A">
      <w:pPr>
        <w:spacing w:line="46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7AE4AF8C">
      <w:pPr>
        <w:spacing w:line="46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法定代表人或其授权代表（签字）：</w:t>
      </w:r>
    </w:p>
    <w:p w14:paraId="0096732A">
      <w:pPr>
        <w:spacing w:line="46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2C0DB459">
      <w:pPr>
        <w:spacing w:line="460" w:lineRule="exact"/>
        <w:rPr>
          <w:rFonts w:hint="eastAsia" w:ascii="新宋体" w:hAnsi="新宋体" w:eastAsia="新宋体" w:cs="新宋体"/>
          <w:color w:val="auto"/>
          <w:sz w:val="22"/>
          <w:szCs w:val="22"/>
          <w:highlight w:val="none"/>
        </w:rPr>
      </w:pPr>
    </w:p>
    <w:p w14:paraId="0B886B49">
      <w:pPr>
        <w:pStyle w:val="10"/>
        <w:spacing w:line="460" w:lineRule="exact"/>
        <w:ind w:left="433" w:hanging="433" w:hangingChars="196"/>
        <w:outlineLvl w:val="1"/>
        <w:rPr>
          <w:rFonts w:hint="eastAsia" w:ascii="新宋体" w:hAnsi="新宋体" w:eastAsia="新宋体" w:cs="新宋体"/>
          <w:b/>
          <w:color w:val="auto"/>
          <w:sz w:val="28"/>
          <w:highlight w:val="none"/>
          <w:lang w:val="en-US" w:eastAsia="zh-CN"/>
        </w:rPr>
      </w:pPr>
      <w:r>
        <w:rPr>
          <w:rFonts w:hint="eastAsia" w:ascii="新宋体" w:hAnsi="新宋体" w:eastAsia="新宋体" w:cs="新宋体"/>
          <w:b/>
          <w:bCs/>
          <w:color w:val="auto"/>
          <w:sz w:val="22"/>
          <w:szCs w:val="22"/>
          <w:highlight w:val="none"/>
        </w:rPr>
        <w:br w:type="page"/>
      </w:r>
      <w:bookmarkStart w:id="102" w:name="_Toc8576"/>
      <w:bookmarkStart w:id="103" w:name="_Toc22403"/>
      <w:bookmarkStart w:id="104" w:name="_Toc3672"/>
      <w:r>
        <w:rPr>
          <w:rFonts w:hint="eastAsia" w:ascii="新宋体" w:hAnsi="新宋体" w:eastAsia="新宋体" w:cs="新宋体"/>
          <w:b/>
          <w:bCs/>
          <w:color w:val="auto"/>
          <w:sz w:val="22"/>
          <w:szCs w:val="22"/>
          <w:highlight w:val="none"/>
        </w:rPr>
        <w:t>附件</w:t>
      </w:r>
      <w:bookmarkEnd w:id="102"/>
      <w:bookmarkEnd w:id="103"/>
      <w:bookmarkEnd w:id="104"/>
      <w:r>
        <w:rPr>
          <w:rFonts w:hint="eastAsia" w:ascii="新宋体" w:hAnsi="新宋体" w:eastAsia="新宋体" w:cs="新宋体"/>
          <w:b/>
          <w:bCs/>
          <w:color w:val="auto"/>
          <w:sz w:val="22"/>
          <w:szCs w:val="22"/>
          <w:highlight w:val="none"/>
          <w:lang w:val="en-US" w:eastAsia="zh-CN"/>
        </w:rPr>
        <w:t>六</w:t>
      </w:r>
    </w:p>
    <w:p w14:paraId="21DCAE70">
      <w:pPr>
        <w:jc w:val="center"/>
        <w:outlineLvl w:val="2"/>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企业实力</w:t>
      </w:r>
    </w:p>
    <w:p w14:paraId="62B22F56">
      <w:pPr>
        <w:autoSpaceDE w:val="0"/>
        <w:autoSpaceDN w:val="0"/>
        <w:ind w:right="893" w:firstLine="418"/>
        <w:textAlignment w:val="bottom"/>
        <w:rPr>
          <w:rFonts w:hint="eastAsia" w:ascii="新宋体" w:hAnsi="新宋体" w:eastAsia="新宋体" w:cs="新宋体"/>
          <w:color w:val="auto"/>
          <w:highlight w:val="none"/>
        </w:rPr>
      </w:pPr>
      <w:r>
        <w:rPr>
          <w:rFonts w:hint="eastAsia" w:ascii="新宋体" w:hAnsi="新宋体" w:eastAsia="新宋体" w:cs="新宋体"/>
          <w:b/>
          <w:color w:val="auto"/>
          <w:sz w:val="22"/>
          <w:highlight w:val="none"/>
        </w:rPr>
        <w:t>项目名称：                                   项目编号：</w:t>
      </w:r>
      <w:r>
        <w:rPr>
          <w:rFonts w:hint="eastAsia" w:ascii="新宋体" w:hAnsi="新宋体" w:eastAsia="新宋体" w:cs="新宋体"/>
          <w:color w:val="auto"/>
          <w:highlight w:val="none"/>
        </w:rPr>
        <w:t xml:space="preserve">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27B38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noWrap w:val="0"/>
            <w:vAlign w:val="center"/>
          </w:tcPr>
          <w:p w14:paraId="131D6FB6">
            <w:pPr>
              <w:pStyle w:val="26"/>
              <w:spacing w:after="0" w:line="460" w:lineRule="exact"/>
              <w:rPr>
                <w:rFonts w:hint="eastAsia" w:ascii="新宋体" w:hAnsi="新宋体" w:eastAsia="新宋体" w:cs="新宋体"/>
                <w:color w:val="auto"/>
                <w:highlight w:val="none"/>
              </w:rPr>
            </w:pPr>
          </w:p>
        </w:tc>
      </w:tr>
    </w:tbl>
    <w:p w14:paraId="3F5EC0B8">
      <w:pPr>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 xml:space="preserve">   </w:t>
      </w:r>
    </w:p>
    <w:p w14:paraId="23E8433B">
      <w:pPr>
        <w:pStyle w:val="12"/>
        <w:spacing w:line="400" w:lineRule="atLeast"/>
        <w:ind w:left="5360" w:leftChars="2500" w:hanging="110" w:hangingChars="5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投标人全称（盖章）：</w:t>
      </w:r>
    </w:p>
    <w:p w14:paraId="6705E9DB">
      <w:pPr>
        <w:spacing w:line="40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                                                法定代表人或其授权代表（签字）：</w:t>
      </w:r>
    </w:p>
    <w:p w14:paraId="1DF94ED1">
      <w:pPr>
        <w:spacing w:line="40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日   期：</w:t>
      </w:r>
    </w:p>
    <w:p w14:paraId="7714E496">
      <w:pPr>
        <w:spacing w:line="460" w:lineRule="exact"/>
        <w:ind w:firstLine="4400" w:firstLineChars="2000"/>
        <w:rPr>
          <w:rFonts w:hint="eastAsia" w:ascii="新宋体" w:hAnsi="新宋体" w:eastAsia="新宋体" w:cs="新宋体"/>
          <w:color w:val="auto"/>
          <w:sz w:val="22"/>
          <w:szCs w:val="22"/>
          <w:highlight w:val="none"/>
        </w:rPr>
      </w:pPr>
    </w:p>
    <w:p w14:paraId="5CC06DDB">
      <w:pPr>
        <w:spacing w:line="460" w:lineRule="exact"/>
        <w:ind w:firstLine="4400" w:firstLineChars="2000"/>
        <w:rPr>
          <w:rFonts w:hint="eastAsia" w:ascii="新宋体" w:hAnsi="新宋体" w:eastAsia="新宋体" w:cs="新宋体"/>
          <w:color w:val="auto"/>
          <w:sz w:val="22"/>
          <w:szCs w:val="22"/>
          <w:highlight w:val="none"/>
        </w:rPr>
      </w:pPr>
    </w:p>
    <w:p w14:paraId="22800458">
      <w:pPr>
        <w:rPr>
          <w:rFonts w:hint="eastAsia" w:ascii="新宋体" w:hAnsi="新宋体" w:eastAsia="新宋体" w:cs="新宋体"/>
          <w:b/>
          <w:bCs/>
          <w:color w:val="auto"/>
          <w:sz w:val="22"/>
          <w:szCs w:val="22"/>
          <w:highlight w:val="none"/>
        </w:rPr>
      </w:pPr>
    </w:p>
    <w:p w14:paraId="1BBD4E97">
      <w:pPr>
        <w:outlineLvl w:val="1"/>
        <w:rPr>
          <w:rFonts w:hint="eastAsia" w:ascii="新宋体" w:hAnsi="新宋体" w:eastAsia="新宋体" w:cs="新宋体"/>
          <w:b/>
          <w:color w:val="auto"/>
          <w:sz w:val="28"/>
          <w:highlight w:val="none"/>
          <w:lang w:val="en-US" w:eastAsia="zh-CN"/>
        </w:rPr>
      </w:pPr>
      <w:r>
        <w:rPr>
          <w:rFonts w:hint="eastAsia" w:ascii="新宋体" w:hAnsi="新宋体" w:eastAsia="新宋体" w:cs="新宋体"/>
          <w:b/>
          <w:bCs/>
          <w:color w:val="auto"/>
          <w:sz w:val="22"/>
          <w:szCs w:val="22"/>
          <w:highlight w:val="none"/>
        </w:rPr>
        <w:br w:type="page"/>
      </w:r>
      <w:bookmarkStart w:id="105" w:name="_Toc7208"/>
      <w:bookmarkStart w:id="106" w:name="_Toc4206"/>
      <w:bookmarkStart w:id="107" w:name="_Toc4081"/>
      <w:r>
        <w:rPr>
          <w:rFonts w:hint="eastAsia" w:ascii="新宋体" w:hAnsi="新宋体" w:eastAsia="新宋体" w:cs="新宋体"/>
          <w:b/>
          <w:bCs/>
          <w:color w:val="auto"/>
          <w:sz w:val="22"/>
          <w:szCs w:val="22"/>
          <w:highlight w:val="none"/>
        </w:rPr>
        <w:t>附件</w:t>
      </w:r>
      <w:bookmarkEnd w:id="105"/>
      <w:bookmarkEnd w:id="106"/>
      <w:bookmarkEnd w:id="107"/>
      <w:r>
        <w:rPr>
          <w:rFonts w:hint="eastAsia" w:ascii="新宋体" w:hAnsi="新宋体" w:eastAsia="新宋体" w:cs="新宋体"/>
          <w:b/>
          <w:bCs/>
          <w:color w:val="auto"/>
          <w:sz w:val="22"/>
          <w:szCs w:val="22"/>
          <w:highlight w:val="none"/>
          <w:lang w:val="en-US" w:eastAsia="zh-CN"/>
        </w:rPr>
        <w:t>七</w:t>
      </w:r>
    </w:p>
    <w:p w14:paraId="4D4E9424">
      <w:pPr>
        <w:jc w:val="center"/>
        <w:outlineLvl w:val="2"/>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项目业绩</w:t>
      </w:r>
    </w:p>
    <w:p w14:paraId="07EF965D">
      <w:pPr>
        <w:autoSpaceDE w:val="0"/>
        <w:autoSpaceDN w:val="0"/>
        <w:ind w:right="893" w:firstLine="221" w:firstLineChars="100"/>
        <w:textAlignment w:val="bottom"/>
        <w:rPr>
          <w:rFonts w:hint="eastAsia" w:ascii="新宋体" w:hAnsi="新宋体" w:eastAsia="新宋体" w:cs="新宋体"/>
          <w:b/>
          <w:bCs/>
          <w:color w:val="auto"/>
          <w:sz w:val="28"/>
          <w:szCs w:val="28"/>
          <w:highlight w:val="none"/>
        </w:rPr>
      </w:pPr>
      <w:r>
        <w:rPr>
          <w:rFonts w:hint="eastAsia" w:ascii="新宋体" w:hAnsi="新宋体" w:eastAsia="新宋体" w:cs="新宋体"/>
          <w:b/>
          <w:color w:val="auto"/>
          <w:sz w:val="22"/>
          <w:highlight w:val="none"/>
        </w:rPr>
        <w:t>项目名称：                                   项目编号：</w:t>
      </w:r>
      <w:r>
        <w:rPr>
          <w:rFonts w:hint="eastAsia" w:ascii="新宋体" w:hAnsi="新宋体" w:eastAsia="新宋体" w:cs="新宋体"/>
          <w:color w:val="auto"/>
          <w:highlight w:val="none"/>
        </w:rPr>
        <w:t xml:space="preserve">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520"/>
        <w:gridCol w:w="2310"/>
        <w:gridCol w:w="1271"/>
        <w:gridCol w:w="1596"/>
        <w:gridCol w:w="1128"/>
      </w:tblGrid>
      <w:tr w14:paraId="73E3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14:paraId="59F80D12">
            <w:pPr>
              <w:spacing w:line="380" w:lineRule="exact"/>
              <w:ind w:left="442" w:hanging="442"/>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2520" w:type="dxa"/>
            <w:noWrap w:val="0"/>
            <w:vAlign w:val="center"/>
          </w:tcPr>
          <w:p w14:paraId="2BA16E12">
            <w:pPr>
              <w:spacing w:line="380" w:lineRule="exact"/>
              <w:ind w:left="442" w:hanging="442"/>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用户名称</w:t>
            </w:r>
          </w:p>
        </w:tc>
        <w:tc>
          <w:tcPr>
            <w:tcW w:w="2310" w:type="dxa"/>
            <w:noWrap w:val="0"/>
            <w:vAlign w:val="center"/>
          </w:tcPr>
          <w:p w14:paraId="03ADBAC6">
            <w:pPr>
              <w:spacing w:line="380" w:lineRule="exact"/>
              <w:ind w:left="442" w:hanging="442"/>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项目名称</w:t>
            </w:r>
          </w:p>
        </w:tc>
        <w:tc>
          <w:tcPr>
            <w:tcW w:w="1271" w:type="dxa"/>
            <w:noWrap w:val="0"/>
            <w:vAlign w:val="center"/>
          </w:tcPr>
          <w:p w14:paraId="16002E22">
            <w:pPr>
              <w:spacing w:line="380" w:lineRule="exact"/>
              <w:ind w:left="442" w:hanging="442"/>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合同金额</w:t>
            </w:r>
          </w:p>
        </w:tc>
        <w:tc>
          <w:tcPr>
            <w:tcW w:w="1596" w:type="dxa"/>
            <w:noWrap w:val="0"/>
            <w:vAlign w:val="center"/>
          </w:tcPr>
          <w:p w14:paraId="24684E99">
            <w:pPr>
              <w:spacing w:line="380" w:lineRule="exact"/>
              <w:ind w:left="442" w:hanging="442"/>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联系方式</w:t>
            </w:r>
          </w:p>
        </w:tc>
        <w:tc>
          <w:tcPr>
            <w:tcW w:w="1128" w:type="dxa"/>
            <w:noWrap w:val="0"/>
            <w:vAlign w:val="center"/>
          </w:tcPr>
          <w:p w14:paraId="5F3913A3">
            <w:pPr>
              <w:spacing w:line="380" w:lineRule="exact"/>
              <w:ind w:left="442" w:hanging="442"/>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tc>
      </w:tr>
      <w:tr w14:paraId="0370B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14:paraId="20BE569A">
            <w:pPr>
              <w:spacing w:line="380" w:lineRule="exact"/>
              <w:ind w:left="442" w:hanging="442"/>
              <w:jc w:val="center"/>
              <w:rPr>
                <w:rFonts w:hint="eastAsia" w:ascii="新宋体" w:hAnsi="新宋体" w:eastAsia="新宋体" w:cs="新宋体"/>
                <w:b/>
                <w:bCs/>
                <w:color w:val="auto"/>
                <w:sz w:val="22"/>
                <w:szCs w:val="22"/>
                <w:highlight w:val="none"/>
              </w:rPr>
            </w:pPr>
          </w:p>
        </w:tc>
        <w:tc>
          <w:tcPr>
            <w:tcW w:w="2520" w:type="dxa"/>
            <w:noWrap w:val="0"/>
            <w:vAlign w:val="center"/>
          </w:tcPr>
          <w:p w14:paraId="38DB4402">
            <w:pPr>
              <w:spacing w:line="380" w:lineRule="exact"/>
              <w:ind w:left="442" w:hanging="442"/>
              <w:jc w:val="center"/>
              <w:rPr>
                <w:rFonts w:hint="eastAsia" w:ascii="新宋体" w:hAnsi="新宋体" w:eastAsia="新宋体" w:cs="新宋体"/>
                <w:b/>
                <w:bCs/>
                <w:color w:val="auto"/>
                <w:sz w:val="22"/>
                <w:szCs w:val="22"/>
                <w:highlight w:val="none"/>
              </w:rPr>
            </w:pPr>
          </w:p>
        </w:tc>
        <w:tc>
          <w:tcPr>
            <w:tcW w:w="2310" w:type="dxa"/>
            <w:noWrap w:val="0"/>
            <w:vAlign w:val="center"/>
          </w:tcPr>
          <w:p w14:paraId="6D724A84">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noWrap w:val="0"/>
            <w:vAlign w:val="center"/>
          </w:tcPr>
          <w:p w14:paraId="53211C9F">
            <w:pPr>
              <w:spacing w:line="380" w:lineRule="exact"/>
              <w:ind w:left="442" w:hanging="442"/>
              <w:jc w:val="center"/>
              <w:rPr>
                <w:rFonts w:hint="eastAsia" w:ascii="新宋体" w:hAnsi="新宋体" w:eastAsia="新宋体" w:cs="新宋体"/>
                <w:b/>
                <w:bCs/>
                <w:color w:val="auto"/>
                <w:sz w:val="22"/>
                <w:szCs w:val="22"/>
                <w:highlight w:val="none"/>
              </w:rPr>
            </w:pPr>
          </w:p>
        </w:tc>
        <w:tc>
          <w:tcPr>
            <w:tcW w:w="1596" w:type="dxa"/>
            <w:noWrap w:val="0"/>
            <w:vAlign w:val="center"/>
          </w:tcPr>
          <w:p w14:paraId="2E757938">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noWrap w:val="0"/>
            <w:vAlign w:val="center"/>
          </w:tcPr>
          <w:p w14:paraId="1B234340">
            <w:pPr>
              <w:spacing w:line="380" w:lineRule="exact"/>
              <w:ind w:left="442" w:hanging="442"/>
              <w:jc w:val="center"/>
              <w:rPr>
                <w:rFonts w:hint="eastAsia" w:ascii="新宋体" w:hAnsi="新宋体" w:eastAsia="新宋体" w:cs="新宋体"/>
                <w:b/>
                <w:bCs/>
                <w:color w:val="auto"/>
                <w:sz w:val="22"/>
                <w:szCs w:val="22"/>
                <w:highlight w:val="none"/>
              </w:rPr>
            </w:pPr>
          </w:p>
        </w:tc>
      </w:tr>
      <w:tr w14:paraId="08281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14:paraId="057AD2D3">
            <w:pPr>
              <w:spacing w:line="380" w:lineRule="exact"/>
              <w:ind w:left="442" w:hanging="442"/>
              <w:jc w:val="center"/>
              <w:rPr>
                <w:rFonts w:hint="eastAsia" w:ascii="新宋体" w:hAnsi="新宋体" w:eastAsia="新宋体" w:cs="新宋体"/>
                <w:b/>
                <w:bCs/>
                <w:color w:val="auto"/>
                <w:sz w:val="22"/>
                <w:szCs w:val="22"/>
                <w:highlight w:val="none"/>
              </w:rPr>
            </w:pPr>
          </w:p>
        </w:tc>
        <w:tc>
          <w:tcPr>
            <w:tcW w:w="2520" w:type="dxa"/>
            <w:noWrap w:val="0"/>
            <w:vAlign w:val="center"/>
          </w:tcPr>
          <w:p w14:paraId="7E2A7140">
            <w:pPr>
              <w:spacing w:line="380" w:lineRule="exact"/>
              <w:ind w:left="442" w:hanging="442"/>
              <w:jc w:val="center"/>
              <w:rPr>
                <w:rFonts w:hint="eastAsia" w:ascii="新宋体" w:hAnsi="新宋体" w:eastAsia="新宋体" w:cs="新宋体"/>
                <w:b/>
                <w:bCs/>
                <w:color w:val="auto"/>
                <w:sz w:val="22"/>
                <w:szCs w:val="22"/>
                <w:highlight w:val="none"/>
              </w:rPr>
            </w:pPr>
          </w:p>
        </w:tc>
        <w:tc>
          <w:tcPr>
            <w:tcW w:w="2310" w:type="dxa"/>
            <w:noWrap w:val="0"/>
            <w:vAlign w:val="center"/>
          </w:tcPr>
          <w:p w14:paraId="3CEED612">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noWrap w:val="0"/>
            <w:vAlign w:val="center"/>
          </w:tcPr>
          <w:p w14:paraId="7AEBC3FB">
            <w:pPr>
              <w:spacing w:line="380" w:lineRule="exact"/>
              <w:ind w:left="442" w:hanging="442"/>
              <w:jc w:val="center"/>
              <w:rPr>
                <w:rFonts w:hint="eastAsia" w:ascii="新宋体" w:hAnsi="新宋体" w:eastAsia="新宋体" w:cs="新宋体"/>
                <w:b/>
                <w:bCs/>
                <w:color w:val="auto"/>
                <w:sz w:val="22"/>
                <w:szCs w:val="22"/>
                <w:highlight w:val="none"/>
              </w:rPr>
            </w:pPr>
          </w:p>
        </w:tc>
        <w:tc>
          <w:tcPr>
            <w:tcW w:w="1596" w:type="dxa"/>
            <w:noWrap w:val="0"/>
            <w:vAlign w:val="center"/>
          </w:tcPr>
          <w:p w14:paraId="227E819B">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noWrap w:val="0"/>
            <w:vAlign w:val="center"/>
          </w:tcPr>
          <w:p w14:paraId="5789A1B7">
            <w:pPr>
              <w:spacing w:line="380" w:lineRule="exact"/>
              <w:ind w:left="442" w:hanging="442"/>
              <w:jc w:val="center"/>
              <w:rPr>
                <w:rFonts w:hint="eastAsia" w:ascii="新宋体" w:hAnsi="新宋体" w:eastAsia="新宋体" w:cs="新宋体"/>
                <w:b/>
                <w:bCs/>
                <w:color w:val="auto"/>
                <w:sz w:val="22"/>
                <w:szCs w:val="22"/>
                <w:highlight w:val="none"/>
              </w:rPr>
            </w:pPr>
          </w:p>
        </w:tc>
      </w:tr>
      <w:tr w14:paraId="74057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14:paraId="5AEDED14">
            <w:pPr>
              <w:spacing w:line="380" w:lineRule="exact"/>
              <w:ind w:left="442" w:hanging="442"/>
              <w:jc w:val="center"/>
              <w:rPr>
                <w:rFonts w:hint="eastAsia" w:ascii="新宋体" w:hAnsi="新宋体" w:eastAsia="新宋体" w:cs="新宋体"/>
                <w:b/>
                <w:bCs/>
                <w:color w:val="auto"/>
                <w:sz w:val="22"/>
                <w:szCs w:val="22"/>
                <w:highlight w:val="none"/>
              </w:rPr>
            </w:pPr>
          </w:p>
        </w:tc>
        <w:tc>
          <w:tcPr>
            <w:tcW w:w="2520" w:type="dxa"/>
            <w:noWrap w:val="0"/>
            <w:vAlign w:val="center"/>
          </w:tcPr>
          <w:p w14:paraId="33EB32CC">
            <w:pPr>
              <w:spacing w:line="380" w:lineRule="exact"/>
              <w:ind w:left="442" w:hanging="442"/>
              <w:jc w:val="center"/>
              <w:rPr>
                <w:rFonts w:hint="eastAsia" w:ascii="新宋体" w:hAnsi="新宋体" w:eastAsia="新宋体" w:cs="新宋体"/>
                <w:b/>
                <w:bCs/>
                <w:color w:val="auto"/>
                <w:sz w:val="22"/>
                <w:szCs w:val="22"/>
                <w:highlight w:val="none"/>
              </w:rPr>
            </w:pPr>
          </w:p>
        </w:tc>
        <w:tc>
          <w:tcPr>
            <w:tcW w:w="2310" w:type="dxa"/>
            <w:noWrap w:val="0"/>
            <w:vAlign w:val="center"/>
          </w:tcPr>
          <w:p w14:paraId="52993114">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noWrap w:val="0"/>
            <w:vAlign w:val="center"/>
          </w:tcPr>
          <w:p w14:paraId="29FCF560">
            <w:pPr>
              <w:spacing w:line="380" w:lineRule="exact"/>
              <w:ind w:left="442" w:hanging="442"/>
              <w:jc w:val="center"/>
              <w:rPr>
                <w:rFonts w:hint="eastAsia" w:ascii="新宋体" w:hAnsi="新宋体" w:eastAsia="新宋体" w:cs="新宋体"/>
                <w:b/>
                <w:bCs/>
                <w:color w:val="auto"/>
                <w:sz w:val="22"/>
                <w:szCs w:val="22"/>
                <w:highlight w:val="none"/>
              </w:rPr>
            </w:pPr>
          </w:p>
        </w:tc>
        <w:tc>
          <w:tcPr>
            <w:tcW w:w="1596" w:type="dxa"/>
            <w:noWrap w:val="0"/>
            <w:vAlign w:val="center"/>
          </w:tcPr>
          <w:p w14:paraId="0F117B57">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noWrap w:val="0"/>
            <w:vAlign w:val="center"/>
          </w:tcPr>
          <w:p w14:paraId="1D5D2D75">
            <w:pPr>
              <w:spacing w:line="380" w:lineRule="exact"/>
              <w:ind w:left="442" w:hanging="442"/>
              <w:jc w:val="center"/>
              <w:rPr>
                <w:rFonts w:hint="eastAsia" w:ascii="新宋体" w:hAnsi="新宋体" w:eastAsia="新宋体" w:cs="新宋体"/>
                <w:b/>
                <w:bCs/>
                <w:color w:val="auto"/>
                <w:sz w:val="22"/>
                <w:szCs w:val="22"/>
                <w:highlight w:val="none"/>
              </w:rPr>
            </w:pPr>
          </w:p>
        </w:tc>
      </w:tr>
      <w:tr w14:paraId="4F1A1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14:paraId="27E29AB1">
            <w:pPr>
              <w:spacing w:line="380" w:lineRule="exact"/>
              <w:ind w:left="442" w:hanging="442"/>
              <w:jc w:val="center"/>
              <w:rPr>
                <w:rFonts w:hint="eastAsia" w:ascii="新宋体" w:hAnsi="新宋体" w:eastAsia="新宋体" w:cs="新宋体"/>
                <w:b/>
                <w:bCs/>
                <w:color w:val="auto"/>
                <w:sz w:val="22"/>
                <w:szCs w:val="22"/>
                <w:highlight w:val="none"/>
              </w:rPr>
            </w:pPr>
          </w:p>
        </w:tc>
        <w:tc>
          <w:tcPr>
            <w:tcW w:w="2520" w:type="dxa"/>
            <w:noWrap w:val="0"/>
            <w:vAlign w:val="center"/>
          </w:tcPr>
          <w:p w14:paraId="6E6BC2E0">
            <w:pPr>
              <w:spacing w:line="380" w:lineRule="exact"/>
              <w:ind w:left="442" w:hanging="442"/>
              <w:jc w:val="center"/>
              <w:rPr>
                <w:rFonts w:hint="eastAsia" w:ascii="新宋体" w:hAnsi="新宋体" w:eastAsia="新宋体" w:cs="新宋体"/>
                <w:b/>
                <w:bCs/>
                <w:color w:val="auto"/>
                <w:sz w:val="22"/>
                <w:szCs w:val="22"/>
                <w:highlight w:val="none"/>
              </w:rPr>
            </w:pPr>
          </w:p>
        </w:tc>
        <w:tc>
          <w:tcPr>
            <w:tcW w:w="2310" w:type="dxa"/>
            <w:noWrap w:val="0"/>
            <w:vAlign w:val="center"/>
          </w:tcPr>
          <w:p w14:paraId="6B94BEFB">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noWrap w:val="0"/>
            <w:vAlign w:val="center"/>
          </w:tcPr>
          <w:p w14:paraId="6132A965">
            <w:pPr>
              <w:spacing w:line="380" w:lineRule="exact"/>
              <w:ind w:left="442" w:hanging="442"/>
              <w:jc w:val="center"/>
              <w:rPr>
                <w:rFonts w:hint="eastAsia" w:ascii="新宋体" w:hAnsi="新宋体" w:eastAsia="新宋体" w:cs="新宋体"/>
                <w:b/>
                <w:bCs/>
                <w:color w:val="auto"/>
                <w:sz w:val="22"/>
                <w:szCs w:val="22"/>
                <w:highlight w:val="none"/>
              </w:rPr>
            </w:pPr>
          </w:p>
        </w:tc>
        <w:tc>
          <w:tcPr>
            <w:tcW w:w="1596" w:type="dxa"/>
            <w:noWrap w:val="0"/>
            <w:vAlign w:val="center"/>
          </w:tcPr>
          <w:p w14:paraId="4760AB1E">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noWrap w:val="0"/>
            <w:vAlign w:val="center"/>
          </w:tcPr>
          <w:p w14:paraId="5AC04CF9">
            <w:pPr>
              <w:spacing w:line="380" w:lineRule="exact"/>
              <w:ind w:left="442" w:hanging="442"/>
              <w:jc w:val="center"/>
              <w:rPr>
                <w:rFonts w:hint="eastAsia" w:ascii="新宋体" w:hAnsi="新宋体" w:eastAsia="新宋体" w:cs="新宋体"/>
                <w:b/>
                <w:bCs/>
                <w:color w:val="auto"/>
                <w:sz w:val="22"/>
                <w:szCs w:val="22"/>
                <w:highlight w:val="none"/>
              </w:rPr>
            </w:pPr>
          </w:p>
        </w:tc>
      </w:tr>
      <w:tr w14:paraId="2AABE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14:paraId="0E13D6C9">
            <w:pPr>
              <w:spacing w:line="380" w:lineRule="exact"/>
              <w:ind w:left="442" w:hanging="442"/>
              <w:jc w:val="center"/>
              <w:rPr>
                <w:rFonts w:hint="eastAsia" w:ascii="新宋体" w:hAnsi="新宋体" w:eastAsia="新宋体" w:cs="新宋体"/>
                <w:b/>
                <w:bCs/>
                <w:color w:val="auto"/>
                <w:sz w:val="22"/>
                <w:szCs w:val="22"/>
                <w:highlight w:val="none"/>
              </w:rPr>
            </w:pPr>
          </w:p>
        </w:tc>
        <w:tc>
          <w:tcPr>
            <w:tcW w:w="2520" w:type="dxa"/>
            <w:noWrap w:val="0"/>
            <w:vAlign w:val="center"/>
          </w:tcPr>
          <w:p w14:paraId="093989B6">
            <w:pPr>
              <w:spacing w:line="380" w:lineRule="exact"/>
              <w:ind w:left="442" w:hanging="442"/>
              <w:jc w:val="center"/>
              <w:rPr>
                <w:rFonts w:hint="eastAsia" w:ascii="新宋体" w:hAnsi="新宋体" w:eastAsia="新宋体" w:cs="新宋体"/>
                <w:b/>
                <w:bCs/>
                <w:color w:val="auto"/>
                <w:sz w:val="22"/>
                <w:szCs w:val="22"/>
                <w:highlight w:val="none"/>
              </w:rPr>
            </w:pPr>
          </w:p>
        </w:tc>
        <w:tc>
          <w:tcPr>
            <w:tcW w:w="2310" w:type="dxa"/>
            <w:noWrap w:val="0"/>
            <w:vAlign w:val="center"/>
          </w:tcPr>
          <w:p w14:paraId="64ECF1B2">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noWrap w:val="0"/>
            <w:vAlign w:val="center"/>
          </w:tcPr>
          <w:p w14:paraId="2F46079A">
            <w:pPr>
              <w:spacing w:line="380" w:lineRule="exact"/>
              <w:ind w:left="442" w:hanging="442"/>
              <w:jc w:val="center"/>
              <w:rPr>
                <w:rFonts w:hint="eastAsia" w:ascii="新宋体" w:hAnsi="新宋体" w:eastAsia="新宋体" w:cs="新宋体"/>
                <w:b/>
                <w:bCs/>
                <w:color w:val="auto"/>
                <w:sz w:val="22"/>
                <w:szCs w:val="22"/>
                <w:highlight w:val="none"/>
              </w:rPr>
            </w:pPr>
          </w:p>
        </w:tc>
        <w:tc>
          <w:tcPr>
            <w:tcW w:w="1596" w:type="dxa"/>
            <w:noWrap w:val="0"/>
            <w:vAlign w:val="center"/>
          </w:tcPr>
          <w:p w14:paraId="3E3FE4CB">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noWrap w:val="0"/>
            <w:vAlign w:val="center"/>
          </w:tcPr>
          <w:p w14:paraId="36553306">
            <w:pPr>
              <w:spacing w:line="380" w:lineRule="exact"/>
              <w:ind w:left="442" w:hanging="442"/>
              <w:jc w:val="center"/>
              <w:rPr>
                <w:rFonts w:hint="eastAsia" w:ascii="新宋体" w:hAnsi="新宋体" w:eastAsia="新宋体" w:cs="新宋体"/>
                <w:b/>
                <w:bCs/>
                <w:color w:val="auto"/>
                <w:sz w:val="22"/>
                <w:szCs w:val="22"/>
                <w:highlight w:val="none"/>
              </w:rPr>
            </w:pPr>
          </w:p>
        </w:tc>
      </w:tr>
      <w:tr w14:paraId="04B9A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14:paraId="7EF97146">
            <w:pPr>
              <w:spacing w:line="380" w:lineRule="exact"/>
              <w:ind w:left="442" w:hanging="442"/>
              <w:jc w:val="center"/>
              <w:rPr>
                <w:rFonts w:hint="eastAsia" w:ascii="新宋体" w:hAnsi="新宋体" w:eastAsia="新宋体" w:cs="新宋体"/>
                <w:b/>
                <w:bCs/>
                <w:color w:val="auto"/>
                <w:sz w:val="22"/>
                <w:szCs w:val="22"/>
                <w:highlight w:val="none"/>
              </w:rPr>
            </w:pPr>
          </w:p>
        </w:tc>
        <w:tc>
          <w:tcPr>
            <w:tcW w:w="2520" w:type="dxa"/>
            <w:noWrap w:val="0"/>
            <w:vAlign w:val="center"/>
          </w:tcPr>
          <w:p w14:paraId="61224A7F">
            <w:pPr>
              <w:spacing w:line="380" w:lineRule="exact"/>
              <w:ind w:left="442" w:hanging="442"/>
              <w:jc w:val="center"/>
              <w:rPr>
                <w:rFonts w:hint="eastAsia" w:ascii="新宋体" w:hAnsi="新宋体" w:eastAsia="新宋体" w:cs="新宋体"/>
                <w:b/>
                <w:bCs/>
                <w:color w:val="auto"/>
                <w:sz w:val="22"/>
                <w:szCs w:val="22"/>
                <w:highlight w:val="none"/>
              </w:rPr>
            </w:pPr>
          </w:p>
        </w:tc>
        <w:tc>
          <w:tcPr>
            <w:tcW w:w="2310" w:type="dxa"/>
            <w:noWrap w:val="0"/>
            <w:vAlign w:val="center"/>
          </w:tcPr>
          <w:p w14:paraId="509B258A">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noWrap w:val="0"/>
            <w:vAlign w:val="center"/>
          </w:tcPr>
          <w:p w14:paraId="5B23A735">
            <w:pPr>
              <w:spacing w:line="380" w:lineRule="exact"/>
              <w:ind w:left="442" w:hanging="442"/>
              <w:jc w:val="center"/>
              <w:rPr>
                <w:rFonts w:hint="eastAsia" w:ascii="新宋体" w:hAnsi="新宋体" w:eastAsia="新宋体" w:cs="新宋体"/>
                <w:b/>
                <w:bCs/>
                <w:color w:val="auto"/>
                <w:sz w:val="22"/>
                <w:szCs w:val="22"/>
                <w:highlight w:val="none"/>
              </w:rPr>
            </w:pPr>
          </w:p>
        </w:tc>
        <w:tc>
          <w:tcPr>
            <w:tcW w:w="1596" w:type="dxa"/>
            <w:noWrap w:val="0"/>
            <w:vAlign w:val="center"/>
          </w:tcPr>
          <w:p w14:paraId="29D90AD5">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noWrap w:val="0"/>
            <w:vAlign w:val="center"/>
          </w:tcPr>
          <w:p w14:paraId="30D76529">
            <w:pPr>
              <w:spacing w:line="380" w:lineRule="exact"/>
              <w:ind w:left="442" w:hanging="442"/>
              <w:jc w:val="center"/>
              <w:rPr>
                <w:rFonts w:hint="eastAsia" w:ascii="新宋体" w:hAnsi="新宋体" w:eastAsia="新宋体" w:cs="新宋体"/>
                <w:b/>
                <w:bCs/>
                <w:color w:val="auto"/>
                <w:sz w:val="22"/>
                <w:szCs w:val="22"/>
                <w:highlight w:val="none"/>
              </w:rPr>
            </w:pPr>
          </w:p>
        </w:tc>
      </w:tr>
      <w:tr w14:paraId="74B5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14:paraId="22B474A7">
            <w:pPr>
              <w:spacing w:line="380" w:lineRule="exact"/>
              <w:ind w:left="442" w:hanging="442"/>
              <w:jc w:val="center"/>
              <w:rPr>
                <w:rFonts w:hint="eastAsia" w:ascii="新宋体" w:hAnsi="新宋体" w:eastAsia="新宋体" w:cs="新宋体"/>
                <w:b/>
                <w:bCs/>
                <w:color w:val="auto"/>
                <w:sz w:val="22"/>
                <w:szCs w:val="22"/>
                <w:highlight w:val="none"/>
              </w:rPr>
            </w:pPr>
          </w:p>
        </w:tc>
        <w:tc>
          <w:tcPr>
            <w:tcW w:w="2520" w:type="dxa"/>
            <w:noWrap w:val="0"/>
            <w:vAlign w:val="center"/>
          </w:tcPr>
          <w:p w14:paraId="3B20348E">
            <w:pPr>
              <w:spacing w:line="380" w:lineRule="exact"/>
              <w:ind w:left="442" w:hanging="442"/>
              <w:jc w:val="center"/>
              <w:rPr>
                <w:rFonts w:hint="eastAsia" w:ascii="新宋体" w:hAnsi="新宋体" w:eastAsia="新宋体" w:cs="新宋体"/>
                <w:b/>
                <w:bCs/>
                <w:color w:val="auto"/>
                <w:sz w:val="22"/>
                <w:szCs w:val="22"/>
                <w:highlight w:val="none"/>
              </w:rPr>
            </w:pPr>
          </w:p>
        </w:tc>
        <w:tc>
          <w:tcPr>
            <w:tcW w:w="2310" w:type="dxa"/>
            <w:noWrap w:val="0"/>
            <w:vAlign w:val="center"/>
          </w:tcPr>
          <w:p w14:paraId="4CADBB8E">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noWrap w:val="0"/>
            <w:vAlign w:val="center"/>
          </w:tcPr>
          <w:p w14:paraId="59F5288C">
            <w:pPr>
              <w:spacing w:line="380" w:lineRule="exact"/>
              <w:ind w:left="442" w:hanging="442"/>
              <w:jc w:val="center"/>
              <w:rPr>
                <w:rFonts w:hint="eastAsia" w:ascii="新宋体" w:hAnsi="新宋体" w:eastAsia="新宋体" w:cs="新宋体"/>
                <w:b/>
                <w:bCs/>
                <w:color w:val="auto"/>
                <w:sz w:val="22"/>
                <w:szCs w:val="22"/>
                <w:highlight w:val="none"/>
              </w:rPr>
            </w:pPr>
          </w:p>
        </w:tc>
        <w:tc>
          <w:tcPr>
            <w:tcW w:w="1596" w:type="dxa"/>
            <w:noWrap w:val="0"/>
            <w:vAlign w:val="center"/>
          </w:tcPr>
          <w:p w14:paraId="2B8EDAC3">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noWrap w:val="0"/>
            <w:vAlign w:val="center"/>
          </w:tcPr>
          <w:p w14:paraId="0B855E81">
            <w:pPr>
              <w:spacing w:line="380" w:lineRule="exact"/>
              <w:ind w:left="442" w:hanging="442"/>
              <w:jc w:val="center"/>
              <w:rPr>
                <w:rFonts w:hint="eastAsia" w:ascii="新宋体" w:hAnsi="新宋体" w:eastAsia="新宋体" w:cs="新宋体"/>
                <w:b/>
                <w:bCs/>
                <w:color w:val="auto"/>
                <w:sz w:val="22"/>
                <w:szCs w:val="22"/>
                <w:highlight w:val="none"/>
              </w:rPr>
            </w:pPr>
          </w:p>
        </w:tc>
      </w:tr>
      <w:tr w14:paraId="1EA74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14:paraId="4DDB20E8">
            <w:pPr>
              <w:spacing w:line="380" w:lineRule="exact"/>
              <w:ind w:left="442" w:hanging="442"/>
              <w:jc w:val="center"/>
              <w:rPr>
                <w:rFonts w:hint="eastAsia" w:ascii="新宋体" w:hAnsi="新宋体" w:eastAsia="新宋体" w:cs="新宋体"/>
                <w:b/>
                <w:bCs/>
                <w:color w:val="auto"/>
                <w:sz w:val="22"/>
                <w:szCs w:val="22"/>
                <w:highlight w:val="none"/>
              </w:rPr>
            </w:pPr>
          </w:p>
        </w:tc>
        <w:tc>
          <w:tcPr>
            <w:tcW w:w="2520" w:type="dxa"/>
            <w:noWrap w:val="0"/>
            <w:vAlign w:val="center"/>
          </w:tcPr>
          <w:p w14:paraId="1B70A8E1">
            <w:pPr>
              <w:spacing w:line="380" w:lineRule="exact"/>
              <w:ind w:left="442" w:hanging="442"/>
              <w:jc w:val="center"/>
              <w:rPr>
                <w:rFonts w:hint="eastAsia" w:ascii="新宋体" w:hAnsi="新宋体" w:eastAsia="新宋体" w:cs="新宋体"/>
                <w:b/>
                <w:bCs/>
                <w:color w:val="auto"/>
                <w:sz w:val="22"/>
                <w:szCs w:val="22"/>
                <w:highlight w:val="none"/>
              </w:rPr>
            </w:pPr>
          </w:p>
        </w:tc>
        <w:tc>
          <w:tcPr>
            <w:tcW w:w="2310" w:type="dxa"/>
            <w:noWrap w:val="0"/>
            <w:vAlign w:val="center"/>
          </w:tcPr>
          <w:p w14:paraId="562470D9">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noWrap w:val="0"/>
            <w:vAlign w:val="center"/>
          </w:tcPr>
          <w:p w14:paraId="285DCEAC">
            <w:pPr>
              <w:spacing w:line="380" w:lineRule="exact"/>
              <w:ind w:left="442" w:hanging="442"/>
              <w:jc w:val="center"/>
              <w:rPr>
                <w:rFonts w:hint="eastAsia" w:ascii="新宋体" w:hAnsi="新宋体" w:eastAsia="新宋体" w:cs="新宋体"/>
                <w:b/>
                <w:bCs/>
                <w:color w:val="auto"/>
                <w:sz w:val="22"/>
                <w:szCs w:val="22"/>
                <w:highlight w:val="none"/>
              </w:rPr>
            </w:pPr>
          </w:p>
        </w:tc>
        <w:tc>
          <w:tcPr>
            <w:tcW w:w="1596" w:type="dxa"/>
            <w:noWrap w:val="0"/>
            <w:vAlign w:val="center"/>
          </w:tcPr>
          <w:p w14:paraId="1EB76412">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noWrap w:val="0"/>
            <w:vAlign w:val="center"/>
          </w:tcPr>
          <w:p w14:paraId="3C661918">
            <w:pPr>
              <w:spacing w:line="380" w:lineRule="exact"/>
              <w:ind w:left="442" w:hanging="442"/>
              <w:jc w:val="center"/>
              <w:rPr>
                <w:rFonts w:hint="eastAsia" w:ascii="新宋体" w:hAnsi="新宋体" w:eastAsia="新宋体" w:cs="新宋体"/>
                <w:b/>
                <w:bCs/>
                <w:color w:val="auto"/>
                <w:sz w:val="22"/>
                <w:szCs w:val="22"/>
                <w:highlight w:val="none"/>
              </w:rPr>
            </w:pPr>
          </w:p>
        </w:tc>
      </w:tr>
      <w:tr w14:paraId="08405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14:paraId="1A794124">
            <w:pPr>
              <w:spacing w:line="380" w:lineRule="exact"/>
              <w:ind w:left="442" w:hanging="442"/>
              <w:jc w:val="center"/>
              <w:rPr>
                <w:rFonts w:hint="eastAsia" w:ascii="新宋体" w:hAnsi="新宋体" w:eastAsia="新宋体" w:cs="新宋体"/>
                <w:b/>
                <w:bCs/>
                <w:color w:val="auto"/>
                <w:sz w:val="22"/>
                <w:szCs w:val="22"/>
                <w:highlight w:val="none"/>
              </w:rPr>
            </w:pPr>
          </w:p>
        </w:tc>
        <w:tc>
          <w:tcPr>
            <w:tcW w:w="2520" w:type="dxa"/>
            <w:noWrap w:val="0"/>
            <w:vAlign w:val="center"/>
          </w:tcPr>
          <w:p w14:paraId="53B4DC9F">
            <w:pPr>
              <w:spacing w:line="380" w:lineRule="exact"/>
              <w:ind w:left="442" w:hanging="442"/>
              <w:jc w:val="center"/>
              <w:rPr>
                <w:rFonts w:hint="eastAsia" w:ascii="新宋体" w:hAnsi="新宋体" w:eastAsia="新宋体" w:cs="新宋体"/>
                <w:b/>
                <w:bCs/>
                <w:color w:val="auto"/>
                <w:sz w:val="22"/>
                <w:szCs w:val="22"/>
                <w:highlight w:val="none"/>
              </w:rPr>
            </w:pPr>
          </w:p>
        </w:tc>
        <w:tc>
          <w:tcPr>
            <w:tcW w:w="2310" w:type="dxa"/>
            <w:noWrap w:val="0"/>
            <w:vAlign w:val="center"/>
          </w:tcPr>
          <w:p w14:paraId="37014FAA">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noWrap w:val="0"/>
            <w:vAlign w:val="center"/>
          </w:tcPr>
          <w:p w14:paraId="54D222E7">
            <w:pPr>
              <w:spacing w:line="380" w:lineRule="exact"/>
              <w:ind w:left="442" w:hanging="442"/>
              <w:jc w:val="center"/>
              <w:rPr>
                <w:rFonts w:hint="eastAsia" w:ascii="新宋体" w:hAnsi="新宋体" w:eastAsia="新宋体" w:cs="新宋体"/>
                <w:b/>
                <w:bCs/>
                <w:color w:val="auto"/>
                <w:sz w:val="22"/>
                <w:szCs w:val="22"/>
                <w:highlight w:val="none"/>
              </w:rPr>
            </w:pPr>
          </w:p>
        </w:tc>
        <w:tc>
          <w:tcPr>
            <w:tcW w:w="1596" w:type="dxa"/>
            <w:noWrap w:val="0"/>
            <w:vAlign w:val="center"/>
          </w:tcPr>
          <w:p w14:paraId="7F8722AF">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noWrap w:val="0"/>
            <w:vAlign w:val="center"/>
          </w:tcPr>
          <w:p w14:paraId="2335A03E">
            <w:pPr>
              <w:spacing w:line="380" w:lineRule="exact"/>
              <w:ind w:left="442" w:hanging="442"/>
              <w:jc w:val="center"/>
              <w:rPr>
                <w:rFonts w:hint="eastAsia" w:ascii="新宋体" w:hAnsi="新宋体" w:eastAsia="新宋体" w:cs="新宋体"/>
                <w:b/>
                <w:bCs/>
                <w:color w:val="auto"/>
                <w:sz w:val="22"/>
                <w:szCs w:val="22"/>
                <w:highlight w:val="none"/>
              </w:rPr>
            </w:pPr>
          </w:p>
        </w:tc>
      </w:tr>
      <w:tr w14:paraId="036B3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14:paraId="40DC2251">
            <w:pPr>
              <w:spacing w:line="380" w:lineRule="exact"/>
              <w:ind w:left="442" w:hanging="442"/>
              <w:jc w:val="center"/>
              <w:rPr>
                <w:rFonts w:hint="eastAsia" w:ascii="新宋体" w:hAnsi="新宋体" w:eastAsia="新宋体" w:cs="新宋体"/>
                <w:b/>
                <w:bCs/>
                <w:color w:val="auto"/>
                <w:sz w:val="22"/>
                <w:szCs w:val="22"/>
                <w:highlight w:val="none"/>
              </w:rPr>
            </w:pPr>
          </w:p>
        </w:tc>
        <w:tc>
          <w:tcPr>
            <w:tcW w:w="2520" w:type="dxa"/>
            <w:noWrap w:val="0"/>
            <w:vAlign w:val="center"/>
          </w:tcPr>
          <w:p w14:paraId="5850C2C6">
            <w:pPr>
              <w:spacing w:line="380" w:lineRule="exact"/>
              <w:ind w:left="442" w:hanging="442"/>
              <w:jc w:val="center"/>
              <w:rPr>
                <w:rFonts w:hint="eastAsia" w:ascii="新宋体" w:hAnsi="新宋体" w:eastAsia="新宋体" w:cs="新宋体"/>
                <w:b/>
                <w:bCs/>
                <w:color w:val="auto"/>
                <w:sz w:val="22"/>
                <w:szCs w:val="22"/>
                <w:highlight w:val="none"/>
              </w:rPr>
            </w:pPr>
          </w:p>
        </w:tc>
        <w:tc>
          <w:tcPr>
            <w:tcW w:w="2310" w:type="dxa"/>
            <w:noWrap w:val="0"/>
            <w:vAlign w:val="center"/>
          </w:tcPr>
          <w:p w14:paraId="555E7757">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noWrap w:val="0"/>
            <w:vAlign w:val="center"/>
          </w:tcPr>
          <w:p w14:paraId="1D2020EE">
            <w:pPr>
              <w:spacing w:line="380" w:lineRule="exact"/>
              <w:ind w:left="442" w:hanging="442"/>
              <w:jc w:val="center"/>
              <w:rPr>
                <w:rFonts w:hint="eastAsia" w:ascii="新宋体" w:hAnsi="新宋体" w:eastAsia="新宋体" w:cs="新宋体"/>
                <w:b/>
                <w:bCs/>
                <w:color w:val="auto"/>
                <w:sz w:val="22"/>
                <w:szCs w:val="22"/>
                <w:highlight w:val="none"/>
              </w:rPr>
            </w:pPr>
          </w:p>
        </w:tc>
        <w:tc>
          <w:tcPr>
            <w:tcW w:w="1596" w:type="dxa"/>
            <w:noWrap w:val="0"/>
            <w:vAlign w:val="center"/>
          </w:tcPr>
          <w:p w14:paraId="2BC0487B">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noWrap w:val="0"/>
            <w:vAlign w:val="center"/>
          </w:tcPr>
          <w:p w14:paraId="5C583814">
            <w:pPr>
              <w:spacing w:line="380" w:lineRule="exact"/>
              <w:ind w:left="442" w:hanging="442"/>
              <w:jc w:val="center"/>
              <w:rPr>
                <w:rFonts w:hint="eastAsia" w:ascii="新宋体" w:hAnsi="新宋体" w:eastAsia="新宋体" w:cs="新宋体"/>
                <w:b/>
                <w:bCs/>
                <w:color w:val="auto"/>
                <w:sz w:val="22"/>
                <w:szCs w:val="22"/>
                <w:highlight w:val="none"/>
              </w:rPr>
            </w:pPr>
          </w:p>
        </w:tc>
      </w:tr>
      <w:tr w14:paraId="434E0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14:paraId="4730D69F">
            <w:pPr>
              <w:spacing w:line="380" w:lineRule="exact"/>
              <w:ind w:left="442" w:hanging="442"/>
              <w:jc w:val="center"/>
              <w:rPr>
                <w:rFonts w:hint="eastAsia" w:ascii="新宋体" w:hAnsi="新宋体" w:eastAsia="新宋体" w:cs="新宋体"/>
                <w:b/>
                <w:bCs/>
                <w:color w:val="auto"/>
                <w:sz w:val="22"/>
                <w:szCs w:val="22"/>
                <w:highlight w:val="none"/>
              </w:rPr>
            </w:pPr>
          </w:p>
        </w:tc>
        <w:tc>
          <w:tcPr>
            <w:tcW w:w="2520" w:type="dxa"/>
            <w:noWrap w:val="0"/>
            <w:vAlign w:val="center"/>
          </w:tcPr>
          <w:p w14:paraId="412EF457">
            <w:pPr>
              <w:spacing w:line="380" w:lineRule="exact"/>
              <w:ind w:left="442" w:hanging="442"/>
              <w:jc w:val="center"/>
              <w:rPr>
                <w:rFonts w:hint="eastAsia" w:ascii="新宋体" w:hAnsi="新宋体" w:eastAsia="新宋体" w:cs="新宋体"/>
                <w:b/>
                <w:bCs/>
                <w:color w:val="auto"/>
                <w:sz w:val="22"/>
                <w:szCs w:val="22"/>
                <w:highlight w:val="none"/>
              </w:rPr>
            </w:pPr>
          </w:p>
        </w:tc>
        <w:tc>
          <w:tcPr>
            <w:tcW w:w="2310" w:type="dxa"/>
            <w:noWrap w:val="0"/>
            <w:vAlign w:val="center"/>
          </w:tcPr>
          <w:p w14:paraId="6A99CEDA">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noWrap w:val="0"/>
            <w:vAlign w:val="center"/>
          </w:tcPr>
          <w:p w14:paraId="463C990D">
            <w:pPr>
              <w:spacing w:line="380" w:lineRule="exact"/>
              <w:ind w:left="442" w:hanging="442"/>
              <w:jc w:val="center"/>
              <w:rPr>
                <w:rFonts w:hint="eastAsia" w:ascii="新宋体" w:hAnsi="新宋体" w:eastAsia="新宋体" w:cs="新宋体"/>
                <w:b/>
                <w:bCs/>
                <w:color w:val="auto"/>
                <w:sz w:val="22"/>
                <w:szCs w:val="22"/>
                <w:highlight w:val="none"/>
              </w:rPr>
            </w:pPr>
          </w:p>
        </w:tc>
        <w:tc>
          <w:tcPr>
            <w:tcW w:w="1596" w:type="dxa"/>
            <w:noWrap w:val="0"/>
            <w:vAlign w:val="center"/>
          </w:tcPr>
          <w:p w14:paraId="6468816B">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noWrap w:val="0"/>
            <w:vAlign w:val="center"/>
          </w:tcPr>
          <w:p w14:paraId="5F289CAA">
            <w:pPr>
              <w:spacing w:line="380" w:lineRule="exact"/>
              <w:ind w:left="442" w:hanging="442"/>
              <w:jc w:val="center"/>
              <w:rPr>
                <w:rFonts w:hint="eastAsia" w:ascii="新宋体" w:hAnsi="新宋体" w:eastAsia="新宋体" w:cs="新宋体"/>
                <w:b/>
                <w:bCs/>
                <w:color w:val="auto"/>
                <w:sz w:val="22"/>
                <w:szCs w:val="22"/>
                <w:highlight w:val="none"/>
              </w:rPr>
            </w:pPr>
          </w:p>
        </w:tc>
      </w:tr>
      <w:tr w14:paraId="1B70C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14:paraId="43E0839C">
            <w:pPr>
              <w:spacing w:line="380" w:lineRule="exact"/>
              <w:ind w:left="442" w:hanging="442"/>
              <w:jc w:val="center"/>
              <w:rPr>
                <w:rFonts w:hint="eastAsia" w:ascii="新宋体" w:hAnsi="新宋体" w:eastAsia="新宋体" w:cs="新宋体"/>
                <w:b/>
                <w:bCs/>
                <w:color w:val="auto"/>
                <w:sz w:val="22"/>
                <w:szCs w:val="22"/>
                <w:highlight w:val="none"/>
              </w:rPr>
            </w:pPr>
          </w:p>
        </w:tc>
        <w:tc>
          <w:tcPr>
            <w:tcW w:w="2520" w:type="dxa"/>
            <w:noWrap w:val="0"/>
            <w:vAlign w:val="center"/>
          </w:tcPr>
          <w:p w14:paraId="3DCFA737">
            <w:pPr>
              <w:spacing w:line="380" w:lineRule="exact"/>
              <w:ind w:left="442" w:hanging="442"/>
              <w:jc w:val="center"/>
              <w:rPr>
                <w:rFonts w:hint="eastAsia" w:ascii="新宋体" w:hAnsi="新宋体" w:eastAsia="新宋体" w:cs="新宋体"/>
                <w:b/>
                <w:bCs/>
                <w:color w:val="auto"/>
                <w:sz w:val="22"/>
                <w:szCs w:val="22"/>
                <w:highlight w:val="none"/>
              </w:rPr>
            </w:pPr>
          </w:p>
        </w:tc>
        <w:tc>
          <w:tcPr>
            <w:tcW w:w="2310" w:type="dxa"/>
            <w:noWrap w:val="0"/>
            <w:vAlign w:val="center"/>
          </w:tcPr>
          <w:p w14:paraId="5B61F097">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noWrap w:val="0"/>
            <w:vAlign w:val="center"/>
          </w:tcPr>
          <w:p w14:paraId="6AB547F3">
            <w:pPr>
              <w:spacing w:line="380" w:lineRule="exact"/>
              <w:ind w:left="442" w:hanging="442"/>
              <w:jc w:val="center"/>
              <w:rPr>
                <w:rFonts w:hint="eastAsia" w:ascii="新宋体" w:hAnsi="新宋体" w:eastAsia="新宋体" w:cs="新宋体"/>
                <w:b/>
                <w:bCs/>
                <w:color w:val="auto"/>
                <w:sz w:val="22"/>
                <w:szCs w:val="22"/>
                <w:highlight w:val="none"/>
              </w:rPr>
            </w:pPr>
          </w:p>
        </w:tc>
        <w:tc>
          <w:tcPr>
            <w:tcW w:w="1596" w:type="dxa"/>
            <w:noWrap w:val="0"/>
            <w:vAlign w:val="center"/>
          </w:tcPr>
          <w:p w14:paraId="2E3E3693">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noWrap w:val="0"/>
            <w:vAlign w:val="center"/>
          </w:tcPr>
          <w:p w14:paraId="6E5D624E">
            <w:pPr>
              <w:spacing w:line="380" w:lineRule="exact"/>
              <w:ind w:left="442" w:hanging="442"/>
              <w:jc w:val="center"/>
              <w:rPr>
                <w:rFonts w:hint="eastAsia" w:ascii="新宋体" w:hAnsi="新宋体" w:eastAsia="新宋体" w:cs="新宋体"/>
                <w:b/>
                <w:bCs/>
                <w:color w:val="auto"/>
                <w:sz w:val="22"/>
                <w:szCs w:val="22"/>
                <w:highlight w:val="none"/>
              </w:rPr>
            </w:pPr>
          </w:p>
        </w:tc>
      </w:tr>
      <w:tr w14:paraId="496CF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14:paraId="5FDA0563">
            <w:pPr>
              <w:spacing w:line="380" w:lineRule="exact"/>
              <w:ind w:left="442" w:hanging="442"/>
              <w:jc w:val="center"/>
              <w:rPr>
                <w:rFonts w:hint="eastAsia" w:ascii="新宋体" w:hAnsi="新宋体" w:eastAsia="新宋体" w:cs="新宋体"/>
                <w:b/>
                <w:bCs/>
                <w:color w:val="auto"/>
                <w:sz w:val="22"/>
                <w:szCs w:val="22"/>
                <w:highlight w:val="none"/>
              </w:rPr>
            </w:pPr>
          </w:p>
        </w:tc>
        <w:tc>
          <w:tcPr>
            <w:tcW w:w="2520" w:type="dxa"/>
            <w:noWrap w:val="0"/>
            <w:vAlign w:val="center"/>
          </w:tcPr>
          <w:p w14:paraId="61859077">
            <w:pPr>
              <w:spacing w:line="380" w:lineRule="exact"/>
              <w:ind w:left="442" w:hanging="442"/>
              <w:jc w:val="center"/>
              <w:rPr>
                <w:rFonts w:hint="eastAsia" w:ascii="新宋体" w:hAnsi="新宋体" w:eastAsia="新宋体" w:cs="新宋体"/>
                <w:b/>
                <w:bCs/>
                <w:color w:val="auto"/>
                <w:sz w:val="22"/>
                <w:szCs w:val="22"/>
                <w:highlight w:val="none"/>
              </w:rPr>
            </w:pPr>
          </w:p>
        </w:tc>
        <w:tc>
          <w:tcPr>
            <w:tcW w:w="2310" w:type="dxa"/>
            <w:noWrap w:val="0"/>
            <w:vAlign w:val="center"/>
          </w:tcPr>
          <w:p w14:paraId="20A30810">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noWrap w:val="0"/>
            <w:vAlign w:val="center"/>
          </w:tcPr>
          <w:p w14:paraId="7C4EEED5">
            <w:pPr>
              <w:spacing w:line="380" w:lineRule="exact"/>
              <w:ind w:left="442" w:hanging="442"/>
              <w:jc w:val="center"/>
              <w:rPr>
                <w:rFonts w:hint="eastAsia" w:ascii="新宋体" w:hAnsi="新宋体" w:eastAsia="新宋体" w:cs="新宋体"/>
                <w:b/>
                <w:bCs/>
                <w:color w:val="auto"/>
                <w:sz w:val="22"/>
                <w:szCs w:val="22"/>
                <w:highlight w:val="none"/>
              </w:rPr>
            </w:pPr>
          </w:p>
        </w:tc>
        <w:tc>
          <w:tcPr>
            <w:tcW w:w="1596" w:type="dxa"/>
            <w:noWrap w:val="0"/>
            <w:vAlign w:val="center"/>
          </w:tcPr>
          <w:p w14:paraId="39E30917">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noWrap w:val="0"/>
            <w:vAlign w:val="center"/>
          </w:tcPr>
          <w:p w14:paraId="6E3888F1">
            <w:pPr>
              <w:spacing w:line="380" w:lineRule="exact"/>
              <w:ind w:left="442" w:hanging="442"/>
              <w:jc w:val="center"/>
              <w:rPr>
                <w:rFonts w:hint="eastAsia" w:ascii="新宋体" w:hAnsi="新宋体" w:eastAsia="新宋体" w:cs="新宋体"/>
                <w:b/>
                <w:bCs/>
                <w:color w:val="auto"/>
                <w:sz w:val="22"/>
                <w:szCs w:val="22"/>
                <w:highlight w:val="none"/>
              </w:rPr>
            </w:pPr>
          </w:p>
        </w:tc>
      </w:tr>
      <w:tr w14:paraId="7D15E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14:paraId="74E65B0A">
            <w:pPr>
              <w:spacing w:line="380" w:lineRule="exact"/>
              <w:ind w:left="442" w:hanging="442"/>
              <w:jc w:val="center"/>
              <w:rPr>
                <w:rFonts w:hint="eastAsia" w:ascii="新宋体" w:hAnsi="新宋体" w:eastAsia="新宋体" w:cs="新宋体"/>
                <w:b/>
                <w:bCs/>
                <w:color w:val="auto"/>
                <w:sz w:val="22"/>
                <w:szCs w:val="22"/>
                <w:highlight w:val="none"/>
              </w:rPr>
            </w:pPr>
          </w:p>
        </w:tc>
        <w:tc>
          <w:tcPr>
            <w:tcW w:w="2520" w:type="dxa"/>
            <w:noWrap w:val="0"/>
            <w:vAlign w:val="center"/>
          </w:tcPr>
          <w:p w14:paraId="1FEFD509">
            <w:pPr>
              <w:spacing w:line="380" w:lineRule="exact"/>
              <w:ind w:left="442" w:hanging="442"/>
              <w:jc w:val="center"/>
              <w:rPr>
                <w:rFonts w:hint="eastAsia" w:ascii="新宋体" w:hAnsi="新宋体" w:eastAsia="新宋体" w:cs="新宋体"/>
                <w:b/>
                <w:bCs/>
                <w:color w:val="auto"/>
                <w:sz w:val="22"/>
                <w:szCs w:val="22"/>
                <w:highlight w:val="none"/>
              </w:rPr>
            </w:pPr>
          </w:p>
        </w:tc>
        <w:tc>
          <w:tcPr>
            <w:tcW w:w="2310" w:type="dxa"/>
            <w:noWrap w:val="0"/>
            <w:vAlign w:val="center"/>
          </w:tcPr>
          <w:p w14:paraId="5B569C87">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noWrap w:val="0"/>
            <w:vAlign w:val="center"/>
          </w:tcPr>
          <w:p w14:paraId="4731FCF6">
            <w:pPr>
              <w:spacing w:line="380" w:lineRule="exact"/>
              <w:ind w:left="442" w:hanging="442"/>
              <w:jc w:val="center"/>
              <w:rPr>
                <w:rFonts w:hint="eastAsia" w:ascii="新宋体" w:hAnsi="新宋体" w:eastAsia="新宋体" w:cs="新宋体"/>
                <w:b/>
                <w:bCs/>
                <w:color w:val="auto"/>
                <w:sz w:val="22"/>
                <w:szCs w:val="22"/>
                <w:highlight w:val="none"/>
              </w:rPr>
            </w:pPr>
          </w:p>
        </w:tc>
        <w:tc>
          <w:tcPr>
            <w:tcW w:w="1596" w:type="dxa"/>
            <w:noWrap w:val="0"/>
            <w:vAlign w:val="center"/>
          </w:tcPr>
          <w:p w14:paraId="34226A17">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noWrap w:val="0"/>
            <w:vAlign w:val="center"/>
          </w:tcPr>
          <w:p w14:paraId="70F485CB">
            <w:pPr>
              <w:spacing w:line="380" w:lineRule="exact"/>
              <w:ind w:left="442" w:hanging="442"/>
              <w:jc w:val="center"/>
              <w:rPr>
                <w:rFonts w:hint="eastAsia" w:ascii="新宋体" w:hAnsi="新宋体" w:eastAsia="新宋体" w:cs="新宋体"/>
                <w:b/>
                <w:bCs/>
                <w:color w:val="auto"/>
                <w:sz w:val="22"/>
                <w:szCs w:val="22"/>
                <w:highlight w:val="none"/>
              </w:rPr>
            </w:pPr>
          </w:p>
        </w:tc>
      </w:tr>
    </w:tbl>
    <w:p w14:paraId="3EACEA0B">
      <w:pPr>
        <w:pStyle w:val="12"/>
        <w:spacing w:line="400" w:lineRule="atLeast"/>
        <w:ind w:left="663" w:hanging="663" w:hangingChars="300"/>
        <w:rPr>
          <w:rFonts w:hint="eastAsia" w:ascii="新宋体" w:hAnsi="新宋体" w:eastAsia="新宋体" w:cs="新宋体"/>
          <w:color w:val="auto"/>
          <w:sz w:val="22"/>
          <w:szCs w:val="22"/>
          <w:highlight w:val="none"/>
        </w:rPr>
      </w:pPr>
    </w:p>
    <w:p w14:paraId="706C8CF0">
      <w:pPr>
        <w:pStyle w:val="12"/>
        <w:spacing w:line="400" w:lineRule="atLeast"/>
        <w:ind w:left="630" w:leftChars="300" w:firstLine="4730" w:firstLineChars="215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投标人全称（盖章）：</w:t>
      </w:r>
    </w:p>
    <w:p w14:paraId="7B13EDCD">
      <w:pPr>
        <w:pStyle w:val="12"/>
        <w:spacing w:line="400" w:lineRule="atLeast"/>
        <w:ind w:left="630" w:leftChars="300" w:firstLine="4730" w:firstLineChars="215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法定代表人或其授权代表（签字）：</w:t>
      </w:r>
    </w:p>
    <w:p w14:paraId="456C5F45">
      <w:pPr>
        <w:pStyle w:val="12"/>
        <w:spacing w:line="400" w:lineRule="atLeast"/>
        <w:ind w:left="630" w:leftChars="300" w:firstLine="4730" w:firstLineChars="215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日   期：</w:t>
      </w:r>
    </w:p>
    <w:p w14:paraId="7E86A674">
      <w:pPr>
        <w:spacing w:line="380" w:lineRule="exact"/>
        <w:rPr>
          <w:rFonts w:hint="eastAsia" w:ascii="新宋体" w:hAnsi="新宋体" w:eastAsia="新宋体" w:cs="新宋体"/>
          <w:color w:val="auto"/>
          <w:sz w:val="22"/>
          <w:szCs w:val="22"/>
          <w:highlight w:val="none"/>
        </w:rPr>
      </w:pPr>
    </w:p>
    <w:p w14:paraId="0C195F7B">
      <w:pPr>
        <w:spacing w:line="380" w:lineRule="exact"/>
        <w:rPr>
          <w:rFonts w:hint="eastAsia" w:ascii="新宋体" w:hAnsi="新宋体" w:eastAsia="新宋体" w:cs="新宋体"/>
          <w:color w:val="auto"/>
          <w:sz w:val="22"/>
          <w:szCs w:val="22"/>
          <w:highlight w:val="none"/>
        </w:rPr>
      </w:pPr>
    </w:p>
    <w:p w14:paraId="15F769B4">
      <w:pPr>
        <w:spacing w:line="380" w:lineRule="exact"/>
        <w:rPr>
          <w:rFonts w:hint="eastAsia" w:ascii="新宋体" w:hAnsi="新宋体" w:eastAsia="新宋体" w:cs="新宋体"/>
          <w:color w:val="auto"/>
          <w:sz w:val="22"/>
          <w:szCs w:val="22"/>
          <w:highlight w:val="none"/>
        </w:rPr>
      </w:pPr>
    </w:p>
    <w:p w14:paraId="312A9813">
      <w:pPr>
        <w:spacing w:line="460" w:lineRule="exact"/>
        <w:outlineLvl w:val="1"/>
        <w:rPr>
          <w:rFonts w:hint="eastAsia" w:ascii="新宋体" w:hAnsi="新宋体" w:eastAsia="新宋体" w:cs="新宋体"/>
          <w:b/>
          <w:bCs/>
          <w:color w:val="auto"/>
          <w:sz w:val="22"/>
          <w:szCs w:val="22"/>
          <w:highlight w:val="none"/>
          <w:lang w:val="en-US" w:eastAsia="zh-CN"/>
        </w:rPr>
      </w:pPr>
      <w:bookmarkStart w:id="108" w:name="_Toc10600"/>
      <w:bookmarkStart w:id="109" w:name="_Toc1613"/>
      <w:bookmarkStart w:id="110" w:name="_Toc31852"/>
      <w:r>
        <w:rPr>
          <w:rFonts w:hint="eastAsia" w:ascii="新宋体" w:hAnsi="新宋体" w:eastAsia="新宋体" w:cs="新宋体"/>
          <w:b/>
          <w:bCs/>
          <w:color w:val="auto"/>
          <w:sz w:val="22"/>
          <w:szCs w:val="22"/>
          <w:highlight w:val="none"/>
        </w:rPr>
        <w:t>附件</w:t>
      </w:r>
      <w:bookmarkEnd w:id="108"/>
      <w:bookmarkEnd w:id="109"/>
      <w:bookmarkEnd w:id="110"/>
      <w:r>
        <w:rPr>
          <w:rFonts w:hint="eastAsia" w:ascii="新宋体" w:hAnsi="新宋体" w:eastAsia="新宋体" w:cs="新宋体"/>
          <w:b/>
          <w:bCs/>
          <w:color w:val="auto"/>
          <w:sz w:val="22"/>
          <w:szCs w:val="22"/>
          <w:highlight w:val="none"/>
          <w:lang w:val="en-US" w:eastAsia="zh-CN"/>
        </w:rPr>
        <w:t>八</w:t>
      </w:r>
    </w:p>
    <w:p w14:paraId="2CBCFC5A">
      <w:pPr>
        <w:jc w:val="center"/>
        <w:outlineLvl w:val="2"/>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团队实力</w:t>
      </w:r>
    </w:p>
    <w:p w14:paraId="60C4D810">
      <w:pPr>
        <w:spacing w:line="460" w:lineRule="exact"/>
        <w:jc w:val="center"/>
        <w:outlineLvl w:val="3"/>
        <w:rPr>
          <w:rFonts w:hint="eastAsia" w:ascii="宋体" w:hAnsi="宋体" w:cs="宋体"/>
          <w:b/>
          <w:bCs/>
          <w:color w:val="auto"/>
          <w:sz w:val="24"/>
          <w:highlight w:val="none"/>
        </w:rPr>
      </w:pPr>
      <w:r>
        <w:rPr>
          <w:rFonts w:hint="eastAsia" w:ascii="宋体" w:hAnsi="宋体" w:cs="宋体"/>
          <w:b/>
          <w:bCs/>
          <w:color w:val="auto"/>
          <w:sz w:val="24"/>
          <w:highlight w:val="none"/>
        </w:rPr>
        <w:t>（1）项目负责人情况表</w:t>
      </w:r>
    </w:p>
    <w:p w14:paraId="3C2D2032">
      <w:pPr>
        <w:spacing w:line="360" w:lineRule="auto"/>
        <w:jc w:val="left"/>
        <w:rPr>
          <w:rFonts w:hint="eastAsia" w:ascii="宋体" w:hAnsi="宋体" w:cs="宋体"/>
          <w:b/>
          <w:bCs/>
          <w:color w:val="auto"/>
          <w:sz w:val="32"/>
          <w:highlight w:val="none"/>
        </w:rPr>
      </w:pPr>
      <w:r>
        <w:rPr>
          <w:rFonts w:hint="eastAsia" w:ascii="宋体" w:hAnsi="宋体" w:cs="宋体"/>
          <w:bCs/>
          <w:color w:val="auto"/>
          <w:sz w:val="22"/>
          <w:szCs w:val="22"/>
          <w:highlight w:val="none"/>
        </w:rPr>
        <w:t xml:space="preserve">项 目 编 号：                                项 目 名 称： </w:t>
      </w:r>
      <w:r>
        <w:rPr>
          <w:rFonts w:hint="eastAsia" w:ascii="宋体" w:hAnsi="宋体" w:cs="宋体"/>
          <w:color w:val="auto"/>
          <w:highlight w:val="none"/>
        </w:rPr>
        <w:t xml:space="preserve">    </w:t>
      </w:r>
    </w:p>
    <w:tbl>
      <w:tblPr>
        <w:tblStyle w:val="19"/>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1833"/>
        <w:gridCol w:w="5880"/>
      </w:tblGrid>
      <w:tr w14:paraId="0FF3E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027" w:type="dxa"/>
            <w:noWrap w:val="0"/>
            <w:vAlign w:val="center"/>
          </w:tcPr>
          <w:p w14:paraId="43AC73AE">
            <w:pPr>
              <w:pStyle w:val="27"/>
              <w:autoSpaceDE w:val="0"/>
              <w:autoSpaceDN w:val="0"/>
              <w:adjustRightInd w:val="0"/>
              <w:spacing w:line="240" w:lineRule="auto"/>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姓名</w:t>
            </w:r>
          </w:p>
        </w:tc>
        <w:tc>
          <w:tcPr>
            <w:tcW w:w="1833" w:type="dxa"/>
            <w:noWrap w:val="0"/>
            <w:vAlign w:val="center"/>
          </w:tcPr>
          <w:p w14:paraId="06FD0DB2">
            <w:pPr>
              <w:autoSpaceDE w:val="0"/>
              <w:autoSpaceDN w:val="0"/>
              <w:adjustRightInd w:val="0"/>
              <w:spacing w:line="360" w:lineRule="auto"/>
              <w:jc w:val="center"/>
              <w:rPr>
                <w:rFonts w:hint="eastAsia" w:ascii="宋体" w:hAnsi="宋体" w:cs="宋体"/>
                <w:color w:val="auto"/>
                <w:sz w:val="22"/>
                <w:szCs w:val="22"/>
                <w:highlight w:val="none"/>
                <w:lang w:val="zh-CN"/>
              </w:rPr>
            </w:pPr>
          </w:p>
        </w:tc>
        <w:tc>
          <w:tcPr>
            <w:tcW w:w="5880" w:type="dxa"/>
            <w:noWrap w:val="0"/>
            <w:vAlign w:val="center"/>
          </w:tcPr>
          <w:p w14:paraId="0A96151B">
            <w:pPr>
              <w:pStyle w:val="27"/>
              <w:autoSpaceDE w:val="0"/>
              <w:autoSpaceDN w:val="0"/>
              <w:adjustRightInd w:val="0"/>
              <w:spacing w:line="360" w:lineRule="auto"/>
              <w:rPr>
                <w:rFonts w:hint="eastAsia" w:ascii="宋体" w:hAnsi="宋体" w:cs="宋体"/>
                <w:color w:val="auto"/>
                <w:sz w:val="22"/>
                <w:szCs w:val="22"/>
                <w:highlight w:val="none"/>
                <w:lang w:val="zh-CN"/>
              </w:rPr>
            </w:pPr>
            <w:r>
              <w:rPr>
                <w:rFonts w:hint="eastAsia" w:ascii="宋体" w:hAnsi="宋体" w:cs="宋体"/>
                <w:color w:val="auto"/>
                <w:kern w:val="0"/>
                <w:sz w:val="22"/>
                <w:szCs w:val="22"/>
                <w:highlight w:val="none"/>
              </w:rPr>
              <w:t>自</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年</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月</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日以来负责的相关项目经验</w:t>
            </w:r>
          </w:p>
        </w:tc>
      </w:tr>
      <w:tr w14:paraId="107E7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2027" w:type="dxa"/>
            <w:noWrap w:val="0"/>
            <w:vAlign w:val="center"/>
          </w:tcPr>
          <w:p w14:paraId="18797288">
            <w:pPr>
              <w:pStyle w:val="27"/>
              <w:autoSpaceDE w:val="0"/>
              <w:autoSpaceDN w:val="0"/>
              <w:adjustRightInd w:val="0"/>
              <w:spacing w:line="240" w:lineRule="auto"/>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1寸免冠照片</w:t>
            </w:r>
          </w:p>
        </w:tc>
        <w:tc>
          <w:tcPr>
            <w:tcW w:w="1833" w:type="dxa"/>
            <w:noWrap w:val="0"/>
            <w:vAlign w:val="center"/>
          </w:tcPr>
          <w:p w14:paraId="34B691A2">
            <w:pPr>
              <w:autoSpaceDE w:val="0"/>
              <w:autoSpaceDN w:val="0"/>
              <w:adjustRightInd w:val="0"/>
              <w:spacing w:line="360" w:lineRule="auto"/>
              <w:jc w:val="center"/>
              <w:rPr>
                <w:rFonts w:hint="eastAsia" w:ascii="宋体" w:hAnsi="宋体" w:cs="宋体"/>
                <w:color w:val="auto"/>
                <w:sz w:val="22"/>
                <w:szCs w:val="22"/>
                <w:highlight w:val="none"/>
                <w:lang w:val="zh-CN"/>
              </w:rPr>
            </w:pPr>
          </w:p>
        </w:tc>
        <w:tc>
          <w:tcPr>
            <w:tcW w:w="5880" w:type="dxa"/>
            <w:vMerge w:val="restart"/>
            <w:noWrap w:val="0"/>
            <w:vAlign w:val="center"/>
          </w:tcPr>
          <w:p w14:paraId="3A280BBD">
            <w:pPr>
              <w:pStyle w:val="28"/>
              <w:widowControl w:val="0"/>
              <w:autoSpaceDE w:val="0"/>
              <w:autoSpaceDN w:val="0"/>
              <w:adjustRightInd w:val="0"/>
              <w:spacing w:before="0" w:beforeAutospacing="0" w:after="0" w:afterAutospacing="0" w:line="360" w:lineRule="auto"/>
              <w:textAlignment w:val="auto"/>
              <w:rPr>
                <w:rFonts w:hint="eastAsia" w:ascii="宋体" w:hAnsi="宋体" w:cs="宋体"/>
                <w:color w:val="auto"/>
                <w:sz w:val="22"/>
                <w:szCs w:val="22"/>
                <w:highlight w:val="none"/>
              </w:rPr>
            </w:pPr>
            <w:r>
              <w:rPr>
                <w:rFonts w:hint="eastAsia" w:ascii="宋体" w:hAnsi="宋体" w:cs="宋体"/>
                <w:color w:val="auto"/>
                <w:kern w:val="2"/>
                <w:sz w:val="22"/>
                <w:szCs w:val="22"/>
                <w:highlight w:val="none"/>
              </w:rPr>
              <w:t>注：相关项目经验应提供旁证材料</w:t>
            </w:r>
          </w:p>
        </w:tc>
      </w:tr>
      <w:tr w14:paraId="6EB0C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2027" w:type="dxa"/>
            <w:noWrap w:val="0"/>
            <w:vAlign w:val="center"/>
          </w:tcPr>
          <w:p w14:paraId="13B429A7">
            <w:pPr>
              <w:autoSpaceDE w:val="0"/>
              <w:autoSpaceDN w:val="0"/>
              <w:adjustRightInd w:val="0"/>
              <w:jc w:val="center"/>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性别</w:t>
            </w:r>
          </w:p>
        </w:tc>
        <w:tc>
          <w:tcPr>
            <w:tcW w:w="1833" w:type="dxa"/>
            <w:noWrap w:val="0"/>
            <w:vAlign w:val="center"/>
          </w:tcPr>
          <w:p w14:paraId="5CBDA98B">
            <w:pPr>
              <w:autoSpaceDE w:val="0"/>
              <w:autoSpaceDN w:val="0"/>
              <w:adjustRightInd w:val="0"/>
              <w:spacing w:line="360" w:lineRule="auto"/>
              <w:jc w:val="center"/>
              <w:rPr>
                <w:rFonts w:hint="eastAsia" w:ascii="宋体" w:hAnsi="宋体" w:cs="宋体"/>
                <w:color w:val="auto"/>
                <w:sz w:val="22"/>
                <w:szCs w:val="22"/>
                <w:highlight w:val="none"/>
                <w:lang w:val="zh-CN"/>
              </w:rPr>
            </w:pPr>
          </w:p>
        </w:tc>
        <w:tc>
          <w:tcPr>
            <w:tcW w:w="5880" w:type="dxa"/>
            <w:vMerge w:val="continue"/>
            <w:noWrap w:val="0"/>
            <w:vAlign w:val="center"/>
          </w:tcPr>
          <w:p w14:paraId="7AA4B9C0">
            <w:pPr>
              <w:autoSpaceDE w:val="0"/>
              <w:autoSpaceDN w:val="0"/>
              <w:adjustRightInd w:val="0"/>
              <w:spacing w:line="360" w:lineRule="auto"/>
              <w:jc w:val="center"/>
              <w:rPr>
                <w:rFonts w:hint="eastAsia" w:ascii="宋体" w:hAnsi="宋体" w:cs="宋体"/>
                <w:color w:val="auto"/>
                <w:sz w:val="22"/>
                <w:szCs w:val="22"/>
                <w:highlight w:val="none"/>
                <w:lang w:val="zh-CN"/>
              </w:rPr>
            </w:pPr>
          </w:p>
        </w:tc>
      </w:tr>
      <w:tr w14:paraId="58F6E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2027" w:type="dxa"/>
            <w:noWrap w:val="0"/>
            <w:vAlign w:val="center"/>
          </w:tcPr>
          <w:p w14:paraId="4DF350E5">
            <w:pPr>
              <w:autoSpaceDE w:val="0"/>
              <w:autoSpaceDN w:val="0"/>
              <w:adjustRightInd w:val="0"/>
              <w:jc w:val="center"/>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年龄</w:t>
            </w:r>
          </w:p>
        </w:tc>
        <w:tc>
          <w:tcPr>
            <w:tcW w:w="1833" w:type="dxa"/>
            <w:noWrap w:val="0"/>
            <w:vAlign w:val="center"/>
          </w:tcPr>
          <w:p w14:paraId="4BF6DC7A">
            <w:pPr>
              <w:autoSpaceDE w:val="0"/>
              <w:autoSpaceDN w:val="0"/>
              <w:adjustRightInd w:val="0"/>
              <w:spacing w:line="360" w:lineRule="auto"/>
              <w:jc w:val="center"/>
              <w:rPr>
                <w:rFonts w:hint="eastAsia" w:ascii="宋体" w:hAnsi="宋体" w:cs="宋体"/>
                <w:color w:val="auto"/>
                <w:sz w:val="22"/>
                <w:szCs w:val="22"/>
                <w:highlight w:val="none"/>
                <w:lang w:val="zh-CN"/>
              </w:rPr>
            </w:pPr>
          </w:p>
        </w:tc>
        <w:tc>
          <w:tcPr>
            <w:tcW w:w="5880" w:type="dxa"/>
            <w:vMerge w:val="continue"/>
            <w:noWrap w:val="0"/>
            <w:vAlign w:val="center"/>
          </w:tcPr>
          <w:p w14:paraId="607D21D1">
            <w:pPr>
              <w:autoSpaceDE w:val="0"/>
              <w:autoSpaceDN w:val="0"/>
              <w:adjustRightInd w:val="0"/>
              <w:spacing w:line="360" w:lineRule="auto"/>
              <w:jc w:val="center"/>
              <w:rPr>
                <w:rFonts w:hint="eastAsia" w:ascii="宋体" w:hAnsi="宋体" w:cs="宋体"/>
                <w:color w:val="auto"/>
                <w:sz w:val="22"/>
                <w:szCs w:val="22"/>
                <w:highlight w:val="none"/>
                <w:lang w:val="zh-CN"/>
              </w:rPr>
            </w:pPr>
          </w:p>
        </w:tc>
      </w:tr>
      <w:tr w14:paraId="1B132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2027" w:type="dxa"/>
            <w:noWrap w:val="0"/>
            <w:vAlign w:val="center"/>
          </w:tcPr>
          <w:p w14:paraId="7D3E4AE8">
            <w:pPr>
              <w:autoSpaceDE w:val="0"/>
              <w:autoSpaceDN w:val="0"/>
              <w:adjustRightInd w:val="0"/>
              <w:jc w:val="center"/>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职称</w:t>
            </w:r>
          </w:p>
        </w:tc>
        <w:tc>
          <w:tcPr>
            <w:tcW w:w="1833" w:type="dxa"/>
            <w:noWrap w:val="0"/>
            <w:vAlign w:val="center"/>
          </w:tcPr>
          <w:p w14:paraId="22BC3478">
            <w:pPr>
              <w:autoSpaceDE w:val="0"/>
              <w:autoSpaceDN w:val="0"/>
              <w:adjustRightInd w:val="0"/>
              <w:spacing w:line="360" w:lineRule="auto"/>
              <w:jc w:val="center"/>
              <w:rPr>
                <w:rFonts w:hint="eastAsia" w:ascii="宋体" w:hAnsi="宋体" w:cs="宋体"/>
                <w:color w:val="auto"/>
                <w:sz w:val="22"/>
                <w:szCs w:val="22"/>
                <w:highlight w:val="none"/>
                <w:lang w:val="zh-CN"/>
              </w:rPr>
            </w:pPr>
          </w:p>
        </w:tc>
        <w:tc>
          <w:tcPr>
            <w:tcW w:w="5880" w:type="dxa"/>
            <w:vMerge w:val="continue"/>
            <w:noWrap w:val="0"/>
            <w:vAlign w:val="center"/>
          </w:tcPr>
          <w:p w14:paraId="6077FA7D">
            <w:pPr>
              <w:autoSpaceDE w:val="0"/>
              <w:autoSpaceDN w:val="0"/>
              <w:adjustRightInd w:val="0"/>
              <w:spacing w:line="360" w:lineRule="auto"/>
              <w:jc w:val="center"/>
              <w:rPr>
                <w:rFonts w:hint="eastAsia" w:ascii="宋体" w:hAnsi="宋体" w:cs="宋体"/>
                <w:color w:val="auto"/>
                <w:sz w:val="22"/>
                <w:szCs w:val="22"/>
                <w:highlight w:val="none"/>
                <w:lang w:val="zh-CN"/>
              </w:rPr>
            </w:pPr>
          </w:p>
        </w:tc>
      </w:tr>
      <w:tr w14:paraId="195A9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2027" w:type="dxa"/>
            <w:noWrap w:val="0"/>
            <w:vAlign w:val="center"/>
          </w:tcPr>
          <w:p w14:paraId="302A4E5A">
            <w:pPr>
              <w:autoSpaceDE w:val="0"/>
              <w:autoSpaceDN w:val="0"/>
              <w:adjustRightInd w:val="0"/>
              <w:jc w:val="center"/>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毕业院校系及专业</w:t>
            </w:r>
          </w:p>
        </w:tc>
        <w:tc>
          <w:tcPr>
            <w:tcW w:w="1833" w:type="dxa"/>
            <w:noWrap w:val="0"/>
            <w:vAlign w:val="center"/>
          </w:tcPr>
          <w:p w14:paraId="5F1D3DA5">
            <w:pPr>
              <w:autoSpaceDE w:val="0"/>
              <w:autoSpaceDN w:val="0"/>
              <w:adjustRightInd w:val="0"/>
              <w:spacing w:line="360" w:lineRule="auto"/>
              <w:jc w:val="center"/>
              <w:rPr>
                <w:rFonts w:hint="eastAsia" w:ascii="宋体" w:hAnsi="宋体" w:cs="宋体"/>
                <w:color w:val="auto"/>
                <w:sz w:val="22"/>
                <w:szCs w:val="22"/>
                <w:highlight w:val="none"/>
                <w:lang w:val="zh-CN"/>
              </w:rPr>
            </w:pPr>
          </w:p>
        </w:tc>
        <w:tc>
          <w:tcPr>
            <w:tcW w:w="5880" w:type="dxa"/>
            <w:vMerge w:val="continue"/>
            <w:noWrap w:val="0"/>
            <w:vAlign w:val="center"/>
          </w:tcPr>
          <w:p w14:paraId="44EB066E">
            <w:pPr>
              <w:autoSpaceDE w:val="0"/>
              <w:autoSpaceDN w:val="0"/>
              <w:adjustRightInd w:val="0"/>
              <w:spacing w:line="360" w:lineRule="auto"/>
              <w:jc w:val="center"/>
              <w:rPr>
                <w:rFonts w:hint="eastAsia" w:ascii="宋体" w:hAnsi="宋体" w:cs="宋体"/>
                <w:color w:val="auto"/>
                <w:sz w:val="22"/>
                <w:szCs w:val="22"/>
                <w:highlight w:val="none"/>
                <w:lang w:val="zh-CN"/>
              </w:rPr>
            </w:pPr>
          </w:p>
        </w:tc>
      </w:tr>
      <w:tr w14:paraId="36C30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2027" w:type="dxa"/>
            <w:noWrap w:val="0"/>
            <w:vAlign w:val="center"/>
          </w:tcPr>
          <w:p w14:paraId="587C9158">
            <w:pPr>
              <w:autoSpaceDE w:val="0"/>
              <w:autoSpaceDN w:val="0"/>
              <w:adjustRightInd w:val="0"/>
              <w:jc w:val="center"/>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毕业时间</w:t>
            </w:r>
          </w:p>
        </w:tc>
        <w:tc>
          <w:tcPr>
            <w:tcW w:w="1833" w:type="dxa"/>
            <w:noWrap w:val="0"/>
            <w:vAlign w:val="center"/>
          </w:tcPr>
          <w:p w14:paraId="6197CD0D">
            <w:pPr>
              <w:autoSpaceDE w:val="0"/>
              <w:autoSpaceDN w:val="0"/>
              <w:adjustRightInd w:val="0"/>
              <w:spacing w:line="360" w:lineRule="auto"/>
              <w:jc w:val="center"/>
              <w:rPr>
                <w:rFonts w:hint="eastAsia" w:ascii="宋体" w:hAnsi="宋体" w:cs="宋体"/>
                <w:color w:val="auto"/>
                <w:sz w:val="22"/>
                <w:szCs w:val="22"/>
                <w:highlight w:val="none"/>
                <w:lang w:val="zh-CN"/>
              </w:rPr>
            </w:pPr>
          </w:p>
        </w:tc>
        <w:tc>
          <w:tcPr>
            <w:tcW w:w="5880" w:type="dxa"/>
            <w:vMerge w:val="continue"/>
            <w:noWrap w:val="0"/>
            <w:vAlign w:val="center"/>
          </w:tcPr>
          <w:p w14:paraId="067398D1">
            <w:pPr>
              <w:autoSpaceDE w:val="0"/>
              <w:autoSpaceDN w:val="0"/>
              <w:adjustRightInd w:val="0"/>
              <w:spacing w:line="360" w:lineRule="auto"/>
              <w:jc w:val="center"/>
              <w:rPr>
                <w:rFonts w:hint="eastAsia" w:ascii="宋体" w:hAnsi="宋体" w:cs="宋体"/>
                <w:color w:val="auto"/>
                <w:sz w:val="22"/>
                <w:szCs w:val="22"/>
                <w:highlight w:val="none"/>
                <w:lang w:val="zh-CN"/>
              </w:rPr>
            </w:pPr>
          </w:p>
        </w:tc>
      </w:tr>
      <w:tr w14:paraId="17A91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2027" w:type="dxa"/>
            <w:noWrap w:val="0"/>
            <w:vAlign w:val="center"/>
          </w:tcPr>
          <w:p w14:paraId="501CBBC9">
            <w:pPr>
              <w:autoSpaceDE w:val="0"/>
              <w:autoSpaceDN w:val="0"/>
              <w:adjustRightInd w:val="0"/>
              <w:jc w:val="center"/>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最高学历</w:t>
            </w:r>
          </w:p>
        </w:tc>
        <w:tc>
          <w:tcPr>
            <w:tcW w:w="1833" w:type="dxa"/>
            <w:noWrap w:val="0"/>
            <w:vAlign w:val="center"/>
          </w:tcPr>
          <w:p w14:paraId="22771679">
            <w:pPr>
              <w:autoSpaceDE w:val="0"/>
              <w:autoSpaceDN w:val="0"/>
              <w:adjustRightInd w:val="0"/>
              <w:spacing w:line="360" w:lineRule="auto"/>
              <w:jc w:val="center"/>
              <w:rPr>
                <w:rFonts w:hint="eastAsia" w:ascii="宋体" w:hAnsi="宋体" w:cs="宋体"/>
                <w:color w:val="auto"/>
                <w:sz w:val="22"/>
                <w:szCs w:val="22"/>
                <w:highlight w:val="none"/>
                <w:lang w:val="zh-CN"/>
              </w:rPr>
            </w:pPr>
          </w:p>
        </w:tc>
        <w:tc>
          <w:tcPr>
            <w:tcW w:w="5880" w:type="dxa"/>
            <w:vMerge w:val="continue"/>
            <w:noWrap w:val="0"/>
            <w:vAlign w:val="center"/>
          </w:tcPr>
          <w:p w14:paraId="4170F941">
            <w:pPr>
              <w:autoSpaceDE w:val="0"/>
              <w:autoSpaceDN w:val="0"/>
              <w:adjustRightInd w:val="0"/>
              <w:spacing w:line="360" w:lineRule="auto"/>
              <w:jc w:val="center"/>
              <w:rPr>
                <w:rFonts w:hint="eastAsia" w:ascii="宋体" w:hAnsi="宋体" w:cs="宋体"/>
                <w:color w:val="auto"/>
                <w:sz w:val="22"/>
                <w:szCs w:val="22"/>
                <w:highlight w:val="none"/>
                <w:lang w:val="zh-CN"/>
              </w:rPr>
            </w:pPr>
          </w:p>
        </w:tc>
      </w:tr>
      <w:tr w14:paraId="0EBC7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2027" w:type="dxa"/>
            <w:noWrap w:val="0"/>
            <w:vAlign w:val="center"/>
          </w:tcPr>
          <w:p w14:paraId="2D2D69D7">
            <w:pPr>
              <w:autoSpaceDE w:val="0"/>
              <w:autoSpaceDN w:val="0"/>
              <w:adjustRightInd w:val="0"/>
              <w:jc w:val="center"/>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联系电话</w:t>
            </w:r>
          </w:p>
        </w:tc>
        <w:tc>
          <w:tcPr>
            <w:tcW w:w="1833" w:type="dxa"/>
            <w:noWrap w:val="0"/>
            <w:vAlign w:val="center"/>
          </w:tcPr>
          <w:p w14:paraId="0ED18F5D">
            <w:pPr>
              <w:autoSpaceDE w:val="0"/>
              <w:autoSpaceDN w:val="0"/>
              <w:adjustRightInd w:val="0"/>
              <w:spacing w:line="360" w:lineRule="auto"/>
              <w:jc w:val="center"/>
              <w:rPr>
                <w:rFonts w:hint="eastAsia" w:ascii="宋体" w:hAnsi="宋体" w:cs="宋体"/>
                <w:color w:val="auto"/>
                <w:sz w:val="22"/>
                <w:szCs w:val="22"/>
                <w:highlight w:val="none"/>
                <w:lang w:val="zh-CN"/>
              </w:rPr>
            </w:pPr>
          </w:p>
        </w:tc>
        <w:tc>
          <w:tcPr>
            <w:tcW w:w="5880" w:type="dxa"/>
            <w:vMerge w:val="continue"/>
            <w:noWrap w:val="0"/>
            <w:vAlign w:val="center"/>
          </w:tcPr>
          <w:p w14:paraId="0918ECC3">
            <w:pPr>
              <w:autoSpaceDE w:val="0"/>
              <w:autoSpaceDN w:val="0"/>
              <w:adjustRightInd w:val="0"/>
              <w:spacing w:line="360" w:lineRule="auto"/>
              <w:jc w:val="center"/>
              <w:rPr>
                <w:rFonts w:hint="eastAsia" w:ascii="宋体" w:hAnsi="宋体" w:cs="宋体"/>
                <w:color w:val="auto"/>
                <w:sz w:val="22"/>
                <w:szCs w:val="22"/>
                <w:highlight w:val="none"/>
                <w:lang w:val="zh-CN"/>
              </w:rPr>
            </w:pPr>
          </w:p>
        </w:tc>
      </w:tr>
      <w:tr w14:paraId="6D4B1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2027" w:type="dxa"/>
            <w:noWrap w:val="0"/>
            <w:vAlign w:val="center"/>
          </w:tcPr>
          <w:p w14:paraId="50DF1DB3">
            <w:pPr>
              <w:autoSpaceDE w:val="0"/>
              <w:autoSpaceDN w:val="0"/>
              <w:adjustRightInd w:val="0"/>
              <w:jc w:val="center"/>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rPr>
              <w:t>最近一年工作单位</w:t>
            </w:r>
          </w:p>
        </w:tc>
        <w:tc>
          <w:tcPr>
            <w:tcW w:w="1833" w:type="dxa"/>
            <w:noWrap w:val="0"/>
            <w:vAlign w:val="center"/>
          </w:tcPr>
          <w:p w14:paraId="537AB129">
            <w:pPr>
              <w:autoSpaceDE w:val="0"/>
              <w:autoSpaceDN w:val="0"/>
              <w:adjustRightInd w:val="0"/>
              <w:spacing w:line="360" w:lineRule="auto"/>
              <w:jc w:val="center"/>
              <w:rPr>
                <w:rFonts w:hint="eastAsia" w:ascii="宋体" w:hAnsi="宋体" w:cs="宋体"/>
                <w:color w:val="auto"/>
                <w:sz w:val="22"/>
                <w:szCs w:val="22"/>
                <w:highlight w:val="none"/>
                <w:lang w:val="zh-CN"/>
              </w:rPr>
            </w:pPr>
          </w:p>
        </w:tc>
        <w:tc>
          <w:tcPr>
            <w:tcW w:w="5880" w:type="dxa"/>
            <w:vMerge w:val="continue"/>
            <w:noWrap w:val="0"/>
            <w:vAlign w:val="center"/>
          </w:tcPr>
          <w:p w14:paraId="5D17C60A">
            <w:pPr>
              <w:autoSpaceDE w:val="0"/>
              <w:autoSpaceDN w:val="0"/>
              <w:adjustRightInd w:val="0"/>
              <w:spacing w:line="360" w:lineRule="auto"/>
              <w:jc w:val="center"/>
              <w:rPr>
                <w:rFonts w:hint="eastAsia" w:ascii="宋体" w:hAnsi="宋体" w:cs="宋体"/>
                <w:color w:val="auto"/>
                <w:sz w:val="22"/>
                <w:szCs w:val="22"/>
                <w:highlight w:val="none"/>
                <w:lang w:val="zh-CN"/>
              </w:rPr>
            </w:pPr>
          </w:p>
        </w:tc>
      </w:tr>
      <w:tr w14:paraId="289FF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027" w:type="dxa"/>
            <w:noWrap w:val="0"/>
            <w:vAlign w:val="center"/>
          </w:tcPr>
          <w:p w14:paraId="29BB52B2">
            <w:pPr>
              <w:autoSpaceDE w:val="0"/>
              <w:autoSpaceDN w:val="0"/>
              <w:adjustRightInd w:val="0"/>
              <w:jc w:val="center"/>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拟在本项目中担任主要工作</w:t>
            </w:r>
          </w:p>
        </w:tc>
        <w:tc>
          <w:tcPr>
            <w:tcW w:w="7713" w:type="dxa"/>
            <w:gridSpan w:val="2"/>
            <w:noWrap w:val="0"/>
            <w:vAlign w:val="center"/>
          </w:tcPr>
          <w:p w14:paraId="1AF3195D">
            <w:pPr>
              <w:autoSpaceDE w:val="0"/>
              <w:autoSpaceDN w:val="0"/>
              <w:adjustRightInd w:val="0"/>
              <w:spacing w:line="360" w:lineRule="auto"/>
              <w:jc w:val="center"/>
              <w:rPr>
                <w:rFonts w:hint="eastAsia" w:ascii="宋体" w:hAnsi="宋体" w:cs="宋体"/>
                <w:color w:val="auto"/>
                <w:sz w:val="22"/>
                <w:szCs w:val="22"/>
                <w:highlight w:val="none"/>
                <w:lang w:val="zh-CN"/>
              </w:rPr>
            </w:pPr>
          </w:p>
        </w:tc>
      </w:tr>
    </w:tbl>
    <w:p w14:paraId="1E5DC47D">
      <w:pPr>
        <w:spacing w:line="460" w:lineRule="exact"/>
        <w:rPr>
          <w:rFonts w:hint="eastAsia" w:ascii="宋体" w:hAnsi="宋体" w:cs="宋体"/>
          <w:color w:val="auto"/>
          <w:sz w:val="22"/>
          <w:szCs w:val="22"/>
          <w:highlight w:val="none"/>
        </w:rPr>
      </w:pPr>
    </w:p>
    <w:p w14:paraId="2987B8B3">
      <w:pPr>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                                       </w:t>
      </w:r>
    </w:p>
    <w:p w14:paraId="4B5364BB">
      <w:pPr>
        <w:rPr>
          <w:rFonts w:hint="eastAsia" w:ascii="宋体" w:hAnsi="宋体" w:cs="宋体"/>
          <w:b/>
          <w:bCs/>
          <w:color w:val="auto"/>
          <w:sz w:val="22"/>
          <w:szCs w:val="22"/>
          <w:highlight w:val="none"/>
        </w:rPr>
      </w:pPr>
    </w:p>
    <w:p w14:paraId="230B7729">
      <w:pPr>
        <w:spacing w:line="460" w:lineRule="exact"/>
        <w:jc w:val="center"/>
        <w:outlineLvl w:val="3"/>
        <w:rPr>
          <w:rFonts w:hint="eastAsia"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（2）项目服务人员汇总表</w:t>
      </w:r>
    </w:p>
    <w:tbl>
      <w:tblPr>
        <w:tblStyle w:val="19"/>
        <w:tblW w:w="0" w:type="auto"/>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2351"/>
        <w:gridCol w:w="720"/>
        <w:gridCol w:w="720"/>
        <w:gridCol w:w="720"/>
        <w:gridCol w:w="1080"/>
        <w:gridCol w:w="1458"/>
        <w:gridCol w:w="1422"/>
      </w:tblGrid>
      <w:tr w14:paraId="463FC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4FCFDA24">
            <w:pPr>
              <w:spacing w:line="360" w:lineRule="auto"/>
              <w:rPr>
                <w:rFonts w:hint="eastAsia" w:ascii="宋体" w:hAnsi="宋体" w:cs="宋体"/>
                <w:color w:val="auto"/>
                <w:sz w:val="22"/>
                <w:szCs w:val="22"/>
                <w:highlight w:val="none"/>
              </w:rPr>
            </w:pPr>
            <w:r>
              <w:rPr>
                <w:rFonts w:hint="eastAsia" w:ascii="宋体" w:hAnsi="宋体" w:cs="宋体"/>
                <w:color w:val="auto"/>
                <w:highlight w:val="none"/>
              </w:rPr>
              <w:t xml:space="preserve">                                          </w:t>
            </w:r>
            <w:r>
              <w:rPr>
                <w:rFonts w:hint="eastAsia" w:ascii="宋体" w:hAnsi="宋体" w:cs="宋体"/>
                <w:color w:val="auto"/>
                <w:sz w:val="22"/>
                <w:szCs w:val="22"/>
                <w:highlight w:val="none"/>
              </w:rPr>
              <w:t>姓名</w:t>
            </w:r>
          </w:p>
        </w:tc>
        <w:tc>
          <w:tcPr>
            <w:tcW w:w="2351" w:type="dxa"/>
            <w:noWrap w:val="0"/>
            <w:vAlign w:val="center"/>
          </w:tcPr>
          <w:p w14:paraId="27940BD6">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本项目主要工作</w:t>
            </w:r>
          </w:p>
        </w:tc>
        <w:tc>
          <w:tcPr>
            <w:tcW w:w="720" w:type="dxa"/>
            <w:noWrap w:val="0"/>
            <w:vAlign w:val="center"/>
          </w:tcPr>
          <w:p w14:paraId="4DC76116">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年龄</w:t>
            </w:r>
          </w:p>
        </w:tc>
        <w:tc>
          <w:tcPr>
            <w:tcW w:w="720" w:type="dxa"/>
            <w:noWrap w:val="0"/>
            <w:vAlign w:val="center"/>
          </w:tcPr>
          <w:p w14:paraId="19E33676">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性别</w:t>
            </w:r>
          </w:p>
        </w:tc>
        <w:tc>
          <w:tcPr>
            <w:tcW w:w="720" w:type="dxa"/>
            <w:noWrap w:val="0"/>
            <w:vAlign w:val="center"/>
          </w:tcPr>
          <w:p w14:paraId="6B7E4E5B">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专业</w:t>
            </w:r>
          </w:p>
        </w:tc>
        <w:tc>
          <w:tcPr>
            <w:tcW w:w="1080" w:type="dxa"/>
            <w:noWrap w:val="0"/>
            <w:vAlign w:val="center"/>
          </w:tcPr>
          <w:p w14:paraId="2B9E867C">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专业</w:t>
            </w:r>
          </w:p>
          <w:p w14:paraId="1F809008">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年限</w:t>
            </w:r>
          </w:p>
        </w:tc>
        <w:tc>
          <w:tcPr>
            <w:tcW w:w="1458" w:type="dxa"/>
            <w:noWrap w:val="0"/>
            <w:vAlign w:val="center"/>
          </w:tcPr>
          <w:p w14:paraId="01357B36">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职务</w:t>
            </w:r>
          </w:p>
          <w:p w14:paraId="786842FA">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和职称/认证</w:t>
            </w:r>
          </w:p>
        </w:tc>
        <w:tc>
          <w:tcPr>
            <w:tcW w:w="1422" w:type="dxa"/>
            <w:noWrap w:val="0"/>
            <w:vAlign w:val="center"/>
          </w:tcPr>
          <w:p w14:paraId="674C7D82">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到现场服务</w:t>
            </w:r>
          </w:p>
          <w:p w14:paraId="4F8A5897">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起止时间</w:t>
            </w:r>
          </w:p>
        </w:tc>
      </w:tr>
      <w:tr w14:paraId="40DA0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567627DA">
            <w:pPr>
              <w:spacing w:line="360" w:lineRule="auto"/>
              <w:rPr>
                <w:rFonts w:hint="eastAsia" w:ascii="宋体" w:hAnsi="宋体" w:cs="宋体"/>
                <w:color w:val="auto"/>
                <w:sz w:val="22"/>
                <w:szCs w:val="22"/>
                <w:highlight w:val="none"/>
              </w:rPr>
            </w:pPr>
          </w:p>
        </w:tc>
        <w:tc>
          <w:tcPr>
            <w:tcW w:w="2351" w:type="dxa"/>
            <w:noWrap w:val="0"/>
            <w:vAlign w:val="center"/>
          </w:tcPr>
          <w:p w14:paraId="359AD6FF">
            <w:pPr>
              <w:spacing w:line="360" w:lineRule="auto"/>
              <w:rPr>
                <w:rFonts w:hint="eastAsia" w:ascii="宋体" w:hAnsi="宋体" w:cs="宋体"/>
                <w:color w:val="auto"/>
                <w:sz w:val="22"/>
                <w:szCs w:val="22"/>
                <w:highlight w:val="none"/>
              </w:rPr>
            </w:pPr>
          </w:p>
        </w:tc>
        <w:tc>
          <w:tcPr>
            <w:tcW w:w="720" w:type="dxa"/>
            <w:noWrap w:val="0"/>
            <w:vAlign w:val="center"/>
          </w:tcPr>
          <w:p w14:paraId="6325B8F2">
            <w:pPr>
              <w:spacing w:line="360" w:lineRule="auto"/>
              <w:rPr>
                <w:rFonts w:hint="eastAsia" w:ascii="宋体" w:hAnsi="宋体" w:cs="宋体"/>
                <w:color w:val="auto"/>
                <w:sz w:val="22"/>
                <w:szCs w:val="22"/>
                <w:highlight w:val="none"/>
              </w:rPr>
            </w:pPr>
          </w:p>
        </w:tc>
        <w:tc>
          <w:tcPr>
            <w:tcW w:w="720" w:type="dxa"/>
            <w:noWrap w:val="0"/>
            <w:vAlign w:val="center"/>
          </w:tcPr>
          <w:p w14:paraId="434F5767">
            <w:pPr>
              <w:spacing w:line="360" w:lineRule="auto"/>
              <w:rPr>
                <w:rFonts w:hint="eastAsia" w:ascii="宋体" w:hAnsi="宋体" w:cs="宋体"/>
                <w:color w:val="auto"/>
                <w:sz w:val="22"/>
                <w:szCs w:val="22"/>
                <w:highlight w:val="none"/>
              </w:rPr>
            </w:pPr>
          </w:p>
        </w:tc>
        <w:tc>
          <w:tcPr>
            <w:tcW w:w="720" w:type="dxa"/>
            <w:noWrap w:val="0"/>
            <w:vAlign w:val="center"/>
          </w:tcPr>
          <w:p w14:paraId="6DCE4764">
            <w:pPr>
              <w:spacing w:line="360" w:lineRule="auto"/>
              <w:rPr>
                <w:rFonts w:hint="eastAsia" w:ascii="宋体" w:hAnsi="宋体" w:cs="宋体"/>
                <w:color w:val="auto"/>
                <w:sz w:val="22"/>
                <w:szCs w:val="22"/>
                <w:highlight w:val="none"/>
              </w:rPr>
            </w:pPr>
          </w:p>
        </w:tc>
        <w:tc>
          <w:tcPr>
            <w:tcW w:w="1080" w:type="dxa"/>
            <w:noWrap w:val="0"/>
            <w:vAlign w:val="center"/>
          </w:tcPr>
          <w:p w14:paraId="492499E1">
            <w:pPr>
              <w:spacing w:line="360" w:lineRule="auto"/>
              <w:rPr>
                <w:rFonts w:hint="eastAsia" w:ascii="宋体" w:hAnsi="宋体" w:cs="宋体"/>
                <w:color w:val="auto"/>
                <w:sz w:val="22"/>
                <w:szCs w:val="22"/>
                <w:highlight w:val="none"/>
              </w:rPr>
            </w:pPr>
          </w:p>
        </w:tc>
        <w:tc>
          <w:tcPr>
            <w:tcW w:w="1458" w:type="dxa"/>
            <w:noWrap w:val="0"/>
            <w:vAlign w:val="center"/>
          </w:tcPr>
          <w:p w14:paraId="46DEE694">
            <w:pPr>
              <w:spacing w:line="360" w:lineRule="auto"/>
              <w:ind w:left="5250"/>
              <w:rPr>
                <w:rFonts w:hint="eastAsia" w:ascii="宋体" w:hAnsi="宋体" w:cs="宋体"/>
                <w:color w:val="auto"/>
                <w:spacing w:val="12"/>
                <w:sz w:val="22"/>
                <w:szCs w:val="22"/>
                <w:highlight w:val="none"/>
              </w:rPr>
            </w:pPr>
          </w:p>
        </w:tc>
        <w:tc>
          <w:tcPr>
            <w:tcW w:w="1422" w:type="dxa"/>
            <w:noWrap w:val="0"/>
            <w:vAlign w:val="center"/>
          </w:tcPr>
          <w:p w14:paraId="3860FE57">
            <w:pPr>
              <w:spacing w:line="360" w:lineRule="auto"/>
              <w:rPr>
                <w:rFonts w:hint="eastAsia" w:ascii="宋体" w:hAnsi="宋体" w:cs="宋体"/>
                <w:color w:val="auto"/>
                <w:sz w:val="22"/>
                <w:szCs w:val="22"/>
                <w:highlight w:val="none"/>
              </w:rPr>
            </w:pPr>
          </w:p>
        </w:tc>
      </w:tr>
      <w:tr w14:paraId="7A21D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434263BB">
            <w:pPr>
              <w:spacing w:line="360" w:lineRule="auto"/>
              <w:rPr>
                <w:rFonts w:hint="eastAsia" w:ascii="宋体" w:hAnsi="宋体" w:cs="宋体"/>
                <w:color w:val="auto"/>
                <w:sz w:val="22"/>
                <w:szCs w:val="22"/>
                <w:highlight w:val="none"/>
              </w:rPr>
            </w:pPr>
          </w:p>
        </w:tc>
        <w:tc>
          <w:tcPr>
            <w:tcW w:w="2351" w:type="dxa"/>
            <w:noWrap w:val="0"/>
            <w:vAlign w:val="center"/>
          </w:tcPr>
          <w:p w14:paraId="62FDEC58">
            <w:pPr>
              <w:spacing w:line="360" w:lineRule="auto"/>
              <w:rPr>
                <w:rFonts w:hint="eastAsia" w:ascii="宋体" w:hAnsi="宋体" w:cs="宋体"/>
                <w:color w:val="auto"/>
                <w:sz w:val="22"/>
                <w:szCs w:val="22"/>
                <w:highlight w:val="none"/>
              </w:rPr>
            </w:pPr>
          </w:p>
        </w:tc>
        <w:tc>
          <w:tcPr>
            <w:tcW w:w="720" w:type="dxa"/>
            <w:noWrap w:val="0"/>
            <w:vAlign w:val="center"/>
          </w:tcPr>
          <w:p w14:paraId="58D4B03A">
            <w:pPr>
              <w:spacing w:line="360" w:lineRule="auto"/>
              <w:rPr>
                <w:rFonts w:hint="eastAsia" w:ascii="宋体" w:hAnsi="宋体" w:cs="宋体"/>
                <w:color w:val="auto"/>
                <w:sz w:val="22"/>
                <w:szCs w:val="22"/>
                <w:highlight w:val="none"/>
              </w:rPr>
            </w:pPr>
          </w:p>
        </w:tc>
        <w:tc>
          <w:tcPr>
            <w:tcW w:w="720" w:type="dxa"/>
            <w:noWrap w:val="0"/>
            <w:vAlign w:val="center"/>
          </w:tcPr>
          <w:p w14:paraId="58B1B7BB">
            <w:pPr>
              <w:spacing w:line="360" w:lineRule="auto"/>
              <w:rPr>
                <w:rFonts w:hint="eastAsia" w:ascii="宋体" w:hAnsi="宋体" w:cs="宋体"/>
                <w:color w:val="auto"/>
                <w:sz w:val="22"/>
                <w:szCs w:val="22"/>
                <w:highlight w:val="none"/>
              </w:rPr>
            </w:pPr>
          </w:p>
        </w:tc>
        <w:tc>
          <w:tcPr>
            <w:tcW w:w="720" w:type="dxa"/>
            <w:noWrap w:val="0"/>
            <w:vAlign w:val="center"/>
          </w:tcPr>
          <w:p w14:paraId="74794393">
            <w:pPr>
              <w:spacing w:line="360" w:lineRule="auto"/>
              <w:rPr>
                <w:rFonts w:hint="eastAsia" w:ascii="宋体" w:hAnsi="宋体" w:cs="宋体"/>
                <w:color w:val="auto"/>
                <w:sz w:val="22"/>
                <w:szCs w:val="22"/>
                <w:highlight w:val="none"/>
              </w:rPr>
            </w:pPr>
          </w:p>
        </w:tc>
        <w:tc>
          <w:tcPr>
            <w:tcW w:w="1080" w:type="dxa"/>
            <w:noWrap w:val="0"/>
            <w:vAlign w:val="center"/>
          </w:tcPr>
          <w:p w14:paraId="0FF77612">
            <w:pPr>
              <w:spacing w:line="360" w:lineRule="auto"/>
              <w:rPr>
                <w:rFonts w:hint="eastAsia" w:ascii="宋体" w:hAnsi="宋体" w:cs="宋体"/>
                <w:color w:val="auto"/>
                <w:sz w:val="22"/>
                <w:szCs w:val="22"/>
                <w:highlight w:val="none"/>
              </w:rPr>
            </w:pPr>
          </w:p>
        </w:tc>
        <w:tc>
          <w:tcPr>
            <w:tcW w:w="1458" w:type="dxa"/>
            <w:noWrap w:val="0"/>
            <w:vAlign w:val="center"/>
          </w:tcPr>
          <w:p w14:paraId="15E6122E">
            <w:pPr>
              <w:spacing w:line="360" w:lineRule="auto"/>
              <w:rPr>
                <w:rFonts w:hint="eastAsia" w:ascii="宋体" w:hAnsi="宋体" w:cs="宋体"/>
                <w:color w:val="auto"/>
                <w:sz w:val="22"/>
                <w:szCs w:val="22"/>
                <w:highlight w:val="none"/>
              </w:rPr>
            </w:pPr>
          </w:p>
        </w:tc>
        <w:tc>
          <w:tcPr>
            <w:tcW w:w="1422" w:type="dxa"/>
            <w:noWrap w:val="0"/>
            <w:vAlign w:val="center"/>
          </w:tcPr>
          <w:p w14:paraId="06992A1B">
            <w:pPr>
              <w:spacing w:line="360" w:lineRule="auto"/>
              <w:ind w:left="5250"/>
              <w:rPr>
                <w:rFonts w:hint="eastAsia" w:ascii="宋体" w:hAnsi="宋体" w:cs="宋体"/>
                <w:color w:val="auto"/>
                <w:spacing w:val="12"/>
                <w:sz w:val="22"/>
                <w:szCs w:val="22"/>
                <w:highlight w:val="none"/>
              </w:rPr>
            </w:pPr>
          </w:p>
        </w:tc>
      </w:tr>
      <w:tr w14:paraId="64A7A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6C9A13B6">
            <w:pPr>
              <w:spacing w:line="360" w:lineRule="auto"/>
              <w:rPr>
                <w:rFonts w:hint="eastAsia" w:ascii="宋体" w:hAnsi="宋体" w:cs="宋体"/>
                <w:color w:val="auto"/>
                <w:sz w:val="22"/>
                <w:szCs w:val="22"/>
                <w:highlight w:val="none"/>
              </w:rPr>
            </w:pPr>
          </w:p>
        </w:tc>
        <w:tc>
          <w:tcPr>
            <w:tcW w:w="2351" w:type="dxa"/>
            <w:noWrap w:val="0"/>
            <w:vAlign w:val="center"/>
          </w:tcPr>
          <w:p w14:paraId="433916BC">
            <w:pPr>
              <w:spacing w:line="360" w:lineRule="auto"/>
              <w:rPr>
                <w:rFonts w:hint="eastAsia" w:ascii="宋体" w:hAnsi="宋体" w:cs="宋体"/>
                <w:color w:val="auto"/>
                <w:sz w:val="22"/>
                <w:szCs w:val="22"/>
                <w:highlight w:val="none"/>
              </w:rPr>
            </w:pPr>
          </w:p>
        </w:tc>
        <w:tc>
          <w:tcPr>
            <w:tcW w:w="720" w:type="dxa"/>
            <w:noWrap w:val="0"/>
            <w:vAlign w:val="center"/>
          </w:tcPr>
          <w:p w14:paraId="517B9B6E">
            <w:pPr>
              <w:spacing w:line="360" w:lineRule="auto"/>
              <w:rPr>
                <w:rFonts w:hint="eastAsia" w:ascii="宋体" w:hAnsi="宋体" w:cs="宋体"/>
                <w:color w:val="auto"/>
                <w:sz w:val="22"/>
                <w:szCs w:val="22"/>
                <w:highlight w:val="none"/>
              </w:rPr>
            </w:pPr>
          </w:p>
        </w:tc>
        <w:tc>
          <w:tcPr>
            <w:tcW w:w="720" w:type="dxa"/>
            <w:noWrap w:val="0"/>
            <w:vAlign w:val="center"/>
          </w:tcPr>
          <w:p w14:paraId="6842130F">
            <w:pPr>
              <w:spacing w:line="360" w:lineRule="auto"/>
              <w:rPr>
                <w:rFonts w:hint="eastAsia" w:ascii="宋体" w:hAnsi="宋体" w:cs="宋体"/>
                <w:color w:val="auto"/>
                <w:sz w:val="22"/>
                <w:szCs w:val="22"/>
                <w:highlight w:val="none"/>
              </w:rPr>
            </w:pPr>
          </w:p>
        </w:tc>
        <w:tc>
          <w:tcPr>
            <w:tcW w:w="720" w:type="dxa"/>
            <w:noWrap w:val="0"/>
            <w:vAlign w:val="center"/>
          </w:tcPr>
          <w:p w14:paraId="0A6E3B02">
            <w:pPr>
              <w:spacing w:line="360" w:lineRule="auto"/>
              <w:rPr>
                <w:rFonts w:hint="eastAsia" w:ascii="宋体" w:hAnsi="宋体" w:cs="宋体"/>
                <w:color w:val="auto"/>
                <w:sz w:val="22"/>
                <w:szCs w:val="22"/>
                <w:highlight w:val="none"/>
              </w:rPr>
            </w:pPr>
          </w:p>
        </w:tc>
        <w:tc>
          <w:tcPr>
            <w:tcW w:w="1080" w:type="dxa"/>
            <w:noWrap w:val="0"/>
            <w:vAlign w:val="center"/>
          </w:tcPr>
          <w:p w14:paraId="12411A56">
            <w:pPr>
              <w:spacing w:line="360" w:lineRule="auto"/>
              <w:rPr>
                <w:rFonts w:hint="eastAsia" w:ascii="宋体" w:hAnsi="宋体" w:cs="宋体"/>
                <w:color w:val="auto"/>
                <w:sz w:val="22"/>
                <w:szCs w:val="22"/>
                <w:highlight w:val="none"/>
              </w:rPr>
            </w:pPr>
          </w:p>
        </w:tc>
        <w:tc>
          <w:tcPr>
            <w:tcW w:w="1458" w:type="dxa"/>
            <w:noWrap w:val="0"/>
            <w:vAlign w:val="center"/>
          </w:tcPr>
          <w:p w14:paraId="480CC4C6">
            <w:pPr>
              <w:spacing w:line="360" w:lineRule="auto"/>
              <w:rPr>
                <w:rFonts w:hint="eastAsia" w:ascii="宋体" w:hAnsi="宋体" w:cs="宋体"/>
                <w:color w:val="auto"/>
                <w:sz w:val="22"/>
                <w:szCs w:val="22"/>
                <w:highlight w:val="none"/>
              </w:rPr>
            </w:pPr>
          </w:p>
        </w:tc>
        <w:tc>
          <w:tcPr>
            <w:tcW w:w="1422" w:type="dxa"/>
            <w:noWrap w:val="0"/>
            <w:vAlign w:val="center"/>
          </w:tcPr>
          <w:p w14:paraId="72E833FD">
            <w:pPr>
              <w:spacing w:line="360" w:lineRule="auto"/>
              <w:rPr>
                <w:rFonts w:hint="eastAsia" w:ascii="宋体" w:hAnsi="宋体" w:cs="宋体"/>
                <w:color w:val="auto"/>
                <w:sz w:val="22"/>
                <w:szCs w:val="22"/>
                <w:highlight w:val="none"/>
              </w:rPr>
            </w:pPr>
          </w:p>
        </w:tc>
      </w:tr>
      <w:tr w14:paraId="7FFAC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3C428EAC">
            <w:pPr>
              <w:spacing w:line="360" w:lineRule="auto"/>
              <w:rPr>
                <w:rFonts w:hint="eastAsia" w:ascii="宋体" w:hAnsi="宋体" w:cs="宋体"/>
                <w:color w:val="auto"/>
                <w:sz w:val="22"/>
                <w:szCs w:val="22"/>
                <w:highlight w:val="none"/>
              </w:rPr>
            </w:pPr>
          </w:p>
        </w:tc>
        <w:tc>
          <w:tcPr>
            <w:tcW w:w="2351" w:type="dxa"/>
            <w:noWrap w:val="0"/>
            <w:vAlign w:val="center"/>
          </w:tcPr>
          <w:p w14:paraId="1EDE940E">
            <w:pPr>
              <w:spacing w:line="360" w:lineRule="auto"/>
              <w:rPr>
                <w:rFonts w:hint="eastAsia" w:ascii="宋体" w:hAnsi="宋体" w:cs="宋体"/>
                <w:color w:val="auto"/>
                <w:sz w:val="22"/>
                <w:szCs w:val="22"/>
                <w:highlight w:val="none"/>
              </w:rPr>
            </w:pPr>
          </w:p>
        </w:tc>
        <w:tc>
          <w:tcPr>
            <w:tcW w:w="720" w:type="dxa"/>
            <w:noWrap w:val="0"/>
            <w:vAlign w:val="center"/>
          </w:tcPr>
          <w:p w14:paraId="0FA5E3BE">
            <w:pPr>
              <w:spacing w:line="360" w:lineRule="auto"/>
              <w:rPr>
                <w:rFonts w:hint="eastAsia" w:ascii="宋体" w:hAnsi="宋体" w:cs="宋体"/>
                <w:color w:val="auto"/>
                <w:sz w:val="22"/>
                <w:szCs w:val="22"/>
                <w:highlight w:val="none"/>
              </w:rPr>
            </w:pPr>
          </w:p>
        </w:tc>
        <w:tc>
          <w:tcPr>
            <w:tcW w:w="720" w:type="dxa"/>
            <w:noWrap w:val="0"/>
            <w:vAlign w:val="center"/>
          </w:tcPr>
          <w:p w14:paraId="460102FD">
            <w:pPr>
              <w:spacing w:line="360" w:lineRule="auto"/>
              <w:rPr>
                <w:rFonts w:hint="eastAsia" w:ascii="宋体" w:hAnsi="宋体" w:cs="宋体"/>
                <w:color w:val="auto"/>
                <w:sz w:val="22"/>
                <w:szCs w:val="22"/>
                <w:highlight w:val="none"/>
              </w:rPr>
            </w:pPr>
          </w:p>
        </w:tc>
        <w:tc>
          <w:tcPr>
            <w:tcW w:w="720" w:type="dxa"/>
            <w:noWrap w:val="0"/>
            <w:vAlign w:val="center"/>
          </w:tcPr>
          <w:p w14:paraId="1DD74A28">
            <w:pPr>
              <w:spacing w:line="360" w:lineRule="auto"/>
              <w:rPr>
                <w:rFonts w:hint="eastAsia" w:ascii="宋体" w:hAnsi="宋体" w:cs="宋体"/>
                <w:color w:val="auto"/>
                <w:sz w:val="22"/>
                <w:szCs w:val="22"/>
                <w:highlight w:val="none"/>
              </w:rPr>
            </w:pPr>
          </w:p>
        </w:tc>
        <w:tc>
          <w:tcPr>
            <w:tcW w:w="1080" w:type="dxa"/>
            <w:noWrap w:val="0"/>
            <w:vAlign w:val="center"/>
          </w:tcPr>
          <w:p w14:paraId="7ED9404B">
            <w:pPr>
              <w:spacing w:line="360" w:lineRule="auto"/>
              <w:rPr>
                <w:rFonts w:hint="eastAsia" w:ascii="宋体" w:hAnsi="宋体" w:cs="宋体"/>
                <w:color w:val="auto"/>
                <w:sz w:val="22"/>
                <w:szCs w:val="22"/>
                <w:highlight w:val="none"/>
              </w:rPr>
            </w:pPr>
          </w:p>
        </w:tc>
        <w:tc>
          <w:tcPr>
            <w:tcW w:w="1458" w:type="dxa"/>
            <w:noWrap w:val="0"/>
            <w:vAlign w:val="center"/>
          </w:tcPr>
          <w:p w14:paraId="2B5F6906">
            <w:pPr>
              <w:spacing w:line="360" w:lineRule="auto"/>
              <w:rPr>
                <w:rFonts w:hint="eastAsia" w:ascii="宋体" w:hAnsi="宋体" w:cs="宋体"/>
                <w:color w:val="auto"/>
                <w:sz w:val="22"/>
                <w:szCs w:val="22"/>
                <w:highlight w:val="none"/>
              </w:rPr>
            </w:pPr>
          </w:p>
        </w:tc>
        <w:tc>
          <w:tcPr>
            <w:tcW w:w="1422" w:type="dxa"/>
            <w:noWrap w:val="0"/>
            <w:vAlign w:val="center"/>
          </w:tcPr>
          <w:p w14:paraId="228A6331">
            <w:pPr>
              <w:spacing w:line="360" w:lineRule="auto"/>
              <w:rPr>
                <w:rFonts w:hint="eastAsia" w:ascii="宋体" w:hAnsi="宋体" w:cs="宋体"/>
                <w:color w:val="auto"/>
                <w:sz w:val="22"/>
                <w:szCs w:val="22"/>
                <w:highlight w:val="none"/>
              </w:rPr>
            </w:pPr>
          </w:p>
        </w:tc>
      </w:tr>
      <w:tr w14:paraId="3A867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390ED63A">
            <w:pPr>
              <w:spacing w:line="360" w:lineRule="auto"/>
              <w:rPr>
                <w:rFonts w:hint="eastAsia" w:ascii="宋体" w:hAnsi="宋体" w:cs="宋体"/>
                <w:color w:val="auto"/>
                <w:sz w:val="22"/>
                <w:szCs w:val="22"/>
                <w:highlight w:val="none"/>
              </w:rPr>
            </w:pPr>
          </w:p>
        </w:tc>
        <w:tc>
          <w:tcPr>
            <w:tcW w:w="2351" w:type="dxa"/>
            <w:noWrap w:val="0"/>
            <w:vAlign w:val="center"/>
          </w:tcPr>
          <w:p w14:paraId="03152BEB">
            <w:pPr>
              <w:spacing w:line="360" w:lineRule="auto"/>
              <w:rPr>
                <w:rFonts w:hint="eastAsia" w:ascii="宋体" w:hAnsi="宋体" w:cs="宋体"/>
                <w:color w:val="auto"/>
                <w:sz w:val="22"/>
                <w:szCs w:val="22"/>
                <w:highlight w:val="none"/>
              </w:rPr>
            </w:pPr>
          </w:p>
        </w:tc>
        <w:tc>
          <w:tcPr>
            <w:tcW w:w="720" w:type="dxa"/>
            <w:noWrap w:val="0"/>
            <w:vAlign w:val="center"/>
          </w:tcPr>
          <w:p w14:paraId="2AFDAD81">
            <w:pPr>
              <w:spacing w:line="360" w:lineRule="auto"/>
              <w:rPr>
                <w:rFonts w:hint="eastAsia" w:ascii="宋体" w:hAnsi="宋体" w:cs="宋体"/>
                <w:color w:val="auto"/>
                <w:sz w:val="22"/>
                <w:szCs w:val="22"/>
                <w:highlight w:val="none"/>
              </w:rPr>
            </w:pPr>
          </w:p>
        </w:tc>
        <w:tc>
          <w:tcPr>
            <w:tcW w:w="720" w:type="dxa"/>
            <w:noWrap w:val="0"/>
            <w:vAlign w:val="center"/>
          </w:tcPr>
          <w:p w14:paraId="415258C3">
            <w:pPr>
              <w:spacing w:line="360" w:lineRule="auto"/>
              <w:rPr>
                <w:rFonts w:hint="eastAsia" w:ascii="宋体" w:hAnsi="宋体" w:cs="宋体"/>
                <w:color w:val="auto"/>
                <w:sz w:val="22"/>
                <w:szCs w:val="22"/>
                <w:highlight w:val="none"/>
              </w:rPr>
            </w:pPr>
          </w:p>
        </w:tc>
        <w:tc>
          <w:tcPr>
            <w:tcW w:w="720" w:type="dxa"/>
            <w:noWrap w:val="0"/>
            <w:vAlign w:val="center"/>
          </w:tcPr>
          <w:p w14:paraId="6152FFD2">
            <w:pPr>
              <w:spacing w:line="360" w:lineRule="auto"/>
              <w:rPr>
                <w:rFonts w:hint="eastAsia" w:ascii="宋体" w:hAnsi="宋体" w:cs="宋体"/>
                <w:color w:val="auto"/>
                <w:sz w:val="22"/>
                <w:szCs w:val="22"/>
                <w:highlight w:val="none"/>
              </w:rPr>
            </w:pPr>
          </w:p>
        </w:tc>
        <w:tc>
          <w:tcPr>
            <w:tcW w:w="1080" w:type="dxa"/>
            <w:noWrap w:val="0"/>
            <w:vAlign w:val="center"/>
          </w:tcPr>
          <w:p w14:paraId="724E5FDB">
            <w:pPr>
              <w:spacing w:line="360" w:lineRule="auto"/>
              <w:rPr>
                <w:rFonts w:hint="eastAsia" w:ascii="宋体" w:hAnsi="宋体" w:cs="宋体"/>
                <w:color w:val="auto"/>
                <w:sz w:val="22"/>
                <w:szCs w:val="22"/>
                <w:highlight w:val="none"/>
              </w:rPr>
            </w:pPr>
          </w:p>
        </w:tc>
        <w:tc>
          <w:tcPr>
            <w:tcW w:w="1458" w:type="dxa"/>
            <w:noWrap w:val="0"/>
            <w:vAlign w:val="center"/>
          </w:tcPr>
          <w:p w14:paraId="05FB5A29">
            <w:pPr>
              <w:spacing w:line="360" w:lineRule="auto"/>
              <w:rPr>
                <w:rFonts w:hint="eastAsia" w:ascii="宋体" w:hAnsi="宋体" w:cs="宋体"/>
                <w:color w:val="auto"/>
                <w:sz w:val="22"/>
                <w:szCs w:val="22"/>
                <w:highlight w:val="none"/>
              </w:rPr>
            </w:pPr>
          </w:p>
        </w:tc>
        <w:tc>
          <w:tcPr>
            <w:tcW w:w="1422" w:type="dxa"/>
            <w:noWrap w:val="0"/>
            <w:vAlign w:val="center"/>
          </w:tcPr>
          <w:p w14:paraId="528FF6D3">
            <w:pPr>
              <w:spacing w:line="360" w:lineRule="auto"/>
              <w:rPr>
                <w:rFonts w:hint="eastAsia" w:ascii="宋体" w:hAnsi="宋体" w:cs="宋体"/>
                <w:color w:val="auto"/>
                <w:sz w:val="22"/>
                <w:szCs w:val="22"/>
                <w:highlight w:val="none"/>
              </w:rPr>
            </w:pPr>
          </w:p>
        </w:tc>
      </w:tr>
      <w:tr w14:paraId="7DDAE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3E0CE039">
            <w:pPr>
              <w:spacing w:line="360" w:lineRule="auto"/>
              <w:rPr>
                <w:rFonts w:hint="eastAsia" w:ascii="宋体" w:hAnsi="宋体" w:cs="宋体"/>
                <w:color w:val="auto"/>
                <w:sz w:val="22"/>
                <w:szCs w:val="22"/>
                <w:highlight w:val="none"/>
              </w:rPr>
            </w:pPr>
          </w:p>
        </w:tc>
        <w:tc>
          <w:tcPr>
            <w:tcW w:w="2351" w:type="dxa"/>
            <w:noWrap w:val="0"/>
            <w:vAlign w:val="center"/>
          </w:tcPr>
          <w:p w14:paraId="0A0AAFC3">
            <w:pPr>
              <w:spacing w:line="360" w:lineRule="auto"/>
              <w:rPr>
                <w:rFonts w:hint="eastAsia" w:ascii="宋体" w:hAnsi="宋体" w:cs="宋体"/>
                <w:color w:val="auto"/>
                <w:sz w:val="22"/>
                <w:szCs w:val="22"/>
                <w:highlight w:val="none"/>
              </w:rPr>
            </w:pPr>
          </w:p>
        </w:tc>
        <w:tc>
          <w:tcPr>
            <w:tcW w:w="720" w:type="dxa"/>
            <w:noWrap w:val="0"/>
            <w:vAlign w:val="center"/>
          </w:tcPr>
          <w:p w14:paraId="0591C15B">
            <w:pPr>
              <w:spacing w:line="360" w:lineRule="auto"/>
              <w:rPr>
                <w:rFonts w:hint="eastAsia" w:ascii="宋体" w:hAnsi="宋体" w:cs="宋体"/>
                <w:color w:val="auto"/>
                <w:sz w:val="22"/>
                <w:szCs w:val="22"/>
                <w:highlight w:val="none"/>
              </w:rPr>
            </w:pPr>
          </w:p>
        </w:tc>
        <w:tc>
          <w:tcPr>
            <w:tcW w:w="720" w:type="dxa"/>
            <w:noWrap w:val="0"/>
            <w:vAlign w:val="center"/>
          </w:tcPr>
          <w:p w14:paraId="6A6C471F">
            <w:pPr>
              <w:spacing w:line="360" w:lineRule="auto"/>
              <w:rPr>
                <w:rFonts w:hint="eastAsia" w:ascii="宋体" w:hAnsi="宋体" w:cs="宋体"/>
                <w:color w:val="auto"/>
                <w:sz w:val="22"/>
                <w:szCs w:val="22"/>
                <w:highlight w:val="none"/>
              </w:rPr>
            </w:pPr>
          </w:p>
        </w:tc>
        <w:tc>
          <w:tcPr>
            <w:tcW w:w="720" w:type="dxa"/>
            <w:noWrap w:val="0"/>
            <w:vAlign w:val="center"/>
          </w:tcPr>
          <w:p w14:paraId="58112DA6">
            <w:pPr>
              <w:spacing w:line="360" w:lineRule="auto"/>
              <w:rPr>
                <w:rFonts w:hint="eastAsia" w:ascii="宋体" w:hAnsi="宋体" w:cs="宋体"/>
                <w:color w:val="auto"/>
                <w:sz w:val="22"/>
                <w:szCs w:val="22"/>
                <w:highlight w:val="none"/>
              </w:rPr>
            </w:pPr>
          </w:p>
        </w:tc>
        <w:tc>
          <w:tcPr>
            <w:tcW w:w="1080" w:type="dxa"/>
            <w:noWrap w:val="0"/>
            <w:vAlign w:val="center"/>
          </w:tcPr>
          <w:p w14:paraId="4507E087">
            <w:pPr>
              <w:spacing w:line="360" w:lineRule="auto"/>
              <w:rPr>
                <w:rFonts w:hint="eastAsia" w:ascii="宋体" w:hAnsi="宋体" w:cs="宋体"/>
                <w:color w:val="auto"/>
                <w:sz w:val="22"/>
                <w:szCs w:val="22"/>
                <w:highlight w:val="none"/>
              </w:rPr>
            </w:pPr>
          </w:p>
        </w:tc>
        <w:tc>
          <w:tcPr>
            <w:tcW w:w="1458" w:type="dxa"/>
            <w:noWrap w:val="0"/>
            <w:vAlign w:val="center"/>
          </w:tcPr>
          <w:p w14:paraId="188EC2BA">
            <w:pPr>
              <w:spacing w:line="360" w:lineRule="auto"/>
              <w:rPr>
                <w:rFonts w:hint="eastAsia" w:ascii="宋体" w:hAnsi="宋体" w:cs="宋体"/>
                <w:color w:val="auto"/>
                <w:sz w:val="22"/>
                <w:szCs w:val="22"/>
                <w:highlight w:val="none"/>
              </w:rPr>
            </w:pPr>
          </w:p>
        </w:tc>
        <w:tc>
          <w:tcPr>
            <w:tcW w:w="1422" w:type="dxa"/>
            <w:noWrap w:val="0"/>
            <w:vAlign w:val="center"/>
          </w:tcPr>
          <w:p w14:paraId="78A0CEEB">
            <w:pPr>
              <w:spacing w:line="360" w:lineRule="auto"/>
              <w:rPr>
                <w:rFonts w:hint="eastAsia" w:ascii="宋体" w:hAnsi="宋体" w:cs="宋体"/>
                <w:color w:val="auto"/>
                <w:sz w:val="22"/>
                <w:szCs w:val="22"/>
                <w:highlight w:val="none"/>
              </w:rPr>
            </w:pPr>
          </w:p>
        </w:tc>
      </w:tr>
      <w:tr w14:paraId="12A43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58DA2FDF">
            <w:pPr>
              <w:spacing w:line="360" w:lineRule="auto"/>
              <w:rPr>
                <w:rFonts w:hint="eastAsia" w:ascii="宋体" w:hAnsi="宋体" w:cs="宋体"/>
                <w:color w:val="auto"/>
                <w:sz w:val="22"/>
                <w:szCs w:val="22"/>
                <w:highlight w:val="none"/>
              </w:rPr>
            </w:pPr>
          </w:p>
        </w:tc>
        <w:tc>
          <w:tcPr>
            <w:tcW w:w="2351" w:type="dxa"/>
            <w:noWrap w:val="0"/>
            <w:vAlign w:val="center"/>
          </w:tcPr>
          <w:p w14:paraId="19973667">
            <w:pPr>
              <w:spacing w:line="360" w:lineRule="auto"/>
              <w:rPr>
                <w:rFonts w:hint="eastAsia" w:ascii="宋体" w:hAnsi="宋体" w:cs="宋体"/>
                <w:color w:val="auto"/>
                <w:sz w:val="22"/>
                <w:szCs w:val="22"/>
                <w:highlight w:val="none"/>
              </w:rPr>
            </w:pPr>
          </w:p>
        </w:tc>
        <w:tc>
          <w:tcPr>
            <w:tcW w:w="720" w:type="dxa"/>
            <w:noWrap w:val="0"/>
            <w:vAlign w:val="center"/>
          </w:tcPr>
          <w:p w14:paraId="62C80995">
            <w:pPr>
              <w:spacing w:line="360" w:lineRule="auto"/>
              <w:rPr>
                <w:rFonts w:hint="eastAsia" w:ascii="宋体" w:hAnsi="宋体" w:cs="宋体"/>
                <w:color w:val="auto"/>
                <w:sz w:val="22"/>
                <w:szCs w:val="22"/>
                <w:highlight w:val="none"/>
              </w:rPr>
            </w:pPr>
          </w:p>
        </w:tc>
        <w:tc>
          <w:tcPr>
            <w:tcW w:w="720" w:type="dxa"/>
            <w:noWrap w:val="0"/>
            <w:vAlign w:val="center"/>
          </w:tcPr>
          <w:p w14:paraId="1617B62C">
            <w:pPr>
              <w:spacing w:line="360" w:lineRule="auto"/>
              <w:rPr>
                <w:rFonts w:hint="eastAsia" w:ascii="宋体" w:hAnsi="宋体" w:cs="宋体"/>
                <w:color w:val="auto"/>
                <w:sz w:val="22"/>
                <w:szCs w:val="22"/>
                <w:highlight w:val="none"/>
              </w:rPr>
            </w:pPr>
          </w:p>
        </w:tc>
        <w:tc>
          <w:tcPr>
            <w:tcW w:w="720" w:type="dxa"/>
            <w:noWrap w:val="0"/>
            <w:vAlign w:val="center"/>
          </w:tcPr>
          <w:p w14:paraId="31BE2D05">
            <w:pPr>
              <w:spacing w:line="360" w:lineRule="auto"/>
              <w:rPr>
                <w:rFonts w:hint="eastAsia" w:ascii="宋体" w:hAnsi="宋体" w:cs="宋体"/>
                <w:color w:val="auto"/>
                <w:sz w:val="22"/>
                <w:szCs w:val="22"/>
                <w:highlight w:val="none"/>
              </w:rPr>
            </w:pPr>
          </w:p>
        </w:tc>
        <w:tc>
          <w:tcPr>
            <w:tcW w:w="1080" w:type="dxa"/>
            <w:noWrap w:val="0"/>
            <w:vAlign w:val="center"/>
          </w:tcPr>
          <w:p w14:paraId="1FFAB782">
            <w:pPr>
              <w:spacing w:line="360" w:lineRule="auto"/>
              <w:rPr>
                <w:rFonts w:hint="eastAsia" w:ascii="宋体" w:hAnsi="宋体" w:cs="宋体"/>
                <w:color w:val="auto"/>
                <w:sz w:val="22"/>
                <w:szCs w:val="22"/>
                <w:highlight w:val="none"/>
              </w:rPr>
            </w:pPr>
          </w:p>
        </w:tc>
        <w:tc>
          <w:tcPr>
            <w:tcW w:w="1458" w:type="dxa"/>
            <w:noWrap w:val="0"/>
            <w:vAlign w:val="center"/>
          </w:tcPr>
          <w:p w14:paraId="0556ACDF">
            <w:pPr>
              <w:spacing w:line="360" w:lineRule="auto"/>
              <w:rPr>
                <w:rFonts w:hint="eastAsia" w:ascii="宋体" w:hAnsi="宋体" w:cs="宋体"/>
                <w:color w:val="auto"/>
                <w:sz w:val="22"/>
                <w:szCs w:val="22"/>
                <w:highlight w:val="none"/>
              </w:rPr>
            </w:pPr>
          </w:p>
        </w:tc>
        <w:tc>
          <w:tcPr>
            <w:tcW w:w="1422" w:type="dxa"/>
            <w:noWrap w:val="0"/>
            <w:vAlign w:val="center"/>
          </w:tcPr>
          <w:p w14:paraId="0DB1CC40">
            <w:pPr>
              <w:spacing w:line="360" w:lineRule="auto"/>
              <w:rPr>
                <w:rFonts w:hint="eastAsia" w:ascii="宋体" w:hAnsi="宋体" w:cs="宋体"/>
                <w:color w:val="auto"/>
                <w:sz w:val="22"/>
                <w:szCs w:val="22"/>
                <w:highlight w:val="none"/>
              </w:rPr>
            </w:pPr>
          </w:p>
        </w:tc>
      </w:tr>
      <w:tr w14:paraId="0F3EE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49D4DC92">
            <w:pPr>
              <w:spacing w:line="360" w:lineRule="auto"/>
              <w:rPr>
                <w:rFonts w:hint="eastAsia" w:ascii="宋体" w:hAnsi="宋体" w:cs="宋体"/>
                <w:color w:val="auto"/>
                <w:sz w:val="22"/>
                <w:szCs w:val="22"/>
                <w:highlight w:val="none"/>
              </w:rPr>
            </w:pPr>
          </w:p>
        </w:tc>
        <w:tc>
          <w:tcPr>
            <w:tcW w:w="2351" w:type="dxa"/>
            <w:noWrap w:val="0"/>
            <w:vAlign w:val="center"/>
          </w:tcPr>
          <w:p w14:paraId="6D9DB9C3">
            <w:pPr>
              <w:spacing w:line="360" w:lineRule="auto"/>
              <w:rPr>
                <w:rFonts w:hint="eastAsia" w:ascii="宋体" w:hAnsi="宋体" w:cs="宋体"/>
                <w:color w:val="auto"/>
                <w:sz w:val="22"/>
                <w:szCs w:val="22"/>
                <w:highlight w:val="none"/>
              </w:rPr>
            </w:pPr>
          </w:p>
        </w:tc>
        <w:tc>
          <w:tcPr>
            <w:tcW w:w="720" w:type="dxa"/>
            <w:noWrap w:val="0"/>
            <w:vAlign w:val="center"/>
          </w:tcPr>
          <w:p w14:paraId="2B7FE51E">
            <w:pPr>
              <w:spacing w:line="360" w:lineRule="auto"/>
              <w:rPr>
                <w:rFonts w:hint="eastAsia" w:ascii="宋体" w:hAnsi="宋体" w:cs="宋体"/>
                <w:color w:val="auto"/>
                <w:sz w:val="22"/>
                <w:szCs w:val="22"/>
                <w:highlight w:val="none"/>
              </w:rPr>
            </w:pPr>
          </w:p>
        </w:tc>
        <w:tc>
          <w:tcPr>
            <w:tcW w:w="720" w:type="dxa"/>
            <w:noWrap w:val="0"/>
            <w:vAlign w:val="center"/>
          </w:tcPr>
          <w:p w14:paraId="5910A686">
            <w:pPr>
              <w:spacing w:line="360" w:lineRule="auto"/>
              <w:rPr>
                <w:rFonts w:hint="eastAsia" w:ascii="宋体" w:hAnsi="宋体" w:cs="宋体"/>
                <w:color w:val="auto"/>
                <w:sz w:val="22"/>
                <w:szCs w:val="22"/>
                <w:highlight w:val="none"/>
              </w:rPr>
            </w:pPr>
          </w:p>
        </w:tc>
        <w:tc>
          <w:tcPr>
            <w:tcW w:w="720" w:type="dxa"/>
            <w:noWrap w:val="0"/>
            <w:vAlign w:val="center"/>
          </w:tcPr>
          <w:p w14:paraId="14EADDDD">
            <w:pPr>
              <w:spacing w:line="360" w:lineRule="auto"/>
              <w:rPr>
                <w:rFonts w:hint="eastAsia" w:ascii="宋体" w:hAnsi="宋体" w:cs="宋体"/>
                <w:color w:val="auto"/>
                <w:sz w:val="22"/>
                <w:szCs w:val="22"/>
                <w:highlight w:val="none"/>
              </w:rPr>
            </w:pPr>
          </w:p>
        </w:tc>
        <w:tc>
          <w:tcPr>
            <w:tcW w:w="1080" w:type="dxa"/>
            <w:noWrap w:val="0"/>
            <w:vAlign w:val="center"/>
          </w:tcPr>
          <w:p w14:paraId="461E3269">
            <w:pPr>
              <w:spacing w:line="360" w:lineRule="auto"/>
              <w:rPr>
                <w:rFonts w:hint="eastAsia" w:ascii="宋体" w:hAnsi="宋体" w:cs="宋体"/>
                <w:color w:val="auto"/>
                <w:sz w:val="22"/>
                <w:szCs w:val="22"/>
                <w:highlight w:val="none"/>
              </w:rPr>
            </w:pPr>
          </w:p>
        </w:tc>
        <w:tc>
          <w:tcPr>
            <w:tcW w:w="1458" w:type="dxa"/>
            <w:noWrap w:val="0"/>
            <w:vAlign w:val="center"/>
          </w:tcPr>
          <w:p w14:paraId="6D25F51E">
            <w:pPr>
              <w:spacing w:line="360" w:lineRule="auto"/>
              <w:rPr>
                <w:rFonts w:hint="eastAsia" w:ascii="宋体" w:hAnsi="宋体" w:cs="宋体"/>
                <w:color w:val="auto"/>
                <w:sz w:val="22"/>
                <w:szCs w:val="22"/>
                <w:highlight w:val="none"/>
              </w:rPr>
            </w:pPr>
          </w:p>
        </w:tc>
        <w:tc>
          <w:tcPr>
            <w:tcW w:w="1422" w:type="dxa"/>
            <w:noWrap w:val="0"/>
            <w:vAlign w:val="center"/>
          </w:tcPr>
          <w:p w14:paraId="5DDE8E3E">
            <w:pPr>
              <w:spacing w:line="360" w:lineRule="auto"/>
              <w:rPr>
                <w:rFonts w:hint="eastAsia" w:ascii="宋体" w:hAnsi="宋体" w:cs="宋体"/>
                <w:color w:val="auto"/>
                <w:sz w:val="22"/>
                <w:szCs w:val="22"/>
                <w:highlight w:val="none"/>
              </w:rPr>
            </w:pPr>
          </w:p>
        </w:tc>
      </w:tr>
      <w:tr w14:paraId="23B85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780086BB">
            <w:pPr>
              <w:spacing w:line="360" w:lineRule="auto"/>
              <w:rPr>
                <w:rFonts w:hint="eastAsia" w:ascii="宋体" w:hAnsi="宋体" w:cs="宋体"/>
                <w:color w:val="auto"/>
                <w:sz w:val="22"/>
                <w:szCs w:val="22"/>
                <w:highlight w:val="none"/>
              </w:rPr>
            </w:pPr>
          </w:p>
        </w:tc>
        <w:tc>
          <w:tcPr>
            <w:tcW w:w="2351" w:type="dxa"/>
            <w:noWrap w:val="0"/>
            <w:vAlign w:val="center"/>
          </w:tcPr>
          <w:p w14:paraId="7018A789">
            <w:pPr>
              <w:spacing w:line="360" w:lineRule="auto"/>
              <w:rPr>
                <w:rFonts w:hint="eastAsia" w:ascii="宋体" w:hAnsi="宋体" w:cs="宋体"/>
                <w:color w:val="auto"/>
                <w:sz w:val="22"/>
                <w:szCs w:val="22"/>
                <w:highlight w:val="none"/>
              </w:rPr>
            </w:pPr>
          </w:p>
        </w:tc>
        <w:tc>
          <w:tcPr>
            <w:tcW w:w="720" w:type="dxa"/>
            <w:noWrap w:val="0"/>
            <w:vAlign w:val="center"/>
          </w:tcPr>
          <w:p w14:paraId="66854482">
            <w:pPr>
              <w:spacing w:line="360" w:lineRule="auto"/>
              <w:rPr>
                <w:rFonts w:hint="eastAsia" w:ascii="宋体" w:hAnsi="宋体" w:cs="宋体"/>
                <w:color w:val="auto"/>
                <w:sz w:val="22"/>
                <w:szCs w:val="22"/>
                <w:highlight w:val="none"/>
              </w:rPr>
            </w:pPr>
          </w:p>
        </w:tc>
        <w:tc>
          <w:tcPr>
            <w:tcW w:w="720" w:type="dxa"/>
            <w:noWrap w:val="0"/>
            <w:vAlign w:val="center"/>
          </w:tcPr>
          <w:p w14:paraId="345EACCE">
            <w:pPr>
              <w:spacing w:line="360" w:lineRule="auto"/>
              <w:rPr>
                <w:rFonts w:hint="eastAsia" w:ascii="宋体" w:hAnsi="宋体" w:cs="宋体"/>
                <w:color w:val="auto"/>
                <w:sz w:val="22"/>
                <w:szCs w:val="22"/>
                <w:highlight w:val="none"/>
              </w:rPr>
            </w:pPr>
          </w:p>
        </w:tc>
        <w:tc>
          <w:tcPr>
            <w:tcW w:w="720" w:type="dxa"/>
            <w:noWrap w:val="0"/>
            <w:vAlign w:val="center"/>
          </w:tcPr>
          <w:p w14:paraId="1D19D2B8">
            <w:pPr>
              <w:spacing w:line="360" w:lineRule="auto"/>
              <w:rPr>
                <w:rFonts w:hint="eastAsia" w:ascii="宋体" w:hAnsi="宋体" w:cs="宋体"/>
                <w:color w:val="auto"/>
                <w:sz w:val="22"/>
                <w:szCs w:val="22"/>
                <w:highlight w:val="none"/>
              </w:rPr>
            </w:pPr>
          </w:p>
        </w:tc>
        <w:tc>
          <w:tcPr>
            <w:tcW w:w="1080" w:type="dxa"/>
            <w:noWrap w:val="0"/>
            <w:vAlign w:val="center"/>
          </w:tcPr>
          <w:p w14:paraId="19871C7A">
            <w:pPr>
              <w:spacing w:line="360" w:lineRule="auto"/>
              <w:rPr>
                <w:rFonts w:hint="eastAsia" w:ascii="宋体" w:hAnsi="宋体" w:cs="宋体"/>
                <w:color w:val="auto"/>
                <w:sz w:val="22"/>
                <w:szCs w:val="22"/>
                <w:highlight w:val="none"/>
              </w:rPr>
            </w:pPr>
          </w:p>
        </w:tc>
        <w:tc>
          <w:tcPr>
            <w:tcW w:w="1458" w:type="dxa"/>
            <w:noWrap w:val="0"/>
            <w:vAlign w:val="center"/>
          </w:tcPr>
          <w:p w14:paraId="5C56C259">
            <w:pPr>
              <w:spacing w:line="360" w:lineRule="auto"/>
              <w:rPr>
                <w:rFonts w:hint="eastAsia" w:ascii="宋体" w:hAnsi="宋体" w:cs="宋体"/>
                <w:color w:val="auto"/>
                <w:sz w:val="22"/>
                <w:szCs w:val="22"/>
                <w:highlight w:val="none"/>
              </w:rPr>
            </w:pPr>
          </w:p>
        </w:tc>
        <w:tc>
          <w:tcPr>
            <w:tcW w:w="1422" w:type="dxa"/>
            <w:noWrap w:val="0"/>
            <w:vAlign w:val="center"/>
          </w:tcPr>
          <w:p w14:paraId="5AB91B30">
            <w:pPr>
              <w:spacing w:line="360" w:lineRule="auto"/>
              <w:rPr>
                <w:rFonts w:hint="eastAsia" w:ascii="宋体" w:hAnsi="宋体" w:cs="宋体"/>
                <w:color w:val="auto"/>
                <w:sz w:val="22"/>
                <w:szCs w:val="22"/>
                <w:highlight w:val="none"/>
              </w:rPr>
            </w:pPr>
          </w:p>
        </w:tc>
      </w:tr>
      <w:tr w14:paraId="2A621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0A1C1081">
            <w:pPr>
              <w:spacing w:line="360" w:lineRule="auto"/>
              <w:rPr>
                <w:rFonts w:hint="eastAsia" w:ascii="宋体" w:hAnsi="宋体" w:cs="宋体"/>
                <w:color w:val="auto"/>
                <w:sz w:val="22"/>
                <w:szCs w:val="22"/>
                <w:highlight w:val="none"/>
              </w:rPr>
            </w:pPr>
          </w:p>
        </w:tc>
        <w:tc>
          <w:tcPr>
            <w:tcW w:w="2351" w:type="dxa"/>
            <w:noWrap w:val="0"/>
            <w:vAlign w:val="center"/>
          </w:tcPr>
          <w:p w14:paraId="5FB1AF6A">
            <w:pPr>
              <w:spacing w:line="360" w:lineRule="auto"/>
              <w:rPr>
                <w:rFonts w:hint="eastAsia" w:ascii="宋体" w:hAnsi="宋体" w:cs="宋体"/>
                <w:color w:val="auto"/>
                <w:sz w:val="22"/>
                <w:szCs w:val="22"/>
                <w:highlight w:val="none"/>
              </w:rPr>
            </w:pPr>
          </w:p>
        </w:tc>
        <w:tc>
          <w:tcPr>
            <w:tcW w:w="720" w:type="dxa"/>
            <w:noWrap w:val="0"/>
            <w:vAlign w:val="center"/>
          </w:tcPr>
          <w:p w14:paraId="72C06D78">
            <w:pPr>
              <w:spacing w:line="360" w:lineRule="auto"/>
              <w:rPr>
                <w:rFonts w:hint="eastAsia" w:ascii="宋体" w:hAnsi="宋体" w:cs="宋体"/>
                <w:color w:val="auto"/>
                <w:sz w:val="22"/>
                <w:szCs w:val="22"/>
                <w:highlight w:val="none"/>
              </w:rPr>
            </w:pPr>
          </w:p>
        </w:tc>
        <w:tc>
          <w:tcPr>
            <w:tcW w:w="720" w:type="dxa"/>
            <w:noWrap w:val="0"/>
            <w:vAlign w:val="center"/>
          </w:tcPr>
          <w:p w14:paraId="003E9C38">
            <w:pPr>
              <w:spacing w:line="360" w:lineRule="auto"/>
              <w:rPr>
                <w:rFonts w:hint="eastAsia" w:ascii="宋体" w:hAnsi="宋体" w:cs="宋体"/>
                <w:color w:val="auto"/>
                <w:sz w:val="22"/>
                <w:szCs w:val="22"/>
                <w:highlight w:val="none"/>
              </w:rPr>
            </w:pPr>
          </w:p>
        </w:tc>
        <w:tc>
          <w:tcPr>
            <w:tcW w:w="720" w:type="dxa"/>
            <w:noWrap w:val="0"/>
            <w:vAlign w:val="center"/>
          </w:tcPr>
          <w:p w14:paraId="37A1B2E8">
            <w:pPr>
              <w:spacing w:line="360" w:lineRule="auto"/>
              <w:rPr>
                <w:rFonts w:hint="eastAsia" w:ascii="宋体" w:hAnsi="宋体" w:cs="宋体"/>
                <w:color w:val="auto"/>
                <w:sz w:val="22"/>
                <w:szCs w:val="22"/>
                <w:highlight w:val="none"/>
              </w:rPr>
            </w:pPr>
          </w:p>
        </w:tc>
        <w:tc>
          <w:tcPr>
            <w:tcW w:w="1080" w:type="dxa"/>
            <w:noWrap w:val="0"/>
            <w:vAlign w:val="center"/>
          </w:tcPr>
          <w:p w14:paraId="22DC4CD8">
            <w:pPr>
              <w:spacing w:line="360" w:lineRule="auto"/>
              <w:rPr>
                <w:rFonts w:hint="eastAsia" w:ascii="宋体" w:hAnsi="宋体" w:cs="宋体"/>
                <w:color w:val="auto"/>
                <w:sz w:val="22"/>
                <w:szCs w:val="22"/>
                <w:highlight w:val="none"/>
              </w:rPr>
            </w:pPr>
          </w:p>
        </w:tc>
        <w:tc>
          <w:tcPr>
            <w:tcW w:w="1458" w:type="dxa"/>
            <w:noWrap w:val="0"/>
            <w:vAlign w:val="center"/>
          </w:tcPr>
          <w:p w14:paraId="5C0054BC">
            <w:pPr>
              <w:spacing w:line="360" w:lineRule="auto"/>
              <w:rPr>
                <w:rFonts w:hint="eastAsia" w:ascii="宋体" w:hAnsi="宋体" w:cs="宋体"/>
                <w:color w:val="auto"/>
                <w:sz w:val="22"/>
                <w:szCs w:val="22"/>
                <w:highlight w:val="none"/>
              </w:rPr>
            </w:pPr>
          </w:p>
        </w:tc>
        <w:tc>
          <w:tcPr>
            <w:tcW w:w="1422" w:type="dxa"/>
            <w:noWrap w:val="0"/>
            <w:vAlign w:val="center"/>
          </w:tcPr>
          <w:p w14:paraId="16043190">
            <w:pPr>
              <w:spacing w:line="360" w:lineRule="auto"/>
              <w:rPr>
                <w:rFonts w:hint="eastAsia" w:ascii="宋体" w:hAnsi="宋体" w:cs="宋体"/>
                <w:color w:val="auto"/>
                <w:sz w:val="22"/>
                <w:szCs w:val="22"/>
                <w:highlight w:val="none"/>
              </w:rPr>
            </w:pPr>
          </w:p>
        </w:tc>
      </w:tr>
      <w:tr w14:paraId="10A8A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214029B2">
            <w:pPr>
              <w:spacing w:line="360" w:lineRule="auto"/>
              <w:rPr>
                <w:rFonts w:hint="eastAsia" w:ascii="宋体" w:hAnsi="宋体" w:cs="宋体"/>
                <w:color w:val="auto"/>
                <w:sz w:val="22"/>
                <w:szCs w:val="22"/>
                <w:highlight w:val="none"/>
              </w:rPr>
            </w:pPr>
          </w:p>
        </w:tc>
        <w:tc>
          <w:tcPr>
            <w:tcW w:w="2351" w:type="dxa"/>
            <w:noWrap w:val="0"/>
            <w:vAlign w:val="center"/>
          </w:tcPr>
          <w:p w14:paraId="5999CFC8">
            <w:pPr>
              <w:spacing w:line="360" w:lineRule="auto"/>
              <w:rPr>
                <w:rFonts w:hint="eastAsia" w:ascii="宋体" w:hAnsi="宋体" w:cs="宋体"/>
                <w:color w:val="auto"/>
                <w:sz w:val="22"/>
                <w:szCs w:val="22"/>
                <w:highlight w:val="none"/>
              </w:rPr>
            </w:pPr>
          </w:p>
        </w:tc>
        <w:tc>
          <w:tcPr>
            <w:tcW w:w="720" w:type="dxa"/>
            <w:noWrap w:val="0"/>
            <w:vAlign w:val="center"/>
          </w:tcPr>
          <w:p w14:paraId="75CC50E8">
            <w:pPr>
              <w:spacing w:line="360" w:lineRule="auto"/>
              <w:rPr>
                <w:rFonts w:hint="eastAsia" w:ascii="宋体" w:hAnsi="宋体" w:cs="宋体"/>
                <w:color w:val="auto"/>
                <w:sz w:val="22"/>
                <w:szCs w:val="22"/>
                <w:highlight w:val="none"/>
              </w:rPr>
            </w:pPr>
          </w:p>
        </w:tc>
        <w:tc>
          <w:tcPr>
            <w:tcW w:w="720" w:type="dxa"/>
            <w:noWrap w:val="0"/>
            <w:vAlign w:val="center"/>
          </w:tcPr>
          <w:p w14:paraId="0632AE43">
            <w:pPr>
              <w:spacing w:line="360" w:lineRule="auto"/>
              <w:rPr>
                <w:rFonts w:hint="eastAsia" w:ascii="宋体" w:hAnsi="宋体" w:cs="宋体"/>
                <w:color w:val="auto"/>
                <w:sz w:val="22"/>
                <w:szCs w:val="22"/>
                <w:highlight w:val="none"/>
              </w:rPr>
            </w:pPr>
          </w:p>
        </w:tc>
        <w:tc>
          <w:tcPr>
            <w:tcW w:w="720" w:type="dxa"/>
            <w:noWrap w:val="0"/>
            <w:vAlign w:val="center"/>
          </w:tcPr>
          <w:p w14:paraId="13C88F2A">
            <w:pPr>
              <w:spacing w:line="360" w:lineRule="auto"/>
              <w:rPr>
                <w:rFonts w:hint="eastAsia" w:ascii="宋体" w:hAnsi="宋体" w:cs="宋体"/>
                <w:color w:val="auto"/>
                <w:sz w:val="22"/>
                <w:szCs w:val="22"/>
                <w:highlight w:val="none"/>
              </w:rPr>
            </w:pPr>
          </w:p>
        </w:tc>
        <w:tc>
          <w:tcPr>
            <w:tcW w:w="1080" w:type="dxa"/>
            <w:noWrap w:val="0"/>
            <w:vAlign w:val="center"/>
          </w:tcPr>
          <w:p w14:paraId="6D5E8F6E">
            <w:pPr>
              <w:spacing w:line="360" w:lineRule="auto"/>
              <w:rPr>
                <w:rFonts w:hint="eastAsia" w:ascii="宋体" w:hAnsi="宋体" w:cs="宋体"/>
                <w:color w:val="auto"/>
                <w:sz w:val="22"/>
                <w:szCs w:val="22"/>
                <w:highlight w:val="none"/>
              </w:rPr>
            </w:pPr>
          </w:p>
        </w:tc>
        <w:tc>
          <w:tcPr>
            <w:tcW w:w="1458" w:type="dxa"/>
            <w:noWrap w:val="0"/>
            <w:vAlign w:val="center"/>
          </w:tcPr>
          <w:p w14:paraId="05E4F2B4">
            <w:pPr>
              <w:spacing w:line="360" w:lineRule="auto"/>
              <w:rPr>
                <w:rFonts w:hint="eastAsia" w:ascii="宋体" w:hAnsi="宋体" w:cs="宋体"/>
                <w:color w:val="auto"/>
                <w:sz w:val="22"/>
                <w:szCs w:val="22"/>
                <w:highlight w:val="none"/>
              </w:rPr>
            </w:pPr>
          </w:p>
        </w:tc>
        <w:tc>
          <w:tcPr>
            <w:tcW w:w="1422" w:type="dxa"/>
            <w:noWrap w:val="0"/>
            <w:vAlign w:val="center"/>
          </w:tcPr>
          <w:p w14:paraId="2DBECC37">
            <w:pPr>
              <w:spacing w:line="360" w:lineRule="auto"/>
              <w:rPr>
                <w:rFonts w:hint="eastAsia" w:ascii="宋体" w:hAnsi="宋体" w:cs="宋体"/>
                <w:color w:val="auto"/>
                <w:sz w:val="22"/>
                <w:szCs w:val="22"/>
                <w:highlight w:val="none"/>
              </w:rPr>
            </w:pPr>
          </w:p>
        </w:tc>
      </w:tr>
      <w:tr w14:paraId="489FD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5B7ED664">
            <w:pPr>
              <w:spacing w:line="360" w:lineRule="auto"/>
              <w:rPr>
                <w:rFonts w:hint="eastAsia" w:ascii="宋体" w:hAnsi="宋体" w:cs="宋体"/>
                <w:color w:val="auto"/>
                <w:sz w:val="22"/>
                <w:szCs w:val="22"/>
                <w:highlight w:val="none"/>
              </w:rPr>
            </w:pPr>
          </w:p>
        </w:tc>
        <w:tc>
          <w:tcPr>
            <w:tcW w:w="2351" w:type="dxa"/>
            <w:noWrap w:val="0"/>
            <w:vAlign w:val="center"/>
          </w:tcPr>
          <w:p w14:paraId="7029FC8E">
            <w:pPr>
              <w:spacing w:line="360" w:lineRule="auto"/>
              <w:rPr>
                <w:rFonts w:hint="eastAsia" w:ascii="宋体" w:hAnsi="宋体" w:cs="宋体"/>
                <w:color w:val="auto"/>
                <w:sz w:val="22"/>
                <w:szCs w:val="22"/>
                <w:highlight w:val="none"/>
              </w:rPr>
            </w:pPr>
          </w:p>
        </w:tc>
        <w:tc>
          <w:tcPr>
            <w:tcW w:w="720" w:type="dxa"/>
            <w:noWrap w:val="0"/>
            <w:vAlign w:val="center"/>
          </w:tcPr>
          <w:p w14:paraId="69E52B92">
            <w:pPr>
              <w:spacing w:line="360" w:lineRule="auto"/>
              <w:rPr>
                <w:rFonts w:hint="eastAsia" w:ascii="宋体" w:hAnsi="宋体" w:cs="宋体"/>
                <w:color w:val="auto"/>
                <w:sz w:val="22"/>
                <w:szCs w:val="22"/>
                <w:highlight w:val="none"/>
              </w:rPr>
            </w:pPr>
          </w:p>
        </w:tc>
        <w:tc>
          <w:tcPr>
            <w:tcW w:w="720" w:type="dxa"/>
            <w:noWrap w:val="0"/>
            <w:vAlign w:val="center"/>
          </w:tcPr>
          <w:p w14:paraId="2129D592">
            <w:pPr>
              <w:spacing w:line="360" w:lineRule="auto"/>
              <w:rPr>
                <w:rFonts w:hint="eastAsia" w:ascii="宋体" w:hAnsi="宋体" w:cs="宋体"/>
                <w:color w:val="auto"/>
                <w:sz w:val="22"/>
                <w:szCs w:val="22"/>
                <w:highlight w:val="none"/>
              </w:rPr>
            </w:pPr>
          </w:p>
        </w:tc>
        <w:tc>
          <w:tcPr>
            <w:tcW w:w="720" w:type="dxa"/>
            <w:noWrap w:val="0"/>
            <w:vAlign w:val="center"/>
          </w:tcPr>
          <w:p w14:paraId="6C7735DF">
            <w:pPr>
              <w:spacing w:line="360" w:lineRule="auto"/>
              <w:rPr>
                <w:rFonts w:hint="eastAsia" w:ascii="宋体" w:hAnsi="宋体" w:cs="宋体"/>
                <w:color w:val="auto"/>
                <w:sz w:val="22"/>
                <w:szCs w:val="22"/>
                <w:highlight w:val="none"/>
              </w:rPr>
            </w:pPr>
          </w:p>
        </w:tc>
        <w:tc>
          <w:tcPr>
            <w:tcW w:w="1080" w:type="dxa"/>
            <w:noWrap w:val="0"/>
            <w:vAlign w:val="center"/>
          </w:tcPr>
          <w:p w14:paraId="4E946784">
            <w:pPr>
              <w:spacing w:line="360" w:lineRule="auto"/>
              <w:rPr>
                <w:rFonts w:hint="eastAsia" w:ascii="宋体" w:hAnsi="宋体" w:cs="宋体"/>
                <w:color w:val="auto"/>
                <w:sz w:val="22"/>
                <w:szCs w:val="22"/>
                <w:highlight w:val="none"/>
              </w:rPr>
            </w:pPr>
          </w:p>
        </w:tc>
        <w:tc>
          <w:tcPr>
            <w:tcW w:w="1458" w:type="dxa"/>
            <w:noWrap w:val="0"/>
            <w:vAlign w:val="center"/>
          </w:tcPr>
          <w:p w14:paraId="187F194D">
            <w:pPr>
              <w:spacing w:line="360" w:lineRule="auto"/>
              <w:rPr>
                <w:rFonts w:hint="eastAsia" w:ascii="宋体" w:hAnsi="宋体" w:cs="宋体"/>
                <w:color w:val="auto"/>
                <w:sz w:val="22"/>
                <w:szCs w:val="22"/>
                <w:highlight w:val="none"/>
              </w:rPr>
            </w:pPr>
          </w:p>
        </w:tc>
        <w:tc>
          <w:tcPr>
            <w:tcW w:w="1422" w:type="dxa"/>
            <w:noWrap w:val="0"/>
            <w:vAlign w:val="center"/>
          </w:tcPr>
          <w:p w14:paraId="1175DACB">
            <w:pPr>
              <w:spacing w:line="360" w:lineRule="auto"/>
              <w:rPr>
                <w:rFonts w:hint="eastAsia" w:ascii="宋体" w:hAnsi="宋体" w:cs="宋体"/>
                <w:color w:val="auto"/>
                <w:sz w:val="22"/>
                <w:szCs w:val="22"/>
                <w:highlight w:val="none"/>
              </w:rPr>
            </w:pPr>
          </w:p>
        </w:tc>
      </w:tr>
      <w:tr w14:paraId="771DF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4EF15B70">
            <w:pPr>
              <w:spacing w:line="360" w:lineRule="auto"/>
              <w:rPr>
                <w:rFonts w:hint="eastAsia" w:ascii="宋体" w:hAnsi="宋体" w:cs="宋体"/>
                <w:color w:val="auto"/>
                <w:sz w:val="22"/>
                <w:szCs w:val="22"/>
                <w:highlight w:val="none"/>
              </w:rPr>
            </w:pPr>
          </w:p>
        </w:tc>
        <w:tc>
          <w:tcPr>
            <w:tcW w:w="2351" w:type="dxa"/>
            <w:noWrap w:val="0"/>
            <w:vAlign w:val="center"/>
          </w:tcPr>
          <w:p w14:paraId="4B725B2B">
            <w:pPr>
              <w:spacing w:line="360" w:lineRule="auto"/>
              <w:rPr>
                <w:rFonts w:hint="eastAsia" w:ascii="宋体" w:hAnsi="宋体" w:cs="宋体"/>
                <w:color w:val="auto"/>
                <w:sz w:val="22"/>
                <w:szCs w:val="22"/>
                <w:highlight w:val="none"/>
              </w:rPr>
            </w:pPr>
          </w:p>
        </w:tc>
        <w:tc>
          <w:tcPr>
            <w:tcW w:w="720" w:type="dxa"/>
            <w:noWrap w:val="0"/>
            <w:vAlign w:val="center"/>
          </w:tcPr>
          <w:p w14:paraId="002489A7">
            <w:pPr>
              <w:spacing w:line="360" w:lineRule="auto"/>
              <w:rPr>
                <w:rFonts w:hint="eastAsia" w:ascii="宋体" w:hAnsi="宋体" w:cs="宋体"/>
                <w:color w:val="auto"/>
                <w:sz w:val="22"/>
                <w:szCs w:val="22"/>
                <w:highlight w:val="none"/>
              </w:rPr>
            </w:pPr>
          </w:p>
        </w:tc>
        <w:tc>
          <w:tcPr>
            <w:tcW w:w="720" w:type="dxa"/>
            <w:noWrap w:val="0"/>
            <w:vAlign w:val="center"/>
          </w:tcPr>
          <w:p w14:paraId="41E7CD58">
            <w:pPr>
              <w:spacing w:line="360" w:lineRule="auto"/>
              <w:rPr>
                <w:rFonts w:hint="eastAsia" w:ascii="宋体" w:hAnsi="宋体" w:cs="宋体"/>
                <w:color w:val="auto"/>
                <w:sz w:val="22"/>
                <w:szCs w:val="22"/>
                <w:highlight w:val="none"/>
              </w:rPr>
            </w:pPr>
          </w:p>
        </w:tc>
        <w:tc>
          <w:tcPr>
            <w:tcW w:w="720" w:type="dxa"/>
            <w:noWrap w:val="0"/>
            <w:vAlign w:val="center"/>
          </w:tcPr>
          <w:p w14:paraId="5FFD31D9">
            <w:pPr>
              <w:spacing w:line="360" w:lineRule="auto"/>
              <w:rPr>
                <w:rFonts w:hint="eastAsia" w:ascii="宋体" w:hAnsi="宋体" w:cs="宋体"/>
                <w:color w:val="auto"/>
                <w:sz w:val="22"/>
                <w:szCs w:val="22"/>
                <w:highlight w:val="none"/>
              </w:rPr>
            </w:pPr>
          </w:p>
        </w:tc>
        <w:tc>
          <w:tcPr>
            <w:tcW w:w="1080" w:type="dxa"/>
            <w:noWrap w:val="0"/>
            <w:vAlign w:val="center"/>
          </w:tcPr>
          <w:p w14:paraId="46A46A34">
            <w:pPr>
              <w:spacing w:line="360" w:lineRule="auto"/>
              <w:rPr>
                <w:rFonts w:hint="eastAsia" w:ascii="宋体" w:hAnsi="宋体" w:cs="宋体"/>
                <w:color w:val="auto"/>
                <w:sz w:val="22"/>
                <w:szCs w:val="22"/>
                <w:highlight w:val="none"/>
              </w:rPr>
            </w:pPr>
          </w:p>
        </w:tc>
        <w:tc>
          <w:tcPr>
            <w:tcW w:w="1458" w:type="dxa"/>
            <w:noWrap w:val="0"/>
            <w:vAlign w:val="center"/>
          </w:tcPr>
          <w:p w14:paraId="323A463F">
            <w:pPr>
              <w:spacing w:line="360" w:lineRule="auto"/>
              <w:rPr>
                <w:rFonts w:hint="eastAsia" w:ascii="宋体" w:hAnsi="宋体" w:cs="宋体"/>
                <w:color w:val="auto"/>
                <w:sz w:val="22"/>
                <w:szCs w:val="22"/>
                <w:highlight w:val="none"/>
              </w:rPr>
            </w:pPr>
          </w:p>
        </w:tc>
        <w:tc>
          <w:tcPr>
            <w:tcW w:w="1422" w:type="dxa"/>
            <w:noWrap w:val="0"/>
            <w:vAlign w:val="center"/>
          </w:tcPr>
          <w:p w14:paraId="0CFC6DCF">
            <w:pPr>
              <w:spacing w:line="360" w:lineRule="auto"/>
              <w:rPr>
                <w:rFonts w:hint="eastAsia" w:ascii="宋体" w:hAnsi="宋体" w:cs="宋体"/>
                <w:color w:val="auto"/>
                <w:sz w:val="22"/>
                <w:szCs w:val="22"/>
                <w:highlight w:val="none"/>
              </w:rPr>
            </w:pPr>
          </w:p>
        </w:tc>
      </w:tr>
      <w:tr w14:paraId="0004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383CAC6B">
            <w:pPr>
              <w:spacing w:line="360" w:lineRule="auto"/>
              <w:rPr>
                <w:rFonts w:hint="eastAsia" w:ascii="宋体" w:hAnsi="宋体" w:cs="宋体"/>
                <w:color w:val="auto"/>
                <w:sz w:val="22"/>
                <w:szCs w:val="22"/>
                <w:highlight w:val="none"/>
              </w:rPr>
            </w:pPr>
          </w:p>
        </w:tc>
        <w:tc>
          <w:tcPr>
            <w:tcW w:w="2351" w:type="dxa"/>
            <w:noWrap w:val="0"/>
            <w:vAlign w:val="center"/>
          </w:tcPr>
          <w:p w14:paraId="7BD94062">
            <w:pPr>
              <w:spacing w:line="360" w:lineRule="auto"/>
              <w:rPr>
                <w:rFonts w:hint="eastAsia" w:ascii="宋体" w:hAnsi="宋体" w:cs="宋体"/>
                <w:color w:val="auto"/>
                <w:sz w:val="22"/>
                <w:szCs w:val="22"/>
                <w:highlight w:val="none"/>
              </w:rPr>
            </w:pPr>
          </w:p>
        </w:tc>
        <w:tc>
          <w:tcPr>
            <w:tcW w:w="720" w:type="dxa"/>
            <w:noWrap w:val="0"/>
            <w:vAlign w:val="center"/>
          </w:tcPr>
          <w:p w14:paraId="62EAA5FC">
            <w:pPr>
              <w:spacing w:line="360" w:lineRule="auto"/>
              <w:rPr>
                <w:rFonts w:hint="eastAsia" w:ascii="宋体" w:hAnsi="宋体" w:cs="宋体"/>
                <w:color w:val="auto"/>
                <w:sz w:val="22"/>
                <w:szCs w:val="22"/>
                <w:highlight w:val="none"/>
              </w:rPr>
            </w:pPr>
          </w:p>
        </w:tc>
        <w:tc>
          <w:tcPr>
            <w:tcW w:w="720" w:type="dxa"/>
            <w:noWrap w:val="0"/>
            <w:vAlign w:val="center"/>
          </w:tcPr>
          <w:p w14:paraId="67D39FF0">
            <w:pPr>
              <w:spacing w:line="360" w:lineRule="auto"/>
              <w:rPr>
                <w:rFonts w:hint="eastAsia" w:ascii="宋体" w:hAnsi="宋体" w:cs="宋体"/>
                <w:color w:val="auto"/>
                <w:sz w:val="22"/>
                <w:szCs w:val="22"/>
                <w:highlight w:val="none"/>
              </w:rPr>
            </w:pPr>
          </w:p>
        </w:tc>
        <w:tc>
          <w:tcPr>
            <w:tcW w:w="720" w:type="dxa"/>
            <w:noWrap w:val="0"/>
            <w:vAlign w:val="center"/>
          </w:tcPr>
          <w:p w14:paraId="520C7B01">
            <w:pPr>
              <w:spacing w:line="360" w:lineRule="auto"/>
              <w:rPr>
                <w:rFonts w:hint="eastAsia" w:ascii="宋体" w:hAnsi="宋体" w:cs="宋体"/>
                <w:color w:val="auto"/>
                <w:sz w:val="22"/>
                <w:szCs w:val="22"/>
                <w:highlight w:val="none"/>
              </w:rPr>
            </w:pPr>
          </w:p>
        </w:tc>
        <w:tc>
          <w:tcPr>
            <w:tcW w:w="1080" w:type="dxa"/>
            <w:noWrap w:val="0"/>
            <w:vAlign w:val="center"/>
          </w:tcPr>
          <w:p w14:paraId="5924075B">
            <w:pPr>
              <w:spacing w:line="360" w:lineRule="auto"/>
              <w:rPr>
                <w:rFonts w:hint="eastAsia" w:ascii="宋体" w:hAnsi="宋体" w:cs="宋体"/>
                <w:color w:val="auto"/>
                <w:sz w:val="22"/>
                <w:szCs w:val="22"/>
                <w:highlight w:val="none"/>
              </w:rPr>
            </w:pPr>
          </w:p>
        </w:tc>
        <w:tc>
          <w:tcPr>
            <w:tcW w:w="1458" w:type="dxa"/>
            <w:noWrap w:val="0"/>
            <w:vAlign w:val="center"/>
          </w:tcPr>
          <w:p w14:paraId="02DED7FD">
            <w:pPr>
              <w:spacing w:line="360" w:lineRule="auto"/>
              <w:rPr>
                <w:rFonts w:hint="eastAsia" w:ascii="宋体" w:hAnsi="宋体" w:cs="宋体"/>
                <w:color w:val="auto"/>
                <w:sz w:val="22"/>
                <w:szCs w:val="22"/>
                <w:highlight w:val="none"/>
              </w:rPr>
            </w:pPr>
          </w:p>
        </w:tc>
        <w:tc>
          <w:tcPr>
            <w:tcW w:w="1422" w:type="dxa"/>
            <w:noWrap w:val="0"/>
            <w:vAlign w:val="center"/>
          </w:tcPr>
          <w:p w14:paraId="48F29F0A">
            <w:pPr>
              <w:spacing w:line="360" w:lineRule="auto"/>
              <w:rPr>
                <w:rFonts w:hint="eastAsia" w:ascii="宋体" w:hAnsi="宋体" w:cs="宋体"/>
                <w:color w:val="auto"/>
                <w:sz w:val="22"/>
                <w:szCs w:val="22"/>
                <w:highlight w:val="none"/>
              </w:rPr>
            </w:pPr>
          </w:p>
        </w:tc>
      </w:tr>
      <w:tr w14:paraId="4B648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5DC66C8A">
            <w:pPr>
              <w:spacing w:line="360" w:lineRule="auto"/>
              <w:rPr>
                <w:rFonts w:hint="eastAsia" w:ascii="宋体" w:hAnsi="宋体" w:cs="宋体"/>
                <w:color w:val="auto"/>
                <w:sz w:val="22"/>
                <w:szCs w:val="22"/>
                <w:highlight w:val="none"/>
              </w:rPr>
            </w:pPr>
          </w:p>
        </w:tc>
        <w:tc>
          <w:tcPr>
            <w:tcW w:w="2351" w:type="dxa"/>
            <w:noWrap w:val="0"/>
            <w:vAlign w:val="center"/>
          </w:tcPr>
          <w:p w14:paraId="390CEB10">
            <w:pPr>
              <w:spacing w:line="360" w:lineRule="auto"/>
              <w:rPr>
                <w:rFonts w:hint="eastAsia" w:ascii="宋体" w:hAnsi="宋体" w:cs="宋体"/>
                <w:color w:val="auto"/>
                <w:sz w:val="22"/>
                <w:szCs w:val="22"/>
                <w:highlight w:val="none"/>
              </w:rPr>
            </w:pPr>
          </w:p>
        </w:tc>
        <w:tc>
          <w:tcPr>
            <w:tcW w:w="720" w:type="dxa"/>
            <w:noWrap w:val="0"/>
            <w:vAlign w:val="center"/>
          </w:tcPr>
          <w:p w14:paraId="3FAFA97B">
            <w:pPr>
              <w:spacing w:line="360" w:lineRule="auto"/>
              <w:rPr>
                <w:rFonts w:hint="eastAsia" w:ascii="宋体" w:hAnsi="宋体" w:cs="宋体"/>
                <w:color w:val="auto"/>
                <w:sz w:val="22"/>
                <w:szCs w:val="22"/>
                <w:highlight w:val="none"/>
              </w:rPr>
            </w:pPr>
          </w:p>
        </w:tc>
        <w:tc>
          <w:tcPr>
            <w:tcW w:w="720" w:type="dxa"/>
            <w:noWrap w:val="0"/>
            <w:vAlign w:val="center"/>
          </w:tcPr>
          <w:p w14:paraId="38FB8A20">
            <w:pPr>
              <w:spacing w:line="360" w:lineRule="auto"/>
              <w:rPr>
                <w:rFonts w:hint="eastAsia" w:ascii="宋体" w:hAnsi="宋体" w:cs="宋体"/>
                <w:color w:val="auto"/>
                <w:sz w:val="22"/>
                <w:szCs w:val="22"/>
                <w:highlight w:val="none"/>
              </w:rPr>
            </w:pPr>
          </w:p>
        </w:tc>
        <w:tc>
          <w:tcPr>
            <w:tcW w:w="720" w:type="dxa"/>
            <w:noWrap w:val="0"/>
            <w:vAlign w:val="center"/>
          </w:tcPr>
          <w:p w14:paraId="5C825DD2">
            <w:pPr>
              <w:spacing w:line="360" w:lineRule="auto"/>
              <w:rPr>
                <w:rFonts w:hint="eastAsia" w:ascii="宋体" w:hAnsi="宋体" w:cs="宋体"/>
                <w:color w:val="auto"/>
                <w:sz w:val="22"/>
                <w:szCs w:val="22"/>
                <w:highlight w:val="none"/>
              </w:rPr>
            </w:pPr>
          </w:p>
        </w:tc>
        <w:tc>
          <w:tcPr>
            <w:tcW w:w="1080" w:type="dxa"/>
            <w:noWrap w:val="0"/>
            <w:vAlign w:val="center"/>
          </w:tcPr>
          <w:p w14:paraId="43028FD7">
            <w:pPr>
              <w:spacing w:line="360" w:lineRule="auto"/>
              <w:rPr>
                <w:rFonts w:hint="eastAsia" w:ascii="宋体" w:hAnsi="宋体" w:cs="宋体"/>
                <w:color w:val="auto"/>
                <w:sz w:val="22"/>
                <w:szCs w:val="22"/>
                <w:highlight w:val="none"/>
              </w:rPr>
            </w:pPr>
          </w:p>
        </w:tc>
        <w:tc>
          <w:tcPr>
            <w:tcW w:w="1458" w:type="dxa"/>
            <w:noWrap w:val="0"/>
            <w:vAlign w:val="center"/>
          </w:tcPr>
          <w:p w14:paraId="422E4DC8">
            <w:pPr>
              <w:spacing w:line="360" w:lineRule="auto"/>
              <w:rPr>
                <w:rFonts w:hint="eastAsia" w:ascii="宋体" w:hAnsi="宋体" w:cs="宋体"/>
                <w:color w:val="auto"/>
                <w:sz w:val="22"/>
                <w:szCs w:val="22"/>
                <w:highlight w:val="none"/>
              </w:rPr>
            </w:pPr>
          </w:p>
        </w:tc>
        <w:tc>
          <w:tcPr>
            <w:tcW w:w="1422" w:type="dxa"/>
            <w:noWrap w:val="0"/>
            <w:vAlign w:val="center"/>
          </w:tcPr>
          <w:p w14:paraId="422A0CE5">
            <w:pPr>
              <w:spacing w:line="360" w:lineRule="auto"/>
              <w:rPr>
                <w:rFonts w:hint="eastAsia" w:ascii="宋体" w:hAnsi="宋体" w:cs="宋体"/>
                <w:color w:val="auto"/>
                <w:sz w:val="22"/>
                <w:szCs w:val="22"/>
                <w:highlight w:val="none"/>
              </w:rPr>
            </w:pPr>
          </w:p>
        </w:tc>
      </w:tr>
      <w:tr w14:paraId="2DBB1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6346291A">
            <w:pPr>
              <w:spacing w:line="360" w:lineRule="auto"/>
              <w:rPr>
                <w:rFonts w:hint="eastAsia" w:ascii="宋体" w:hAnsi="宋体" w:cs="宋体"/>
                <w:color w:val="auto"/>
                <w:sz w:val="22"/>
                <w:szCs w:val="22"/>
                <w:highlight w:val="none"/>
              </w:rPr>
            </w:pPr>
          </w:p>
        </w:tc>
        <w:tc>
          <w:tcPr>
            <w:tcW w:w="2351" w:type="dxa"/>
            <w:noWrap w:val="0"/>
            <w:vAlign w:val="center"/>
          </w:tcPr>
          <w:p w14:paraId="346B3153">
            <w:pPr>
              <w:spacing w:line="360" w:lineRule="auto"/>
              <w:rPr>
                <w:rFonts w:hint="eastAsia" w:ascii="宋体" w:hAnsi="宋体" w:cs="宋体"/>
                <w:color w:val="auto"/>
                <w:sz w:val="22"/>
                <w:szCs w:val="22"/>
                <w:highlight w:val="none"/>
              </w:rPr>
            </w:pPr>
          </w:p>
        </w:tc>
        <w:tc>
          <w:tcPr>
            <w:tcW w:w="720" w:type="dxa"/>
            <w:noWrap w:val="0"/>
            <w:vAlign w:val="center"/>
          </w:tcPr>
          <w:p w14:paraId="2EFB10DC">
            <w:pPr>
              <w:spacing w:line="360" w:lineRule="auto"/>
              <w:rPr>
                <w:rFonts w:hint="eastAsia" w:ascii="宋体" w:hAnsi="宋体" w:cs="宋体"/>
                <w:color w:val="auto"/>
                <w:sz w:val="22"/>
                <w:szCs w:val="22"/>
                <w:highlight w:val="none"/>
              </w:rPr>
            </w:pPr>
          </w:p>
        </w:tc>
        <w:tc>
          <w:tcPr>
            <w:tcW w:w="720" w:type="dxa"/>
            <w:noWrap w:val="0"/>
            <w:vAlign w:val="center"/>
          </w:tcPr>
          <w:p w14:paraId="05E04C33">
            <w:pPr>
              <w:spacing w:line="360" w:lineRule="auto"/>
              <w:rPr>
                <w:rFonts w:hint="eastAsia" w:ascii="宋体" w:hAnsi="宋体" w:cs="宋体"/>
                <w:color w:val="auto"/>
                <w:sz w:val="22"/>
                <w:szCs w:val="22"/>
                <w:highlight w:val="none"/>
              </w:rPr>
            </w:pPr>
          </w:p>
        </w:tc>
        <w:tc>
          <w:tcPr>
            <w:tcW w:w="720" w:type="dxa"/>
            <w:noWrap w:val="0"/>
            <w:vAlign w:val="center"/>
          </w:tcPr>
          <w:p w14:paraId="261E4617">
            <w:pPr>
              <w:spacing w:line="360" w:lineRule="auto"/>
              <w:rPr>
                <w:rFonts w:hint="eastAsia" w:ascii="宋体" w:hAnsi="宋体" w:cs="宋体"/>
                <w:color w:val="auto"/>
                <w:sz w:val="22"/>
                <w:szCs w:val="22"/>
                <w:highlight w:val="none"/>
              </w:rPr>
            </w:pPr>
          </w:p>
        </w:tc>
        <w:tc>
          <w:tcPr>
            <w:tcW w:w="1080" w:type="dxa"/>
            <w:noWrap w:val="0"/>
            <w:vAlign w:val="center"/>
          </w:tcPr>
          <w:p w14:paraId="5ADED74E">
            <w:pPr>
              <w:spacing w:line="360" w:lineRule="auto"/>
              <w:rPr>
                <w:rFonts w:hint="eastAsia" w:ascii="宋体" w:hAnsi="宋体" w:cs="宋体"/>
                <w:color w:val="auto"/>
                <w:sz w:val="22"/>
                <w:szCs w:val="22"/>
                <w:highlight w:val="none"/>
              </w:rPr>
            </w:pPr>
          </w:p>
        </w:tc>
        <w:tc>
          <w:tcPr>
            <w:tcW w:w="1458" w:type="dxa"/>
            <w:noWrap w:val="0"/>
            <w:vAlign w:val="center"/>
          </w:tcPr>
          <w:p w14:paraId="203C550D">
            <w:pPr>
              <w:spacing w:line="360" w:lineRule="auto"/>
              <w:rPr>
                <w:rFonts w:hint="eastAsia" w:ascii="宋体" w:hAnsi="宋体" w:cs="宋体"/>
                <w:color w:val="auto"/>
                <w:sz w:val="22"/>
                <w:szCs w:val="22"/>
                <w:highlight w:val="none"/>
              </w:rPr>
            </w:pPr>
          </w:p>
        </w:tc>
        <w:tc>
          <w:tcPr>
            <w:tcW w:w="1422" w:type="dxa"/>
            <w:noWrap w:val="0"/>
            <w:vAlign w:val="center"/>
          </w:tcPr>
          <w:p w14:paraId="436EC2CE">
            <w:pPr>
              <w:spacing w:line="360" w:lineRule="auto"/>
              <w:rPr>
                <w:rFonts w:hint="eastAsia" w:ascii="宋体" w:hAnsi="宋体" w:cs="宋体"/>
                <w:color w:val="auto"/>
                <w:sz w:val="22"/>
                <w:szCs w:val="22"/>
                <w:highlight w:val="none"/>
              </w:rPr>
            </w:pPr>
          </w:p>
        </w:tc>
      </w:tr>
      <w:tr w14:paraId="6B93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54EA4823">
            <w:pPr>
              <w:spacing w:line="360" w:lineRule="auto"/>
              <w:rPr>
                <w:rFonts w:hint="eastAsia" w:ascii="宋体" w:hAnsi="宋体" w:cs="宋体"/>
                <w:color w:val="auto"/>
                <w:sz w:val="22"/>
                <w:szCs w:val="22"/>
                <w:highlight w:val="none"/>
              </w:rPr>
            </w:pPr>
          </w:p>
        </w:tc>
        <w:tc>
          <w:tcPr>
            <w:tcW w:w="2351" w:type="dxa"/>
            <w:noWrap w:val="0"/>
            <w:vAlign w:val="center"/>
          </w:tcPr>
          <w:p w14:paraId="043E3C3A">
            <w:pPr>
              <w:spacing w:line="360" w:lineRule="auto"/>
              <w:rPr>
                <w:rFonts w:hint="eastAsia" w:ascii="宋体" w:hAnsi="宋体" w:cs="宋体"/>
                <w:color w:val="auto"/>
                <w:sz w:val="22"/>
                <w:szCs w:val="22"/>
                <w:highlight w:val="none"/>
              </w:rPr>
            </w:pPr>
          </w:p>
        </w:tc>
        <w:tc>
          <w:tcPr>
            <w:tcW w:w="720" w:type="dxa"/>
            <w:noWrap w:val="0"/>
            <w:vAlign w:val="center"/>
          </w:tcPr>
          <w:p w14:paraId="4F065720">
            <w:pPr>
              <w:spacing w:line="360" w:lineRule="auto"/>
              <w:rPr>
                <w:rFonts w:hint="eastAsia" w:ascii="宋体" w:hAnsi="宋体" w:cs="宋体"/>
                <w:color w:val="auto"/>
                <w:sz w:val="22"/>
                <w:szCs w:val="22"/>
                <w:highlight w:val="none"/>
              </w:rPr>
            </w:pPr>
          </w:p>
        </w:tc>
        <w:tc>
          <w:tcPr>
            <w:tcW w:w="720" w:type="dxa"/>
            <w:noWrap w:val="0"/>
            <w:vAlign w:val="center"/>
          </w:tcPr>
          <w:p w14:paraId="490F1B60">
            <w:pPr>
              <w:spacing w:line="360" w:lineRule="auto"/>
              <w:rPr>
                <w:rFonts w:hint="eastAsia" w:ascii="宋体" w:hAnsi="宋体" w:cs="宋体"/>
                <w:color w:val="auto"/>
                <w:sz w:val="22"/>
                <w:szCs w:val="22"/>
                <w:highlight w:val="none"/>
              </w:rPr>
            </w:pPr>
          </w:p>
        </w:tc>
        <w:tc>
          <w:tcPr>
            <w:tcW w:w="720" w:type="dxa"/>
            <w:noWrap w:val="0"/>
            <w:vAlign w:val="center"/>
          </w:tcPr>
          <w:p w14:paraId="61C4462C">
            <w:pPr>
              <w:spacing w:line="360" w:lineRule="auto"/>
              <w:rPr>
                <w:rFonts w:hint="eastAsia" w:ascii="宋体" w:hAnsi="宋体" w:cs="宋体"/>
                <w:color w:val="auto"/>
                <w:sz w:val="22"/>
                <w:szCs w:val="22"/>
                <w:highlight w:val="none"/>
              </w:rPr>
            </w:pPr>
          </w:p>
        </w:tc>
        <w:tc>
          <w:tcPr>
            <w:tcW w:w="1080" w:type="dxa"/>
            <w:noWrap w:val="0"/>
            <w:vAlign w:val="center"/>
          </w:tcPr>
          <w:p w14:paraId="6085330F">
            <w:pPr>
              <w:spacing w:line="360" w:lineRule="auto"/>
              <w:rPr>
                <w:rFonts w:hint="eastAsia" w:ascii="宋体" w:hAnsi="宋体" w:cs="宋体"/>
                <w:color w:val="auto"/>
                <w:sz w:val="22"/>
                <w:szCs w:val="22"/>
                <w:highlight w:val="none"/>
              </w:rPr>
            </w:pPr>
          </w:p>
        </w:tc>
        <w:tc>
          <w:tcPr>
            <w:tcW w:w="1458" w:type="dxa"/>
            <w:noWrap w:val="0"/>
            <w:vAlign w:val="center"/>
          </w:tcPr>
          <w:p w14:paraId="66C003A4">
            <w:pPr>
              <w:spacing w:line="360" w:lineRule="auto"/>
              <w:rPr>
                <w:rFonts w:hint="eastAsia" w:ascii="宋体" w:hAnsi="宋体" w:cs="宋体"/>
                <w:color w:val="auto"/>
                <w:sz w:val="22"/>
                <w:szCs w:val="22"/>
                <w:highlight w:val="none"/>
              </w:rPr>
            </w:pPr>
          </w:p>
        </w:tc>
        <w:tc>
          <w:tcPr>
            <w:tcW w:w="1422" w:type="dxa"/>
            <w:noWrap w:val="0"/>
            <w:vAlign w:val="center"/>
          </w:tcPr>
          <w:p w14:paraId="71806FC8">
            <w:pPr>
              <w:spacing w:line="360" w:lineRule="auto"/>
              <w:rPr>
                <w:rFonts w:hint="eastAsia" w:ascii="宋体" w:hAnsi="宋体" w:cs="宋体"/>
                <w:color w:val="auto"/>
                <w:sz w:val="22"/>
                <w:szCs w:val="22"/>
                <w:highlight w:val="none"/>
              </w:rPr>
            </w:pPr>
          </w:p>
        </w:tc>
      </w:tr>
      <w:tr w14:paraId="2593A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50B09670">
            <w:pPr>
              <w:spacing w:line="360" w:lineRule="auto"/>
              <w:rPr>
                <w:rFonts w:hint="eastAsia" w:ascii="宋体" w:hAnsi="宋体" w:cs="宋体"/>
                <w:color w:val="auto"/>
                <w:sz w:val="22"/>
                <w:szCs w:val="22"/>
                <w:highlight w:val="none"/>
              </w:rPr>
            </w:pPr>
          </w:p>
        </w:tc>
        <w:tc>
          <w:tcPr>
            <w:tcW w:w="2351" w:type="dxa"/>
            <w:noWrap w:val="0"/>
            <w:vAlign w:val="center"/>
          </w:tcPr>
          <w:p w14:paraId="65C978A7">
            <w:pPr>
              <w:spacing w:line="360" w:lineRule="auto"/>
              <w:rPr>
                <w:rFonts w:hint="eastAsia" w:ascii="宋体" w:hAnsi="宋体" w:cs="宋体"/>
                <w:color w:val="auto"/>
                <w:sz w:val="22"/>
                <w:szCs w:val="22"/>
                <w:highlight w:val="none"/>
              </w:rPr>
            </w:pPr>
          </w:p>
        </w:tc>
        <w:tc>
          <w:tcPr>
            <w:tcW w:w="720" w:type="dxa"/>
            <w:noWrap w:val="0"/>
            <w:vAlign w:val="center"/>
          </w:tcPr>
          <w:p w14:paraId="33FD5B3A">
            <w:pPr>
              <w:spacing w:line="360" w:lineRule="auto"/>
              <w:rPr>
                <w:rFonts w:hint="eastAsia" w:ascii="宋体" w:hAnsi="宋体" w:cs="宋体"/>
                <w:color w:val="auto"/>
                <w:sz w:val="22"/>
                <w:szCs w:val="22"/>
                <w:highlight w:val="none"/>
              </w:rPr>
            </w:pPr>
          </w:p>
        </w:tc>
        <w:tc>
          <w:tcPr>
            <w:tcW w:w="720" w:type="dxa"/>
            <w:noWrap w:val="0"/>
            <w:vAlign w:val="center"/>
          </w:tcPr>
          <w:p w14:paraId="5131F6B5">
            <w:pPr>
              <w:spacing w:line="360" w:lineRule="auto"/>
              <w:rPr>
                <w:rFonts w:hint="eastAsia" w:ascii="宋体" w:hAnsi="宋体" w:cs="宋体"/>
                <w:color w:val="auto"/>
                <w:sz w:val="22"/>
                <w:szCs w:val="22"/>
                <w:highlight w:val="none"/>
              </w:rPr>
            </w:pPr>
          </w:p>
        </w:tc>
        <w:tc>
          <w:tcPr>
            <w:tcW w:w="720" w:type="dxa"/>
            <w:noWrap w:val="0"/>
            <w:vAlign w:val="center"/>
          </w:tcPr>
          <w:p w14:paraId="00F4D57E">
            <w:pPr>
              <w:spacing w:line="360" w:lineRule="auto"/>
              <w:rPr>
                <w:rFonts w:hint="eastAsia" w:ascii="宋体" w:hAnsi="宋体" w:cs="宋体"/>
                <w:color w:val="auto"/>
                <w:sz w:val="22"/>
                <w:szCs w:val="22"/>
                <w:highlight w:val="none"/>
              </w:rPr>
            </w:pPr>
          </w:p>
        </w:tc>
        <w:tc>
          <w:tcPr>
            <w:tcW w:w="1080" w:type="dxa"/>
            <w:noWrap w:val="0"/>
            <w:vAlign w:val="center"/>
          </w:tcPr>
          <w:p w14:paraId="525473F1">
            <w:pPr>
              <w:spacing w:line="360" w:lineRule="auto"/>
              <w:rPr>
                <w:rFonts w:hint="eastAsia" w:ascii="宋体" w:hAnsi="宋体" w:cs="宋体"/>
                <w:color w:val="auto"/>
                <w:sz w:val="22"/>
                <w:szCs w:val="22"/>
                <w:highlight w:val="none"/>
              </w:rPr>
            </w:pPr>
          </w:p>
        </w:tc>
        <w:tc>
          <w:tcPr>
            <w:tcW w:w="1458" w:type="dxa"/>
            <w:noWrap w:val="0"/>
            <w:vAlign w:val="center"/>
          </w:tcPr>
          <w:p w14:paraId="6525B409">
            <w:pPr>
              <w:spacing w:line="360" w:lineRule="auto"/>
              <w:rPr>
                <w:rFonts w:hint="eastAsia" w:ascii="宋体" w:hAnsi="宋体" w:cs="宋体"/>
                <w:color w:val="auto"/>
                <w:sz w:val="22"/>
                <w:szCs w:val="22"/>
                <w:highlight w:val="none"/>
              </w:rPr>
            </w:pPr>
          </w:p>
        </w:tc>
        <w:tc>
          <w:tcPr>
            <w:tcW w:w="1422" w:type="dxa"/>
            <w:noWrap w:val="0"/>
            <w:vAlign w:val="center"/>
          </w:tcPr>
          <w:p w14:paraId="46A38F02">
            <w:pPr>
              <w:spacing w:line="360" w:lineRule="auto"/>
              <w:rPr>
                <w:rFonts w:hint="eastAsia" w:ascii="宋体" w:hAnsi="宋体" w:cs="宋体"/>
                <w:color w:val="auto"/>
                <w:sz w:val="22"/>
                <w:szCs w:val="22"/>
                <w:highlight w:val="none"/>
              </w:rPr>
            </w:pPr>
          </w:p>
        </w:tc>
      </w:tr>
      <w:tr w14:paraId="2F453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386ADE99">
            <w:pPr>
              <w:spacing w:line="360" w:lineRule="auto"/>
              <w:rPr>
                <w:rFonts w:hint="eastAsia" w:ascii="宋体" w:hAnsi="宋体" w:cs="宋体"/>
                <w:color w:val="auto"/>
                <w:sz w:val="22"/>
                <w:szCs w:val="22"/>
                <w:highlight w:val="none"/>
              </w:rPr>
            </w:pPr>
          </w:p>
        </w:tc>
        <w:tc>
          <w:tcPr>
            <w:tcW w:w="2351" w:type="dxa"/>
            <w:noWrap w:val="0"/>
            <w:vAlign w:val="center"/>
          </w:tcPr>
          <w:p w14:paraId="4E23C792">
            <w:pPr>
              <w:spacing w:line="360" w:lineRule="auto"/>
              <w:rPr>
                <w:rFonts w:hint="eastAsia" w:ascii="宋体" w:hAnsi="宋体" w:cs="宋体"/>
                <w:color w:val="auto"/>
                <w:sz w:val="22"/>
                <w:szCs w:val="22"/>
                <w:highlight w:val="none"/>
              </w:rPr>
            </w:pPr>
          </w:p>
        </w:tc>
        <w:tc>
          <w:tcPr>
            <w:tcW w:w="720" w:type="dxa"/>
            <w:noWrap w:val="0"/>
            <w:vAlign w:val="center"/>
          </w:tcPr>
          <w:p w14:paraId="6CAA0548">
            <w:pPr>
              <w:spacing w:line="360" w:lineRule="auto"/>
              <w:rPr>
                <w:rFonts w:hint="eastAsia" w:ascii="宋体" w:hAnsi="宋体" w:cs="宋体"/>
                <w:color w:val="auto"/>
                <w:sz w:val="22"/>
                <w:szCs w:val="22"/>
                <w:highlight w:val="none"/>
              </w:rPr>
            </w:pPr>
          </w:p>
        </w:tc>
        <w:tc>
          <w:tcPr>
            <w:tcW w:w="720" w:type="dxa"/>
            <w:noWrap w:val="0"/>
            <w:vAlign w:val="center"/>
          </w:tcPr>
          <w:p w14:paraId="069E2C14">
            <w:pPr>
              <w:spacing w:line="360" w:lineRule="auto"/>
              <w:rPr>
                <w:rFonts w:hint="eastAsia" w:ascii="宋体" w:hAnsi="宋体" w:cs="宋体"/>
                <w:color w:val="auto"/>
                <w:sz w:val="22"/>
                <w:szCs w:val="22"/>
                <w:highlight w:val="none"/>
              </w:rPr>
            </w:pPr>
          </w:p>
        </w:tc>
        <w:tc>
          <w:tcPr>
            <w:tcW w:w="720" w:type="dxa"/>
            <w:noWrap w:val="0"/>
            <w:vAlign w:val="center"/>
          </w:tcPr>
          <w:p w14:paraId="1EFFC948">
            <w:pPr>
              <w:spacing w:line="360" w:lineRule="auto"/>
              <w:rPr>
                <w:rFonts w:hint="eastAsia" w:ascii="宋体" w:hAnsi="宋体" w:cs="宋体"/>
                <w:color w:val="auto"/>
                <w:sz w:val="22"/>
                <w:szCs w:val="22"/>
                <w:highlight w:val="none"/>
              </w:rPr>
            </w:pPr>
          </w:p>
        </w:tc>
        <w:tc>
          <w:tcPr>
            <w:tcW w:w="1080" w:type="dxa"/>
            <w:noWrap w:val="0"/>
            <w:vAlign w:val="center"/>
          </w:tcPr>
          <w:p w14:paraId="5E6F0712">
            <w:pPr>
              <w:spacing w:line="360" w:lineRule="auto"/>
              <w:rPr>
                <w:rFonts w:hint="eastAsia" w:ascii="宋体" w:hAnsi="宋体" w:cs="宋体"/>
                <w:color w:val="auto"/>
                <w:sz w:val="22"/>
                <w:szCs w:val="22"/>
                <w:highlight w:val="none"/>
              </w:rPr>
            </w:pPr>
          </w:p>
        </w:tc>
        <w:tc>
          <w:tcPr>
            <w:tcW w:w="1458" w:type="dxa"/>
            <w:noWrap w:val="0"/>
            <w:vAlign w:val="center"/>
          </w:tcPr>
          <w:p w14:paraId="6279C73D">
            <w:pPr>
              <w:spacing w:line="360" w:lineRule="auto"/>
              <w:rPr>
                <w:rFonts w:hint="eastAsia" w:ascii="宋体" w:hAnsi="宋体" w:cs="宋体"/>
                <w:color w:val="auto"/>
                <w:sz w:val="22"/>
                <w:szCs w:val="22"/>
                <w:highlight w:val="none"/>
              </w:rPr>
            </w:pPr>
          </w:p>
        </w:tc>
        <w:tc>
          <w:tcPr>
            <w:tcW w:w="1422" w:type="dxa"/>
            <w:noWrap w:val="0"/>
            <w:vAlign w:val="center"/>
          </w:tcPr>
          <w:p w14:paraId="4DDDBFA1">
            <w:pPr>
              <w:spacing w:line="360" w:lineRule="auto"/>
              <w:rPr>
                <w:rFonts w:hint="eastAsia" w:ascii="宋体" w:hAnsi="宋体" w:cs="宋体"/>
                <w:color w:val="auto"/>
                <w:sz w:val="22"/>
                <w:szCs w:val="22"/>
                <w:highlight w:val="none"/>
              </w:rPr>
            </w:pPr>
          </w:p>
        </w:tc>
      </w:tr>
    </w:tbl>
    <w:p w14:paraId="00B8052F">
      <w:pPr>
        <w:spacing w:line="360" w:lineRule="exact"/>
        <w:ind w:left="968" w:hanging="968" w:hangingChars="440"/>
        <w:rPr>
          <w:rFonts w:hint="eastAsia" w:ascii="宋体" w:hAnsi="宋体" w:cs="宋体"/>
          <w:color w:val="auto"/>
          <w:sz w:val="22"/>
          <w:szCs w:val="22"/>
          <w:highlight w:val="none"/>
        </w:rPr>
      </w:pPr>
      <w:r>
        <w:rPr>
          <w:rFonts w:hint="eastAsia" w:ascii="宋体" w:hAnsi="宋体" w:cs="宋体"/>
          <w:color w:val="auto"/>
          <w:sz w:val="22"/>
          <w:szCs w:val="22"/>
          <w:highlight w:val="none"/>
        </w:rPr>
        <w:t>附注：1、列入本表人员如要更换，需经采购人同意，擅自更换或不到位属违约行为；</w:t>
      </w:r>
    </w:p>
    <w:p w14:paraId="2AFF88DA">
      <w:pPr>
        <w:spacing w:line="360" w:lineRule="exact"/>
        <w:ind w:left="718" w:leftChars="321" w:hanging="44" w:hangingChars="20"/>
        <w:rPr>
          <w:rFonts w:hint="eastAsia" w:ascii="宋体" w:hAnsi="宋体" w:cs="宋体"/>
          <w:color w:val="auto"/>
          <w:sz w:val="22"/>
          <w:szCs w:val="22"/>
          <w:highlight w:val="none"/>
        </w:rPr>
      </w:pPr>
      <w:r>
        <w:rPr>
          <w:rFonts w:hint="eastAsia" w:ascii="宋体" w:hAnsi="宋体" w:cs="宋体"/>
          <w:color w:val="auto"/>
          <w:sz w:val="22"/>
          <w:szCs w:val="22"/>
          <w:highlight w:val="none"/>
        </w:rPr>
        <w:t>2、职称/认证证书复印件附后。</w:t>
      </w:r>
    </w:p>
    <w:p w14:paraId="49C693E5">
      <w:pPr>
        <w:spacing w:line="46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0D5078B8">
      <w:pPr>
        <w:spacing w:line="460" w:lineRule="exact"/>
        <w:ind w:firstLine="4400" w:firstLineChars="2000"/>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法定代表人或其授权代表（签字或盖章）</w:t>
      </w:r>
      <w:r>
        <w:rPr>
          <w:rFonts w:hint="eastAsia" w:ascii="宋体" w:hAnsi="宋体" w:cs="宋体"/>
          <w:color w:val="auto"/>
          <w:sz w:val="22"/>
          <w:szCs w:val="22"/>
          <w:highlight w:val="none"/>
        </w:rPr>
        <w:t>：</w:t>
      </w:r>
    </w:p>
    <w:p w14:paraId="624A0561">
      <w:pPr>
        <w:spacing w:line="460" w:lineRule="exact"/>
        <w:ind w:firstLine="4400" w:firstLineChars="2000"/>
        <w:rPr>
          <w:rFonts w:hint="eastAsia" w:ascii="新宋体" w:hAnsi="新宋体" w:eastAsia="新宋体" w:cs="新宋体"/>
          <w:bCs/>
          <w:color w:val="auto"/>
          <w:sz w:val="22"/>
          <w:szCs w:val="22"/>
          <w:highlight w:val="none"/>
        </w:rPr>
      </w:pPr>
      <w:r>
        <w:rPr>
          <w:rFonts w:hint="eastAsia" w:ascii="宋体" w:hAnsi="宋体" w:cs="宋体"/>
          <w:color w:val="auto"/>
          <w:sz w:val="22"/>
          <w:szCs w:val="22"/>
          <w:highlight w:val="none"/>
        </w:rPr>
        <w:t>日  期：</w:t>
      </w:r>
    </w:p>
    <w:p w14:paraId="5A94F711">
      <w:pPr>
        <w:spacing w:line="400" w:lineRule="exact"/>
        <w:ind w:firstLine="5280" w:firstLineChars="2400"/>
        <w:rPr>
          <w:rFonts w:hint="eastAsia" w:ascii="新宋体" w:hAnsi="新宋体" w:eastAsia="新宋体" w:cs="新宋体"/>
          <w:bCs/>
          <w:color w:val="auto"/>
          <w:sz w:val="22"/>
          <w:szCs w:val="22"/>
          <w:highlight w:val="none"/>
        </w:rPr>
      </w:pPr>
    </w:p>
    <w:p w14:paraId="5C84F6A0">
      <w:pPr>
        <w:spacing w:line="400" w:lineRule="exact"/>
        <w:ind w:firstLine="5280" w:firstLineChars="2400"/>
        <w:rPr>
          <w:rFonts w:hint="eastAsia" w:ascii="新宋体" w:hAnsi="新宋体" w:eastAsia="新宋体" w:cs="新宋体"/>
          <w:bCs/>
          <w:color w:val="auto"/>
          <w:sz w:val="22"/>
          <w:szCs w:val="22"/>
          <w:highlight w:val="none"/>
        </w:rPr>
      </w:pPr>
    </w:p>
    <w:p w14:paraId="3E321A74">
      <w:pPr>
        <w:spacing w:line="400" w:lineRule="exact"/>
        <w:rPr>
          <w:rFonts w:hint="eastAsia" w:ascii="新宋体" w:hAnsi="新宋体" w:eastAsia="新宋体" w:cs="新宋体"/>
          <w:bCs/>
          <w:color w:val="auto"/>
          <w:sz w:val="22"/>
          <w:szCs w:val="22"/>
          <w:highlight w:val="none"/>
        </w:rPr>
      </w:pPr>
    </w:p>
    <w:p w14:paraId="15376BF3">
      <w:pPr>
        <w:outlineLvl w:val="1"/>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2"/>
          <w:szCs w:val="22"/>
          <w:highlight w:val="none"/>
        </w:rPr>
        <w:br w:type="page"/>
      </w:r>
      <w:bookmarkStart w:id="111" w:name="_Toc25027"/>
      <w:r>
        <w:rPr>
          <w:rFonts w:hint="eastAsia" w:ascii="新宋体" w:hAnsi="新宋体" w:eastAsia="新宋体" w:cs="新宋体"/>
          <w:b/>
          <w:bCs/>
          <w:color w:val="auto"/>
          <w:sz w:val="22"/>
          <w:szCs w:val="22"/>
          <w:highlight w:val="none"/>
        </w:rPr>
        <w:t>附件</w:t>
      </w:r>
      <w:bookmarkEnd w:id="111"/>
      <w:r>
        <w:rPr>
          <w:rFonts w:hint="eastAsia" w:ascii="新宋体" w:hAnsi="新宋体" w:eastAsia="新宋体" w:cs="新宋体"/>
          <w:b/>
          <w:bCs/>
          <w:color w:val="auto"/>
          <w:sz w:val="22"/>
          <w:szCs w:val="22"/>
          <w:highlight w:val="none"/>
          <w:lang w:val="en-US" w:eastAsia="zh-CN"/>
        </w:rPr>
        <w:t>九</w:t>
      </w:r>
    </w:p>
    <w:p w14:paraId="23180897">
      <w:pPr>
        <w:jc w:val="center"/>
        <w:outlineLvl w:val="2"/>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项目理解及总体咨询服务方案</w:t>
      </w:r>
    </w:p>
    <w:p w14:paraId="520642D7">
      <w:pPr>
        <w:autoSpaceDE w:val="0"/>
        <w:autoSpaceDN w:val="0"/>
        <w:ind w:right="893" w:firstLine="418"/>
        <w:textAlignment w:val="bottom"/>
        <w:rPr>
          <w:rFonts w:hint="eastAsia" w:ascii="新宋体" w:hAnsi="新宋体" w:eastAsia="新宋体" w:cs="新宋体"/>
          <w:color w:val="auto"/>
          <w:highlight w:val="none"/>
        </w:rPr>
      </w:pPr>
      <w:r>
        <w:rPr>
          <w:rFonts w:hint="eastAsia" w:ascii="新宋体" w:hAnsi="新宋体" w:eastAsia="新宋体" w:cs="新宋体"/>
          <w:b/>
          <w:color w:val="auto"/>
          <w:sz w:val="22"/>
          <w:highlight w:val="none"/>
        </w:rPr>
        <w:t>项目名称：                                   项目编号：</w:t>
      </w:r>
      <w:r>
        <w:rPr>
          <w:rFonts w:hint="eastAsia" w:ascii="新宋体" w:hAnsi="新宋体" w:eastAsia="新宋体" w:cs="新宋体"/>
          <w:color w:val="auto"/>
          <w:highlight w:val="none"/>
        </w:rPr>
        <w:t xml:space="preserve">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1D3E8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noWrap w:val="0"/>
            <w:vAlign w:val="center"/>
          </w:tcPr>
          <w:p w14:paraId="146A507E">
            <w:pPr>
              <w:pStyle w:val="26"/>
              <w:spacing w:after="0" w:line="460" w:lineRule="exact"/>
              <w:rPr>
                <w:rFonts w:hint="eastAsia" w:ascii="新宋体" w:hAnsi="新宋体" w:eastAsia="新宋体" w:cs="新宋体"/>
                <w:color w:val="auto"/>
                <w:highlight w:val="none"/>
              </w:rPr>
            </w:pPr>
          </w:p>
        </w:tc>
      </w:tr>
    </w:tbl>
    <w:p w14:paraId="4030D682">
      <w:pPr>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 xml:space="preserve">   </w:t>
      </w:r>
    </w:p>
    <w:p w14:paraId="21AC8036">
      <w:pPr>
        <w:pStyle w:val="12"/>
        <w:spacing w:line="400" w:lineRule="atLeast"/>
        <w:ind w:left="5360" w:leftChars="2500" w:hanging="110" w:hangingChars="5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投标人全称（盖章）：</w:t>
      </w:r>
    </w:p>
    <w:p w14:paraId="3453B4C8">
      <w:pPr>
        <w:spacing w:line="40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                                                法定代表人或其授权代表（签字）：</w:t>
      </w:r>
    </w:p>
    <w:p w14:paraId="3FAD3FF5">
      <w:pPr>
        <w:spacing w:line="400" w:lineRule="exact"/>
        <w:ind w:firstLine="5280" w:firstLineChars="24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日   期：</w:t>
      </w:r>
    </w:p>
    <w:p w14:paraId="382DF4ED">
      <w:pP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p>
    <w:p w14:paraId="532452D6">
      <w:pPr>
        <w:outlineLvl w:val="1"/>
        <w:rPr>
          <w:rFonts w:hint="eastAsia" w:ascii="新宋体" w:hAnsi="新宋体" w:eastAsia="新宋体" w:cs="新宋体"/>
          <w:b/>
          <w:bCs/>
          <w:color w:val="auto"/>
          <w:sz w:val="22"/>
          <w:szCs w:val="22"/>
          <w:highlight w:val="none"/>
          <w:lang w:val="en-US" w:eastAsia="zh-CN"/>
        </w:rPr>
      </w:pPr>
      <w:bookmarkStart w:id="112" w:name="_Toc6931"/>
      <w:r>
        <w:rPr>
          <w:rFonts w:hint="eastAsia" w:ascii="新宋体" w:hAnsi="新宋体" w:eastAsia="新宋体" w:cs="新宋体"/>
          <w:b/>
          <w:bCs/>
          <w:color w:val="auto"/>
          <w:sz w:val="22"/>
          <w:szCs w:val="22"/>
          <w:highlight w:val="none"/>
        </w:rPr>
        <w:t>附件十</w:t>
      </w:r>
      <w:bookmarkEnd w:id="112"/>
    </w:p>
    <w:p w14:paraId="4D6633D2">
      <w:pPr>
        <w:jc w:val="center"/>
        <w:outlineLvl w:val="2"/>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保证措施</w:t>
      </w:r>
    </w:p>
    <w:p w14:paraId="43819B3B">
      <w:pPr>
        <w:autoSpaceDE w:val="0"/>
        <w:autoSpaceDN w:val="0"/>
        <w:ind w:right="893" w:firstLine="418"/>
        <w:textAlignment w:val="bottom"/>
        <w:rPr>
          <w:rFonts w:hint="eastAsia" w:ascii="新宋体" w:hAnsi="新宋体" w:eastAsia="新宋体" w:cs="新宋体"/>
          <w:color w:val="auto"/>
          <w:highlight w:val="none"/>
        </w:rPr>
      </w:pPr>
      <w:r>
        <w:rPr>
          <w:rFonts w:hint="eastAsia" w:ascii="新宋体" w:hAnsi="新宋体" w:eastAsia="新宋体" w:cs="新宋体"/>
          <w:b/>
          <w:color w:val="auto"/>
          <w:sz w:val="22"/>
          <w:highlight w:val="none"/>
        </w:rPr>
        <w:t>项目名称：                                   项目编号：</w:t>
      </w:r>
      <w:r>
        <w:rPr>
          <w:rFonts w:hint="eastAsia" w:ascii="新宋体" w:hAnsi="新宋体" w:eastAsia="新宋体" w:cs="新宋体"/>
          <w:color w:val="auto"/>
          <w:highlight w:val="none"/>
        </w:rPr>
        <w:t xml:space="preserve">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151A5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noWrap w:val="0"/>
            <w:vAlign w:val="center"/>
          </w:tcPr>
          <w:p w14:paraId="27873A8A">
            <w:pPr>
              <w:pStyle w:val="26"/>
              <w:spacing w:after="0" w:line="460" w:lineRule="exact"/>
              <w:rPr>
                <w:rFonts w:hint="eastAsia" w:ascii="新宋体" w:hAnsi="新宋体" w:eastAsia="新宋体" w:cs="新宋体"/>
                <w:color w:val="auto"/>
                <w:highlight w:val="none"/>
              </w:rPr>
            </w:pPr>
          </w:p>
        </w:tc>
      </w:tr>
    </w:tbl>
    <w:p w14:paraId="6CB18CAD">
      <w:pPr>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 xml:space="preserve">   </w:t>
      </w:r>
    </w:p>
    <w:p w14:paraId="3E8953D1">
      <w:pPr>
        <w:pStyle w:val="12"/>
        <w:spacing w:line="400" w:lineRule="atLeast"/>
        <w:ind w:left="5360" w:leftChars="2500" w:hanging="110" w:hangingChars="5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投标人全称（盖章）：</w:t>
      </w:r>
    </w:p>
    <w:p w14:paraId="5CAD0F74">
      <w:pPr>
        <w:spacing w:line="40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                                                法定代表人或其授权代表（签字）：</w:t>
      </w:r>
    </w:p>
    <w:p w14:paraId="1C0EDE03">
      <w:pPr>
        <w:spacing w:line="400" w:lineRule="exact"/>
        <w:ind w:firstLine="5280" w:firstLineChars="24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日   期：</w:t>
      </w:r>
    </w:p>
    <w:p w14:paraId="0FAAEE9B">
      <w:pPr>
        <w:outlineLvl w:val="1"/>
        <w:rPr>
          <w:rFonts w:hint="eastAsia" w:eastAsia="新宋体"/>
          <w:color w:val="auto"/>
          <w:highlight w:val="none"/>
          <w:lang w:val="en-US" w:eastAsia="zh-CN"/>
        </w:rPr>
      </w:pPr>
      <w:r>
        <w:rPr>
          <w:rFonts w:hint="eastAsia" w:ascii="新宋体" w:hAnsi="新宋体" w:eastAsia="新宋体" w:cs="新宋体"/>
          <w:b/>
          <w:bCs/>
          <w:color w:val="auto"/>
          <w:sz w:val="22"/>
          <w:szCs w:val="22"/>
          <w:highlight w:val="none"/>
        </w:rPr>
        <w:br w:type="page"/>
      </w:r>
      <w:bookmarkStart w:id="113" w:name="_Toc7566"/>
      <w:r>
        <w:rPr>
          <w:rFonts w:hint="eastAsia" w:ascii="新宋体" w:hAnsi="新宋体" w:eastAsia="新宋体" w:cs="新宋体"/>
          <w:b/>
          <w:bCs/>
          <w:color w:val="auto"/>
          <w:sz w:val="22"/>
          <w:szCs w:val="22"/>
          <w:highlight w:val="none"/>
        </w:rPr>
        <w:t>附件十</w:t>
      </w:r>
      <w:bookmarkEnd w:id="113"/>
      <w:r>
        <w:rPr>
          <w:rFonts w:hint="eastAsia" w:ascii="新宋体" w:hAnsi="新宋体" w:eastAsia="新宋体" w:cs="新宋体"/>
          <w:b/>
          <w:bCs/>
          <w:color w:val="auto"/>
          <w:sz w:val="22"/>
          <w:szCs w:val="22"/>
          <w:highlight w:val="none"/>
          <w:lang w:val="en-US" w:eastAsia="zh-CN"/>
        </w:rPr>
        <w:t>一</w:t>
      </w:r>
    </w:p>
    <w:p w14:paraId="28861C95">
      <w:pPr>
        <w:jc w:val="center"/>
        <w:outlineLvl w:val="2"/>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管理制度</w:t>
      </w:r>
    </w:p>
    <w:p w14:paraId="70DFAB38">
      <w:pPr>
        <w:autoSpaceDE w:val="0"/>
        <w:autoSpaceDN w:val="0"/>
        <w:ind w:right="893" w:firstLine="418"/>
        <w:textAlignment w:val="bottom"/>
        <w:rPr>
          <w:rFonts w:hint="eastAsia" w:ascii="新宋体" w:hAnsi="新宋体" w:eastAsia="新宋体" w:cs="新宋体"/>
          <w:color w:val="auto"/>
          <w:highlight w:val="none"/>
        </w:rPr>
      </w:pPr>
      <w:r>
        <w:rPr>
          <w:rFonts w:hint="eastAsia" w:ascii="新宋体" w:hAnsi="新宋体" w:eastAsia="新宋体" w:cs="新宋体"/>
          <w:b/>
          <w:color w:val="auto"/>
          <w:sz w:val="22"/>
          <w:highlight w:val="none"/>
        </w:rPr>
        <w:t>项目名称：                                   项目编号：</w:t>
      </w:r>
      <w:r>
        <w:rPr>
          <w:rFonts w:hint="eastAsia" w:ascii="新宋体" w:hAnsi="新宋体" w:eastAsia="新宋体" w:cs="新宋体"/>
          <w:color w:val="auto"/>
          <w:highlight w:val="none"/>
        </w:rPr>
        <w:t xml:space="preserve">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13593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noWrap w:val="0"/>
            <w:vAlign w:val="center"/>
          </w:tcPr>
          <w:p w14:paraId="6E80D5E6">
            <w:pPr>
              <w:pStyle w:val="26"/>
              <w:spacing w:after="0" w:line="460" w:lineRule="exact"/>
              <w:rPr>
                <w:rFonts w:hint="eastAsia" w:ascii="新宋体" w:hAnsi="新宋体" w:eastAsia="新宋体" w:cs="新宋体"/>
                <w:color w:val="auto"/>
                <w:highlight w:val="none"/>
              </w:rPr>
            </w:pPr>
          </w:p>
        </w:tc>
      </w:tr>
    </w:tbl>
    <w:p w14:paraId="6EBFEC4D">
      <w:pPr>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 xml:space="preserve">   </w:t>
      </w:r>
    </w:p>
    <w:p w14:paraId="7F59AC37">
      <w:pPr>
        <w:pStyle w:val="12"/>
        <w:spacing w:line="400" w:lineRule="atLeast"/>
        <w:ind w:left="5360" w:leftChars="2500" w:hanging="110" w:hangingChars="5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投标人全称（盖章）：</w:t>
      </w:r>
    </w:p>
    <w:p w14:paraId="7DDF6BF5">
      <w:pPr>
        <w:spacing w:line="40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                                                法定代表人或其授权代表（签字）：</w:t>
      </w:r>
    </w:p>
    <w:p w14:paraId="0C277131">
      <w:pPr>
        <w:pStyle w:val="12"/>
        <w:spacing w:line="400" w:lineRule="atLeast"/>
        <w:ind w:left="5360" w:leftChars="2500" w:hanging="110" w:hangingChars="50"/>
        <w:rPr>
          <w:rFonts w:hint="eastAsia" w:ascii="新宋体" w:hAnsi="新宋体" w:eastAsia="新宋体" w:cs="新宋体"/>
          <w:bCs/>
          <w:color w:val="auto"/>
          <w:sz w:val="22"/>
          <w:szCs w:val="22"/>
          <w:highlight w:val="none"/>
        </w:rPr>
      </w:pPr>
      <w:r>
        <w:rPr>
          <w:rFonts w:hint="eastAsia" w:ascii="新宋体" w:hAnsi="新宋体" w:eastAsia="新宋体" w:cs="新宋体"/>
          <w:b w:val="0"/>
          <w:bCs/>
          <w:color w:val="auto"/>
          <w:sz w:val="22"/>
          <w:szCs w:val="22"/>
          <w:highlight w:val="none"/>
        </w:rPr>
        <w:t xml:space="preserve">日   </w:t>
      </w:r>
      <w:r>
        <w:rPr>
          <w:rFonts w:hint="eastAsia" w:ascii="新宋体" w:hAnsi="新宋体" w:eastAsia="新宋体" w:cs="新宋体"/>
          <w:b w:val="0"/>
          <w:color w:val="auto"/>
          <w:sz w:val="22"/>
          <w:szCs w:val="22"/>
          <w:highlight w:val="none"/>
        </w:rPr>
        <w:t>期</w:t>
      </w:r>
      <w:r>
        <w:rPr>
          <w:rFonts w:hint="eastAsia" w:ascii="新宋体" w:hAnsi="新宋体" w:eastAsia="新宋体" w:cs="新宋体"/>
          <w:bCs/>
          <w:color w:val="auto"/>
          <w:sz w:val="22"/>
          <w:szCs w:val="22"/>
          <w:highlight w:val="none"/>
        </w:rPr>
        <w:t>：</w:t>
      </w:r>
    </w:p>
    <w:p w14:paraId="58F0BC00">
      <w:pPr>
        <w:pStyle w:val="12"/>
        <w:spacing w:line="400" w:lineRule="atLeast"/>
        <w:ind w:left="5355" w:leftChars="2500" w:hanging="105" w:hangingChars="50"/>
        <w:rPr>
          <w:rFonts w:hint="eastAsia" w:ascii="新宋体" w:hAnsi="新宋体" w:eastAsia="新宋体" w:cs="新宋体"/>
          <w:bCs/>
          <w:color w:val="auto"/>
          <w:sz w:val="22"/>
          <w:szCs w:val="22"/>
          <w:highlight w:val="none"/>
        </w:rPr>
      </w:pPr>
      <w:r>
        <w:rPr>
          <w:rFonts w:hint="eastAsia"/>
          <w:color w:val="auto"/>
          <w:highlight w:val="none"/>
        </w:rPr>
        <w:br w:type="page"/>
      </w:r>
    </w:p>
    <w:p w14:paraId="1F74996B">
      <w:pPr>
        <w:pStyle w:val="12"/>
        <w:spacing w:line="400" w:lineRule="atLeast"/>
        <w:ind w:left="5360" w:leftChars="2500" w:hanging="110" w:hangingChars="50"/>
        <w:rPr>
          <w:rFonts w:hint="eastAsia" w:ascii="新宋体" w:hAnsi="新宋体" w:eastAsia="新宋体" w:cs="新宋体"/>
          <w:bCs/>
          <w:color w:val="auto"/>
          <w:sz w:val="22"/>
          <w:szCs w:val="22"/>
          <w:highlight w:val="none"/>
        </w:rPr>
      </w:pPr>
    </w:p>
    <w:p w14:paraId="225D2DB6">
      <w:pPr>
        <w:pStyle w:val="8"/>
        <w:rPr>
          <w:rFonts w:hint="eastAsia" w:ascii="新宋体" w:hAnsi="新宋体" w:eastAsia="新宋体" w:cs="新宋体"/>
          <w:bCs/>
          <w:color w:val="auto"/>
          <w:sz w:val="22"/>
          <w:szCs w:val="22"/>
          <w:highlight w:val="none"/>
        </w:rPr>
      </w:pPr>
    </w:p>
    <w:p w14:paraId="5DEA70DA">
      <w:pPr>
        <w:pStyle w:val="8"/>
        <w:rPr>
          <w:rFonts w:hint="eastAsia" w:ascii="新宋体" w:hAnsi="新宋体" w:eastAsia="新宋体" w:cs="新宋体"/>
          <w:bCs/>
          <w:color w:val="auto"/>
          <w:sz w:val="22"/>
          <w:szCs w:val="22"/>
          <w:highlight w:val="none"/>
        </w:rPr>
      </w:pPr>
    </w:p>
    <w:p w14:paraId="54FE7549">
      <w:pPr>
        <w:pStyle w:val="8"/>
        <w:rPr>
          <w:rFonts w:hint="eastAsia" w:ascii="新宋体" w:hAnsi="新宋体" w:eastAsia="新宋体" w:cs="新宋体"/>
          <w:bCs/>
          <w:color w:val="auto"/>
          <w:sz w:val="22"/>
          <w:szCs w:val="22"/>
          <w:highlight w:val="none"/>
        </w:rPr>
      </w:pPr>
    </w:p>
    <w:p w14:paraId="0028CBA9">
      <w:pPr>
        <w:pStyle w:val="8"/>
        <w:rPr>
          <w:rFonts w:hint="eastAsia" w:ascii="新宋体" w:hAnsi="新宋体" w:eastAsia="新宋体" w:cs="新宋体"/>
          <w:bCs/>
          <w:color w:val="auto"/>
          <w:sz w:val="22"/>
          <w:szCs w:val="22"/>
          <w:highlight w:val="none"/>
        </w:rPr>
      </w:pPr>
    </w:p>
    <w:p w14:paraId="40858263">
      <w:pPr>
        <w:pStyle w:val="8"/>
        <w:rPr>
          <w:rFonts w:hint="eastAsia" w:ascii="新宋体" w:hAnsi="新宋体" w:eastAsia="新宋体" w:cs="新宋体"/>
          <w:bCs/>
          <w:color w:val="auto"/>
          <w:sz w:val="22"/>
          <w:szCs w:val="22"/>
          <w:highlight w:val="none"/>
        </w:rPr>
      </w:pPr>
    </w:p>
    <w:p w14:paraId="3331231F">
      <w:pPr>
        <w:pStyle w:val="8"/>
        <w:rPr>
          <w:rFonts w:hint="eastAsia" w:ascii="新宋体" w:hAnsi="新宋体" w:eastAsia="新宋体" w:cs="新宋体"/>
          <w:bCs/>
          <w:color w:val="auto"/>
          <w:sz w:val="22"/>
          <w:szCs w:val="22"/>
          <w:highlight w:val="none"/>
        </w:rPr>
      </w:pPr>
    </w:p>
    <w:p w14:paraId="6239542F">
      <w:pPr>
        <w:pStyle w:val="8"/>
        <w:rPr>
          <w:rFonts w:hint="eastAsia" w:ascii="新宋体" w:hAnsi="新宋体" w:eastAsia="新宋体" w:cs="新宋体"/>
          <w:bCs/>
          <w:color w:val="auto"/>
          <w:sz w:val="22"/>
          <w:szCs w:val="22"/>
          <w:highlight w:val="none"/>
        </w:rPr>
      </w:pPr>
    </w:p>
    <w:p w14:paraId="60B8696D">
      <w:pPr>
        <w:pStyle w:val="8"/>
        <w:rPr>
          <w:rFonts w:hint="eastAsia" w:ascii="新宋体" w:hAnsi="新宋体" w:eastAsia="新宋体" w:cs="新宋体"/>
          <w:bCs/>
          <w:color w:val="auto"/>
          <w:sz w:val="22"/>
          <w:szCs w:val="22"/>
          <w:highlight w:val="none"/>
        </w:rPr>
      </w:pPr>
    </w:p>
    <w:p w14:paraId="3F9D2A36">
      <w:pPr>
        <w:pStyle w:val="8"/>
        <w:rPr>
          <w:rFonts w:hint="eastAsia" w:ascii="新宋体" w:hAnsi="新宋体" w:eastAsia="新宋体" w:cs="新宋体"/>
          <w:bCs/>
          <w:color w:val="auto"/>
          <w:sz w:val="22"/>
          <w:szCs w:val="22"/>
          <w:highlight w:val="none"/>
        </w:rPr>
      </w:pPr>
    </w:p>
    <w:p w14:paraId="13A51B58">
      <w:pPr>
        <w:pStyle w:val="8"/>
        <w:rPr>
          <w:rFonts w:hint="eastAsia" w:ascii="新宋体" w:hAnsi="新宋体" w:eastAsia="新宋体" w:cs="新宋体"/>
          <w:bCs/>
          <w:color w:val="auto"/>
          <w:sz w:val="22"/>
          <w:szCs w:val="22"/>
          <w:highlight w:val="none"/>
        </w:rPr>
      </w:pPr>
    </w:p>
    <w:p w14:paraId="41C9341C">
      <w:pPr>
        <w:pStyle w:val="8"/>
        <w:rPr>
          <w:rFonts w:hint="eastAsia" w:ascii="新宋体" w:hAnsi="新宋体" w:eastAsia="新宋体" w:cs="新宋体"/>
          <w:bCs/>
          <w:color w:val="auto"/>
          <w:sz w:val="22"/>
          <w:szCs w:val="22"/>
          <w:highlight w:val="none"/>
        </w:rPr>
      </w:pPr>
    </w:p>
    <w:p w14:paraId="2FC5C2EE">
      <w:pPr>
        <w:pStyle w:val="8"/>
        <w:rPr>
          <w:rFonts w:hint="eastAsia" w:ascii="新宋体" w:hAnsi="新宋体" w:eastAsia="新宋体" w:cs="新宋体"/>
          <w:bCs/>
          <w:color w:val="auto"/>
          <w:sz w:val="22"/>
          <w:szCs w:val="22"/>
          <w:highlight w:val="none"/>
        </w:rPr>
      </w:pPr>
    </w:p>
    <w:p w14:paraId="1B878A21">
      <w:pPr>
        <w:pStyle w:val="8"/>
        <w:rPr>
          <w:rFonts w:hint="eastAsia" w:ascii="新宋体" w:hAnsi="新宋体" w:eastAsia="新宋体" w:cs="新宋体"/>
          <w:bCs/>
          <w:color w:val="auto"/>
          <w:sz w:val="22"/>
          <w:szCs w:val="22"/>
          <w:highlight w:val="none"/>
        </w:rPr>
      </w:pPr>
    </w:p>
    <w:p w14:paraId="154A99CA">
      <w:pPr>
        <w:pStyle w:val="8"/>
        <w:rPr>
          <w:rFonts w:hint="eastAsia" w:ascii="新宋体" w:hAnsi="新宋体" w:eastAsia="新宋体" w:cs="新宋体"/>
          <w:bCs/>
          <w:color w:val="auto"/>
          <w:sz w:val="22"/>
          <w:szCs w:val="22"/>
          <w:highlight w:val="none"/>
        </w:rPr>
      </w:pPr>
    </w:p>
    <w:p w14:paraId="69EC7BD3">
      <w:pPr>
        <w:pStyle w:val="12"/>
        <w:spacing w:line="400" w:lineRule="atLeast"/>
        <w:ind w:left="5360" w:leftChars="2500" w:hanging="110" w:hangingChars="50"/>
        <w:rPr>
          <w:rFonts w:hint="eastAsia" w:ascii="新宋体" w:hAnsi="新宋体" w:eastAsia="新宋体" w:cs="新宋体"/>
          <w:bCs/>
          <w:color w:val="auto"/>
          <w:sz w:val="22"/>
          <w:szCs w:val="22"/>
          <w:highlight w:val="none"/>
        </w:rPr>
      </w:pPr>
    </w:p>
    <w:p w14:paraId="268A43D0">
      <w:pPr>
        <w:pStyle w:val="12"/>
        <w:spacing w:line="400" w:lineRule="atLeast"/>
        <w:jc w:val="center"/>
        <w:rPr>
          <w:rFonts w:hint="eastAsia" w:ascii="新宋体" w:hAnsi="新宋体" w:eastAsia="新宋体" w:cs="新宋体"/>
          <w:b w:val="0"/>
          <w:bCs/>
          <w:color w:val="auto"/>
          <w:sz w:val="48"/>
          <w:highlight w:val="none"/>
        </w:rPr>
      </w:pPr>
      <w:r>
        <w:rPr>
          <w:rFonts w:hint="eastAsia" w:ascii="新宋体" w:hAnsi="新宋体" w:eastAsia="新宋体" w:cs="新宋体"/>
          <w:b w:val="0"/>
          <w:bCs/>
          <w:color w:val="auto"/>
          <w:sz w:val="52"/>
          <w:szCs w:val="52"/>
          <w:highlight w:val="none"/>
        </w:rPr>
        <w:t>第二册</w:t>
      </w:r>
    </w:p>
    <w:p w14:paraId="452A08D2">
      <w:pPr>
        <w:jc w:val="center"/>
        <w:outlineLvl w:val="0"/>
        <w:rPr>
          <w:rFonts w:hint="eastAsia" w:ascii="新宋体" w:hAnsi="新宋体" w:eastAsia="新宋体" w:cs="新宋体"/>
          <w:b/>
          <w:color w:val="auto"/>
          <w:sz w:val="32"/>
          <w:szCs w:val="32"/>
          <w:highlight w:val="none"/>
        </w:rPr>
      </w:pPr>
      <w:bookmarkStart w:id="114" w:name="_Toc16968"/>
      <w:r>
        <w:rPr>
          <w:rFonts w:hint="eastAsia" w:ascii="新宋体" w:hAnsi="新宋体" w:eastAsia="新宋体" w:cs="新宋体"/>
          <w:b/>
          <w:bCs/>
          <w:color w:val="auto"/>
          <w:sz w:val="48"/>
          <w:highlight w:val="none"/>
        </w:rPr>
        <w:t>专  用  文  本</w:t>
      </w:r>
      <w:bookmarkEnd w:id="114"/>
    </w:p>
    <w:p w14:paraId="4572DCA6">
      <w:pPr>
        <w:spacing w:line="460" w:lineRule="exact"/>
        <w:jc w:val="center"/>
        <w:rPr>
          <w:rFonts w:hint="eastAsia" w:ascii="新宋体" w:hAnsi="新宋体" w:eastAsia="新宋体" w:cs="新宋体"/>
          <w:b/>
          <w:color w:val="auto"/>
          <w:sz w:val="32"/>
          <w:szCs w:val="32"/>
          <w:highlight w:val="none"/>
        </w:rPr>
      </w:pPr>
    </w:p>
    <w:p w14:paraId="12C0B974">
      <w:pPr>
        <w:spacing w:line="460" w:lineRule="exact"/>
        <w:jc w:val="center"/>
        <w:rPr>
          <w:rFonts w:hint="eastAsia" w:ascii="新宋体" w:hAnsi="新宋体" w:eastAsia="新宋体" w:cs="新宋体"/>
          <w:b/>
          <w:color w:val="auto"/>
          <w:sz w:val="32"/>
          <w:szCs w:val="32"/>
          <w:highlight w:val="none"/>
        </w:rPr>
      </w:pPr>
    </w:p>
    <w:p w14:paraId="521BE0BD">
      <w:pPr>
        <w:spacing w:line="460" w:lineRule="exact"/>
        <w:jc w:val="center"/>
        <w:rPr>
          <w:rFonts w:hint="eastAsia" w:ascii="新宋体" w:hAnsi="新宋体" w:eastAsia="新宋体" w:cs="新宋体"/>
          <w:b/>
          <w:color w:val="auto"/>
          <w:sz w:val="32"/>
          <w:szCs w:val="32"/>
          <w:highlight w:val="none"/>
        </w:rPr>
      </w:pPr>
    </w:p>
    <w:p w14:paraId="2D4610EF">
      <w:pPr>
        <w:spacing w:line="460" w:lineRule="exact"/>
        <w:jc w:val="center"/>
        <w:rPr>
          <w:rFonts w:hint="eastAsia" w:ascii="新宋体" w:hAnsi="新宋体" w:eastAsia="新宋体" w:cs="新宋体"/>
          <w:b/>
          <w:color w:val="auto"/>
          <w:sz w:val="32"/>
          <w:szCs w:val="32"/>
          <w:highlight w:val="none"/>
        </w:rPr>
      </w:pPr>
    </w:p>
    <w:p w14:paraId="48AF67A1">
      <w:pPr>
        <w:spacing w:line="460" w:lineRule="exact"/>
        <w:jc w:val="center"/>
        <w:rPr>
          <w:rFonts w:hint="eastAsia" w:ascii="新宋体" w:hAnsi="新宋体" w:eastAsia="新宋体" w:cs="新宋体"/>
          <w:b/>
          <w:color w:val="auto"/>
          <w:sz w:val="32"/>
          <w:szCs w:val="32"/>
          <w:highlight w:val="none"/>
        </w:rPr>
      </w:pPr>
    </w:p>
    <w:p w14:paraId="6FF1AEDA">
      <w:pPr>
        <w:spacing w:line="460" w:lineRule="exact"/>
        <w:jc w:val="center"/>
        <w:rPr>
          <w:rFonts w:hint="eastAsia" w:ascii="新宋体" w:hAnsi="新宋体" w:eastAsia="新宋体" w:cs="新宋体"/>
          <w:b/>
          <w:color w:val="auto"/>
          <w:sz w:val="32"/>
          <w:szCs w:val="32"/>
          <w:highlight w:val="none"/>
        </w:rPr>
      </w:pPr>
    </w:p>
    <w:p w14:paraId="6EF34163">
      <w:pPr>
        <w:spacing w:line="460" w:lineRule="exact"/>
        <w:jc w:val="center"/>
        <w:rPr>
          <w:rFonts w:hint="eastAsia" w:ascii="新宋体" w:hAnsi="新宋体" w:eastAsia="新宋体" w:cs="新宋体"/>
          <w:b/>
          <w:color w:val="auto"/>
          <w:sz w:val="32"/>
          <w:szCs w:val="32"/>
          <w:highlight w:val="none"/>
        </w:rPr>
      </w:pPr>
    </w:p>
    <w:p w14:paraId="45A6832A">
      <w:pPr>
        <w:spacing w:line="460" w:lineRule="exact"/>
        <w:jc w:val="center"/>
        <w:rPr>
          <w:rFonts w:hint="eastAsia" w:ascii="新宋体" w:hAnsi="新宋体" w:eastAsia="新宋体" w:cs="新宋体"/>
          <w:b/>
          <w:color w:val="auto"/>
          <w:sz w:val="32"/>
          <w:szCs w:val="32"/>
          <w:highlight w:val="none"/>
        </w:rPr>
      </w:pPr>
    </w:p>
    <w:p w14:paraId="605EFC3A">
      <w:pPr>
        <w:spacing w:line="460" w:lineRule="exact"/>
        <w:jc w:val="center"/>
        <w:rPr>
          <w:rFonts w:hint="eastAsia" w:ascii="新宋体" w:hAnsi="新宋体" w:eastAsia="新宋体" w:cs="新宋体"/>
          <w:b/>
          <w:color w:val="auto"/>
          <w:sz w:val="32"/>
          <w:szCs w:val="32"/>
          <w:highlight w:val="none"/>
        </w:rPr>
      </w:pPr>
    </w:p>
    <w:p w14:paraId="40333451">
      <w:pPr>
        <w:spacing w:line="460" w:lineRule="exact"/>
        <w:jc w:val="center"/>
        <w:rPr>
          <w:rFonts w:hint="eastAsia" w:ascii="新宋体" w:hAnsi="新宋体" w:eastAsia="新宋体" w:cs="新宋体"/>
          <w:b/>
          <w:color w:val="auto"/>
          <w:sz w:val="32"/>
          <w:szCs w:val="32"/>
          <w:highlight w:val="none"/>
        </w:rPr>
      </w:pPr>
    </w:p>
    <w:p w14:paraId="7BF1EE96">
      <w:pPr>
        <w:spacing w:line="460" w:lineRule="exact"/>
        <w:jc w:val="center"/>
        <w:rPr>
          <w:rFonts w:hint="eastAsia" w:ascii="新宋体" w:hAnsi="新宋体" w:eastAsia="新宋体" w:cs="新宋体"/>
          <w:b/>
          <w:color w:val="auto"/>
          <w:sz w:val="32"/>
          <w:szCs w:val="32"/>
          <w:highlight w:val="none"/>
        </w:rPr>
      </w:pPr>
    </w:p>
    <w:p w14:paraId="061719E5">
      <w:pPr>
        <w:pStyle w:val="10"/>
        <w:spacing w:line="460" w:lineRule="exact"/>
        <w:jc w:val="center"/>
        <w:outlineLvl w:val="0"/>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br w:type="page"/>
      </w:r>
      <w:bookmarkStart w:id="115" w:name="_Toc2983"/>
      <w:r>
        <w:rPr>
          <w:rFonts w:hint="eastAsia" w:ascii="新宋体" w:hAnsi="新宋体" w:eastAsia="新宋体" w:cs="新宋体"/>
          <w:b/>
          <w:color w:val="auto"/>
          <w:sz w:val="30"/>
          <w:highlight w:val="none"/>
        </w:rPr>
        <w:t>第四部分 采购内容及要求</w:t>
      </w:r>
      <w:bookmarkEnd w:id="115"/>
    </w:p>
    <w:p w14:paraId="3CD77F46">
      <w:pPr>
        <w:keepNext w:val="0"/>
        <w:keepLines w:val="0"/>
        <w:pageBreakBefore w:val="0"/>
        <w:numPr>
          <w:ilvl w:val="0"/>
          <w:numId w:val="0"/>
        </w:numPr>
        <w:kinsoku/>
        <w:wordWrap/>
        <w:overflowPunct/>
        <w:topLinePunct w:val="0"/>
        <w:autoSpaceDE/>
        <w:autoSpaceDN/>
        <w:bidi w:val="0"/>
        <w:adjustRightInd/>
        <w:snapToGrid/>
        <w:spacing w:after="0" w:line="460" w:lineRule="exact"/>
        <w:ind w:firstLine="442" w:firstLineChars="200"/>
        <w:jc w:val="both"/>
        <w:textAlignment w:val="auto"/>
        <w:rPr>
          <w:rFonts w:hint="eastAsia" w:ascii="新宋体" w:hAnsi="新宋体" w:eastAsia="新宋体" w:cs="新宋体"/>
          <w:b/>
          <w:bCs/>
          <w:color w:val="auto"/>
          <w:sz w:val="22"/>
          <w:szCs w:val="22"/>
          <w:highlight w:val="none"/>
          <w14:ligatures w14:val="none"/>
        </w:rPr>
      </w:pPr>
      <w:r>
        <w:rPr>
          <w:rFonts w:hint="eastAsia" w:ascii="新宋体" w:hAnsi="新宋体" w:eastAsia="新宋体" w:cs="新宋体"/>
          <w:b/>
          <w:bCs/>
          <w:color w:val="auto"/>
          <w:kern w:val="2"/>
          <w:sz w:val="22"/>
          <w:szCs w:val="22"/>
          <w:highlight w:val="none"/>
          <w:lang w:val="en-US" w:eastAsia="zh-CN" w:bidi="ar-SA"/>
          <w14:ligatures w14:val="none"/>
        </w:rPr>
        <w:t>一、</w:t>
      </w:r>
      <w:r>
        <w:rPr>
          <w:rFonts w:hint="eastAsia" w:ascii="新宋体" w:hAnsi="新宋体" w:eastAsia="新宋体" w:cs="新宋体"/>
          <w:b/>
          <w:bCs/>
          <w:color w:val="auto"/>
          <w:sz w:val="22"/>
          <w:szCs w:val="22"/>
          <w:highlight w:val="none"/>
          <w14:ligatures w14:val="none"/>
        </w:rPr>
        <w:t>项目背景</w:t>
      </w:r>
    </w:p>
    <w:p w14:paraId="323A734D">
      <w:pPr>
        <w:keepNext w:val="0"/>
        <w:keepLines w:val="0"/>
        <w:pageBreakBefore w:val="0"/>
        <w:kinsoku/>
        <w:wordWrap/>
        <w:overflowPunct/>
        <w:topLinePunct w:val="0"/>
        <w:autoSpaceDE/>
        <w:autoSpaceDN/>
        <w:bidi w:val="0"/>
        <w:adjustRightInd/>
        <w:snapToGrid/>
        <w:spacing w:after="0" w:line="460" w:lineRule="exact"/>
        <w:ind w:firstLine="440" w:firstLineChars="200"/>
        <w:jc w:val="both"/>
        <w:textAlignment w:val="auto"/>
        <w:rPr>
          <w:rFonts w:hint="eastAsia" w:ascii="新宋体" w:hAnsi="新宋体" w:eastAsia="新宋体" w:cs="新宋体"/>
          <w:color w:val="auto"/>
          <w:sz w:val="22"/>
          <w:szCs w:val="22"/>
          <w:highlight w:val="none"/>
          <w14:ligatures w14:val="none"/>
        </w:rPr>
      </w:pPr>
      <w:r>
        <w:rPr>
          <w:rFonts w:hint="eastAsia" w:ascii="新宋体" w:hAnsi="新宋体" w:eastAsia="新宋体" w:cs="新宋体"/>
          <w:color w:val="auto"/>
          <w:sz w:val="22"/>
          <w:szCs w:val="22"/>
          <w:highlight w:val="none"/>
          <w14:ligatures w14:val="none"/>
        </w:rPr>
        <w:t>近年来，以AIGC为代表的人工智能技术开始重塑千行万业，算力作为人工智能产业发展的基础设施，已成全球战略竞争的新焦点。目前，我国正在加快构建算力网络体系，以激发数据要素创新活力，加速数字产业化和产业数字化进程。浙江省深入实施“云上浙江、数据强省、算力高地”等战略，全力推进新型工业化、高水平科技自主自强和经济社会高质量发展，对计算力、运载力、存储力及应用赋能等方面提出了更高要求。</w:t>
      </w:r>
    </w:p>
    <w:p w14:paraId="076626C5">
      <w:pPr>
        <w:keepNext w:val="0"/>
        <w:keepLines w:val="0"/>
        <w:pageBreakBefore w:val="0"/>
        <w:kinsoku/>
        <w:wordWrap/>
        <w:overflowPunct/>
        <w:topLinePunct w:val="0"/>
        <w:autoSpaceDE/>
        <w:autoSpaceDN/>
        <w:bidi w:val="0"/>
        <w:adjustRightInd/>
        <w:snapToGrid/>
        <w:spacing w:after="0" w:line="460" w:lineRule="exact"/>
        <w:ind w:firstLine="440" w:firstLineChars="200"/>
        <w:jc w:val="both"/>
        <w:textAlignment w:val="auto"/>
        <w:rPr>
          <w:rFonts w:hint="eastAsia" w:ascii="新宋体" w:hAnsi="新宋体" w:eastAsia="新宋体" w:cs="新宋体"/>
          <w:color w:val="auto"/>
          <w:sz w:val="22"/>
          <w:szCs w:val="22"/>
          <w:highlight w:val="none"/>
          <w14:ligatures w14:val="none"/>
        </w:rPr>
      </w:pPr>
      <w:r>
        <w:rPr>
          <w:rFonts w:hint="eastAsia" w:ascii="新宋体" w:hAnsi="新宋体" w:eastAsia="新宋体" w:cs="新宋体"/>
          <w:color w:val="auto"/>
          <w:sz w:val="22"/>
          <w:szCs w:val="22"/>
          <w:highlight w:val="none"/>
          <w14:ligatures w14:val="none"/>
        </w:rPr>
        <w:t>现阶段，国内较多城市已先行启动算力设施建设，智能算力发展基础不断夯实。省内智算资源主要集中在浙北地区，浙南地区相对薄弱。温州有发展新型算力的区位优势、产业优势、数据优势和能源优势，加快新型算力基础设施建设，赋能经济社会高质量发展，为新质生产力注入新动力势在必行。</w:t>
      </w:r>
    </w:p>
    <w:p w14:paraId="74EA0637">
      <w:pPr>
        <w:keepNext w:val="0"/>
        <w:keepLines w:val="0"/>
        <w:pageBreakBefore w:val="0"/>
        <w:kinsoku/>
        <w:wordWrap/>
        <w:overflowPunct/>
        <w:topLinePunct w:val="0"/>
        <w:autoSpaceDE/>
        <w:autoSpaceDN/>
        <w:bidi w:val="0"/>
        <w:adjustRightInd/>
        <w:snapToGrid/>
        <w:spacing w:after="0" w:line="460" w:lineRule="exact"/>
        <w:ind w:firstLine="440" w:firstLineChars="200"/>
        <w:jc w:val="both"/>
        <w:textAlignment w:val="auto"/>
        <w:rPr>
          <w:rFonts w:hint="eastAsia" w:ascii="新宋体" w:hAnsi="新宋体" w:eastAsia="新宋体" w:cs="新宋体"/>
          <w:color w:val="auto"/>
          <w:sz w:val="22"/>
          <w:szCs w:val="22"/>
          <w:highlight w:val="none"/>
          <w14:ligatures w14:val="none"/>
        </w:rPr>
      </w:pPr>
      <w:r>
        <w:rPr>
          <w:rFonts w:hint="eastAsia" w:ascii="新宋体" w:hAnsi="新宋体" w:eastAsia="新宋体" w:cs="新宋体"/>
          <w:color w:val="auto"/>
          <w:sz w:val="22"/>
          <w:szCs w:val="22"/>
          <w:highlight w:val="none"/>
          <w14:ligatures w14:val="none"/>
        </w:rPr>
        <w:t>为促进算力资源供需对接，培育算力新产业、新业态和新模式，积极开展针对温州全市重点产业园、重点产业企业的算力服务和场景服务需求调研，提出对温州市智能算力建设和运营的意见具有非常重要的意义。</w:t>
      </w:r>
    </w:p>
    <w:p w14:paraId="50FD6417">
      <w:pPr>
        <w:keepNext w:val="0"/>
        <w:keepLines w:val="0"/>
        <w:pageBreakBefore w:val="0"/>
        <w:numPr>
          <w:ilvl w:val="0"/>
          <w:numId w:val="0"/>
        </w:numPr>
        <w:kinsoku/>
        <w:wordWrap/>
        <w:overflowPunct/>
        <w:topLinePunct w:val="0"/>
        <w:autoSpaceDE/>
        <w:autoSpaceDN/>
        <w:bidi w:val="0"/>
        <w:adjustRightInd/>
        <w:snapToGrid/>
        <w:spacing w:after="0" w:line="460" w:lineRule="exact"/>
        <w:ind w:firstLine="442" w:firstLineChars="200"/>
        <w:jc w:val="both"/>
        <w:textAlignment w:val="auto"/>
        <w:rPr>
          <w:rFonts w:hint="eastAsia" w:ascii="新宋体" w:hAnsi="新宋体" w:eastAsia="新宋体" w:cs="新宋体"/>
          <w:b/>
          <w:bCs/>
          <w:color w:val="auto"/>
          <w:sz w:val="22"/>
          <w:szCs w:val="22"/>
          <w:highlight w:val="none"/>
          <w14:ligatures w14:val="none"/>
        </w:rPr>
      </w:pPr>
      <w:r>
        <w:rPr>
          <w:rFonts w:hint="eastAsia" w:ascii="新宋体" w:hAnsi="新宋体" w:eastAsia="新宋体" w:cs="新宋体"/>
          <w:b/>
          <w:bCs/>
          <w:color w:val="auto"/>
          <w:kern w:val="2"/>
          <w:sz w:val="22"/>
          <w:szCs w:val="22"/>
          <w:highlight w:val="none"/>
          <w:lang w:val="en-US" w:eastAsia="zh-CN" w:bidi="ar-SA"/>
          <w14:ligatures w14:val="none"/>
        </w:rPr>
        <w:t>二、</w:t>
      </w:r>
      <w:r>
        <w:rPr>
          <w:rFonts w:hint="eastAsia" w:ascii="新宋体" w:hAnsi="新宋体" w:eastAsia="新宋体" w:cs="新宋体"/>
          <w:b/>
          <w:bCs/>
          <w:color w:val="auto"/>
          <w:sz w:val="22"/>
          <w:szCs w:val="22"/>
          <w:highlight w:val="none"/>
          <w14:ligatures w14:val="none"/>
        </w:rPr>
        <w:t>咨询服务范围</w:t>
      </w:r>
    </w:p>
    <w:p w14:paraId="23F5A6CA">
      <w:pPr>
        <w:keepNext w:val="0"/>
        <w:keepLines w:val="0"/>
        <w:pageBreakBefore w:val="0"/>
        <w:kinsoku/>
        <w:wordWrap/>
        <w:overflowPunct/>
        <w:topLinePunct w:val="0"/>
        <w:autoSpaceDE/>
        <w:autoSpaceDN/>
        <w:bidi w:val="0"/>
        <w:adjustRightInd/>
        <w:snapToGrid/>
        <w:spacing w:after="0" w:line="460" w:lineRule="exact"/>
        <w:ind w:firstLine="440" w:firstLineChars="200"/>
        <w:textAlignment w:val="auto"/>
        <w:rPr>
          <w:rFonts w:hint="eastAsia" w:ascii="新宋体" w:hAnsi="新宋体" w:eastAsia="新宋体" w:cs="新宋体"/>
          <w:color w:val="auto"/>
          <w:sz w:val="22"/>
          <w:szCs w:val="22"/>
          <w:highlight w:val="none"/>
          <w14:ligatures w14:val="none"/>
        </w:rPr>
      </w:pPr>
      <w:r>
        <w:rPr>
          <w:rFonts w:hint="eastAsia" w:ascii="新宋体" w:hAnsi="新宋体" w:eastAsia="新宋体" w:cs="新宋体"/>
          <w:color w:val="auto"/>
          <w:sz w:val="22"/>
          <w:szCs w:val="22"/>
          <w:highlight w:val="none"/>
          <w14:ligatures w14:val="none"/>
        </w:rPr>
        <w:t>本项目咨询服务范围主要包括对接主流大模型厂家形成面向温州典型场景的人工智能大模型能力清单，面向温州市典型产业园、主要产业企业和科研单位开展算力算法需求调研，完成温州市人工智能计算中心建设和运营咨询报告。</w:t>
      </w:r>
    </w:p>
    <w:p w14:paraId="220C6475">
      <w:pPr>
        <w:keepNext w:val="0"/>
        <w:keepLines w:val="0"/>
        <w:pageBreakBefore w:val="0"/>
        <w:numPr>
          <w:ilvl w:val="0"/>
          <w:numId w:val="0"/>
        </w:numPr>
        <w:kinsoku/>
        <w:wordWrap/>
        <w:overflowPunct/>
        <w:topLinePunct w:val="0"/>
        <w:autoSpaceDE/>
        <w:autoSpaceDN/>
        <w:bidi w:val="0"/>
        <w:adjustRightInd/>
        <w:snapToGrid/>
        <w:spacing w:after="0" w:line="460" w:lineRule="exact"/>
        <w:ind w:firstLine="442" w:firstLineChars="200"/>
        <w:jc w:val="both"/>
        <w:textAlignment w:val="auto"/>
        <w:rPr>
          <w:rFonts w:hint="eastAsia" w:ascii="新宋体" w:hAnsi="新宋体" w:eastAsia="新宋体" w:cs="新宋体"/>
          <w:b/>
          <w:bCs/>
          <w:color w:val="auto"/>
          <w:sz w:val="22"/>
          <w:szCs w:val="22"/>
          <w:highlight w:val="none"/>
          <w14:ligatures w14:val="none"/>
        </w:rPr>
      </w:pPr>
      <w:r>
        <w:rPr>
          <w:rFonts w:hint="eastAsia" w:ascii="新宋体" w:hAnsi="新宋体" w:eastAsia="新宋体" w:cs="新宋体"/>
          <w:b/>
          <w:bCs/>
          <w:color w:val="auto"/>
          <w:kern w:val="2"/>
          <w:sz w:val="22"/>
          <w:szCs w:val="22"/>
          <w:highlight w:val="none"/>
          <w:lang w:val="en-US" w:eastAsia="zh-CN" w:bidi="ar-SA"/>
          <w14:ligatures w14:val="none"/>
        </w:rPr>
        <w:t>三、</w:t>
      </w:r>
      <w:r>
        <w:rPr>
          <w:rFonts w:hint="eastAsia" w:ascii="新宋体" w:hAnsi="新宋体" w:eastAsia="新宋体" w:cs="新宋体"/>
          <w:b/>
          <w:bCs/>
          <w:color w:val="auto"/>
          <w:sz w:val="22"/>
          <w:szCs w:val="22"/>
          <w:highlight w:val="none"/>
          <w14:ligatures w14:val="none"/>
        </w:rPr>
        <w:t>咨询服务工作内容</w:t>
      </w:r>
    </w:p>
    <w:p w14:paraId="5076A482">
      <w:pPr>
        <w:keepNext w:val="0"/>
        <w:keepLines w:val="0"/>
        <w:pageBreakBefore w:val="0"/>
        <w:kinsoku/>
        <w:wordWrap/>
        <w:overflowPunct/>
        <w:topLinePunct w:val="0"/>
        <w:autoSpaceDE/>
        <w:autoSpaceDN/>
        <w:bidi w:val="0"/>
        <w:adjustRightInd/>
        <w:snapToGrid/>
        <w:spacing w:after="0" w:line="460" w:lineRule="exact"/>
        <w:ind w:firstLine="440" w:firstLineChars="200"/>
        <w:textAlignment w:val="auto"/>
        <w:rPr>
          <w:rFonts w:hint="eastAsia" w:ascii="新宋体" w:hAnsi="新宋体" w:eastAsia="新宋体" w:cs="新宋体"/>
          <w:color w:val="auto"/>
          <w:sz w:val="22"/>
          <w:szCs w:val="22"/>
          <w:highlight w:val="none"/>
          <w14:ligatures w14:val="none"/>
        </w:rPr>
      </w:pPr>
      <w:r>
        <w:rPr>
          <w:rFonts w:hint="eastAsia" w:ascii="新宋体" w:hAnsi="新宋体" w:eastAsia="新宋体" w:cs="新宋体"/>
          <w:color w:val="auto"/>
          <w:sz w:val="22"/>
          <w:szCs w:val="22"/>
          <w:highlight w:val="none"/>
          <w14:ligatures w14:val="none"/>
        </w:rPr>
        <w:t>本咨询服务项目提供的服务内容包括调研、评估、咨询报告编制等工作。具体如下：</w:t>
      </w:r>
    </w:p>
    <w:p w14:paraId="7291FE6B">
      <w:pPr>
        <w:keepNext w:val="0"/>
        <w:keepLines w:val="0"/>
        <w:pageBreakBefore w:val="0"/>
        <w:kinsoku/>
        <w:wordWrap/>
        <w:overflowPunct/>
        <w:topLinePunct w:val="0"/>
        <w:autoSpaceDE/>
        <w:autoSpaceDN/>
        <w:bidi w:val="0"/>
        <w:adjustRightInd/>
        <w:snapToGrid/>
        <w:spacing w:after="0" w:line="460" w:lineRule="exact"/>
        <w:ind w:firstLine="442" w:firstLineChars="200"/>
        <w:textAlignment w:val="auto"/>
        <w:rPr>
          <w:rFonts w:hint="eastAsia" w:ascii="新宋体" w:hAnsi="新宋体" w:eastAsia="新宋体" w:cs="新宋体"/>
          <w:b/>
          <w:bCs/>
          <w:color w:val="auto"/>
          <w:sz w:val="22"/>
          <w:szCs w:val="22"/>
          <w:highlight w:val="none"/>
          <w14:ligatures w14:val="none"/>
        </w:rPr>
      </w:pPr>
      <w:r>
        <w:rPr>
          <w:rFonts w:hint="eastAsia" w:ascii="新宋体" w:hAnsi="新宋体" w:eastAsia="新宋体" w:cs="新宋体"/>
          <w:b/>
          <w:bCs/>
          <w:color w:val="auto"/>
          <w:sz w:val="22"/>
          <w:szCs w:val="22"/>
          <w:highlight w:val="none"/>
          <w14:ligatures w14:val="none"/>
        </w:rPr>
        <w:t>1、新型算力和场景服务需求调研</w:t>
      </w:r>
    </w:p>
    <w:p w14:paraId="65DA3DFD">
      <w:pPr>
        <w:keepNext w:val="0"/>
        <w:keepLines w:val="0"/>
        <w:pageBreakBefore w:val="0"/>
        <w:kinsoku/>
        <w:wordWrap/>
        <w:overflowPunct/>
        <w:topLinePunct w:val="0"/>
        <w:autoSpaceDE/>
        <w:autoSpaceDN/>
        <w:bidi w:val="0"/>
        <w:adjustRightInd/>
        <w:snapToGrid/>
        <w:spacing w:after="0" w:line="460" w:lineRule="exact"/>
        <w:ind w:firstLine="440" w:firstLineChars="200"/>
        <w:jc w:val="both"/>
        <w:textAlignment w:val="auto"/>
        <w:rPr>
          <w:rFonts w:hint="eastAsia" w:ascii="新宋体" w:hAnsi="新宋体" w:eastAsia="新宋体" w:cs="新宋体"/>
          <w:color w:val="auto"/>
          <w:sz w:val="22"/>
          <w:szCs w:val="22"/>
          <w:highlight w:val="none"/>
          <w14:ligatures w14:val="none"/>
        </w:rPr>
      </w:pPr>
      <w:r>
        <w:rPr>
          <w:rFonts w:hint="eastAsia" w:ascii="新宋体" w:hAnsi="新宋体" w:eastAsia="新宋体" w:cs="新宋体"/>
          <w:color w:val="auto"/>
          <w:sz w:val="22"/>
          <w:szCs w:val="22"/>
          <w:highlight w:val="none"/>
          <w14:ligatures w14:val="none"/>
        </w:rPr>
        <w:t>立足人工智能赋能行业应用创新、政府治理创新、科学技术研究、产业生态建设四个维度，结合温州重点发展5大传统产业（鞋业制造、纺织服装、汽摩配、泵阀、电气）以及5大战新产业（生命健康、智能装备、新材料、新能源、数字经济）领域，重点针对“一港五谷”等创新载体和行业领军企业、典型企业进行实地走访调研。调研具体内容包括：</w:t>
      </w:r>
    </w:p>
    <w:p w14:paraId="0088FB24">
      <w:pPr>
        <w:keepNext w:val="0"/>
        <w:keepLines w:val="0"/>
        <w:pageBreakBefore w:val="0"/>
        <w:numPr>
          <w:ilvl w:val="0"/>
          <w:numId w:val="0"/>
        </w:numPr>
        <w:kinsoku/>
        <w:wordWrap/>
        <w:overflowPunct/>
        <w:topLinePunct w:val="0"/>
        <w:autoSpaceDE/>
        <w:autoSpaceDN/>
        <w:bidi w:val="0"/>
        <w:adjustRightInd/>
        <w:snapToGrid/>
        <w:spacing w:after="0" w:line="460" w:lineRule="exact"/>
        <w:ind w:firstLine="440" w:firstLineChars="200"/>
        <w:jc w:val="both"/>
        <w:textAlignment w:val="auto"/>
        <w:rPr>
          <w:rFonts w:hint="eastAsia" w:ascii="新宋体" w:hAnsi="新宋体" w:eastAsia="新宋体" w:cs="新宋体"/>
          <w:color w:val="auto"/>
          <w:sz w:val="22"/>
          <w:szCs w:val="22"/>
          <w:highlight w:val="none"/>
          <w14:ligatures w14:val="none"/>
        </w:rPr>
      </w:pPr>
      <w:r>
        <w:rPr>
          <w:rFonts w:hint="eastAsia" w:ascii="新宋体" w:hAnsi="新宋体" w:eastAsia="新宋体" w:cs="新宋体"/>
          <w:color w:val="auto"/>
          <w:kern w:val="2"/>
          <w:sz w:val="22"/>
          <w:szCs w:val="22"/>
          <w:highlight w:val="none"/>
          <w:lang w:val="en-US" w:eastAsia="zh-CN" w:bidi="ar-SA"/>
          <w14:ligatures w14:val="none"/>
        </w:rPr>
        <w:t>（1）</w:t>
      </w:r>
      <w:r>
        <w:rPr>
          <w:rFonts w:hint="eastAsia" w:ascii="新宋体" w:hAnsi="新宋体" w:eastAsia="新宋体" w:cs="新宋体"/>
          <w:color w:val="auto"/>
          <w:sz w:val="22"/>
          <w:szCs w:val="22"/>
          <w:highlight w:val="none"/>
          <w14:ligatures w14:val="none"/>
        </w:rPr>
        <w:t>模型供给能力调研：基于当前主流大模型能力，梳理厂家大模型特点及主要场景端能力，结合温州的特色，按照行业/场景分类，形成能力清单；</w:t>
      </w:r>
    </w:p>
    <w:p w14:paraId="22173A98">
      <w:pPr>
        <w:keepNext w:val="0"/>
        <w:keepLines w:val="0"/>
        <w:pageBreakBefore w:val="0"/>
        <w:numPr>
          <w:ilvl w:val="0"/>
          <w:numId w:val="0"/>
        </w:numPr>
        <w:kinsoku/>
        <w:wordWrap/>
        <w:overflowPunct/>
        <w:topLinePunct w:val="0"/>
        <w:autoSpaceDE/>
        <w:autoSpaceDN/>
        <w:bidi w:val="0"/>
        <w:adjustRightInd/>
        <w:snapToGrid/>
        <w:spacing w:after="0" w:line="460" w:lineRule="exact"/>
        <w:ind w:firstLine="440" w:firstLineChars="200"/>
        <w:jc w:val="both"/>
        <w:textAlignment w:val="auto"/>
        <w:rPr>
          <w:rFonts w:hint="eastAsia" w:ascii="新宋体" w:hAnsi="新宋体" w:eastAsia="新宋体" w:cs="新宋体"/>
          <w:color w:val="auto"/>
          <w:sz w:val="22"/>
          <w:szCs w:val="22"/>
          <w:highlight w:val="none"/>
          <w14:ligatures w14:val="none"/>
        </w:rPr>
      </w:pPr>
      <w:r>
        <w:rPr>
          <w:rFonts w:hint="eastAsia" w:ascii="新宋体" w:hAnsi="新宋体" w:eastAsia="新宋体" w:cs="新宋体"/>
          <w:color w:val="auto"/>
          <w:kern w:val="2"/>
          <w:sz w:val="22"/>
          <w:szCs w:val="22"/>
          <w:highlight w:val="none"/>
          <w:lang w:val="en-US" w:eastAsia="zh-CN" w:bidi="ar-SA"/>
          <w14:ligatures w14:val="none"/>
        </w:rPr>
        <w:t>（2）</w:t>
      </w:r>
      <w:r>
        <w:rPr>
          <w:rFonts w:hint="eastAsia" w:ascii="新宋体" w:hAnsi="新宋体" w:eastAsia="新宋体" w:cs="新宋体"/>
          <w:color w:val="auto"/>
          <w:sz w:val="22"/>
          <w:szCs w:val="22"/>
          <w:highlight w:val="none"/>
          <w14:ligatures w14:val="none"/>
        </w:rPr>
        <w:t>算力算法需求调研：针对重要产业园和重点企业进行在利用人工智能赋能科研、生产、销售、管理等各类场景的开发进展及计划，以及产业园/企业在通算/智算/超算资源方面的现有条件及未来需求（包括计算能力、数据存储、网络通信等）；</w:t>
      </w:r>
    </w:p>
    <w:p w14:paraId="702F9AA1">
      <w:pPr>
        <w:keepNext w:val="0"/>
        <w:keepLines w:val="0"/>
        <w:pageBreakBefore w:val="0"/>
        <w:numPr>
          <w:ilvl w:val="0"/>
          <w:numId w:val="0"/>
        </w:numPr>
        <w:kinsoku/>
        <w:wordWrap/>
        <w:overflowPunct/>
        <w:topLinePunct w:val="0"/>
        <w:autoSpaceDE/>
        <w:autoSpaceDN/>
        <w:bidi w:val="0"/>
        <w:adjustRightInd/>
        <w:snapToGrid/>
        <w:spacing w:after="0" w:line="460" w:lineRule="exact"/>
        <w:ind w:firstLine="440" w:firstLineChars="200"/>
        <w:jc w:val="both"/>
        <w:textAlignment w:val="auto"/>
        <w:rPr>
          <w:rFonts w:hint="eastAsia" w:ascii="新宋体" w:hAnsi="新宋体" w:eastAsia="新宋体" w:cs="新宋体"/>
          <w:color w:val="auto"/>
          <w:sz w:val="22"/>
          <w:szCs w:val="22"/>
          <w:highlight w:val="none"/>
          <w14:ligatures w14:val="none"/>
        </w:rPr>
      </w:pPr>
      <w:r>
        <w:rPr>
          <w:rFonts w:hint="eastAsia" w:ascii="新宋体" w:hAnsi="新宋体" w:eastAsia="新宋体" w:cs="新宋体"/>
          <w:color w:val="auto"/>
          <w:kern w:val="2"/>
          <w:sz w:val="22"/>
          <w:szCs w:val="22"/>
          <w:highlight w:val="none"/>
          <w:lang w:val="en-US" w:eastAsia="zh-CN" w:bidi="ar-SA"/>
          <w14:ligatures w14:val="none"/>
        </w:rPr>
        <w:t>（3）</w:t>
      </w:r>
      <w:r>
        <w:rPr>
          <w:rFonts w:hint="eastAsia" w:ascii="新宋体" w:hAnsi="新宋体" w:eastAsia="新宋体" w:cs="新宋体"/>
          <w:color w:val="auto"/>
          <w:sz w:val="22"/>
          <w:szCs w:val="22"/>
          <w:highlight w:val="none"/>
          <w14:ligatures w14:val="none"/>
        </w:rPr>
        <w:t>自研算法能力调研：全市现有518家涉足人工智能领域的企事业单位，包含168家科技企业和37家隐形冠军企业，调研典型的人工智能领域企事业单位，摸排自研垂类模型能力。</w:t>
      </w:r>
    </w:p>
    <w:p w14:paraId="6D4C0DC8">
      <w:pPr>
        <w:keepNext w:val="0"/>
        <w:keepLines w:val="0"/>
        <w:pageBreakBefore w:val="0"/>
        <w:kinsoku/>
        <w:wordWrap/>
        <w:overflowPunct/>
        <w:topLinePunct w:val="0"/>
        <w:autoSpaceDE/>
        <w:autoSpaceDN/>
        <w:bidi w:val="0"/>
        <w:adjustRightInd/>
        <w:snapToGrid/>
        <w:spacing w:after="0" w:line="460" w:lineRule="exact"/>
        <w:ind w:firstLine="442" w:firstLineChars="200"/>
        <w:jc w:val="both"/>
        <w:textAlignment w:val="auto"/>
        <w:rPr>
          <w:rFonts w:hint="eastAsia" w:ascii="新宋体" w:hAnsi="新宋体" w:eastAsia="新宋体" w:cs="新宋体"/>
          <w:b/>
          <w:bCs/>
          <w:color w:val="auto"/>
          <w:sz w:val="22"/>
          <w:szCs w:val="22"/>
          <w:highlight w:val="none"/>
          <w14:ligatures w14:val="none"/>
        </w:rPr>
      </w:pPr>
      <w:r>
        <w:rPr>
          <w:rFonts w:hint="eastAsia" w:ascii="新宋体" w:hAnsi="新宋体" w:eastAsia="新宋体" w:cs="新宋体"/>
          <w:b/>
          <w:bCs/>
          <w:color w:val="auto"/>
          <w:sz w:val="22"/>
          <w:szCs w:val="22"/>
          <w:highlight w:val="none"/>
          <w14:ligatures w14:val="none"/>
        </w:rPr>
        <w:t>2、算力资源需求评估</w:t>
      </w:r>
    </w:p>
    <w:p w14:paraId="19B99A7C">
      <w:pPr>
        <w:keepNext w:val="0"/>
        <w:keepLines w:val="0"/>
        <w:pageBreakBefore w:val="0"/>
        <w:kinsoku/>
        <w:wordWrap/>
        <w:overflowPunct/>
        <w:topLinePunct w:val="0"/>
        <w:autoSpaceDE/>
        <w:autoSpaceDN/>
        <w:bidi w:val="0"/>
        <w:adjustRightInd/>
        <w:snapToGrid/>
        <w:spacing w:after="0" w:line="460" w:lineRule="exact"/>
        <w:ind w:firstLine="440" w:firstLineChars="200"/>
        <w:jc w:val="both"/>
        <w:textAlignment w:val="auto"/>
        <w:rPr>
          <w:rFonts w:hint="eastAsia" w:ascii="新宋体" w:hAnsi="新宋体" w:eastAsia="新宋体" w:cs="新宋体"/>
          <w:color w:val="auto"/>
          <w:sz w:val="22"/>
          <w:szCs w:val="22"/>
          <w:highlight w:val="none"/>
          <w14:ligatures w14:val="none"/>
        </w:rPr>
      </w:pPr>
      <w:r>
        <w:rPr>
          <w:rFonts w:hint="eastAsia" w:ascii="新宋体" w:hAnsi="新宋体" w:eastAsia="新宋体" w:cs="新宋体"/>
          <w:color w:val="auto"/>
          <w:sz w:val="22"/>
          <w:szCs w:val="22"/>
          <w:highlight w:val="none"/>
          <w14:ligatures w14:val="none"/>
        </w:rPr>
        <w:t>基于当前算力场景服务需求的调研结果，结合温州现有新型算力设施的建设情况，对未来3年温州市新型算力资源需求进行全面评估，主要包括：</w:t>
      </w:r>
    </w:p>
    <w:p w14:paraId="00683F06">
      <w:pPr>
        <w:keepNext w:val="0"/>
        <w:keepLines w:val="0"/>
        <w:pageBreakBefore w:val="0"/>
        <w:numPr>
          <w:ilvl w:val="0"/>
          <w:numId w:val="3"/>
        </w:numPr>
        <w:kinsoku/>
        <w:wordWrap/>
        <w:overflowPunct/>
        <w:topLinePunct w:val="0"/>
        <w:autoSpaceDE/>
        <w:autoSpaceDN/>
        <w:bidi w:val="0"/>
        <w:adjustRightInd/>
        <w:snapToGrid/>
        <w:spacing w:after="0" w:line="460" w:lineRule="exact"/>
        <w:ind w:firstLine="440" w:firstLineChars="200"/>
        <w:jc w:val="both"/>
        <w:textAlignment w:val="auto"/>
        <w:rPr>
          <w:rFonts w:hint="eastAsia" w:ascii="新宋体" w:hAnsi="新宋体" w:eastAsia="新宋体" w:cs="新宋体"/>
          <w:color w:val="auto"/>
          <w:sz w:val="22"/>
          <w:szCs w:val="22"/>
          <w:highlight w:val="none"/>
          <w14:ligatures w14:val="none"/>
        </w:rPr>
      </w:pPr>
      <w:r>
        <w:rPr>
          <w:rFonts w:hint="eastAsia" w:ascii="新宋体" w:hAnsi="新宋体" w:eastAsia="新宋体" w:cs="新宋体"/>
          <w:color w:val="auto"/>
          <w:sz w:val="22"/>
          <w:szCs w:val="22"/>
          <w:highlight w:val="none"/>
          <w14:ligatures w14:val="none"/>
        </w:rPr>
        <w:t>算力消纳主要需求场景：评估在元宇宙、多媒体渲染、工业互联网、智慧城市、科学研究等场景的算力需求，细化需求场景，评估推理、训练算力需求情况。</w:t>
      </w:r>
    </w:p>
    <w:p w14:paraId="3A467098">
      <w:pPr>
        <w:keepNext w:val="0"/>
        <w:keepLines w:val="0"/>
        <w:pageBreakBefore w:val="0"/>
        <w:numPr>
          <w:ilvl w:val="0"/>
          <w:numId w:val="3"/>
        </w:numPr>
        <w:kinsoku/>
        <w:wordWrap/>
        <w:overflowPunct/>
        <w:topLinePunct w:val="0"/>
        <w:autoSpaceDE/>
        <w:autoSpaceDN/>
        <w:bidi w:val="0"/>
        <w:adjustRightInd/>
        <w:snapToGrid/>
        <w:spacing w:after="0" w:line="460" w:lineRule="exact"/>
        <w:ind w:firstLine="440" w:firstLineChars="200"/>
        <w:jc w:val="both"/>
        <w:textAlignment w:val="auto"/>
        <w:rPr>
          <w:rFonts w:hint="eastAsia" w:ascii="新宋体" w:hAnsi="新宋体" w:eastAsia="新宋体" w:cs="新宋体"/>
          <w:color w:val="auto"/>
          <w:sz w:val="22"/>
          <w:szCs w:val="22"/>
          <w:highlight w:val="none"/>
          <w14:ligatures w14:val="none"/>
        </w:rPr>
      </w:pPr>
      <w:r>
        <w:rPr>
          <w:rFonts w:hint="eastAsia" w:ascii="新宋体" w:hAnsi="新宋体" w:eastAsia="新宋体" w:cs="新宋体"/>
          <w:color w:val="auto"/>
          <w:sz w:val="22"/>
          <w:szCs w:val="22"/>
          <w:highlight w:val="none"/>
          <w14:ligatures w14:val="none"/>
        </w:rPr>
        <w:t>算力规模需求：评估不同领域对算力的具体需求，包括计算速度、存储容量、网络带宽等方面的要求，以确定未来算力资源的建设规模和布局。</w:t>
      </w:r>
    </w:p>
    <w:p w14:paraId="3B5A3F87">
      <w:pPr>
        <w:keepNext w:val="0"/>
        <w:keepLines w:val="0"/>
        <w:pageBreakBefore w:val="0"/>
        <w:kinsoku/>
        <w:wordWrap/>
        <w:overflowPunct/>
        <w:topLinePunct w:val="0"/>
        <w:autoSpaceDE/>
        <w:autoSpaceDN/>
        <w:bidi w:val="0"/>
        <w:adjustRightInd/>
        <w:snapToGrid/>
        <w:spacing w:after="0" w:line="460" w:lineRule="exact"/>
        <w:ind w:firstLine="442" w:firstLineChars="200"/>
        <w:jc w:val="both"/>
        <w:textAlignment w:val="auto"/>
        <w:rPr>
          <w:rFonts w:hint="eastAsia" w:ascii="新宋体" w:hAnsi="新宋体" w:eastAsia="新宋体" w:cs="新宋体"/>
          <w:b/>
          <w:bCs/>
          <w:color w:val="auto"/>
          <w:sz w:val="22"/>
          <w:szCs w:val="22"/>
          <w:highlight w:val="none"/>
          <w14:ligatures w14:val="none"/>
        </w:rPr>
      </w:pPr>
      <w:r>
        <w:rPr>
          <w:rFonts w:hint="eastAsia" w:ascii="新宋体" w:hAnsi="新宋体" w:eastAsia="新宋体" w:cs="新宋体"/>
          <w:b/>
          <w:bCs/>
          <w:color w:val="auto"/>
          <w:sz w:val="22"/>
          <w:szCs w:val="22"/>
          <w:highlight w:val="none"/>
          <w14:ligatures w14:val="none"/>
        </w:rPr>
        <w:t>3、算力建设运营技术咨询</w:t>
      </w:r>
    </w:p>
    <w:p w14:paraId="1043EAC6">
      <w:pPr>
        <w:keepNext w:val="0"/>
        <w:keepLines w:val="0"/>
        <w:pageBreakBefore w:val="0"/>
        <w:kinsoku/>
        <w:wordWrap/>
        <w:overflowPunct/>
        <w:topLinePunct w:val="0"/>
        <w:autoSpaceDE/>
        <w:autoSpaceDN/>
        <w:bidi w:val="0"/>
        <w:adjustRightInd/>
        <w:snapToGrid/>
        <w:spacing w:after="0" w:line="460" w:lineRule="exact"/>
        <w:ind w:firstLine="440" w:firstLineChars="200"/>
        <w:jc w:val="both"/>
        <w:textAlignment w:val="auto"/>
        <w:rPr>
          <w:rFonts w:hint="eastAsia" w:ascii="新宋体" w:hAnsi="新宋体" w:eastAsia="新宋体" w:cs="新宋体"/>
          <w:b/>
          <w:bCs/>
          <w:color w:val="auto"/>
          <w:sz w:val="22"/>
          <w:szCs w:val="22"/>
          <w:highlight w:val="none"/>
          <w14:ligatures w14:val="none"/>
        </w:rPr>
      </w:pPr>
      <w:r>
        <w:rPr>
          <w:rFonts w:hint="eastAsia" w:ascii="新宋体" w:hAnsi="新宋体" w:eastAsia="新宋体" w:cs="新宋体"/>
          <w:color w:val="auto"/>
          <w:sz w:val="22"/>
          <w:szCs w:val="22"/>
          <w:highlight w:val="none"/>
          <w14:ligatures w14:val="none"/>
        </w:rPr>
        <w:t>在充分考虑温州本地特色资源、产业发展需求及未来战略规划的基础上，深入分析各地智算中心建设情况，为温州市人工智能计算中心的建设和运营提供技术咨询，涵盖发展目标和定位、合理的建设规模、技术体系、运营场景及产业生态培育等。</w:t>
      </w:r>
    </w:p>
    <w:p w14:paraId="18926168">
      <w:pPr>
        <w:keepNext w:val="0"/>
        <w:keepLines w:val="0"/>
        <w:pageBreakBefore w:val="0"/>
        <w:numPr>
          <w:ilvl w:val="0"/>
          <w:numId w:val="0"/>
        </w:numPr>
        <w:kinsoku/>
        <w:wordWrap/>
        <w:overflowPunct/>
        <w:topLinePunct w:val="0"/>
        <w:autoSpaceDE/>
        <w:autoSpaceDN/>
        <w:bidi w:val="0"/>
        <w:adjustRightInd/>
        <w:snapToGrid/>
        <w:spacing w:after="0" w:line="460" w:lineRule="exact"/>
        <w:ind w:firstLine="442" w:firstLineChars="200"/>
        <w:jc w:val="both"/>
        <w:textAlignment w:val="auto"/>
        <w:rPr>
          <w:rFonts w:hint="eastAsia" w:ascii="新宋体" w:hAnsi="新宋体" w:eastAsia="新宋体" w:cs="新宋体"/>
          <w:b/>
          <w:bCs/>
          <w:color w:val="auto"/>
          <w:sz w:val="22"/>
          <w:szCs w:val="22"/>
          <w:highlight w:val="none"/>
          <w14:ligatures w14:val="none"/>
        </w:rPr>
      </w:pPr>
      <w:r>
        <w:rPr>
          <w:rFonts w:hint="eastAsia" w:ascii="新宋体" w:hAnsi="新宋体" w:eastAsia="新宋体" w:cs="新宋体"/>
          <w:b/>
          <w:bCs/>
          <w:color w:val="auto"/>
          <w:kern w:val="2"/>
          <w:sz w:val="22"/>
          <w:szCs w:val="22"/>
          <w:highlight w:val="none"/>
          <w:lang w:val="en-US" w:eastAsia="zh-CN" w:bidi="ar-SA"/>
          <w14:ligatures w14:val="none"/>
        </w:rPr>
        <w:t>四、</w:t>
      </w:r>
      <w:r>
        <w:rPr>
          <w:rFonts w:hint="eastAsia" w:ascii="新宋体" w:hAnsi="新宋体" w:eastAsia="新宋体" w:cs="新宋体"/>
          <w:b/>
          <w:bCs/>
          <w:color w:val="auto"/>
          <w:sz w:val="22"/>
          <w:szCs w:val="22"/>
          <w:highlight w:val="none"/>
          <w14:ligatures w14:val="none"/>
        </w:rPr>
        <w:t>咨询服务工作要求</w:t>
      </w:r>
    </w:p>
    <w:p w14:paraId="42AFA474">
      <w:pPr>
        <w:keepNext w:val="0"/>
        <w:keepLines w:val="0"/>
        <w:pageBreakBefore w:val="0"/>
        <w:kinsoku/>
        <w:wordWrap/>
        <w:overflowPunct/>
        <w:topLinePunct w:val="0"/>
        <w:autoSpaceDE/>
        <w:autoSpaceDN/>
        <w:bidi w:val="0"/>
        <w:adjustRightInd/>
        <w:snapToGrid/>
        <w:spacing w:after="0" w:line="460" w:lineRule="exact"/>
        <w:ind w:firstLine="440" w:firstLineChars="200"/>
        <w:jc w:val="both"/>
        <w:textAlignment w:val="auto"/>
        <w:rPr>
          <w:rFonts w:hint="eastAsia" w:ascii="新宋体" w:hAnsi="新宋体" w:eastAsia="新宋体" w:cs="新宋体"/>
          <w:color w:val="auto"/>
          <w:sz w:val="22"/>
          <w:szCs w:val="22"/>
          <w:highlight w:val="none"/>
          <w14:ligatures w14:val="none"/>
        </w:rPr>
      </w:pPr>
      <w:r>
        <w:rPr>
          <w:rFonts w:hint="eastAsia" w:ascii="新宋体" w:hAnsi="新宋体" w:eastAsia="新宋体" w:cs="新宋体"/>
          <w:color w:val="auto"/>
          <w:sz w:val="22"/>
          <w:szCs w:val="22"/>
          <w:highlight w:val="none"/>
          <w14:ligatures w14:val="none"/>
        </w:rPr>
        <w:t>温州市人工智能算力中心咨询服务需要充分研究国家和浙江省层面新型算力体系和人工智能产业的发展战略和规划，体现对各级政策的接应以及合规性要求。咨询服务要充分结合温州市的产业基础、数据基础和能源优势，与温州市重要产业发展战略相融合、新技术发展趋势相协调。建设和运营建议要包括温州市智算中心发展现状、战略定位、发展目标、主要任务、重点项目、保障措施等内容，明确温州市智算中心发展的技术路线、运营场景，全面系统地指导温州市智能算力建设。</w:t>
      </w:r>
    </w:p>
    <w:p w14:paraId="6744CF87">
      <w:pPr>
        <w:keepNext w:val="0"/>
        <w:keepLines w:val="0"/>
        <w:pageBreakBefore w:val="0"/>
        <w:numPr>
          <w:ilvl w:val="0"/>
          <w:numId w:val="0"/>
        </w:numPr>
        <w:kinsoku/>
        <w:wordWrap/>
        <w:overflowPunct/>
        <w:topLinePunct w:val="0"/>
        <w:autoSpaceDE/>
        <w:autoSpaceDN/>
        <w:bidi w:val="0"/>
        <w:adjustRightInd/>
        <w:snapToGrid/>
        <w:spacing w:after="0" w:line="460" w:lineRule="exact"/>
        <w:ind w:firstLine="442" w:firstLineChars="200"/>
        <w:jc w:val="both"/>
        <w:textAlignment w:val="auto"/>
        <w:rPr>
          <w:rFonts w:hint="eastAsia" w:ascii="新宋体" w:hAnsi="新宋体" w:eastAsia="新宋体" w:cs="新宋体"/>
          <w:b/>
          <w:bCs/>
          <w:color w:val="auto"/>
          <w:sz w:val="22"/>
          <w:szCs w:val="22"/>
          <w:highlight w:val="none"/>
          <w14:ligatures w14:val="none"/>
        </w:rPr>
      </w:pPr>
      <w:r>
        <w:rPr>
          <w:rFonts w:hint="eastAsia" w:ascii="新宋体" w:hAnsi="新宋体" w:eastAsia="新宋体" w:cs="新宋体"/>
          <w:b/>
          <w:bCs/>
          <w:color w:val="auto"/>
          <w:kern w:val="2"/>
          <w:sz w:val="22"/>
          <w:szCs w:val="22"/>
          <w:highlight w:val="none"/>
          <w:lang w:val="en-US" w:eastAsia="zh-CN" w:bidi="ar-SA"/>
          <w14:ligatures w14:val="none"/>
        </w:rPr>
        <w:t>五、</w:t>
      </w:r>
      <w:r>
        <w:rPr>
          <w:rFonts w:hint="eastAsia" w:ascii="新宋体" w:hAnsi="新宋体" w:eastAsia="新宋体" w:cs="新宋体"/>
          <w:b/>
          <w:bCs/>
          <w:color w:val="auto"/>
          <w:sz w:val="22"/>
          <w:szCs w:val="22"/>
          <w:highlight w:val="none"/>
          <w14:ligatures w14:val="none"/>
        </w:rPr>
        <w:t>项目成果要求</w:t>
      </w:r>
    </w:p>
    <w:p w14:paraId="55DA62A1">
      <w:pPr>
        <w:keepNext w:val="0"/>
        <w:keepLines w:val="0"/>
        <w:pageBreakBefore w:val="0"/>
        <w:kinsoku/>
        <w:wordWrap/>
        <w:overflowPunct/>
        <w:topLinePunct w:val="0"/>
        <w:autoSpaceDE/>
        <w:autoSpaceDN/>
        <w:bidi w:val="0"/>
        <w:adjustRightInd/>
        <w:snapToGrid/>
        <w:spacing w:after="0" w:line="460" w:lineRule="exact"/>
        <w:ind w:firstLine="440" w:firstLineChars="200"/>
        <w:textAlignment w:val="auto"/>
        <w:rPr>
          <w:rFonts w:hint="eastAsia" w:ascii="新宋体" w:hAnsi="新宋体" w:eastAsia="新宋体" w:cs="新宋体"/>
          <w:color w:val="auto"/>
          <w:sz w:val="22"/>
          <w:szCs w:val="22"/>
          <w:highlight w:val="none"/>
          <w14:ligatures w14:val="none"/>
        </w:rPr>
      </w:pPr>
      <w:r>
        <w:rPr>
          <w:rFonts w:hint="eastAsia" w:ascii="新宋体" w:hAnsi="新宋体" w:eastAsia="新宋体" w:cs="新宋体"/>
          <w:color w:val="auto"/>
          <w:sz w:val="22"/>
          <w:szCs w:val="22"/>
          <w:highlight w:val="none"/>
          <w14:ligatures w14:val="none"/>
        </w:rPr>
        <w:t>本咨询服务项目的主要交付成果：</w:t>
      </w:r>
    </w:p>
    <w:p w14:paraId="3606AC9B">
      <w:pPr>
        <w:keepNext w:val="0"/>
        <w:keepLines w:val="0"/>
        <w:pageBreakBefore w:val="0"/>
        <w:numPr>
          <w:ilvl w:val="0"/>
          <w:numId w:val="4"/>
        </w:numPr>
        <w:kinsoku/>
        <w:wordWrap/>
        <w:overflowPunct/>
        <w:topLinePunct w:val="0"/>
        <w:autoSpaceDE/>
        <w:autoSpaceDN/>
        <w:bidi w:val="0"/>
        <w:adjustRightInd/>
        <w:snapToGrid/>
        <w:spacing w:after="0" w:line="460" w:lineRule="exact"/>
        <w:ind w:firstLine="440" w:firstLineChars="200"/>
        <w:jc w:val="both"/>
        <w:textAlignment w:val="auto"/>
        <w:rPr>
          <w:rFonts w:hint="eastAsia" w:ascii="新宋体" w:hAnsi="新宋体" w:eastAsia="新宋体" w:cs="新宋体"/>
          <w:color w:val="auto"/>
          <w:sz w:val="22"/>
          <w:szCs w:val="22"/>
          <w:highlight w:val="none"/>
          <w14:ligatures w14:val="none"/>
        </w:rPr>
      </w:pPr>
      <w:r>
        <w:rPr>
          <w:rFonts w:hint="eastAsia" w:ascii="新宋体" w:hAnsi="新宋体" w:eastAsia="新宋体" w:cs="新宋体"/>
          <w:color w:val="auto"/>
          <w:sz w:val="22"/>
          <w:szCs w:val="22"/>
          <w:highlight w:val="none"/>
          <w14:ligatures w14:val="none"/>
        </w:rPr>
        <w:t>《面向温州市典型场景的人工智能大模型能力清单》</w:t>
      </w:r>
    </w:p>
    <w:p w14:paraId="39188249">
      <w:pPr>
        <w:keepNext w:val="0"/>
        <w:keepLines w:val="0"/>
        <w:pageBreakBefore w:val="0"/>
        <w:kinsoku/>
        <w:wordWrap/>
        <w:overflowPunct/>
        <w:topLinePunct w:val="0"/>
        <w:autoSpaceDE/>
        <w:autoSpaceDN/>
        <w:bidi w:val="0"/>
        <w:adjustRightInd/>
        <w:snapToGrid/>
        <w:spacing w:after="0" w:line="460" w:lineRule="exact"/>
        <w:ind w:firstLine="440" w:firstLineChars="200"/>
        <w:textAlignment w:val="auto"/>
        <w:rPr>
          <w:rFonts w:hint="eastAsia" w:ascii="新宋体" w:hAnsi="新宋体" w:eastAsia="新宋体" w:cs="新宋体"/>
          <w:color w:val="auto"/>
          <w:sz w:val="22"/>
          <w:szCs w:val="22"/>
          <w:highlight w:val="none"/>
          <w14:ligatures w14:val="none"/>
        </w:rPr>
      </w:pPr>
      <w:r>
        <w:rPr>
          <w:rFonts w:hint="eastAsia" w:ascii="新宋体" w:hAnsi="新宋体" w:eastAsia="新宋体" w:cs="新宋体"/>
          <w:color w:val="auto"/>
          <w:sz w:val="22"/>
          <w:szCs w:val="22"/>
          <w:highlight w:val="none"/>
          <w14:ligatures w14:val="none"/>
        </w:rPr>
        <w:t>要求充分结合温州市产业发展和优势场景，梳理温州市新型算力赋能的典型场景，充分调研主流大模型厂家能力，输出面向温州市典型场景的大模型供给能力清单。</w:t>
      </w:r>
    </w:p>
    <w:p w14:paraId="7C4B0B66">
      <w:pPr>
        <w:keepNext w:val="0"/>
        <w:keepLines w:val="0"/>
        <w:pageBreakBefore w:val="0"/>
        <w:numPr>
          <w:ilvl w:val="0"/>
          <w:numId w:val="4"/>
        </w:numPr>
        <w:kinsoku/>
        <w:wordWrap/>
        <w:overflowPunct/>
        <w:topLinePunct w:val="0"/>
        <w:autoSpaceDE/>
        <w:autoSpaceDN/>
        <w:bidi w:val="0"/>
        <w:adjustRightInd/>
        <w:snapToGrid/>
        <w:spacing w:after="0" w:line="460" w:lineRule="exact"/>
        <w:ind w:firstLine="440" w:firstLineChars="200"/>
        <w:jc w:val="both"/>
        <w:textAlignment w:val="auto"/>
        <w:rPr>
          <w:rFonts w:hint="eastAsia" w:ascii="新宋体" w:hAnsi="新宋体" w:eastAsia="新宋体" w:cs="新宋体"/>
          <w:color w:val="auto"/>
          <w:sz w:val="22"/>
          <w:szCs w:val="22"/>
          <w:highlight w:val="none"/>
          <w14:ligatures w14:val="none"/>
        </w:rPr>
      </w:pPr>
      <w:r>
        <w:rPr>
          <w:rFonts w:hint="eastAsia" w:ascii="新宋体" w:hAnsi="新宋体" w:eastAsia="新宋体" w:cs="新宋体"/>
          <w:color w:val="auto"/>
          <w:sz w:val="22"/>
          <w:szCs w:val="22"/>
          <w:highlight w:val="none"/>
          <w14:ligatures w14:val="none"/>
        </w:rPr>
        <w:t>《温州市新型算力及场景服务需求调研报告》</w:t>
      </w:r>
    </w:p>
    <w:p w14:paraId="660142EF">
      <w:pPr>
        <w:keepNext w:val="0"/>
        <w:keepLines w:val="0"/>
        <w:pageBreakBefore w:val="0"/>
        <w:kinsoku/>
        <w:wordWrap/>
        <w:overflowPunct/>
        <w:topLinePunct w:val="0"/>
        <w:autoSpaceDE/>
        <w:autoSpaceDN/>
        <w:bidi w:val="0"/>
        <w:adjustRightInd/>
        <w:snapToGrid/>
        <w:spacing w:after="0" w:line="460" w:lineRule="exact"/>
        <w:ind w:firstLine="440" w:firstLineChars="200"/>
        <w:textAlignment w:val="auto"/>
        <w:rPr>
          <w:rFonts w:hint="eastAsia" w:ascii="新宋体" w:hAnsi="新宋体" w:eastAsia="新宋体" w:cs="新宋体"/>
          <w:color w:val="auto"/>
          <w:sz w:val="22"/>
          <w:szCs w:val="22"/>
          <w:highlight w:val="none"/>
          <w14:ligatures w14:val="none"/>
        </w:rPr>
      </w:pPr>
      <w:r>
        <w:rPr>
          <w:rFonts w:hint="eastAsia" w:ascii="新宋体" w:hAnsi="新宋体" w:eastAsia="新宋体" w:cs="新宋体"/>
          <w:color w:val="auto"/>
          <w:sz w:val="22"/>
          <w:szCs w:val="22"/>
          <w:highlight w:val="none"/>
          <w14:ligatures w14:val="none"/>
        </w:rPr>
        <w:t>要求聚焦温州市“5+5”重点产业以及重点产业园进行详细地实地调研排摸，调研工作扎实可靠，形成规范性调研纪要和调研总结报告。</w:t>
      </w:r>
    </w:p>
    <w:p w14:paraId="5971C6D4">
      <w:pPr>
        <w:keepNext w:val="0"/>
        <w:keepLines w:val="0"/>
        <w:pageBreakBefore w:val="0"/>
        <w:numPr>
          <w:ilvl w:val="0"/>
          <w:numId w:val="4"/>
        </w:numPr>
        <w:kinsoku/>
        <w:wordWrap/>
        <w:overflowPunct/>
        <w:topLinePunct w:val="0"/>
        <w:autoSpaceDE/>
        <w:autoSpaceDN/>
        <w:bidi w:val="0"/>
        <w:adjustRightInd/>
        <w:snapToGrid/>
        <w:spacing w:after="0" w:line="460" w:lineRule="exact"/>
        <w:ind w:firstLine="440" w:firstLineChars="200"/>
        <w:jc w:val="both"/>
        <w:textAlignment w:val="auto"/>
        <w:rPr>
          <w:rFonts w:hint="eastAsia" w:ascii="新宋体" w:hAnsi="新宋体" w:eastAsia="新宋体" w:cs="新宋体"/>
          <w:color w:val="auto"/>
          <w:sz w:val="22"/>
          <w:szCs w:val="22"/>
          <w:highlight w:val="none"/>
          <w14:ligatures w14:val="none"/>
        </w:rPr>
      </w:pPr>
      <w:r>
        <w:rPr>
          <w:rFonts w:hint="eastAsia" w:ascii="新宋体" w:hAnsi="新宋体" w:eastAsia="新宋体" w:cs="新宋体"/>
          <w:color w:val="auto"/>
          <w:sz w:val="22"/>
          <w:szCs w:val="22"/>
          <w:highlight w:val="none"/>
          <w14:ligatures w14:val="none"/>
        </w:rPr>
        <w:t>《温州市新型算力基础设施建设运营发展建议》</w:t>
      </w:r>
    </w:p>
    <w:p w14:paraId="7CE5A474">
      <w:pPr>
        <w:keepNext w:val="0"/>
        <w:keepLines w:val="0"/>
        <w:pageBreakBefore w:val="0"/>
        <w:kinsoku/>
        <w:wordWrap/>
        <w:overflowPunct/>
        <w:topLinePunct w:val="0"/>
        <w:autoSpaceDE/>
        <w:autoSpaceDN/>
        <w:bidi w:val="0"/>
        <w:adjustRightInd/>
        <w:snapToGrid/>
        <w:spacing w:after="0" w:line="460" w:lineRule="exact"/>
        <w:ind w:firstLine="440" w:firstLineChars="200"/>
        <w:textAlignment w:val="auto"/>
        <w:rPr>
          <w:rFonts w:hint="eastAsia" w:ascii="新宋体" w:hAnsi="新宋体" w:eastAsia="新宋体" w:cs="新宋体"/>
          <w:color w:val="auto"/>
          <w:sz w:val="22"/>
          <w:szCs w:val="22"/>
          <w:highlight w:val="none"/>
          <w14:ligatures w14:val="none"/>
        </w:rPr>
      </w:pPr>
      <w:r>
        <w:rPr>
          <w:rFonts w:hint="eastAsia" w:ascii="新宋体" w:hAnsi="新宋体" w:eastAsia="新宋体" w:cs="新宋体"/>
          <w:color w:val="auto"/>
          <w:sz w:val="22"/>
          <w:szCs w:val="22"/>
          <w:highlight w:val="none"/>
          <w14:ligatures w14:val="none"/>
        </w:rPr>
        <w:t>要求咨询成果作为指导温州市人工智能计算中心发展的基础性、纲领性文件，咨询成果需包括温州市新型算力资源的现状问题、需求评估、发展目标、建设内容、保障措施等。可指导未来三年内温州市新型算力基础设施项目的建设、运营和管理。</w:t>
      </w:r>
    </w:p>
    <w:p w14:paraId="10E2F67F">
      <w:pPr>
        <w:keepNext w:val="0"/>
        <w:keepLines w:val="0"/>
        <w:pageBreakBefore w:val="0"/>
        <w:numPr>
          <w:ilvl w:val="0"/>
          <w:numId w:val="0"/>
        </w:numPr>
        <w:kinsoku/>
        <w:wordWrap/>
        <w:overflowPunct/>
        <w:topLinePunct w:val="0"/>
        <w:autoSpaceDE/>
        <w:autoSpaceDN/>
        <w:bidi w:val="0"/>
        <w:adjustRightInd/>
        <w:snapToGrid/>
        <w:spacing w:after="0" w:line="460" w:lineRule="exact"/>
        <w:ind w:firstLine="442" w:firstLineChars="200"/>
        <w:jc w:val="both"/>
        <w:textAlignment w:val="auto"/>
        <w:rPr>
          <w:rFonts w:hint="eastAsia" w:ascii="新宋体" w:hAnsi="新宋体" w:eastAsia="新宋体" w:cs="新宋体"/>
          <w:b/>
          <w:bCs/>
          <w:color w:val="auto"/>
          <w:sz w:val="22"/>
          <w:szCs w:val="22"/>
          <w:highlight w:val="none"/>
          <w14:ligatures w14:val="none"/>
        </w:rPr>
      </w:pPr>
      <w:r>
        <w:rPr>
          <w:rFonts w:hint="eastAsia" w:ascii="新宋体" w:hAnsi="新宋体" w:eastAsia="新宋体" w:cs="新宋体"/>
          <w:b/>
          <w:bCs/>
          <w:color w:val="auto"/>
          <w:kern w:val="2"/>
          <w:sz w:val="22"/>
          <w:szCs w:val="22"/>
          <w:highlight w:val="none"/>
          <w:lang w:val="en-US" w:eastAsia="zh-CN" w:bidi="ar-SA"/>
          <w14:ligatures w14:val="none"/>
        </w:rPr>
        <w:t>六、</w:t>
      </w:r>
      <w:r>
        <w:rPr>
          <w:rFonts w:hint="eastAsia" w:ascii="新宋体" w:hAnsi="新宋体" w:eastAsia="新宋体" w:cs="新宋体"/>
          <w:b/>
          <w:bCs/>
          <w:color w:val="auto"/>
          <w:sz w:val="22"/>
          <w:szCs w:val="22"/>
          <w:highlight w:val="none"/>
          <w14:ligatures w14:val="none"/>
        </w:rPr>
        <w:t>咨询服务工期要求</w:t>
      </w:r>
    </w:p>
    <w:p w14:paraId="6E171F74">
      <w:pPr>
        <w:keepNext w:val="0"/>
        <w:keepLines w:val="0"/>
        <w:pageBreakBefore w:val="0"/>
        <w:kinsoku/>
        <w:wordWrap/>
        <w:overflowPunct/>
        <w:topLinePunct w:val="0"/>
        <w:autoSpaceDE/>
        <w:autoSpaceDN/>
        <w:bidi w:val="0"/>
        <w:adjustRightInd/>
        <w:snapToGrid/>
        <w:spacing w:after="0" w:line="460" w:lineRule="exact"/>
        <w:ind w:firstLine="440" w:firstLineChars="200"/>
        <w:textAlignment w:val="auto"/>
        <w:rPr>
          <w:rFonts w:hint="eastAsia" w:ascii="新宋体" w:hAnsi="新宋体" w:eastAsia="新宋体" w:cs="新宋体"/>
          <w:color w:val="auto"/>
          <w:sz w:val="22"/>
          <w:szCs w:val="22"/>
          <w:highlight w:val="none"/>
          <w14:ligatures w14:val="none"/>
        </w:rPr>
      </w:pPr>
      <w:r>
        <w:rPr>
          <w:rFonts w:hint="eastAsia" w:ascii="新宋体" w:hAnsi="新宋体" w:eastAsia="新宋体" w:cs="新宋体"/>
          <w:color w:val="auto"/>
          <w:sz w:val="22"/>
          <w:szCs w:val="22"/>
          <w:highlight w:val="none"/>
          <w14:ligatures w14:val="none"/>
        </w:rPr>
        <w:t>本咨询服务项目的总工期为合同签订之日起180日历天内完成，具体要求如下：</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9"/>
        <w:gridCol w:w="4460"/>
        <w:gridCol w:w="2471"/>
      </w:tblGrid>
      <w:tr w14:paraId="0BA00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pct"/>
            <w:vAlign w:val="center"/>
          </w:tcPr>
          <w:p w14:paraId="081EA3A0">
            <w:pPr>
              <w:keepNext w:val="0"/>
              <w:keepLines w:val="0"/>
              <w:pageBreakBefore w:val="0"/>
              <w:kinsoku/>
              <w:wordWrap/>
              <w:overflowPunct/>
              <w:topLinePunct w:val="0"/>
              <w:autoSpaceDE/>
              <w:autoSpaceDN/>
              <w:bidi w:val="0"/>
              <w:adjustRightInd/>
              <w:snapToGrid/>
              <w:spacing w:after="0" w:line="460" w:lineRule="exact"/>
              <w:jc w:val="center"/>
              <w:textAlignment w:val="auto"/>
              <w:rPr>
                <w:rFonts w:hint="eastAsia" w:ascii="新宋体" w:hAnsi="新宋体" w:eastAsia="新宋体" w:cs="新宋体"/>
                <w:b/>
                <w:bCs/>
                <w:color w:val="auto"/>
                <w:kern w:val="0"/>
                <w:sz w:val="22"/>
                <w:szCs w:val="22"/>
                <w:highlight w:val="none"/>
                <w14:ligatures w14:val="none"/>
              </w:rPr>
            </w:pPr>
            <w:r>
              <w:rPr>
                <w:rFonts w:hint="eastAsia" w:ascii="新宋体" w:hAnsi="新宋体" w:eastAsia="新宋体" w:cs="新宋体"/>
                <w:b/>
                <w:bCs/>
                <w:color w:val="auto"/>
                <w:kern w:val="0"/>
                <w:sz w:val="22"/>
                <w:szCs w:val="22"/>
                <w:highlight w:val="none"/>
                <w14:ligatures w14:val="none"/>
              </w:rPr>
              <w:t>工作阶段</w:t>
            </w:r>
          </w:p>
        </w:tc>
        <w:tc>
          <w:tcPr>
            <w:tcW w:w="2263" w:type="pct"/>
            <w:vAlign w:val="center"/>
          </w:tcPr>
          <w:p w14:paraId="1A77D59E">
            <w:pPr>
              <w:keepNext w:val="0"/>
              <w:keepLines w:val="0"/>
              <w:pageBreakBefore w:val="0"/>
              <w:kinsoku/>
              <w:wordWrap/>
              <w:overflowPunct/>
              <w:topLinePunct w:val="0"/>
              <w:autoSpaceDE/>
              <w:autoSpaceDN/>
              <w:bidi w:val="0"/>
              <w:adjustRightInd/>
              <w:snapToGrid/>
              <w:spacing w:after="0" w:line="460" w:lineRule="exact"/>
              <w:jc w:val="center"/>
              <w:textAlignment w:val="auto"/>
              <w:rPr>
                <w:rFonts w:hint="eastAsia" w:ascii="新宋体" w:hAnsi="新宋体" w:eastAsia="新宋体" w:cs="新宋体"/>
                <w:b/>
                <w:bCs/>
                <w:color w:val="auto"/>
                <w:kern w:val="0"/>
                <w:sz w:val="22"/>
                <w:szCs w:val="22"/>
                <w:highlight w:val="none"/>
                <w14:ligatures w14:val="none"/>
              </w:rPr>
            </w:pPr>
            <w:r>
              <w:rPr>
                <w:rFonts w:hint="eastAsia" w:ascii="新宋体" w:hAnsi="新宋体" w:eastAsia="新宋体" w:cs="新宋体"/>
                <w:b/>
                <w:bCs/>
                <w:color w:val="auto"/>
                <w:kern w:val="0"/>
                <w:sz w:val="22"/>
                <w:szCs w:val="22"/>
                <w:highlight w:val="none"/>
                <w14:ligatures w14:val="none"/>
              </w:rPr>
              <w:t>工作内容</w:t>
            </w:r>
          </w:p>
        </w:tc>
        <w:tc>
          <w:tcPr>
            <w:tcW w:w="1254" w:type="pct"/>
            <w:vAlign w:val="center"/>
          </w:tcPr>
          <w:p w14:paraId="024AD37D">
            <w:pPr>
              <w:keepNext w:val="0"/>
              <w:keepLines w:val="0"/>
              <w:pageBreakBefore w:val="0"/>
              <w:kinsoku/>
              <w:wordWrap/>
              <w:overflowPunct/>
              <w:topLinePunct w:val="0"/>
              <w:autoSpaceDE/>
              <w:autoSpaceDN/>
              <w:bidi w:val="0"/>
              <w:adjustRightInd/>
              <w:snapToGrid/>
              <w:spacing w:after="0" w:line="460" w:lineRule="exact"/>
              <w:jc w:val="center"/>
              <w:textAlignment w:val="auto"/>
              <w:rPr>
                <w:rFonts w:hint="eastAsia" w:ascii="新宋体" w:hAnsi="新宋体" w:eastAsia="新宋体" w:cs="新宋体"/>
                <w:b/>
                <w:bCs/>
                <w:color w:val="auto"/>
                <w:kern w:val="0"/>
                <w:sz w:val="22"/>
                <w:szCs w:val="22"/>
                <w:highlight w:val="none"/>
                <w14:ligatures w14:val="none"/>
              </w:rPr>
            </w:pPr>
            <w:r>
              <w:rPr>
                <w:rFonts w:hint="eastAsia" w:ascii="新宋体" w:hAnsi="新宋体" w:eastAsia="新宋体" w:cs="新宋体"/>
                <w:b/>
                <w:bCs/>
                <w:color w:val="auto"/>
                <w:kern w:val="0"/>
                <w:sz w:val="22"/>
                <w:szCs w:val="22"/>
                <w:highlight w:val="none"/>
                <w14:ligatures w14:val="none"/>
              </w:rPr>
              <w:t>工作周期</w:t>
            </w:r>
          </w:p>
        </w:tc>
      </w:tr>
      <w:tr w14:paraId="2FB9E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pct"/>
            <w:vAlign w:val="center"/>
          </w:tcPr>
          <w:p w14:paraId="146C5A0F">
            <w:pPr>
              <w:keepNext w:val="0"/>
              <w:keepLines w:val="0"/>
              <w:pageBreakBefore w:val="0"/>
              <w:kinsoku/>
              <w:wordWrap/>
              <w:overflowPunct/>
              <w:topLinePunct w:val="0"/>
              <w:autoSpaceDE/>
              <w:autoSpaceDN/>
              <w:bidi w:val="0"/>
              <w:adjustRightInd/>
              <w:snapToGrid/>
              <w:spacing w:after="0" w:line="460" w:lineRule="exact"/>
              <w:jc w:val="center"/>
              <w:textAlignment w:val="auto"/>
              <w:rPr>
                <w:rFonts w:hint="eastAsia" w:ascii="新宋体" w:hAnsi="新宋体" w:eastAsia="新宋体" w:cs="新宋体"/>
                <w:color w:val="auto"/>
                <w:kern w:val="0"/>
                <w:sz w:val="22"/>
                <w:szCs w:val="22"/>
                <w:highlight w:val="none"/>
                <w14:ligatures w14:val="none"/>
              </w:rPr>
            </w:pPr>
            <w:r>
              <w:rPr>
                <w:rFonts w:hint="eastAsia" w:ascii="新宋体" w:hAnsi="新宋体" w:eastAsia="新宋体" w:cs="新宋体"/>
                <w:color w:val="auto"/>
                <w:kern w:val="0"/>
                <w:sz w:val="22"/>
                <w:szCs w:val="22"/>
                <w:highlight w:val="none"/>
                <w14:ligatures w14:val="none"/>
              </w:rPr>
              <w:t>第一阶段：启动阶段</w:t>
            </w:r>
          </w:p>
        </w:tc>
        <w:tc>
          <w:tcPr>
            <w:tcW w:w="2263" w:type="pct"/>
            <w:vAlign w:val="center"/>
          </w:tcPr>
          <w:p w14:paraId="1BC7BB9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新宋体" w:hAnsi="新宋体" w:eastAsia="新宋体" w:cs="新宋体"/>
                <w:color w:val="auto"/>
                <w:kern w:val="0"/>
                <w:sz w:val="22"/>
                <w:szCs w:val="22"/>
                <w:highlight w:val="none"/>
                <w14:ligatures w14:val="none"/>
              </w:rPr>
            </w:pPr>
            <w:r>
              <w:rPr>
                <w:rFonts w:hint="eastAsia" w:ascii="新宋体" w:hAnsi="新宋体" w:eastAsia="新宋体" w:cs="新宋体"/>
                <w:color w:val="auto"/>
                <w:kern w:val="0"/>
                <w:sz w:val="22"/>
                <w:szCs w:val="22"/>
                <w:highlight w:val="none"/>
                <w:lang w:bidi="ar"/>
                <w14:ligatures w14:val="none"/>
              </w:rPr>
              <w:t>组织项目咨询团队，与招标人进行对接，明确工作任务及进度计划，召开项目启动会，确定项目计划和重要里程碑，明确各阶段交付成果。</w:t>
            </w:r>
          </w:p>
        </w:tc>
        <w:tc>
          <w:tcPr>
            <w:tcW w:w="1254" w:type="pct"/>
            <w:vAlign w:val="center"/>
          </w:tcPr>
          <w:p w14:paraId="5875869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新宋体" w:hAnsi="新宋体" w:eastAsia="新宋体" w:cs="新宋体"/>
                <w:color w:val="auto"/>
                <w:kern w:val="0"/>
                <w:sz w:val="22"/>
                <w:szCs w:val="22"/>
                <w:highlight w:val="none"/>
                <w14:ligatures w14:val="none"/>
              </w:rPr>
            </w:pPr>
            <w:r>
              <w:rPr>
                <w:rFonts w:hint="eastAsia" w:ascii="新宋体" w:hAnsi="新宋体" w:eastAsia="新宋体" w:cs="新宋体"/>
                <w:color w:val="auto"/>
                <w:kern w:val="0"/>
                <w:sz w:val="22"/>
                <w:szCs w:val="22"/>
                <w:highlight w:val="none"/>
                <w:lang w:bidi="ar"/>
                <w14:ligatures w14:val="none"/>
              </w:rPr>
              <w:t>本阶段工作在合同签订后20个日历天内完成。</w:t>
            </w:r>
          </w:p>
        </w:tc>
      </w:tr>
      <w:tr w14:paraId="6C537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pct"/>
            <w:vAlign w:val="center"/>
          </w:tcPr>
          <w:p w14:paraId="09F5CCEB">
            <w:pPr>
              <w:keepNext w:val="0"/>
              <w:keepLines w:val="0"/>
              <w:pageBreakBefore w:val="0"/>
              <w:kinsoku/>
              <w:wordWrap/>
              <w:overflowPunct/>
              <w:topLinePunct w:val="0"/>
              <w:autoSpaceDE/>
              <w:autoSpaceDN/>
              <w:bidi w:val="0"/>
              <w:adjustRightInd/>
              <w:snapToGrid/>
              <w:spacing w:after="0" w:line="460" w:lineRule="exact"/>
              <w:jc w:val="center"/>
              <w:textAlignment w:val="auto"/>
              <w:rPr>
                <w:rFonts w:hint="eastAsia" w:ascii="新宋体" w:hAnsi="新宋体" w:eastAsia="新宋体" w:cs="新宋体"/>
                <w:color w:val="auto"/>
                <w:kern w:val="0"/>
                <w:sz w:val="22"/>
                <w:szCs w:val="22"/>
                <w:highlight w:val="none"/>
                <w14:ligatures w14:val="none"/>
              </w:rPr>
            </w:pPr>
            <w:r>
              <w:rPr>
                <w:rFonts w:hint="eastAsia" w:ascii="新宋体" w:hAnsi="新宋体" w:eastAsia="新宋体" w:cs="新宋体"/>
                <w:color w:val="auto"/>
                <w:kern w:val="0"/>
                <w:sz w:val="22"/>
                <w:szCs w:val="22"/>
                <w:highlight w:val="none"/>
                <w14:ligatures w14:val="none"/>
              </w:rPr>
              <w:t>第二阶段：调研阶段</w:t>
            </w:r>
          </w:p>
        </w:tc>
        <w:tc>
          <w:tcPr>
            <w:tcW w:w="2263" w:type="pct"/>
            <w:vAlign w:val="center"/>
          </w:tcPr>
          <w:p w14:paraId="35C3170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新宋体" w:hAnsi="新宋体" w:eastAsia="新宋体" w:cs="新宋体"/>
                <w:color w:val="auto"/>
                <w:kern w:val="0"/>
                <w:sz w:val="22"/>
                <w:szCs w:val="22"/>
                <w:highlight w:val="none"/>
                <w14:ligatures w14:val="none"/>
              </w:rPr>
            </w:pPr>
            <w:r>
              <w:rPr>
                <w:rFonts w:hint="eastAsia" w:ascii="新宋体" w:hAnsi="新宋体" w:eastAsia="新宋体" w:cs="新宋体"/>
                <w:color w:val="auto"/>
                <w:kern w:val="0"/>
                <w:sz w:val="22"/>
                <w:szCs w:val="22"/>
                <w:highlight w:val="none"/>
                <w:lang w:bidi="ar"/>
                <w14:ligatures w14:val="none"/>
              </w:rPr>
              <w:t>商定调研计划和需招标人配合事项，准备和确定《调研工作方案》，确定调研企事业单位清单，以下发调研表格、召开座谈会、现场走访调研等方式，开展调研工作。</w:t>
            </w:r>
          </w:p>
        </w:tc>
        <w:tc>
          <w:tcPr>
            <w:tcW w:w="1254" w:type="pct"/>
            <w:vAlign w:val="center"/>
          </w:tcPr>
          <w:p w14:paraId="1857689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新宋体" w:hAnsi="新宋体" w:eastAsia="新宋体" w:cs="新宋体"/>
                <w:color w:val="auto"/>
                <w:kern w:val="0"/>
                <w:sz w:val="22"/>
                <w:szCs w:val="22"/>
                <w:highlight w:val="none"/>
                <w14:ligatures w14:val="none"/>
              </w:rPr>
            </w:pPr>
            <w:r>
              <w:rPr>
                <w:rFonts w:hint="eastAsia" w:ascii="新宋体" w:hAnsi="新宋体" w:eastAsia="新宋体" w:cs="新宋体"/>
                <w:color w:val="auto"/>
                <w:kern w:val="0"/>
                <w:sz w:val="22"/>
                <w:szCs w:val="22"/>
                <w:highlight w:val="none"/>
                <w:lang w:bidi="ar"/>
                <w14:ligatures w14:val="none"/>
              </w:rPr>
              <w:t>本阶段工作在60个日历天内完成。</w:t>
            </w:r>
          </w:p>
        </w:tc>
      </w:tr>
      <w:tr w14:paraId="35AE2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pct"/>
            <w:vAlign w:val="center"/>
          </w:tcPr>
          <w:p w14:paraId="599491A2">
            <w:pPr>
              <w:keepNext w:val="0"/>
              <w:keepLines w:val="0"/>
              <w:pageBreakBefore w:val="0"/>
              <w:kinsoku/>
              <w:wordWrap/>
              <w:overflowPunct/>
              <w:topLinePunct w:val="0"/>
              <w:autoSpaceDE/>
              <w:autoSpaceDN/>
              <w:bidi w:val="0"/>
              <w:adjustRightInd/>
              <w:snapToGrid/>
              <w:spacing w:after="0" w:line="460" w:lineRule="exact"/>
              <w:jc w:val="center"/>
              <w:textAlignment w:val="auto"/>
              <w:rPr>
                <w:rFonts w:hint="eastAsia" w:ascii="新宋体" w:hAnsi="新宋体" w:eastAsia="新宋体" w:cs="新宋体"/>
                <w:color w:val="auto"/>
                <w:kern w:val="0"/>
                <w:sz w:val="22"/>
                <w:szCs w:val="22"/>
                <w:highlight w:val="none"/>
                <w14:ligatures w14:val="none"/>
              </w:rPr>
            </w:pPr>
            <w:r>
              <w:rPr>
                <w:rFonts w:hint="eastAsia" w:ascii="新宋体" w:hAnsi="新宋体" w:eastAsia="新宋体" w:cs="新宋体"/>
                <w:color w:val="auto"/>
                <w:kern w:val="0"/>
                <w:sz w:val="22"/>
                <w:szCs w:val="22"/>
                <w:highlight w:val="none"/>
                <w14:ligatures w14:val="none"/>
              </w:rPr>
              <w:t>第三阶段：编制阶段</w:t>
            </w:r>
          </w:p>
        </w:tc>
        <w:tc>
          <w:tcPr>
            <w:tcW w:w="2263" w:type="pct"/>
            <w:vAlign w:val="center"/>
          </w:tcPr>
          <w:p w14:paraId="33A3EC9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新宋体" w:hAnsi="新宋体" w:eastAsia="新宋体" w:cs="新宋体"/>
                <w:color w:val="auto"/>
                <w:kern w:val="0"/>
                <w:sz w:val="22"/>
                <w:szCs w:val="22"/>
                <w:highlight w:val="none"/>
                <w14:ligatures w14:val="none"/>
              </w:rPr>
            </w:pPr>
            <w:r>
              <w:rPr>
                <w:rFonts w:hint="eastAsia" w:ascii="新宋体" w:hAnsi="新宋体" w:eastAsia="新宋体" w:cs="新宋体"/>
                <w:color w:val="auto"/>
                <w:kern w:val="0"/>
                <w:sz w:val="22"/>
                <w:szCs w:val="22"/>
                <w:highlight w:val="none"/>
                <w:lang w:bidi="ar"/>
                <w14:ligatures w14:val="none"/>
              </w:rPr>
              <w:t>基于调研结果，开展集中研讨，评估建设和运营需求，开展建设和运营建议编制工作，完成初稿。</w:t>
            </w:r>
          </w:p>
        </w:tc>
        <w:tc>
          <w:tcPr>
            <w:tcW w:w="1254" w:type="pct"/>
            <w:vAlign w:val="center"/>
          </w:tcPr>
          <w:p w14:paraId="32B71BB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新宋体" w:hAnsi="新宋体" w:eastAsia="新宋体" w:cs="新宋体"/>
                <w:color w:val="auto"/>
                <w:kern w:val="0"/>
                <w:sz w:val="22"/>
                <w:szCs w:val="22"/>
                <w:highlight w:val="none"/>
                <w14:ligatures w14:val="none"/>
              </w:rPr>
            </w:pPr>
            <w:r>
              <w:rPr>
                <w:rFonts w:hint="eastAsia" w:ascii="新宋体" w:hAnsi="新宋体" w:eastAsia="新宋体" w:cs="新宋体"/>
                <w:color w:val="auto"/>
                <w:kern w:val="0"/>
                <w:sz w:val="22"/>
                <w:szCs w:val="22"/>
                <w:highlight w:val="none"/>
                <w:lang w:bidi="ar"/>
                <w14:ligatures w14:val="none"/>
              </w:rPr>
              <w:t>本阶段工作在60个日历天内完成。</w:t>
            </w:r>
          </w:p>
        </w:tc>
      </w:tr>
      <w:tr w14:paraId="4C4F0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pct"/>
            <w:vAlign w:val="center"/>
          </w:tcPr>
          <w:p w14:paraId="74C69B98">
            <w:pPr>
              <w:keepNext w:val="0"/>
              <w:keepLines w:val="0"/>
              <w:pageBreakBefore w:val="0"/>
              <w:kinsoku/>
              <w:wordWrap/>
              <w:overflowPunct/>
              <w:topLinePunct w:val="0"/>
              <w:autoSpaceDE/>
              <w:autoSpaceDN/>
              <w:bidi w:val="0"/>
              <w:adjustRightInd/>
              <w:snapToGrid/>
              <w:spacing w:after="0" w:line="460" w:lineRule="exact"/>
              <w:jc w:val="center"/>
              <w:textAlignment w:val="auto"/>
              <w:rPr>
                <w:rFonts w:hint="eastAsia" w:ascii="新宋体" w:hAnsi="新宋体" w:eastAsia="新宋体" w:cs="新宋体"/>
                <w:color w:val="auto"/>
                <w:kern w:val="0"/>
                <w:sz w:val="22"/>
                <w:szCs w:val="22"/>
                <w:highlight w:val="none"/>
                <w14:ligatures w14:val="none"/>
              </w:rPr>
            </w:pPr>
            <w:r>
              <w:rPr>
                <w:rFonts w:hint="eastAsia" w:ascii="新宋体" w:hAnsi="新宋体" w:eastAsia="新宋体" w:cs="新宋体"/>
                <w:color w:val="auto"/>
                <w:kern w:val="0"/>
                <w:sz w:val="22"/>
                <w:szCs w:val="22"/>
                <w:highlight w:val="none"/>
                <w14:ligatures w14:val="none"/>
              </w:rPr>
              <w:t>第四阶段：验收评审</w:t>
            </w:r>
          </w:p>
        </w:tc>
        <w:tc>
          <w:tcPr>
            <w:tcW w:w="2263" w:type="pct"/>
            <w:vAlign w:val="center"/>
          </w:tcPr>
          <w:p w14:paraId="024C0F3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新宋体" w:hAnsi="新宋体" w:eastAsia="新宋体" w:cs="新宋体"/>
                <w:color w:val="auto"/>
                <w:kern w:val="0"/>
                <w:sz w:val="22"/>
                <w:szCs w:val="22"/>
                <w:highlight w:val="none"/>
                <w14:ligatures w14:val="none"/>
              </w:rPr>
            </w:pPr>
            <w:r>
              <w:rPr>
                <w:rFonts w:hint="eastAsia" w:ascii="新宋体" w:hAnsi="新宋体" w:eastAsia="新宋体" w:cs="新宋体"/>
                <w:color w:val="auto"/>
                <w:kern w:val="0"/>
                <w:sz w:val="22"/>
                <w:szCs w:val="22"/>
                <w:highlight w:val="none"/>
                <w:lang w:bidi="ar"/>
                <w14:ligatures w14:val="none"/>
              </w:rPr>
              <w:t>招标人组织对项目成果进行征询意见，并组织专家对按征询意见修改后的成果进行评审。</w:t>
            </w:r>
          </w:p>
        </w:tc>
        <w:tc>
          <w:tcPr>
            <w:tcW w:w="1254" w:type="pct"/>
            <w:vAlign w:val="center"/>
          </w:tcPr>
          <w:p w14:paraId="3AF10B66">
            <w:pPr>
              <w:keepNext w:val="0"/>
              <w:keepLines w:val="0"/>
              <w:pageBreakBefore w:val="0"/>
              <w:kinsoku/>
              <w:wordWrap/>
              <w:overflowPunct/>
              <w:topLinePunct w:val="0"/>
              <w:autoSpaceDE/>
              <w:autoSpaceDN/>
              <w:bidi w:val="0"/>
              <w:adjustRightInd/>
              <w:snapToGrid/>
              <w:spacing w:after="0" w:line="460" w:lineRule="exact"/>
              <w:jc w:val="both"/>
              <w:textAlignment w:val="auto"/>
              <w:rPr>
                <w:rFonts w:hint="eastAsia" w:ascii="新宋体" w:hAnsi="新宋体" w:eastAsia="新宋体" w:cs="新宋体"/>
                <w:color w:val="auto"/>
                <w:kern w:val="0"/>
                <w:sz w:val="22"/>
                <w:szCs w:val="22"/>
                <w:highlight w:val="none"/>
                <w14:ligatures w14:val="none"/>
              </w:rPr>
            </w:pPr>
            <w:r>
              <w:rPr>
                <w:rFonts w:hint="eastAsia" w:ascii="新宋体" w:hAnsi="新宋体" w:eastAsia="新宋体" w:cs="新宋体"/>
                <w:color w:val="auto"/>
                <w:kern w:val="0"/>
                <w:sz w:val="22"/>
                <w:szCs w:val="22"/>
                <w:highlight w:val="none"/>
                <w:lang w:bidi="ar"/>
                <w14:ligatures w14:val="none"/>
              </w:rPr>
              <w:t>本阶段工作在40个日历天内完成。</w:t>
            </w:r>
          </w:p>
        </w:tc>
      </w:tr>
    </w:tbl>
    <w:p w14:paraId="0FDA7924">
      <w:pPr>
        <w:spacing w:after="120" w:line="240" w:lineRule="auto"/>
        <w:jc w:val="both"/>
        <w:rPr>
          <w:rFonts w:ascii="仿宋_GB2312" w:hAnsi="Times New Roman" w:eastAsia="宋体" w:cs="Times New Roman"/>
          <w:b/>
          <w:color w:val="auto"/>
          <w:sz w:val="21"/>
          <w:highlight w:val="none"/>
          <w14:ligatures w14:val="none"/>
        </w:rPr>
      </w:pPr>
    </w:p>
    <w:p w14:paraId="5254C35A">
      <w:pPr>
        <w:pStyle w:val="3"/>
        <w:rPr>
          <w:rFonts w:hint="eastAsia"/>
          <w:color w:val="auto"/>
          <w:highlight w:val="none"/>
        </w:rPr>
      </w:pPr>
    </w:p>
    <w:p w14:paraId="485D1280">
      <w:pPr>
        <w:pStyle w:val="10"/>
        <w:spacing w:line="460" w:lineRule="exact"/>
        <w:ind w:left="433" w:leftChars="206" w:firstLine="0" w:firstLineChars="0"/>
        <w:jc w:val="center"/>
        <w:outlineLvl w:val="0"/>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br w:type="page"/>
      </w:r>
      <w:bookmarkStart w:id="116" w:name="_Toc14145"/>
      <w:r>
        <w:rPr>
          <w:rFonts w:hint="eastAsia" w:ascii="新宋体" w:hAnsi="新宋体" w:eastAsia="新宋体" w:cs="新宋体"/>
          <w:b/>
          <w:color w:val="auto"/>
          <w:sz w:val="30"/>
          <w:highlight w:val="none"/>
        </w:rPr>
        <w:t>第五部分   评标原则及方法</w:t>
      </w:r>
      <w:bookmarkEnd w:id="116"/>
    </w:p>
    <w:p w14:paraId="72327437">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根据《温州市市属国有企业采购管理办法》温国资委〔2024〕51号等有关规定特制定以下评标办法。</w:t>
      </w:r>
    </w:p>
    <w:p w14:paraId="74DE5B58">
      <w:pPr>
        <w:spacing w:line="460" w:lineRule="exact"/>
        <w:ind w:firstLine="541" w:firstLineChars="245"/>
        <w:outlineLvl w:val="1"/>
        <w:rPr>
          <w:rFonts w:hint="eastAsia" w:ascii="新宋体" w:hAnsi="新宋体" w:eastAsia="新宋体" w:cs="新宋体"/>
          <w:b/>
          <w:color w:val="auto"/>
          <w:sz w:val="22"/>
          <w:szCs w:val="22"/>
          <w:highlight w:val="none"/>
        </w:rPr>
      </w:pPr>
      <w:bookmarkStart w:id="117" w:name="_Toc26819"/>
      <w:r>
        <w:rPr>
          <w:rFonts w:hint="eastAsia" w:ascii="新宋体" w:hAnsi="新宋体" w:eastAsia="新宋体" w:cs="新宋体"/>
          <w:b/>
          <w:color w:val="auto"/>
          <w:sz w:val="22"/>
          <w:szCs w:val="22"/>
          <w:highlight w:val="none"/>
        </w:rPr>
        <w:t>一、总 则</w:t>
      </w:r>
      <w:bookmarkEnd w:id="117"/>
    </w:p>
    <w:p w14:paraId="481E6792">
      <w:pPr>
        <w:spacing w:line="460" w:lineRule="exact"/>
        <w:ind w:firstLine="539" w:firstLineChars="245"/>
        <w:rPr>
          <w:rFonts w:hint="eastAsia" w:ascii="新宋体" w:hAnsi="新宋体" w:eastAsia="新宋体" w:cs="新宋体"/>
          <w:b/>
          <w:color w:val="auto"/>
          <w:sz w:val="22"/>
          <w:highlight w:val="none"/>
        </w:rPr>
      </w:pPr>
      <w:r>
        <w:rPr>
          <w:rFonts w:hint="eastAsia" w:ascii="新宋体" w:hAnsi="新宋体" w:eastAsia="新宋体" w:cs="新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采购文件的商务、技术要求，对投标文件进行综合评定，提出优选方案，编写评标报告。对落标单位，评委会不作任何落标解释。投标人不得以任何方式干扰招投标工作的进行，一经发现其投标文件将被拒绝。</w:t>
      </w:r>
    </w:p>
    <w:p w14:paraId="39D3A11B">
      <w:pPr>
        <w:spacing w:line="460" w:lineRule="exact"/>
        <w:ind w:firstLine="541" w:firstLineChars="245"/>
        <w:outlineLvl w:val="1"/>
        <w:rPr>
          <w:rFonts w:hint="eastAsia" w:ascii="新宋体" w:hAnsi="新宋体" w:eastAsia="新宋体" w:cs="新宋体"/>
          <w:b/>
          <w:color w:val="auto"/>
          <w:sz w:val="22"/>
          <w:szCs w:val="22"/>
          <w:highlight w:val="none"/>
        </w:rPr>
      </w:pPr>
      <w:bookmarkStart w:id="118" w:name="_Toc4649"/>
      <w:r>
        <w:rPr>
          <w:rFonts w:hint="eastAsia" w:ascii="新宋体" w:hAnsi="新宋体" w:eastAsia="新宋体" w:cs="新宋体"/>
          <w:b/>
          <w:color w:val="auto"/>
          <w:sz w:val="22"/>
          <w:szCs w:val="22"/>
          <w:highlight w:val="none"/>
        </w:rPr>
        <w:t>二、评标组织</w:t>
      </w:r>
      <w:bookmarkEnd w:id="118"/>
    </w:p>
    <w:p w14:paraId="490B4A5C">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评标工作由采购人组建的评标委员会负责，评标全过程由有关部门指导监督。</w:t>
      </w:r>
    </w:p>
    <w:p w14:paraId="40D5B66E">
      <w:pPr>
        <w:spacing w:line="460" w:lineRule="exact"/>
        <w:ind w:firstLine="541" w:firstLineChars="245"/>
        <w:outlineLvl w:val="1"/>
        <w:rPr>
          <w:rFonts w:hint="eastAsia" w:ascii="新宋体" w:hAnsi="新宋体" w:eastAsia="新宋体" w:cs="新宋体"/>
          <w:b/>
          <w:color w:val="auto"/>
          <w:sz w:val="22"/>
          <w:szCs w:val="22"/>
          <w:highlight w:val="none"/>
        </w:rPr>
      </w:pPr>
      <w:bookmarkStart w:id="119" w:name="_Toc25189"/>
      <w:r>
        <w:rPr>
          <w:rFonts w:hint="eastAsia" w:ascii="新宋体" w:hAnsi="新宋体" w:eastAsia="新宋体" w:cs="新宋体"/>
          <w:b/>
          <w:color w:val="auto"/>
          <w:sz w:val="22"/>
          <w:szCs w:val="22"/>
          <w:highlight w:val="none"/>
        </w:rPr>
        <w:t>三、评标程序</w:t>
      </w:r>
      <w:bookmarkEnd w:id="119"/>
    </w:p>
    <w:p w14:paraId="7924B35B">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评标委员按照采购文件中规定的评标方法和标准，对投标文件进行商务和技术评估，综合比较与评价</w:t>
      </w:r>
      <w:r>
        <w:rPr>
          <w:rFonts w:hint="eastAsia" w:ascii="新宋体" w:hAnsi="新宋体" w:eastAsia="新宋体" w:cs="新宋体"/>
          <w:color w:val="auto"/>
          <w:sz w:val="22"/>
          <w:szCs w:val="22"/>
          <w:highlight w:val="none"/>
        </w:rPr>
        <w:t>，根据综合评审结果，提交评审报告。</w:t>
      </w:r>
    </w:p>
    <w:p w14:paraId="269D90D4">
      <w:pPr>
        <w:spacing w:line="460" w:lineRule="exact"/>
        <w:ind w:firstLine="541" w:firstLineChars="245"/>
        <w:outlineLvl w:val="1"/>
        <w:rPr>
          <w:rFonts w:hint="eastAsia" w:ascii="新宋体" w:hAnsi="新宋体" w:eastAsia="新宋体" w:cs="新宋体"/>
          <w:b/>
          <w:color w:val="auto"/>
          <w:sz w:val="22"/>
          <w:szCs w:val="22"/>
          <w:highlight w:val="none"/>
        </w:rPr>
      </w:pPr>
      <w:bookmarkStart w:id="120" w:name="_Toc14811"/>
      <w:r>
        <w:rPr>
          <w:rFonts w:hint="eastAsia" w:ascii="新宋体" w:hAnsi="新宋体" w:eastAsia="新宋体" w:cs="新宋体"/>
          <w:b/>
          <w:color w:val="auto"/>
          <w:sz w:val="22"/>
          <w:szCs w:val="22"/>
          <w:highlight w:val="none"/>
        </w:rPr>
        <w:t>四、评标办法</w:t>
      </w:r>
      <w:bookmarkEnd w:id="120"/>
    </w:p>
    <w:p w14:paraId="0B9210AB">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本次采购采用百分制综合评分法，即投标人最大限度地满足采购文件实质性要求的基础上，按照采购文件的各项因素进行综合评审后，以评标总得分最高的投标人和次高的投标人作为第一和第二排序的中标候选人的评标方法。根据采购要求，</w:t>
      </w:r>
      <w:r>
        <w:rPr>
          <w:rFonts w:hint="eastAsia" w:ascii="新宋体" w:hAnsi="新宋体" w:eastAsia="新宋体" w:cs="新宋体"/>
          <w:b/>
          <w:color w:val="auto"/>
          <w:sz w:val="22"/>
          <w:szCs w:val="22"/>
          <w:highlight w:val="none"/>
        </w:rPr>
        <w:t>总分设定为100分：技术标</w:t>
      </w:r>
      <w:r>
        <w:rPr>
          <w:rFonts w:hint="eastAsia" w:ascii="新宋体" w:hAnsi="新宋体" w:eastAsia="新宋体" w:cs="新宋体"/>
          <w:b/>
          <w:color w:val="auto"/>
          <w:sz w:val="22"/>
          <w:szCs w:val="22"/>
          <w:highlight w:val="none"/>
          <w:lang w:val="en-US" w:eastAsia="zh-CN"/>
        </w:rPr>
        <w:t>8</w:t>
      </w:r>
      <w:r>
        <w:rPr>
          <w:rFonts w:hint="eastAsia" w:ascii="新宋体" w:hAnsi="新宋体" w:eastAsia="新宋体" w:cs="新宋体"/>
          <w:b/>
          <w:color w:val="auto"/>
          <w:sz w:val="22"/>
          <w:szCs w:val="22"/>
          <w:highlight w:val="none"/>
        </w:rPr>
        <w:t>0分（权值</w:t>
      </w:r>
      <w:r>
        <w:rPr>
          <w:rFonts w:hint="eastAsia" w:ascii="新宋体" w:hAnsi="新宋体" w:eastAsia="新宋体" w:cs="新宋体"/>
          <w:b/>
          <w:color w:val="auto"/>
          <w:sz w:val="22"/>
          <w:szCs w:val="22"/>
          <w:highlight w:val="none"/>
          <w:lang w:val="en-US" w:eastAsia="zh-CN"/>
        </w:rPr>
        <w:t>8</w:t>
      </w:r>
      <w:r>
        <w:rPr>
          <w:rFonts w:hint="eastAsia" w:ascii="新宋体" w:hAnsi="新宋体" w:eastAsia="新宋体" w:cs="新宋体"/>
          <w:b/>
          <w:color w:val="auto"/>
          <w:sz w:val="22"/>
          <w:szCs w:val="22"/>
          <w:highlight w:val="none"/>
        </w:rPr>
        <w:t>0%），商务标（报价）</w:t>
      </w:r>
      <w:r>
        <w:rPr>
          <w:rFonts w:hint="eastAsia" w:ascii="新宋体" w:hAnsi="新宋体" w:eastAsia="新宋体" w:cs="新宋体"/>
          <w:b/>
          <w:color w:val="auto"/>
          <w:sz w:val="22"/>
          <w:szCs w:val="22"/>
          <w:highlight w:val="none"/>
          <w:lang w:val="en-US" w:eastAsia="zh-CN"/>
        </w:rPr>
        <w:t>2</w:t>
      </w:r>
      <w:r>
        <w:rPr>
          <w:rFonts w:hint="eastAsia" w:ascii="新宋体" w:hAnsi="新宋体" w:eastAsia="新宋体" w:cs="新宋体"/>
          <w:b/>
          <w:color w:val="auto"/>
          <w:sz w:val="22"/>
          <w:szCs w:val="22"/>
          <w:highlight w:val="none"/>
        </w:rPr>
        <w:t>0分（权值</w:t>
      </w:r>
      <w:r>
        <w:rPr>
          <w:rFonts w:hint="eastAsia" w:ascii="新宋体" w:hAnsi="新宋体" w:eastAsia="新宋体" w:cs="新宋体"/>
          <w:b/>
          <w:color w:val="auto"/>
          <w:sz w:val="22"/>
          <w:szCs w:val="22"/>
          <w:highlight w:val="none"/>
          <w:lang w:val="en-US" w:eastAsia="zh-CN"/>
        </w:rPr>
        <w:t>2</w:t>
      </w:r>
      <w:r>
        <w:rPr>
          <w:rFonts w:hint="eastAsia" w:ascii="新宋体" w:hAnsi="新宋体" w:eastAsia="新宋体" w:cs="新宋体"/>
          <w:b/>
          <w:color w:val="auto"/>
          <w:sz w:val="22"/>
          <w:szCs w:val="22"/>
          <w:highlight w:val="none"/>
        </w:rPr>
        <w:t>0%）。</w:t>
      </w:r>
    </w:p>
    <w:p w14:paraId="50FE08B3">
      <w:pPr>
        <w:spacing w:line="460" w:lineRule="exact"/>
        <w:ind w:firstLine="541" w:firstLineChars="245"/>
        <w:outlineLvl w:val="1"/>
        <w:rPr>
          <w:rFonts w:hint="eastAsia" w:ascii="新宋体" w:hAnsi="新宋体" w:eastAsia="新宋体" w:cs="新宋体"/>
          <w:b/>
          <w:color w:val="auto"/>
          <w:sz w:val="22"/>
          <w:szCs w:val="22"/>
          <w:highlight w:val="none"/>
        </w:rPr>
      </w:pPr>
      <w:bookmarkStart w:id="121" w:name="_Toc4777"/>
      <w:r>
        <w:rPr>
          <w:rFonts w:hint="eastAsia" w:ascii="新宋体" w:hAnsi="新宋体" w:eastAsia="新宋体" w:cs="新宋体"/>
          <w:b/>
          <w:color w:val="auto"/>
          <w:sz w:val="22"/>
          <w:szCs w:val="22"/>
          <w:highlight w:val="none"/>
        </w:rPr>
        <w:t>五、评分细则</w:t>
      </w:r>
      <w:bookmarkEnd w:id="121"/>
    </w:p>
    <w:p w14:paraId="48516C7B">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1、技术分的评定（</w:t>
      </w:r>
      <w:r>
        <w:rPr>
          <w:rFonts w:hint="eastAsia" w:ascii="新宋体" w:hAnsi="新宋体" w:eastAsia="新宋体" w:cs="新宋体"/>
          <w:b/>
          <w:color w:val="auto"/>
          <w:sz w:val="22"/>
          <w:szCs w:val="22"/>
          <w:highlight w:val="none"/>
          <w:lang w:val="en-US" w:eastAsia="zh-CN"/>
        </w:rPr>
        <w:t>8</w:t>
      </w:r>
      <w:r>
        <w:rPr>
          <w:rFonts w:hint="eastAsia" w:ascii="新宋体" w:hAnsi="新宋体" w:eastAsia="新宋体" w:cs="新宋体"/>
          <w:b/>
          <w:color w:val="auto"/>
          <w:sz w:val="22"/>
          <w:szCs w:val="22"/>
          <w:highlight w:val="none"/>
        </w:rPr>
        <w:t>0分)（权值</w:t>
      </w:r>
      <w:r>
        <w:rPr>
          <w:rFonts w:hint="eastAsia" w:ascii="新宋体" w:hAnsi="新宋体" w:eastAsia="新宋体" w:cs="新宋体"/>
          <w:b/>
          <w:color w:val="auto"/>
          <w:sz w:val="22"/>
          <w:szCs w:val="22"/>
          <w:highlight w:val="none"/>
          <w:lang w:val="en-US" w:eastAsia="zh-CN"/>
        </w:rPr>
        <w:t>8</w:t>
      </w:r>
      <w:r>
        <w:rPr>
          <w:rFonts w:hint="eastAsia" w:ascii="新宋体" w:hAnsi="新宋体" w:eastAsia="新宋体" w:cs="新宋体"/>
          <w:b/>
          <w:color w:val="auto"/>
          <w:sz w:val="22"/>
          <w:szCs w:val="22"/>
          <w:highlight w:val="none"/>
        </w:rPr>
        <w:t>0%）</w:t>
      </w:r>
    </w:p>
    <w:p w14:paraId="702A9DB7">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新宋体" w:hAnsi="新宋体" w:eastAsia="新宋体" w:cs="新宋体"/>
          <w:color w:val="auto"/>
          <w:sz w:val="22"/>
          <w:highlight w:val="none"/>
        </w:rPr>
        <w:t>各评标委员会成员对各投标人的各项评分内容评分的算术平均值为各投标人技术分得分</w:t>
      </w:r>
      <w:r>
        <w:rPr>
          <w:rFonts w:hint="eastAsia" w:ascii="新宋体" w:hAnsi="新宋体" w:eastAsia="新宋体" w:cs="新宋体"/>
          <w:color w:val="auto"/>
          <w:sz w:val="22"/>
          <w:szCs w:val="22"/>
          <w:highlight w:val="none"/>
        </w:rPr>
        <w:t>（小数点后按四舍五入保留2位）。</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514"/>
        <w:gridCol w:w="1015"/>
        <w:gridCol w:w="6858"/>
        <w:gridCol w:w="674"/>
      </w:tblGrid>
      <w:tr w14:paraId="0A531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3" w:type="dxa"/>
            <w:vAlign w:val="center"/>
          </w:tcPr>
          <w:p w14:paraId="1610DD26">
            <w:pPr>
              <w:keepNext w:val="0"/>
              <w:keepLines w:val="0"/>
              <w:pageBreakBefore w:val="0"/>
              <w:widowControl/>
              <w:kinsoku/>
              <w:wordWrap/>
              <w:overflowPunct/>
              <w:topLinePunct w:val="0"/>
              <w:autoSpaceDE/>
              <w:autoSpaceDN/>
              <w:bidi w:val="0"/>
              <w:snapToGrid/>
              <w:spacing w:line="460" w:lineRule="exact"/>
              <w:jc w:val="center"/>
              <w:rPr>
                <w:rFonts w:hint="eastAsia" w:ascii="新宋体" w:hAnsi="新宋体" w:eastAsia="新宋体" w:cs="新宋体"/>
                <w:b/>
                <w:color w:val="auto"/>
                <w:sz w:val="22"/>
                <w:szCs w:val="22"/>
                <w:highlight w:val="none"/>
                <w:vertAlign w:val="baseline"/>
              </w:rPr>
            </w:pPr>
            <w:r>
              <w:rPr>
                <w:rFonts w:hint="eastAsia" w:ascii="新宋体" w:hAnsi="新宋体" w:eastAsia="新宋体" w:cs="新宋体"/>
                <w:b/>
                <w:bCs/>
                <w:color w:val="auto"/>
                <w:kern w:val="0"/>
                <w:sz w:val="22"/>
                <w:szCs w:val="22"/>
                <w:highlight w:val="none"/>
              </w:rPr>
              <w:t>序号</w:t>
            </w:r>
          </w:p>
        </w:tc>
        <w:tc>
          <w:tcPr>
            <w:tcW w:w="1529" w:type="dxa"/>
            <w:gridSpan w:val="2"/>
            <w:vAlign w:val="center"/>
          </w:tcPr>
          <w:p w14:paraId="121C9C47">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b/>
                <w:color w:val="auto"/>
                <w:sz w:val="22"/>
                <w:szCs w:val="22"/>
                <w:highlight w:val="none"/>
                <w:vertAlign w:val="baseline"/>
              </w:rPr>
            </w:pPr>
            <w:r>
              <w:rPr>
                <w:rFonts w:hint="eastAsia" w:ascii="新宋体" w:hAnsi="新宋体" w:eastAsia="新宋体" w:cs="新宋体"/>
                <w:b/>
                <w:bCs/>
                <w:color w:val="auto"/>
                <w:kern w:val="0"/>
                <w:sz w:val="22"/>
                <w:szCs w:val="22"/>
                <w:highlight w:val="none"/>
              </w:rPr>
              <w:t>评分因素</w:t>
            </w:r>
          </w:p>
        </w:tc>
        <w:tc>
          <w:tcPr>
            <w:tcW w:w="6858" w:type="dxa"/>
            <w:vAlign w:val="center"/>
          </w:tcPr>
          <w:p w14:paraId="2BE80C2D">
            <w:pPr>
              <w:keepNext w:val="0"/>
              <w:keepLines w:val="0"/>
              <w:pageBreakBefore w:val="0"/>
              <w:widowControl/>
              <w:kinsoku/>
              <w:wordWrap/>
              <w:overflowPunct/>
              <w:topLinePunct w:val="0"/>
              <w:autoSpaceDE/>
              <w:autoSpaceDN/>
              <w:bidi w:val="0"/>
              <w:snapToGrid/>
              <w:spacing w:line="460" w:lineRule="exact"/>
              <w:jc w:val="center"/>
              <w:rPr>
                <w:rFonts w:hint="eastAsia" w:ascii="新宋体" w:hAnsi="新宋体" w:eastAsia="新宋体" w:cs="新宋体"/>
                <w:b/>
                <w:color w:val="auto"/>
                <w:sz w:val="22"/>
                <w:szCs w:val="22"/>
                <w:highlight w:val="none"/>
                <w:vertAlign w:val="baseline"/>
              </w:rPr>
            </w:pPr>
            <w:r>
              <w:rPr>
                <w:rFonts w:hint="eastAsia" w:ascii="新宋体" w:hAnsi="新宋体" w:eastAsia="新宋体" w:cs="新宋体"/>
                <w:b/>
                <w:bCs/>
                <w:color w:val="auto"/>
                <w:kern w:val="0"/>
                <w:sz w:val="22"/>
                <w:szCs w:val="22"/>
                <w:highlight w:val="none"/>
              </w:rPr>
              <w:t>评分标准</w:t>
            </w:r>
          </w:p>
        </w:tc>
        <w:tc>
          <w:tcPr>
            <w:tcW w:w="674" w:type="dxa"/>
            <w:vAlign w:val="center"/>
          </w:tcPr>
          <w:p w14:paraId="7099BA4B">
            <w:pPr>
              <w:keepNext w:val="0"/>
              <w:keepLines w:val="0"/>
              <w:pageBreakBefore w:val="0"/>
              <w:widowControl/>
              <w:kinsoku/>
              <w:wordWrap/>
              <w:overflowPunct/>
              <w:topLinePunct w:val="0"/>
              <w:autoSpaceDE/>
              <w:autoSpaceDN/>
              <w:bidi w:val="0"/>
              <w:snapToGrid/>
              <w:spacing w:line="460" w:lineRule="exact"/>
              <w:jc w:val="center"/>
              <w:rPr>
                <w:rFonts w:hint="eastAsia" w:ascii="新宋体" w:hAnsi="新宋体" w:eastAsia="新宋体" w:cs="新宋体"/>
                <w:b/>
                <w:color w:val="auto"/>
                <w:sz w:val="22"/>
                <w:szCs w:val="22"/>
                <w:highlight w:val="none"/>
                <w:vertAlign w:val="baseline"/>
              </w:rPr>
            </w:pPr>
            <w:r>
              <w:rPr>
                <w:rFonts w:hint="eastAsia" w:ascii="新宋体" w:hAnsi="新宋体" w:eastAsia="新宋体" w:cs="新宋体"/>
                <w:b/>
                <w:bCs/>
                <w:color w:val="auto"/>
                <w:kern w:val="0"/>
                <w:sz w:val="22"/>
                <w:szCs w:val="22"/>
                <w:highlight w:val="none"/>
              </w:rPr>
              <w:t>分值</w:t>
            </w:r>
          </w:p>
        </w:tc>
      </w:tr>
      <w:tr w14:paraId="67D56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793" w:type="dxa"/>
            <w:vMerge w:val="restart"/>
            <w:vAlign w:val="center"/>
          </w:tcPr>
          <w:p w14:paraId="5937E38E">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b/>
                <w:color w:val="auto"/>
                <w:sz w:val="22"/>
                <w:szCs w:val="22"/>
                <w:highlight w:val="none"/>
                <w:vertAlign w:val="baseline"/>
                <w:lang w:val="en-US" w:eastAsia="zh-CN"/>
              </w:rPr>
            </w:pPr>
            <w:r>
              <w:rPr>
                <w:rFonts w:hint="eastAsia" w:ascii="新宋体" w:hAnsi="新宋体" w:eastAsia="新宋体" w:cs="新宋体"/>
                <w:b/>
                <w:color w:val="auto"/>
                <w:sz w:val="22"/>
                <w:szCs w:val="22"/>
                <w:highlight w:val="none"/>
                <w:vertAlign w:val="baseline"/>
                <w:lang w:val="en-US" w:eastAsia="zh-CN"/>
              </w:rPr>
              <w:t>1</w:t>
            </w:r>
          </w:p>
        </w:tc>
        <w:tc>
          <w:tcPr>
            <w:tcW w:w="1529" w:type="dxa"/>
            <w:gridSpan w:val="2"/>
            <w:vMerge w:val="restart"/>
            <w:vAlign w:val="center"/>
          </w:tcPr>
          <w:p w14:paraId="465CC822">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b/>
                <w:color w:val="auto"/>
                <w:sz w:val="22"/>
                <w:szCs w:val="22"/>
                <w:highlight w:val="none"/>
                <w:vertAlign w:val="baseline"/>
              </w:rPr>
            </w:pPr>
            <w:r>
              <w:rPr>
                <w:rFonts w:hint="eastAsia" w:ascii="新宋体" w:hAnsi="新宋体" w:eastAsia="新宋体" w:cs="新宋体"/>
                <w:color w:val="auto"/>
                <w:kern w:val="0"/>
                <w:sz w:val="22"/>
                <w:szCs w:val="22"/>
                <w:highlight w:val="none"/>
              </w:rPr>
              <w:t>企业实力</w:t>
            </w:r>
          </w:p>
        </w:tc>
        <w:tc>
          <w:tcPr>
            <w:tcW w:w="6858" w:type="dxa"/>
            <w:vAlign w:val="center"/>
          </w:tcPr>
          <w:p w14:paraId="70454A09">
            <w:pPr>
              <w:keepNext w:val="0"/>
              <w:keepLines w:val="0"/>
              <w:pageBreakBefore w:val="0"/>
              <w:widowControl/>
              <w:kinsoku/>
              <w:wordWrap/>
              <w:overflowPunct/>
              <w:topLinePunct w:val="0"/>
              <w:autoSpaceDE/>
              <w:autoSpaceDN/>
              <w:bidi w:val="0"/>
              <w:snapToGrid/>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1、</w:t>
            </w:r>
            <w:r>
              <w:rPr>
                <w:rFonts w:hint="eastAsia" w:ascii="新宋体" w:hAnsi="新宋体" w:eastAsia="新宋体" w:cs="新宋体"/>
                <w:color w:val="auto"/>
                <w:kern w:val="0"/>
                <w:sz w:val="22"/>
                <w:szCs w:val="22"/>
                <w:highlight w:val="none"/>
              </w:rPr>
              <w:t>投标人提供质量、环境、职业健康管理体系认证证书，得</w:t>
            </w:r>
            <w:r>
              <w:rPr>
                <w:rFonts w:hint="eastAsia" w:ascii="新宋体" w:hAnsi="新宋体" w:eastAsia="新宋体" w:cs="新宋体"/>
                <w:color w:val="auto"/>
                <w:kern w:val="0"/>
                <w:sz w:val="22"/>
                <w:szCs w:val="22"/>
                <w:highlight w:val="none"/>
                <w:lang w:val="en-US" w:eastAsia="zh-CN"/>
              </w:rPr>
              <w:t>3</w:t>
            </w:r>
            <w:r>
              <w:rPr>
                <w:rFonts w:hint="eastAsia" w:ascii="新宋体" w:hAnsi="新宋体" w:eastAsia="新宋体" w:cs="新宋体"/>
                <w:color w:val="auto"/>
                <w:kern w:val="0"/>
                <w:sz w:val="22"/>
                <w:szCs w:val="22"/>
                <w:highlight w:val="none"/>
              </w:rPr>
              <w:t>分；未全部提供的，不得分。在前者基础上，额外提供信息安全管理体系认证证书、信息技术服务管理体系认证证书，每额外提供1个,得</w:t>
            </w:r>
            <w:r>
              <w:rPr>
                <w:rFonts w:hint="eastAsia" w:ascii="新宋体" w:hAnsi="新宋体" w:eastAsia="新宋体" w:cs="新宋体"/>
                <w:color w:val="auto"/>
                <w:kern w:val="0"/>
                <w:sz w:val="22"/>
                <w:szCs w:val="22"/>
                <w:highlight w:val="none"/>
                <w:lang w:val="en-US" w:eastAsia="zh-CN"/>
              </w:rPr>
              <w:t>1</w:t>
            </w:r>
            <w:r>
              <w:rPr>
                <w:rFonts w:hint="eastAsia" w:ascii="新宋体" w:hAnsi="新宋体" w:eastAsia="新宋体" w:cs="新宋体"/>
                <w:color w:val="auto"/>
                <w:kern w:val="0"/>
                <w:sz w:val="22"/>
                <w:szCs w:val="22"/>
                <w:highlight w:val="none"/>
              </w:rPr>
              <w:t>分。本项最多得</w:t>
            </w:r>
            <w:r>
              <w:rPr>
                <w:rFonts w:hint="eastAsia" w:ascii="新宋体" w:hAnsi="新宋体" w:eastAsia="新宋体" w:cs="新宋体"/>
                <w:color w:val="auto"/>
                <w:kern w:val="0"/>
                <w:sz w:val="22"/>
                <w:szCs w:val="22"/>
                <w:highlight w:val="none"/>
                <w:lang w:val="en-US" w:eastAsia="zh-CN"/>
              </w:rPr>
              <w:t>5</w:t>
            </w:r>
            <w:r>
              <w:rPr>
                <w:rFonts w:hint="eastAsia" w:ascii="新宋体" w:hAnsi="新宋体" w:eastAsia="新宋体" w:cs="新宋体"/>
                <w:color w:val="auto"/>
                <w:kern w:val="0"/>
                <w:sz w:val="22"/>
                <w:szCs w:val="22"/>
                <w:highlight w:val="none"/>
              </w:rPr>
              <w:t>分。</w:t>
            </w:r>
          </w:p>
        </w:tc>
        <w:tc>
          <w:tcPr>
            <w:tcW w:w="674" w:type="dxa"/>
            <w:vAlign w:val="center"/>
          </w:tcPr>
          <w:p w14:paraId="65BF72D2">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b w:val="0"/>
                <w:bCs/>
                <w:color w:val="auto"/>
                <w:sz w:val="22"/>
                <w:szCs w:val="22"/>
                <w:highlight w:val="none"/>
                <w:vertAlign w:val="baseline"/>
                <w:lang w:val="en-US" w:eastAsia="zh-CN"/>
              </w:rPr>
            </w:pPr>
            <w:r>
              <w:rPr>
                <w:rFonts w:hint="eastAsia" w:ascii="新宋体" w:hAnsi="新宋体" w:eastAsia="新宋体" w:cs="新宋体"/>
                <w:b w:val="0"/>
                <w:bCs/>
                <w:color w:val="auto"/>
                <w:sz w:val="22"/>
                <w:szCs w:val="22"/>
                <w:highlight w:val="none"/>
                <w:vertAlign w:val="baseline"/>
                <w:lang w:val="en-US" w:eastAsia="zh-CN"/>
              </w:rPr>
              <w:t>5</w:t>
            </w:r>
          </w:p>
        </w:tc>
      </w:tr>
      <w:tr w14:paraId="161AA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3" w:type="dxa"/>
            <w:vMerge w:val="continue"/>
            <w:vAlign w:val="center"/>
          </w:tcPr>
          <w:p w14:paraId="33F2E7D5">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b/>
                <w:color w:val="auto"/>
                <w:sz w:val="22"/>
                <w:szCs w:val="22"/>
                <w:highlight w:val="none"/>
                <w:vertAlign w:val="baseline"/>
                <w:lang w:val="en-US" w:eastAsia="zh-CN"/>
              </w:rPr>
            </w:pPr>
          </w:p>
        </w:tc>
        <w:tc>
          <w:tcPr>
            <w:tcW w:w="1529" w:type="dxa"/>
            <w:gridSpan w:val="2"/>
            <w:vMerge w:val="continue"/>
            <w:vAlign w:val="center"/>
          </w:tcPr>
          <w:p w14:paraId="6F1086D8">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color w:val="auto"/>
                <w:kern w:val="0"/>
                <w:sz w:val="22"/>
                <w:szCs w:val="22"/>
                <w:highlight w:val="none"/>
              </w:rPr>
            </w:pPr>
          </w:p>
        </w:tc>
        <w:tc>
          <w:tcPr>
            <w:tcW w:w="6858" w:type="dxa"/>
            <w:vAlign w:val="center"/>
          </w:tcPr>
          <w:p w14:paraId="06932F8D">
            <w:pPr>
              <w:keepNext w:val="0"/>
              <w:keepLines w:val="0"/>
              <w:pageBreakBefore w:val="0"/>
              <w:widowControl/>
              <w:kinsoku/>
              <w:wordWrap/>
              <w:overflowPunct/>
              <w:topLinePunct w:val="0"/>
              <w:autoSpaceDE/>
              <w:autoSpaceDN/>
              <w:bidi w:val="0"/>
              <w:snapToGrid/>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2</w:t>
            </w:r>
            <w:r>
              <w:rPr>
                <w:rFonts w:hint="eastAsia" w:ascii="新宋体" w:hAnsi="新宋体" w:eastAsia="新宋体" w:cs="新宋体"/>
                <w:color w:val="auto"/>
                <w:kern w:val="0"/>
                <w:sz w:val="22"/>
                <w:szCs w:val="22"/>
                <w:highlight w:val="none"/>
              </w:rPr>
              <w:t>、提供</w:t>
            </w:r>
            <w:r>
              <w:rPr>
                <w:rFonts w:hint="eastAsia" w:ascii="新宋体" w:hAnsi="新宋体" w:eastAsia="新宋体" w:cs="新宋体"/>
                <w:color w:val="auto"/>
                <w:kern w:val="0"/>
                <w:sz w:val="22"/>
                <w:szCs w:val="22"/>
                <w:highlight w:val="none"/>
                <w:lang w:val="en-US" w:eastAsia="zh-CN"/>
              </w:rPr>
              <w:t>项目相关的</w:t>
            </w:r>
            <w:r>
              <w:rPr>
                <w:rFonts w:hint="eastAsia" w:ascii="新宋体" w:hAnsi="新宋体" w:eastAsia="新宋体" w:cs="新宋体"/>
                <w:color w:val="auto"/>
                <w:kern w:val="0"/>
                <w:sz w:val="22"/>
                <w:szCs w:val="22"/>
                <w:highlight w:val="none"/>
              </w:rPr>
              <w:t>咨询或设计奖，每提供1个得1分，最多得2分。</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b/>
                <w:bCs/>
                <w:color w:val="auto"/>
                <w:kern w:val="0"/>
                <w:sz w:val="22"/>
                <w:szCs w:val="22"/>
                <w:highlight w:val="none"/>
              </w:rPr>
              <w:t>注：须提供相关证明材料。</w:t>
            </w:r>
          </w:p>
        </w:tc>
        <w:tc>
          <w:tcPr>
            <w:tcW w:w="674" w:type="dxa"/>
            <w:vAlign w:val="center"/>
          </w:tcPr>
          <w:p w14:paraId="0966942F">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b w:val="0"/>
                <w:bCs/>
                <w:color w:val="auto"/>
                <w:sz w:val="22"/>
                <w:szCs w:val="22"/>
                <w:highlight w:val="none"/>
                <w:vertAlign w:val="baseline"/>
                <w:lang w:val="en-US" w:eastAsia="zh-CN"/>
              </w:rPr>
            </w:pPr>
            <w:r>
              <w:rPr>
                <w:rFonts w:hint="eastAsia" w:ascii="新宋体" w:hAnsi="新宋体" w:eastAsia="新宋体" w:cs="新宋体"/>
                <w:b w:val="0"/>
                <w:bCs/>
                <w:color w:val="auto"/>
                <w:sz w:val="22"/>
                <w:szCs w:val="22"/>
                <w:highlight w:val="none"/>
                <w:vertAlign w:val="baseline"/>
                <w:lang w:val="en-US" w:eastAsia="zh-CN"/>
              </w:rPr>
              <w:t>2</w:t>
            </w:r>
          </w:p>
        </w:tc>
      </w:tr>
      <w:tr w14:paraId="376E2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3" w:type="dxa"/>
            <w:vAlign w:val="center"/>
          </w:tcPr>
          <w:p w14:paraId="03BA4ED0">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b/>
                <w:color w:val="auto"/>
                <w:sz w:val="22"/>
                <w:szCs w:val="22"/>
                <w:highlight w:val="none"/>
                <w:vertAlign w:val="baseline"/>
                <w:lang w:val="en-US" w:eastAsia="zh-CN"/>
              </w:rPr>
            </w:pPr>
            <w:r>
              <w:rPr>
                <w:rFonts w:hint="eastAsia" w:ascii="新宋体" w:hAnsi="新宋体" w:eastAsia="新宋体" w:cs="新宋体"/>
                <w:b/>
                <w:color w:val="auto"/>
                <w:sz w:val="22"/>
                <w:szCs w:val="22"/>
                <w:highlight w:val="none"/>
                <w:vertAlign w:val="baseline"/>
                <w:lang w:val="en-US" w:eastAsia="zh-CN"/>
              </w:rPr>
              <w:t>2</w:t>
            </w:r>
          </w:p>
        </w:tc>
        <w:tc>
          <w:tcPr>
            <w:tcW w:w="1529" w:type="dxa"/>
            <w:gridSpan w:val="2"/>
            <w:vAlign w:val="center"/>
          </w:tcPr>
          <w:p w14:paraId="16024888">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b/>
                <w:color w:val="auto"/>
                <w:sz w:val="22"/>
                <w:szCs w:val="22"/>
                <w:highlight w:val="none"/>
                <w:vertAlign w:val="baseline"/>
              </w:rPr>
            </w:pPr>
            <w:r>
              <w:rPr>
                <w:rFonts w:hint="eastAsia" w:ascii="新宋体" w:hAnsi="新宋体" w:eastAsia="新宋体" w:cs="新宋体"/>
                <w:color w:val="auto"/>
                <w:kern w:val="0"/>
                <w:sz w:val="22"/>
                <w:szCs w:val="22"/>
                <w:highlight w:val="none"/>
              </w:rPr>
              <w:t>项目业绩</w:t>
            </w:r>
          </w:p>
        </w:tc>
        <w:tc>
          <w:tcPr>
            <w:tcW w:w="6858" w:type="dxa"/>
            <w:vAlign w:val="center"/>
          </w:tcPr>
          <w:p w14:paraId="5CE336AB">
            <w:pPr>
              <w:keepNext w:val="0"/>
              <w:keepLines w:val="0"/>
              <w:pageBreakBefore w:val="0"/>
              <w:widowControl/>
              <w:kinsoku/>
              <w:wordWrap/>
              <w:overflowPunct/>
              <w:topLinePunct w:val="0"/>
              <w:autoSpaceDE/>
              <w:autoSpaceDN/>
              <w:bidi w:val="0"/>
              <w:snapToGrid/>
              <w:spacing w:line="460" w:lineRule="exact"/>
              <w:jc w:val="left"/>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根据供应商2020年1月1日起至本项目截标时间止（以合同签订日期为准）同类（算力中心、智慧城市、数字政府类咨询规划业绩）项目业绩每提供一个得1分，最多5分。</w:t>
            </w:r>
          </w:p>
          <w:p w14:paraId="25020AC0">
            <w:pPr>
              <w:pStyle w:val="8"/>
              <w:keepNext w:val="0"/>
              <w:keepLines w:val="0"/>
              <w:pageBreakBefore w:val="0"/>
              <w:kinsoku/>
              <w:wordWrap/>
              <w:overflowPunct/>
              <w:topLinePunct w:val="0"/>
              <w:autoSpaceDE/>
              <w:autoSpaceDN/>
              <w:bidi w:val="0"/>
              <w:snapToGrid/>
              <w:spacing w:line="460" w:lineRule="exact"/>
              <w:ind w:left="0" w:leftChars="0" w:firstLine="0" w:firstLine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注：须提供中标通知书或合同复印件且加盖公章。</w:t>
            </w:r>
          </w:p>
        </w:tc>
        <w:tc>
          <w:tcPr>
            <w:tcW w:w="674" w:type="dxa"/>
            <w:vAlign w:val="center"/>
          </w:tcPr>
          <w:p w14:paraId="65936B71">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b w:val="0"/>
                <w:bCs/>
                <w:color w:val="auto"/>
                <w:sz w:val="22"/>
                <w:szCs w:val="22"/>
                <w:highlight w:val="none"/>
                <w:vertAlign w:val="baseline"/>
                <w:lang w:val="en-US" w:eastAsia="zh-CN"/>
              </w:rPr>
            </w:pPr>
            <w:r>
              <w:rPr>
                <w:rFonts w:hint="eastAsia" w:ascii="新宋体" w:hAnsi="新宋体" w:eastAsia="新宋体" w:cs="新宋体"/>
                <w:b w:val="0"/>
                <w:bCs/>
                <w:color w:val="auto"/>
                <w:sz w:val="22"/>
                <w:szCs w:val="22"/>
                <w:highlight w:val="none"/>
                <w:vertAlign w:val="baseline"/>
                <w:lang w:val="en-US" w:eastAsia="zh-CN"/>
              </w:rPr>
              <w:t>5</w:t>
            </w:r>
          </w:p>
        </w:tc>
      </w:tr>
      <w:tr w14:paraId="544AC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3" w:type="dxa"/>
            <w:vMerge w:val="restart"/>
            <w:vAlign w:val="center"/>
          </w:tcPr>
          <w:p w14:paraId="0D313EAA">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b/>
                <w:color w:val="auto"/>
                <w:sz w:val="22"/>
                <w:szCs w:val="22"/>
                <w:highlight w:val="none"/>
                <w:vertAlign w:val="baseline"/>
                <w:lang w:val="en-US" w:eastAsia="zh-CN"/>
              </w:rPr>
            </w:pPr>
            <w:r>
              <w:rPr>
                <w:rFonts w:hint="eastAsia" w:ascii="新宋体" w:hAnsi="新宋体" w:eastAsia="新宋体" w:cs="新宋体"/>
                <w:b/>
                <w:color w:val="auto"/>
                <w:sz w:val="22"/>
                <w:szCs w:val="22"/>
                <w:highlight w:val="none"/>
                <w:vertAlign w:val="baseline"/>
                <w:lang w:val="en-US" w:eastAsia="zh-CN"/>
              </w:rPr>
              <w:t>3</w:t>
            </w:r>
          </w:p>
        </w:tc>
        <w:tc>
          <w:tcPr>
            <w:tcW w:w="1529" w:type="dxa"/>
            <w:gridSpan w:val="2"/>
            <w:vMerge w:val="restart"/>
            <w:vAlign w:val="center"/>
          </w:tcPr>
          <w:p w14:paraId="29589B13">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b/>
                <w:color w:val="auto"/>
                <w:sz w:val="22"/>
                <w:szCs w:val="22"/>
                <w:highlight w:val="none"/>
                <w:vertAlign w:val="baseline"/>
              </w:rPr>
            </w:pPr>
            <w:r>
              <w:rPr>
                <w:rFonts w:hint="eastAsia" w:ascii="新宋体" w:hAnsi="新宋体" w:eastAsia="新宋体" w:cs="新宋体"/>
                <w:color w:val="auto"/>
                <w:kern w:val="0"/>
                <w:sz w:val="22"/>
                <w:szCs w:val="22"/>
                <w:highlight w:val="none"/>
              </w:rPr>
              <w:t>团队实力</w:t>
            </w:r>
          </w:p>
        </w:tc>
        <w:tc>
          <w:tcPr>
            <w:tcW w:w="6858" w:type="dxa"/>
            <w:vAlign w:val="center"/>
          </w:tcPr>
          <w:p w14:paraId="1D5DAFED">
            <w:pPr>
              <w:keepNext w:val="0"/>
              <w:keepLines w:val="0"/>
              <w:pageBreakBefore w:val="0"/>
              <w:widowControl/>
              <w:kinsoku/>
              <w:wordWrap/>
              <w:overflowPunct/>
              <w:topLinePunct w:val="0"/>
              <w:autoSpaceDE/>
              <w:autoSpaceDN/>
              <w:bidi w:val="0"/>
              <w:snapToGrid/>
              <w:spacing w:line="460" w:lineRule="exact"/>
              <w:jc w:val="left"/>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rPr>
              <w:t>参与项目方案编制的人员组成和任务分配合理。根据拟配置人员各角色全面和工作安排合理程度；</w:t>
            </w:r>
            <w:r>
              <w:rPr>
                <w:rFonts w:hint="eastAsia" w:ascii="新宋体" w:hAnsi="新宋体" w:eastAsia="新宋体" w:cs="新宋体"/>
                <w:b w:val="0"/>
                <w:color w:val="auto"/>
                <w:kern w:val="2"/>
                <w:sz w:val="22"/>
                <w:szCs w:val="22"/>
                <w:highlight w:val="none"/>
                <w:lang w:val="en-US" w:eastAsia="zh-CN" w:bidi="ar-SA"/>
              </w:rPr>
              <w:t>A档：6-3分；B档：2.9-1分；C档：0.9-0分。</w:t>
            </w:r>
          </w:p>
        </w:tc>
        <w:tc>
          <w:tcPr>
            <w:tcW w:w="674" w:type="dxa"/>
            <w:vAlign w:val="center"/>
          </w:tcPr>
          <w:p w14:paraId="5EB2089D">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b w:val="0"/>
                <w:bCs/>
                <w:color w:val="auto"/>
                <w:sz w:val="22"/>
                <w:szCs w:val="22"/>
                <w:highlight w:val="none"/>
                <w:vertAlign w:val="baseline"/>
                <w:lang w:val="en-US" w:eastAsia="zh-CN"/>
              </w:rPr>
            </w:pPr>
            <w:r>
              <w:rPr>
                <w:rFonts w:hint="eastAsia" w:ascii="新宋体" w:hAnsi="新宋体" w:eastAsia="新宋体" w:cs="新宋体"/>
                <w:b w:val="0"/>
                <w:bCs/>
                <w:color w:val="auto"/>
                <w:sz w:val="22"/>
                <w:szCs w:val="22"/>
                <w:highlight w:val="none"/>
                <w:vertAlign w:val="baseline"/>
                <w:lang w:val="en-US" w:eastAsia="zh-CN"/>
              </w:rPr>
              <w:t>6</w:t>
            </w:r>
          </w:p>
        </w:tc>
      </w:tr>
      <w:tr w14:paraId="55574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3" w:type="dxa"/>
            <w:vMerge w:val="continue"/>
            <w:vAlign w:val="center"/>
          </w:tcPr>
          <w:p w14:paraId="638FD87D">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b/>
                <w:color w:val="auto"/>
                <w:sz w:val="22"/>
                <w:szCs w:val="22"/>
                <w:highlight w:val="none"/>
                <w:vertAlign w:val="baseline"/>
                <w:lang w:val="en-US" w:eastAsia="zh-CN"/>
              </w:rPr>
            </w:pPr>
          </w:p>
        </w:tc>
        <w:tc>
          <w:tcPr>
            <w:tcW w:w="1529" w:type="dxa"/>
            <w:gridSpan w:val="2"/>
            <w:vMerge w:val="continue"/>
            <w:vAlign w:val="center"/>
          </w:tcPr>
          <w:p w14:paraId="1A8AD4F6">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color w:val="auto"/>
                <w:kern w:val="0"/>
                <w:sz w:val="22"/>
                <w:szCs w:val="22"/>
                <w:highlight w:val="none"/>
              </w:rPr>
            </w:pPr>
          </w:p>
        </w:tc>
        <w:tc>
          <w:tcPr>
            <w:tcW w:w="6858" w:type="dxa"/>
            <w:vAlign w:val="center"/>
          </w:tcPr>
          <w:p w14:paraId="4002FCFE">
            <w:pPr>
              <w:keepNext w:val="0"/>
              <w:keepLines w:val="0"/>
              <w:pageBreakBefore w:val="0"/>
              <w:widowControl/>
              <w:kinsoku/>
              <w:wordWrap/>
              <w:overflowPunct/>
              <w:topLinePunct w:val="0"/>
              <w:autoSpaceDE/>
              <w:autoSpaceDN/>
              <w:bidi w:val="0"/>
              <w:snapToGrid/>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b/>
                <w:bCs/>
                <w:color w:val="auto"/>
                <w:kern w:val="0"/>
                <w:sz w:val="22"/>
                <w:szCs w:val="22"/>
                <w:highlight w:val="none"/>
              </w:rPr>
              <w:t>项目负责人</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具有咨询工程师（投资）证书</w:t>
            </w:r>
            <w:r>
              <w:rPr>
                <w:rFonts w:hint="eastAsia" w:ascii="新宋体" w:hAnsi="新宋体" w:eastAsia="新宋体" w:cs="新宋体"/>
                <w:color w:val="auto"/>
                <w:kern w:val="0"/>
                <w:sz w:val="22"/>
                <w:szCs w:val="22"/>
                <w:highlight w:val="none"/>
                <w:lang w:val="en-US" w:eastAsia="zh-CN"/>
              </w:rPr>
              <w:t>及</w:t>
            </w:r>
            <w:r>
              <w:rPr>
                <w:rFonts w:hint="eastAsia" w:ascii="新宋体" w:hAnsi="新宋体" w:eastAsia="新宋体" w:cs="新宋体"/>
                <w:color w:val="auto"/>
                <w:kern w:val="0"/>
                <w:sz w:val="22"/>
                <w:szCs w:val="22"/>
                <w:highlight w:val="none"/>
              </w:rPr>
              <w:t>高级职称的得</w:t>
            </w:r>
            <w:r>
              <w:rPr>
                <w:rFonts w:hint="eastAsia" w:ascii="新宋体" w:hAnsi="新宋体" w:eastAsia="新宋体" w:cs="新宋体"/>
                <w:color w:val="auto"/>
                <w:kern w:val="0"/>
                <w:sz w:val="22"/>
                <w:szCs w:val="22"/>
                <w:highlight w:val="none"/>
                <w:lang w:val="en-US" w:eastAsia="zh-CN"/>
              </w:rPr>
              <w:t>3</w:t>
            </w:r>
            <w:r>
              <w:rPr>
                <w:rFonts w:hint="eastAsia" w:ascii="新宋体" w:hAnsi="新宋体" w:eastAsia="新宋体" w:cs="新宋体"/>
                <w:color w:val="auto"/>
                <w:kern w:val="0"/>
                <w:sz w:val="22"/>
                <w:szCs w:val="22"/>
                <w:highlight w:val="none"/>
              </w:rPr>
              <w:t>分；</w:t>
            </w:r>
            <w:r>
              <w:rPr>
                <w:rFonts w:hint="eastAsia" w:ascii="新宋体" w:hAnsi="新宋体" w:eastAsia="新宋体" w:cs="新宋体"/>
                <w:b/>
                <w:bCs/>
                <w:color w:val="auto"/>
                <w:kern w:val="0"/>
                <w:sz w:val="22"/>
                <w:szCs w:val="22"/>
                <w:highlight w:val="none"/>
              </w:rPr>
              <w:t>服务团队中</w:t>
            </w:r>
            <w:r>
              <w:rPr>
                <w:rFonts w:hint="eastAsia" w:ascii="新宋体" w:hAnsi="新宋体" w:eastAsia="新宋体" w:cs="新宋体"/>
                <w:b/>
                <w:bCs/>
                <w:color w:val="auto"/>
                <w:kern w:val="0"/>
                <w:sz w:val="22"/>
                <w:szCs w:val="22"/>
                <w:highlight w:val="none"/>
                <w:lang w:eastAsia="zh-CN"/>
              </w:rPr>
              <w:t>（</w:t>
            </w:r>
            <w:r>
              <w:rPr>
                <w:rFonts w:hint="eastAsia" w:ascii="新宋体" w:hAnsi="新宋体" w:eastAsia="新宋体" w:cs="新宋体"/>
                <w:b/>
                <w:bCs/>
                <w:color w:val="auto"/>
                <w:kern w:val="0"/>
                <w:sz w:val="22"/>
                <w:szCs w:val="22"/>
                <w:highlight w:val="none"/>
                <w:lang w:val="en-US" w:eastAsia="zh-CN"/>
              </w:rPr>
              <w:t>除项目负责人外</w:t>
            </w:r>
            <w:r>
              <w:rPr>
                <w:rFonts w:hint="eastAsia" w:ascii="新宋体" w:hAnsi="新宋体" w:eastAsia="新宋体" w:cs="新宋体"/>
                <w:b/>
                <w:bCs/>
                <w:color w:val="auto"/>
                <w:kern w:val="0"/>
                <w:sz w:val="22"/>
                <w:szCs w:val="22"/>
                <w:highlight w:val="none"/>
                <w:lang w:eastAsia="zh-CN"/>
              </w:rPr>
              <w:t>）</w:t>
            </w:r>
            <w:r>
              <w:rPr>
                <w:rFonts w:hint="eastAsia" w:ascii="新宋体" w:hAnsi="新宋体" w:eastAsia="新宋体" w:cs="新宋体"/>
                <w:b/>
                <w:bCs/>
                <w:color w:val="auto"/>
                <w:kern w:val="0"/>
                <w:sz w:val="22"/>
                <w:szCs w:val="22"/>
                <w:highlight w:val="none"/>
                <w14:ligatures w14:val="none"/>
              </w:rPr>
              <w:t>具有</w:t>
            </w:r>
            <w:r>
              <w:rPr>
                <w:rFonts w:hint="eastAsia" w:ascii="新宋体" w:hAnsi="新宋体" w:eastAsia="新宋体" w:cs="新宋体"/>
                <w:b/>
                <w:bCs/>
                <w:color w:val="auto"/>
                <w:kern w:val="0"/>
                <w:sz w:val="22"/>
                <w:szCs w:val="22"/>
                <w:highlight w:val="none"/>
                <w:lang w:eastAsia="zh-CN"/>
                <w14:ligatures w14:val="none"/>
              </w:rPr>
              <w:t>：</w:t>
            </w:r>
            <w:r>
              <w:rPr>
                <w:rFonts w:hint="eastAsia" w:ascii="新宋体" w:hAnsi="新宋体" w:eastAsia="新宋体" w:cs="新宋体"/>
                <w:color w:val="auto"/>
                <w:kern w:val="0"/>
                <w:sz w:val="22"/>
                <w:szCs w:val="22"/>
                <w:highlight w:val="none"/>
                <w14:ligatures w14:val="none"/>
              </w:rPr>
              <w:t>注册咨询师、高级职称、一级注册建造师（通信工程）、一级注册建造师（机电工程）、信息系统集成及服务项目经理、系统分析师、软件工程造价师、高级软件工程师、注册信息安全人员认证（CISP）、信息安全保障人员认证 （CISAW），每提供一种类型证书得0.</w:t>
            </w:r>
            <w:r>
              <w:rPr>
                <w:rFonts w:hint="eastAsia" w:ascii="新宋体" w:hAnsi="新宋体" w:eastAsia="新宋体" w:cs="新宋体"/>
                <w:color w:val="auto"/>
                <w:kern w:val="0"/>
                <w:sz w:val="22"/>
                <w:szCs w:val="22"/>
                <w:highlight w:val="none"/>
                <w:lang w:val="en-US" w:eastAsia="zh-CN"/>
                <w14:ligatures w14:val="none"/>
              </w:rPr>
              <w:t>5</w:t>
            </w:r>
            <w:r>
              <w:rPr>
                <w:rFonts w:hint="eastAsia" w:ascii="新宋体" w:hAnsi="新宋体" w:eastAsia="新宋体" w:cs="新宋体"/>
                <w:color w:val="auto"/>
                <w:kern w:val="0"/>
                <w:sz w:val="22"/>
                <w:szCs w:val="22"/>
                <w:highlight w:val="none"/>
                <w14:ligatures w14:val="none"/>
              </w:rPr>
              <w:t>分，最高3分，没有不得分。</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注：高级职称为电子、信息工程（含通信、广电、信息化）</w:t>
            </w:r>
            <w:r>
              <w:rPr>
                <w:rFonts w:hint="eastAsia" w:ascii="新宋体" w:hAnsi="新宋体" w:eastAsia="新宋体" w:cs="新宋体"/>
                <w:color w:val="auto"/>
                <w:kern w:val="0"/>
                <w:sz w:val="22"/>
                <w:szCs w:val="22"/>
                <w:highlight w:val="none"/>
                <w:lang w:val="en-US" w:eastAsia="zh-CN"/>
              </w:rPr>
              <w:t>等相关范围</w:t>
            </w:r>
            <w:r>
              <w:rPr>
                <w:rFonts w:hint="eastAsia" w:ascii="新宋体" w:hAnsi="新宋体" w:eastAsia="新宋体" w:cs="新宋体"/>
                <w:color w:val="auto"/>
                <w:kern w:val="0"/>
                <w:sz w:val="22"/>
                <w:szCs w:val="22"/>
                <w:highlight w:val="none"/>
              </w:rPr>
              <w:t>专业。提供有效证书等证明材料。</w:t>
            </w:r>
          </w:p>
        </w:tc>
        <w:tc>
          <w:tcPr>
            <w:tcW w:w="674" w:type="dxa"/>
            <w:vAlign w:val="center"/>
          </w:tcPr>
          <w:p w14:paraId="6F449019">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b w:val="0"/>
                <w:bCs/>
                <w:color w:val="auto"/>
                <w:sz w:val="22"/>
                <w:szCs w:val="22"/>
                <w:highlight w:val="none"/>
                <w:vertAlign w:val="baseline"/>
                <w:lang w:val="en-US" w:eastAsia="zh-CN"/>
              </w:rPr>
            </w:pPr>
            <w:r>
              <w:rPr>
                <w:rFonts w:hint="eastAsia" w:ascii="新宋体" w:hAnsi="新宋体" w:eastAsia="新宋体" w:cs="新宋体"/>
                <w:b w:val="0"/>
                <w:bCs/>
                <w:color w:val="auto"/>
                <w:sz w:val="22"/>
                <w:szCs w:val="22"/>
                <w:highlight w:val="none"/>
                <w:vertAlign w:val="baseline"/>
                <w:lang w:val="en-US" w:eastAsia="zh-CN"/>
              </w:rPr>
              <w:t>6</w:t>
            </w:r>
          </w:p>
        </w:tc>
      </w:tr>
      <w:tr w14:paraId="544D1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3" w:type="dxa"/>
            <w:vMerge w:val="restart"/>
            <w:vAlign w:val="center"/>
          </w:tcPr>
          <w:p w14:paraId="13B88557">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b/>
                <w:color w:val="auto"/>
                <w:sz w:val="22"/>
                <w:szCs w:val="22"/>
                <w:highlight w:val="none"/>
                <w:vertAlign w:val="baseline"/>
                <w:lang w:val="en-US" w:eastAsia="zh-CN"/>
              </w:rPr>
            </w:pPr>
            <w:r>
              <w:rPr>
                <w:rFonts w:hint="eastAsia" w:ascii="新宋体" w:hAnsi="新宋体" w:eastAsia="新宋体" w:cs="新宋体"/>
                <w:b/>
                <w:color w:val="auto"/>
                <w:sz w:val="22"/>
                <w:szCs w:val="22"/>
                <w:highlight w:val="none"/>
                <w:vertAlign w:val="baseline"/>
                <w:lang w:val="en-US" w:eastAsia="zh-CN"/>
              </w:rPr>
              <w:t>4</w:t>
            </w:r>
          </w:p>
        </w:tc>
        <w:tc>
          <w:tcPr>
            <w:tcW w:w="514" w:type="dxa"/>
            <w:vMerge w:val="restart"/>
            <w:vAlign w:val="center"/>
          </w:tcPr>
          <w:p w14:paraId="4B9EA26F">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b/>
                <w:color w:val="auto"/>
                <w:sz w:val="22"/>
                <w:szCs w:val="22"/>
                <w:highlight w:val="none"/>
                <w:vertAlign w:val="baseline"/>
              </w:rPr>
            </w:pPr>
            <w:r>
              <w:rPr>
                <w:rFonts w:hint="eastAsia" w:ascii="新宋体" w:hAnsi="新宋体" w:eastAsia="新宋体" w:cs="新宋体"/>
                <w:color w:val="auto"/>
                <w:kern w:val="0"/>
                <w:sz w:val="22"/>
                <w:szCs w:val="22"/>
                <w:highlight w:val="none"/>
                <w:lang w:val="en-US" w:eastAsia="zh-CN"/>
              </w:rPr>
              <w:t>项目理解及总体咨询服务方案</w:t>
            </w:r>
          </w:p>
        </w:tc>
        <w:tc>
          <w:tcPr>
            <w:tcW w:w="1015" w:type="dxa"/>
            <w:vAlign w:val="center"/>
          </w:tcPr>
          <w:p w14:paraId="2C9B8630">
            <w:pPr>
              <w:keepNext w:val="0"/>
              <w:keepLines w:val="0"/>
              <w:pageBreakBefore w:val="0"/>
              <w:widowControl/>
              <w:kinsoku/>
              <w:wordWrap/>
              <w:overflowPunct/>
              <w:topLinePunct w:val="0"/>
              <w:autoSpaceDE/>
              <w:autoSpaceDN/>
              <w:bidi w:val="0"/>
              <w:snapToGrid/>
              <w:spacing w:after="0" w:line="460" w:lineRule="exact"/>
              <w:jc w:val="center"/>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b/>
                <w:bCs/>
                <w:color w:val="auto"/>
                <w:kern w:val="0"/>
                <w:sz w:val="22"/>
                <w:szCs w:val="22"/>
                <w:highlight w:val="none"/>
                <w14:ligatures w14:val="none"/>
              </w:rPr>
              <w:t>咨询服务背景</w:t>
            </w:r>
          </w:p>
        </w:tc>
        <w:tc>
          <w:tcPr>
            <w:tcW w:w="6858" w:type="dxa"/>
            <w:vAlign w:val="center"/>
          </w:tcPr>
          <w:p w14:paraId="5DCFEBC5">
            <w:pPr>
              <w:keepNext w:val="0"/>
              <w:keepLines w:val="0"/>
              <w:pageBreakBefore w:val="0"/>
              <w:widowControl/>
              <w:kinsoku/>
              <w:wordWrap/>
              <w:overflowPunct/>
              <w:topLinePunct w:val="0"/>
              <w:autoSpaceDE/>
              <w:autoSpaceDN/>
              <w:bidi w:val="0"/>
              <w:snapToGrid/>
              <w:spacing w:after="0" w:line="460" w:lineRule="exact"/>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b/>
                <w:bCs/>
                <w:color w:val="auto"/>
                <w:kern w:val="0"/>
                <w:sz w:val="22"/>
                <w:szCs w:val="22"/>
                <w:highlight w:val="none"/>
                <w14:ligatures w14:val="none"/>
              </w:rPr>
              <w:t>对温州市发展智能算力背景及基础理解</w:t>
            </w:r>
            <w:r>
              <w:rPr>
                <w:rFonts w:hint="eastAsia" w:ascii="新宋体" w:hAnsi="新宋体" w:eastAsia="新宋体" w:cs="新宋体"/>
                <w:color w:val="auto"/>
                <w:kern w:val="0"/>
                <w:sz w:val="22"/>
                <w:szCs w:val="22"/>
                <w:highlight w:val="none"/>
                <w14:ligatures w14:val="none"/>
              </w:rPr>
              <w:br w:type="textWrapping"/>
            </w:r>
            <w:r>
              <w:rPr>
                <w:rFonts w:hint="eastAsia" w:ascii="新宋体" w:hAnsi="新宋体" w:eastAsia="新宋体" w:cs="新宋体"/>
                <w:color w:val="auto"/>
                <w:kern w:val="0"/>
                <w:sz w:val="22"/>
                <w:szCs w:val="22"/>
                <w:highlight w:val="none"/>
                <w14:ligatures w14:val="none"/>
              </w:rPr>
              <w:t>准确、全面分析温州市发展智能算力和人工智能产业的背景、基础条件和发展优势，契合温州发展实际。根据分析的全面性和对温州的契合程度进行打分。</w:t>
            </w:r>
            <w:r>
              <w:rPr>
                <w:rFonts w:hint="eastAsia" w:ascii="新宋体" w:hAnsi="新宋体" w:eastAsia="新宋体" w:cs="新宋体"/>
                <w:color w:val="auto"/>
                <w:kern w:val="0"/>
                <w:sz w:val="22"/>
                <w:szCs w:val="22"/>
                <w:highlight w:val="none"/>
                <w14:ligatures w14:val="none"/>
              </w:rPr>
              <w:br w:type="textWrapping"/>
            </w:r>
            <w:r>
              <w:rPr>
                <w:rFonts w:hint="eastAsia" w:ascii="新宋体" w:hAnsi="新宋体" w:eastAsia="新宋体" w:cs="新宋体"/>
                <w:b w:val="0"/>
                <w:color w:val="auto"/>
                <w:kern w:val="2"/>
                <w:sz w:val="22"/>
                <w:szCs w:val="22"/>
                <w:highlight w:val="none"/>
                <w:lang w:val="en-US" w:eastAsia="zh-CN" w:bidi="ar-SA"/>
              </w:rPr>
              <w:t>A档：6-3分；B档：2.9-1分；C档：0.9-0分</w:t>
            </w:r>
          </w:p>
        </w:tc>
        <w:tc>
          <w:tcPr>
            <w:tcW w:w="674" w:type="dxa"/>
            <w:vAlign w:val="center"/>
          </w:tcPr>
          <w:p w14:paraId="35777375">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b w:val="0"/>
                <w:bCs/>
                <w:color w:val="auto"/>
                <w:sz w:val="22"/>
                <w:szCs w:val="22"/>
                <w:highlight w:val="none"/>
                <w:vertAlign w:val="baseline"/>
                <w:lang w:val="en-US" w:eastAsia="zh-CN"/>
              </w:rPr>
            </w:pPr>
            <w:r>
              <w:rPr>
                <w:rFonts w:hint="eastAsia" w:ascii="新宋体" w:hAnsi="新宋体" w:eastAsia="新宋体" w:cs="新宋体"/>
                <w:b w:val="0"/>
                <w:bCs/>
                <w:color w:val="auto"/>
                <w:sz w:val="22"/>
                <w:szCs w:val="22"/>
                <w:highlight w:val="none"/>
                <w:vertAlign w:val="baseline"/>
                <w:lang w:val="en-US" w:eastAsia="zh-CN"/>
              </w:rPr>
              <w:t>6</w:t>
            </w:r>
          </w:p>
        </w:tc>
      </w:tr>
      <w:tr w14:paraId="60F1A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3" w:type="dxa"/>
            <w:vMerge w:val="continue"/>
            <w:vAlign w:val="center"/>
          </w:tcPr>
          <w:p w14:paraId="264ED4B9">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b/>
                <w:color w:val="auto"/>
                <w:sz w:val="22"/>
                <w:szCs w:val="22"/>
                <w:highlight w:val="none"/>
                <w:vertAlign w:val="baseline"/>
                <w:lang w:val="en-US" w:eastAsia="zh-CN"/>
              </w:rPr>
            </w:pPr>
          </w:p>
        </w:tc>
        <w:tc>
          <w:tcPr>
            <w:tcW w:w="514" w:type="dxa"/>
            <w:vMerge w:val="continue"/>
            <w:vAlign w:val="center"/>
          </w:tcPr>
          <w:p w14:paraId="2C3D97C4">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color w:val="auto"/>
                <w:kern w:val="0"/>
                <w:sz w:val="22"/>
                <w:szCs w:val="22"/>
                <w:highlight w:val="none"/>
                <w:lang w:val="en-US" w:eastAsia="zh-CN"/>
              </w:rPr>
            </w:pPr>
          </w:p>
        </w:tc>
        <w:tc>
          <w:tcPr>
            <w:tcW w:w="1015" w:type="dxa"/>
            <w:vAlign w:val="center"/>
          </w:tcPr>
          <w:p w14:paraId="0B60789E">
            <w:pPr>
              <w:keepNext w:val="0"/>
              <w:keepLines w:val="0"/>
              <w:pageBreakBefore w:val="0"/>
              <w:widowControl/>
              <w:kinsoku/>
              <w:wordWrap/>
              <w:overflowPunct/>
              <w:topLinePunct w:val="0"/>
              <w:autoSpaceDE/>
              <w:autoSpaceDN/>
              <w:bidi w:val="0"/>
              <w:snapToGrid/>
              <w:spacing w:after="0" w:line="460" w:lineRule="exact"/>
              <w:jc w:val="center"/>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b/>
                <w:bCs/>
                <w:color w:val="auto"/>
                <w:kern w:val="0"/>
                <w:sz w:val="22"/>
                <w:szCs w:val="22"/>
                <w:highlight w:val="none"/>
                <w14:ligatures w14:val="none"/>
              </w:rPr>
              <w:t>调研计划方案</w:t>
            </w:r>
          </w:p>
        </w:tc>
        <w:tc>
          <w:tcPr>
            <w:tcW w:w="6858" w:type="dxa"/>
            <w:vAlign w:val="center"/>
          </w:tcPr>
          <w:p w14:paraId="6C4A58CA">
            <w:pPr>
              <w:keepNext w:val="0"/>
              <w:keepLines w:val="0"/>
              <w:pageBreakBefore w:val="0"/>
              <w:widowControl/>
              <w:numPr>
                <w:ilvl w:val="0"/>
                <w:numId w:val="0"/>
              </w:numPr>
              <w:kinsoku/>
              <w:wordWrap/>
              <w:overflowPunct/>
              <w:topLinePunct w:val="0"/>
              <w:autoSpaceDE/>
              <w:autoSpaceDN/>
              <w:bidi w:val="0"/>
              <w:snapToGrid/>
              <w:spacing w:after="0" w:line="460" w:lineRule="exact"/>
              <w:rPr>
                <w:rFonts w:hint="eastAsia" w:ascii="新宋体" w:hAnsi="新宋体" w:eastAsia="新宋体" w:cs="新宋体"/>
                <w:b/>
                <w:bCs/>
                <w:color w:val="auto"/>
                <w:kern w:val="0"/>
                <w:sz w:val="22"/>
                <w:szCs w:val="22"/>
                <w:highlight w:val="none"/>
                <w14:ligatures w14:val="none"/>
              </w:rPr>
            </w:pPr>
            <w:r>
              <w:rPr>
                <w:rFonts w:hint="eastAsia" w:ascii="新宋体" w:hAnsi="新宋体" w:eastAsia="新宋体" w:cs="新宋体"/>
                <w:b/>
                <w:bCs/>
                <w:color w:val="auto"/>
                <w:kern w:val="0"/>
                <w:sz w:val="22"/>
                <w:szCs w:val="22"/>
                <w:highlight w:val="none"/>
                <w:lang w:val="en-US" w:eastAsia="zh-CN" w:bidi="ar-SA"/>
                <w14:ligatures w14:val="none"/>
              </w:rPr>
              <w:t>1、</w:t>
            </w:r>
            <w:r>
              <w:rPr>
                <w:rFonts w:hint="eastAsia" w:ascii="新宋体" w:hAnsi="新宋体" w:eastAsia="新宋体" w:cs="新宋体"/>
                <w:b/>
                <w:bCs/>
                <w:color w:val="auto"/>
                <w:kern w:val="0"/>
                <w:sz w:val="22"/>
                <w:szCs w:val="22"/>
                <w:highlight w:val="none"/>
                <w14:ligatures w14:val="none"/>
              </w:rPr>
              <w:t>提供调研计划安排方案</w:t>
            </w:r>
          </w:p>
          <w:p w14:paraId="091DC86C">
            <w:pPr>
              <w:keepNext w:val="0"/>
              <w:keepLines w:val="0"/>
              <w:pageBreakBefore w:val="0"/>
              <w:widowControl/>
              <w:numPr>
                <w:ilvl w:val="0"/>
                <w:numId w:val="0"/>
              </w:numPr>
              <w:kinsoku/>
              <w:wordWrap/>
              <w:overflowPunct/>
              <w:topLinePunct w:val="0"/>
              <w:autoSpaceDE/>
              <w:autoSpaceDN/>
              <w:bidi w:val="0"/>
              <w:snapToGrid/>
              <w:spacing w:after="0"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14:ligatures w14:val="none"/>
              </w:rPr>
              <w:t>制定调研方案及调研模板。对调研思路、计划安排、调研模板情况进行综合评估打分。</w:t>
            </w:r>
            <w:r>
              <w:rPr>
                <w:rFonts w:hint="eastAsia" w:ascii="新宋体" w:hAnsi="新宋体" w:eastAsia="新宋体" w:cs="新宋体"/>
                <w:color w:val="auto"/>
                <w:kern w:val="0"/>
                <w:sz w:val="22"/>
                <w:szCs w:val="22"/>
                <w:highlight w:val="none"/>
                <w14:ligatures w14:val="none"/>
              </w:rPr>
              <w:br w:type="textWrapping"/>
            </w:r>
            <w:r>
              <w:rPr>
                <w:rFonts w:hint="eastAsia" w:ascii="新宋体" w:hAnsi="新宋体" w:eastAsia="新宋体" w:cs="新宋体"/>
                <w:b w:val="0"/>
                <w:color w:val="auto"/>
                <w:kern w:val="2"/>
                <w:sz w:val="22"/>
                <w:szCs w:val="22"/>
                <w:highlight w:val="none"/>
                <w:lang w:val="en-US" w:eastAsia="zh-CN" w:bidi="ar-SA"/>
              </w:rPr>
              <w:t>A档：4-3分；B档：2.9-1分；C档：0.9-0分</w:t>
            </w:r>
            <w:r>
              <w:rPr>
                <w:rFonts w:hint="eastAsia" w:ascii="新宋体" w:hAnsi="新宋体" w:eastAsia="新宋体" w:cs="新宋体"/>
                <w:color w:val="auto"/>
                <w:kern w:val="0"/>
                <w:sz w:val="22"/>
                <w:szCs w:val="22"/>
                <w:highlight w:val="none"/>
                <w14:ligatures w14:val="none"/>
              </w:rPr>
              <w:br w:type="textWrapping"/>
            </w:r>
            <w:r>
              <w:rPr>
                <w:rFonts w:hint="eastAsia" w:ascii="新宋体" w:hAnsi="新宋体" w:eastAsia="新宋体" w:cs="新宋体"/>
                <w:b/>
                <w:bCs/>
                <w:color w:val="auto"/>
                <w:kern w:val="0"/>
                <w:sz w:val="22"/>
                <w:szCs w:val="22"/>
                <w:highlight w:val="none"/>
                <w14:ligatures w14:val="none"/>
              </w:rPr>
              <w:t>2、推荐重点调研企业清单</w:t>
            </w:r>
            <w:r>
              <w:rPr>
                <w:rFonts w:hint="eastAsia" w:ascii="新宋体" w:hAnsi="新宋体" w:eastAsia="新宋体" w:cs="新宋体"/>
                <w:color w:val="auto"/>
                <w:kern w:val="0"/>
                <w:sz w:val="22"/>
                <w:szCs w:val="22"/>
                <w:highlight w:val="none"/>
                <w14:ligatures w14:val="none"/>
              </w:rPr>
              <w:br w:type="textWrapping"/>
            </w:r>
            <w:r>
              <w:rPr>
                <w:rFonts w:hint="eastAsia" w:ascii="新宋体" w:hAnsi="新宋体" w:eastAsia="新宋体" w:cs="新宋体"/>
                <w:color w:val="auto"/>
                <w:kern w:val="0"/>
                <w:sz w:val="22"/>
                <w:szCs w:val="22"/>
                <w:highlight w:val="none"/>
                <w14:ligatures w14:val="none"/>
              </w:rPr>
              <w:t>结合温州实际，梳理推荐重点抽样调研企业清单信息。根据清单情况进行评估打分。</w:t>
            </w:r>
            <w:r>
              <w:rPr>
                <w:rFonts w:hint="eastAsia" w:ascii="新宋体" w:hAnsi="新宋体" w:eastAsia="新宋体" w:cs="新宋体"/>
                <w:color w:val="auto"/>
                <w:kern w:val="0"/>
                <w:sz w:val="22"/>
                <w:szCs w:val="22"/>
                <w:highlight w:val="none"/>
                <w14:ligatures w14:val="none"/>
              </w:rPr>
              <w:br w:type="textWrapping"/>
            </w:r>
            <w:r>
              <w:rPr>
                <w:rFonts w:hint="eastAsia" w:ascii="新宋体" w:hAnsi="新宋体" w:eastAsia="新宋体" w:cs="新宋体"/>
                <w:color w:val="auto"/>
                <w:kern w:val="0"/>
                <w:sz w:val="22"/>
                <w:szCs w:val="22"/>
                <w:highlight w:val="none"/>
                <w14:ligatures w14:val="none"/>
              </w:rPr>
              <w:t>A:推荐企业清单符合本地实际且规模不低于50家且详实合理得6分；</w:t>
            </w:r>
            <w:r>
              <w:rPr>
                <w:rFonts w:hint="eastAsia" w:ascii="新宋体" w:hAnsi="新宋体" w:eastAsia="新宋体" w:cs="新宋体"/>
                <w:color w:val="auto"/>
                <w:kern w:val="0"/>
                <w:sz w:val="22"/>
                <w:szCs w:val="22"/>
                <w:highlight w:val="none"/>
                <w14:ligatures w14:val="none"/>
              </w:rPr>
              <w:br w:type="textWrapping"/>
            </w:r>
            <w:r>
              <w:rPr>
                <w:rFonts w:hint="eastAsia" w:ascii="新宋体" w:hAnsi="新宋体" w:eastAsia="新宋体" w:cs="新宋体"/>
                <w:color w:val="auto"/>
                <w:kern w:val="0"/>
                <w:sz w:val="22"/>
                <w:szCs w:val="22"/>
                <w:highlight w:val="none"/>
                <w14:ligatures w14:val="none"/>
              </w:rPr>
              <w:t>B:推荐企业清单符合本地实际但规模不低于30家得3分；</w:t>
            </w:r>
            <w:r>
              <w:rPr>
                <w:rFonts w:hint="eastAsia" w:ascii="新宋体" w:hAnsi="新宋体" w:eastAsia="新宋体" w:cs="新宋体"/>
                <w:color w:val="auto"/>
                <w:kern w:val="0"/>
                <w:sz w:val="22"/>
                <w:szCs w:val="22"/>
                <w:highlight w:val="none"/>
                <w14:ligatures w14:val="none"/>
              </w:rPr>
              <w:br w:type="textWrapping"/>
            </w:r>
            <w:r>
              <w:rPr>
                <w:rFonts w:hint="eastAsia" w:ascii="新宋体" w:hAnsi="新宋体" w:eastAsia="新宋体" w:cs="新宋体"/>
                <w:color w:val="auto"/>
                <w:kern w:val="0"/>
                <w:sz w:val="22"/>
                <w:szCs w:val="22"/>
                <w:highlight w:val="none"/>
                <w14:ligatures w14:val="none"/>
              </w:rPr>
              <w:t>C:推荐企业清单符合本地实际但规模低于30家得1分；</w:t>
            </w:r>
            <w:r>
              <w:rPr>
                <w:rFonts w:hint="eastAsia" w:ascii="新宋体" w:hAnsi="新宋体" w:eastAsia="新宋体" w:cs="新宋体"/>
                <w:color w:val="auto"/>
                <w:kern w:val="0"/>
                <w:sz w:val="22"/>
                <w:szCs w:val="22"/>
                <w:highlight w:val="none"/>
                <w14:ligatures w14:val="none"/>
              </w:rPr>
              <w:br w:type="textWrapping"/>
            </w:r>
            <w:r>
              <w:rPr>
                <w:rFonts w:hint="eastAsia" w:ascii="新宋体" w:hAnsi="新宋体" w:eastAsia="新宋体" w:cs="新宋体"/>
                <w:color w:val="auto"/>
                <w:kern w:val="0"/>
                <w:sz w:val="22"/>
                <w:szCs w:val="22"/>
                <w:highlight w:val="none"/>
                <w14:ligatures w14:val="none"/>
              </w:rPr>
              <w:t>D：未提供推荐企业清单，或者清单不符合本地实际不得分。</w:t>
            </w:r>
            <w:r>
              <w:rPr>
                <w:rFonts w:hint="eastAsia" w:ascii="新宋体" w:hAnsi="新宋体" w:eastAsia="新宋体" w:cs="新宋体"/>
                <w:color w:val="auto"/>
                <w:kern w:val="0"/>
                <w:sz w:val="22"/>
                <w:szCs w:val="22"/>
                <w:highlight w:val="none"/>
                <w14:ligatures w14:val="none"/>
              </w:rPr>
              <w:br w:type="textWrapping"/>
            </w:r>
            <w:r>
              <w:rPr>
                <w:rFonts w:hint="eastAsia" w:ascii="新宋体" w:hAnsi="新宋体" w:eastAsia="新宋体" w:cs="新宋体"/>
                <w:b/>
                <w:bCs/>
                <w:color w:val="auto"/>
                <w:kern w:val="0"/>
                <w:sz w:val="22"/>
                <w:szCs w:val="22"/>
                <w:highlight w:val="none"/>
                <w14:ligatures w14:val="none"/>
              </w:rPr>
              <w:t>3、算力需求调研经验</w:t>
            </w:r>
            <w:r>
              <w:rPr>
                <w:rFonts w:hint="eastAsia" w:ascii="新宋体" w:hAnsi="新宋体" w:eastAsia="新宋体" w:cs="新宋体"/>
                <w:color w:val="auto"/>
                <w:kern w:val="0"/>
                <w:sz w:val="22"/>
                <w:szCs w:val="22"/>
                <w:highlight w:val="none"/>
                <w14:ligatures w14:val="none"/>
              </w:rPr>
              <w:br w:type="textWrapping"/>
            </w:r>
            <w:r>
              <w:rPr>
                <w:rFonts w:hint="eastAsia" w:ascii="新宋体" w:hAnsi="新宋体" w:eastAsia="新宋体" w:cs="新宋体"/>
                <w:color w:val="auto"/>
                <w:kern w:val="0"/>
                <w:sz w:val="22"/>
                <w:szCs w:val="22"/>
                <w:highlight w:val="none"/>
                <w14:ligatures w14:val="none"/>
              </w:rPr>
              <w:t>编制提供调研报告模板，给出相应目录框架，提供不少于3家本地企业的调研案例。根据调研报告提纲及调研案例进行评估打分。</w:t>
            </w:r>
            <w:r>
              <w:rPr>
                <w:rFonts w:hint="eastAsia" w:ascii="新宋体" w:hAnsi="新宋体" w:eastAsia="新宋体" w:cs="新宋体"/>
                <w:color w:val="auto"/>
                <w:kern w:val="0"/>
                <w:sz w:val="22"/>
                <w:szCs w:val="22"/>
                <w:highlight w:val="none"/>
                <w14:ligatures w14:val="none"/>
              </w:rPr>
              <w:br w:type="textWrapping"/>
            </w:r>
            <w:r>
              <w:rPr>
                <w:rFonts w:hint="eastAsia" w:ascii="新宋体" w:hAnsi="新宋体" w:eastAsia="新宋体" w:cs="新宋体"/>
                <w:color w:val="auto"/>
                <w:kern w:val="0"/>
                <w:sz w:val="22"/>
                <w:szCs w:val="22"/>
                <w:highlight w:val="none"/>
                <w14:ligatures w14:val="none"/>
              </w:rPr>
              <w:t>A:提供调研报告模板，且提供10家以上企业的调研情况得10分；</w:t>
            </w:r>
            <w:r>
              <w:rPr>
                <w:rFonts w:hint="eastAsia" w:ascii="新宋体" w:hAnsi="新宋体" w:eastAsia="新宋体" w:cs="新宋体"/>
                <w:color w:val="auto"/>
                <w:kern w:val="0"/>
                <w:sz w:val="22"/>
                <w:szCs w:val="22"/>
                <w:highlight w:val="none"/>
                <w14:ligatures w14:val="none"/>
              </w:rPr>
              <w:br w:type="textWrapping"/>
            </w:r>
            <w:r>
              <w:rPr>
                <w:rFonts w:hint="eastAsia" w:ascii="新宋体" w:hAnsi="新宋体" w:eastAsia="新宋体" w:cs="新宋体"/>
                <w:color w:val="auto"/>
                <w:kern w:val="0"/>
                <w:sz w:val="22"/>
                <w:szCs w:val="22"/>
                <w:highlight w:val="none"/>
                <w14:ligatures w14:val="none"/>
              </w:rPr>
              <w:t>B:提供调研报告模板，且提供5-10家企业的调研情况得5分；</w:t>
            </w:r>
            <w:r>
              <w:rPr>
                <w:rFonts w:hint="eastAsia" w:ascii="新宋体" w:hAnsi="新宋体" w:eastAsia="新宋体" w:cs="新宋体"/>
                <w:color w:val="auto"/>
                <w:kern w:val="0"/>
                <w:sz w:val="22"/>
                <w:szCs w:val="22"/>
                <w:highlight w:val="none"/>
                <w14:ligatures w14:val="none"/>
              </w:rPr>
              <w:br w:type="textWrapping"/>
            </w:r>
            <w:r>
              <w:rPr>
                <w:rFonts w:hint="eastAsia" w:ascii="新宋体" w:hAnsi="新宋体" w:eastAsia="新宋体" w:cs="新宋体"/>
                <w:color w:val="auto"/>
                <w:kern w:val="0"/>
                <w:sz w:val="22"/>
                <w:szCs w:val="22"/>
                <w:highlight w:val="none"/>
                <w14:ligatures w14:val="none"/>
              </w:rPr>
              <w:t>C:提供调研报告模板，且提供3-5家企业的调研情况得2分；</w:t>
            </w:r>
            <w:r>
              <w:rPr>
                <w:rFonts w:hint="eastAsia" w:ascii="新宋体" w:hAnsi="新宋体" w:eastAsia="新宋体" w:cs="新宋体"/>
                <w:color w:val="auto"/>
                <w:kern w:val="0"/>
                <w:sz w:val="22"/>
                <w:szCs w:val="22"/>
                <w:highlight w:val="none"/>
                <w14:ligatures w14:val="none"/>
              </w:rPr>
              <w:br w:type="textWrapping"/>
            </w:r>
            <w:r>
              <w:rPr>
                <w:rFonts w:hint="eastAsia" w:ascii="新宋体" w:hAnsi="新宋体" w:eastAsia="新宋体" w:cs="新宋体"/>
                <w:color w:val="auto"/>
                <w:kern w:val="0"/>
                <w:sz w:val="22"/>
                <w:szCs w:val="22"/>
                <w:highlight w:val="none"/>
                <w14:ligatures w14:val="none"/>
              </w:rPr>
              <w:t>D：未提供调研报告模板，或者调研企业不足3家不得分。</w:t>
            </w:r>
          </w:p>
        </w:tc>
        <w:tc>
          <w:tcPr>
            <w:tcW w:w="674" w:type="dxa"/>
            <w:vAlign w:val="center"/>
          </w:tcPr>
          <w:p w14:paraId="2974B9AB">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b w:val="0"/>
                <w:bCs/>
                <w:color w:val="auto"/>
                <w:sz w:val="22"/>
                <w:szCs w:val="22"/>
                <w:highlight w:val="none"/>
                <w:vertAlign w:val="baseline"/>
                <w:lang w:val="en-US" w:eastAsia="zh-CN"/>
              </w:rPr>
            </w:pPr>
            <w:r>
              <w:rPr>
                <w:rFonts w:hint="eastAsia" w:ascii="新宋体" w:hAnsi="新宋体" w:eastAsia="新宋体" w:cs="新宋体"/>
                <w:b w:val="0"/>
                <w:bCs/>
                <w:color w:val="auto"/>
                <w:sz w:val="22"/>
                <w:szCs w:val="22"/>
                <w:highlight w:val="none"/>
                <w:vertAlign w:val="baseline"/>
                <w:lang w:val="en-US" w:eastAsia="zh-CN"/>
              </w:rPr>
              <w:t>20</w:t>
            </w:r>
          </w:p>
        </w:tc>
      </w:tr>
      <w:tr w14:paraId="01D09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3" w:type="dxa"/>
            <w:vMerge w:val="continue"/>
            <w:vAlign w:val="center"/>
          </w:tcPr>
          <w:p w14:paraId="0450D9C3">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b/>
                <w:color w:val="auto"/>
                <w:sz w:val="22"/>
                <w:szCs w:val="22"/>
                <w:highlight w:val="none"/>
                <w:vertAlign w:val="baseline"/>
                <w:lang w:val="en-US" w:eastAsia="zh-CN"/>
              </w:rPr>
            </w:pPr>
          </w:p>
        </w:tc>
        <w:tc>
          <w:tcPr>
            <w:tcW w:w="514" w:type="dxa"/>
            <w:vMerge w:val="continue"/>
            <w:vAlign w:val="center"/>
          </w:tcPr>
          <w:p w14:paraId="2D438D5E">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color w:val="auto"/>
                <w:kern w:val="0"/>
                <w:sz w:val="22"/>
                <w:szCs w:val="22"/>
                <w:highlight w:val="none"/>
                <w:lang w:val="en-US" w:eastAsia="zh-CN"/>
              </w:rPr>
            </w:pPr>
          </w:p>
        </w:tc>
        <w:tc>
          <w:tcPr>
            <w:tcW w:w="1015" w:type="dxa"/>
            <w:vAlign w:val="center"/>
          </w:tcPr>
          <w:p w14:paraId="545155EA">
            <w:pPr>
              <w:keepNext w:val="0"/>
              <w:keepLines w:val="0"/>
              <w:pageBreakBefore w:val="0"/>
              <w:widowControl/>
              <w:kinsoku/>
              <w:wordWrap/>
              <w:overflowPunct/>
              <w:topLinePunct w:val="0"/>
              <w:autoSpaceDE/>
              <w:autoSpaceDN/>
              <w:bidi w:val="0"/>
              <w:snapToGrid/>
              <w:spacing w:after="0" w:line="460" w:lineRule="exact"/>
              <w:jc w:val="center"/>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b/>
                <w:bCs/>
                <w:color w:val="auto"/>
                <w:kern w:val="0"/>
                <w:sz w:val="22"/>
                <w:szCs w:val="22"/>
                <w:highlight w:val="none"/>
                <w14:ligatures w14:val="none"/>
              </w:rPr>
              <w:t>现状及需求评估</w:t>
            </w:r>
          </w:p>
        </w:tc>
        <w:tc>
          <w:tcPr>
            <w:tcW w:w="6858" w:type="dxa"/>
            <w:vAlign w:val="center"/>
          </w:tcPr>
          <w:p w14:paraId="79233D8E">
            <w:pPr>
              <w:keepNext w:val="0"/>
              <w:keepLines w:val="0"/>
              <w:pageBreakBefore w:val="0"/>
              <w:widowControl/>
              <w:kinsoku/>
              <w:wordWrap/>
              <w:overflowPunct/>
              <w:topLinePunct w:val="0"/>
              <w:autoSpaceDE/>
              <w:autoSpaceDN/>
              <w:bidi w:val="0"/>
              <w:snapToGrid/>
              <w:spacing w:after="0"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b/>
                <w:bCs/>
                <w:color w:val="auto"/>
                <w:kern w:val="0"/>
                <w:sz w:val="22"/>
                <w:szCs w:val="22"/>
                <w:highlight w:val="none"/>
                <w14:ligatures w14:val="none"/>
              </w:rPr>
              <w:t>温州现状及算力需求理解</w:t>
            </w:r>
            <w:r>
              <w:rPr>
                <w:rFonts w:hint="eastAsia" w:ascii="新宋体" w:hAnsi="新宋体" w:eastAsia="新宋体" w:cs="新宋体"/>
                <w:color w:val="auto"/>
                <w:kern w:val="0"/>
                <w:sz w:val="22"/>
                <w:szCs w:val="22"/>
                <w:highlight w:val="none"/>
                <w14:ligatures w14:val="none"/>
              </w:rPr>
              <w:br w:type="textWrapping"/>
            </w:r>
            <w:r>
              <w:rPr>
                <w:rFonts w:hint="eastAsia" w:ascii="新宋体" w:hAnsi="新宋体" w:eastAsia="新宋体" w:cs="新宋体"/>
                <w:color w:val="auto"/>
                <w:kern w:val="0"/>
                <w:sz w:val="22"/>
                <w:szCs w:val="22"/>
                <w:highlight w:val="none"/>
                <w14:ligatures w14:val="none"/>
              </w:rPr>
              <w:t>对温州产业、大模型情况以及现有数据中心（含算力中心）现状了解程度进行评估。结合投标人提供的内容介绍进行评估，按照其对温州现状情况熟悉程度进行打分。</w:t>
            </w:r>
            <w:r>
              <w:rPr>
                <w:rFonts w:hint="eastAsia" w:ascii="新宋体" w:hAnsi="新宋体" w:eastAsia="新宋体" w:cs="新宋体"/>
                <w:color w:val="auto"/>
                <w:kern w:val="0"/>
                <w:sz w:val="22"/>
                <w:szCs w:val="22"/>
                <w:highlight w:val="none"/>
                <w14:ligatures w14:val="none"/>
              </w:rPr>
              <w:br w:type="textWrapping"/>
            </w:r>
            <w:r>
              <w:rPr>
                <w:rFonts w:hint="eastAsia" w:ascii="新宋体" w:hAnsi="新宋体" w:eastAsia="新宋体" w:cs="新宋体"/>
                <w:b w:val="0"/>
                <w:color w:val="auto"/>
                <w:kern w:val="2"/>
                <w:sz w:val="22"/>
                <w:szCs w:val="22"/>
                <w:highlight w:val="none"/>
                <w:lang w:val="en-US" w:eastAsia="zh-CN" w:bidi="ar-SA"/>
              </w:rPr>
              <w:t>A档：6-3分；B档：2.9-1分；C档：0.9-0分</w:t>
            </w:r>
          </w:p>
        </w:tc>
        <w:tc>
          <w:tcPr>
            <w:tcW w:w="674" w:type="dxa"/>
            <w:vAlign w:val="center"/>
          </w:tcPr>
          <w:p w14:paraId="428EAB84">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b w:val="0"/>
                <w:bCs/>
                <w:color w:val="auto"/>
                <w:sz w:val="22"/>
                <w:szCs w:val="22"/>
                <w:highlight w:val="none"/>
                <w:vertAlign w:val="baseline"/>
                <w:lang w:val="en-US" w:eastAsia="zh-CN"/>
              </w:rPr>
            </w:pPr>
            <w:r>
              <w:rPr>
                <w:rFonts w:hint="eastAsia" w:ascii="新宋体" w:hAnsi="新宋体" w:eastAsia="新宋体" w:cs="新宋体"/>
                <w:b w:val="0"/>
                <w:bCs/>
                <w:color w:val="auto"/>
                <w:sz w:val="22"/>
                <w:szCs w:val="22"/>
                <w:highlight w:val="none"/>
                <w:vertAlign w:val="baseline"/>
                <w:lang w:val="en-US" w:eastAsia="zh-CN"/>
              </w:rPr>
              <w:t>6</w:t>
            </w:r>
          </w:p>
        </w:tc>
      </w:tr>
      <w:tr w14:paraId="5890C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3" w:type="dxa"/>
            <w:vMerge w:val="continue"/>
            <w:vAlign w:val="center"/>
          </w:tcPr>
          <w:p w14:paraId="52A46743">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b/>
                <w:color w:val="auto"/>
                <w:sz w:val="22"/>
                <w:szCs w:val="22"/>
                <w:highlight w:val="none"/>
                <w:vertAlign w:val="baseline"/>
                <w:lang w:val="en-US" w:eastAsia="zh-CN"/>
              </w:rPr>
            </w:pPr>
          </w:p>
        </w:tc>
        <w:tc>
          <w:tcPr>
            <w:tcW w:w="514" w:type="dxa"/>
            <w:vMerge w:val="continue"/>
            <w:vAlign w:val="center"/>
          </w:tcPr>
          <w:p w14:paraId="5D5F1C4D">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color w:val="auto"/>
                <w:kern w:val="0"/>
                <w:sz w:val="22"/>
                <w:szCs w:val="22"/>
                <w:highlight w:val="none"/>
                <w:lang w:val="en-US" w:eastAsia="zh-CN"/>
              </w:rPr>
            </w:pPr>
          </w:p>
        </w:tc>
        <w:tc>
          <w:tcPr>
            <w:tcW w:w="1015" w:type="dxa"/>
            <w:vAlign w:val="center"/>
          </w:tcPr>
          <w:p w14:paraId="14DAC6A5">
            <w:pPr>
              <w:keepNext w:val="0"/>
              <w:keepLines w:val="0"/>
              <w:pageBreakBefore w:val="0"/>
              <w:widowControl/>
              <w:kinsoku/>
              <w:wordWrap/>
              <w:overflowPunct/>
              <w:topLinePunct w:val="0"/>
              <w:autoSpaceDE/>
              <w:autoSpaceDN/>
              <w:bidi w:val="0"/>
              <w:snapToGrid/>
              <w:spacing w:after="0" w:line="460" w:lineRule="exact"/>
              <w:jc w:val="center"/>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b/>
                <w:bCs/>
                <w:color w:val="auto"/>
                <w:kern w:val="0"/>
                <w:sz w:val="22"/>
                <w:szCs w:val="22"/>
                <w:highlight w:val="none"/>
                <w14:ligatures w14:val="none"/>
              </w:rPr>
              <w:t>温州发展算力及人工智能的思路建议</w:t>
            </w:r>
          </w:p>
        </w:tc>
        <w:tc>
          <w:tcPr>
            <w:tcW w:w="6858" w:type="dxa"/>
            <w:vAlign w:val="center"/>
          </w:tcPr>
          <w:p w14:paraId="1DEBA009">
            <w:pPr>
              <w:keepNext w:val="0"/>
              <w:keepLines w:val="0"/>
              <w:pageBreakBefore w:val="0"/>
              <w:widowControl/>
              <w:kinsoku/>
              <w:wordWrap/>
              <w:overflowPunct/>
              <w:topLinePunct w:val="0"/>
              <w:autoSpaceDE/>
              <w:autoSpaceDN/>
              <w:bidi w:val="0"/>
              <w:snapToGrid/>
              <w:spacing w:after="0"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b/>
                <w:bCs/>
                <w:color w:val="auto"/>
                <w:kern w:val="0"/>
                <w:sz w:val="22"/>
                <w:szCs w:val="22"/>
                <w:highlight w:val="none"/>
                <w14:ligatures w14:val="none"/>
              </w:rPr>
              <w:t>温州发展智能算力及人工智能产业的具体思路建议</w:t>
            </w:r>
            <w:r>
              <w:rPr>
                <w:rFonts w:hint="eastAsia" w:ascii="新宋体" w:hAnsi="新宋体" w:eastAsia="新宋体" w:cs="新宋体"/>
                <w:color w:val="auto"/>
                <w:kern w:val="0"/>
                <w:sz w:val="22"/>
                <w:szCs w:val="22"/>
                <w:highlight w:val="none"/>
                <w14:ligatures w14:val="none"/>
              </w:rPr>
              <w:br w:type="textWrapping"/>
            </w:r>
            <w:r>
              <w:rPr>
                <w:rFonts w:hint="eastAsia" w:ascii="新宋体" w:hAnsi="新宋体" w:eastAsia="新宋体" w:cs="新宋体"/>
                <w:color w:val="auto"/>
                <w:kern w:val="0"/>
                <w:sz w:val="22"/>
                <w:szCs w:val="22"/>
                <w:highlight w:val="none"/>
                <w14:ligatures w14:val="none"/>
              </w:rPr>
              <w:t>立足国家和浙江省相关政策背景，结合温州市发展智能算力的基础条件和发展优势，给出温州市智能算力及人工智能产业发展的建议，建议需包括总体思想、基本原则、发展目标等，并提出重点任务建议及保障措施等。针对内容完整详实性、原则目标合理性、重点任务建议与温州实际契合度等进行综合评估。</w:t>
            </w:r>
            <w:r>
              <w:rPr>
                <w:rFonts w:hint="eastAsia" w:ascii="新宋体" w:hAnsi="新宋体" w:eastAsia="新宋体" w:cs="新宋体"/>
                <w:color w:val="auto"/>
                <w:kern w:val="0"/>
                <w:sz w:val="22"/>
                <w:szCs w:val="22"/>
                <w:highlight w:val="none"/>
                <w14:ligatures w14:val="none"/>
              </w:rPr>
              <w:br w:type="textWrapping"/>
            </w:r>
            <w:r>
              <w:rPr>
                <w:rFonts w:hint="eastAsia" w:ascii="新宋体" w:hAnsi="新宋体" w:eastAsia="新宋体" w:cs="新宋体"/>
                <w:b w:val="0"/>
                <w:color w:val="auto"/>
                <w:kern w:val="2"/>
                <w:sz w:val="22"/>
                <w:szCs w:val="22"/>
                <w:highlight w:val="none"/>
                <w:lang w:val="en-US" w:eastAsia="zh-CN" w:bidi="ar-SA"/>
              </w:rPr>
              <w:t>A档：10-7分；B档：6.9-3分；C档：2.9-0分</w:t>
            </w:r>
          </w:p>
        </w:tc>
        <w:tc>
          <w:tcPr>
            <w:tcW w:w="674" w:type="dxa"/>
            <w:vAlign w:val="center"/>
          </w:tcPr>
          <w:p w14:paraId="5062BB1D">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b w:val="0"/>
                <w:bCs/>
                <w:color w:val="auto"/>
                <w:sz w:val="22"/>
                <w:szCs w:val="22"/>
                <w:highlight w:val="none"/>
                <w:vertAlign w:val="baseline"/>
                <w:lang w:val="en-US" w:eastAsia="zh-CN"/>
              </w:rPr>
            </w:pPr>
            <w:r>
              <w:rPr>
                <w:rFonts w:hint="eastAsia" w:ascii="新宋体" w:hAnsi="新宋体" w:eastAsia="新宋体" w:cs="新宋体"/>
                <w:b w:val="0"/>
                <w:bCs/>
                <w:color w:val="auto"/>
                <w:sz w:val="22"/>
                <w:szCs w:val="22"/>
                <w:highlight w:val="none"/>
                <w:vertAlign w:val="baseline"/>
                <w:lang w:val="en-US" w:eastAsia="zh-CN"/>
              </w:rPr>
              <w:t>10</w:t>
            </w:r>
          </w:p>
        </w:tc>
      </w:tr>
      <w:tr w14:paraId="6994D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3" w:type="dxa"/>
            <w:vAlign w:val="center"/>
          </w:tcPr>
          <w:p w14:paraId="6C39C861">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b/>
                <w:color w:val="auto"/>
                <w:sz w:val="22"/>
                <w:szCs w:val="22"/>
                <w:highlight w:val="none"/>
                <w:vertAlign w:val="baseline"/>
                <w:lang w:val="en-US" w:eastAsia="zh-CN"/>
              </w:rPr>
            </w:pPr>
            <w:r>
              <w:rPr>
                <w:rFonts w:hint="eastAsia" w:ascii="新宋体" w:hAnsi="新宋体" w:eastAsia="新宋体" w:cs="新宋体"/>
                <w:b/>
                <w:color w:val="auto"/>
                <w:sz w:val="22"/>
                <w:szCs w:val="22"/>
                <w:highlight w:val="none"/>
                <w:vertAlign w:val="baseline"/>
                <w:lang w:val="en-US" w:eastAsia="zh-CN"/>
              </w:rPr>
              <w:t>5</w:t>
            </w:r>
          </w:p>
        </w:tc>
        <w:tc>
          <w:tcPr>
            <w:tcW w:w="1529" w:type="dxa"/>
            <w:gridSpan w:val="2"/>
            <w:vAlign w:val="center"/>
          </w:tcPr>
          <w:p w14:paraId="76FA657B">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b/>
                <w:color w:val="auto"/>
                <w:sz w:val="22"/>
                <w:szCs w:val="22"/>
                <w:highlight w:val="none"/>
                <w:vertAlign w:val="baseline"/>
              </w:rPr>
            </w:pPr>
            <w:r>
              <w:rPr>
                <w:rFonts w:hint="eastAsia" w:ascii="新宋体" w:hAnsi="新宋体" w:eastAsia="新宋体" w:cs="新宋体"/>
                <w:color w:val="auto"/>
                <w:kern w:val="0"/>
                <w:sz w:val="22"/>
                <w:szCs w:val="22"/>
                <w:highlight w:val="none"/>
              </w:rPr>
              <w:t>保证措施</w:t>
            </w:r>
          </w:p>
        </w:tc>
        <w:tc>
          <w:tcPr>
            <w:tcW w:w="6858" w:type="dxa"/>
            <w:vAlign w:val="center"/>
          </w:tcPr>
          <w:p w14:paraId="1B747408">
            <w:pPr>
              <w:keepNext w:val="0"/>
              <w:keepLines w:val="0"/>
              <w:pageBreakBefore w:val="0"/>
              <w:widowControl/>
              <w:kinsoku/>
              <w:wordWrap/>
              <w:overflowPunct/>
              <w:topLinePunct w:val="0"/>
              <w:autoSpaceDE/>
              <w:autoSpaceDN/>
              <w:bidi w:val="0"/>
              <w:snapToGrid/>
              <w:spacing w:line="460" w:lineRule="exact"/>
              <w:jc w:val="left"/>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b/>
                <w:bCs/>
                <w:color w:val="auto"/>
                <w:kern w:val="0"/>
                <w:sz w:val="22"/>
                <w:szCs w:val="22"/>
                <w:highlight w:val="none"/>
                <w14:ligatures w14:val="none"/>
              </w:rPr>
              <w:t>1、保障措施评估</w:t>
            </w:r>
            <w:r>
              <w:rPr>
                <w:rFonts w:hint="eastAsia" w:ascii="新宋体" w:hAnsi="新宋体" w:eastAsia="新宋体" w:cs="新宋体"/>
                <w:color w:val="auto"/>
                <w:kern w:val="0"/>
                <w:sz w:val="22"/>
                <w:szCs w:val="22"/>
                <w:highlight w:val="none"/>
                <w14:ligatures w14:val="none"/>
              </w:rPr>
              <w:br w:type="textWrapping"/>
            </w:r>
            <w:r>
              <w:rPr>
                <w:rFonts w:hint="eastAsia" w:ascii="新宋体" w:hAnsi="新宋体" w:eastAsia="新宋体" w:cs="新宋体"/>
                <w:color w:val="auto"/>
                <w:kern w:val="0"/>
                <w:sz w:val="22"/>
                <w:szCs w:val="22"/>
                <w:highlight w:val="none"/>
                <w14:ligatures w14:val="none"/>
              </w:rPr>
              <w:t>编制针对本项目的质量管控措施、进度管控措施、安全控制措施、合同及文档管理方案等内容，满分4分。每缺少一项扣1分，每一项思路不清晰、表述不合理、没有针对性、不符合本项目特点的扣1分，不提供的不得分；</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lang w:val="en-US" w:eastAsia="zh-CN"/>
              </w:rPr>
              <w:t>2</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en-US" w:eastAsia="zh-CN"/>
              </w:rPr>
              <w:t>根据</w:t>
            </w:r>
            <w:r>
              <w:rPr>
                <w:rFonts w:hint="eastAsia" w:ascii="新宋体" w:hAnsi="新宋体" w:eastAsia="新宋体" w:cs="新宋体"/>
                <w:color w:val="auto"/>
                <w:kern w:val="0"/>
                <w:sz w:val="22"/>
                <w:szCs w:val="22"/>
                <w:highlight w:val="none"/>
              </w:rPr>
              <w:t>投标人服务网点便利性 (提供相关证明)</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b w:val="0"/>
                <w:color w:val="auto"/>
                <w:kern w:val="2"/>
                <w:sz w:val="22"/>
                <w:szCs w:val="22"/>
                <w:highlight w:val="none"/>
                <w:lang w:val="en-US" w:eastAsia="zh-CN" w:bidi="ar-SA"/>
              </w:rPr>
              <w:t>A档：4-3分；B档：2.9-1分；C档：0.9-0分</w:t>
            </w:r>
          </w:p>
        </w:tc>
        <w:tc>
          <w:tcPr>
            <w:tcW w:w="674" w:type="dxa"/>
            <w:vAlign w:val="center"/>
          </w:tcPr>
          <w:p w14:paraId="1D9C8C32">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b w:val="0"/>
                <w:bCs/>
                <w:color w:val="auto"/>
                <w:sz w:val="22"/>
                <w:szCs w:val="22"/>
                <w:highlight w:val="none"/>
                <w:vertAlign w:val="baseline"/>
                <w:lang w:val="en-US" w:eastAsia="zh-CN"/>
              </w:rPr>
            </w:pPr>
            <w:r>
              <w:rPr>
                <w:rFonts w:hint="eastAsia" w:ascii="新宋体" w:hAnsi="新宋体" w:eastAsia="新宋体" w:cs="新宋体"/>
                <w:b w:val="0"/>
                <w:bCs/>
                <w:color w:val="auto"/>
                <w:sz w:val="22"/>
                <w:szCs w:val="22"/>
                <w:highlight w:val="none"/>
                <w:vertAlign w:val="baseline"/>
                <w:lang w:val="en-US" w:eastAsia="zh-CN"/>
              </w:rPr>
              <w:t>8</w:t>
            </w:r>
          </w:p>
        </w:tc>
      </w:tr>
      <w:tr w14:paraId="7FA4D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3" w:type="dxa"/>
            <w:vAlign w:val="center"/>
          </w:tcPr>
          <w:p w14:paraId="21F4C576">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b/>
                <w:color w:val="auto"/>
                <w:sz w:val="22"/>
                <w:szCs w:val="22"/>
                <w:highlight w:val="none"/>
                <w:vertAlign w:val="baseline"/>
                <w:lang w:val="en-US" w:eastAsia="zh-CN"/>
              </w:rPr>
            </w:pPr>
            <w:r>
              <w:rPr>
                <w:rFonts w:hint="eastAsia" w:ascii="新宋体" w:hAnsi="新宋体" w:eastAsia="新宋体" w:cs="新宋体"/>
                <w:b/>
                <w:color w:val="auto"/>
                <w:sz w:val="22"/>
                <w:szCs w:val="22"/>
                <w:highlight w:val="none"/>
                <w:vertAlign w:val="baseline"/>
                <w:lang w:val="en-US" w:eastAsia="zh-CN"/>
              </w:rPr>
              <w:t>6</w:t>
            </w:r>
          </w:p>
        </w:tc>
        <w:tc>
          <w:tcPr>
            <w:tcW w:w="1529" w:type="dxa"/>
            <w:gridSpan w:val="2"/>
            <w:vAlign w:val="center"/>
          </w:tcPr>
          <w:p w14:paraId="4C246BC9">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b/>
                <w:color w:val="auto"/>
                <w:sz w:val="22"/>
                <w:szCs w:val="22"/>
                <w:highlight w:val="none"/>
                <w:vertAlign w:val="baseline"/>
              </w:rPr>
            </w:pPr>
            <w:r>
              <w:rPr>
                <w:rFonts w:hint="eastAsia" w:ascii="新宋体" w:hAnsi="新宋体" w:eastAsia="新宋体" w:cs="新宋体"/>
                <w:color w:val="auto"/>
                <w:kern w:val="0"/>
                <w:sz w:val="22"/>
                <w:szCs w:val="22"/>
                <w:highlight w:val="none"/>
              </w:rPr>
              <w:t>管理制度</w:t>
            </w:r>
          </w:p>
        </w:tc>
        <w:tc>
          <w:tcPr>
            <w:tcW w:w="6858" w:type="dxa"/>
            <w:vAlign w:val="center"/>
          </w:tcPr>
          <w:p w14:paraId="11F37B36">
            <w:pPr>
              <w:keepNext w:val="0"/>
              <w:keepLines w:val="0"/>
              <w:pageBreakBefore w:val="0"/>
              <w:widowControl/>
              <w:kinsoku/>
              <w:wordWrap/>
              <w:overflowPunct/>
              <w:topLinePunct w:val="0"/>
              <w:autoSpaceDE/>
              <w:autoSpaceDN/>
              <w:bidi w:val="0"/>
              <w:snapToGrid/>
              <w:spacing w:line="460" w:lineRule="exact"/>
              <w:jc w:val="left"/>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rPr>
              <w:t>供应商提供相应的内部管理制度。内容详尽、科学合理、 可行性高。</w:t>
            </w:r>
            <w:r>
              <w:rPr>
                <w:rFonts w:hint="eastAsia" w:ascii="新宋体" w:hAnsi="新宋体" w:eastAsia="新宋体" w:cs="新宋体"/>
                <w:b w:val="0"/>
                <w:color w:val="auto"/>
                <w:kern w:val="2"/>
                <w:sz w:val="22"/>
                <w:szCs w:val="22"/>
                <w:highlight w:val="none"/>
                <w:lang w:val="en-US" w:eastAsia="zh-CN" w:bidi="ar-SA"/>
              </w:rPr>
              <w:t>A档：6-3分；B档：2.9-1分；C档：0.9-0分。</w:t>
            </w:r>
          </w:p>
        </w:tc>
        <w:tc>
          <w:tcPr>
            <w:tcW w:w="674" w:type="dxa"/>
            <w:vAlign w:val="center"/>
          </w:tcPr>
          <w:p w14:paraId="323F0D94">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b w:val="0"/>
                <w:bCs/>
                <w:color w:val="auto"/>
                <w:sz w:val="22"/>
                <w:szCs w:val="22"/>
                <w:highlight w:val="none"/>
                <w:vertAlign w:val="baseline"/>
                <w:lang w:val="en-US" w:eastAsia="zh-CN"/>
              </w:rPr>
            </w:pPr>
            <w:r>
              <w:rPr>
                <w:rFonts w:hint="eastAsia" w:ascii="新宋体" w:hAnsi="新宋体" w:eastAsia="新宋体" w:cs="新宋体"/>
                <w:b w:val="0"/>
                <w:bCs/>
                <w:color w:val="auto"/>
                <w:sz w:val="22"/>
                <w:szCs w:val="22"/>
                <w:highlight w:val="none"/>
                <w:vertAlign w:val="baseline"/>
                <w:lang w:val="en-US" w:eastAsia="zh-CN"/>
              </w:rPr>
              <w:t>6</w:t>
            </w:r>
          </w:p>
        </w:tc>
      </w:tr>
    </w:tbl>
    <w:p w14:paraId="3FB14847">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2、商务评分（</w:t>
      </w:r>
      <w:r>
        <w:rPr>
          <w:rFonts w:hint="eastAsia" w:ascii="新宋体" w:hAnsi="新宋体" w:eastAsia="新宋体" w:cs="新宋体"/>
          <w:b/>
          <w:color w:val="auto"/>
          <w:sz w:val="22"/>
          <w:szCs w:val="22"/>
          <w:highlight w:val="none"/>
          <w:lang w:val="en-US" w:eastAsia="zh-CN"/>
        </w:rPr>
        <w:t>2</w:t>
      </w:r>
      <w:r>
        <w:rPr>
          <w:rFonts w:hint="eastAsia" w:ascii="新宋体" w:hAnsi="新宋体" w:eastAsia="新宋体" w:cs="新宋体"/>
          <w:b/>
          <w:color w:val="auto"/>
          <w:sz w:val="22"/>
          <w:szCs w:val="22"/>
          <w:highlight w:val="none"/>
        </w:rPr>
        <w:t>0分）（权值</w:t>
      </w:r>
      <w:r>
        <w:rPr>
          <w:rFonts w:hint="eastAsia" w:ascii="新宋体" w:hAnsi="新宋体" w:eastAsia="新宋体" w:cs="新宋体"/>
          <w:b/>
          <w:color w:val="auto"/>
          <w:sz w:val="22"/>
          <w:szCs w:val="22"/>
          <w:highlight w:val="none"/>
          <w:lang w:val="en-US" w:eastAsia="zh-CN"/>
        </w:rPr>
        <w:t>2</w:t>
      </w:r>
      <w:r>
        <w:rPr>
          <w:rFonts w:hint="eastAsia" w:ascii="新宋体" w:hAnsi="新宋体" w:eastAsia="新宋体" w:cs="新宋体"/>
          <w:b/>
          <w:color w:val="auto"/>
          <w:sz w:val="22"/>
          <w:szCs w:val="22"/>
          <w:highlight w:val="none"/>
        </w:rPr>
        <w:t>0%）：</w:t>
      </w:r>
    </w:p>
    <w:p w14:paraId="3A2DA465">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满足采购文件要求且投标报价最低的投标报价为评标基准价，其余投标人投标报价与该基准价对比，计算出商务报价评分值（保留小数2位）：</w:t>
      </w:r>
    </w:p>
    <w:p w14:paraId="79E2798B">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1）有效投标人的投标报价等于评标基准价时其报价分为满分</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0分；</w:t>
      </w:r>
    </w:p>
    <w:p w14:paraId="5CE9E0AA">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2）其他投标人的价格分按以下公式计算：</w:t>
      </w:r>
    </w:p>
    <w:p w14:paraId="27836385">
      <w:pPr>
        <w:spacing w:line="460" w:lineRule="exact"/>
        <w:ind w:firstLine="539" w:firstLineChars="245"/>
        <w:rPr>
          <w:rFonts w:hint="eastAsia" w:ascii="新宋体" w:hAnsi="新宋体" w:eastAsia="新宋体" w:cs="新宋体"/>
          <w:b/>
          <w:color w:val="auto"/>
          <w:sz w:val="22"/>
          <w:highlight w:val="none"/>
        </w:rPr>
      </w:pPr>
      <w:r>
        <w:rPr>
          <w:rFonts w:hint="eastAsia" w:ascii="新宋体" w:hAnsi="新宋体" w:eastAsia="新宋体" w:cs="新宋体"/>
          <w:color w:val="auto"/>
          <w:sz w:val="22"/>
          <w:szCs w:val="22"/>
          <w:highlight w:val="none"/>
        </w:rPr>
        <w:t>投标报价得分=（评分基准价/投标人投标报价）× 价格权值 ×100（保留小数2位）</w:t>
      </w:r>
    </w:p>
    <w:p w14:paraId="6B7FAB95">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3、有效投标人的综合得分为技术分和商务（报价）分的总和。</w:t>
      </w:r>
    </w:p>
    <w:p w14:paraId="711B5BDC">
      <w:pPr>
        <w:spacing w:line="460" w:lineRule="exact"/>
        <w:ind w:firstLine="541" w:firstLineChars="245"/>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B56C0BE">
      <w:pPr>
        <w:spacing w:line="460" w:lineRule="exact"/>
        <w:ind w:firstLine="541" w:firstLineChars="245"/>
        <w:outlineLvl w:val="1"/>
        <w:rPr>
          <w:rFonts w:hint="eastAsia" w:ascii="新宋体" w:hAnsi="新宋体" w:eastAsia="新宋体" w:cs="新宋体"/>
          <w:b/>
          <w:bCs/>
          <w:color w:val="auto"/>
          <w:sz w:val="22"/>
          <w:szCs w:val="22"/>
          <w:highlight w:val="none"/>
        </w:rPr>
      </w:pPr>
      <w:bookmarkStart w:id="122" w:name="_Toc13278"/>
      <w:r>
        <w:rPr>
          <w:rFonts w:hint="eastAsia" w:ascii="新宋体" w:hAnsi="新宋体" w:eastAsia="新宋体" w:cs="新宋体"/>
          <w:b/>
          <w:bCs/>
          <w:color w:val="auto"/>
          <w:sz w:val="22"/>
          <w:szCs w:val="22"/>
          <w:highlight w:val="none"/>
        </w:rPr>
        <w:t>六、定标办法</w:t>
      </w:r>
      <w:bookmarkEnd w:id="122"/>
    </w:p>
    <w:p w14:paraId="62BC7635">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确定中标候选人</w:t>
      </w:r>
    </w:p>
    <w:p w14:paraId="1BF72237">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1.1由评标委员会确定中标候选人。</w:t>
      </w:r>
    </w:p>
    <w:p w14:paraId="51A13C79">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评标委员会依据法律、法规及采购文件有关规定按评审后得分（即技术分与商务分之和）由高到低顺序排序，得分前二名的投标人确定为该项目的第一和第二中标候选人（得分相同的，按投标报价由低到高顺序排列。得分且投标报价相同的并列。）向采购人推荐。</w:t>
      </w:r>
    </w:p>
    <w:p w14:paraId="40B7871A">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2、确定中标人</w:t>
      </w:r>
    </w:p>
    <w:p w14:paraId="71A0D030">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2.1采购人按照评标报告中推荐的中标候选供应商顺序确定中标人；也可以事先授权评标委员会按照推荐的中标候选供应商顺序直接确定中标人。中标候选人并列的，采取随机抽取的方式确定。</w:t>
      </w:r>
    </w:p>
    <w:p w14:paraId="61F157A4">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2.2如中标人放弃中标、或者采购文件规定应当提交履约保证金（</w:t>
      </w:r>
      <w:r>
        <w:rPr>
          <w:rFonts w:hint="eastAsia" w:ascii="新宋体" w:hAnsi="新宋体" w:eastAsia="新宋体" w:cs="新宋体"/>
          <w:color w:val="auto"/>
          <w:spacing w:val="6"/>
          <w:sz w:val="22"/>
          <w:szCs w:val="22"/>
          <w:highlight w:val="none"/>
        </w:rPr>
        <w:t>或履约保函</w:t>
      </w:r>
      <w:r>
        <w:rPr>
          <w:rFonts w:hint="eastAsia" w:ascii="新宋体" w:hAnsi="新宋体" w:eastAsia="新宋体" w:cs="新宋体"/>
          <w:color w:val="auto"/>
          <w:sz w:val="22"/>
          <w:szCs w:val="22"/>
          <w:highlight w:val="none"/>
        </w:rPr>
        <w:t>）而在规定的期限内未能提交的；或未能在规定时间内与采购单位签订合同的；或者经质疑，采购人审查后，确因排名第一的候选人在本次采购活动中存在违法违规行为或其他原因使质疑成立的，采购人可以视情况直接确定排名第二的候选人为中标人或重新组织采购活动。</w:t>
      </w:r>
    </w:p>
    <w:p w14:paraId="53A94767">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中标人确定后，采购人将在指定媒体公告中标结果，采购人向中标人发出中标通知书。</w:t>
      </w:r>
    </w:p>
    <w:p w14:paraId="33A2BBFD">
      <w:pPr>
        <w:spacing w:line="460" w:lineRule="exact"/>
        <w:ind w:firstLine="541" w:firstLineChars="245"/>
        <w:outlineLvl w:val="1"/>
        <w:rPr>
          <w:rFonts w:hint="eastAsia" w:ascii="新宋体" w:hAnsi="新宋体" w:eastAsia="新宋体" w:cs="新宋体"/>
          <w:b/>
          <w:color w:val="auto"/>
          <w:sz w:val="22"/>
          <w:szCs w:val="22"/>
          <w:highlight w:val="none"/>
        </w:rPr>
      </w:pPr>
      <w:bookmarkStart w:id="123" w:name="_Toc31282"/>
      <w:r>
        <w:rPr>
          <w:rFonts w:hint="eastAsia" w:ascii="新宋体" w:hAnsi="新宋体" w:eastAsia="新宋体" w:cs="新宋体"/>
          <w:b/>
          <w:color w:val="auto"/>
          <w:sz w:val="22"/>
          <w:szCs w:val="22"/>
          <w:highlight w:val="none"/>
        </w:rPr>
        <w:t>七、投标人义务</w:t>
      </w:r>
      <w:bookmarkEnd w:id="123"/>
    </w:p>
    <w:p w14:paraId="23EFE605">
      <w:pPr>
        <w:spacing w:line="460" w:lineRule="exact"/>
        <w:ind w:firstLine="440" w:firstLineChars="200"/>
        <w:rPr>
          <w:color w:val="auto"/>
          <w:highlight w:val="none"/>
        </w:rPr>
      </w:pPr>
      <w:r>
        <w:rPr>
          <w:rFonts w:hint="eastAsia" w:ascii="新宋体" w:hAnsi="新宋体" w:eastAsia="新宋体" w:cs="新宋体"/>
          <w:color w:val="auto"/>
          <w:sz w:val="22"/>
          <w:szCs w:val="22"/>
          <w:highlight w:val="none"/>
        </w:rPr>
        <w:t>投标人应随时接受评标委员会的询标，解答包括有关的商务、技术问题等。评标结束，所有评标资料存采购代理机构备查。</w:t>
      </w:r>
    </w:p>
    <w:sectPr>
      <w:footerReference r:id="rId9"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E3979">
    <w:pPr>
      <w:pStyle w:val="13"/>
      <w:ind w:right="359" w:rightChars="171" w:firstLine="4500" w:firstLineChars="2500"/>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D7ABF42">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14:paraId="3D7ABF42">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5ABB9">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363178E">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hNRcb0QEAAKUDAAAOAAAAAAAAAAEAIAAAACIB&#10;AABkcnMvZTJvRG9jLnhtbFBLBQYAAAAABgAGAFkBAABlBQAAAAA=&#10;">
              <v:fill on="f" focussize="0,0"/>
              <v:stroke on="f" weight="1.25pt"/>
              <v:imagedata o:title=""/>
              <o:lock v:ext="edit" aspectratio="f"/>
              <v:textbox inset="0mm,0mm,0mm,0mm" style="mso-fit-shape-to-text:t;">
                <w:txbxContent>
                  <w:p w14:paraId="7363178E">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611EA">
    <w:pPr>
      <w:pStyle w:val="13"/>
      <w:ind w:right="360" w:firstLine="4500" w:firstLineChars="2500"/>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6D5E735">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&#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SujS4dIBAAClAwAADgAAAAAAAAABACAAAAAi&#10;AQAAZHJzL2Uyb0RvYy54bWxQSwUGAAAAAAYABgBZAQAAZgUAAAAA&#10;">
              <v:fill on="f" focussize="0,0"/>
              <v:stroke on="f" weight="1.25pt"/>
              <v:imagedata o:title=""/>
              <o:lock v:ext="edit" aspectratio="f"/>
              <v:textbox inset="0mm,0mm,0mm,0mm" style="mso-fit-shape-to-text:t;">
                <w:txbxContent>
                  <w:p w14:paraId="16D5E735">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FF0E8">
    <w:pPr>
      <w:pStyle w:val="13"/>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BA32B8D">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40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3BA32B8D">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40</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86863">
    <w:pPr>
      <w:pStyle w:val="13"/>
      <w:ind w:right="359" w:rightChars="171" w:firstLine="4500" w:firstLineChars="2500"/>
      <w:rPr>
        <w:rFonts w:hint="eastAsia"/>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23068F2">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41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423068F2">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41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C0110">
    <w:pPr>
      <w:pStyle w:val="14"/>
      <w:pBdr>
        <w:bottom w:val="single" w:color="auto" w:sz="6" w:space="0"/>
      </w:pBdr>
      <w:jc w:val="both"/>
      <w:rPr>
        <w:rFonts w:hint="eastAsia"/>
      </w:rPr>
    </w:pPr>
    <w:r>
      <w:rPr>
        <w:rFonts w:hint="eastAsia"/>
      </w:rPr>
      <w:t>温州市国有企业采购文件                                       项目编号：</w:t>
    </w:r>
    <w:r>
      <w:rPr>
        <w:rFonts w:hint="eastAsia"/>
        <w:lang w:eastAsia="zh-CN"/>
      </w:rPr>
      <w:t>WGSS-GYNY-X-2024004</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BD319">
    <w:pPr>
      <w:pStyle w:val="14"/>
      <w:tabs>
        <w:tab w:val="left" w:pos="3479"/>
      </w:tabs>
      <w:jc w:val="left"/>
      <w:rPr>
        <w:rFonts w:hint="eastAsia"/>
      </w:rPr>
    </w:pPr>
    <w:r>
      <w:rPr>
        <w:rFonts w:hint="eastAsia"/>
      </w:rPr>
      <w:t>温州市国有企业采购文件                                    项目编号：</w:t>
    </w:r>
    <w:r>
      <w:rPr>
        <w:rFonts w:hint="eastAsia"/>
        <w:lang w:eastAsia="zh-CN"/>
      </w:rPr>
      <w:t>WGSS-GYNY-X-2024004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CE345"/>
    <w:multiLevelType w:val="singleLevel"/>
    <w:tmpl w:val="AA2CE345"/>
    <w:lvl w:ilvl="0" w:tentative="0">
      <w:start w:val="1"/>
      <w:numFmt w:val="bullet"/>
      <w:lvlText w:val=""/>
      <w:lvlJc w:val="left"/>
      <w:pPr>
        <w:ind w:left="420" w:hanging="420"/>
      </w:pPr>
      <w:rPr>
        <w:rFonts w:hint="default" w:ascii="Wingdings" w:hAnsi="Wingdings"/>
      </w:rPr>
    </w:lvl>
  </w:abstractNum>
  <w:abstractNum w:abstractNumId="1">
    <w:nsid w:val="B2C3F3DA"/>
    <w:multiLevelType w:val="singleLevel"/>
    <w:tmpl w:val="B2C3F3DA"/>
    <w:lvl w:ilvl="0" w:tentative="0">
      <w:start w:val="1"/>
      <w:numFmt w:val="decimal"/>
      <w:suff w:val="nothing"/>
      <w:lvlText w:val="（%1）"/>
      <w:lvlJc w:val="left"/>
    </w:lvl>
  </w:abstractNum>
  <w:abstractNum w:abstractNumId="2">
    <w:nsid w:val="BC62A4F6"/>
    <w:multiLevelType w:val="singleLevel"/>
    <w:tmpl w:val="BC62A4F6"/>
    <w:lvl w:ilvl="0" w:tentative="0">
      <w:start w:val="1"/>
      <w:numFmt w:val="decimal"/>
      <w:suff w:val="nothing"/>
      <w:lvlText w:val="%1、"/>
      <w:lvlJc w:val="left"/>
    </w:lvl>
  </w:abstractNum>
  <w:abstractNum w:abstractNumId="3">
    <w:nsid w:val="00000006"/>
    <w:multiLevelType w:val="singleLevel"/>
    <w:tmpl w:val="00000006"/>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mNGMwYWVmN2Y4MGJhODAzN2I1ZTQ0MGE3NWFjNjEifQ=="/>
  </w:docVars>
  <w:rsids>
    <w:rsidRoot w:val="67284ED0"/>
    <w:rsid w:val="00C3426C"/>
    <w:rsid w:val="020E411C"/>
    <w:rsid w:val="037153A5"/>
    <w:rsid w:val="03CF27DA"/>
    <w:rsid w:val="03DA4021"/>
    <w:rsid w:val="05B53F99"/>
    <w:rsid w:val="07C5765D"/>
    <w:rsid w:val="08A35757"/>
    <w:rsid w:val="0936277C"/>
    <w:rsid w:val="0BA37CB5"/>
    <w:rsid w:val="0C15279F"/>
    <w:rsid w:val="0C4061CA"/>
    <w:rsid w:val="0CA830A9"/>
    <w:rsid w:val="0E8A4433"/>
    <w:rsid w:val="0EF6634E"/>
    <w:rsid w:val="0F883ACB"/>
    <w:rsid w:val="103B6954"/>
    <w:rsid w:val="11050FE4"/>
    <w:rsid w:val="110C4EC8"/>
    <w:rsid w:val="12DE6E90"/>
    <w:rsid w:val="12EF7D74"/>
    <w:rsid w:val="13D329CA"/>
    <w:rsid w:val="14ED2FA2"/>
    <w:rsid w:val="16013F56"/>
    <w:rsid w:val="18A15F11"/>
    <w:rsid w:val="18E95CF7"/>
    <w:rsid w:val="19566220"/>
    <w:rsid w:val="1A6B756C"/>
    <w:rsid w:val="1A9B7DE9"/>
    <w:rsid w:val="1B8E1C32"/>
    <w:rsid w:val="1CC96E50"/>
    <w:rsid w:val="1DEB5FC8"/>
    <w:rsid w:val="1E0156A2"/>
    <w:rsid w:val="1E922E04"/>
    <w:rsid w:val="1F204D21"/>
    <w:rsid w:val="20146634"/>
    <w:rsid w:val="24AC0560"/>
    <w:rsid w:val="24F673BB"/>
    <w:rsid w:val="2536529E"/>
    <w:rsid w:val="25A96C9C"/>
    <w:rsid w:val="27712703"/>
    <w:rsid w:val="2808791E"/>
    <w:rsid w:val="28497097"/>
    <w:rsid w:val="28817F1F"/>
    <w:rsid w:val="292C406C"/>
    <w:rsid w:val="294206B6"/>
    <w:rsid w:val="2B262713"/>
    <w:rsid w:val="2B3D5DB9"/>
    <w:rsid w:val="2FB51286"/>
    <w:rsid w:val="3082583C"/>
    <w:rsid w:val="30E67B79"/>
    <w:rsid w:val="313169F2"/>
    <w:rsid w:val="31CF034F"/>
    <w:rsid w:val="32F1743B"/>
    <w:rsid w:val="33096AF0"/>
    <w:rsid w:val="3431735D"/>
    <w:rsid w:val="34321327"/>
    <w:rsid w:val="350E27BB"/>
    <w:rsid w:val="37125833"/>
    <w:rsid w:val="37E83AAB"/>
    <w:rsid w:val="38A662C4"/>
    <w:rsid w:val="3C8369FC"/>
    <w:rsid w:val="3F2D7FD9"/>
    <w:rsid w:val="40C41814"/>
    <w:rsid w:val="41FA73FD"/>
    <w:rsid w:val="42B46154"/>
    <w:rsid w:val="42BA33D2"/>
    <w:rsid w:val="441A605F"/>
    <w:rsid w:val="44307FCE"/>
    <w:rsid w:val="448F46DB"/>
    <w:rsid w:val="46F61143"/>
    <w:rsid w:val="483F3FE1"/>
    <w:rsid w:val="496B2686"/>
    <w:rsid w:val="49EA5090"/>
    <w:rsid w:val="4A6C2F48"/>
    <w:rsid w:val="4A6F4C2B"/>
    <w:rsid w:val="4BB723E6"/>
    <w:rsid w:val="4C6A13FA"/>
    <w:rsid w:val="4F114221"/>
    <w:rsid w:val="4F876573"/>
    <w:rsid w:val="514744CE"/>
    <w:rsid w:val="518B4751"/>
    <w:rsid w:val="51A971A2"/>
    <w:rsid w:val="52D71BBC"/>
    <w:rsid w:val="55DB60FF"/>
    <w:rsid w:val="58647451"/>
    <w:rsid w:val="59D47BE4"/>
    <w:rsid w:val="59EC5A3B"/>
    <w:rsid w:val="5A47016F"/>
    <w:rsid w:val="5A480583"/>
    <w:rsid w:val="5CCF21D9"/>
    <w:rsid w:val="5E3C08CA"/>
    <w:rsid w:val="5E810C58"/>
    <w:rsid w:val="602E4328"/>
    <w:rsid w:val="60AB07DA"/>
    <w:rsid w:val="66FD73EF"/>
    <w:rsid w:val="67284ED0"/>
    <w:rsid w:val="67922855"/>
    <w:rsid w:val="68106E0D"/>
    <w:rsid w:val="68163C38"/>
    <w:rsid w:val="69D15C9F"/>
    <w:rsid w:val="6AAE61A6"/>
    <w:rsid w:val="707F6534"/>
    <w:rsid w:val="712F6B34"/>
    <w:rsid w:val="71510FCD"/>
    <w:rsid w:val="71D13952"/>
    <w:rsid w:val="71DD22F7"/>
    <w:rsid w:val="75867B19"/>
    <w:rsid w:val="76160BA3"/>
    <w:rsid w:val="77993250"/>
    <w:rsid w:val="78AE3343"/>
    <w:rsid w:val="7A543372"/>
    <w:rsid w:val="7ABD4FF6"/>
    <w:rsid w:val="7BB35E76"/>
    <w:rsid w:val="7C4D0079"/>
    <w:rsid w:val="7DBF14AC"/>
    <w:rsid w:val="7DD379ED"/>
    <w:rsid w:val="7DF663BC"/>
    <w:rsid w:val="7EDC4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2"/>
    <w:basedOn w:val="1"/>
    <w:next w:val="1"/>
    <w:qFormat/>
    <w:uiPriority w:val="0"/>
    <w:pPr>
      <w:keepNext/>
      <w:spacing w:before="50" w:beforeLines="50" w:after="50" w:afterLines="50"/>
      <w:outlineLvl w:val="1"/>
    </w:pPr>
    <w:rPr>
      <w:rFonts w:ascii="仿宋_GB2312"/>
      <w:b/>
      <w:sz w:val="28"/>
      <w:szCs w:val="32"/>
    </w:rPr>
  </w:style>
  <w:style w:type="paragraph" w:styleId="7">
    <w:name w:val="heading 3"/>
    <w:basedOn w:val="1"/>
    <w:next w:val="1"/>
    <w:qFormat/>
    <w:uiPriority w:val="0"/>
    <w:pPr>
      <w:keepNext/>
      <w:keepLines/>
      <w:spacing w:line="540" w:lineRule="atLeast"/>
      <w:outlineLvl w:val="2"/>
    </w:pPr>
    <w:rPr>
      <w:rFonts w:eastAsia="黑体"/>
      <w:b/>
      <w:sz w:val="28"/>
      <w:szCs w:val="20"/>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正文文本首行缩进1"/>
    <w:basedOn w:val="3"/>
    <w:qFormat/>
    <w:uiPriority w:val="0"/>
    <w:pPr>
      <w:ind w:firstLine="420" w:firstLineChars="100"/>
    </w:pPr>
    <w:rPr>
      <w:szCs w:val="21"/>
    </w:rPr>
  </w:style>
  <w:style w:type="paragraph" w:styleId="3">
    <w:name w:val="Body Text"/>
    <w:basedOn w:val="1"/>
    <w:next w:val="4"/>
    <w:qFormat/>
    <w:uiPriority w:val="0"/>
    <w:pPr>
      <w:spacing w:after="120" w:afterLines="0"/>
    </w:pPr>
    <w:rPr>
      <w:rFonts w:ascii="仿宋_GB2312"/>
      <w:b/>
    </w:rPr>
  </w:style>
  <w:style w:type="paragraph" w:styleId="4">
    <w:name w:val="Body Text First Indent"/>
    <w:basedOn w:val="3"/>
    <w:next w:val="5"/>
    <w:qFormat/>
    <w:uiPriority w:val="0"/>
    <w:pPr>
      <w:autoSpaceDE w:val="0"/>
      <w:autoSpaceDN w:val="0"/>
      <w:adjustRightInd w:val="0"/>
      <w:ind w:firstLine="420" w:firstLineChars="100"/>
      <w:jc w:val="left"/>
    </w:pPr>
    <w:rPr>
      <w:rFonts w:ascii="Times New Roman"/>
      <w:b w:val="0"/>
      <w:kern w:val="0"/>
      <w:sz w:val="20"/>
      <w:szCs w:val="20"/>
    </w:rPr>
  </w:style>
  <w:style w:type="paragraph" w:styleId="5">
    <w:name w:val="toc 6"/>
    <w:basedOn w:val="1"/>
    <w:next w:val="1"/>
    <w:qFormat/>
    <w:uiPriority w:val="0"/>
    <w:pPr>
      <w:autoSpaceDE w:val="0"/>
      <w:autoSpaceDN w:val="0"/>
      <w:adjustRightInd w:val="0"/>
      <w:ind w:left="2100" w:leftChars="1000"/>
      <w:jc w:val="left"/>
    </w:pPr>
    <w:rPr>
      <w:kern w:val="0"/>
      <w:sz w:val="20"/>
      <w:szCs w:val="20"/>
    </w:rPr>
  </w:style>
  <w:style w:type="paragraph" w:styleId="8">
    <w:name w:val="Normal Indent"/>
    <w:basedOn w:val="1"/>
    <w:qFormat/>
    <w:uiPriority w:val="0"/>
    <w:pPr>
      <w:adjustRightInd w:val="0"/>
      <w:spacing w:line="312" w:lineRule="atLeast"/>
      <w:ind w:firstLine="420"/>
      <w:textAlignment w:val="baseline"/>
    </w:pPr>
    <w:rPr>
      <w:rFonts w:ascii="仿宋_GB2312"/>
      <w:b/>
      <w:kern w:val="0"/>
      <w:szCs w:val="32"/>
    </w:rPr>
  </w:style>
  <w:style w:type="paragraph" w:styleId="9">
    <w:name w:val="annotation text"/>
    <w:basedOn w:val="1"/>
    <w:qFormat/>
    <w:uiPriority w:val="0"/>
    <w:pPr>
      <w:jc w:val="left"/>
    </w:pPr>
  </w:style>
  <w:style w:type="paragraph" w:styleId="10">
    <w:name w:val="Body Text Indent"/>
    <w:basedOn w:val="1"/>
    <w:next w:val="8"/>
    <w:qFormat/>
    <w:uiPriority w:val="0"/>
    <w:pPr>
      <w:ind w:left="480" w:hanging="480" w:hangingChars="200"/>
    </w:pPr>
    <w:rPr>
      <w:sz w:val="24"/>
    </w:rPr>
  </w:style>
  <w:style w:type="paragraph" w:styleId="11">
    <w:name w:val="toc 3"/>
    <w:basedOn w:val="1"/>
    <w:next w:val="1"/>
    <w:qFormat/>
    <w:uiPriority w:val="0"/>
    <w:pPr>
      <w:ind w:left="840" w:leftChars="400"/>
    </w:pPr>
  </w:style>
  <w:style w:type="paragraph" w:styleId="12">
    <w:name w:val="Plain Text"/>
    <w:basedOn w:val="1"/>
    <w:next w:val="8"/>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18">
    <w:name w:val="Body Text First Indent 2"/>
    <w:basedOn w:val="10"/>
    <w:unhideWhenUsed/>
    <w:qFormat/>
    <w:uiPriority w:val="99"/>
    <w:pPr>
      <w:ind w:firstLine="42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rFonts w:ascii="仿宋_GB2312" w:eastAsia="仿宋_GB2312"/>
      <w:bCs/>
      <w:sz w:val="32"/>
      <w:szCs w:val="32"/>
    </w:rPr>
  </w:style>
  <w:style w:type="paragraph" w:customStyle="1" w:styleId="23">
    <w:name w:val="*正文"/>
    <w:basedOn w:val="1"/>
    <w:qFormat/>
    <w:uiPriority w:val="0"/>
    <w:pPr>
      <w:adjustRightInd w:val="0"/>
      <w:snapToGrid w:val="0"/>
      <w:spacing w:line="360" w:lineRule="auto"/>
      <w:ind w:firstLine="482"/>
      <w:jc w:val="left"/>
    </w:pPr>
    <w:rPr>
      <w:rFonts w:ascii="宋体" w:hAnsi="宋体"/>
      <w:kern w:val="0"/>
      <w:sz w:val="24"/>
      <w:szCs w:val="20"/>
    </w:rPr>
  </w:style>
  <w:style w:type="paragraph" w:styleId="24">
    <w:name w:val="List Paragraph"/>
    <w:basedOn w:val="1"/>
    <w:qFormat/>
    <w:uiPriority w:val="0"/>
    <w:pPr>
      <w:ind w:firstLine="420" w:firstLineChars="200"/>
    </w:pPr>
    <w:rPr>
      <w:rFonts w:ascii="Cambria" w:hAnsi="Cambria"/>
      <w:szCs w:val="22"/>
    </w:rPr>
  </w:style>
  <w:style w:type="paragraph" w:customStyle="1" w:styleId="25">
    <w:name w:val="BG(ZWQ)"/>
    <w:basedOn w:val="1"/>
    <w:qFormat/>
    <w:uiPriority w:val="0"/>
    <w:pPr>
      <w:adjustRightInd w:val="0"/>
      <w:snapToGrid w:val="0"/>
      <w:jc w:val="left"/>
    </w:pPr>
    <w:rPr>
      <w:rFonts w:ascii="Times New Roman" w:hAnsi="Times New Roman" w:cs="宋体"/>
      <w:color w:val="000000"/>
      <w:kern w:val="0"/>
      <w:sz w:val="20"/>
      <w:szCs w:val="20"/>
    </w:rPr>
  </w:style>
  <w:style w:type="paragraph" w:customStyle="1" w:styleId="26">
    <w:name w:val="保留正文"/>
    <w:basedOn w:val="3"/>
    <w:qFormat/>
    <w:uiPriority w:val="0"/>
    <w:pPr>
      <w:keepNext/>
      <w:spacing w:after="160" w:afterLines="0"/>
    </w:pPr>
    <w:rPr>
      <w:szCs w:val="20"/>
    </w:rPr>
  </w:style>
  <w:style w:type="paragraph" w:customStyle="1" w:styleId="27">
    <w:name w:val="表内文字"/>
    <w:basedOn w:val="1"/>
    <w:qFormat/>
    <w:uiPriority w:val="0"/>
    <w:pPr>
      <w:spacing w:line="240" w:lineRule="atLeast"/>
      <w:jc w:val="center"/>
    </w:pPr>
    <w:rPr>
      <w:rFonts w:ascii="Arial" w:hAnsi="Arial" w:cs="Arial"/>
      <w:b/>
      <w:bCs/>
    </w:rPr>
  </w:style>
  <w:style w:type="paragraph" w:customStyle="1" w:styleId="28">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568</Words>
  <Characters>626</Characters>
  <Lines>0</Lines>
  <Paragraphs>0</Paragraphs>
  <TotalTime>0</TotalTime>
  <ScaleCrop>false</ScaleCrop>
  <LinksUpToDate>false</LinksUpToDate>
  <CharactersWithSpaces>719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2024-06-26T06:05:00Z</dcterms:created>
  <dc:creator>历程招标</dc:creator>
  <cp:lastModifiedBy>历程</cp:lastModifiedBy>
  <dcterms:modified xsi:type="dcterms:W3CDTF">2024-11-06T09:26:27Z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B688384875714626A1FC35434A1571F1_13</vt:lpwstr>
  </property>
</Properties>
</file>