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75070">
      <w:pPr>
        <w:spacing w:line="360" w:lineRule="auto"/>
        <w:jc w:val="center"/>
        <w:rPr>
          <w:rFonts w:hint="eastAsia" w:ascii="宋体" w:hAnsi="宋体" w:eastAsia="宋体" w:cs="宋体"/>
          <w:b/>
          <w:color w:val="auto"/>
          <w:sz w:val="24"/>
          <w:highlight w:val="none"/>
        </w:rPr>
      </w:pPr>
    </w:p>
    <w:p w14:paraId="0269F197">
      <w:pPr>
        <w:spacing w:line="360" w:lineRule="auto"/>
        <w:jc w:val="center"/>
        <w:rPr>
          <w:rFonts w:hint="eastAsia" w:ascii="宋体" w:hAnsi="宋体" w:eastAsia="宋体" w:cs="宋体"/>
          <w:b/>
          <w:color w:val="auto"/>
          <w:sz w:val="24"/>
          <w:highlight w:val="none"/>
        </w:rPr>
      </w:pPr>
    </w:p>
    <w:p w14:paraId="576F7FDF">
      <w:pPr>
        <w:adjustRightInd/>
        <w:spacing w:line="360" w:lineRule="auto"/>
        <w:jc w:val="center"/>
        <w:rPr>
          <w:rFonts w:hint="eastAsia" w:ascii="宋体" w:hAnsi="宋体" w:eastAsia="宋体" w:cs="宋体"/>
          <w:b/>
          <w:color w:val="auto"/>
          <w:sz w:val="44"/>
          <w:szCs w:val="44"/>
          <w:highlight w:val="none"/>
        </w:rPr>
      </w:pPr>
    </w:p>
    <w:p w14:paraId="3201A8DE">
      <w:pPr>
        <w:spacing w:line="360" w:lineRule="auto"/>
        <w:jc w:val="center"/>
        <w:rPr>
          <w:rFonts w:hint="eastAsia" w:ascii="宋体" w:hAnsi="宋体" w:eastAsia="宋体" w:cs="宋体"/>
          <w:b/>
          <w:color w:val="auto"/>
          <w:sz w:val="44"/>
          <w:szCs w:val="44"/>
          <w:highlight w:val="none"/>
        </w:rPr>
      </w:pPr>
    </w:p>
    <w:p w14:paraId="5824797E">
      <w:pPr>
        <w:adjustRightInd/>
        <w:spacing w:line="360" w:lineRule="auto"/>
        <w:jc w:val="center"/>
        <w:rPr>
          <w:rFonts w:hint="eastAsia" w:ascii="宋体" w:hAnsi="宋体" w:eastAsia="宋体" w:cs="宋体"/>
          <w:b/>
          <w:color w:val="auto"/>
          <w:sz w:val="52"/>
          <w:szCs w:val="52"/>
          <w:highlight w:val="none"/>
        </w:rPr>
      </w:pPr>
    </w:p>
    <w:p w14:paraId="64981B2F">
      <w:pPr>
        <w:adjustRightInd/>
        <w:spacing w:line="360" w:lineRule="auto"/>
        <w:jc w:val="center"/>
        <w:rPr>
          <w:rFonts w:hint="eastAsia" w:ascii="宋体" w:hAnsi="宋体" w:eastAsia="宋体" w:cs="宋体"/>
          <w:b/>
          <w:color w:val="auto"/>
          <w:sz w:val="52"/>
          <w:szCs w:val="52"/>
          <w:highlight w:val="none"/>
        </w:rPr>
      </w:pPr>
      <w:r>
        <w:rPr>
          <w:rFonts w:hint="eastAsia" w:ascii="宋体" w:hAnsi="宋体" w:eastAsia="宋体" w:cs="宋体"/>
          <w:b/>
          <w:color w:val="auto"/>
          <w:sz w:val="52"/>
          <w:szCs w:val="52"/>
          <w:highlight w:val="none"/>
        </w:rPr>
        <w:t>建德市长运物资有限公司公路旅游型柴油空调客车采购项目（</w:t>
      </w:r>
      <w:r>
        <w:rPr>
          <w:rFonts w:hint="eastAsia" w:ascii="宋体" w:hAnsi="宋体" w:cs="宋体"/>
          <w:b/>
          <w:color w:val="auto"/>
          <w:sz w:val="52"/>
          <w:szCs w:val="52"/>
          <w:highlight w:val="none"/>
          <w:lang w:eastAsia="zh-CN"/>
        </w:rPr>
        <w:t>非政府采购</w:t>
      </w:r>
      <w:r>
        <w:rPr>
          <w:rFonts w:hint="eastAsia" w:ascii="宋体" w:hAnsi="宋体" w:eastAsia="宋体" w:cs="宋体"/>
          <w:b/>
          <w:color w:val="auto"/>
          <w:sz w:val="52"/>
          <w:szCs w:val="52"/>
          <w:highlight w:val="none"/>
        </w:rPr>
        <w:t>）</w:t>
      </w:r>
    </w:p>
    <w:p w14:paraId="3FD1400A">
      <w:pPr>
        <w:snapToGrid w:val="0"/>
        <w:spacing w:line="360" w:lineRule="auto"/>
        <w:jc w:val="center"/>
        <w:rPr>
          <w:rFonts w:hint="default" w:ascii="宋体" w:hAnsi="宋体" w:eastAsia="宋体" w:cs="宋体"/>
          <w:b/>
          <w:color w:val="auto"/>
          <w:sz w:val="30"/>
          <w:szCs w:val="30"/>
          <w:highlight w:val="none"/>
          <w:lang w:val="en-US"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eastAsia="zh-CN"/>
        </w:rPr>
        <w:t>：</w:t>
      </w:r>
      <w:r>
        <w:rPr>
          <w:rFonts w:hint="eastAsia" w:ascii="宋体" w:hAnsi="宋体" w:cs="宋体"/>
          <w:color w:val="auto"/>
          <w:sz w:val="30"/>
          <w:szCs w:val="30"/>
          <w:highlight w:val="none"/>
          <w:lang w:val="en-US" w:eastAsia="zh-CN"/>
        </w:rPr>
        <w:t>ZJXCX2025B-002</w:t>
      </w:r>
    </w:p>
    <w:p w14:paraId="2BD316CB">
      <w:pPr>
        <w:adjustRightInd/>
        <w:spacing w:line="360" w:lineRule="auto"/>
        <w:rPr>
          <w:rFonts w:hint="eastAsia" w:ascii="宋体" w:hAnsi="宋体" w:eastAsia="宋体" w:cs="宋体"/>
          <w:color w:val="auto"/>
          <w:sz w:val="28"/>
          <w:szCs w:val="20"/>
          <w:highlight w:val="none"/>
        </w:rPr>
      </w:pPr>
    </w:p>
    <w:p w14:paraId="7379437E">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472BCFD1">
      <w:pPr>
        <w:spacing w:line="360" w:lineRule="auto"/>
        <w:jc w:val="center"/>
        <w:rPr>
          <w:rFonts w:hint="eastAsia" w:ascii="宋体" w:hAnsi="宋体" w:eastAsia="宋体" w:cs="宋体"/>
          <w:b/>
          <w:color w:val="auto"/>
          <w:sz w:val="44"/>
          <w:szCs w:val="44"/>
          <w:highlight w:val="none"/>
        </w:rPr>
      </w:pPr>
    </w:p>
    <w:p w14:paraId="66B57586">
      <w:pPr>
        <w:spacing w:line="360" w:lineRule="auto"/>
        <w:jc w:val="center"/>
        <w:rPr>
          <w:rFonts w:hint="eastAsia" w:ascii="宋体" w:hAnsi="宋体" w:eastAsia="宋体" w:cs="宋体"/>
          <w:color w:val="auto"/>
          <w:sz w:val="24"/>
          <w:highlight w:val="none"/>
        </w:rPr>
      </w:pPr>
    </w:p>
    <w:p w14:paraId="286F7D6A">
      <w:pPr>
        <w:spacing w:line="360" w:lineRule="auto"/>
        <w:jc w:val="center"/>
        <w:rPr>
          <w:rFonts w:hint="eastAsia" w:ascii="宋体" w:hAnsi="宋体" w:eastAsia="宋体" w:cs="宋体"/>
          <w:color w:val="auto"/>
          <w:sz w:val="24"/>
          <w:highlight w:val="none"/>
        </w:rPr>
      </w:pPr>
    </w:p>
    <w:p w14:paraId="044DEDDC">
      <w:pPr>
        <w:spacing w:line="360" w:lineRule="auto"/>
        <w:rPr>
          <w:rFonts w:hint="eastAsia" w:ascii="宋体" w:hAnsi="宋体" w:eastAsia="宋体" w:cs="宋体"/>
          <w:color w:val="auto"/>
          <w:sz w:val="32"/>
          <w:szCs w:val="32"/>
          <w:highlight w:val="none"/>
        </w:rPr>
      </w:pPr>
    </w:p>
    <w:p w14:paraId="42DED7CF">
      <w:pPr>
        <w:snapToGrid w:val="0"/>
        <w:spacing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采购人：</w:t>
      </w:r>
      <w:r>
        <w:rPr>
          <w:rFonts w:hint="eastAsia" w:ascii="宋体" w:hAnsi="宋体" w:cs="宋体"/>
          <w:b/>
          <w:color w:val="auto"/>
          <w:sz w:val="32"/>
          <w:szCs w:val="32"/>
          <w:highlight w:val="none"/>
          <w:lang w:eastAsia="zh-CN"/>
        </w:rPr>
        <w:t>建德市长运物资有限公司</w:t>
      </w:r>
    </w:p>
    <w:p w14:paraId="281EF4B5">
      <w:pPr>
        <w:snapToGrid w:val="0"/>
        <w:spacing w:line="360" w:lineRule="auto"/>
        <w:jc w:val="center"/>
        <w:rPr>
          <w:rFonts w:hint="default"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采购代理机构：</w:t>
      </w:r>
      <w:r>
        <w:rPr>
          <w:rFonts w:hint="eastAsia" w:ascii="宋体" w:hAnsi="宋体" w:cs="宋体"/>
          <w:b/>
          <w:color w:val="auto"/>
          <w:sz w:val="32"/>
          <w:szCs w:val="32"/>
          <w:highlight w:val="none"/>
          <w:lang w:val="en-US" w:eastAsia="zh-CN"/>
        </w:rPr>
        <w:t>浙江新诚信工程咨询有限公司</w:t>
      </w:r>
    </w:p>
    <w:p w14:paraId="24C78036">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cs="宋体"/>
          <w:bCs/>
          <w:color w:val="auto"/>
          <w:sz w:val="32"/>
          <w:szCs w:val="32"/>
          <w:highlight w:val="none"/>
          <w:lang w:val="en-US" w:eastAsia="zh-CN"/>
        </w:rPr>
        <w:t xml:space="preserve"> 2025</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3</w:t>
      </w:r>
      <w:r>
        <w:rPr>
          <w:rFonts w:hint="eastAsia" w:ascii="宋体" w:hAnsi="宋体" w:eastAsia="宋体" w:cs="宋体"/>
          <w:bCs/>
          <w:color w:val="auto"/>
          <w:sz w:val="32"/>
          <w:szCs w:val="32"/>
          <w:highlight w:val="none"/>
        </w:rPr>
        <w:t>月</w:t>
      </w:r>
      <w:r>
        <w:rPr>
          <w:rFonts w:hint="eastAsia" w:ascii="宋体" w:hAnsi="宋体" w:cs="宋体"/>
          <w:bCs/>
          <w:color w:val="auto"/>
          <w:sz w:val="32"/>
          <w:szCs w:val="32"/>
          <w:highlight w:val="none"/>
          <w:lang w:val="en-US" w:eastAsia="zh-CN"/>
        </w:rPr>
        <w:t>7</w:t>
      </w:r>
      <w:r>
        <w:rPr>
          <w:rFonts w:hint="eastAsia" w:ascii="宋体" w:hAnsi="宋体" w:eastAsia="宋体" w:cs="宋体"/>
          <w:bCs/>
          <w:color w:val="auto"/>
          <w:sz w:val="32"/>
          <w:szCs w:val="32"/>
          <w:highlight w:val="none"/>
        </w:rPr>
        <w:t>日</w:t>
      </w:r>
    </w:p>
    <w:p w14:paraId="2E05D38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6B378882">
      <w:pPr>
        <w:spacing w:line="360" w:lineRule="auto"/>
        <w:jc w:val="center"/>
        <w:rPr>
          <w:rFonts w:hint="eastAsia" w:ascii="宋体" w:hAnsi="宋体" w:eastAsia="宋体" w:cs="宋体"/>
          <w:color w:val="auto"/>
          <w:sz w:val="24"/>
          <w:highlight w:val="none"/>
        </w:rPr>
      </w:pPr>
    </w:p>
    <w:p w14:paraId="4DDDB63A">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53874ADF">
      <w:pPr>
        <w:spacing w:line="360" w:lineRule="auto"/>
        <w:rPr>
          <w:rFonts w:hint="eastAsia" w:ascii="宋体" w:hAnsi="宋体" w:eastAsia="宋体" w:cs="宋体"/>
          <w:color w:val="auto"/>
          <w:sz w:val="32"/>
          <w:szCs w:val="32"/>
          <w:highlight w:val="none"/>
        </w:rPr>
      </w:pPr>
    </w:p>
    <w:p w14:paraId="53193A57">
      <w:pPr>
        <w:spacing w:line="360" w:lineRule="auto"/>
        <w:rPr>
          <w:rFonts w:hint="eastAsia" w:ascii="宋体" w:hAnsi="宋体" w:eastAsia="宋体" w:cs="宋体"/>
          <w:color w:val="auto"/>
          <w:sz w:val="32"/>
          <w:szCs w:val="32"/>
          <w:highlight w:val="none"/>
        </w:rPr>
      </w:pPr>
    </w:p>
    <w:p w14:paraId="0905DC0C">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668F193E">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7D867AA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7E8D25FF">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7996BD76">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592D35F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5976A822">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7AD7C4AB">
      <w:pPr>
        <w:spacing w:line="360" w:lineRule="auto"/>
        <w:ind w:firstLine="549" w:firstLineChars="229"/>
        <w:rPr>
          <w:rFonts w:hint="eastAsia" w:ascii="宋体" w:hAnsi="宋体" w:eastAsia="宋体" w:cs="宋体"/>
          <w:color w:val="auto"/>
          <w:sz w:val="24"/>
          <w:highlight w:val="none"/>
        </w:rPr>
      </w:pPr>
    </w:p>
    <w:p w14:paraId="71F2783E">
      <w:pPr>
        <w:spacing w:line="360" w:lineRule="auto"/>
        <w:ind w:firstLine="549" w:firstLineChars="229"/>
        <w:rPr>
          <w:rFonts w:hint="eastAsia" w:ascii="宋体" w:hAnsi="宋体" w:eastAsia="宋体" w:cs="宋体"/>
          <w:color w:val="auto"/>
          <w:sz w:val="24"/>
          <w:highlight w:val="none"/>
        </w:rPr>
      </w:pPr>
    </w:p>
    <w:p w14:paraId="6A5882BE">
      <w:pPr>
        <w:spacing w:line="360" w:lineRule="auto"/>
        <w:ind w:firstLine="549" w:firstLineChars="229"/>
        <w:rPr>
          <w:rFonts w:hint="eastAsia" w:ascii="宋体" w:hAnsi="宋体" w:eastAsia="宋体" w:cs="宋体"/>
          <w:color w:val="auto"/>
          <w:sz w:val="24"/>
          <w:highlight w:val="none"/>
        </w:rPr>
      </w:pPr>
    </w:p>
    <w:p w14:paraId="0A7A03F6">
      <w:pPr>
        <w:spacing w:line="360" w:lineRule="auto"/>
        <w:ind w:firstLine="549" w:firstLineChars="229"/>
        <w:rPr>
          <w:rFonts w:hint="eastAsia" w:ascii="宋体" w:hAnsi="宋体" w:eastAsia="宋体" w:cs="宋体"/>
          <w:color w:val="auto"/>
          <w:sz w:val="24"/>
          <w:highlight w:val="none"/>
        </w:rPr>
      </w:pPr>
    </w:p>
    <w:p w14:paraId="4B7CB3A4">
      <w:pPr>
        <w:spacing w:line="360" w:lineRule="auto"/>
        <w:ind w:firstLine="549" w:firstLineChars="229"/>
        <w:rPr>
          <w:rFonts w:hint="eastAsia" w:ascii="宋体" w:hAnsi="宋体" w:eastAsia="宋体" w:cs="宋体"/>
          <w:color w:val="auto"/>
          <w:sz w:val="24"/>
          <w:highlight w:val="none"/>
        </w:rPr>
      </w:pPr>
    </w:p>
    <w:p w14:paraId="273E7575">
      <w:pPr>
        <w:spacing w:line="360" w:lineRule="auto"/>
        <w:ind w:firstLine="549" w:firstLineChars="229"/>
        <w:rPr>
          <w:rFonts w:hint="eastAsia" w:ascii="宋体" w:hAnsi="宋体" w:eastAsia="宋体" w:cs="宋体"/>
          <w:color w:val="auto"/>
          <w:sz w:val="24"/>
          <w:highlight w:val="none"/>
        </w:rPr>
      </w:pPr>
    </w:p>
    <w:p w14:paraId="268DDE02">
      <w:pPr>
        <w:spacing w:line="360" w:lineRule="auto"/>
        <w:ind w:firstLine="549" w:firstLineChars="229"/>
        <w:rPr>
          <w:rFonts w:hint="eastAsia" w:ascii="宋体" w:hAnsi="宋体" w:eastAsia="宋体" w:cs="宋体"/>
          <w:color w:val="auto"/>
          <w:sz w:val="24"/>
          <w:highlight w:val="none"/>
        </w:rPr>
      </w:pPr>
    </w:p>
    <w:p w14:paraId="07F4B686">
      <w:pPr>
        <w:spacing w:line="360" w:lineRule="auto"/>
        <w:ind w:firstLine="549" w:firstLineChars="229"/>
        <w:rPr>
          <w:rFonts w:hint="eastAsia" w:ascii="宋体" w:hAnsi="宋体" w:eastAsia="宋体" w:cs="宋体"/>
          <w:color w:val="auto"/>
          <w:sz w:val="24"/>
          <w:highlight w:val="none"/>
        </w:rPr>
      </w:pPr>
    </w:p>
    <w:p w14:paraId="7DC316D3">
      <w:pPr>
        <w:spacing w:line="360" w:lineRule="auto"/>
        <w:ind w:firstLine="549" w:firstLineChars="229"/>
        <w:rPr>
          <w:rFonts w:hint="eastAsia" w:ascii="宋体" w:hAnsi="宋体" w:eastAsia="宋体" w:cs="宋体"/>
          <w:color w:val="auto"/>
          <w:sz w:val="24"/>
          <w:highlight w:val="none"/>
        </w:rPr>
      </w:pPr>
    </w:p>
    <w:p w14:paraId="15D5A465">
      <w:pPr>
        <w:spacing w:line="360" w:lineRule="auto"/>
        <w:ind w:firstLine="549" w:firstLineChars="229"/>
        <w:rPr>
          <w:rFonts w:hint="eastAsia" w:ascii="宋体" w:hAnsi="宋体" w:eastAsia="宋体" w:cs="宋体"/>
          <w:color w:val="auto"/>
          <w:sz w:val="24"/>
          <w:highlight w:val="none"/>
        </w:rPr>
      </w:pPr>
    </w:p>
    <w:p w14:paraId="169AEDC9">
      <w:pPr>
        <w:spacing w:line="360" w:lineRule="auto"/>
        <w:ind w:firstLine="549" w:firstLineChars="229"/>
        <w:rPr>
          <w:rFonts w:hint="eastAsia" w:ascii="宋体" w:hAnsi="宋体" w:eastAsia="宋体" w:cs="宋体"/>
          <w:color w:val="auto"/>
          <w:sz w:val="24"/>
          <w:highlight w:val="none"/>
        </w:rPr>
      </w:pPr>
    </w:p>
    <w:p w14:paraId="3EC8B371">
      <w:pPr>
        <w:spacing w:line="360" w:lineRule="auto"/>
        <w:ind w:firstLine="549" w:firstLineChars="229"/>
        <w:rPr>
          <w:rFonts w:hint="eastAsia" w:ascii="宋体" w:hAnsi="宋体" w:eastAsia="宋体" w:cs="宋体"/>
          <w:color w:val="auto"/>
          <w:sz w:val="24"/>
          <w:highlight w:val="none"/>
        </w:rPr>
      </w:pPr>
    </w:p>
    <w:p w14:paraId="509FCB08">
      <w:pPr>
        <w:spacing w:line="360" w:lineRule="auto"/>
        <w:rPr>
          <w:rFonts w:hint="eastAsia" w:ascii="宋体" w:hAnsi="宋体" w:eastAsia="宋体" w:cs="宋体"/>
          <w:color w:val="auto"/>
          <w:sz w:val="24"/>
          <w:highlight w:val="none"/>
        </w:rPr>
      </w:pPr>
    </w:p>
    <w:p w14:paraId="5C18FCD1">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649545"/>
      <w:bookmarkEnd w:id="4"/>
      <w:bookmarkStart w:id="5" w:name="_Hlt74729822"/>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0FA3B33A">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1EE649C9">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建德市长运物资有限公司公路旅游型柴油空调客车采购项目</w:t>
      </w:r>
      <w:r>
        <w:rPr>
          <w:rFonts w:hint="eastAsia" w:ascii="宋体" w:hAnsi="宋体" w:eastAsia="宋体" w:cs="宋体"/>
          <w:color w:val="auto"/>
          <w:sz w:val="24"/>
          <w:highlight w:val="none"/>
        </w:rPr>
        <w:t>的潜在投标人应在</w:t>
      </w:r>
      <w:r>
        <w:rPr>
          <w:rFonts w:hint="eastAsia" w:ascii="宋体" w:hAnsi="宋体" w:eastAsia="宋体" w:cs="宋体"/>
          <w:color w:val="auto"/>
          <w:sz w:val="24"/>
          <w:highlight w:val="none"/>
          <w:lang w:val="en-US" w:eastAsia="zh-CN"/>
        </w:rPr>
        <w:t>乐</w:t>
      </w:r>
      <w:r>
        <w:rPr>
          <w:rFonts w:hint="eastAsia" w:ascii="宋体" w:hAnsi="宋体" w:eastAsia="宋体" w:cs="宋体"/>
          <w:color w:val="auto"/>
          <w:sz w:val="24"/>
          <w:highlight w:val="none"/>
        </w:rPr>
        <w:t>采云平台（</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"采购文件（7.9新版本）.doc"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https://www.lecaiyun.com/</w:t>
      </w:r>
      <w:r>
        <w:rPr>
          <w:rFonts w:hint="eastAsia" w:ascii="宋体" w:hAnsi="宋体" w:eastAsia="宋体" w:cs="宋体"/>
          <w:color w:val="auto"/>
          <w:sz w:val="24"/>
          <w:highlight w:val="none"/>
        </w:rPr>
        <w:fldChar w:fldCharType="end"/>
      </w:r>
      <w:r>
        <w:rPr>
          <w:rFonts w:hint="eastAsia" w:ascii="宋体" w:hAnsi="宋体" w:eastAsia="宋体" w:cs="宋体"/>
          <w:color w:val="auto"/>
          <w:sz w:val="24"/>
          <w:highlight w:val="none"/>
        </w:rPr>
        <w:t>）</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"https://www.zcygov.cn/）获取（下载）招标文件，并于202%20年%20月%20日%20点%20分00秒"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获取（下载）招标文件，并于</w:t>
      </w:r>
      <w:r>
        <w:rPr>
          <w:rFonts w:hint="eastAsia" w:ascii="宋体" w:hAnsi="宋体" w:eastAsia="宋体" w:cs="宋体"/>
          <w:b/>
          <w:bCs/>
          <w:color w:val="auto"/>
          <w:sz w:val="24"/>
          <w:highlight w:val="none"/>
          <w:lang w:eastAsia="zh-CN"/>
        </w:rPr>
        <w:t>202</w:t>
      </w: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rPr>
        <w:t>年</w:t>
      </w: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月</w:t>
      </w:r>
      <w:r>
        <w:rPr>
          <w:rFonts w:hint="eastAsia" w:ascii="宋体" w:hAnsi="宋体" w:cs="宋体"/>
          <w:b/>
          <w:bCs/>
          <w:color w:val="auto"/>
          <w:sz w:val="24"/>
          <w:highlight w:val="none"/>
          <w:lang w:val="en-US" w:eastAsia="zh-CN"/>
        </w:rPr>
        <w:t>28</w:t>
      </w:r>
      <w:r>
        <w:rPr>
          <w:rFonts w:hint="eastAsia" w:ascii="宋体" w:hAnsi="宋体" w:eastAsia="宋体" w:cs="宋体"/>
          <w:b/>
          <w:bCs/>
          <w:color w:val="auto"/>
          <w:sz w:val="24"/>
          <w:highlight w:val="none"/>
        </w:rPr>
        <w:t>日</w:t>
      </w:r>
      <w:r>
        <w:rPr>
          <w:rFonts w:hint="eastAsia" w:ascii="宋体" w:hAnsi="宋体" w:cs="宋体"/>
          <w:b/>
          <w:bCs/>
          <w:color w:val="auto"/>
          <w:sz w:val="24"/>
          <w:highlight w:val="none"/>
          <w:lang w:val="en-US" w:eastAsia="zh-CN"/>
        </w:rPr>
        <w:t>09</w:t>
      </w:r>
      <w:r>
        <w:rPr>
          <w:rFonts w:hint="eastAsia" w:ascii="宋体" w:hAnsi="宋体" w:eastAsia="宋体" w:cs="宋体"/>
          <w:b/>
          <w:bCs/>
          <w:color w:val="auto"/>
          <w:sz w:val="24"/>
          <w:highlight w:val="none"/>
        </w:rPr>
        <w:t>点</w:t>
      </w:r>
      <w:r>
        <w:rPr>
          <w:rFonts w:hint="eastAsia" w:ascii="宋体" w:hAnsi="宋体" w:eastAsia="宋体" w:cs="宋体"/>
          <w:b/>
          <w:bCs/>
          <w:color w:val="auto"/>
          <w:sz w:val="24"/>
          <w:highlight w:val="none"/>
          <w:lang w:val="en-US" w:eastAsia="zh-CN"/>
        </w:rPr>
        <w:t>00</w:t>
      </w:r>
      <w:r>
        <w:rPr>
          <w:rFonts w:hint="eastAsia" w:ascii="宋体" w:hAnsi="宋体" w:eastAsia="宋体" w:cs="宋体"/>
          <w:b/>
          <w:bCs/>
          <w:color w:val="auto"/>
          <w:sz w:val="24"/>
          <w:highlight w:val="none"/>
        </w:rPr>
        <w:t>分00秒</w:t>
      </w:r>
      <w:r>
        <w:rPr>
          <w:rFonts w:hint="eastAsia" w:ascii="宋体" w:hAnsi="宋体" w:eastAsia="宋体" w:cs="宋体"/>
          <w:color w:val="auto"/>
          <w:sz w:val="24"/>
          <w:highlight w:val="non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5AA1979A">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16E18A04">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项目编号：</w:t>
      </w:r>
      <w:r>
        <w:rPr>
          <w:rFonts w:hint="eastAsia" w:ascii="宋体" w:hAnsi="宋体" w:cs="宋体"/>
          <w:color w:val="auto"/>
          <w:sz w:val="30"/>
          <w:szCs w:val="30"/>
          <w:highlight w:val="none"/>
          <w:lang w:val="en-US" w:eastAsia="zh-CN"/>
        </w:rPr>
        <w:t>ZJXCX2025B-002</w:t>
      </w:r>
    </w:p>
    <w:p w14:paraId="512956A7">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项目名称：</w:t>
      </w:r>
      <w:r>
        <w:rPr>
          <w:rFonts w:hint="eastAsia" w:ascii="宋体" w:hAnsi="宋体" w:cs="宋体"/>
          <w:color w:val="auto"/>
          <w:sz w:val="24"/>
          <w:highlight w:val="none"/>
          <w:lang w:eastAsia="zh-CN"/>
        </w:rPr>
        <w:t>建德市长运物资有限公司公路旅游型柴油空调客车采购项目</w:t>
      </w:r>
    </w:p>
    <w:p w14:paraId="44DBE9D1">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预算金额（元）：</w:t>
      </w:r>
      <w:r>
        <w:rPr>
          <w:rFonts w:hint="eastAsia" w:ascii="宋体" w:hAnsi="宋体" w:cs="宋体"/>
          <w:b/>
          <w:color w:val="auto"/>
          <w:sz w:val="24"/>
          <w:highlight w:val="none"/>
          <w:lang w:val="en-US" w:eastAsia="zh-CN"/>
        </w:rPr>
        <w:t xml:space="preserve">6400000.00 </w:t>
      </w:r>
    </w:p>
    <w:p w14:paraId="1E016AF8">
      <w:pPr>
        <w:keepNext w:val="0"/>
        <w:keepLines w:val="0"/>
        <w:pageBreakBefore w:val="0"/>
        <w:kinsoku/>
        <w:wordWrap/>
        <w:overflowPunct/>
        <w:topLinePunct w:val="0"/>
        <w:autoSpaceDE/>
        <w:autoSpaceDN/>
        <w:bidi w:val="0"/>
        <w:adjustRightInd w:val="0"/>
        <w:spacing w:line="480" w:lineRule="exact"/>
        <w:ind w:firstLine="480"/>
        <w:textAlignment w:val="auto"/>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 xml:space="preserve">6400000.00  </w:t>
      </w:r>
    </w:p>
    <w:p w14:paraId="0407ECE3">
      <w:pPr>
        <w:keepNext w:val="0"/>
        <w:keepLines w:val="0"/>
        <w:pageBreakBefore w:val="0"/>
        <w:kinsoku/>
        <w:wordWrap/>
        <w:overflowPunct/>
        <w:topLinePunct w:val="0"/>
        <w:autoSpaceDE/>
        <w:autoSpaceDN/>
        <w:bidi w:val="0"/>
        <w:adjustRightInd w:val="0"/>
        <w:spacing w:line="480" w:lineRule="exact"/>
        <w:ind w:firstLine="463" w:firstLineChars="192"/>
        <w:textAlignment w:val="auto"/>
        <w:rPr>
          <w:rFonts w:hint="eastAsia" w:ascii="宋体" w:hAnsi="宋体" w:eastAsia="宋体" w:cs="宋体"/>
          <w:bCs/>
          <w:snapToGrid/>
          <w:color w:val="auto"/>
          <w:kern w:val="2"/>
          <w:sz w:val="24"/>
          <w:szCs w:val="24"/>
          <w:highlight w:val="none"/>
        </w:rPr>
      </w:pPr>
      <w:r>
        <w:rPr>
          <w:rFonts w:hint="eastAsia" w:ascii="宋体" w:hAnsi="宋体" w:eastAsia="宋体" w:cs="宋体"/>
          <w:b/>
          <w:color w:val="auto"/>
          <w:sz w:val="24"/>
          <w:highlight w:val="none"/>
        </w:rPr>
        <w:t>采购需求：</w:t>
      </w:r>
      <w:r>
        <w:rPr>
          <w:rFonts w:hint="eastAsia" w:ascii="宋体" w:hAnsi="宋体" w:cs="宋体"/>
          <w:color w:val="auto"/>
          <w:sz w:val="24"/>
          <w:szCs w:val="24"/>
          <w:highlight w:val="none"/>
          <w:lang w:eastAsia="zh-CN"/>
        </w:rPr>
        <w:t>采购9米系列26座公路旅游型柴油空调客车</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台</w:t>
      </w:r>
      <w:r>
        <w:rPr>
          <w:rFonts w:hint="eastAsia" w:ascii="宋体" w:hAnsi="宋体" w:cs="宋体"/>
          <w:color w:val="auto"/>
          <w:sz w:val="24"/>
          <w:szCs w:val="24"/>
          <w:highlight w:val="none"/>
          <w:lang w:val="en-US" w:eastAsia="zh-CN"/>
        </w:rPr>
        <w:t>,11米系列39座公路旅游型柴油空调客车2台，13米系列56座公路旅游型柴油空调客车6台。</w:t>
      </w:r>
      <w:r>
        <w:rPr>
          <w:rFonts w:hint="eastAsia" w:ascii="宋体" w:hAnsi="宋体" w:eastAsia="宋体" w:cs="宋体"/>
          <w:color w:val="auto"/>
          <w:sz w:val="24"/>
          <w:szCs w:val="24"/>
          <w:highlight w:val="none"/>
          <w:lang w:eastAsia="zh-CN"/>
        </w:rPr>
        <w:t>（</w:t>
      </w:r>
      <w:r>
        <w:rPr>
          <w:rFonts w:hint="eastAsia" w:hAnsi="宋体" w:cs="宋体"/>
          <w:snapToGrid/>
          <w:color w:val="000000" w:themeColor="text1"/>
          <w:kern w:val="2"/>
          <w:sz w:val="24"/>
          <w:szCs w:val="24"/>
          <w:highlight w:val="none"/>
          <w14:textFill>
            <w14:solidFill>
              <w14:schemeClr w14:val="tx1"/>
            </w14:solidFill>
          </w14:textFill>
        </w:rPr>
        <w:t>以上金额包括设备的生产、供货、装卸运输、送货上门、安装调试、附件、辅材、备品备件、专用工具、税金、验收、辅助工作及售后服务等完成该项目的所有费用。</w:t>
      </w:r>
      <w:r>
        <w:rPr>
          <w:rFonts w:hint="eastAsia" w:ascii="宋体" w:hAnsi="宋体" w:eastAsia="宋体" w:cs="宋体"/>
          <w:color w:val="auto"/>
          <w:sz w:val="24"/>
          <w:szCs w:val="24"/>
          <w:highlight w:val="none"/>
        </w:rPr>
        <w:t>）具体内容详见</w:t>
      </w:r>
      <w:r>
        <w:rPr>
          <w:rFonts w:hint="eastAsia" w:ascii="宋体" w:hAnsi="宋体" w:eastAsia="宋体" w:cs="宋体"/>
          <w:snapToGrid/>
          <w:color w:val="auto"/>
          <w:kern w:val="2"/>
          <w:sz w:val="24"/>
          <w:szCs w:val="24"/>
          <w:highlight w:val="none"/>
        </w:rPr>
        <w:t>招标文件第三部分采购需求为准，供应商可点击本公告下方“浏览采购文件”查看采购需求。</w:t>
      </w:r>
    </w:p>
    <w:p w14:paraId="026544EE">
      <w:pPr>
        <w:keepNext w:val="0"/>
        <w:keepLines w:val="0"/>
        <w:pageBreakBefore w:val="0"/>
        <w:kinsoku/>
        <w:wordWrap/>
        <w:overflowPunct/>
        <w:topLinePunct w:val="0"/>
        <w:autoSpaceDE/>
        <w:autoSpaceDN/>
        <w:bidi w:val="0"/>
        <w:adjustRightInd w:val="0"/>
        <w:spacing w:beforeAutospacing="0" w:afterAutospacing="0" w:line="480" w:lineRule="exact"/>
        <w:ind w:right="0" w:firstLine="537" w:firstLineChars="223"/>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b/>
          <w:color w:val="auto"/>
          <w:sz w:val="24"/>
          <w:highlight w:val="none"/>
        </w:rPr>
        <w:t>合同履约期限：</w:t>
      </w:r>
      <w:r>
        <w:rPr>
          <w:rFonts w:hint="eastAsia" w:ascii="宋体" w:hAnsi="宋体" w:cs="宋体"/>
          <w:b w:val="0"/>
          <w:bCs/>
          <w:color w:val="auto"/>
          <w:sz w:val="24"/>
          <w:highlight w:val="none"/>
          <w:lang w:eastAsia="zh-CN"/>
        </w:rPr>
        <w:t>中标供应商在签订合同生效之日起 40日历天内按采购单位要求完成交货、调试并验收通过后交付使用。</w:t>
      </w:r>
    </w:p>
    <w:p w14:paraId="1B462F41">
      <w:pPr>
        <w:pStyle w:val="5"/>
        <w:keepNext w:val="0"/>
        <w:keepLines w:val="0"/>
        <w:pageBreakBefore w:val="0"/>
        <w:kinsoku/>
        <w:wordWrap/>
        <w:overflowPunct/>
        <w:topLinePunct w:val="0"/>
        <w:autoSpaceDE/>
        <w:autoSpaceDN/>
        <w:bidi w:val="0"/>
        <w:adjustRightInd w:val="0"/>
        <w:spacing w:line="480" w:lineRule="exact"/>
        <w:ind w:firstLine="480"/>
        <w:textAlignment w:val="auto"/>
        <w:rPr>
          <w:rFonts w:hint="eastAsia" w:ascii="宋体" w:hAnsi="宋体" w:eastAsia="宋体" w:cs="宋体"/>
          <w:color w:val="auto"/>
          <w:kern w:val="0"/>
          <w:sz w:val="24"/>
          <w:highlight w:val="none"/>
        </w:rPr>
      </w:pPr>
      <w:r>
        <w:rPr>
          <w:rFonts w:hint="eastAsia" w:ascii="宋体" w:hAnsi="宋体" w:eastAsia="宋体" w:cs="宋体"/>
          <w:b/>
          <w:color w:val="auto"/>
          <w:sz w:val="24"/>
          <w:highlight w:val="none"/>
        </w:rPr>
        <w:t>本项目接受联合体投标：</w:t>
      </w:r>
      <w:sdt>
        <w:sdtPr>
          <w:rPr>
            <w:rFonts w:hint="eastAsia" w:ascii="宋体" w:hAnsi="宋体" w:eastAsia="宋体" w:cs="宋体"/>
            <w:color w:val="auto"/>
            <w:kern w:val="0"/>
            <w:sz w:val="24"/>
            <w:highlight w:val="none"/>
          </w:rPr>
          <w:id w:val="2035453831"/>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ascii="宋体" w:hAnsi="宋体" w:eastAsia="宋体" w:cs="宋体"/>
          <w:b/>
          <w:color w:val="auto"/>
          <w:sz w:val="24"/>
          <w:highlight w:val="none"/>
        </w:rPr>
        <w:t>是</w:t>
      </w:r>
      <w:r>
        <w:rPr>
          <w:rFonts w:hint="eastAsia" w:ascii="宋体" w:hAnsi="宋体" w:eastAsia="宋体" w:cs="宋体"/>
          <w:b/>
          <w:snapToGrid/>
          <w:color w:val="auto"/>
          <w:kern w:val="2"/>
          <w:sz w:val="24"/>
          <w:highlight w:val="none"/>
        </w:rPr>
        <w:t>；</w:t>
      </w:r>
      <w:sdt>
        <w:sdtPr>
          <w:rPr>
            <w:rFonts w:hint="eastAsia" w:ascii="宋体" w:hAnsi="宋体" w:eastAsia="宋体" w:cs="宋体"/>
            <w:color w:val="auto"/>
            <w:kern w:val="0"/>
            <w:sz w:val="24"/>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41A2FBB5">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w:t>
      </w:r>
      <w:bookmarkStart w:id="11" w:name="_Hlk101132948"/>
      <w:r>
        <w:rPr>
          <w:rFonts w:hint="eastAsia" w:ascii="宋体" w:hAnsi="宋体" w:eastAsia="宋体" w:cs="宋体"/>
          <w:b/>
          <w:color w:val="auto"/>
          <w:sz w:val="24"/>
          <w:highlight w:val="none"/>
        </w:rPr>
        <w:t>申请人的资格要求</w:t>
      </w:r>
      <w:bookmarkEnd w:id="11"/>
      <w:r>
        <w:rPr>
          <w:rFonts w:hint="eastAsia" w:ascii="宋体" w:hAnsi="宋体" w:eastAsia="宋体" w:cs="宋体"/>
          <w:b/>
          <w:color w:val="auto"/>
          <w:sz w:val="24"/>
          <w:highlight w:val="none"/>
        </w:rPr>
        <w:t>：</w:t>
      </w:r>
    </w:p>
    <w:p w14:paraId="76D2301C">
      <w:pPr>
        <w:keepNext w:val="0"/>
        <w:keepLines w:val="0"/>
        <w:pageBreakBefore w:val="0"/>
        <w:kinsoku/>
        <w:wordWrap/>
        <w:overflowPunct/>
        <w:topLinePunct w:val="0"/>
        <w:autoSpaceDE/>
        <w:autoSpaceDN/>
        <w:bidi w:val="0"/>
        <w:adjustRightInd w:val="0"/>
        <w:spacing w:beforeAutospacing="0" w:afterAutospacing="0" w:line="480" w:lineRule="exact"/>
        <w:ind w:right="0" w:firstLine="537" w:firstLineChars="223"/>
        <w:textAlignment w:val="auto"/>
        <w:rPr>
          <w:rFonts w:hint="eastAsia" w:ascii="宋体" w:hAnsi="宋体" w:cs="宋体"/>
          <w:b/>
          <w:bCs w:val="0"/>
          <w:color w:val="auto"/>
          <w:sz w:val="24"/>
          <w:highlight w:val="none"/>
          <w:lang w:eastAsia="zh-CN"/>
        </w:rPr>
      </w:pPr>
      <w:r>
        <w:rPr>
          <w:rFonts w:hint="eastAsia" w:ascii="宋体" w:hAnsi="宋体" w:cs="宋体"/>
          <w:b/>
          <w:bCs w:val="0"/>
          <w:color w:val="auto"/>
          <w:sz w:val="24"/>
          <w:highlight w:val="none"/>
          <w:lang w:eastAsia="zh-CN"/>
        </w:rPr>
        <w:t xml:space="preserve">（一） </w:t>
      </w:r>
      <w:r>
        <w:rPr>
          <w:rFonts w:hint="eastAsia" w:ascii="宋体" w:hAnsi="宋体" w:eastAsia="宋体" w:cs="宋体"/>
          <w:b/>
          <w:bCs w:val="0"/>
          <w:color w:val="auto"/>
          <w:sz w:val="24"/>
          <w:highlight w:val="none"/>
          <w:lang w:eastAsia="zh-CN"/>
        </w:rPr>
        <w:t>基本</w:t>
      </w:r>
      <w:r>
        <w:rPr>
          <w:rFonts w:hint="eastAsia" w:ascii="宋体" w:hAnsi="宋体" w:eastAsia="宋体" w:cs="宋体"/>
          <w:b/>
          <w:bCs w:val="0"/>
          <w:color w:val="auto"/>
          <w:sz w:val="24"/>
          <w:highlight w:val="none"/>
        </w:rPr>
        <w:t>资格要求</w:t>
      </w:r>
      <w:r>
        <w:rPr>
          <w:rFonts w:hint="eastAsia" w:ascii="宋体" w:hAnsi="宋体" w:eastAsia="宋体" w:cs="宋体"/>
          <w:b/>
          <w:bCs w:val="0"/>
          <w:color w:val="auto"/>
          <w:sz w:val="24"/>
          <w:highlight w:val="none"/>
          <w:lang w:eastAsia="zh-CN"/>
        </w:rPr>
        <w:t>：</w:t>
      </w:r>
    </w:p>
    <w:p w14:paraId="23A6CF6B">
      <w:pPr>
        <w:keepNext w:val="0"/>
        <w:keepLines w:val="0"/>
        <w:pageBreakBefore w:val="0"/>
        <w:kinsoku/>
        <w:wordWrap/>
        <w:overflowPunct/>
        <w:topLinePunct w:val="0"/>
        <w:autoSpaceDE/>
        <w:autoSpaceDN/>
        <w:bidi w:val="0"/>
        <w:adjustRightInd w:val="0"/>
        <w:spacing w:beforeAutospacing="0" w:afterAutospacing="0" w:line="480" w:lineRule="exact"/>
        <w:ind w:right="0" w:firstLine="535" w:firstLineChars="223"/>
        <w:textAlignment w:val="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val="en-US" w:eastAsia="zh-CN"/>
        </w:rPr>
        <w:t>1.</w:t>
      </w:r>
      <w:r>
        <w:rPr>
          <w:rFonts w:hint="eastAsia" w:ascii="宋体" w:hAnsi="宋体" w:cs="宋体"/>
          <w:b w:val="0"/>
          <w:bCs/>
          <w:color w:val="auto"/>
          <w:sz w:val="24"/>
          <w:highlight w:val="none"/>
          <w:lang w:eastAsia="zh-CN"/>
        </w:rPr>
        <w:t>具有独立承担民事责任的能力；</w:t>
      </w:r>
    </w:p>
    <w:p w14:paraId="27CA7525">
      <w:pPr>
        <w:keepNext w:val="0"/>
        <w:keepLines w:val="0"/>
        <w:pageBreakBefore w:val="0"/>
        <w:kinsoku/>
        <w:wordWrap/>
        <w:overflowPunct/>
        <w:topLinePunct w:val="0"/>
        <w:autoSpaceDE/>
        <w:autoSpaceDN/>
        <w:bidi w:val="0"/>
        <w:adjustRightInd w:val="0"/>
        <w:spacing w:beforeAutospacing="0" w:afterAutospacing="0" w:line="480" w:lineRule="exact"/>
        <w:ind w:right="0" w:firstLine="535" w:firstLineChars="223"/>
        <w:textAlignment w:val="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val="en-US" w:eastAsia="zh-CN"/>
        </w:rPr>
        <w:t>2.</w:t>
      </w:r>
      <w:r>
        <w:rPr>
          <w:rFonts w:hint="eastAsia" w:ascii="宋体" w:hAnsi="宋体" w:cs="宋体"/>
          <w:b w:val="0"/>
          <w:bCs/>
          <w:color w:val="auto"/>
          <w:sz w:val="24"/>
          <w:highlight w:val="none"/>
          <w:lang w:eastAsia="zh-CN"/>
        </w:rPr>
        <w:t xml:space="preserve">具有良好的商业信誉和健全的财务会计制度； </w:t>
      </w:r>
    </w:p>
    <w:p w14:paraId="2172FA00">
      <w:pPr>
        <w:keepNext w:val="0"/>
        <w:keepLines w:val="0"/>
        <w:pageBreakBefore w:val="0"/>
        <w:kinsoku/>
        <w:wordWrap/>
        <w:overflowPunct/>
        <w:topLinePunct w:val="0"/>
        <w:autoSpaceDE/>
        <w:autoSpaceDN/>
        <w:bidi w:val="0"/>
        <w:adjustRightInd w:val="0"/>
        <w:spacing w:beforeAutospacing="0" w:afterAutospacing="0" w:line="480" w:lineRule="exact"/>
        <w:ind w:right="0" w:firstLine="535" w:firstLineChars="223"/>
        <w:textAlignment w:val="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val="en-US" w:eastAsia="zh-CN"/>
        </w:rPr>
        <w:t>3.</w:t>
      </w:r>
      <w:r>
        <w:rPr>
          <w:rFonts w:hint="eastAsia" w:ascii="宋体" w:hAnsi="宋体" w:cs="宋体"/>
          <w:b w:val="0"/>
          <w:bCs/>
          <w:color w:val="auto"/>
          <w:sz w:val="24"/>
          <w:highlight w:val="none"/>
          <w:lang w:eastAsia="zh-CN"/>
        </w:rPr>
        <w:t>具有履行合同所必需的设备和专业技术能力；</w:t>
      </w:r>
    </w:p>
    <w:p w14:paraId="65E7F60C">
      <w:pPr>
        <w:keepNext w:val="0"/>
        <w:keepLines w:val="0"/>
        <w:pageBreakBefore w:val="0"/>
        <w:kinsoku/>
        <w:wordWrap/>
        <w:overflowPunct/>
        <w:topLinePunct w:val="0"/>
        <w:autoSpaceDE/>
        <w:autoSpaceDN/>
        <w:bidi w:val="0"/>
        <w:adjustRightInd w:val="0"/>
        <w:spacing w:beforeAutospacing="0" w:afterAutospacing="0" w:line="480" w:lineRule="exact"/>
        <w:ind w:right="0" w:firstLine="535" w:firstLineChars="223"/>
        <w:textAlignment w:val="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val="en-US" w:eastAsia="zh-CN"/>
        </w:rPr>
        <w:t>4.</w:t>
      </w:r>
      <w:r>
        <w:rPr>
          <w:rFonts w:hint="eastAsia" w:ascii="宋体" w:hAnsi="宋体" w:cs="宋体"/>
          <w:b w:val="0"/>
          <w:bCs/>
          <w:color w:val="auto"/>
          <w:sz w:val="24"/>
          <w:highlight w:val="none"/>
          <w:lang w:eastAsia="zh-CN"/>
        </w:rPr>
        <w:t>有依法缴纳税收和社会保障资金的良好记录；</w:t>
      </w:r>
    </w:p>
    <w:p w14:paraId="56C39D92">
      <w:pPr>
        <w:keepNext w:val="0"/>
        <w:keepLines w:val="0"/>
        <w:pageBreakBefore w:val="0"/>
        <w:kinsoku/>
        <w:wordWrap/>
        <w:overflowPunct/>
        <w:topLinePunct w:val="0"/>
        <w:autoSpaceDE/>
        <w:autoSpaceDN/>
        <w:bidi w:val="0"/>
        <w:adjustRightInd w:val="0"/>
        <w:spacing w:beforeAutospacing="0" w:afterAutospacing="0" w:line="480" w:lineRule="exact"/>
        <w:ind w:right="0" w:firstLine="535" w:firstLineChars="223"/>
        <w:textAlignment w:val="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5.参加采购活动前三年内，在经营活动中没有重大违法记录；</w:t>
      </w:r>
    </w:p>
    <w:p w14:paraId="61911C89">
      <w:pPr>
        <w:keepNext w:val="0"/>
        <w:keepLines w:val="0"/>
        <w:pageBreakBefore w:val="0"/>
        <w:kinsoku/>
        <w:wordWrap/>
        <w:overflowPunct/>
        <w:topLinePunct w:val="0"/>
        <w:autoSpaceDE/>
        <w:autoSpaceDN/>
        <w:bidi w:val="0"/>
        <w:adjustRightInd w:val="0"/>
        <w:spacing w:beforeAutospacing="0" w:afterAutospacing="0" w:line="480" w:lineRule="exact"/>
        <w:ind w:right="0" w:firstLine="535" w:firstLineChars="223"/>
        <w:textAlignment w:val="auto"/>
        <w:rPr>
          <w:rFonts w:hint="eastAsia" w:ascii="宋体" w:hAnsi="宋体" w:cs="宋体"/>
          <w:b w:val="0"/>
          <w:bCs/>
          <w:color w:val="auto"/>
          <w:sz w:val="24"/>
          <w:highlight w:val="none"/>
          <w:lang w:eastAsia="zh-CN"/>
        </w:rPr>
      </w:pPr>
      <w:r>
        <w:rPr>
          <w:rFonts w:hint="eastAsia" w:ascii="宋体" w:hAnsi="宋体" w:cs="宋体"/>
          <w:b w:val="0"/>
          <w:bCs/>
          <w:color w:val="auto"/>
          <w:sz w:val="24"/>
          <w:highlight w:val="none"/>
          <w:lang w:eastAsia="zh-CN"/>
        </w:rPr>
        <w:t>6.具有法律、行政法规规定的其他条件。</w:t>
      </w:r>
    </w:p>
    <w:p w14:paraId="3B3E15A9">
      <w:pPr>
        <w:keepNext w:val="0"/>
        <w:keepLines w:val="0"/>
        <w:pageBreakBefore w:val="0"/>
        <w:kinsoku/>
        <w:wordWrap/>
        <w:overflowPunct/>
        <w:topLinePunct w:val="0"/>
        <w:autoSpaceDE/>
        <w:autoSpaceDN/>
        <w:bidi w:val="0"/>
        <w:adjustRightInd w:val="0"/>
        <w:spacing w:beforeAutospacing="0" w:afterAutospacing="0" w:line="480" w:lineRule="exact"/>
        <w:ind w:right="0" w:firstLine="535" w:firstLineChars="223"/>
        <w:textAlignment w:val="auto"/>
        <w:rPr>
          <w:rFonts w:hint="eastAsia" w:ascii="宋体" w:hAnsi="宋体" w:eastAsia="宋体" w:cs="宋体"/>
          <w:snapToGrid w:val="0"/>
          <w:color w:val="auto"/>
          <w:kern w:val="28"/>
          <w:sz w:val="24"/>
          <w:szCs w:val="20"/>
          <w:highlight w:val="none"/>
        </w:rPr>
      </w:pPr>
      <w:r>
        <w:rPr>
          <w:rFonts w:hint="eastAsia" w:ascii="宋体" w:hAnsi="宋体" w:cs="宋体"/>
          <w:snapToGrid w:val="0"/>
          <w:color w:val="auto"/>
          <w:kern w:val="28"/>
          <w:sz w:val="24"/>
          <w:szCs w:val="20"/>
          <w:highlight w:val="none"/>
          <w:lang w:val="en-US" w:eastAsia="zh-CN"/>
        </w:rPr>
        <w:t>（二）</w:t>
      </w:r>
      <w:r>
        <w:rPr>
          <w:rFonts w:hint="eastAsia" w:ascii="宋体" w:hAnsi="宋体" w:eastAsia="宋体" w:cs="宋体"/>
          <w:snapToGrid w:val="0"/>
          <w:color w:val="auto"/>
          <w:kern w:val="28"/>
          <w:sz w:val="24"/>
          <w:szCs w:val="20"/>
          <w:highlight w:val="none"/>
        </w:rPr>
        <w:t>未被“信用中国”（www.creditchina.gov.cn</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、中国政府采购网（www.ccgp.gov.cn）列入失信被执行人、</w:t>
      </w:r>
      <w:r>
        <w:rPr>
          <w:rFonts w:hint="eastAsia" w:ascii="宋体" w:hAnsi="宋体" w:eastAsia="宋体" w:cs="宋体"/>
          <w:snapToGrid w:val="0"/>
          <w:color w:val="auto"/>
          <w:kern w:val="28"/>
          <w:sz w:val="24"/>
          <w:szCs w:val="20"/>
          <w:highlight w:val="none"/>
          <w:lang w:eastAsia="zh-CN"/>
        </w:rPr>
        <w:t>重大税收违法失信主体</w:t>
      </w:r>
      <w:r>
        <w:rPr>
          <w:rFonts w:hint="eastAsia" w:ascii="宋体" w:hAnsi="宋体" w:eastAsia="宋体" w:cs="宋体"/>
          <w:snapToGrid w:val="0"/>
          <w:color w:val="auto"/>
          <w:kern w:val="28"/>
          <w:sz w:val="24"/>
          <w:szCs w:val="20"/>
          <w:highlight w:val="none"/>
        </w:rPr>
        <w:t>、政府采购严重违法失信行为记录名单；</w:t>
      </w:r>
    </w:p>
    <w:p w14:paraId="7E1D4D0C">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snapToGrid w:val="0"/>
          <w:color w:val="auto"/>
          <w:kern w:val="28"/>
          <w:sz w:val="24"/>
          <w:szCs w:val="20"/>
          <w:highlight w:val="none"/>
        </w:rPr>
      </w:pPr>
    </w:p>
    <w:p w14:paraId="4A34E1E8">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以联合体形式投标的，提供联合协议(本项目不接受联合体投标或者投标人不以联合体形式投标的，则不需要提供</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 xml:space="preserve"> ；</w:t>
      </w:r>
    </w:p>
    <w:p w14:paraId="68296D85">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（四）</w:t>
      </w:r>
      <w:r>
        <w:rPr>
          <w:rFonts w:hint="eastAsia" w:ascii="宋体" w:hAnsi="宋体" w:eastAsia="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34F5188A">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单位负责人为同一人或者存在直接控股、管理关系的不同供应商，不得参加同一合同项下的</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活动；为采购项目提供整体设计、规范编制或者项目管理、监理、检测等服务后不得再参加该采购项目的其他采购活动。</w:t>
      </w:r>
    </w:p>
    <w:p w14:paraId="5CE84E3B">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783DDED6">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1.</w:t>
      </w: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u w:val="single"/>
          <w:lang w:eastAsia="zh-CN"/>
        </w:rPr>
        <w:t>自公告发布之日起</w:t>
      </w:r>
      <w:r>
        <w:rPr>
          <w:rFonts w:hint="eastAsia" w:ascii="宋体" w:hAnsi="宋体" w:eastAsia="宋体" w:cs="宋体"/>
          <w:color w:val="auto"/>
          <w:sz w:val="24"/>
          <w:highlight w:val="none"/>
          <w:u w:val="single"/>
        </w:rPr>
        <w:t>至</w:t>
      </w:r>
      <w:r>
        <w:rPr>
          <w:rFonts w:hint="default"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2025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3</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default" w:ascii="宋体" w:hAnsi="宋体" w:cs="宋体"/>
          <w:color w:val="auto"/>
          <w:sz w:val="24"/>
          <w:highlight w:val="none"/>
          <w:u w:val="single"/>
        </w:rPr>
        <w:t xml:space="preserve">时 </w:t>
      </w:r>
      <w:r>
        <w:rPr>
          <w:rFonts w:hint="eastAsia" w:ascii="宋体" w:hAnsi="宋体" w:cs="宋体"/>
          <w:color w:val="auto"/>
          <w:sz w:val="24"/>
          <w:highlight w:val="none"/>
          <w:u w:val="single"/>
          <w:lang w:val="en-US" w:eastAsia="zh-CN"/>
        </w:rPr>
        <w:t>00</w:t>
      </w:r>
      <w:r>
        <w:rPr>
          <w:rFonts w:hint="default" w:ascii="宋体" w:hAnsi="宋体" w:cs="宋体"/>
          <w:color w:val="auto"/>
          <w:sz w:val="24"/>
          <w:highlight w:val="none"/>
          <w:u w:val="single"/>
        </w:rPr>
        <w:t>分</w:t>
      </w:r>
      <w:r>
        <w:rPr>
          <w:rFonts w:hint="eastAsia" w:ascii="宋体" w:hAnsi="宋体" w:eastAsia="宋体" w:cs="宋体"/>
          <w:color w:val="auto"/>
          <w:sz w:val="24"/>
          <w:highlight w:val="none"/>
        </w:rPr>
        <w:t>（北京时间）</w:t>
      </w:r>
      <w:r>
        <w:rPr>
          <w:rFonts w:hint="default" w:ascii="宋体" w:hAnsi="宋体" w:cs="宋体"/>
          <w:color w:val="auto"/>
          <w:sz w:val="24"/>
          <w:highlight w:val="none"/>
        </w:rPr>
        <w:t>，</w:t>
      </w:r>
      <w:r>
        <w:rPr>
          <w:rFonts w:hint="eastAsia" w:ascii="宋体" w:hAnsi="宋体" w:eastAsia="宋体" w:cs="宋体"/>
          <w:color w:val="auto"/>
          <w:sz w:val="24"/>
          <w:highlight w:val="none"/>
        </w:rPr>
        <w:t>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4C9FF6F8">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2.</w:t>
      </w:r>
      <w:r>
        <w:rPr>
          <w:rFonts w:hint="eastAsia" w:ascii="宋体" w:hAnsi="宋体" w:eastAsia="宋体" w:cs="宋体"/>
          <w:b/>
          <w:color w:val="auto"/>
          <w:sz w:val="24"/>
          <w:highlight w:val="none"/>
        </w:rPr>
        <w:t>地点（网址）：</w:t>
      </w:r>
      <w:r>
        <w:rPr>
          <w:rFonts w:hint="eastAsia" w:ascii="宋体" w:hAnsi="宋体" w:cs="宋体"/>
          <w:color w:val="auto"/>
          <w:sz w:val="24"/>
          <w:highlight w:val="none"/>
          <w:lang w:eastAsia="zh-CN"/>
        </w:rPr>
        <w:t>乐采云平台（https://www.lecaiyun.com/）</w:t>
      </w:r>
      <w:r>
        <w:rPr>
          <w:rFonts w:hint="eastAsia" w:ascii="宋体" w:hAnsi="宋体" w:eastAsia="宋体" w:cs="宋体"/>
          <w:color w:val="auto"/>
          <w:sz w:val="24"/>
          <w:highlight w:val="none"/>
        </w:rPr>
        <w:t xml:space="preserve"> </w:t>
      </w:r>
    </w:p>
    <w:p w14:paraId="2181B715">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3.</w:t>
      </w: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线上获取（供应商</w:t>
      </w:r>
      <w:r>
        <w:rPr>
          <w:rFonts w:hint="eastAsia" w:ascii="宋体" w:hAnsi="宋体" w:eastAsia="宋体" w:cs="宋体"/>
          <w:color w:val="auto"/>
          <w:sz w:val="24"/>
          <w:highlight w:val="none"/>
          <w:lang w:val="en-US" w:eastAsia="zh-CN"/>
        </w:rPr>
        <w:t>注册成为乐采云平台供应商后，</w:t>
      </w:r>
      <w:r>
        <w:rPr>
          <w:rFonts w:hint="eastAsia" w:ascii="宋体" w:hAnsi="宋体" w:cs="宋体"/>
          <w:color w:val="auto"/>
          <w:sz w:val="24"/>
          <w:highlight w:val="none"/>
          <w:lang w:val="en-US" w:eastAsia="zh-CN"/>
        </w:rPr>
        <w:t>进入“项目采购”应用，在获取采购文件菜单中选择项目，申请获取采购文件。</w:t>
      </w:r>
      <w:r>
        <w:rPr>
          <w:rFonts w:hint="eastAsia" w:ascii="宋体" w:hAnsi="宋体" w:eastAsia="宋体" w:cs="宋体"/>
          <w:color w:val="auto"/>
          <w:sz w:val="24"/>
          <w:highlight w:val="none"/>
          <w:lang w:val="en-US" w:eastAsia="zh-CN"/>
        </w:rPr>
        <w:t>）。</w:t>
      </w:r>
      <w:r>
        <w:rPr>
          <w:rFonts w:hint="eastAsia" w:ascii="宋体" w:hAnsi="宋体" w:eastAsia="宋体" w:cs="宋体"/>
          <w:color w:val="auto"/>
          <w:sz w:val="24"/>
          <w:highlight w:val="none"/>
        </w:rPr>
        <w:t xml:space="preserve"> </w:t>
      </w:r>
    </w:p>
    <w:p w14:paraId="50E5669D">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color w:val="auto"/>
          <w:sz w:val="24"/>
          <w:highlight w:val="none"/>
        </w:rPr>
      </w:pPr>
      <w:r>
        <w:rPr>
          <w:rFonts w:hint="eastAsia" w:ascii="宋体" w:hAnsi="宋体" w:cs="宋体"/>
          <w:b/>
          <w:color w:val="auto"/>
          <w:sz w:val="24"/>
          <w:highlight w:val="none"/>
          <w:lang w:val="en-US" w:eastAsia="zh-CN"/>
        </w:rPr>
        <w:t>4.</w:t>
      </w:r>
      <w:r>
        <w:rPr>
          <w:rFonts w:hint="eastAsia" w:ascii="宋体" w:hAnsi="宋体" w:eastAsia="宋体" w:cs="宋体"/>
          <w:b/>
          <w:color w:val="auto"/>
          <w:sz w:val="24"/>
          <w:highlight w:val="none"/>
        </w:rPr>
        <w:t>售价（元）：</w:t>
      </w:r>
      <w:r>
        <w:rPr>
          <w:rFonts w:hint="eastAsia" w:ascii="宋体" w:hAnsi="宋体" w:cs="宋体"/>
          <w:color w:val="auto"/>
          <w:sz w:val="24"/>
          <w:highlight w:val="none"/>
          <w:lang w:val="en-US" w:eastAsia="zh-CN"/>
        </w:rPr>
        <w:t>免费。</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rPr>
        <w:tab/>
      </w:r>
    </w:p>
    <w:p w14:paraId="7A7A6850">
      <w:pPr>
        <w:keepNext w:val="0"/>
        <w:keepLines w:val="0"/>
        <w:pageBreakBefore w:val="0"/>
        <w:kinsoku/>
        <w:wordWrap/>
        <w:overflowPunct/>
        <w:topLinePunct w:val="0"/>
        <w:autoSpaceDE/>
        <w:autoSpaceDN/>
        <w:bidi w:val="0"/>
        <w:adjustRightInd w:val="0"/>
        <w:spacing w:line="480" w:lineRule="exact"/>
        <w:ind w:firstLine="482" w:firstLineChars="200"/>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四</w:t>
      </w:r>
      <w:r>
        <w:rPr>
          <w:rFonts w:hint="eastAsia" w:ascii="宋体" w:hAnsi="宋体" w:eastAsia="宋体" w:cs="宋体"/>
          <w:b/>
          <w:color w:val="auto"/>
          <w:sz w:val="24"/>
          <w:highlight w:val="none"/>
          <w:lang w:val="en-US" w:eastAsia="zh-CN"/>
        </w:rPr>
        <w:t>.</w:t>
      </w:r>
      <w:r>
        <w:rPr>
          <w:rFonts w:hint="eastAsia" w:ascii="宋体" w:hAnsi="宋体" w:eastAsia="宋体" w:cs="宋体"/>
          <w:b/>
          <w:color w:val="auto"/>
          <w:sz w:val="24"/>
          <w:highlight w:val="none"/>
        </w:rPr>
        <w:t>提示：</w:t>
      </w:r>
    </w:p>
    <w:p w14:paraId="28608D7E">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（1）采购人、采购代理机构依托</w:t>
      </w:r>
      <w:r>
        <w:rPr>
          <w:rFonts w:hint="eastAsia" w:ascii="宋体" w:hAnsi="宋体" w:eastAsia="宋体" w:cs="宋体"/>
          <w:color w:val="auto"/>
          <w:sz w:val="24"/>
          <w:highlight w:val="none"/>
          <w:lang w:val="en-US" w:eastAsia="zh-CN"/>
        </w:rPr>
        <w:t>乐采云平台</w:t>
      </w:r>
      <w:r>
        <w:rPr>
          <w:rFonts w:hint="eastAsia" w:ascii="宋体" w:hAnsi="宋体" w:eastAsia="宋体" w:cs="宋体"/>
          <w:color w:val="auto"/>
          <w:sz w:val="24"/>
          <w:highlight w:val="none"/>
        </w:rPr>
        <w:t>完成本项目的电子交易活动，平台不接受未按上述方式获取采购文件的供应商进行投标活动；</w:t>
      </w:r>
    </w:p>
    <w:p w14:paraId="75586DC3">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（2）对未按上述方式获取采购文件的供应商对该文件提出的质疑，采购人或采购代理机构将不予处理；</w:t>
      </w:r>
    </w:p>
    <w:p w14:paraId="790A80C9">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（3）采购人或者采购代理机构对已发出的采购文件等进行必要的澄清或者修改的，采购人或者采购代理机构将无法通过</w:t>
      </w:r>
      <w:r>
        <w:rPr>
          <w:rFonts w:hint="eastAsia" w:ascii="宋体" w:hAnsi="宋体" w:eastAsia="宋体" w:cs="宋体"/>
          <w:color w:val="auto"/>
          <w:sz w:val="24"/>
          <w:highlight w:val="none"/>
          <w:lang w:val="en-US" w:eastAsia="zh-CN"/>
        </w:rPr>
        <w:t>乐采云平台</w:t>
      </w:r>
      <w:r>
        <w:rPr>
          <w:rFonts w:hint="eastAsia" w:ascii="宋体" w:hAnsi="宋体" w:eastAsia="宋体" w:cs="宋体"/>
          <w:color w:val="auto"/>
          <w:sz w:val="24"/>
          <w:highlight w:val="none"/>
        </w:rPr>
        <w:t>通知未按上述方式获取采购文件的供应商；</w:t>
      </w:r>
    </w:p>
    <w:p w14:paraId="39D05563">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（4）供应商只有在“</w:t>
      </w:r>
      <w:r>
        <w:rPr>
          <w:rFonts w:hint="eastAsia" w:ascii="宋体" w:hAnsi="宋体" w:eastAsia="宋体" w:cs="宋体"/>
          <w:color w:val="auto"/>
          <w:sz w:val="24"/>
          <w:highlight w:val="none"/>
          <w:lang w:val="en-US" w:eastAsia="zh-CN"/>
        </w:rPr>
        <w:t>乐采云平台</w:t>
      </w:r>
      <w:r>
        <w:rPr>
          <w:rFonts w:hint="eastAsia" w:ascii="宋体" w:hAnsi="宋体" w:eastAsia="宋体" w:cs="宋体"/>
          <w:color w:val="auto"/>
          <w:sz w:val="24"/>
          <w:highlight w:val="none"/>
        </w:rPr>
        <w:t>”完成获取采购文件申请并下载了采购文件后才被视为合法获取了采购文件，否则投标将被拒绝。（供应商获取采购文件时间以供应商完成获取采购文件申请后下载采购文件的时间为准）。</w:t>
      </w:r>
    </w:p>
    <w:p w14:paraId="05BE373C">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注：请供应商按上述要求获取采购文件，如未在“</w:t>
      </w:r>
      <w:r>
        <w:rPr>
          <w:rFonts w:hint="eastAsia" w:ascii="宋体" w:hAnsi="宋体" w:eastAsia="宋体" w:cs="宋体"/>
          <w:color w:val="auto"/>
          <w:sz w:val="24"/>
          <w:highlight w:val="none"/>
          <w:lang w:val="en-US" w:eastAsia="zh-CN"/>
        </w:rPr>
        <w:t>乐采云</w:t>
      </w:r>
      <w:r>
        <w:rPr>
          <w:rFonts w:hint="eastAsia" w:ascii="宋体" w:hAnsi="宋体" w:eastAsia="宋体" w:cs="宋体"/>
          <w:color w:val="auto"/>
          <w:sz w:val="24"/>
          <w:highlight w:val="none"/>
        </w:rPr>
        <w:t>”系统内完成相关流程，引起的投标无效责任自负。</w:t>
      </w:r>
    </w:p>
    <w:p w14:paraId="4CAE9C5D">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（5）不提供采购文件纸质版；</w:t>
      </w:r>
    </w:p>
    <w:p w14:paraId="6F7A3E2E">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仿宋_GB2312" w:hAnsi="仿宋_GB2312" w:eastAsia="仿宋_GB2312" w:cs="仿宋_GB2312"/>
          <w:color w:val="000000"/>
          <w:sz w:val="28"/>
          <w:szCs w:val="28"/>
          <w:highlight w:val="none"/>
        </w:rPr>
      </w:pPr>
      <w:r>
        <w:rPr>
          <w:rFonts w:hint="eastAsia" w:ascii="宋体" w:hAnsi="宋体" w:eastAsia="宋体" w:cs="宋体"/>
          <w:color w:val="auto"/>
          <w:sz w:val="24"/>
          <w:highlight w:val="none"/>
        </w:rPr>
        <w:t>（6）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7E5AB765">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五</w:t>
      </w:r>
      <w:r>
        <w:rPr>
          <w:rFonts w:hint="eastAsia" w:ascii="宋体" w:hAnsi="宋体" w:eastAsia="宋体" w:cs="宋体"/>
          <w:b/>
          <w:color w:val="auto"/>
          <w:sz w:val="24"/>
          <w:highlight w:val="none"/>
          <w:lang w:eastAsia="zh-CN"/>
        </w:rPr>
        <w:t>、</w:t>
      </w:r>
      <w:r>
        <w:rPr>
          <w:rFonts w:hint="eastAsia" w:ascii="宋体" w:hAnsi="宋体" w:cs="宋体"/>
          <w:b/>
          <w:color w:val="auto"/>
          <w:sz w:val="24"/>
          <w:highlight w:val="none"/>
          <w:lang w:val="en-US" w:eastAsia="zh-CN"/>
        </w:rPr>
        <w:t>响应文件提交（上传）</w:t>
      </w:r>
      <w:r>
        <w:rPr>
          <w:rFonts w:hint="eastAsia" w:ascii="宋体" w:hAnsi="宋体" w:eastAsia="宋体" w:cs="宋体"/>
          <w:b/>
          <w:color w:val="auto"/>
          <w:sz w:val="24"/>
          <w:highlight w:val="none"/>
          <w:lang w:eastAsia="zh-CN"/>
        </w:rPr>
        <w:t>：</w:t>
      </w:r>
    </w:p>
    <w:p w14:paraId="5489037D">
      <w:pPr>
        <w:pStyle w:val="5"/>
        <w:keepNext w:val="0"/>
        <w:keepLines w:val="0"/>
        <w:pageBreakBefore w:val="0"/>
        <w:kinsoku/>
        <w:wordWrap/>
        <w:overflowPunct/>
        <w:topLinePunct w:val="0"/>
        <w:autoSpaceDE/>
        <w:autoSpaceDN/>
        <w:bidi w:val="0"/>
        <w:adjustRightInd w:val="0"/>
        <w:spacing w:before="158" w:line="48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1.截止时间： 2025年3月28日09时 00分（北京时间）；</w:t>
      </w:r>
    </w:p>
    <w:p w14:paraId="43B828B2">
      <w:pPr>
        <w:pStyle w:val="5"/>
        <w:keepNext w:val="0"/>
        <w:keepLines w:val="0"/>
        <w:pageBreakBefore w:val="0"/>
        <w:kinsoku/>
        <w:wordWrap/>
        <w:overflowPunct/>
        <w:topLinePunct w:val="0"/>
        <w:autoSpaceDE/>
        <w:autoSpaceDN/>
        <w:bidi w:val="0"/>
        <w:adjustRightInd w:val="0"/>
        <w:spacing w:before="158" w:line="48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1F89D0C0">
      <w:pPr>
        <w:pStyle w:val="5"/>
        <w:keepNext w:val="0"/>
        <w:keepLines w:val="0"/>
        <w:pageBreakBefore w:val="0"/>
        <w:kinsoku/>
        <w:wordWrap/>
        <w:overflowPunct/>
        <w:topLinePunct w:val="0"/>
        <w:autoSpaceDE/>
        <w:autoSpaceDN/>
        <w:bidi w:val="0"/>
        <w:adjustRightInd w:val="0"/>
        <w:spacing w:before="158" w:line="48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3.投标地点（网址）：本项目采用全流程电子化交易，无须参加现场开标会 （</w:t>
      </w:r>
      <w:r>
        <w:rPr>
          <w:rFonts w:hint="eastAsia" w:ascii="宋体" w:hAnsi="宋体" w:eastAsia="宋体" w:cs="宋体"/>
          <w:snapToGrid/>
          <w:color w:val="auto"/>
          <w:kern w:val="2"/>
          <w:sz w:val="24"/>
          <w:szCs w:val="24"/>
          <w:highlight w:val="none"/>
          <w:lang w:val="en-US" w:eastAsia="zh-CN" w:bidi="ar-SA"/>
        </w:rPr>
        <w:fldChar w:fldCharType="begin"/>
      </w:r>
      <w:r>
        <w:rPr>
          <w:rFonts w:hint="eastAsia" w:ascii="宋体" w:hAnsi="宋体" w:eastAsia="宋体" w:cs="宋体"/>
          <w:snapToGrid/>
          <w:color w:val="auto"/>
          <w:kern w:val="2"/>
          <w:sz w:val="24"/>
          <w:szCs w:val="24"/>
          <w:highlight w:val="none"/>
          <w:lang w:val="en-US" w:eastAsia="zh-CN" w:bidi="ar-SA"/>
        </w:rPr>
        <w:instrText xml:space="preserve"> HYPERLINK "采购文件（7.9新版本）.doc" </w:instrText>
      </w:r>
      <w:r>
        <w:rPr>
          <w:rFonts w:hint="eastAsia" w:ascii="宋体" w:hAnsi="宋体" w:eastAsia="宋体" w:cs="宋体"/>
          <w:snapToGrid/>
          <w:color w:val="auto"/>
          <w:kern w:val="2"/>
          <w:sz w:val="24"/>
          <w:szCs w:val="24"/>
          <w:highlight w:val="none"/>
          <w:lang w:val="en-US" w:eastAsia="zh-CN" w:bidi="ar-SA"/>
        </w:rPr>
        <w:fldChar w:fldCharType="separate"/>
      </w:r>
      <w:r>
        <w:rPr>
          <w:rFonts w:hint="eastAsia" w:ascii="宋体" w:hAnsi="宋体" w:eastAsia="宋体" w:cs="宋体"/>
          <w:snapToGrid/>
          <w:color w:val="auto"/>
          <w:kern w:val="2"/>
          <w:sz w:val="24"/>
          <w:szCs w:val="24"/>
          <w:highlight w:val="none"/>
          <w:lang w:val="en-US" w:eastAsia="zh-CN" w:bidi="ar-SA"/>
        </w:rPr>
        <w:t>https://www.lecaiyun.com/</w:t>
      </w:r>
      <w:r>
        <w:rPr>
          <w:rFonts w:hint="eastAsia" w:ascii="宋体" w:hAnsi="宋体" w:eastAsia="宋体" w:cs="宋体"/>
          <w:snapToGrid/>
          <w:color w:val="auto"/>
          <w:kern w:val="2"/>
          <w:sz w:val="24"/>
          <w:szCs w:val="24"/>
          <w:highlight w:val="none"/>
          <w:lang w:val="en-US" w:eastAsia="zh-CN" w:bidi="ar-SA"/>
        </w:rPr>
        <w:fldChar w:fldCharType="end"/>
      </w:r>
      <w:r>
        <w:rPr>
          <w:rFonts w:hint="eastAsia" w:ascii="宋体" w:hAnsi="宋体" w:eastAsia="宋体" w:cs="宋体"/>
          <w:snapToGrid/>
          <w:color w:val="auto"/>
          <w:kern w:val="2"/>
          <w:sz w:val="24"/>
          <w:szCs w:val="24"/>
          <w:highlight w:val="none"/>
          <w:lang w:val="en-US" w:eastAsia="zh-CN" w:bidi="ar-SA"/>
        </w:rPr>
        <w:t>）。</w:t>
      </w:r>
    </w:p>
    <w:p w14:paraId="3E55A038">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六</w:t>
      </w:r>
      <w:r>
        <w:rPr>
          <w:rFonts w:hint="eastAsia" w:ascii="宋体" w:hAnsi="宋体" w:eastAsia="宋体" w:cs="宋体"/>
          <w:b/>
          <w:color w:val="auto"/>
          <w:sz w:val="24"/>
          <w:highlight w:val="none"/>
          <w:lang w:eastAsia="zh-CN"/>
        </w:rPr>
        <w:t>、</w:t>
      </w:r>
      <w:r>
        <w:rPr>
          <w:rFonts w:hint="eastAsia" w:ascii="宋体" w:hAnsi="宋体" w:cs="宋体"/>
          <w:b/>
          <w:color w:val="auto"/>
          <w:sz w:val="24"/>
          <w:highlight w:val="none"/>
          <w:lang w:val="en-US" w:eastAsia="zh-CN"/>
        </w:rPr>
        <w:t>响应文件开启</w:t>
      </w:r>
      <w:r>
        <w:rPr>
          <w:rFonts w:hint="eastAsia" w:ascii="宋体" w:hAnsi="宋体" w:eastAsia="宋体" w:cs="宋体"/>
          <w:b/>
          <w:color w:val="auto"/>
          <w:sz w:val="24"/>
          <w:highlight w:val="none"/>
          <w:lang w:eastAsia="zh-CN"/>
        </w:rPr>
        <w:t>：</w:t>
      </w:r>
    </w:p>
    <w:p w14:paraId="18405B1A">
      <w:pPr>
        <w:pStyle w:val="5"/>
        <w:keepNext w:val="0"/>
        <w:keepLines w:val="0"/>
        <w:pageBreakBefore w:val="0"/>
        <w:kinsoku/>
        <w:wordWrap/>
        <w:overflowPunct/>
        <w:topLinePunct w:val="0"/>
        <w:autoSpaceDE/>
        <w:autoSpaceDN/>
        <w:bidi w:val="0"/>
        <w:adjustRightInd w:val="0"/>
        <w:spacing w:before="158" w:line="48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1.开标时间：2025年3月28日09时 00分（北京时间）；</w:t>
      </w:r>
    </w:p>
    <w:p w14:paraId="3ED12BDA">
      <w:pPr>
        <w:pStyle w:val="5"/>
        <w:keepNext w:val="0"/>
        <w:keepLines w:val="0"/>
        <w:pageBreakBefore w:val="0"/>
        <w:kinsoku/>
        <w:wordWrap/>
        <w:overflowPunct/>
        <w:topLinePunct w:val="0"/>
        <w:autoSpaceDE/>
        <w:autoSpaceDN/>
        <w:bidi w:val="0"/>
        <w:adjustRightInd w:val="0"/>
        <w:spacing w:before="158" w:line="480" w:lineRule="exact"/>
        <w:ind w:firstLine="434" w:firstLineChars="181"/>
        <w:textAlignment w:val="auto"/>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2.开标地点（网址）：</w:t>
      </w:r>
      <w:r>
        <w:rPr>
          <w:rFonts w:hint="eastAsia" w:ascii="宋体" w:hAnsi="宋体" w:cs="宋体"/>
          <w:color w:val="auto"/>
          <w:sz w:val="24"/>
          <w:highlight w:val="none"/>
          <w:lang w:eastAsia="zh-CN"/>
        </w:rPr>
        <w:t>乐采云平台</w:t>
      </w:r>
      <w:r>
        <w:rPr>
          <w:rFonts w:hint="eastAsia" w:ascii="宋体" w:hAnsi="宋体" w:eastAsia="宋体" w:cs="宋体"/>
          <w:snapToGrid/>
          <w:color w:val="auto"/>
          <w:kern w:val="2"/>
          <w:sz w:val="24"/>
          <w:szCs w:val="24"/>
          <w:highlight w:val="none"/>
          <w:lang w:val="en-US" w:eastAsia="zh-CN" w:bidi="ar-SA"/>
        </w:rPr>
        <w:t>（</w:t>
      </w:r>
      <w:r>
        <w:rPr>
          <w:rFonts w:hint="eastAsia" w:ascii="宋体" w:hAnsi="宋体" w:eastAsia="宋体" w:cs="宋体"/>
          <w:snapToGrid/>
          <w:color w:val="auto"/>
          <w:kern w:val="2"/>
          <w:sz w:val="24"/>
          <w:szCs w:val="24"/>
          <w:highlight w:val="none"/>
          <w:lang w:val="en-US" w:eastAsia="zh-CN" w:bidi="ar-SA"/>
        </w:rPr>
        <w:fldChar w:fldCharType="begin"/>
      </w:r>
      <w:r>
        <w:rPr>
          <w:rFonts w:hint="eastAsia" w:ascii="宋体" w:hAnsi="宋体" w:eastAsia="宋体" w:cs="宋体"/>
          <w:snapToGrid/>
          <w:color w:val="auto"/>
          <w:kern w:val="2"/>
          <w:sz w:val="24"/>
          <w:szCs w:val="24"/>
          <w:highlight w:val="none"/>
          <w:lang w:val="en-US" w:eastAsia="zh-CN" w:bidi="ar-SA"/>
        </w:rPr>
        <w:instrText xml:space="preserve"> HYPERLINK "采购文件（7.9新版本）.doc" </w:instrText>
      </w:r>
      <w:r>
        <w:rPr>
          <w:rFonts w:hint="eastAsia" w:ascii="宋体" w:hAnsi="宋体" w:eastAsia="宋体" w:cs="宋体"/>
          <w:snapToGrid/>
          <w:color w:val="auto"/>
          <w:kern w:val="2"/>
          <w:sz w:val="24"/>
          <w:szCs w:val="24"/>
          <w:highlight w:val="none"/>
          <w:lang w:val="en-US" w:eastAsia="zh-CN" w:bidi="ar-SA"/>
        </w:rPr>
        <w:fldChar w:fldCharType="separate"/>
      </w:r>
      <w:r>
        <w:rPr>
          <w:rFonts w:hint="eastAsia" w:ascii="宋体" w:hAnsi="宋体" w:eastAsia="宋体" w:cs="宋体"/>
          <w:snapToGrid/>
          <w:color w:val="auto"/>
          <w:kern w:val="2"/>
          <w:sz w:val="24"/>
          <w:szCs w:val="24"/>
          <w:highlight w:val="none"/>
          <w:lang w:val="en-US" w:eastAsia="zh-CN" w:bidi="ar-SA"/>
        </w:rPr>
        <w:t>https://www.lecaiyun.com/</w:t>
      </w:r>
      <w:r>
        <w:rPr>
          <w:rFonts w:hint="eastAsia" w:ascii="宋体" w:hAnsi="宋体" w:eastAsia="宋体" w:cs="宋体"/>
          <w:snapToGrid/>
          <w:color w:val="auto"/>
          <w:kern w:val="2"/>
          <w:sz w:val="24"/>
          <w:szCs w:val="24"/>
          <w:highlight w:val="none"/>
          <w:lang w:val="en-US" w:eastAsia="zh-CN" w:bidi="ar-SA"/>
        </w:rPr>
        <w:fldChar w:fldCharType="end"/>
      </w:r>
      <w:r>
        <w:rPr>
          <w:rFonts w:hint="eastAsia" w:ascii="宋体" w:hAnsi="宋体" w:eastAsia="宋体" w:cs="宋体"/>
          <w:snapToGrid/>
          <w:color w:val="auto"/>
          <w:kern w:val="2"/>
          <w:sz w:val="24"/>
          <w:szCs w:val="24"/>
          <w:highlight w:val="none"/>
          <w:lang w:val="en-US" w:eastAsia="zh-CN" w:bidi="ar-SA"/>
        </w:rPr>
        <w:t>）</w:t>
      </w:r>
    </w:p>
    <w:p w14:paraId="02F1CDDC">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七</w:t>
      </w:r>
      <w:r>
        <w:rPr>
          <w:rFonts w:hint="eastAsia" w:ascii="宋体" w:hAnsi="宋体" w:eastAsia="宋体" w:cs="宋体"/>
          <w:b/>
          <w:color w:val="auto"/>
          <w:sz w:val="24"/>
          <w:highlight w:val="none"/>
          <w:lang w:eastAsia="zh-CN"/>
        </w:rPr>
        <w:t xml:space="preserve">、公告期限 </w:t>
      </w:r>
    </w:p>
    <w:p w14:paraId="28543A17">
      <w:pPr>
        <w:keepNext w:val="0"/>
        <w:keepLines w:val="0"/>
        <w:pageBreakBefore w:val="0"/>
        <w:kinsoku/>
        <w:wordWrap/>
        <w:overflowPunct/>
        <w:topLinePunct w:val="0"/>
        <w:autoSpaceDE/>
        <w:autoSpaceDN/>
        <w:bidi w:val="0"/>
        <w:adjustRightInd w:val="0"/>
        <w:spacing w:line="48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个工作日。</w:t>
      </w:r>
    </w:p>
    <w:p w14:paraId="39516511">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val="en-US" w:eastAsia="zh-CN"/>
        </w:rPr>
        <w:t>八</w:t>
      </w:r>
      <w:r>
        <w:rPr>
          <w:rFonts w:hint="eastAsia" w:ascii="宋体" w:hAnsi="宋体" w:eastAsia="宋体" w:cs="宋体"/>
          <w:b/>
          <w:color w:val="auto"/>
          <w:sz w:val="24"/>
          <w:highlight w:val="none"/>
          <w:lang w:eastAsia="zh-CN"/>
        </w:rPr>
        <w:t>、本项目为非政府采购项目。</w:t>
      </w:r>
    </w:p>
    <w:p w14:paraId="1E52D646">
      <w:pPr>
        <w:keepNext w:val="0"/>
        <w:keepLines w:val="0"/>
        <w:pageBreakBefore w:val="0"/>
        <w:kinsoku/>
        <w:wordWrap/>
        <w:overflowPunct/>
        <w:topLinePunct w:val="0"/>
        <w:autoSpaceDE/>
        <w:autoSpaceDN/>
        <w:bidi w:val="0"/>
        <w:adjustRightInd w:val="0"/>
        <w:spacing w:line="480" w:lineRule="exact"/>
        <w:textAlignment w:val="auto"/>
        <w:rPr>
          <w:rFonts w:hint="eastAsia" w:ascii="宋体" w:hAnsi="宋体" w:eastAsia="宋体" w:cs="宋体"/>
          <w:b/>
          <w:color w:val="auto"/>
          <w:sz w:val="24"/>
          <w:highlight w:val="none"/>
        </w:rPr>
      </w:pPr>
      <w:r>
        <w:rPr>
          <w:rFonts w:hint="eastAsia" w:ascii="宋体" w:hAnsi="宋体" w:cs="宋体"/>
          <w:b/>
          <w:color w:val="auto"/>
          <w:sz w:val="24"/>
          <w:highlight w:val="none"/>
          <w:lang w:val="en-US" w:eastAsia="zh-CN"/>
        </w:rPr>
        <w:t>九</w:t>
      </w: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其他补充事宜</w:t>
      </w:r>
      <w:r>
        <w:rPr>
          <w:rFonts w:hint="eastAsia" w:ascii="宋体" w:hAnsi="宋体" w:eastAsia="宋体" w:cs="宋体"/>
          <w:b/>
          <w:color w:val="auto"/>
          <w:sz w:val="24"/>
          <w:highlight w:val="none"/>
        </w:rPr>
        <w:t>：</w:t>
      </w:r>
    </w:p>
    <w:p w14:paraId="5C089973">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sz w:val="24"/>
          <w:szCs w:val="24"/>
          <w:lang w:val="en-US"/>
        </w:rPr>
      </w:pPr>
      <w:bookmarkStart w:id="12" w:name="_Toc28359095"/>
      <w:bookmarkStart w:id="13" w:name="_Toc35393805"/>
      <w:bookmarkStart w:id="14" w:name="_Toc35393636"/>
      <w:bookmarkStart w:id="15" w:name="_Toc28359018"/>
      <w:r>
        <w:rPr>
          <w:rFonts w:hint="eastAsia" w:ascii="宋体" w:hAnsi="宋体" w:eastAsia="宋体" w:cs="宋体"/>
          <w:b/>
          <w:bCs/>
          <w:kern w:val="2"/>
          <w:sz w:val="24"/>
          <w:szCs w:val="24"/>
          <w:lang w:val="en-US" w:eastAsia="zh-CN" w:bidi="ar"/>
        </w:rPr>
        <w:t>1.电子招投标：本项目以数据电文形式，依托“乐采云平台（www.lecaiyun.com）”进行招投标活动，各投标人应按照本项目采购文件和乐采云平台的要求编制、加密并递交投标文件，不接受纸质投标文件。</w:t>
      </w:r>
    </w:p>
    <w:p w14:paraId="62C3E1D7">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2.投标准备：</w:t>
      </w:r>
    </w:p>
    <w:p w14:paraId="67932A18">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1）投标人应为乐采云平台供应商，注册地址：乐采云平台-商家注册--注册地址：https://middle-lcy.lecaiyun.com/v-settle-front/enter/accountNew?settleCategory=1&amp;entranceType=150&amp;utm=luban.luban-PC-55609.ct001.9.d37d2350548211ef93937d90641fa708），进行乐采云平台供应商资料填写，通过平台审核后成为乐采云平台供应商。</w:t>
      </w:r>
    </w:p>
    <w:p w14:paraId="58770F9D">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2）申领CA数字证书---申领流程详见“乐采云平台-服务中心-CA管理-申领CA证书-CA驱动和申领流程”：投标人应在开标前完成CA数字证书办理，完成CA数字证书办理预计1-2周左右，各投标人应充分考虑办理时间等因素。</w:t>
      </w:r>
    </w:p>
    <w:p w14:paraId="53F3C836">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办理流程详见:CA管理操作指南https://lecaiyun.com/helpcenter/document#/document/detail?siteCode=lecaiyun&amp;manualId=2185&amp;topicId=12851</w:t>
      </w:r>
    </w:p>
    <w:p w14:paraId="5F07FA41">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3）安装“乐采云电子交易客户端”----投标人通过乐采云平台电子投标工具制作投标文件，前往“乐采云平台-服务中心-电子交易客户端”进行下载并安装。乐采云电子交易客户端：https://sitecdn.zcycdn.com/zcy-client/bidding-client-new/official/lcy/LeCaiYunSetup.latest.exe</w:t>
      </w:r>
    </w:p>
    <w:p w14:paraId="2A3A0159">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3.采购文件的获取：使用账号登录或者使用CA登录乐采云平台；进入“项目采购”应用，在获取采购文件菜单中选择项目，获取采购文件。</w:t>
      </w:r>
    </w:p>
    <w:p w14:paraId="1F37B328">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4.投标文件的制作：在“乐采云电子交易客户端”中完成“填写基本信息”、“导入投标文件”、“标书关联”、“标书检查”、“电子签名”、“生成电子标书”等操作。</w:t>
      </w:r>
    </w:p>
    <w:p w14:paraId="606AD6EC">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5.投标文件的传输递交：投标人在投标截止时间前将加密的投标文件上传至乐采云平台。</w:t>
      </w:r>
    </w:p>
    <w:p w14:paraId="17BCA174">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6.投标文件的解密：投标人按照平台提示和采购文件的规定在规定时间内完成在线解密。</w:t>
      </w:r>
    </w:p>
    <w:p w14:paraId="643EAF16">
      <w:pPr>
        <w:keepNext w:val="0"/>
        <w:keepLines w:val="0"/>
        <w:widowControl w:val="0"/>
        <w:suppressLineNumbers w:val="0"/>
        <w:adjustRightInd w:val="0"/>
        <w:spacing w:before="0" w:beforeAutospacing="0" w:after="0" w:afterAutospacing="0" w:line="360" w:lineRule="auto"/>
        <w:ind w:left="0" w:right="0" w:firstLine="482" w:firstLineChars="200"/>
        <w:jc w:val="both"/>
        <w:rPr>
          <w:rFonts w:hint="eastAsia" w:ascii="宋体" w:hAnsi="宋体" w:eastAsia="宋体" w:cs="宋体"/>
          <w:b/>
          <w:bCs/>
          <w:sz w:val="24"/>
          <w:szCs w:val="24"/>
          <w:lang w:val="en-US"/>
        </w:rPr>
      </w:pPr>
      <w:r>
        <w:rPr>
          <w:rFonts w:hint="eastAsia" w:ascii="宋体" w:hAnsi="宋体" w:eastAsia="宋体" w:cs="宋体"/>
          <w:b/>
          <w:bCs/>
          <w:kern w:val="2"/>
          <w:sz w:val="24"/>
          <w:szCs w:val="24"/>
          <w:lang w:val="en-US" w:eastAsia="zh-CN" w:bidi="ar"/>
        </w:rPr>
        <w:t>7.供应商在使用系统进行投标的过程中遇到涉及平台使用的任何问题，可致电乐采云平台技术支持热线咨询，联系方式：95763。</w:t>
      </w:r>
    </w:p>
    <w:p w14:paraId="708FD156">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b/>
          <w:bCs/>
          <w:kern w:val="2"/>
          <w:sz w:val="24"/>
          <w:szCs w:val="24"/>
          <w:lang w:val="en-US" w:eastAsia="zh-CN" w:bidi="ar"/>
        </w:rPr>
        <w:t>十、凡对本次采购提出询问、质疑、投诉，请按以下方式联系</w:t>
      </w:r>
      <w:bookmarkEnd w:id="12"/>
      <w:bookmarkEnd w:id="13"/>
      <w:bookmarkEnd w:id="14"/>
      <w:bookmarkEnd w:id="15"/>
    </w:p>
    <w:p w14:paraId="678A5EA3">
      <w:pPr>
        <w:pStyle w:val="2"/>
        <w:widowControl/>
        <w:numPr>
          <w:ilvl w:val="0"/>
          <w:numId w:val="0"/>
        </w:numPr>
        <w:rPr>
          <w:rFonts w:hint="eastAsia" w:ascii="宋体" w:hAnsi="宋体" w:eastAsia="宋体" w:cs="宋体"/>
          <w:sz w:val="24"/>
          <w:szCs w:val="24"/>
          <w:lang w:eastAsia="zh-CN"/>
        </w:rPr>
      </w:pPr>
      <w:r>
        <w:rPr>
          <w:rFonts w:hint="eastAsia" w:ascii="宋体" w:hAnsi="宋体" w:eastAsia="宋体" w:cs="宋体"/>
          <w:color w:val="auto"/>
          <w:sz w:val="24"/>
          <w:highlight w:val="none"/>
        </w:rPr>
        <w:t xml:space="preserve">    </w:t>
      </w:r>
      <w:bookmarkStart w:id="16" w:name="_Toc28359096"/>
      <w:bookmarkStart w:id="17" w:name="_Toc28359019"/>
      <w:bookmarkStart w:id="18" w:name="_Toc35393637"/>
      <w:bookmarkStart w:id="19" w:name="_Toc35393806"/>
      <w:bookmarkStart w:id="20" w:name="_Toc28359021"/>
      <w:bookmarkStart w:id="21" w:name="_Toc35393808"/>
      <w:bookmarkStart w:id="22" w:name="_Toc35393639"/>
      <w:bookmarkStart w:id="23" w:name="_Toc28359098"/>
      <w:r>
        <w:rPr>
          <w:rFonts w:hint="eastAsia" w:ascii="宋体" w:hAnsi="宋体" w:eastAsia="宋体" w:cs="宋体"/>
          <w:sz w:val="24"/>
          <w:szCs w:val="24"/>
          <w:lang w:eastAsia="zh-CN"/>
        </w:rPr>
        <w:t>1.采购人信息</w:t>
      </w:r>
      <w:bookmarkEnd w:id="16"/>
      <w:bookmarkEnd w:id="17"/>
      <w:bookmarkEnd w:id="18"/>
      <w:bookmarkEnd w:id="19"/>
      <w:r>
        <w:rPr>
          <w:rFonts w:hint="eastAsia" w:ascii="宋体" w:hAnsi="宋体" w:eastAsia="宋体" w:cs="宋体"/>
          <w:sz w:val="24"/>
          <w:szCs w:val="24"/>
          <w:lang w:eastAsia="zh-CN"/>
        </w:rPr>
        <w:t>：</w:t>
      </w:r>
    </w:p>
    <w:p w14:paraId="43E52626">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名    称：建德市长运物资有限公司</w:t>
      </w:r>
    </w:p>
    <w:p w14:paraId="2134A2EF">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lang w:val="en-US" w:eastAsia="zh-CN" w:bidi="ar"/>
        </w:rPr>
        <w:t xml:space="preserve">  </w:t>
      </w:r>
      <w:r>
        <w:rPr>
          <w:rFonts w:hint="eastAsia" w:ascii="宋体" w:hAnsi="宋体" w:eastAsia="宋体" w:cs="宋体"/>
          <w:kern w:val="2"/>
          <w:sz w:val="24"/>
          <w:szCs w:val="24"/>
          <w:highlight w:val="none"/>
          <w:lang w:val="en-US" w:eastAsia="zh-CN" w:bidi="ar"/>
        </w:rPr>
        <w:t xml:space="preserve">  地    址：建德市新安江街道府前路20号</w:t>
      </w:r>
    </w:p>
    <w:p w14:paraId="2CAE189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传    真：/</w:t>
      </w:r>
    </w:p>
    <w:p w14:paraId="0E5962D7">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 xml:space="preserve">    项目联系人（询问）：余先生</w:t>
      </w:r>
    </w:p>
    <w:p w14:paraId="66E8063F">
      <w:pPr>
        <w:keepNext w:val="0"/>
        <w:keepLines w:val="0"/>
        <w:widowControl w:val="0"/>
        <w:suppressLineNumbers w:val="0"/>
        <w:adjustRightInd w:val="0"/>
        <w:spacing w:before="0" w:beforeAutospacing="0" w:after="0" w:afterAutospacing="0" w:line="360" w:lineRule="auto"/>
        <w:ind w:left="0" w:right="0"/>
        <w:jc w:val="both"/>
        <w:rPr>
          <w:rFonts w:hint="default"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 xml:space="preserve">    项目联系方式（询问）：13362177505</w:t>
      </w:r>
    </w:p>
    <w:p w14:paraId="2C92EBE8">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 xml:space="preserve">    质疑联系人：钱先生</w:t>
      </w:r>
    </w:p>
    <w:p w14:paraId="73632822">
      <w:pPr>
        <w:keepNext w:val="0"/>
        <w:keepLines w:val="0"/>
        <w:widowControl w:val="0"/>
        <w:suppressLineNumbers w:val="0"/>
        <w:adjustRightInd w:val="0"/>
        <w:spacing w:before="0" w:beforeAutospacing="0" w:after="0" w:afterAutospacing="0" w:line="360" w:lineRule="auto"/>
        <w:ind w:left="0" w:right="0"/>
        <w:jc w:val="both"/>
        <w:rPr>
          <w:rFonts w:hint="default" w:ascii="宋体" w:hAnsi="宋体" w:eastAsia="宋体" w:cs="宋体"/>
          <w:sz w:val="24"/>
          <w:szCs w:val="24"/>
          <w:highlight w:val="none"/>
          <w:lang w:val="en-US"/>
        </w:rPr>
      </w:pPr>
      <w:r>
        <w:rPr>
          <w:rFonts w:hint="eastAsia" w:ascii="宋体" w:hAnsi="宋体" w:eastAsia="宋体" w:cs="宋体"/>
          <w:kern w:val="2"/>
          <w:sz w:val="24"/>
          <w:szCs w:val="24"/>
          <w:highlight w:val="none"/>
          <w:lang w:val="en-US" w:eastAsia="zh-CN" w:bidi="ar"/>
        </w:rPr>
        <w:t xml:space="preserve">    质疑联系方式：15167173729</w:t>
      </w:r>
    </w:p>
    <w:p w14:paraId="209CC056">
      <w:pPr>
        <w:pStyle w:val="2"/>
        <w:widowControl/>
        <w:numPr>
          <w:ilvl w:val="0"/>
          <w:numId w:val="0"/>
        </w:numPr>
        <w:rPr>
          <w:rFonts w:hint="eastAsia" w:ascii="宋体" w:hAnsi="宋体" w:eastAsia="宋体" w:cs="宋体"/>
          <w:sz w:val="24"/>
          <w:szCs w:val="32"/>
          <w:lang w:eastAsia="zh-CN"/>
        </w:rPr>
      </w:pPr>
      <w:bookmarkStart w:id="24" w:name="_Toc28359020"/>
      <w:bookmarkStart w:id="25" w:name="_Toc35393638"/>
      <w:bookmarkStart w:id="26" w:name="_Toc28359097"/>
      <w:bookmarkStart w:id="27" w:name="_Toc35393807"/>
      <w:r>
        <w:rPr>
          <w:rFonts w:hint="eastAsia" w:ascii="宋体" w:hAnsi="宋体" w:eastAsia="宋体" w:cs="宋体"/>
          <w:sz w:val="24"/>
          <w:szCs w:val="24"/>
          <w:lang w:eastAsia="zh-CN"/>
        </w:rPr>
        <w:t>2.采购代理机构信息</w:t>
      </w:r>
      <w:bookmarkEnd w:id="24"/>
      <w:bookmarkEnd w:id="25"/>
      <w:bookmarkEnd w:id="26"/>
      <w:bookmarkEnd w:id="27"/>
      <w:r>
        <w:rPr>
          <w:rFonts w:hint="eastAsia" w:ascii="宋体" w:hAnsi="宋体" w:eastAsia="宋体" w:cs="宋体"/>
          <w:sz w:val="24"/>
          <w:szCs w:val="24"/>
          <w:lang w:eastAsia="zh-CN"/>
        </w:rPr>
        <w:t>：</w:t>
      </w:r>
    </w:p>
    <w:p w14:paraId="68D40499">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名    称：浙江新诚信工程咨询有限公司           </w:t>
      </w:r>
    </w:p>
    <w:p w14:paraId="1F88AA3A">
      <w:pPr>
        <w:keepNext w:val="0"/>
        <w:keepLines w:val="0"/>
        <w:widowControl w:val="0"/>
        <w:suppressLineNumbers w:val="0"/>
        <w:adjustRightInd w:val="0"/>
        <w:spacing w:before="0" w:beforeAutospacing="0" w:after="0" w:afterAutospacing="0" w:line="360" w:lineRule="auto"/>
        <w:ind w:left="0" w:right="0" w:firstLine="48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地    址：浙江省建德市新安东路100号4号楼1楼</w:t>
      </w:r>
    </w:p>
    <w:p w14:paraId="37408B2F">
      <w:pPr>
        <w:keepNext w:val="0"/>
        <w:keepLines w:val="0"/>
        <w:widowControl w:val="0"/>
        <w:suppressLineNumbers w:val="0"/>
        <w:adjustRightInd w:val="0"/>
        <w:spacing w:before="0" w:beforeAutospacing="0" w:after="0" w:afterAutospacing="0" w:line="360" w:lineRule="auto"/>
        <w:ind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传    真：/             </w:t>
      </w:r>
    </w:p>
    <w:p w14:paraId="294CC72F">
      <w:pPr>
        <w:keepNext w:val="0"/>
        <w:keepLines w:val="0"/>
        <w:widowControl w:val="0"/>
        <w:suppressLineNumbers w:val="0"/>
        <w:adjustRightInd w:val="0"/>
        <w:spacing w:before="0" w:beforeAutospacing="0" w:after="0" w:afterAutospacing="0" w:line="360" w:lineRule="auto"/>
        <w:ind w:left="0" w:right="0"/>
        <w:jc w:val="both"/>
        <w:rPr>
          <w:rFonts w:hint="default"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项目联系人（询问）：刘先生</w:t>
      </w:r>
    </w:p>
    <w:p w14:paraId="181C5D41">
      <w:pPr>
        <w:keepNext w:val="0"/>
        <w:keepLines w:val="0"/>
        <w:widowControl w:val="0"/>
        <w:suppressLineNumbers w:val="0"/>
        <w:adjustRightInd w:val="0"/>
        <w:spacing w:before="0" w:beforeAutospacing="0" w:after="0" w:afterAutospacing="0" w:line="360" w:lineRule="auto"/>
        <w:ind w:left="0" w:right="0"/>
        <w:jc w:val="both"/>
        <w:rPr>
          <w:rFonts w:hint="default"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项目联系方式（询问）：13666636162</w:t>
      </w:r>
    </w:p>
    <w:p w14:paraId="0F87680D">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质疑联系人：杜女士            </w:t>
      </w:r>
    </w:p>
    <w:p w14:paraId="333A5DB1">
      <w:pPr>
        <w:keepNext w:val="0"/>
        <w:keepLines w:val="0"/>
        <w:widowControl w:val="0"/>
        <w:suppressLineNumbers w:val="0"/>
        <w:adjustRightInd w:val="0"/>
        <w:spacing w:before="0" w:beforeAutospacing="0" w:after="0" w:afterAutospacing="0" w:line="360" w:lineRule="auto"/>
        <w:ind w:left="0" w:right="0"/>
        <w:jc w:val="both"/>
        <w:rPr>
          <w:rFonts w:hint="default" w:ascii="宋体" w:hAnsi="宋体" w:eastAsia="宋体" w:cs="宋体"/>
          <w:sz w:val="24"/>
          <w:szCs w:val="24"/>
          <w:lang w:val="en-US"/>
        </w:rPr>
      </w:pPr>
      <w:r>
        <w:rPr>
          <w:rFonts w:hint="eastAsia" w:ascii="宋体" w:hAnsi="宋体" w:eastAsia="宋体" w:cs="宋体"/>
          <w:kern w:val="2"/>
          <w:sz w:val="24"/>
          <w:szCs w:val="24"/>
          <w:lang w:val="en-US" w:eastAsia="zh-CN" w:bidi="ar"/>
        </w:rPr>
        <w:t xml:space="preserve">    质疑联系方式：0571-64728891</w:t>
      </w:r>
    </w:p>
    <w:bookmarkEnd w:id="20"/>
    <w:bookmarkEnd w:id="21"/>
    <w:bookmarkEnd w:id="22"/>
    <w:bookmarkEnd w:id="23"/>
    <w:p w14:paraId="0724284D">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eastAsia="宋体" w:cs="宋体"/>
          <w:sz w:val="24"/>
          <w:szCs w:val="24"/>
          <w:lang w:val="en-US"/>
        </w:rPr>
      </w:pPr>
      <w:r>
        <w:rPr>
          <w:rFonts w:hint="eastAsia" w:ascii="宋体" w:hAnsi="宋体" w:eastAsia="宋体" w:cs="宋体"/>
          <w:b/>
          <w:bCs/>
          <w:kern w:val="2"/>
          <w:sz w:val="24"/>
          <w:szCs w:val="24"/>
          <w:lang w:val="en-US" w:eastAsia="zh-CN" w:bidi="ar"/>
        </w:rPr>
        <w:t xml:space="preserve"> 3.同级政府采购监督管理部门  </w:t>
      </w:r>
      <w:r>
        <w:rPr>
          <w:rFonts w:hint="eastAsia" w:ascii="宋体" w:hAnsi="宋体" w:eastAsia="宋体" w:cs="宋体"/>
          <w:kern w:val="2"/>
          <w:sz w:val="24"/>
          <w:szCs w:val="24"/>
          <w:lang w:val="en-US" w:eastAsia="zh-CN" w:bidi="ar"/>
        </w:rPr>
        <w:t xml:space="preserve">          </w:t>
      </w:r>
    </w:p>
    <w:p w14:paraId="7D3260A0">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default" w:ascii="宋体" w:hAnsi="宋体" w:eastAsia="宋体" w:cs="仿宋_GB2312"/>
          <w:sz w:val="24"/>
          <w:szCs w:val="24"/>
          <w:highlight w:val="none"/>
          <w:lang w:val="en-US"/>
        </w:rPr>
      </w:pPr>
      <w:r>
        <w:rPr>
          <w:rFonts w:hint="eastAsia" w:ascii="宋体" w:hAnsi="宋体" w:eastAsia="宋体" w:cs="仿宋_GB2312"/>
          <w:kern w:val="2"/>
          <w:sz w:val="24"/>
          <w:szCs w:val="24"/>
          <w:highlight w:val="none"/>
          <w:lang w:val="en-US" w:eastAsia="zh-CN" w:bidi="ar"/>
        </w:rPr>
        <w:t>名    称：建德市交通运输发展有限公司</w:t>
      </w:r>
    </w:p>
    <w:p w14:paraId="48E8A0DE">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default" w:ascii="宋体" w:hAnsi="宋体" w:eastAsia="宋体" w:cs="仿宋_GB2312"/>
          <w:sz w:val="24"/>
          <w:szCs w:val="24"/>
          <w:highlight w:val="none"/>
          <w:lang w:val="en-US"/>
        </w:rPr>
      </w:pPr>
      <w:r>
        <w:rPr>
          <w:rFonts w:hint="eastAsia" w:ascii="宋体" w:hAnsi="宋体" w:eastAsia="宋体" w:cs="仿宋_GB2312"/>
          <w:kern w:val="2"/>
          <w:sz w:val="24"/>
          <w:szCs w:val="24"/>
          <w:highlight w:val="none"/>
          <w:lang w:val="en-US" w:eastAsia="zh-CN" w:bidi="ar"/>
        </w:rPr>
        <w:t>地    址：建德市新安江街道明珠社区江滨中路677号</w:t>
      </w:r>
    </w:p>
    <w:p w14:paraId="4039C2BE">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r>
        <w:rPr>
          <w:rFonts w:hint="eastAsia" w:ascii="宋体" w:hAnsi="宋体" w:eastAsia="宋体" w:cs="仿宋_GB2312"/>
          <w:kern w:val="2"/>
          <w:sz w:val="24"/>
          <w:szCs w:val="24"/>
          <w:highlight w:val="none"/>
          <w:lang w:val="en-US" w:eastAsia="zh-CN" w:bidi="ar"/>
        </w:rPr>
        <w:t>传    真： /</w:t>
      </w:r>
    </w:p>
    <w:p w14:paraId="2B9BD14E">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sz w:val="24"/>
          <w:szCs w:val="24"/>
          <w:highlight w:val="none"/>
          <w:lang w:val="en-US"/>
        </w:rPr>
      </w:pPr>
      <w:r>
        <w:rPr>
          <w:rFonts w:hint="eastAsia" w:ascii="宋体" w:hAnsi="宋体" w:eastAsia="宋体" w:cs="仿宋_GB2312"/>
          <w:kern w:val="2"/>
          <w:sz w:val="24"/>
          <w:szCs w:val="24"/>
          <w:highlight w:val="none"/>
          <w:lang w:val="en-US" w:eastAsia="zh-CN" w:bidi="ar"/>
        </w:rPr>
        <w:t>联系人 ：</w:t>
      </w:r>
      <w:r>
        <w:rPr>
          <w:rFonts w:hint="eastAsia" w:ascii="宋体" w:hAnsi="宋体" w:eastAsia="宋体" w:cs="宋体"/>
          <w:kern w:val="2"/>
          <w:sz w:val="24"/>
          <w:szCs w:val="24"/>
          <w:highlight w:val="none"/>
          <w:lang w:val="en-US" w:eastAsia="zh-CN" w:bidi="ar"/>
        </w:rPr>
        <w:t>范先生</w:t>
      </w:r>
    </w:p>
    <w:p w14:paraId="5DC33EFE">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仿宋_GB2312"/>
          <w:kern w:val="2"/>
          <w:sz w:val="24"/>
          <w:szCs w:val="24"/>
          <w:highlight w:val="none"/>
          <w:lang w:val="en-US" w:eastAsia="zh-CN" w:bidi="ar"/>
        </w:rPr>
        <w:t>监督投诉电话：</w:t>
      </w:r>
      <w:r>
        <w:rPr>
          <w:rFonts w:hint="eastAsia" w:ascii="宋体" w:hAnsi="宋体" w:eastAsia="宋体" w:cs="宋体"/>
          <w:kern w:val="2"/>
          <w:sz w:val="24"/>
          <w:szCs w:val="24"/>
          <w:highlight w:val="none"/>
          <w:lang w:val="en-US" w:eastAsia="zh-CN" w:bidi="ar"/>
        </w:rPr>
        <w:t>15968115333</w:t>
      </w:r>
    </w:p>
    <w:p w14:paraId="6DF37BE5">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若对项目采购电子交易系统操作有疑问，可登录乐采云（https://www.lecaiyun.com/），点击右侧咨询小采，获取采小蜜智能服务管家帮助，或拨打政采云有限公司服务热线95763获取热线服务帮助。</w:t>
      </w:r>
    </w:p>
    <w:p w14:paraId="2991029D">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sz w:val="24"/>
          <w:szCs w:val="24"/>
          <w:lang w:val="en-US"/>
        </w:rPr>
      </w:pPr>
      <w:r>
        <w:rPr>
          <w:rFonts w:hint="eastAsia" w:ascii="宋体" w:hAnsi="宋体" w:eastAsia="宋体" w:cs="宋体"/>
          <w:kern w:val="2"/>
          <w:sz w:val="24"/>
          <w:szCs w:val="24"/>
          <w:lang w:val="en-US" w:eastAsia="zh-CN" w:bidi="ar"/>
        </w:rPr>
        <w:t>CA问题联系电话（人工）：汇信CA 400-888-4636；天谷CA 400-087-8198。</w:t>
      </w:r>
    </w:p>
    <w:p w14:paraId="49B894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5D8CC1FA">
      <w:pPr>
        <w:widowControl/>
        <w:spacing w:before="158" w:line="360" w:lineRule="exact"/>
        <w:ind w:firstLine="562" w:firstLineChars="200"/>
        <w:jc w:val="left"/>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若对项目采购电子交易系统操作有疑问，可登录</w:t>
      </w:r>
      <w:r>
        <w:rPr>
          <w:rFonts w:hint="eastAsia" w:ascii="仿宋_GB2312" w:hAnsi="仿宋_GB2312" w:eastAsia="仿宋_GB2312" w:cs="仿宋_GB2312"/>
          <w:b/>
          <w:kern w:val="0"/>
          <w:sz w:val="28"/>
          <w:szCs w:val="28"/>
          <w:lang w:val="en-US" w:eastAsia="zh-CN"/>
        </w:rPr>
        <w:t>乐</w:t>
      </w:r>
      <w:r>
        <w:rPr>
          <w:rFonts w:hint="eastAsia" w:ascii="仿宋_GB2312" w:hAnsi="仿宋_GB2312" w:eastAsia="仿宋_GB2312" w:cs="仿宋_GB2312"/>
          <w:b/>
          <w:kern w:val="0"/>
          <w:sz w:val="28"/>
          <w:szCs w:val="28"/>
        </w:rPr>
        <w:t>采云（</w:t>
      </w:r>
      <w:r>
        <w:rPr>
          <w:rFonts w:hint="eastAsia" w:ascii="仿宋_GB2312" w:hAnsi="仿宋_GB2312" w:eastAsia="仿宋_GB2312" w:cs="仿宋_GB2312"/>
          <w:color w:val="000000"/>
          <w:sz w:val="28"/>
          <w:szCs w:val="28"/>
        </w:rPr>
        <w:fldChar w:fldCharType="begin"/>
      </w:r>
      <w:r>
        <w:rPr>
          <w:rFonts w:hint="eastAsia" w:ascii="仿宋_GB2312" w:hAnsi="仿宋_GB2312" w:eastAsia="仿宋_GB2312" w:cs="仿宋_GB2312"/>
          <w:color w:val="000000"/>
          <w:sz w:val="28"/>
          <w:szCs w:val="28"/>
        </w:rPr>
        <w:instrText xml:space="preserve"> HYPERLINK "采购文件（7.9新版本）.doc" </w:instrText>
      </w:r>
      <w:r>
        <w:rPr>
          <w:rFonts w:hint="eastAsia" w:ascii="仿宋_GB2312" w:hAnsi="仿宋_GB2312" w:eastAsia="仿宋_GB2312" w:cs="仿宋_GB2312"/>
          <w:color w:val="000000"/>
          <w:sz w:val="28"/>
          <w:szCs w:val="28"/>
        </w:rPr>
        <w:fldChar w:fldCharType="separate"/>
      </w:r>
      <w:r>
        <w:rPr>
          <w:rStyle w:val="77"/>
          <w:rFonts w:hint="eastAsia" w:ascii="仿宋_GB2312" w:hAnsi="仿宋_GB2312" w:eastAsia="仿宋_GB2312" w:cs="仿宋_GB2312"/>
          <w:color w:val="000000"/>
          <w:sz w:val="28"/>
          <w:szCs w:val="28"/>
        </w:rPr>
        <w:t>https://www.lecaiyun.com/</w:t>
      </w:r>
      <w:r>
        <w:rPr>
          <w:rFonts w:hint="eastAsia" w:ascii="仿宋_GB2312" w:hAnsi="仿宋_GB2312" w:eastAsia="仿宋_GB2312" w:cs="仿宋_GB2312"/>
          <w:color w:val="000000"/>
          <w:sz w:val="28"/>
          <w:szCs w:val="28"/>
        </w:rPr>
        <w:fldChar w:fldCharType="end"/>
      </w:r>
      <w:r>
        <w:rPr>
          <w:rFonts w:hint="eastAsia" w:ascii="仿宋_GB2312" w:hAnsi="仿宋_GB2312" w:eastAsia="仿宋_GB2312" w:cs="仿宋_GB2312"/>
          <w:b/>
          <w:kern w:val="0"/>
          <w:sz w:val="28"/>
          <w:szCs w:val="28"/>
        </w:rPr>
        <w:t>），点击右侧咨询小采，获取采小蜜智能服务管家帮助，或拨打政采云</w:t>
      </w:r>
      <w:r>
        <w:rPr>
          <w:rFonts w:hint="eastAsia" w:ascii="仿宋_GB2312" w:hAnsi="仿宋_GB2312" w:eastAsia="仿宋_GB2312" w:cs="仿宋_GB2312"/>
          <w:b/>
          <w:kern w:val="0"/>
          <w:sz w:val="28"/>
          <w:szCs w:val="28"/>
          <w:lang w:val="en-US" w:eastAsia="zh-CN"/>
        </w:rPr>
        <w:t>有限公司</w:t>
      </w:r>
      <w:r>
        <w:rPr>
          <w:rFonts w:hint="eastAsia" w:ascii="仿宋_GB2312" w:hAnsi="仿宋_GB2312" w:eastAsia="仿宋_GB2312" w:cs="仿宋_GB2312"/>
          <w:b/>
          <w:kern w:val="0"/>
          <w:sz w:val="28"/>
          <w:szCs w:val="28"/>
        </w:rPr>
        <w:t>服务热线</w:t>
      </w:r>
      <w:r>
        <w:rPr>
          <w:rFonts w:hint="eastAsia" w:ascii="仿宋_GB2312" w:hAnsi="仿宋_GB2312" w:eastAsia="仿宋_GB2312" w:cs="仿宋_GB2312"/>
          <w:b/>
          <w:kern w:val="0"/>
          <w:sz w:val="28"/>
          <w:szCs w:val="28"/>
          <w:lang w:val="en-US" w:eastAsia="zh-CN"/>
        </w:rPr>
        <w:t>95763</w:t>
      </w:r>
      <w:r>
        <w:rPr>
          <w:rFonts w:hint="eastAsia" w:ascii="仿宋_GB2312" w:hAnsi="仿宋_GB2312" w:eastAsia="仿宋_GB2312" w:cs="仿宋_GB2312"/>
          <w:b/>
          <w:kern w:val="0"/>
          <w:sz w:val="28"/>
          <w:szCs w:val="28"/>
        </w:rPr>
        <w:t>获取热线服务帮助。</w:t>
      </w:r>
    </w:p>
    <w:p w14:paraId="42F0D25E">
      <w:pPr>
        <w:spacing w:line="360" w:lineRule="auto"/>
        <w:rPr>
          <w:rFonts w:hint="eastAsia" w:ascii="宋体" w:hAnsi="宋体" w:eastAsia="宋体" w:cs="宋体"/>
          <w:b/>
          <w:color w:val="auto"/>
          <w:sz w:val="24"/>
          <w:highlight w:val="none"/>
        </w:rPr>
      </w:pPr>
      <w:r>
        <w:rPr>
          <w:rFonts w:hint="eastAsia" w:ascii="仿宋_GB2312" w:hAnsi="仿宋_GB2312" w:eastAsia="仿宋_GB2312" w:cs="仿宋_GB2312"/>
          <w:b/>
          <w:kern w:val="0"/>
          <w:sz w:val="28"/>
          <w:szCs w:val="28"/>
        </w:rPr>
        <w:t>CA问题联系电话（人工）：汇信CA 400-888-4636；天谷CA 400-087-8198。</w:t>
      </w:r>
    </w:p>
    <w:p w14:paraId="20777892">
      <w:pPr>
        <w:spacing w:line="360" w:lineRule="auto"/>
        <w:ind w:firstLine="480" w:firstLineChars="200"/>
        <w:rPr>
          <w:rFonts w:hint="eastAsia" w:ascii="宋体" w:hAnsi="宋体" w:eastAsia="宋体" w:cs="宋体"/>
          <w:color w:val="auto"/>
          <w:sz w:val="24"/>
          <w:highlight w:val="none"/>
        </w:rPr>
      </w:pPr>
    </w:p>
    <w:p w14:paraId="59DAF310">
      <w:pPr>
        <w:pStyle w:val="33"/>
        <w:spacing w:line="360" w:lineRule="auto"/>
        <w:rPr>
          <w:rFonts w:hint="eastAsia" w:ascii="宋体" w:hAnsi="宋体" w:eastAsia="宋体" w:cs="宋体"/>
          <w:b/>
          <w:color w:val="auto"/>
          <w:sz w:val="36"/>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36"/>
          <w:szCs w:val="20"/>
          <w:highlight w:val="none"/>
        </w:rPr>
        <w:t xml:space="preserve"> </w:t>
      </w:r>
    </w:p>
    <w:p w14:paraId="0CD12165">
      <w:pPr>
        <w:pStyle w:val="2"/>
        <w:rPr>
          <w:rFonts w:hint="eastAsia" w:ascii="宋体" w:hAnsi="宋体" w:eastAsia="宋体" w:cs="宋体"/>
          <w:snapToGrid w:val="0"/>
          <w:color w:val="auto"/>
          <w:highlight w:val="none"/>
        </w:rPr>
      </w:pPr>
      <w:r>
        <w:rPr>
          <w:rFonts w:hint="eastAsia" w:ascii="宋体" w:hAnsi="宋体" w:eastAsia="宋体" w:cs="宋体"/>
          <w:color w:val="auto"/>
          <w:highlight w:val="none"/>
        </w:rPr>
        <w:br w:type="page"/>
      </w:r>
    </w:p>
    <w:p w14:paraId="28361B6A">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145C1B98">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908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14"/>
      </w:tblGrid>
      <w:tr w14:paraId="2EFD2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4C224BA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1402DA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614" w:type="dxa"/>
            <w:tcBorders>
              <w:top w:val="single" w:color="000000" w:sz="8" w:space="0"/>
              <w:left w:val="single" w:color="000000" w:sz="2" w:space="0"/>
              <w:bottom w:val="single" w:color="000000" w:sz="8" w:space="0"/>
              <w:right w:val="single" w:color="000000" w:sz="8" w:space="0"/>
            </w:tcBorders>
            <w:vAlign w:val="center"/>
          </w:tcPr>
          <w:p w14:paraId="513AFC4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181B0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17" w:hRule="atLeast"/>
          <w:tblHeader/>
        </w:trPr>
        <w:tc>
          <w:tcPr>
            <w:tcW w:w="629" w:type="dxa"/>
            <w:tcBorders>
              <w:top w:val="single" w:color="auto" w:sz="4" w:space="0"/>
              <w:left w:val="single" w:color="auto" w:sz="4" w:space="0"/>
              <w:bottom w:val="single" w:color="auto" w:sz="4" w:space="0"/>
              <w:right w:val="single" w:color="auto" w:sz="4" w:space="0"/>
            </w:tcBorders>
          </w:tcPr>
          <w:p w14:paraId="291BB4F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0C7B7A1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06E254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项目属性与核心产品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266EEC5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货物类。</w:t>
            </w:r>
          </w:p>
        </w:tc>
      </w:tr>
      <w:tr w14:paraId="3DF1D0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4CD2FA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039E9FA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2F03C82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330E1F3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614" w:type="dxa"/>
            <w:tcBorders>
              <w:top w:val="single" w:color="000000" w:sz="8" w:space="0"/>
              <w:left w:val="single" w:color="000000" w:sz="2" w:space="0"/>
              <w:bottom w:val="single" w:color="000000" w:sz="8" w:space="0"/>
              <w:right w:val="single" w:color="000000" w:sz="8" w:space="0"/>
            </w:tcBorders>
            <w:vAlign w:val="center"/>
          </w:tcPr>
          <w:p w14:paraId="0F37004C">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4745162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本项目不允许采购进口产品。</w:t>
            </w:r>
          </w:p>
          <w:p w14:paraId="0800B04B">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rPr>
            </w:pPr>
            <w:sdt>
              <w:sdtPr>
                <w:rPr>
                  <w:rFonts w:hint="eastAsia" w:ascii="宋体" w:hAnsi="宋体" w:eastAsia="宋体" w:cs="宋体"/>
                  <w:color w:val="auto"/>
                  <w:kern w:val="0"/>
                  <w:sz w:val="24"/>
                  <w:highlight w:val="none"/>
                </w:rPr>
                <w:id w:val="147460692"/>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231F6B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598C2F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0A282D2">
            <w:pPr>
              <w:keepNext w:val="0"/>
              <w:keepLines w:val="0"/>
              <w:suppressLineNumbers w:val="0"/>
              <w:snapToGrid w:val="0"/>
              <w:spacing w:before="0" w:beforeAutospacing="0" w:after="0" w:afterAutospacing="0" w:line="360" w:lineRule="auto"/>
              <w:ind w:left="0" w:right="0"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614" w:type="dxa"/>
            <w:tcBorders>
              <w:top w:val="single" w:color="000000" w:sz="8" w:space="0"/>
              <w:left w:val="single" w:color="000000" w:sz="2" w:space="0"/>
              <w:bottom w:val="single" w:color="000000" w:sz="8" w:space="0"/>
              <w:right w:val="single" w:color="000000" w:sz="8" w:space="0"/>
            </w:tcBorders>
            <w:vAlign w:val="center"/>
          </w:tcPr>
          <w:p w14:paraId="05B2F0C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lang w:eastAsia="zh-CN"/>
              </w:rPr>
            </w:pPr>
            <w:sdt>
              <w:sdtPr>
                <w:rPr>
                  <w:rFonts w:hint="eastAsia" w:ascii="宋体" w:hAnsi="宋体" w:eastAsia="宋体" w:cs="宋体"/>
                  <w:color w:val="auto"/>
                  <w:kern w:val="0"/>
                  <w:sz w:val="24"/>
                  <w:highlight w:val="none"/>
                </w:rPr>
                <w:id w:val="14748231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r>
              <w:rPr>
                <w:rFonts w:hint="eastAsia" w:ascii="宋体" w:hAnsi="宋体" w:eastAsia="宋体" w:cs="宋体"/>
                <w:color w:val="auto"/>
                <w:sz w:val="24"/>
                <w:highlight w:val="none"/>
                <w:lang w:eastAsia="zh-CN"/>
              </w:rPr>
              <w:t>。</w:t>
            </w:r>
          </w:p>
          <w:p w14:paraId="228356F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79356"/>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14:paraId="11A91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59AF53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1AC457C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3D60832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8D94F3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614" w:type="dxa"/>
            <w:tcBorders>
              <w:top w:val="single" w:color="000000" w:sz="8" w:space="0"/>
              <w:left w:val="single" w:color="000000" w:sz="2" w:space="0"/>
              <w:bottom w:val="single" w:color="000000" w:sz="8" w:space="0"/>
              <w:right w:val="single" w:color="000000" w:sz="8" w:space="0"/>
            </w:tcBorders>
            <w:vAlign w:val="center"/>
          </w:tcPr>
          <w:p w14:paraId="7376C55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2902"/>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327CB4B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0"/>
                <w:highlight w:val="none"/>
              </w:rPr>
            </w:pPr>
            <w:sdt>
              <w:sdtPr>
                <w:rPr>
                  <w:rFonts w:hint="eastAsia" w:ascii="宋体" w:hAnsi="宋体" w:eastAsia="宋体" w:cs="宋体"/>
                  <w:color w:val="auto"/>
                  <w:kern w:val="0"/>
                  <w:sz w:val="24"/>
                  <w:highlight w:val="none"/>
                </w:rPr>
                <w:id w:val="14747588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57953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734173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16997B9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6896225">
            <w:pPr>
              <w:keepNext w:val="0"/>
              <w:keepLines w:val="0"/>
              <w:suppressLineNumbers w:val="0"/>
              <w:snapToGrid w:val="0"/>
              <w:spacing w:before="0" w:beforeAutospacing="0" w:after="0" w:afterAutospacing="0" w:line="360" w:lineRule="auto"/>
              <w:ind w:left="0" w:right="0"/>
              <w:jc w:val="center"/>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样品提供</w:t>
            </w:r>
          </w:p>
        </w:tc>
        <w:tc>
          <w:tcPr>
            <w:tcW w:w="6614" w:type="dxa"/>
            <w:tcBorders>
              <w:top w:val="single" w:color="000000" w:sz="8" w:space="0"/>
              <w:left w:val="single" w:color="000000" w:sz="2" w:space="0"/>
              <w:bottom w:val="single" w:color="000000" w:sz="8" w:space="0"/>
              <w:right w:val="single" w:color="000000" w:sz="8" w:space="0"/>
            </w:tcBorders>
            <w:vAlign w:val="center"/>
          </w:tcPr>
          <w:p w14:paraId="10FEFB65">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sdt>
              <w:sdtPr>
                <w:rPr>
                  <w:rFonts w:hint="eastAsia" w:ascii="宋体" w:hAnsi="宋体" w:eastAsia="宋体" w:cs="宋体"/>
                  <w:color w:val="auto"/>
                  <w:kern w:val="0"/>
                  <w:sz w:val="24"/>
                  <w:highlight w:val="none"/>
                </w:rPr>
                <w:id w:val="147467462"/>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r>
              <w:rPr>
                <w:rFonts w:hint="eastAsia" w:asciiTheme="minorEastAsia" w:hAnsiTheme="minorEastAsia" w:eastAsiaTheme="minorEastAsia" w:cstheme="minorEastAsia"/>
                <w:color w:val="auto"/>
                <w:kern w:val="0"/>
                <w:sz w:val="24"/>
                <w:highlight w:val="none"/>
              </w:rPr>
              <w:t>A</w:t>
            </w:r>
            <w:r>
              <w:rPr>
                <w:rFonts w:hint="eastAsia" w:asciiTheme="minorEastAsia" w:hAnsiTheme="minorEastAsia" w:eastAsiaTheme="minorEastAsia" w:cstheme="minorEastAsia"/>
                <w:color w:val="auto"/>
                <w:sz w:val="24"/>
                <w:highlight w:val="none"/>
              </w:rPr>
              <w:t>不要求提供。</w:t>
            </w:r>
          </w:p>
          <w:p w14:paraId="6A5818E3">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kern w:val="0"/>
                <w:sz w:val="24"/>
                <w:highlight w:val="none"/>
              </w:rPr>
            </w:pPr>
            <w:sdt>
              <w:sdtPr>
                <w:rPr>
                  <w:rFonts w:hint="eastAsia" w:ascii="宋体" w:hAnsi="宋体" w:eastAsia="宋体" w:cs="宋体"/>
                  <w:color w:val="auto"/>
                  <w:kern w:val="0"/>
                  <w:sz w:val="24"/>
                  <w:highlight w:val="none"/>
                </w:rPr>
                <w:id w:val="147453692"/>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Theme="minorEastAsia" w:hAnsiTheme="minorEastAsia" w:eastAsiaTheme="minorEastAsia" w:cstheme="minorEastAsia"/>
                <w:color w:val="auto"/>
                <w:kern w:val="0"/>
                <w:sz w:val="24"/>
                <w:highlight w:val="none"/>
              </w:rPr>
              <w:t>B要求提供，</w:t>
            </w:r>
          </w:p>
          <w:p w14:paraId="08FC9A94">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r>
              <w:rPr>
                <w:rFonts w:hint="eastAsia" w:asciiTheme="minorEastAsia" w:hAnsiTheme="minorEastAsia" w:eastAsiaTheme="minorEastAsia" w:cstheme="minorEastAsia"/>
                <w:snapToGrid w:val="0"/>
                <w:color w:val="auto"/>
                <w:kern w:val="28"/>
                <w:sz w:val="24"/>
                <w:highlight w:val="none"/>
              </w:rPr>
              <w:t>样品：</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16A3C746">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r>
              <w:rPr>
                <w:rFonts w:hint="eastAsia" w:asciiTheme="minorEastAsia" w:hAnsiTheme="minorEastAsia" w:eastAsiaTheme="minorEastAsia" w:cstheme="minorEastAsia"/>
                <w:snapToGrid w:val="0"/>
                <w:color w:val="auto"/>
                <w:kern w:val="28"/>
                <w:sz w:val="24"/>
                <w:highlight w:val="none"/>
              </w:rPr>
              <w:t>样品制作的标准和要求：</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2E28FF30">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（3）样品的评审方法以及评审标准</w:t>
            </w:r>
            <w:r>
              <w:rPr>
                <w:rFonts w:hint="eastAsia" w:asciiTheme="minorEastAsia" w:hAnsiTheme="minorEastAsia" w:eastAsiaTheme="minorEastAsia" w:cstheme="minorEastAsia"/>
                <w:snapToGrid w:val="0"/>
                <w:color w:val="auto"/>
                <w:kern w:val="28"/>
                <w:sz w:val="24"/>
                <w:highlight w:val="none"/>
              </w:rPr>
              <w:t>：详见</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评标办法</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kern w:val="0"/>
                <w:sz w:val="24"/>
                <w:highlight w:val="none"/>
              </w:rPr>
              <w:t>；</w:t>
            </w:r>
          </w:p>
          <w:p w14:paraId="5874293E">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（4）是否需要随样品提交检测报告：</w:t>
            </w:r>
            <w:r>
              <w:rPr>
                <w:rFonts w:hint="eastAsia" w:asciiTheme="minorEastAsia" w:hAnsiTheme="minorEastAsia" w:eastAsiaTheme="minorEastAsia" w:cstheme="minorEastAsia"/>
                <w:color w:val="auto"/>
                <w:kern w:val="0"/>
                <w:sz w:val="24"/>
                <w:highlight w:val="none"/>
              </w:rPr>
              <w:sym w:font="Wingdings" w:char="00A8"/>
            </w:r>
            <w:r>
              <w:rPr>
                <w:rFonts w:hint="eastAsia" w:asciiTheme="minorEastAsia" w:hAnsiTheme="minorEastAsia" w:eastAsiaTheme="minorEastAsia" w:cstheme="minorEastAsia"/>
                <w:color w:val="auto"/>
                <w:kern w:val="0"/>
                <w:sz w:val="24"/>
                <w:highlight w:val="none"/>
              </w:rPr>
              <w:t>否；</w:t>
            </w:r>
            <w:r>
              <w:rPr>
                <w:rFonts w:hint="eastAsia" w:asciiTheme="minorEastAsia" w:hAnsiTheme="minorEastAsia" w:eastAsiaTheme="minorEastAsia" w:cstheme="minorEastAsia"/>
                <w:color w:val="auto"/>
                <w:kern w:val="0"/>
                <w:sz w:val="24"/>
                <w:highlight w:val="none"/>
              </w:rPr>
              <w:sym w:font="Wingdings" w:char="00A8"/>
            </w:r>
            <w:r>
              <w:rPr>
                <w:rFonts w:hint="eastAsia" w:asciiTheme="minorEastAsia" w:hAnsiTheme="minorEastAsia" w:eastAsiaTheme="minorEastAsia" w:cstheme="minorEastAsia"/>
                <w:color w:val="auto"/>
                <w:kern w:val="0"/>
                <w:sz w:val="24"/>
                <w:highlight w:val="none"/>
              </w:rPr>
              <w:t>是，</w:t>
            </w:r>
          </w:p>
          <w:p w14:paraId="287D6FFA">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检测机构的要求</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；检测内容</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w:t>
            </w:r>
          </w:p>
          <w:p w14:paraId="484E3FB7">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（5）提供样品的时间：</w:t>
            </w:r>
            <w:r>
              <w:rPr>
                <w:rFonts w:hint="eastAsia" w:asciiTheme="minorEastAsia" w:hAnsiTheme="minorEastAsia" w:eastAsiaTheme="minorEastAsia" w:cstheme="minorEastAsia"/>
                <w:color w:val="auto"/>
                <w:sz w:val="24"/>
                <w:highlight w:val="none"/>
                <w:u w:val="single"/>
                <w:lang w:val="en-US" w:eastAsia="zh-CN"/>
              </w:rPr>
              <w:t>投标截止时间前半小时内</w:t>
            </w:r>
            <w:r>
              <w:rPr>
                <w:rFonts w:hint="eastAsia" w:asciiTheme="minorEastAsia" w:hAnsiTheme="minorEastAsia" w:eastAsiaTheme="minorEastAsia" w:cstheme="minorEastAsia"/>
                <w:color w:val="auto"/>
                <w:kern w:val="0"/>
                <w:sz w:val="24"/>
                <w:highlight w:val="none"/>
              </w:rPr>
              <w:t>；地点：</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eastAsia="zh-CN"/>
              </w:rPr>
              <w:t>杭州市公共资源交易中心（建德市洋安社区荷印路</w:t>
            </w:r>
            <w:r>
              <w:rPr>
                <w:rFonts w:hint="eastAsia" w:asciiTheme="minorEastAsia" w:hAnsiTheme="minorEastAsia" w:eastAsiaTheme="minorEastAsia" w:cstheme="minorEastAsia"/>
                <w:color w:val="auto"/>
                <w:sz w:val="24"/>
                <w:highlight w:val="none"/>
                <w:u w:val="single"/>
                <w:lang w:val="en-US" w:eastAsia="zh-CN"/>
              </w:rPr>
              <w:t>113号三楼</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kern w:val="0"/>
                <w:sz w:val="24"/>
                <w:highlight w:val="none"/>
              </w:rPr>
              <w:t>；联系人</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kern w:val="28"/>
                <w:sz w:val="24"/>
                <w:highlight w:val="none"/>
              </w:rPr>
              <w:t>联系电话：</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rPr>
              <w:t>。请投标人在上述时间内提供样品并按规定位置安装完毕。超过截止时间的，采购人或采购代理机构将不予接收，并将清场并封闭样品现场。</w:t>
            </w:r>
          </w:p>
          <w:p w14:paraId="663985AC">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04ED7C8">
            <w:pPr>
              <w:pStyle w:val="2"/>
              <w:suppressLineNumbers w:val="0"/>
              <w:spacing w:before="0" w:beforeAutospacing="0" w:after="0" w:afterAutospacing="0" w:line="360" w:lineRule="auto"/>
              <w:ind w:right="0"/>
              <w:rPr>
                <w:rFonts w:hint="eastAsia" w:asciiTheme="minorEastAsia" w:hAnsiTheme="minorEastAsia" w:eastAsiaTheme="minorEastAsia" w:cstheme="minorEastAsia"/>
              </w:rPr>
            </w:pPr>
            <w:r>
              <w:rPr>
                <w:rFonts w:hint="eastAsia" w:asciiTheme="minorEastAsia" w:hAnsiTheme="minorEastAsia" w:eastAsiaTheme="minorEastAsia" w:cstheme="minorEastAsia"/>
                <w:color w:val="auto"/>
                <w:sz w:val="24"/>
                <w:highlight w:val="none"/>
              </w:rPr>
              <w:t>（7）制作、运输、安装和保管样品所发生的一切费用由投标人自理。</w:t>
            </w:r>
          </w:p>
        </w:tc>
      </w:tr>
      <w:tr w14:paraId="47715A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1" w:hRule="atLeast"/>
          <w:tblHeader/>
        </w:trPr>
        <w:tc>
          <w:tcPr>
            <w:tcW w:w="629" w:type="dxa"/>
            <w:tcBorders>
              <w:top w:val="single" w:color="auto" w:sz="4" w:space="0"/>
              <w:left w:val="single" w:color="auto" w:sz="4" w:space="0"/>
              <w:bottom w:val="single" w:color="auto" w:sz="4" w:space="0"/>
              <w:right w:val="single" w:color="auto" w:sz="4" w:space="0"/>
            </w:tcBorders>
          </w:tcPr>
          <w:p w14:paraId="7DC97F6F">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4"/>
                <w:highlight w:val="none"/>
              </w:rPr>
            </w:pPr>
          </w:p>
          <w:p w14:paraId="2D312E1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6C1C666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614" w:type="dxa"/>
            <w:tcBorders>
              <w:top w:val="single" w:color="000000" w:sz="8" w:space="0"/>
              <w:left w:val="single" w:color="000000" w:sz="2" w:space="0"/>
              <w:bottom w:val="single" w:color="000000" w:sz="8" w:space="0"/>
              <w:right w:val="single" w:color="000000" w:sz="8" w:space="0"/>
            </w:tcBorders>
            <w:vAlign w:val="center"/>
          </w:tcPr>
          <w:p w14:paraId="312B470A">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lang w:val="zh-CN"/>
              </w:rPr>
            </w:pPr>
            <w:sdt>
              <w:sdtPr>
                <w:rPr>
                  <w:rFonts w:hint="eastAsia" w:ascii="宋体" w:hAnsi="宋体" w:eastAsia="宋体" w:cs="宋体"/>
                  <w:color w:val="auto"/>
                  <w:highlight w:val="none"/>
                </w:rPr>
                <w:id w:val="147453220"/>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lang w:val="zh-CN"/>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lang w:val="zh-CN"/>
              </w:rPr>
              <w:t>A不组织。</w:t>
            </w:r>
          </w:p>
          <w:p w14:paraId="39F3C3A3">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lang w:val="zh-CN"/>
              </w:rPr>
            </w:pPr>
            <w:sdt>
              <w:sdtPr>
                <w:rPr>
                  <w:rFonts w:hint="eastAsia" w:ascii="宋体" w:hAnsi="宋体" w:eastAsia="宋体" w:cs="宋体"/>
                  <w:color w:val="auto"/>
                  <w:kern w:val="0"/>
                  <w:sz w:val="24"/>
                  <w:highlight w:val="none"/>
                </w:rPr>
                <w:id w:val="14748266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color w:val="auto"/>
                <w:kern w:val="0"/>
                <w:sz w:val="24"/>
                <w:highlight w:val="none"/>
                <w:lang w:val="zh-CN"/>
              </w:rPr>
              <w:t>B组织。</w:t>
            </w:r>
          </w:p>
          <w:p w14:paraId="4430A998">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（1）在评标时安排每个投标人进行方案讲解演示。每个投标人时间不超过</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分钟，讲解次序以投标文件解密时间先后次序为准，讲解演示人员不超过</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人。讲解演示结束后按要求解答评标委员会提问。</w:t>
            </w:r>
          </w:p>
          <w:p w14:paraId="3AC60879">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（2）方案讲解演示以下</w:t>
            </w:r>
            <w:r>
              <w:rPr>
                <w:rFonts w:hint="eastAsia" w:ascii="宋体" w:hAnsi="宋体" w:eastAsia="宋体" w:cs="宋体"/>
                <w:color w:val="auto"/>
                <w:kern w:val="0"/>
                <w:sz w:val="24"/>
                <w:highlight w:val="none"/>
                <w:lang w:val="zh-CN" w:eastAsia="zh-CN"/>
              </w:rPr>
              <w:t>列</w:t>
            </w:r>
            <w:r>
              <w:rPr>
                <w:rFonts w:hint="eastAsia" w:ascii="宋体" w:hAnsi="宋体" w:eastAsia="宋体" w:cs="宋体"/>
                <w:color w:val="auto"/>
                <w:kern w:val="0"/>
                <w:sz w:val="24"/>
                <w:highlight w:val="none"/>
                <w:lang w:val="zh-CN"/>
              </w:rPr>
              <w:t>方式</w:t>
            </w:r>
            <w:r>
              <w:rPr>
                <w:rFonts w:hint="eastAsia" w:ascii="宋体" w:hAnsi="宋体" w:eastAsia="宋体" w:cs="宋体"/>
                <w:color w:val="auto"/>
                <w:kern w:val="0"/>
                <w:sz w:val="24"/>
                <w:highlight w:val="none"/>
                <w:lang w:val="zh-CN" w:eastAsia="zh-CN"/>
              </w:rPr>
              <w:t>进行</w:t>
            </w:r>
            <w:r>
              <w:rPr>
                <w:rFonts w:hint="eastAsia" w:ascii="宋体" w:hAnsi="宋体" w:eastAsia="宋体" w:cs="宋体"/>
                <w:color w:val="auto"/>
                <w:kern w:val="0"/>
                <w:sz w:val="24"/>
                <w:highlight w:val="none"/>
                <w:lang w:val="zh-CN"/>
              </w:rPr>
              <w:t>：</w:t>
            </w:r>
          </w:p>
          <w:p w14:paraId="1725E43F">
            <w:pPr>
              <w:keepNext w:val="0"/>
              <w:keepLines w:val="0"/>
              <w:suppressLineNumbers w:val="0"/>
              <w:spacing w:before="0" w:beforeAutospacing="0" w:after="0" w:afterAutospacing="0" w:line="360" w:lineRule="auto"/>
              <w:ind w:left="0" w:right="0"/>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乐采云</w:t>
            </w:r>
            <w:r>
              <w:rPr>
                <w:rFonts w:hint="eastAsia" w:ascii="宋体" w:hAnsi="宋体" w:eastAsia="宋体" w:cs="宋体"/>
                <w:color w:val="auto"/>
                <w:kern w:val="0"/>
                <w:sz w:val="24"/>
                <w:highlight w:val="none"/>
                <w:lang w:val="zh-CN"/>
              </w:rPr>
              <w:t>平台在线讲解演示。</w:t>
            </w:r>
            <w:r>
              <w:rPr>
                <w:rFonts w:hint="eastAsia" w:ascii="宋体" w:hAnsi="宋体" w:cs="宋体"/>
                <w:color w:val="auto"/>
                <w:kern w:val="0"/>
                <w:sz w:val="24"/>
                <w:highlight w:val="none"/>
                <w:lang w:val="zh-CN"/>
              </w:rPr>
              <w:t>乐采云平台</w:t>
            </w:r>
            <w:r>
              <w:rPr>
                <w:rFonts w:hint="eastAsia" w:ascii="宋体" w:hAnsi="宋体" w:eastAsia="宋体" w:cs="宋体"/>
                <w:color w:val="auto"/>
                <w:kern w:val="0"/>
                <w:sz w:val="24"/>
                <w:highlight w:val="none"/>
                <w:lang w:val="zh-CN"/>
              </w:rPr>
              <w:t>在线讲解需投标人根据</w:t>
            </w:r>
            <w:r>
              <w:rPr>
                <w:rFonts w:hint="eastAsia" w:ascii="宋体" w:hAnsi="宋体" w:cs="宋体"/>
                <w:color w:val="auto"/>
                <w:kern w:val="0"/>
                <w:sz w:val="24"/>
                <w:highlight w:val="none"/>
                <w:lang w:val="zh-CN"/>
              </w:rPr>
              <w:t>乐采云</w:t>
            </w:r>
            <w:r>
              <w:rPr>
                <w:rFonts w:hint="eastAsia" w:ascii="宋体" w:hAnsi="宋体" w:eastAsia="宋体" w:cs="宋体"/>
                <w:color w:val="auto"/>
                <w:kern w:val="0"/>
                <w:sz w:val="24"/>
                <w:highlight w:val="none"/>
                <w:lang w:val="zh-CN"/>
              </w:rPr>
              <w:t>平台操作要求做好准备工作，提前完善软硬件配置环境。</w:t>
            </w:r>
          </w:p>
          <w:p w14:paraId="5EA5E811">
            <w:pPr>
              <w:keepNext w:val="0"/>
              <w:keepLines w:val="0"/>
              <w:suppressLineNumbers w:val="0"/>
              <w:spacing w:before="0" w:beforeAutospacing="0" w:after="0" w:afterAutospacing="0" w:line="360" w:lineRule="auto"/>
              <w:ind w:left="0" w:right="0"/>
              <w:rPr>
                <w:rFonts w:hint="eastAsia" w:ascii="宋体" w:hAnsi="宋体" w:eastAsia="宋体" w:cs="宋体"/>
                <w:color w:val="auto"/>
                <w:highlight w:val="none"/>
                <w:lang w:val="zh-CN"/>
              </w:rPr>
            </w:pPr>
            <w:r>
              <w:rPr>
                <w:rFonts w:hint="eastAsia" w:ascii="宋体" w:hAnsi="宋体" w:eastAsia="宋体" w:cs="宋体"/>
                <w:color w:val="auto"/>
                <w:kern w:val="0"/>
                <w:sz w:val="24"/>
                <w:highlight w:val="none"/>
                <w:lang w:val="zh-CN"/>
              </w:rPr>
              <w:t>注：因投标人自身原因导致无法演示或者演示效果不理想的，责任自负。因平台原因导致本项目方案讲解演示环节无法顺利开展，按照《浙江省政府采购项目电子交易管理暂行办法》相关规定执行。</w:t>
            </w:r>
          </w:p>
        </w:tc>
      </w:tr>
      <w:tr w14:paraId="70EE75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51FD1D8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5309D4B6">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lang w:val="en-US" w:eastAsia="zh-CN"/>
              </w:rPr>
            </w:pPr>
          </w:p>
          <w:p w14:paraId="55CBCEF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7</w:t>
            </w:r>
          </w:p>
        </w:tc>
        <w:tc>
          <w:tcPr>
            <w:tcW w:w="1843" w:type="dxa"/>
            <w:vMerge w:val="restart"/>
            <w:tcBorders>
              <w:top w:val="single" w:color="000000" w:sz="8" w:space="0"/>
              <w:left w:val="single" w:color="auto" w:sz="4" w:space="0"/>
              <w:right w:val="single" w:color="000000" w:sz="8" w:space="0"/>
            </w:tcBorders>
            <w:vAlign w:val="center"/>
          </w:tcPr>
          <w:p w14:paraId="3670E9A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614" w:type="dxa"/>
            <w:tcBorders>
              <w:top w:val="single" w:color="000000" w:sz="8" w:space="0"/>
              <w:left w:val="single" w:color="000000" w:sz="2" w:space="0"/>
              <w:bottom w:val="single" w:color="auto" w:sz="4" w:space="0"/>
              <w:right w:val="single" w:color="000000" w:sz="8" w:space="0"/>
            </w:tcBorders>
            <w:vAlign w:val="center"/>
          </w:tcPr>
          <w:p w14:paraId="66680BC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39B2CB53">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3A4B80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0D78226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5A8D9D9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p>
        </w:tc>
        <w:tc>
          <w:tcPr>
            <w:tcW w:w="6614" w:type="dxa"/>
            <w:tcBorders>
              <w:top w:val="single" w:color="auto" w:sz="4" w:space="0"/>
              <w:left w:val="single" w:color="000000" w:sz="2" w:space="0"/>
              <w:bottom w:val="single" w:color="000000" w:sz="8" w:space="0"/>
              <w:right w:val="single" w:color="000000" w:sz="8" w:space="0"/>
            </w:tcBorders>
            <w:vAlign w:val="center"/>
          </w:tcPr>
          <w:p w14:paraId="2645FB8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7143E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tcPr>
          <w:p w14:paraId="543DCFA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182B750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1A6A385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06ACADD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6983CBC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6D5E81D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4D4A447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7EC6EFD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5B7830A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0A5241E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614" w:type="dxa"/>
            <w:tcBorders>
              <w:top w:val="single" w:color="000000" w:sz="8" w:space="0"/>
              <w:left w:val="single" w:color="000000" w:sz="2" w:space="0"/>
              <w:bottom w:val="single" w:color="000000" w:sz="8" w:space="0"/>
              <w:right w:val="single" w:color="000000" w:sz="8" w:space="0"/>
            </w:tcBorders>
            <w:vAlign w:val="center"/>
          </w:tcPr>
          <w:p w14:paraId="6CBBDEB5">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有关本项目实施所需的所有费用（含税费）均计入报价。</w:t>
            </w:r>
            <w:r>
              <w:rPr>
                <w:rFonts w:hint="eastAsia" w:ascii="宋体" w:hAnsi="宋体" w:eastAsia="宋体" w:cs="宋体"/>
                <w:b/>
                <w:bCs/>
                <w:color w:val="auto"/>
                <w:kern w:val="0"/>
                <w:sz w:val="24"/>
                <w:highlight w:val="none"/>
                <w:lang w:val="zh-CN"/>
              </w:rPr>
              <w:t>投标文件</w:t>
            </w:r>
            <w:r>
              <w:rPr>
                <w:rFonts w:hint="eastAsia" w:ascii="宋体" w:hAnsi="宋体" w:eastAsia="宋体" w:cs="宋体"/>
                <w:b/>
                <w:bCs/>
                <w:color w:val="auto"/>
                <w:sz w:val="24"/>
                <w:highlight w:val="none"/>
              </w:rPr>
              <w:t>开标一览表（报价表）是报价的唯一载体，如投标人在</w:t>
            </w:r>
            <w:r>
              <w:rPr>
                <w:rFonts w:hint="eastAsia" w:ascii="宋体" w:hAnsi="宋体" w:cs="宋体"/>
                <w:b/>
                <w:bCs/>
                <w:color w:val="auto"/>
                <w:sz w:val="24"/>
                <w:highlight w:val="none"/>
                <w:lang w:eastAsia="zh-CN"/>
              </w:rPr>
              <w:t>乐采云</w:t>
            </w:r>
            <w:r>
              <w:rPr>
                <w:rFonts w:hint="eastAsia" w:ascii="宋体" w:hAnsi="宋体" w:eastAsia="宋体" w:cs="宋体"/>
                <w:b/>
                <w:bCs/>
                <w:color w:val="auto"/>
                <w:sz w:val="24"/>
                <w:highlight w:val="none"/>
              </w:rPr>
              <w:t>填写的投标报价与投标文件报价文件中开标一览表（报价表）不一致的，以报价文件中开标一览表（报价表）为准。</w:t>
            </w:r>
            <w:r>
              <w:rPr>
                <w:rFonts w:hint="eastAsia" w:ascii="宋体" w:hAnsi="宋体" w:eastAsia="宋体" w:cs="宋体"/>
                <w:color w:val="auto"/>
                <w:kern w:val="0"/>
                <w:sz w:val="24"/>
                <w:highlight w:val="none"/>
                <w:lang w:val="zh-CN"/>
              </w:rPr>
              <w:t>投标文件中价格全部采用</w:t>
            </w:r>
            <w:r>
              <w:rPr>
                <w:rFonts w:hint="eastAsia" w:ascii="宋体" w:hAnsi="宋体" w:eastAsia="宋体" w:cs="宋体"/>
                <w:b/>
                <w:bCs/>
                <w:color w:val="auto"/>
                <w:kern w:val="0"/>
                <w:sz w:val="24"/>
                <w:highlight w:val="none"/>
                <w:lang w:val="zh-CN"/>
              </w:rPr>
              <w:t>人民币</w:t>
            </w:r>
            <w:r>
              <w:rPr>
                <w:rFonts w:hint="eastAsia" w:ascii="宋体" w:hAnsi="宋体" w:eastAsia="宋体" w:cs="宋体"/>
                <w:color w:val="auto"/>
                <w:kern w:val="0"/>
                <w:sz w:val="24"/>
                <w:highlight w:val="none"/>
                <w:lang w:val="zh-CN"/>
              </w:rPr>
              <w:t>报价。招标文件未列明，而投标人认为必需的费用也需列入报价。</w:t>
            </w:r>
            <w:r>
              <w:rPr>
                <w:rFonts w:hint="eastAsia" w:ascii="宋体" w:hAnsi="宋体" w:eastAsia="宋体" w:cs="宋体"/>
                <w:b/>
                <w:color w:val="auto"/>
                <w:kern w:val="0"/>
                <w:sz w:val="24"/>
                <w:highlight w:val="none"/>
                <w:lang w:val="zh-CN"/>
              </w:rPr>
              <w:t>提醒：验收时检测费用由中标人承担，包含在投标总价中。</w:t>
            </w:r>
          </w:p>
          <w:p w14:paraId="06A513E7">
            <w:pPr>
              <w:keepNext w:val="0"/>
              <w:keepLines w:val="0"/>
              <w:suppressLineNumbers w:val="0"/>
              <w:snapToGrid w:val="0"/>
              <w:spacing w:before="0" w:beforeAutospacing="0" w:after="0" w:afterAutospacing="0" w:line="360" w:lineRule="auto"/>
              <w:ind w:left="0" w:right="0"/>
              <w:jc w:val="left"/>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投标报价出现下列情形的，投标无效：</w:t>
            </w:r>
          </w:p>
          <w:p w14:paraId="3C369605">
            <w:pPr>
              <w:keepNext w:val="0"/>
              <w:keepLines w:val="0"/>
              <w:suppressLineNumbers w:val="0"/>
              <w:snapToGrid w:val="0"/>
              <w:spacing w:before="0" w:beforeAutospacing="0" w:after="0" w:afterAutospacing="0" w:line="360" w:lineRule="auto"/>
              <w:ind w:left="0" w:right="0" w:firstLine="240"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投标文件出现不是唯一的、有选择性投标报价的；</w:t>
            </w:r>
          </w:p>
          <w:p w14:paraId="7AD93D33">
            <w:pPr>
              <w:keepNext w:val="0"/>
              <w:keepLines w:val="0"/>
              <w:suppressLineNumbers w:val="0"/>
              <w:snapToGrid w:val="0"/>
              <w:spacing w:before="0" w:beforeAutospacing="0" w:after="0" w:afterAutospacing="0" w:line="360" w:lineRule="auto"/>
              <w:ind w:left="0" w:right="0" w:firstLine="240" w:firstLineChars="1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投标报价超过招标文件中规定的预算金额或者最高限价的；</w:t>
            </w:r>
          </w:p>
          <w:p w14:paraId="447A945F">
            <w:pPr>
              <w:keepNext w:val="0"/>
              <w:keepLines w:val="0"/>
              <w:suppressLineNumbers w:val="0"/>
              <w:snapToGrid w:val="0"/>
              <w:spacing w:before="0" w:beforeAutospacing="0" w:after="0" w:afterAutospacing="0" w:line="360" w:lineRule="auto"/>
              <w:ind w:left="0" w:right="0"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lang w:val="zh-CN"/>
              </w:rPr>
              <w:t>为避免出现恶意低价竞争的情况，低于报价文件满足招标文件全部实质性要求的供应商平均报价的</w:t>
            </w:r>
            <w:r>
              <w:rPr>
                <w:rFonts w:hint="eastAsia" w:ascii="宋体" w:hAnsi="宋体" w:cs="宋体"/>
                <w:b/>
                <w:color w:val="auto"/>
                <w:kern w:val="0"/>
                <w:sz w:val="24"/>
                <w:highlight w:val="none"/>
                <w:u w:val="single"/>
                <w:lang w:val="en-US" w:eastAsia="zh-CN"/>
              </w:rPr>
              <w:t xml:space="preserve">  / </w:t>
            </w:r>
            <w:r>
              <w:rPr>
                <w:rFonts w:hint="eastAsia" w:ascii="宋体" w:hAnsi="宋体" w:eastAsia="宋体" w:cs="宋体"/>
                <w:b/>
                <w:color w:val="auto"/>
                <w:kern w:val="0"/>
                <w:sz w:val="24"/>
                <w:highlight w:val="none"/>
                <w:lang w:val="zh-CN"/>
              </w:rPr>
              <w:t>%作否决投标处理</w:t>
            </w:r>
            <w:r>
              <w:rPr>
                <w:rFonts w:hint="eastAsia" w:ascii="宋体" w:hAnsi="宋体" w:cs="宋体"/>
                <w:b/>
                <w:color w:val="auto"/>
                <w:kern w:val="0"/>
                <w:sz w:val="24"/>
                <w:highlight w:val="none"/>
                <w:lang w:val="zh-CN"/>
              </w:rPr>
              <w:t>（若有）</w:t>
            </w:r>
            <w:r>
              <w:rPr>
                <w:rFonts w:hint="eastAsia" w:ascii="宋体" w:hAnsi="宋体" w:eastAsia="宋体" w:cs="宋体"/>
                <w:b/>
                <w:color w:val="auto"/>
                <w:kern w:val="0"/>
                <w:sz w:val="24"/>
                <w:highlight w:val="none"/>
                <w:lang w:val="zh-CN"/>
              </w:rPr>
              <w:t>。</w:t>
            </w:r>
          </w:p>
          <w:p w14:paraId="3ABA6E04">
            <w:pPr>
              <w:keepNext w:val="0"/>
              <w:keepLines w:val="0"/>
              <w:suppressLineNumbers w:val="0"/>
              <w:spacing w:before="0" w:beforeAutospacing="0" w:after="0" w:afterAutospacing="0" w:line="360" w:lineRule="auto"/>
              <w:ind w:left="0" w:right="0" w:firstLine="240" w:firstLineChars="100"/>
              <w:rPr>
                <w:rFonts w:hint="eastAsia" w:ascii="宋体" w:hAnsi="宋体" w:eastAsia="宋体" w:cs="宋体"/>
                <w:b/>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kern w:val="0"/>
                <w:sz w:val="24"/>
                <w:highlight w:val="none"/>
                <w:lang w:eastAsia="zh-CN"/>
              </w:rPr>
              <w:t>；</w:t>
            </w:r>
          </w:p>
          <w:p w14:paraId="074C79CF">
            <w:pPr>
              <w:keepNext w:val="0"/>
              <w:keepLines w:val="0"/>
              <w:suppressLineNumbers w:val="0"/>
              <w:spacing w:before="0" w:beforeAutospacing="0" w:after="0" w:afterAutospacing="0" w:line="360" w:lineRule="auto"/>
              <w:ind w:left="0" w:right="0"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kern w:val="0"/>
                <w:sz w:val="24"/>
                <w:highlight w:val="none"/>
              </w:rPr>
              <w:t>投标人对根据修正原则修正后的报价不确认的</w:t>
            </w:r>
            <w:r>
              <w:rPr>
                <w:rFonts w:hint="eastAsia" w:ascii="宋体" w:hAnsi="宋体" w:eastAsia="宋体" w:cs="宋体"/>
                <w:b/>
                <w:color w:val="auto"/>
                <w:sz w:val="24"/>
                <w:highlight w:val="none"/>
              </w:rPr>
              <w:t>。</w:t>
            </w:r>
          </w:p>
        </w:tc>
      </w:tr>
      <w:tr w14:paraId="34CBE9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40" w:hRule="atLeast"/>
          <w:tblHeader/>
        </w:trPr>
        <w:tc>
          <w:tcPr>
            <w:tcW w:w="629" w:type="dxa"/>
            <w:tcBorders>
              <w:top w:val="single" w:color="auto" w:sz="4" w:space="0"/>
              <w:left w:val="single" w:color="000000" w:sz="8" w:space="0"/>
              <w:right w:val="single" w:color="000000" w:sz="2" w:space="0"/>
            </w:tcBorders>
            <w:shd w:val="clear" w:color="auto" w:fill="auto"/>
            <w:vAlign w:val="top"/>
          </w:tcPr>
          <w:p w14:paraId="03D9F8F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332A104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07930C0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9</w:t>
            </w:r>
          </w:p>
        </w:tc>
        <w:tc>
          <w:tcPr>
            <w:tcW w:w="1843" w:type="dxa"/>
            <w:tcBorders>
              <w:top w:val="single" w:color="000000" w:sz="8" w:space="0"/>
              <w:left w:val="single" w:color="000000" w:sz="2" w:space="0"/>
              <w:right w:val="single" w:color="000000" w:sz="8" w:space="0"/>
            </w:tcBorders>
            <w:shd w:val="clear" w:color="auto" w:fill="auto"/>
            <w:vAlign w:val="center"/>
          </w:tcPr>
          <w:p w14:paraId="17FFAEC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 xml:space="preserve">备份投标文件送达地点和签收人员 </w:t>
            </w:r>
          </w:p>
        </w:tc>
        <w:tc>
          <w:tcPr>
            <w:tcW w:w="6614" w:type="dxa"/>
            <w:tcBorders>
              <w:top w:val="single" w:color="000000" w:sz="8" w:space="0"/>
              <w:left w:val="single" w:color="000000" w:sz="2" w:space="0"/>
              <w:right w:val="single" w:color="000000" w:sz="8" w:space="0"/>
            </w:tcBorders>
            <w:shd w:val="clear" w:color="auto" w:fill="auto"/>
            <w:vAlign w:val="center"/>
          </w:tcPr>
          <w:p w14:paraId="36963B4B">
            <w:pPr>
              <w:keepNext w:val="0"/>
              <w:keepLines w:val="0"/>
              <w:widowControl w:val="0"/>
              <w:suppressLineNumbers w:val="0"/>
              <w:adjustRightInd w:val="0"/>
              <w:spacing w:before="0" w:beforeAutospacing="0" w:after="0" w:afterAutospacing="0" w:line="360" w:lineRule="auto"/>
              <w:ind w:left="0" w:right="0" w:firstLine="480"/>
              <w:jc w:val="both"/>
              <w:rPr>
                <w:rFonts w:hint="eastAsia" w:ascii="宋体" w:hAnsi="宋体" w:eastAsia="宋体" w:cs="宋体"/>
                <w:snapToGrid w:val="0"/>
                <w:color w:val="auto"/>
                <w:kern w:val="28"/>
                <w:sz w:val="24"/>
                <w:szCs w:val="21"/>
                <w:highlight w:val="none"/>
                <w:lang w:val="en-US" w:eastAsia="zh-CN" w:bidi="ar-SA"/>
              </w:rPr>
            </w:pPr>
            <w:r>
              <w:rPr>
                <w:rFonts w:hint="eastAsia" w:ascii="宋体" w:hAnsi="宋体" w:eastAsia="宋体" w:cs="宋体"/>
                <w:color w:val="auto"/>
                <w:kern w:val="28"/>
                <w:sz w:val="24"/>
                <w:szCs w:val="24"/>
                <w:highlight w:val="none"/>
              </w:rPr>
              <w:t>备份投标文件送达地点：</w:t>
            </w:r>
            <w:r>
              <w:rPr>
                <w:rFonts w:hint="eastAsia" w:ascii="宋体" w:hAnsi="宋体" w:eastAsia="宋体" w:cs="宋体"/>
                <w:kern w:val="2"/>
                <w:sz w:val="24"/>
                <w:szCs w:val="24"/>
                <w:u w:val="single"/>
                <w:lang w:val="en-US" w:eastAsia="zh-CN" w:bidi="ar"/>
              </w:rPr>
              <w:t>浙江省建德市新安东路100号4号楼1楼</w:t>
            </w:r>
            <w:r>
              <w:rPr>
                <w:rFonts w:hint="eastAsia" w:ascii="宋体" w:hAnsi="宋体" w:eastAsia="宋体" w:cs="宋体"/>
                <w:color w:val="auto"/>
                <w:kern w:val="28"/>
                <w:sz w:val="24"/>
                <w:szCs w:val="24"/>
                <w:highlight w:val="none"/>
              </w:rPr>
              <w:t>；备份投标文件签收人员联系电话：</w:t>
            </w:r>
            <w:r>
              <w:rPr>
                <w:rFonts w:hint="eastAsia" w:ascii="宋体" w:hAnsi="宋体" w:cs="宋体"/>
                <w:color w:val="auto"/>
                <w:kern w:val="28"/>
                <w:sz w:val="24"/>
                <w:szCs w:val="24"/>
                <w:highlight w:val="none"/>
                <w:u w:val="single"/>
                <w:lang w:val="en-US" w:eastAsia="zh-CN"/>
              </w:rPr>
              <w:t>杜工，</w:t>
            </w:r>
            <w:r>
              <w:rPr>
                <w:rFonts w:hint="eastAsia" w:hAnsi="宋体" w:cs="宋体"/>
                <w:color w:val="auto"/>
                <w:sz w:val="24"/>
                <w:szCs w:val="24"/>
                <w:highlight w:val="none"/>
                <w:u w:val="single"/>
                <w:lang w:val="en-US" w:eastAsia="zh-CN"/>
              </w:rPr>
              <w:t>18106559273</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tc>
      </w:tr>
      <w:tr w14:paraId="362C67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2FF1E34B">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lang w:val="en-US" w:eastAsia="zh-CN"/>
              </w:rPr>
            </w:pPr>
          </w:p>
          <w:p w14:paraId="22DE7152">
            <w:pPr>
              <w:keepNext w:val="0"/>
              <w:keepLines w:val="0"/>
              <w:suppressLineNumbers w:val="0"/>
              <w:snapToGrid w:val="0"/>
              <w:spacing w:before="0" w:beforeAutospacing="0" w:after="0" w:afterAutospacing="0" w:line="360" w:lineRule="auto"/>
              <w:ind w:left="0" w:right="0"/>
              <w:jc w:val="center"/>
              <w:rPr>
                <w:rFonts w:hint="eastAsia" w:ascii="宋体" w:hAnsi="宋体" w:cs="宋体"/>
                <w:color w:val="auto"/>
                <w:sz w:val="24"/>
                <w:highlight w:val="none"/>
                <w:lang w:val="en-US" w:eastAsia="zh-CN"/>
              </w:rPr>
            </w:pPr>
          </w:p>
          <w:p w14:paraId="76B321B7">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4EEA5C6">
            <w:pPr>
              <w:keepNext w:val="0"/>
              <w:keepLines w:val="0"/>
              <w:suppressLineNumbers w:val="0"/>
              <w:autoSpaceDE w:val="0"/>
              <w:autoSpaceDN w:val="0"/>
              <w:adjustRightInd w:val="0"/>
              <w:snapToGrid w:val="0"/>
              <w:spacing w:before="0" w:beforeAutospacing="0" w:after="0" w:afterAutospacing="0" w:line="360" w:lineRule="auto"/>
              <w:ind w:left="0" w:right="0"/>
              <w:rPr>
                <w:rFonts w:hint="eastAsia" w:ascii="宋体" w:hAnsi="宋体" w:eastAsia="宋体" w:cs="宋体"/>
                <w:b/>
                <w:color w:val="auto"/>
                <w:sz w:val="24"/>
                <w:highlight w:val="none"/>
              </w:rPr>
            </w:pPr>
            <w:r>
              <w:rPr>
                <w:rFonts w:hint="eastAsia" w:ascii="宋体" w:hAnsi="宋体" w:cs="宋体"/>
                <w:b/>
                <w:bCs/>
                <w:snapToGrid w:val="0"/>
                <w:color w:val="auto"/>
                <w:szCs w:val="21"/>
                <w:highlight w:val="none"/>
                <w:lang w:val="zh-CN"/>
              </w:rPr>
              <w:t>纸质版投标文件要求</w:t>
            </w:r>
          </w:p>
        </w:tc>
        <w:tc>
          <w:tcPr>
            <w:tcW w:w="6614" w:type="dxa"/>
            <w:tcBorders>
              <w:top w:val="single" w:color="000000" w:sz="8" w:space="0"/>
              <w:left w:val="single" w:color="000000" w:sz="2" w:space="0"/>
              <w:bottom w:val="single" w:color="000000" w:sz="8" w:space="0"/>
              <w:right w:val="single" w:color="000000" w:sz="8" w:space="0"/>
            </w:tcBorders>
            <w:vAlign w:val="center"/>
          </w:tcPr>
          <w:p w14:paraId="6FBDCD2F">
            <w:pPr>
              <w:pStyle w:val="956"/>
              <w:keepNext w:val="0"/>
              <w:keepLines w:val="0"/>
              <w:suppressLineNumbers w:val="0"/>
              <w:snapToGrid w:val="0"/>
              <w:spacing w:before="0" w:beforeAutospacing="0" w:after="0" w:afterAutospacing="0" w:line="360" w:lineRule="auto"/>
              <w:ind w:left="0" w:right="42" w:rightChars="20"/>
              <w:jc w:val="both"/>
              <w:rPr>
                <w:rFonts w:hint="eastAsia"/>
                <w:b/>
                <w:bCs/>
                <w:snapToGrid w:val="0"/>
                <w:color w:val="auto"/>
                <w:sz w:val="21"/>
                <w:szCs w:val="21"/>
                <w:highlight w:val="none"/>
                <w:lang w:val="zh-CN" w:eastAsia="zh-CN"/>
              </w:rPr>
            </w:pPr>
            <w:r>
              <w:rPr>
                <w:rFonts w:hint="eastAsia"/>
                <w:b/>
                <w:bCs/>
                <w:snapToGrid w:val="0"/>
                <w:color w:val="auto"/>
                <w:sz w:val="21"/>
                <w:szCs w:val="21"/>
                <w:highlight w:val="none"/>
                <w:lang w:val="zh-CN" w:eastAsia="zh-CN"/>
              </w:rPr>
              <w:t>中标人必须在中标后三日内递交纸质版投标文件。（未提供纸质投标文件或纸质投标文件与电子投标文件不一致的，不得签订合同）</w:t>
            </w:r>
          </w:p>
          <w:p w14:paraId="22CEE1E4">
            <w:pPr>
              <w:pStyle w:val="956"/>
              <w:keepNext w:val="0"/>
              <w:keepLines w:val="0"/>
              <w:suppressLineNumbers w:val="0"/>
              <w:snapToGrid w:val="0"/>
              <w:spacing w:before="0" w:beforeAutospacing="0" w:after="0" w:afterAutospacing="0" w:line="360" w:lineRule="auto"/>
              <w:ind w:left="0" w:right="42" w:rightChars="20"/>
              <w:jc w:val="both"/>
              <w:rPr>
                <w:rFonts w:hint="eastAsia" w:ascii="宋体" w:hAnsi="宋体" w:eastAsia="宋体" w:cs="宋体"/>
                <w:color w:val="auto"/>
                <w:kern w:val="28"/>
                <w:sz w:val="24"/>
                <w:highlight w:val="none"/>
              </w:rPr>
            </w:pPr>
            <w:r>
              <w:rPr>
                <w:rFonts w:hint="eastAsia"/>
                <w:b/>
                <w:bCs/>
                <w:snapToGrid w:val="0"/>
                <w:color w:val="auto"/>
                <w:sz w:val="21"/>
                <w:szCs w:val="21"/>
                <w:highlight w:val="none"/>
                <w:lang w:val="zh-CN" w:eastAsia="zh-CN"/>
              </w:rPr>
              <w:t>纸质版</w:t>
            </w:r>
            <w:r>
              <w:rPr>
                <w:rFonts w:hint="eastAsia"/>
                <w:b/>
                <w:bCs/>
                <w:snapToGrid w:val="0"/>
                <w:color w:val="auto"/>
                <w:sz w:val="21"/>
                <w:szCs w:val="21"/>
                <w:highlight w:val="none"/>
                <w:lang w:eastAsia="zh-CN"/>
              </w:rPr>
              <w:t>投标</w:t>
            </w:r>
            <w:r>
              <w:rPr>
                <w:rFonts w:hint="eastAsia"/>
                <w:b/>
                <w:bCs/>
                <w:snapToGrid w:val="0"/>
                <w:color w:val="auto"/>
                <w:sz w:val="21"/>
                <w:szCs w:val="21"/>
                <w:highlight w:val="none"/>
                <w:lang w:val="zh-CN" w:eastAsia="zh-CN"/>
              </w:rPr>
              <w:t>文件的组成：由</w:t>
            </w:r>
            <w:r>
              <w:rPr>
                <w:rFonts w:hint="eastAsia"/>
                <w:b/>
                <w:bCs/>
                <w:snapToGrid w:val="0"/>
                <w:color w:val="auto"/>
                <w:sz w:val="21"/>
                <w:szCs w:val="21"/>
                <w:highlight w:val="none"/>
                <w:lang w:val="en-US" w:eastAsia="zh-CN"/>
              </w:rPr>
              <w:t>响应文件</w:t>
            </w:r>
            <w:r>
              <w:rPr>
                <w:rFonts w:hint="eastAsia"/>
                <w:b/>
                <w:bCs/>
                <w:snapToGrid w:val="0"/>
                <w:color w:val="auto"/>
                <w:sz w:val="21"/>
                <w:szCs w:val="21"/>
                <w:highlight w:val="none"/>
                <w:lang w:val="zh-CN" w:eastAsia="zh-CN"/>
              </w:rPr>
              <w:t>正本1份，副本</w:t>
            </w:r>
            <w:r>
              <w:rPr>
                <w:rFonts w:hint="eastAsia"/>
                <w:b/>
                <w:bCs/>
                <w:snapToGrid w:val="0"/>
                <w:color w:val="auto"/>
                <w:sz w:val="21"/>
                <w:szCs w:val="21"/>
                <w:highlight w:val="none"/>
                <w:u w:val="single"/>
                <w:lang w:val="en-US" w:eastAsia="zh-CN"/>
              </w:rPr>
              <w:t>5</w:t>
            </w:r>
            <w:r>
              <w:rPr>
                <w:rFonts w:hint="eastAsia"/>
                <w:b/>
                <w:bCs/>
                <w:snapToGrid w:val="0"/>
                <w:color w:val="auto"/>
                <w:sz w:val="21"/>
                <w:szCs w:val="21"/>
                <w:highlight w:val="none"/>
                <w:lang w:eastAsia="zh-CN"/>
              </w:rPr>
              <w:t>份</w:t>
            </w:r>
            <w:r>
              <w:rPr>
                <w:rFonts w:hint="eastAsia"/>
                <w:b/>
                <w:bCs/>
                <w:snapToGrid w:val="0"/>
                <w:color w:val="auto"/>
                <w:sz w:val="21"/>
                <w:szCs w:val="21"/>
                <w:highlight w:val="none"/>
                <w:lang w:val="zh-CN" w:eastAsia="zh-CN"/>
              </w:rPr>
              <w:t>（副本可为正本的复印件，标书封面加盖公章）组成。以上文件须采用胶装装订方式。</w:t>
            </w:r>
          </w:p>
        </w:tc>
      </w:tr>
      <w:tr w14:paraId="13590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08DA591D">
            <w:pPr>
              <w:keepNext w:val="0"/>
              <w:keepLines w:val="0"/>
              <w:suppressLineNumbers w:val="0"/>
              <w:snapToGrid w:val="0"/>
              <w:spacing w:before="0" w:beforeAutospacing="0" w:after="0" w:afterAutospacing="0" w:line="360" w:lineRule="auto"/>
              <w:ind w:left="0" w:right="0" w:firstLine="240" w:firstLineChars="100"/>
              <w:jc w:val="center"/>
              <w:rPr>
                <w:rFonts w:hint="eastAsia" w:ascii="宋体" w:hAnsi="宋体" w:eastAsia="宋体" w:cs="宋体"/>
                <w:color w:val="auto"/>
                <w:sz w:val="24"/>
                <w:highlight w:val="none"/>
                <w:lang w:val="en-US" w:eastAsia="zh-CN"/>
              </w:rPr>
            </w:pPr>
          </w:p>
          <w:p w14:paraId="0EAC463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lang w:val="en-US" w:eastAsia="zh-CN"/>
              </w:rPr>
            </w:pPr>
          </w:p>
          <w:p w14:paraId="707CDF58">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62512B9F">
            <w:pPr>
              <w:keepNext w:val="0"/>
              <w:keepLines w:val="0"/>
              <w:suppressLineNumbers w:val="0"/>
              <w:snapToGrid w:val="0"/>
              <w:spacing w:before="0" w:beforeAutospacing="0" w:after="0" w:afterAutospacing="0" w:line="24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采购代理机构</w:t>
            </w:r>
          </w:p>
          <w:p w14:paraId="047BFF0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sz w:val="24"/>
                <w:highlight w:val="none"/>
              </w:rPr>
              <w:t>代理费用</w:t>
            </w:r>
          </w:p>
        </w:tc>
        <w:tc>
          <w:tcPr>
            <w:tcW w:w="6614" w:type="dxa"/>
            <w:tcBorders>
              <w:top w:val="single" w:color="000000" w:sz="8" w:space="0"/>
              <w:left w:val="single" w:color="000000" w:sz="2" w:space="0"/>
              <w:bottom w:val="single" w:color="000000" w:sz="8" w:space="0"/>
              <w:right w:val="single" w:color="000000" w:sz="8" w:space="0"/>
            </w:tcBorders>
            <w:vAlign w:val="center"/>
          </w:tcPr>
          <w:p w14:paraId="144AA97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464235"/>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本项目不收取采购代理服务费。</w:t>
            </w:r>
          </w:p>
          <w:p w14:paraId="1AA4D189">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szCs w:val="24"/>
                <w:highlight w:val="none"/>
                <w:lang w:val="en-US" w:eastAsia="zh-CN" w:bidi="ar-SA"/>
              </w:rPr>
            </w:pPr>
            <w:sdt>
              <w:sdtPr>
                <w:rPr>
                  <w:rFonts w:hint="eastAsia" w:ascii="宋体" w:hAnsi="宋体" w:eastAsia="宋体" w:cs="宋体"/>
                  <w:color w:val="auto"/>
                  <w:kern w:val="0"/>
                  <w:sz w:val="24"/>
                  <w:highlight w:val="none"/>
                </w:rPr>
                <w:id w:val="876584111"/>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4690"/>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FE"/>
                    </w:r>
                  </w:sdtContent>
                </w:sdt>
              </w:sdtContent>
            </w:sdt>
            <w:r>
              <w:rPr>
                <w:rFonts w:hint="eastAsia" w:ascii="宋体" w:hAnsi="宋体" w:eastAsia="宋体" w:cs="宋体"/>
                <w:color w:val="auto"/>
                <w:kern w:val="0"/>
                <w:sz w:val="24"/>
                <w:highlight w:val="none"/>
              </w:rPr>
              <w:t>B</w:t>
            </w:r>
            <w:r>
              <w:rPr>
                <w:rFonts w:hint="eastAsia" w:ascii="宋体" w:hAnsi="宋体" w:eastAsia="宋体" w:cs="宋体"/>
                <w:color w:val="auto"/>
                <w:sz w:val="24"/>
                <w:highlight w:val="none"/>
              </w:rPr>
              <w:t>本项目收取采购代理服务费。</w:t>
            </w:r>
            <w:r>
              <w:rPr>
                <w:rFonts w:hint="eastAsia" w:ascii="宋体" w:hAnsi="宋体" w:eastAsia="宋体" w:cs="宋体"/>
                <w:snapToGrid w:val="0"/>
                <w:color w:val="auto"/>
                <w:kern w:val="28"/>
                <w:sz w:val="24"/>
                <w:highlight w:val="none"/>
              </w:rPr>
              <w:t>响应总报价应包含采购服务费，采购服务费按</w:t>
            </w:r>
            <w:r>
              <w:rPr>
                <w:rFonts w:hint="eastAsia" w:ascii="宋体" w:hAnsi="宋体" w:cs="宋体"/>
                <w:snapToGrid w:val="0"/>
                <w:color w:val="auto"/>
                <w:kern w:val="28"/>
                <w:sz w:val="24"/>
                <w:highlight w:val="none"/>
                <w:u w:val="single"/>
                <w:lang w:val="en-US" w:eastAsia="zh-CN"/>
              </w:rPr>
              <w:t xml:space="preserve"> </w:t>
            </w:r>
            <w:r>
              <w:rPr>
                <w:rFonts w:hint="eastAsia"/>
                <w:b/>
                <w:bCs/>
                <w:sz w:val="24"/>
                <w:u w:val="single"/>
                <w:lang w:eastAsia="zh-CN"/>
              </w:rPr>
              <w:t>建德市</w:t>
            </w:r>
            <w:r>
              <w:rPr>
                <w:rFonts w:hint="eastAsia"/>
                <w:b/>
                <w:bCs/>
                <w:sz w:val="24"/>
                <w:u w:val="single"/>
                <w:lang w:val="en-US" w:eastAsia="zh-CN"/>
              </w:rPr>
              <w:t>17选中介服务平台</w:t>
            </w:r>
            <w:r>
              <w:rPr>
                <w:rFonts w:hint="eastAsia"/>
                <w:b/>
                <w:bCs/>
                <w:sz w:val="24"/>
                <w:u w:val="single"/>
              </w:rPr>
              <w:t>中标价</w:t>
            </w:r>
            <w:r>
              <w:rPr>
                <w:rFonts w:hint="eastAsia"/>
                <w:b/>
                <w:bCs/>
                <w:sz w:val="24"/>
                <w:u w:val="single"/>
                <w:lang w:eastAsia="zh-CN"/>
              </w:rPr>
              <w:t>收费</w:t>
            </w:r>
            <w:r>
              <w:rPr>
                <w:rFonts w:hint="eastAsia"/>
                <w:b/>
                <w:bCs/>
                <w:sz w:val="24"/>
                <w:u w:val="single"/>
              </w:rPr>
              <w:t>。</w:t>
            </w:r>
            <w:r>
              <w:rPr>
                <w:rFonts w:hint="eastAsia" w:ascii="宋体" w:hAnsi="宋体" w:eastAsia="宋体" w:cs="宋体"/>
                <w:snapToGrid w:val="0"/>
                <w:color w:val="auto"/>
                <w:kern w:val="28"/>
                <w:sz w:val="24"/>
                <w:highlight w:val="none"/>
              </w:rPr>
              <w:t>，人民币</w:t>
            </w:r>
            <w:r>
              <w:rPr>
                <w:rFonts w:hint="eastAsia" w:ascii="宋体" w:hAnsi="宋体" w:eastAsia="宋体" w:cs="宋体"/>
                <w:snapToGrid w:val="0"/>
                <w:color w:val="auto"/>
                <w:kern w:val="28"/>
                <w:sz w:val="24"/>
                <w:highlight w:val="none"/>
                <w:lang w:val="en-US" w:eastAsia="zh-CN"/>
              </w:rPr>
              <w:fldChar w:fldCharType="begin"/>
            </w:r>
            <w:r>
              <w:rPr>
                <w:rFonts w:hint="eastAsia" w:ascii="宋体" w:hAnsi="宋体" w:eastAsia="宋体" w:cs="宋体"/>
                <w:snapToGrid w:val="0"/>
                <w:color w:val="auto"/>
                <w:kern w:val="28"/>
                <w:sz w:val="24"/>
                <w:highlight w:val="none"/>
                <w:lang w:val="en-US" w:eastAsia="zh-CN"/>
              </w:rPr>
              <w:instrText xml:space="preserve"> = 4950 \* CHINESENUM4 \* MERGEFORMAT </w:instrText>
            </w:r>
            <w:r>
              <w:rPr>
                <w:rFonts w:hint="eastAsia" w:ascii="宋体" w:hAnsi="宋体" w:eastAsia="宋体" w:cs="宋体"/>
                <w:snapToGrid w:val="0"/>
                <w:color w:val="auto"/>
                <w:kern w:val="28"/>
                <w:sz w:val="24"/>
                <w:highlight w:val="none"/>
                <w:lang w:val="en-US" w:eastAsia="zh-CN"/>
              </w:rPr>
              <w:fldChar w:fldCharType="separate"/>
            </w:r>
            <w:r>
              <w:rPr>
                <w:rFonts w:hint="eastAsia" w:ascii="宋体" w:hAnsi="宋体" w:cs="宋体"/>
                <w:snapToGrid w:val="0"/>
                <w:color w:val="auto"/>
                <w:kern w:val="28"/>
                <w:sz w:val="24"/>
                <w:highlight w:val="none"/>
                <w:u w:val="single"/>
                <w:lang w:val="en-US" w:eastAsia="zh-CN"/>
              </w:rPr>
              <w:t>肆万叁仟壹佰柒拾贰</w:t>
            </w:r>
            <w:r>
              <w:rPr>
                <w:rFonts w:hint="eastAsia" w:ascii="宋体" w:hAnsi="宋体" w:eastAsia="宋体" w:cs="宋体"/>
                <w:snapToGrid w:val="0"/>
                <w:color w:val="auto"/>
                <w:kern w:val="28"/>
                <w:sz w:val="24"/>
                <w:highlight w:val="none"/>
              </w:rPr>
              <w:t>元整</w:t>
            </w:r>
            <w:r>
              <w:rPr>
                <w:rFonts w:hint="eastAsia" w:ascii="宋体" w:hAnsi="宋体" w:eastAsia="宋体" w:cs="宋体"/>
                <w:snapToGrid w:val="0"/>
                <w:color w:val="auto"/>
                <w:kern w:val="28"/>
                <w:sz w:val="24"/>
                <w:highlight w:val="none"/>
                <w:lang w:val="en-US" w:eastAsia="zh-CN"/>
              </w:rPr>
              <w:fldChar w:fldCharType="end"/>
            </w:r>
            <w:r>
              <w:rPr>
                <w:rFonts w:hint="eastAsia" w:ascii="宋体" w:hAnsi="宋体" w:eastAsia="宋体" w:cs="宋体"/>
                <w:snapToGrid w:val="0"/>
                <w:color w:val="auto"/>
                <w:kern w:val="28"/>
                <w:sz w:val="24"/>
                <w:highlight w:val="none"/>
              </w:rPr>
              <w:t>（¥</w:t>
            </w:r>
            <w:r>
              <w:rPr>
                <w:rFonts w:hint="eastAsia" w:ascii="宋体" w:hAnsi="宋体" w:cs="宋体"/>
                <w:snapToGrid w:val="0"/>
                <w:color w:val="auto"/>
                <w:kern w:val="28"/>
                <w:sz w:val="24"/>
                <w:highlight w:val="none"/>
                <w:lang w:eastAsia="zh-CN"/>
              </w:rPr>
              <w:t>：</w:t>
            </w:r>
            <w:r>
              <w:rPr>
                <w:rFonts w:hint="eastAsia" w:ascii="宋体" w:hAnsi="宋体" w:cs="宋体"/>
                <w:snapToGrid w:val="0"/>
                <w:color w:val="auto"/>
                <w:kern w:val="28"/>
                <w:sz w:val="24"/>
                <w:highlight w:val="none"/>
                <w:u w:val="single"/>
                <w:lang w:val="en-US" w:eastAsia="zh-CN"/>
              </w:rPr>
              <w:t>43173</w:t>
            </w:r>
            <w:r>
              <w:rPr>
                <w:rFonts w:hint="eastAsia" w:ascii="宋体" w:hAnsi="宋体" w:eastAsia="宋体" w:cs="宋体"/>
                <w:snapToGrid w:val="0"/>
                <w:color w:val="auto"/>
                <w:kern w:val="28"/>
                <w:sz w:val="24"/>
                <w:highlight w:val="none"/>
              </w:rPr>
              <w:t>元），</w:t>
            </w:r>
            <w:r>
              <w:rPr>
                <w:rFonts w:hint="eastAsia" w:ascii="宋体" w:hAnsi="宋体" w:cs="宋体"/>
                <w:snapToGrid w:val="0"/>
                <w:color w:val="auto"/>
                <w:kern w:val="28"/>
                <w:sz w:val="24"/>
                <w:highlight w:val="none"/>
                <w:lang w:eastAsia="zh-CN"/>
              </w:rPr>
              <w:t>评审费按实结算，</w:t>
            </w:r>
            <w:r>
              <w:rPr>
                <w:rFonts w:hint="eastAsia" w:ascii="宋体" w:hAnsi="宋体" w:eastAsia="宋体" w:cs="宋体"/>
                <w:snapToGrid w:val="0"/>
                <w:color w:val="auto"/>
                <w:kern w:val="28"/>
                <w:sz w:val="24"/>
                <w:highlight w:val="none"/>
              </w:rPr>
              <w:t>由</w:t>
            </w:r>
            <w:r>
              <w:rPr>
                <w:rFonts w:hint="eastAsia" w:ascii="宋体" w:hAnsi="宋体" w:cs="宋体"/>
                <w:snapToGrid w:val="0"/>
                <w:color w:val="auto"/>
                <w:kern w:val="28"/>
                <w:sz w:val="24"/>
                <w:highlight w:val="none"/>
                <w:lang w:eastAsia="zh-CN"/>
              </w:rPr>
              <w:t>中标</w:t>
            </w:r>
            <w:r>
              <w:rPr>
                <w:rFonts w:hint="eastAsia" w:ascii="宋体" w:hAnsi="宋体" w:eastAsia="宋体" w:cs="宋体"/>
                <w:snapToGrid w:val="0"/>
                <w:color w:val="auto"/>
                <w:kern w:val="28"/>
                <w:sz w:val="24"/>
                <w:highlight w:val="none"/>
              </w:rPr>
              <w:t>供应商在领取</w:t>
            </w:r>
            <w:r>
              <w:rPr>
                <w:rFonts w:hint="eastAsia" w:ascii="宋体" w:hAnsi="宋体" w:cs="宋体"/>
                <w:snapToGrid w:val="0"/>
                <w:color w:val="auto"/>
                <w:kern w:val="28"/>
                <w:sz w:val="24"/>
                <w:highlight w:val="none"/>
                <w:lang w:eastAsia="zh-CN"/>
              </w:rPr>
              <w:t>中标</w:t>
            </w:r>
            <w:r>
              <w:rPr>
                <w:rFonts w:hint="eastAsia" w:ascii="宋体" w:hAnsi="宋体" w:eastAsia="宋体" w:cs="宋体"/>
                <w:snapToGrid w:val="0"/>
                <w:color w:val="auto"/>
                <w:kern w:val="28"/>
                <w:sz w:val="24"/>
                <w:highlight w:val="none"/>
              </w:rPr>
              <w:t>通知书时</w:t>
            </w:r>
            <w:r>
              <w:rPr>
                <w:rFonts w:hint="eastAsia" w:ascii="宋体" w:hAnsi="宋体" w:cs="宋体"/>
                <w:snapToGrid w:val="0"/>
                <w:color w:val="auto"/>
                <w:kern w:val="28"/>
                <w:sz w:val="24"/>
                <w:highlight w:val="none"/>
                <w:lang w:eastAsia="zh-CN"/>
              </w:rPr>
              <w:t>一并</w:t>
            </w:r>
            <w:r>
              <w:rPr>
                <w:rFonts w:hint="eastAsia" w:ascii="宋体" w:hAnsi="宋体" w:eastAsia="宋体" w:cs="宋体"/>
                <w:snapToGrid w:val="0"/>
                <w:color w:val="auto"/>
                <w:kern w:val="28"/>
                <w:sz w:val="24"/>
                <w:highlight w:val="none"/>
              </w:rPr>
              <w:t>支付给采购代理公司。</w:t>
            </w:r>
          </w:p>
        </w:tc>
      </w:tr>
      <w:tr w14:paraId="789A05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21" w:hRule="atLeast"/>
          <w:tblHeader/>
        </w:trPr>
        <w:tc>
          <w:tcPr>
            <w:tcW w:w="629" w:type="dxa"/>
            <w:vMerge w:val="restart"/>
            <w:tcBorders>
              <w:top w:val="single" w:color="auto" w:sz="4" w:space="0"/>
              <w:left w:val="single" w:color="000000" w:sz="8" w:space="0"/>
              <w:right w:val="single" w:color="000000" w:sz="2" w:space="0"/>
            </w:tcBorders>
          </w:tcPr>
          <w:p w14:paraId="0611C54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76A590C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03C84F4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77FDDEC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p w14:paraId="7CEB0773">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p>
        </w:tc>
        <w:tc>
          <w:tcPr>
            <w:tcW w:w="1843" w:type="dxa"/>
            <w:vMerge w:val="restart"/>
            <w:tcBorders>
              <w:top w:val="single" w:color="000000" w:sz="8" w:space="0"/>
              <w:left w:val="single" w:color="000000" w:sz="2" w:space="0"/>
              <w:right w:val="single" w:color="000000" w:sz="8" w:space="0"/>
            </w:tcBorders>
            <w:vAlign w:val="center"/>
          </w:tcPr>
          <w:p w14:paraId="7269BE6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p>
          <w:p w14:paraId="1E7003D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614" w:type="dxa"/>
            <w:tcBorders>
              <w:top w:val="single" w:color="000000" w:sz="8" w:space="0"/>
              <w:left w:val="single" w:color="000000" w:sz="2" w:space="0"/>
              <w:bottom w:val="single" w:color="000000" w:sz="8" w:space="0"/>
              <w:right w:val="single" w:color="000000" w:sz="8" w:space="0"/>
            </w:tcBorders>
            <w:vAlign w:val="center"/>
          </w:tcPr>
          <w:p w14:paraId="7CC3F29B">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F854F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B8547D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843" w:type="dxa"/>
            <w:vMerge w:val="continue"/>
            <w:tcBorders>
              <w:left w:val="single" w:color="000000" w:sz="2" w:space="0"/>
              <w:bottom w:val="single" w:color="000000" w:sz="8" w:space="0"/>
              <w:right w:val="single" w:color="000000" w:sz="8" w:space="0"/>
            </w:tcBorders>
            <w:vAlign w:val="center"/>
          </w:tcPr>
          <w:p w14:paraId="4F6410E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b/>
                <w:color w:val="auto"/>
                <w:sz w:val="24"/>
                <w:highlight w:val="none"/>
              </w:rPr>
            </w:pPr>
          </w:p>
        </w:tc>
        <w:tc>
          <w:tcPr>
            <w:tcW w:w="6614" w:type="dxa"/>
            <w:tcBorders>
              <w:top w:val="single" w:color="000000" w:sz="8" w:space="0"/>
              <w:left w:val="single" w:color="000000" w:sz="2" w:space="0"/>
              <w:bottom w:val="single" w:color="000000" w:sz="8" w:space="0"/>
              <w:right w:val="single" w:color="000000" w:sz="8" w:space="0"/>
            </w:tcBorders>
            <w:vAlign w:val="center"/>
          </w:tcPr>
          <w:p w14:paraId="27EEAB27">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47482444"/>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snapToGrid w:val="0"/>
                <w:color w:val="auto"/>
                <w:kern w:val="28"/>
                <w:sz w:val="24"/>
                <w:highlight w:val="none"/>
              </w:rPr>
              <w:t>联合体投标的，联合体各方均需按招标文件第四部分评标标准要求提供资信证明文件，否则视为不符合相关要求。</w:t>
            </w:r>
          </w:p>
          <w:p w14:paraId="4DB7AC13">
            <w:pPr>
              <w:keepNext w:val="0"/>
              <w:keepLines w:val="0"/>
              <w:suppressLineNumbers w:val="0"/>
              <w:spacing w:before="0" w:beforeAutospacing="0" w:after="0" w:afterAutospacing="0" w:line="360" w:lineRule="auto"/>
              <w:ind w:left="0" w:right="0"/>
              <w:rPr>
                <w:rFonts w:hint="eastAsia" w:ascii="宋体" w:hAnsi="宋体" w:eastAsia="宋体" w:cs="宋体"/>
                <w:snapToGrid w:val="0"/>
                <w:color w:val="auto"/>
                <w:kern w:val="28"/>
                <w:sz w:val="24"/>
                <w:highlight w:val="none"/>
              </w:rPr>
            </w:pPr>
            <w:sdt>
              <w:sdtPr>
                <w:rPr>
                  <w:rFonts w:hint="eastAsia" w:ascii="宋体" w:hAnsi="宋体" w:eastAsia="宋体" w:cs="宋体"/>
                  <w:color w:val="auto"/>
                  <w:kern w:val="0"/>
                  <w:sz w:val="24"/>
                  <w:highlight w:val="none"/>
                </w:rPr>
                <w:id w:val="147452903"/>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00A8"/>
                </w:r>
              </w:sdtContent>
            </w:sdt>
            <w:r>
              <w:rPr>
                <w:rFonts w:hint="eastAsia" w:ascii="宋体" w:hAnsi="宋体" w:eastAsia="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bookmarkEnd w:id="10"/>
    </w:tbl>
    <w:p w14:paraId="71224078">
      <w:pPr>
        <w:adjustRightInd/>
        <w:spacing w:line="360" w:lineRule="auto"/>
        <w:outlineLvl w:val="0"/>
        <w:rPr>
          <w:rFonts w:hint="eastAsia" w:ascii="宋体" w:hAnsi="宋体" w:eastAsia="宋体" w:cs="宋体"/>
          <w:b/>
          <w:color w:val="auto"/>
          <w:sz w:val="32"/>
          <w:szCs w:val="20"/>
          <w:highlight w:val="none"/>
        </w:rPr>
      </w:pPr>
      <w:bookmarkStart w:id="28" w:name="第三部分"/>
      <w:bookmarkStart w:id="29" w:name="_Toc164416483"/>
    </w:p>
    <w:p w14:paraId="0CCE0A5E">
      <w:pPr>
        <w:adjustRightInd/>
        <w:spacing w:line="360" w:lineRule="auto"/>
        <w:outlineLvl w:val="0"/>
        <w:rPr>
          <w:rFonts w:hint="eastAsia" w:ascii="宋体" w:hAnsi="宋体" w:eastAsia="宋体" w:cs="宋体"/>
          <w:b/>
          <w:color w:val="auto"/>
          <w:sz w:val="32"/>
          <w:szCs w:val="20"/>
          <w:highlight w:val="none"/>
        </w:rPr>
      </w:pPr>
    </w:p>
    <w:p w14:paraId="2897D908">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004CEE44">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0BC46996">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591A418D">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64E0420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5C8BD43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”系指招标公告中载明的本项目的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w:t>
      </w:r>
    </w:p>
    <w:p w14:paraId="1656860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5CAAB45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09AC833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05C1BA4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w:t>
      </w:r>
      <w:r>
        <w:rPr>
          <w:rFonts w:hint="eastAsia" w:ascii="宋体" w:hAnsi="宋体" w:eastAsia="宋体" w:cs="宋体"/>
          <w:color w:val="auto"/>
          <w:sz w:val="24"/>
          <w:highlight w:val="none"/>
          <w:lang w:val="en-US" w:eastAsia="zh-CN"/>
        </w:rPr>
        <w:t>系</w:t>
      </w:r>
      <w:r>
        <w:rPr>
          <w:rFonts w:hint="eastAsia" w:ascii="宋体" w:hAnsi="宋体" w:eastAsia="宋体" w:cs="宋体"/>
          <w:color w:val="auto"/>
          <w:sz w:val="24"/>
          <w:highlight w:val="none"/>
        </w:rPr>
        <w:t>指本项目采购活动所依托的</w:t>
      </w:r>
      <w:r>
        <w:rPr>
          <w:rFonts w:hint="eastAsia" w:ascii="宋体" w:hAnsi="宋体" w:cs="宋体"/>
          <w:color w:val="auto"/>
          <w:sz w:val="24"/>
          <w:highlight w:val="none"/>
          <w:lang w:eastAsia="zh-CN"/>
        </w:rPr>
        <w:t>乐采云平台（https://www.lecaiyun.com/）</w:t>
      </w:r>
      <w:r>
        <w:rPr>
          <w:rFonts w:hint="eastAsia" w:ascii="宋体" w:hAnsi="宋体" w:eastAsia="宋体" w:cs="宋体"/>
          <w:color w:val="auto"/>
          <w:sz w:val="24"/>
          <w:highlight w:val="none"/>
        </w:rPr>
        <w:t>。</w:t>
      </w:r>
    </w:p>
    <w:p w14:paraId="3CC3E159">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宋体"/>
          <w:color w:val="auto"/>
          <w:sz w:val="24"/>
          <w:highlight w:val="none"/>
        </w:rPr>
      </w:pPr>
      <w:r>
        <w:rPr>
          <w:rFonts w:hint="eastAsia" w:ascii="宋体" w:hAnsi="宋体" w:eastAsia="宋体" w:cs="宋体"/>
          <w:kern w:val="2"/>
          <w:sz w:val="24"/>
          <w:szCs w:val="24"/>
          <w:lang w:val="en-US" w:eastAsia="zh-CN" w:bidi="ar"/>
        </w:rPr>
        <w:t>2.7 “响应文件”系指供应商提交的商务技术文件。供应商提交最后报价后，最后报价是供应商响应文件的有效组成部分。</w:t>
      </w:r>
    </w:p>
    <w:p w14:paraId="4923C3F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 xml:space="preserve"> “▲” 系指实质性要求条款，“</w:t>
      </w:r>
      <w:sdt>
        <w:sdtPr>
          <w:rPr>
            <w:rFonts w:hint="eastAsia" w:ascii="宋体" w:hAnsi="宋体" w:eastAsia="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sz w:val="24"/>
          <w:highlight w:val="none"/>
        </w:rPr>
        <w:t>” 系指适用本项目的要求，“</w:t>
      </w:r>
      <w:sdt>
        <w:sdtPr>
          <w:rPr>
            <w:rFonts w:hint="eastAsia" w:ascii="宋体" w:hAnsi="宋体" w:eastAsia="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sz w:val="24"/>
          <w:highlight w:val="none"/>
        </w:rPr>
        <w:t>” 系指不适用本项目的要求。</w:t>
      </w:r>
    </w:p>
    <w:p w14:paraId="56ED9696">
      <w:pPr>
        <w:keepNext w:val="0"/>
        <w:keepLines w:val="0"/>
        <w:widowControl w:val="0"/>
        <w:suppressLineNumbers w:val="0"/>
        <w:adjustRightInd/>
        <w:spacing w:before="0" w:beforeAutospacing="0" w:after="0" w:afterAutospacing="0" w:line="360" w:lineRule="auto"/>
        <w:ind w:left="0" w:right="0"/>
        <w:jc w:val="both"/>
        <w:outlineLvl w:val="0"/>
        <w:rPr>
          <w:rFonts w:hint="eastAsia" w:ascii="宋体" w:hAnsi="宋体" w:eastAsia="宋体" w:cs="仿宋_GB2312"/>
          <w:b/>
          <w:bCs w:val="0"/>
          <w:sz w:val="24"/>
          <w:szCs w:val="24"/>
          <w:lang w:val="en-US"/>
        </w:rPr>
      </w:pPr>
      <w:r>
        <w:rPr>
          <w:rFonts w:hint="eastAsia" w:ascii="宋体" w:hAnsi="宋体" w:eastAsia="宋体" w:cs="仿宋_GB2312"/>
          <w:b/>
          <w:bCs w:val="0"/>
          <w:kern w:val="2"/>
          <w:sz w:val="24"/>
          <w:szCs w:val="24"/>
          <w:lang w:val="en-US" w:eastAsia="zh-CN" w:bidi="ar"/>
        </w:rPr>
        <w:t>3.响应有效期</w:t>
      </w:r>
    </w:p>
    <w:p w14:paraId="18F61320">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sz w:val="24"/>
          <w:szCs w:val="21"/>
          <w:lang w:val="en-US"/>
        </w:rPr>
      </w:pPr>
      <w:r>
        <w:rPr>
          <w:rFonts w:hint="eastAsia" w:ascii="宋体" w:hAnsi="宋体" w:eastAsia="宋体" w:cs="仿宋_GB2312"/>
          <w:kern w:val="2"/>
          <w:sz w:val="24"/>
          <w:szCs w:val="20"/>
          <w:lang w:val="en-US" w:eastAsia="zh-CN" w:bidi="ar"/>
        </w:rPr>
        <w:t>▲3.1</w:t>
      </w:r>
      <w:r>
        <w:rPr>
          <w:rFonts w:hint="eastAsia" w:ascii="宋体" w:hAnsi="宋体" w:eastAsia="宋体" w:cs="仿宋_GB2312"/>
          <w:b/>
          <w:bCs w:val="0"/>
          <w:kern w:val="2"/>
          <w:sz w:val="24"/>
          <w:szCs w:val="20"/>
          <w:lang w:val="en-US" w:eastAsia="zh-CN" w:bidi="ar"/>
        </w:rPr>
        <w:t>响应有效期为从提交响应文件的截止之日起90天。供应商的响应文件中承</w:t>
      </w:r>
      <w:r>
        <w:rPr>
          <w:rFonts w:hint="eastAsia" w:ascii="宋体" w:hAnsi="宋体" w:eastAsia="宋体" w:cs="仿宋_GB2312"/>
          <w:b/>
          <w:bCs w:val="0"/>
          <w:kern w:val="2"/>
          <w:sz w:val="24"/>
          <w:szCs w:val="21"/>
          <w:lang w:val="en-US" w:eastAsia="zh-CN" w:bidi="ar"/>
        </w:rPr>
        <w:t>诺的响应有效期少于招标文件中载明的招标有效期的，响应无效。</w:t>
      </w:r>
    </w:p>
    <w:p w14:paraId="206174EA">
      <w:pPr>
        <w:pStyle w:val="58"/>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lang w:val="en-US"/>
        </w:rPr>
      </w:pPr>
      <w:r>
        <w:rPr>
          <w:rFonts w:hint="eastAsia" w:ascii="宋体" w:hAnsi="宋体" w:eastAsia="宋体" w:cs="仿宋_GB2312"/>
          <w:kern w:val="2"/>
          <w:sz w:val="24"/>
          <w:szCs w:val="20"/>
          <w:lang w:val="en-US" w:eastAsia="zh-CN" w:bidi="ar"/>
        </w:rPr>
        <w:t>3.2响应文件合格提交后，自响应截止日期起，在响应有效期内有效。</w:t>
      </w:r>
    </w:p>
    <w:p w14:paraId="2192C7E0">
      <w:pPr>
        <w:pStyle w:val="58"/>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kern w:val="2"/>
          <w:sz w:val="24"/>
          <w:szCs w:val="20"/>
          <w:lang w:val="en-US" w:eastAsia="zh-CN" w:bidi="ar"/>
        </w:rPr>
      </w:pPr>
      <w:r>
        <w:rPr>
          <w:rFonts w:hint="eastAsia" w:ascii="宋体" w:hAnsi="宋体" w:eastAsia="宋体" w:cs="仿宋_GB2312"/>
          <w:kern w:val="2"/>
          <w:sz w:val="24"/>
          <w:szCs w:val="20"/>
          <w:lang w:val="en-US" w:eastAsia="zh-CN" w:bidi="ar"/>
        </w:rPr>
        <w:t>3.3在原定响应有效期满之前，如果出现特殊情况，采购代理机构可以以书面形式通知供应商延长响应有效期。供应商同意延长的，不得要求或被允许修改其响应文件;供应商拒绝延长的，其响应无效。</w:t>
      </w:r>
      <w:r>
        <w:rPr>
          <w:rFonts w:hint="eastAsia" w:ascii="宋体" w:hAnsi="宋体" w:eastAsia="宋体" w:cs="宋体"/>
          <w:kern w:val="2"/>
          <w:sz w:val="24"/>
          <w:szCs w:val="24"/>
          <w:lang w:val="en-US" w:eastAsia="zh-CN" w:bidi="ar"/>
        </w:rPr>
        <w:t>拒绝延长招标有效期的供应商不得再参与该项目后续采购</w:t>
      </w:r>
      <w:r>
        <w:rPr>
          <w:rFonts w:hint="eastAsia" w:ascii="宋体" w:hAnsi="宋体" w:eastAsia="宋体" w:cs="仿宋_GB2312"/>
          <w:kern w:val="2"/>
          <w:sz w:val="24"/>
          <w:szCs w:val="20"/>
          <w:lang w:val="en-US" w:eastAsia="zh-CN" w:bidi="ar"/>
        </w:rPr>
        <w:t>活动。</w:t>
      </w:r>
    </w:p>
    <w:p w14:paraId="3DB85AF8">
      <w:pPr>
        <w:pStyle w:val="58"/>
        <w:keepNext w:val="0"/>
        <w:keepLines w:val="0"/>
        <w:widowControl w:val="0"/>
        <w:suppressLineNumbers w:val="0"/>
        <w:adjustRightInd w:val="0"/>
        <w:spacing w:before="0" w:beforeAutospacing="0" w:after="0" w:afterAutospacing="0" w:line="360" w:lineRule="auto"/>
        <w:ind w:left="0" w:right="0" w:firstLine="360" w:firstLineChars="150"/>
        <w:jc w:val="both"/>
        <w:rPr>
          <w:rFonts w:hint="eastAsia" w:ascii="宋体" w:hAnsi="宋体" w:eastAsia="宋体" w:cs="宋体"/>
          <w:b/>
          <w:color w:val="auto"/>
          <w:sz w:val="24"/>
          <w:szCs w:val="24"/>
          <w:highlight w:val="none"/>
        </w:rPr>
      </w:pPr>
      <w:r>
        <w:rPr>
          <w:rFonts w:hint="eastAsia" w:ascii="宋体" w:hAnsi="宋体" w:eastAsia="宋体" w:cs="仿宋_GB2312"/>
          <w:kern w:val="2"/>
          <w:sz w:val="24"/>
          <w:szCs w:val="20"/>
          <w:lang w:val="en-US" w:eastAsia="zh-CN" w:bidi="ar"/>
        </w:rPr>
        <w:t>3.4</w:t>
      </w:r>
      <w:r>
        <w:rPr>
          <w:rFonts w:hint="eastAsia" w:ascii="宋体" w:hAnsi="宋体" w:eastAsia="宋体" w:cs="Times New Roman"/>
          <w:kern w:val="2"/>
          <w:sz w:val="24"/>
          <w:szCs w:val="20"/>
          <w:lang w:val="en-US" w:eastAsia="zh-CN" w:bidi="ar"/>
        </w:rPr>
        <w:t>供应商需自行承担涉及响应的一切费用</w:t>
      </w:r>
      <w:r>
        <w:rPr>
          <w:rFonts w:hint="eastAsia" w:ascii="宋体" w:hAnsi="宋体" w:eastAsia="宋体" w:cs="Times New Roman"/>
          <w:kern w:val="2"/>
          <w:sz w:val="24"/>
          <w:szCs w:val="20"/>
          <w:lang w:val="zh-CN" w:eastAsia="zh-CN" w:bidi="ar"/>
        </w:rPr>
        <w:t>。</w:t>
      </w:r>
      <w:r>
        <w:rPr>
          <w:rFonts w:hint="eastAsia" w:ascii="宋体" w:hAnsi="宋体" w:eastAsia="宋体" w:cs="宋体"/>
          <w:color w:val="auto"/>
          <w:sz w:val="24"/>
          <w:szCs w:val="24"/>
          <w:highlight w:val="yellow"/>
        </w:rPr>
        <w:cr/>
      </w:r>
      <w:r>
        <w:rPr>
          <w:rFonts w:hint="eastAsia" w:cs="宋体"/>
          <w:b/>
          <w:color w:val="auto"/>
          <w:sz w:val="24"/>
          <w:szCs w:val="24"/>
          <w:highlight w:val="none"/>
          <w:lang w:val="en-US" w:eastAsia="zh-CN"/>
        </w:rPr>
        <w:t>4</w:t>
      </w:r>
      <w:r>
        <w:rPr>
          <w:rFonts w:hint="eastAsia" w:ascii="宋体" w:hAnsi="宋体" w:eastAsia="宋体" w:cs="宋体"/>
          <w:b/>
          <w:color w:val="auto"/>
          <w:sz w:val="24"/>
          <w:szCs w:val="24"/>
          <w:highlight w:val="none"/>
        </w:rPr>
        <w:t>. 询问、质疑、投诉</w:t>
      </w:r>
    </w:p>
    <w:p w14:paraId="12802955">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4.1在线询问、质疑、投诉</w:t>
      </w:r>
    </w:p>
    <w:p w14:paraId="58C42260">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根据《浙江省财政厅关于进一步促进政府采购公平竞争打造最优营商环境的通知》（浙财采监（2021）22号）文件关于“健全行政裁决机制”要求，鼓励供应商在线提起询问，路径为：</w:t>
      </w:r>
      <w:r>
        <w:rPr>
          <w:rFonts w:hint="eastAsia" w:cs="宋体"/>
          <w:color w:val="auto"/>
          <w:highlight w:val="none"/>
          <w:lang w:val="zh-CN"/>
        </w:rPr>
        <w:t>乐采云</w:t>
      </w:r>
      <w:r>
        <w:rPr>
          <w:rFonts w:hint="eastAsia" w:ascii="宋体" w:hAnsi="宋体" w:eastAsia="宋体" w:cs="宋体"/>
          <w:color w:val="auto"/>
          <w:highlight w:val="none"/>
          <w:lang w:val="zh-CN"/>
        </w:rPr>
        <w:t>-项目采购-询问质疑投诉-询问列表；鼓励供应商在线提起质疑，路径为：</w:t>
      </w:r>
      <w:r>
        <w:rPr>
          <w:rFonts w:hint="eastAsia" w:cs="宋体"/>
          <w:color w:val="auto"/>
          <w:highlight w:val="none"/>
          <w:lang w:val="zh-CN"/>
        </w:rPr>
        <w:t>乐采云</w:t>
      </w:r>
      <w:r>
        <w:rPr>
          <w:rFonts w:hint="eastAsia" w:ascii="宋体" w:hAnsi="宋体" w:eastAsia="宋体" w:cs="宋体"/>
          <w:color w:val="auto"/>
          <w:highlight w:val="none"/>
          <w:lang w:val="zh-CN"/>
        </w:rPr>
        <w:t>-项目采购-询问质疑投诉-质疑列表。质疑供应商对在线质疑答复不满意的，可在线提起投诉，路径为：浙江政府服务网-政府采购投诉处理-在线办理。</w:t>
      </w:r>
    </w:p>
    <w:p w14:paraId="62A56098">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005DDB49">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48C0820">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3DCD44DD">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328ADBBB">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提出质疑，否则，采购人或者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不予受理：</w:t>
      </w:r>
    </w:p>
    <w:p w14:paraId="15A39269">
      <w:pPr>
        <w:pStyle w:val="5"/>
        <w:spacing w:line="360" w:lineRule="auto"/>
        <w:ind w:firstLine="480" w:firstLineChars="200"/>
        <w:rPr>
          <w:rFonts w:hint="eastAsia" w:ascii="宋体" w:hAnsi="宋体" w:eastAsia="宋体" w:cs="宋体"/>
          <w:snapToGrid/>
          <w:color w:val="auto"/>
          <w:kern w:val="2"/>
          <w:sz w:val="24"/>
          <w:highlight w:val="none"/>
        </w:rPr>
      </w:pPr>
      <w:r>
        <w:rPr>
          <w:rFonts w:hint="eastAsia" w:ascii="宋体" w:hAnsi="宋体" w:eastAsia="宋体" w:cs="宋体"/>
          <w:snapToGrid/>
          <w:color w:val="auto"/>
          <w:kern w:val="2"/>
          <w:sz w:val="24"/>
          <w:highlight w:val="none"/>
        </w:rPr>
        <w:t>4.3.2.1对招标文件提出质疑的，质疑期限为供应商获得招标文件之日或者招标文件公告期限届满之日起计算。</w:t>
      </w:r>
    </w:p>
    <w:p w14:paraId="427C89D8">
      <w:pPr>
        <w:pStyle w:val="33"/>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76536F35">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5E45D0AF">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00BB7710">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7CBC06B1">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159C9193">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5689BE17">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7F078A26">
      <w:pPr>
        <w:pStyle w:val="33"/>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2036CA1D">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204D3DD">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299707F5">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4B4B97CA">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应当在收到供应商的书面质疑后七个工作日内作出答复，并以书面形式通知质疑供应商和其他与质疑处理结果有利害关系的采购当事人，但答复的内容不得涉及商业秘密。</w:t>
      </w:r>
    </w:p>
    <w:p w14:paraId="0DA8E4A1">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73727C78">
      <w:pPr>
        <w:pStyle w:val="888"/>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0BEC530A">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的答复不满意或者采购人、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未在规定的时间内作出答复的，可以在答复期满后十五个工作日内向同级</w:t>
      </w:r>
      <w:r>
        <w:rPr>
          <w:rFonts w:hint="eastAsia" w:cs="宋体"/>
          <w:color w:val="auto"/>
          <w:highlight w:val="none"/>
          <w:lang w:eastAsia="zh-CN"/>
        </w:rPr>
        <w:t>采购</w:t>
      </w:r>
      <w:r>
        <w:rPr>
          <w:rFonts w:hint="eastAsia" w:ascii="宋体" w:hAnsi="宋体" w:eastAsia="宋体" w:cs="宋体"/>
          <w:color w:val="auto"/>
          <w:highlight w:val="none"/>
        </w:rPr>
        <w:t>监督管理部门提出投诉。</w:t>
      </w:r>
    </w:p>
    <w:p w14:paraId="028D9F13">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050B0ED5">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1CB982A5">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 以联合体形式参加</w:t>
      </w:r>
      <w:r>
        <w:rPr>
          <w:rFonts w:hint="eastAsia" w:cs="宋体"/>
          <w:color w:val="auto"/>
          <w:highlight w:val="none"/>
          <w:lang w:eastAsia="zh-CN"/>
        </w:rPr>
        <w:t>采购</w:t>
      </w:r>
      <w:r>
        <w:rPr>
          <w:rFonts w:hint="eastAsia" w:ascii="宋体" w:hAnsi="宋体" w:eastAsia="宋体" w:cs="宋体"/>
          <w:color w:val="auto"/>
          <w:highlight w:val="none"/>
        </w:rPr>
        <w:t>活动的，其投诉应当由组成联合体的所有供应商共同提出。</w:t>
      </w:r>
    </w:p>
    <w:p w14:paraId="0211244C">
      <w:pPr>
        <w:pStyle w:val="888"/>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0B48FB1E">
      <w:pPr>
        <w:pStyle w:val="132"/>
        <w:snapToGrid w:val="0"/>
        <w:spacing w:before="0"/>
        <w:ind w:firstLine="360"/>
        <w:rPr>
          <w:rFonts w:hint="eastAsia" w:ascii="宋体" w:hAnsi="宋体" w:eastAsia="宋体" w:cs="宋体"/>
          <w:color w:val="auto"/>
          <w:sz w:val="18"/>
          <w:szCs w:val="18"/>
          <w:highlight w:val="none"/>
        </w:rPr>
      </w:pPr>
    </w:p>
    <w:p w14:paraId="291996EB">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09CD2149">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7CAD4447">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2F652C06">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5AF8D9E2">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5784185E">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5A8835D6">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7C505ACD">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395DFE74">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31BD064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40DCE1DA">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6D34E0E0">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提出。</w:t>
      </w:r>
    </w:p>
    <w:p w14:paraId="6AA798C4">
      <w:pPr>
        <w:pStyle w:val="58"/>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 xml:space="preserve">6.2 </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CC2E8D7">
      <w:pPr>
        <w:pStyle w:val="58"/>
        <w:keepNext w:val="0"/>
        <w:keepLines w:val="0"/>
        <w:widowControl w:val="0"/>
        <w:suppressLineNumbers w:val="0"/>
        <w:adjustRightInd w:val="0"/>
        <w:snapToGrid w:val="0"/>
        <w:spacing w:before="0" w:beforeAutospacing="0" w:after="0" w:afterAutospacing="0" w:line="360" w:lineRule="auto"/>
        <w:ind w:left="0" w:right="0" w:firstLine="480" w:firstLineChars="200"/>
        <w:jc w:val="both"/>
        <w:rPr>
          <w:rFonts w:hint="eastAsia" w:ascii="宋体" w:hAnsi="宋体" w:eastAsia="宋体" w:cs="宋体"/>
          <w:lang w:val="en-US"/>
        </w:rPr>
      </w:pPr>
      <w:r>
        <w:rPr>
          <w:rFonts w:hint="eastAsia" w:ascii="宋体" w:hAnsi="宋体" w:eastAsia="宋体" w:cs="宋体"/>
          <w:kern w:val="2"/>
          <w:sz w:val="24"/>
          <w:szCs w:val="20"/>
          <w:lang w:val="en-US" w:eastAsia="zh-CN" w:bidi="ar"/>
        </w:rPr>
        <w:t>6.3澄清或者修改的内容可能影响响应文件编制的，采购人、采购代理机构应当在提交首次响应文件截止时间至少5日前，通过电子交易平台通知所有获取招标文件的供应商；不足5日的，采购人、采购代理机构应当顺延提交首次响应文件截止时间。</w:t>
      </w:r>
    </w:p>
    <w:p w14:paraId="373C40E7">
      <w:pPr>
        <w:pStyle w:val="58"/>
        <w:keepNext w:val="0"/>
        <w:keepLines w:val="0"/>
        <w:widowControl w:val="0"/>
        <w:suppressLineNumbers w:val="0"/>
        <w:adjustRightInd w:val="0"/>
        <w:snapToGrid w:val="0"/>
        <w:spacing w:before="0" w:beforeAutospacing="0" w:after="0" w:afterAutospacing="0" w:line="360" w:lineRule="auto"/>
        <w:ind w:left="0" w:right="0" w:firstLine="482" w:firstLineChars="200"/>
        <w:jc w:val="both"/>
        <w:rPr>
          <w:rFonts w:hint="eastAsia" w:ascii="宋体" w:hAnsi="宋体" w:eastAsia="宋体" w:cs="宋体"/>
          <w:color w:val="auto"/>
          <w:highlight w:val="none"/>
        </w:rPr>
      </w:pPr>
      <w:r>
        <w:rPr>
          <w:rFonts w:hint="eastAsia" w:ascii="宋体" w:hAnsi="宋体" w:eastAsia="宋体" w:cs="宋体"/>
          <w:b/>
          <w:bCs w:val="0"/>
          <w:kern w:val="2"/>
          <w:sz w:val="24"/>
          <w:szCs w:val="20"/>
          <w:lang w:val="en-US" w:eastAsia="zh-CN" w:bidi="ar"/>
        </w:rPr>
        <w:t>▲</w:t>
      </w:r>
      <w:r>
        <w:rPr>
          <w:rFonts w:hint="eastAsia" w:ascii="宋体" w:hAnsi="宋体" w:eastAsia="宋体" w:cs="仿宋_GB2312"/>
          <w:b/>
          <w:bCs w:val="0"/>
          <w:kern w:val="2"/>
          <w:sz w:val="24"/>
          <w:szCs w:val="21"/>
          <w:lang w:val="en-US" w:eastAsia="zh-CN" w:bidi="ar"/>
        </w:rPr>
        <w:t>响应文件未按招标文件的澄清、修改的内容编制，又不符合实质性要求的，响应无效。</w:t>
      </w:r>
    </w:p>
    <w:p w14:paraId="546E8862">
      <w:pPr>
        <w:pStyle w:val="23"/>
        <w:rPr>
          <w:rFonts w:hint="eastAsia" w:ascii="宋体" w:hAnsi="宋体" w:eastAsia="宋体" w:cs="宋体"/>
          <w:color w:val="auto"/>
          <w:szCs w:val="24"/>
          <w:highlight w:val="none"/>
          <w:lang w:val="en-US"/>
        </w:rPr>
      </w:pPr>
      <w:r>
        <w:rPr>
          <w:rFonts w:hint="eastAsia" w:ascii="宋体" w:hAnsi="宋体" w:eastAsia="宋体" w:cs="宋体"/>
          <w:color w:val="auto"/>
          <w:szCs w:val="24"/>
          <w:highlight w:val="none"/>
          <w:lang w:val="en-US"/>
        </w:rPr>
        <w:t xml:space="preserve">    </w:t>
      </w:r>
    </w:p>
    <w:p w14:paraId="17BB2579">
      <w:pPr>
        <w:pStyle w:val="23"/>
        <w:rPr>
          <w:rFonts w:hint="eastAsia" w:ascii="宋体" w:hAnsi="宋体" w:eastAsia="宋体" w:cs="宋体"/>
          <w:color w:val="auto"/>
          <w:szCs w:val="24"/>
          <w:highlight w:val="none"/>
          <w:lang w:val="en-US"/>
        </w:rPr>
      </w:pPr>
    </w:p>
    <w:p w14:paraId="014352FD">
      <w:pPr>
        <w:adjustRightInd/>
        <w:spacing w:line="360" w:lineRule="auto"/>
        <w:jc w:val="center"/>
        <w:outlineLvl w:val="0"/>
        <w:rPr>
          <w:rFonts w:hint="default" w:ascii="宋体" w:hAnsi="宋体" w:eastAsia="宋体" w:cs="宋体"/>
          <w:b/>
          <w:color w:val="auto"/>
          <w:sz w:val="30"/>
          <w:szCs w:val="20"/>
          <w:highlight w:val="none"/>
          <w:lang w:val="en-US" w:eastAsia="zh-CN"/>
        </w:rPr>
      </w:pPr>
      <w:r>
        <w:rPr>
          <w:rFonts w:hint="eastAsia" w:ascii="宋体" w:hAnsi="宋体" w:eastAsia="宋体" w:cs="宋体"/>
          <w:b/>
          <w:color w:val="auto"/>
          <w:sz w:val="30"/>
          <w:szCs w:val="20"/>
          <w:highlight w:val="none"/>
        </w:rPr>
        <w:t>三、</w:t>
      </w:r>
      <w:r>
        <w:rPr>
          <w:rFonts w:hint="eastAsia" w:ascii="宋体" w:hAnsi="宋体" w:cs="宋体"/>
          <w:b/>
          <w:color w:val="auto"/>
          <w:sz w:val="30"/>
          <w:szCs w:val="20"/>
          <w:highlight w:val="none"/>
          <w:lang w:val="en-US" w:eastAsia="zh-CN"/>
        </w:rPr>
        <w:t>响应文件的编制</w:t>
      </w:r>
    </w:p>
    <w:p w14:paraId="43C18898">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406F1869">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2E6F90FE">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67A4093A">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03B7C017">
      <w:pPr>
        <w:pStyle w:val="33"/>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1CA49E27">
      <w:pPr>
        <w:pStyle w:val="5"/>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w:t>
      </w:r>
      <w:r>
        <w:rPr>
          <w:rFonts w:hint="eastAsia" w:hAnsi="宋体" w:cs="宋体"/>
          <w:color w:val="auto"/>
          <w:sz w:val="24"/>
          <w:highlight w:val="none"/>
          <w:lang w:val="en-US" w:eastAsia="zh-CN"/>
        </w:rPr>
        <w:t>无</w:t>
      </w:r>
      <w:r>
        <w:rPr>
          <w:rFonts w:hint="eastAsia" w:ascii="宋体" w:hAnsi="宋体" w:eastAsia="宋体" w:cs="宋体"/>
          <w:color w:val="auto"/>
          <w:sz w:val="24"/>
          <w:highlight w:val="none"/>
        </w:rPr>
        <w:t>需缴纳投标保证金。</w:t>
      </w:r>
    </w:p>
    <w:p w14:paraId="1C899A0E">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73406A30">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05EC5469">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0403F35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2B7C73E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w:t>
      </w:r>
      <w:r>
        <w:rPr>
          <w:rFonts w:hint="eastAsia" w:ascii="宋体" w:hAnsi="宋体" w:cs="宋体"/>
          <w:color w:val="auto"/>
          <w:sz w:val="24"/>
          <w:highlight w:val="none"/>
          <w:lang w:eastAsia="zh-CN"/>
        </w:rPr>
        <w:t>采购</w:t>
      </w:r>
      <w:r>
        <w:rPr>
          <w:rFonts w:hint="eastAsia" w:ascii="宋体" w:hAnsi="宋体" w:eastAsia="宋体" w:cs="宋体"/>
          <w:color w:val="auto"/>
          <w:sz w:val="24"/>
          <w:highlight w:val="none"/>
        </w:rPr>
        <w:t>活动应当具备的一般条件的承诺函；</w:t>
      </w:r>
    </w:p>
    <w:p w14:paraId="2A8C8BFE">
      <w:pPr>
        <w:snapToGrid w:val="0"/>
        <w:spacing w:line="360" w:lineRule="auto"/>
        <w:ind w:firstLine="960" w:firstLineChars="4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11.1.2</w:t>
      </w:r>
      <w:r>
        <w:rPr>
          <w:rFonts w:hint="eastAsia" w:ascii="宋体" w:hAnsi="宋体" w:eastAsia="宋体" w:cs="宋体"/>
          <w:color w:val="auto"/>
          <w:sz w:val="24"/>
          <w:highlight w:val="none"/>
          <w:lang w:val="en-US" w:eastAsia="zh-CN"/>
        </w:rPr>
        <w:t xml:space="preserve"> 投标保证金转账、汇款凭证复印件</w:t>
      </w:r>
      <w:r>
        <w:rPr>
          <w:rFonts w:hint="eastAsia" w:ascii="宋体" w:hAnsi="宋体" w:eastAsia="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若</w:t>
      </w:r>
      <w:r>
        <w:rPr>
          <w:rFonts w:hint="eastAsia" w:ascii="宋体" w:hAnsi="宋体" w:eastAsia="宋体" w:cs="宋体"/>
          <w:snapToGrid w:val="0"/>
          <w:color w:val="auto"/>
          <w:kern w:val="28"/>
          <w:sz w:val="24"/>
          <w:szCs w:val="20"/>
          <w:highlight w:val="none"/>
        </w:rPr>
        <w:t>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sz w:val="24"/>
          <w:highlight w:val="none"/>
          <w:lang w:val="en-US" w:eastAsia="zh-CN"/>
        </w:rPr>
        <w:t>；</w:t>
      </w:r>
    </w:p>
    <w:p w14:paraId="3629A17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bookmarkStart w:id="30" w:name="_Hlk101259339"/>
      <w:r>
        <w:rPr>
          <w:rFonts w:hint="eastAsia" w:ascii="宋体" w:hAnsi="宋体" w:cs="宋体"/>
          <w:color w:val="auto"/>
          <w:sz w:val="24"/>
          <w:highlight w:val="none"/>
          <w:lang w:val="en-US" w:eastAsia="zh-CN"/>
        </w:rPr>
        <w:t>3</w:t>
      </w:r>
      <w:r>
        <w:rPr>
          <w:rFonts w:hint="eastAsia" w:ascii="宋体" w:hAnsi="宋体" w:eastAsia="宋体" w:cs="宋体"/>
          <w:snapToGrid w:val="0"/>
          <w:color w:val="auto"/>
          <w:kern w:val="28"/>
          <w:sz w:val="24"/>
          <w:szCs w:val="20"/>
          <w:highlight w:val="none"/>
        </w:rPr>
        <w:t>联合协议</w:t>
      </w:r>
      <w:bookmarkEnd w:id="30"/>
      <w:r>
        <w:rPr>
          <w:rFonts w:hint="eastAsia" w:ascii="宋体" w:hAnsi="宋体" w:eastAsia="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若</w:t>
      </w:r>
      <w:r>
        <w:rPr>
          <w:rFonts w:hint="eastAsia" w:ascii="宋体" w:hAnsi="宋体" w:eastAsia="宋体" w:cs="宋体"/>
          <w:snapToGrid w:val="0"/>
          <w:color w:val="auto"/>
          <w:kern w:val="28"/>
          <w:sz w:val="24"/>
          <w:szCs w:val="20"/>
          <w:highlight w:val="none"/>
        </w:rPr>
        <w:t>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14:paraId="32E4B639">
      <w:pPr>
        <w:snapToGrid w:val="0"/>
        <w:spacing w:line="360" w:lineRule="auto"/>
        <w:ind w:firstLine="960" w:firstLineChars="4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rPr>
        <w:t>11.1.</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本项目的特定资格要求。</w:t>
      </w:r>
    </w:p>
    <w:p w14:paraId="75E8BFF7">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2D85890D">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28D2183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0D8BF63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sz w:val="24"/>
          <w:highlight w:val="none"/>
        </w:rPr>
        <w:t>；</w:t>
      </w:r>
    </w:p>
    <w:p w14:paraId="15723F2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025B840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27FE4A15">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40A74BAF">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32F72B9A">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cs="宋体"/>
          <w:color w:val="auto"/>
          <w:sz w:val="24"/>
          <w:highlight w:val="none"/>
          <w:lang w:val="zh-CN"/>
        </w:rPr>
        <w:t>采购</w:t>
      </w:r>
      <w:r>
        <w:rPr>
          <w:rFonts w:hint="eastAsia" w:ascii="宋体" w:hAnsi="宋体" w:eastAsia="宋体" w:cs="宋体"/>
          <w:color w:val="auto"/>
          <w:sz w:val="24"/>
          <w:highlight w:val="none"/>
          <w:lang w:val="zh-CN"/>
        </w:rPr>
        <w:t>供应商廉洁自律承诺书；</w:t>
      </w:r>
    </w:p>
    <w:p w14:paraId="25116AA6">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552F9311">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11.3.1开标一览表（报价表）；</w:t>
      </w:r>
    </w:p>
    <w:p w14:paraId="30029674">
      <w:pPr>
        <w:spacing w:line="360" w:lineRule="auto"/>
        <w:ind w:firstLine="723" w:firstLineChars="3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投标文件含有采购人不能接受的附加条件的，投标无效；</w:t>
      </w:r>
    </w:p>
    <w:p w14:paraId="7886C8D6">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sz w:val="24"/>
          <w:highlight w:val="none"/>
        </w:rPr>
        <w:t>投标人提供虚假材料投标的，投标无效。</w:t>
      </w:r>
    </w:p>
    <w:p w14:paraId="69FF7389">
      <w:pPr>
        <w:pStyle w:val="132"/>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5BB51AD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FB83133">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12.2安装“</w:t>
      </w:r>
      <w:r>
        <w:rPr>
          <w:rFonts w:hint="eastAsia" w:ascii="宋体" w:hAnsi="宋体" w:eastAsia="宋体" w:cs="宋体"/>
          <w:color w:val="auto"/>
          <w:kern w:val="0"/>
          <w:sz w:val="24"/>
          <w:highlight w:val="none"/>
          <w:lang w:val="en-US" w:eastAsia="zh-CN"/>
        </w:rPr>
        <w:t>乐采云</w:t>
      </w:r>
      <w:r>
        <w:rPr>
          <w:rFonts w:hint="eastAsia" w:ascii="宋体" w:hAnsi="宋体" w:eastAsia="宋体" w:cs="宋体"/>
          <w:color w:val="auto"/>
          <w:kern w:val="0"/>
          <w:sz w:val="24"/>
          <w:highlight w:val="none"/>
          <w:lang w:val="zh-CN"/>
        </w:rPr>
        <w:t>电子交易客户端”----投标人通过</w:t>
      </w:r>
      <w:r>
        <w:rPr>
          <w:rFonts w:hint="eastAsia" w:ascii="宋体" w:hAnsi="宋体" w:eastAsia="宋体" w:cs="宋体"/>
          <w:color w:val="auto"/>
          <w:kern w:val="0"/>
          <w:sz w:val="24"/>
          <w:highlight w:val="none"/>
          <w:lang w:val="zh-CN" w:eastAsia="zh-CN"/>
        </w:rPr>
        <w:t>乐采云平台</w:t>
      </w:r>
      <w:r>
        <w:rPr>
          <w:rFonts w:hint="eastAsia" w:ascii="宋体" w:hAnsi="宋体" w:eastAsia="宋体" w:cs="宋体"/>
          <w:color w:val="auto"/>
          <w:kern w:val="0"/>
          <w:sz w:val="24"/>
          <w:highlight w:val="none"/>
          <w:lang w:val="zh-CN"/>
        </w:rPr>
        <w:t>电子投标工具制作投标文件，前往“</w:t>
      </w:r>
      <w:r>
        <w:rPr>
          <w:rFonts w:hint="eastAsia" w:ascii="宋体" w:hAnsi="宋体" w:eastAsia="宋体" w:cs="宋体"/>
          <w:color w:val="auto"/>
          <w:kern w:val="0"/>
          <w:sz w:val="24"/>
          <w:highlight w:val="none"/>
          <w:lang w:val="en-US" w:eastAsia="zh-CN"/>
        </w:rPr>
        <w:t>乐采云平台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服务中心</w:t>
      </w:r>
      <w:r>
        <w:rPr>
          <w:rFonts w:hint="eastAsia" w:ascii="宋体" w:hAnsi="宋体" w:eastAsia="宋体" w:cs="宋体"/>
          <w:color w:val="auto"/>
          <w:kern w:val="0"/>
          <w:sz w:val="24"/>
          <w:highlight w:val="none"/>
          <w:lang w:val="zh-CN"/>
        </w:rPr>
        <w:t>-电子交易客户端”进行下载并安装。</w:t>
      </w:r>
      <w:r>
        <w:rPr>
          <w:rFonts w:hint="eastAsia" w:ascii="宋体" w:hAnsi="宋体" w:eastAsia="宋体" w:cs="宋体"/>
          <w:color w:val="auto"/>
          <w:kern w:val="0"/>
          <w:sz w:val="24"/>
          <w:highlight w:val="none"/>
          <w:lang w:val="en-US" w:eastAsia="zh-CN"/>
        </w:rPr>
        <w:t>乐采云</w:t>
      </w:r>
      <w:r>
        <w:rPr>
          <w:rFonts w:hint="eastAsia" w:ascii="宋体" w:hAnsi="宋体" w:eastAsia="宋体" w:cs="宋体"/>
          <w:color w:val="auto"/>
          <w:kern w:val="0"/>
          <w:sz w:val="24"/>
          <w:highlight w:val="none"/>
          <w:lang w:val="zh-CN"/>
        </w:rPr>
        <w:t>电子交易客户端：https://sitecdn.zcycdn.com/zcy-client/bidding-client-new/official/lcy/LeCaiYunSetup.latest.exe</w:t>
      </w:r>
    </w:p>
    <w:p w14:paraId="12DDE8FC">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12.3使用“乐采云电子交易客户端”需要提前申领CA数字证书，申领CA数字证书---申领流程详见“</w:t>
      </w:r>
      <w:r>
        <w:rPr>
          <w:rFonts w:hint="eastAsia" w:ascii="宋体" w:hAnsi="宋体" w:eastAsia="宋体" w:cs="宋体"/>
          <w:color w:val="auto"/>
          <w:kern w:val="0"/>
          <w:sz w:val="24"/>
          <w:highlight w:val="none"/>
          <w:lang w:val="en-US" w:eastAsia="zh-CN"/>
        </w:rPr>
        <w:t>乐采云平台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服务中心</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lang w:val="en-US" w:eastAsia="zh-CN"/>
        </w:rPr>
        <w:t>CA管理-申领CA证书</w:t>
      </w:r>
      <w:r>
        <w:rPr>
          <w:rFonts w:hint="eastAsia" w:ascii="宋体" w:hAnsi="宋体" w:eastAsia="宋体" w:cs="宋体"/>
          <w:color w:val="auto"/>
          <w:kern w:val="0"/>
          <w:sz w:val="24"/>
          <w:highlight w:val="none"/>
          <w:lang w:val="zh-CN"/>
        </w:rPr>
        <w:t>-CA驱动和申领流程”：投标人应在开标前完成CA数字证书办理，完成CA数字证书办理预计1-2周左右，各投标人应充分考虑办理时间等因素。</w:t>
      </w:r>
    </w:p>
    <w:p w14:paraId="4A2D448F">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办理流程详见:CA管理操作指南https://lecaiyun.com/helpcenter/document#/document/detail?siteCode=lecaiyun&amp;manualId=2185&amp;topicId=12851</w:t>
      </w:r>
    </w:p>
    <w:p w14:paraId="2D03C1D0">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7A36CC23">
      <w:pPr>
        <w:pStyle w:val="132"/>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5DDC7329">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w:t>
      </w:r>
      <w:r>
        <w:rPr>
          <w:rFonts w:hint="eastAsia" w:ascii="宋体" w:hAnsi="宋体" w:cs="宋体"/>
          <w:color w:val="auto"/>
          <w:highlight w:val="none"/>
          <w:lang w:eastAsia="zh-CN"/>
        </w:rPr>
        <w:t>乐采云平台</w:t>
      </w:r>
      <w:r>
        <w:rPr>
          <w:rFonts w:hint="eastAsia" w:ascii="宋体" w:hAnsi="宋体" w:eastAsia="宋体" w:cs="宋体"/>
          <w:color w:val="auto"/>
          <w:highlight w:val="none"/>
        </w:rPr>
        <w:t>”的身份认证，确保在电子投标过程中能够对相关数据电文进行加密和使用电子签名。</w:t>
      </w:r>
    </w:p>
    <w:p w14:paraId="03C6A5CB">
      <w:pPr>
        <w:pStyle w:val="132"/>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4FD763AF">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0A4A04FD">
      <w:pPr>
        <w:pStyle w:val="132"/>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502ABF2">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35DC53AC">
      <w:pPr>
        <w:pStyle w:val="132"/>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可以视情况延长投标文件提交的截止时间。在上述情况下，</w:t>
      </w:r>
      <w:r>
        <w:rPr>
          <w:rFonts w:hint="eastAsia" w:ascii="宋体" w:hAnsi="宋体" w:eastAsia="宋体" w:cs="宋体"/>
          <w:color w:val="auto"/>
          <w:szCs w:val="24"/>
          <w:highlight w:val="none"/>
          <w:lang w:eastAsia="zh-CN"/>
        </w:rPr>
        <w:t>采购代理机构</w:t>
      </w:r>
      <w:r>
        <w:rPr>
          <w:rFonts w:hint="eastAsia" w:ascii="宋体" w:hAnsi="宋体" w:eastAsia="宋体" w:cs="宋体"/>
          <w:color w:val="auto"/>
          <w:szCs w:val="24"/>
          <w:highlight w:val="none"/>
        </w:rPr>
        <w:t>与投标人以前在投标截止期方面的全部权利、责任和义务，将适用于延长至新的投标截止期。</w:t>
      </w:r>
    </w:p>
    <w:p w14:paraId="0774451B">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6B88670E">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4"/>
          <w:szCs w:val="24"/>
          <w:highlight w:val="none"/>
        </w:rPr>
        <w:t>但采购人、</w:t>
      </w:r>
      <w:r>
        <w:rPr>
          <w:rFonts w:hint="eastAsia" w:ascii="宋体" w:hAnsi="宋体" w:eastAsia="宋体" w:cs="宋体"/>
          <w:b/>
          <w:color w:val="auto"/>
          <w:sz w:val="24"/>
          <w:szCs w:val="24"/>
          <w:highlight w:val="none"/>
          <w:lang w:eastAsia="zh-CN"/>
        </w:rPr>
        <w:t>采购代理机构</w:t>
      </w:r>
      <w:r>
        <w:rPr>
          <w:rFonts w:hint="eastAsia" w:ascii="宋体" w:hAnsi="宋体" w:eastAsia="宋体" w:cs="宋体"/>
          <w:b/>
          <w:color w:val="auto"/>
          <w:sz w:val="24"/>
          <w:szCs w:val="24"/>
          <w:highlight w:val="none"/>
        </w:rPr>
        <w:t>不强制或变相强制投标人提交备份投标文件。</w:t>
      </w:r>
    </w:p>
    <w:p w14:paraId="5E33DE72">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w:t>
      </w:r>
      <w:r>
        <w:rPr>
          <w:rFonts w:hint="eastAsia" w:hAnsi="宋体" w:cs="宋体"/>
          <w:color w:val="auto"/>
          <w:sz w:val="24"/>
          <w:szCs w:val="24"/>
          <w:highlight w:val="none"/>
          <w:lang w:eastAsia="zh-CN"/>
        </w:rPr>
        <w:t>乐采云</w:t>
      </w:r>
      <w:r>
        <w:rPr>
          <w:rFonts w:hint="eastAsia" w:ascii="宋体" w:hAnsi="宋体" w:eastAsia="宋体" w:cs="宋体"/>
          <w:color w:val="auto"/>
          <w:sz w:val="24"/>
          <w:szCs w:val="24"/>
          <w:highlight w:val="none"/>
        </w:rPr>
        <w:t>投标客户端”制作生成，并储存在</w:t>
      </w:r>
      <w:r>
        <w:rPr>
          <w:rFonts w:hint="eastAsia" w:ascii="宋体" w:hAnsi="宋体" w:eastAsia="宋体" w:cs="宋体"/>
          <w:color w:val="auto"/>
          <w:sz w:val="24"/>
          <w:highlight w:val="none"/>
        </w:rPr>
        <w:t>DVD光盘</w:t>
      </w:r>
      <w:r>
        <w:rPr>
          <w:rFonts w:hint="eastAsia" w:ascii="宋体" w:hAnsi="宋体" w:eastAsia="宋体" w:cs="宋体"/>
          <w:color w:val="auto"/>
          <w:sz w:val="24"/>
          <w:highlight w:val="none"/>
          <w:lang w:val="en-US" w:eastAsia="zh-CN"/>
        </w:rPr>
        <w:t>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13C9EFD2">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w:t>
      </w:r>
    </w:p>
    <w:p w14:paraId="0BE0F1E6">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4"/>
          <w:szCs w:val="24"/>
          <w:highlight w:val="none"/>
        </w:rPr>
        <w:t>招标文件第二部分投标人须知前附表规定的备份投标文件送达地点；</w:t>
      </w:r>
      <w:r>
        <w:rPr>
          <w:rFonts w:hint="eastAsia" w:ascii="宋体" w:hAnsi="宋体" w:eastAsia="宋体" w:cs="宋体"/>
          <w:color w:val="auto"/>
          <w:sz w:val="24"/>
          <w:szCs w:val="24"/>
          <w:highlight w:val="none"/>
        </w:rPr>
        <w:t>送达时间以签收人签收时间为准。</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将拒绝接受逾期送达的备份投标文件。邮寄过程中，电子备份投标文件发生泄露、遗失、损坏或延期送达等情况的，由投标人自行负责。</w:t>
      </w:r>
    </w:p>
    <w:p w14:paraId="7A47A922">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273CC225">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3C64642A">
      <w:pPr>
        <w:pStyle w:val="24"/>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w:t>
      </w:r>
      <w:r>
        <w:rPr>
          <w:rFonts w:hint="eastAsia" w:ascii="宋体" w:hAnsi="宋体" w:eastAsia="宋体" w:cs="宋体"/>
          <w:color w:val="auto"/>
          <w:szCs w:val="21"/>
          <w:highlight w:val="none"/>
          <w:lang w:val="en-US" w:eastAsia="zh-CN"/>
        </w:rPr>
        <w:t>1</w:t>
      </w:r>
      <w:r>
        <w:rPr>
          <w:rFonts w:hint="eastAsia" w:ascii="宋体" w:hAnsi="宋体" w:eastAsia="宋体" w:cs="宋体"/>
          <w:color w:val="auto"/>
          <w:highlight w:val="none"/>
        </w:rPr>
        <w:t>4.2规定</w:t>
      </w:r>
      <w:r>
        <w:rPr>
          <w:rFonts w:hint="eastAsia" w:ascii="宋体" w:hAnsi="宋体" w:eastAsia="宋体" w:cs="宋体"/>
          <w:color w:val="auto"/>
          <w:szCs w:val="21"/>
          <w:highlight w:val="none"/>
        </w:rPr>
        <w:t>的情形之一的，投标无效：</w:t>
      </w:r>
    </w:p>
    <w:p w14:paraId="1D91F4DB">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5F93352F">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6EBBEB38">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156BCF84">
      <w:pPr>
        <w:pStyle w:val="132"/>
        <w:spacing w:before="0"/>
        <w:ind w:firstLine="480"/>
        <w:rPr>
          <w:rFonts w:hint="eastAsia" w:ascii="宋体" w:hAnsi="宋体" w:eastAsia="宋体" w:cs="宋体"/>
          <w:b/>
          <w:color w:val="auto"/>
          <w:sz w:val="32"/>
          <w:highlight w:val="none"/>
        </w:rPr>
      </w:pPr>
      <w:r>
        <w:rPr>
          <w:rFonts w:hint="eastAsia" w:ascii="宋体" w:hAnsi="宋体" w:eastAsia="宋体" w:cs="宋体"/>
          <w:color w:val="auto"/>
          <w:highlight w:val="none"/>
        </w:rPr>
        <w:t>17.3在原定投标有效期满之前，如果出现特殊情况，</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可以以书面形式通知投标人延长投标有效期。投标人同意延长的，不得要求或被允许修改其投标文件，投标人拒绝延长的，其投标无效。</w:t>
      </w:r>
    </w:p>
    <w:p w14:paraId="17A7DE19">
      <w:pPr>
        <w:pStyle w:val="132"/>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5A86EFEE">
      <w:pPr>
        <w:pStyle w:val="558"/>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7A3A0170">
      <w:pPr>
        <w:pStyle w:val="558"/>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按照招标文件规定的时间通过电子交易平台组织开标，所有投标人均应当准时在线参加。投标人不足3家的，不得开标。</w:t>
      </w:r>
    </w:p>
    <w:p w14:paraId="621F269D">
      <w:pPr>
        <w:pStyle w:val="558"/>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依托电子交易平台发起开始解密指令，投标人按照平台提示和招标文件的规定在半小时内完成在线解密。</w:t>
      </w:r>
    </w:p>
    <w:p w14:paraId="087F37FF">
      <w:pPr>
        <w:pStyle w:val="558"/>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0A29281B">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695E89A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sz w:val="24"/>
          <w:highlight w:val="none"/>
        </w:rPr>
        <w:t>评</w:t>
      </w:r>
      <w:r>
        <w:rPr>
          <w:rFonts w:hint="eastAsia" w:ascii="宋体" w:hAnsi="宋体" w:cs="宋体"/>
          <w:color w:val="auto"/>
          <w:sz w:val="24"/>
          <w:highlight w:val="none"/>
          <w:lang w:val="en-US" w:eastAsia="zh-CN"/>
        </w:rPr>
        <w:t>审</w:t>
      </w:r>
      <w:r>
        <w:rPr>
          <w:rFonts w:hint="eastAsia" w:ascii="宋体" w:hAnsi="宋体" w:eastAsia="宋体" w:cs="宋体"/>
          <w:color w:val="auto"/>
          <w:sz w:val="24"/>
          <w:highlight w:val="none"/>
        </w:rPr>
        <w:t>委员会依据法律法规和招标文件的规定，对投标人的资格进行审查。</w:t>
      </w:r>
    </w:p>
    <w:p w14:paraId="068AF03E">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4BD2A07C">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对未通过资格审查的投标人，采购人或</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告知其未通过的原因。</w:t>
      </w:r>
    </w:p>
    <w:p w14:paraId="0D6B8BB7">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合格投标人不足3家的，不再评标。</w:t>
      </w:r>
    </w:p>
    <w:p w14:paraId="5DA26021">
      <w:pPr>
        <w:pStyle w:val="132"/>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6830BD94">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w:t>
      </w:r>
      <w:r>
        <w:rPr>
          <w:rFonts w:hint="eastAsia" w:ascii="宋体" w:hAnsi="宋体" w:cs="宋体"/>
          <w:color w:val="auto"/>
          <w:sz w:val="24"/>
          <w:highlight w:val="none"/>
          <w:lang w:val="en-US" w:eastAsia="zh-CN"/>
        </w:rPr>
        <w:t>代理机构</w:t>
      </w:r>
      <w:r>
        <w:rPr>
          <w:rFonts w:hint="eastAsia" w:ascii="宋体" w:hAnsi="宋体" w:eastAsia="宋体" w:cs="宋体"/>
          <w:color w:val="auto"/>
          <w:kern w:val="0"/>
          <w:szCs w:val="24"/>
          <w:highlight w:val="none"/>
        </w:rPr>
        <w:t>将在资格审查时通过“信用中国”网站(www.creditchina.gov.cn)、中国政府采购网(www.ccgp.gov.cn</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渠道查询投标人接受资格审查时的信用记录。</w:t>
      </w:r>
    </w:p>
    <w:p w14:paraId="60FA6953">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47B08A37">
      <w:pPr>
        <w:pStyle w:val="132"/>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w:t>
      </w:r>
      <w:r>
        <w:rPr>
          <w:rFonts w:hint="eastAsia" w:ascii="宋体" w:hAnsi="宋体" w:eastAsia="宋体" w:cs="宋体"/>
          <w:color w:val="auto"/>
          <w:kern w:val="0"/>
          <w:szCs w:val="24"/>
          <w:highlight w:val="none"/>
          <w:lang w:eastAsia="zh-CN"/>
        </w:rPr>
        <w:t>重大税收违法失信主体</w:t>
      </w:r>
      <w:r>
        <w:rPr>
          <w:rFonts w:hint="eastAsia" w:ascii="宋体" w:hAnsi="宋体" w:eastAsia="宋体" w:cs="宋体"/>
          <w:color w:val="auto"/>
          <w:kern w:val="0"/>
          <w:szCs w:val="24"/>
          <w:highlight w:val="none"/>
        </w:rPr>
        <w:t>、政府采购严重违法失信行为记录名单的投标人将被拒绝参与采购活动。</w:t>
      </w:r>
    </w:p>
    <w:p w14:paraId="116AAA76">
      <w:pPr>
        <w:pStyle w:val="132"/>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2B4BF731">
      <w:pPr>
        <w:pStyle w:val="132"/>
        <w:spacing w:before="0"/>
        <w:ind w:firstLine="0" w:firstLineChars="0"/>
        <w:rPr>
          <w:rFonts w:hint="eastAsia" w:ascii="宋体" w:hAnsi="宋体" w:eastAsia="宋体" w:cs="宋体"/>
          <w:color w:val="auto"/>
          <w:kern w:val="0"/>
          <w:szCs w:val="24"/>
          <w:highlight w:val="none"/>
        </w:rPr>
      </w:pPr>
    </w:p>
    <w:p w14:paraId="1CCE0F9C">
      <w:pPr>
        <w:snapToGrid w:val="0"/>
        <w:spacing w:line="360" w:lineRule="auto"/>
        <w:jc w:val="center"/>
        <w:outlineLvl w:val="0"/>
        <w:rPr>
          <w:rFonts w:hint="eastAsia" w:ascii="宋体" w:hAnsi="宋体" w:eastAsia="宋体" w:cs="宋体"/>
          <w:b/>
          <w:color w:val="auto"/>
          <w:sz w:val="36"/>
          <w:szCs w:val="36"/>
          <w:highlight w:val="none"/>
        </w:rPr>
      </w:pPr>
    </w:p>
    <w:p w14:paraId="484C38B3">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0CCDFBC0">
      <w:pPr>
        <w:spacing w:line="360" w:lineRule="auto"/>
        <w:rPr>
          <w:rFonts w:hint="eastAsia" w:ascii="宋体" w:hAnsi="宋体" w:eastAsia="宋体" w:cs="宋体"/>
          <w:b/>
          <w:color w:val="auto"/>
          <w:sz w:val="24"/>
          <w:highlight w:val="none"/>
        </w:rPr>
      </w:pPr>
      <w:bookmarkStart w:id="31" w:name="_Toc91899903"/>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6C9F7FBB">
      <w:pPr>
        <w:spacing w:line="360" w:lineRule="auto"/>
        <w:rPr>
          <w:rFonts w:hint="eastAsia" w:ascii="宋体" w:hAnsi="宋体" w:eastAsia="宋体" w:cs="宋体"/>
          <w:b/>
          <w:color w:val="auto"/>
          <w:sz w:val="24"/>
          <w:highlight w:val="none"/>
        </w:rPr>
      </w:pPr>
    </w:p>
    <w:p w14:paraId="745489DD">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191DA666">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37A8A93B">
      <w:pPr>
        <w:keepNext w:val="0"/>
        <w:keepLines w:val="0"/>
        <w:widowControl w:val="0"/>
        <w:suppressLineNumbers w:val="0"/>
        <w:adjustRightInd w:val="0"/>
        <w:spacing w:before="0" w:beforeAutospacing="0" w:after="0" w:afterAutospacing="0" w:line="360" w:lineRule="auto"/>
        <w:ind w:left="0" w:right="0" w:firstLine="407" w:firstLineChars="194"/>
        <w:jc w:val="both"/>
        <w:rPr>
          <w:rFonts w:hint="eastAsia" w:ascii="宋体" w:hAnsi="宋体" w:eastAsia="宋体" w:cs="宋体"/>
          <w:b/>
          <w:color w:val="auto"/>
          <w:szCs w:val="24"/>
          <w:highlight w:val="none"/>
          <w:lang w:eastAsia="zh-CN"/>
        </w:rPr>
      </w:pPr>
      <w:r>
        <w:rPr>
          <w:rFonts w:hint="eastAsia" w:ascii="宋体" w:hAnsi="宋体" w:eastAsia="宋体" w:cs="宋体"/>
          <w:color w:val="auto"/>
          <w:szCs w:val="24"/>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4BA6F85">
      <w:pPr>
        <w:pStyle w:val="132"/>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6F29EAA3">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通过电子交易平台向中标人发出中标通知书，同时编制发布采购结果公告。</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也可以以纸质形式进行中标通知。</w:t>
      </w:r>
    </w:p>
    <w:p w14:paraId="76928527">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w:t>
      </w:r>
      <w:r>
        <w:rPr>
          <w:rFonts w:hint="eastAsia" w:ascii="宋体" w:hAnsi="宋体" w:eastAsia="宋体" w:cs="宋体"/>
          <w:color w:val="auto"/>
          <w:sz w:val="24"/>
          <w:highlight w:val="none"/>
          <w:lang w:eastAsia="zh-CN"/>
        </w:rPr>
        <w:t>采购代理机构</w:t>
      </w:r>
      <w:r>
        <w:rPr>
          <w:rFonts w:hint="eastAsia" w:ascii="宋体" w:hAnsi="宋体" w:eastAsia="宋体" w:cs="宋体"/>
          <w:color w:val="auto"/>
          <w:sz w:val="24"/>
          <w:highlight w:val="none"/>
        </w:rPr>
        <w:t>的名称、地址、联系方式，项目名称和项目编号，中标人名称和中标金额</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中标公告期限以及评审专家名单、评分汇总及明细。</w:t>
      </w:r>
    </w:p>
    <w:p w14:paraId="2FF037EF">
      <w:pPr>
        <w:widowControl/>
        <w:shd w:val="clear" w:color="auto" w:fill="FFFFFF"/>
        <w:spacing w:line="360" w:lineRule="auto"/>
        <w:ind w:firstLine="480"/>
        <w:jc w:val="left"/>
        <w:rPr>
          <w:rFonts w:hint="eastAsia" w:ascii="宋体" w:hAnsi="宋体" w:eastAsia="宋体" w:cs="宋体"/>
          <w:b/>
          <w:color w:val="auto"/>
          <w:sz w:val="32"/>
          <w:highlight w:val="none"/>
        </w:rPr>
      </w:pPr>
      <w:r>
        <w:rPr>
          <w:rFonts w:hint="eastAsia" w:ascii="宋体" w:hAnsi="宋体" w:eastAsia="宋体" w:cs="宋体"/>
          <w:color w:val="auto"/>
          <w:sz w:val="24"/>
          <w:highlight w:val="none"/>
        </w:rPr>
        <w:t>23.3公告期限为1个工作日。</w:t>
      </w:r>
    </w:p>
    <w:p w14:paraId="041BFD9B">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48CA1478">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5499E6BD">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5BF2764A">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采购合同。鼓励有条件的采购人视情缩减采购合同签订时限，提高采购效率，杜绝“冷、硬、横、推”等不当行为。除不可抗力等特殊情况外，原则上应当在</w:t>
      </w:r>
      <w:r>
        <w:rPr>
          <w:rFonts w:hint="eastAsia" w:ascii="宋体" w:hAnsi="宋体" w:cs="宋体"/>
          <w:color w:val="auto"/>
          <w:kern w:val="0"/>
          <w:sz w:val="24"/>
          <w:highlight w:val="none"/>
          <w:lang w:eastAsia="zh-CN"/>
        </w:rPr>
        <w:t>中标通知书发出之日起30日</w:t>
      </w:r>
      <w:r>
        <w:rPr>
          <w:rFonts w:hint="eastAsia" w:ascii="宋体" w:hAnsi="宋体" w:eastAsia="宋体" w:cs="宋体"/>
          <w:color w:val="auto"/>
          <w:kern w:val="0"/>
          <w:sz w:val="24"/>
          <w:highlight w:val="none"/>
        </w:rPr>
        <w:t>内，与中标供应商按照采购文件确定的事项签订采购合同。</w:t>
      </w:r>
    </w:p>
    <w:p w14:paraId="6B183F78">
      <w:pPr>
        <w:pStyle w:val="132"/>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636AADEB">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6B3E29EE">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25.4中标供应商拒绝与采购人签订合同的，采购人可以按照评审报告推荐的中标或者成交候选人名单排序，确定下一候选人为中标供应商，也可以重新开展采购活动。</w:t>
      </w:r>
      <w:r>
        <w:rPr>
          <w:rFonts w:hint="eastAsia" w:ascii="宋体" w:hAnsi="宋体" w:eastAsia="宋体" w:cs="Times New Roman"/>
          <w:kern w:val="2"/>
          <w:sz w:val="24"/>
          <w:szCs w:val="21"/>
          <w:lang w:val="en-US" w:eastAsia="zh-CN" w:bidi="ar"/>
        </w:rPr>
        <w:t>拒绝签订采购合同的成交人不得参加对该项目重新开展的采购活动。</w:t>
      </w:r>
    </w:p>
    <w:p w14:paraId="300C0A5B">
      <w:pPr>
        <w:pStyle w:val="132"/>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25.5采购合同由采购人与中标供应商根据招标文件、投标文件等内容通过采购电子交易平台在线签订，自动备案。</w:t>
      </w:r>
    </w:p>
    <w:p w14:paraId="1919A25A">
      <w:pPr>
        <w:pStyle w:val="24"/>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7D9FECD6">
      <w:pPr>
        <w:tabs>
          <w:tab w:val="left" w:pos="0"/>
        </w:tabs>
        <w:spacing w:line="360" w:lineRule="auto"/>
        <w:ind w:firstLine="482"/>
        <w:rPr>
          <w:rFonts w:hint="eastAsia" w:ascii="宋体" w:hAnsi="宋体" w:eastAsia="宋体" w:cs="宋体"/>
          <w:b/>
          <w:color w:val="auto"/>
          <w:sz w:val="32"/>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。履约保证金的数额不得超过合同金额的</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
          <w:sz w:val="24"/>
          <w:highlight w:val="none"/>
        </w:rPr>
        <w:t>鼓励根据项目特点、供应商诚信等因素免收履约保证金或降低缴纳比例。</w:t>
      </w:r>
      <w:r>
        <w:rPr>
          <w:rFonts w:hint="eastAsia" w:ascii="宋体" w:hAnsi="宋体" w:eastAsia="宋体" w:cs="宋体"/>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586AED89">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590BBE4A">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kern w:val="2"/>
          <w:sz w:val="24"/>
          <w:szCs w:val="20"/>
          <w:highlight w:val="none"/>
        </w:rPr>
        <w:t>2</w:t>
      </w:r>
      <w:r>
        <w:rPr>
          <w:rFonts w:hint="eastAsia" w:ascii="宋体" w:hAnsi="宋体" w:eastAsia="宋体" w:cs="宋体"/>
          <w:b/>
          <w:bCs/>
          <w:color w:val="auto"/>
          <w:kern w:val="2"/>
          <w:sz w:val="24"/>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可中止电子交易活动：</w:t>
      </w:r>
    </w:p>
    <w:p w14:paraId="0B4FC970">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762289FF">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50782E72">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37139C9B">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223D69AB">
      <w:pPr>
        <w:pStyle w:val="132"/>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6E32B944">
      <w:pPr>
        <w:pStyle w:val="132"/>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3C607A5">
      <w:pPr>
        <w:tabs>
          <w:tab w:val="left" w:pos="0"/>
        </w:tabs>
        <w:spacing w:line="360" w:lineRule="auto"/>
        <w:ind w:firstLine="480"/>
        <w:rPr>
          <w:rFonts w:hint="eastAsia" w:ascii="宋体" w:hAnsi="宋体" w:eastAsia="宋体" w:cs="宋体"/>
          <w:color w:val="auto"/>
          <w:sz w:val="24"/>
          <w:highlight w:val="none"/>
        </w:rPr>
      </w:pPr>
    </w:p>
    <w:p w14:paraId="7A9A3DD7">
      <w:pPr>
        <w:snapToGrid w:val="0"/>
        <w:spacing w:line="360" w:lineRule="auto"/>
        <w:ind w:left="120" w:leftChars="57" w:firstLine="482" w:firstLineChars="150"/>
        <w:jc w:val="center"/>
        <w:rPr>
          <w:rFonts w:hint="eastAsia" w:ascii="宋体" w:hAnsi="宋体" w:eastAsia="宋体" w:cs="宋体"/>
          <w:b/>
          <w:color w:val="auto"/>
          <w:sz w:val="32"/>
          <w:highlight w:val="none"/>
        </w:rPr>
      </w:pPr>
    </w:p>
    <w:p w14:paraId="25E1126F">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69B3388D">
      <w:pPr>
        <w:pStyle w:val="24"/>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3A3C175A">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4515BA4">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0F1918D7">
      <w:pPr>
        <w:tabs>
          <w:tab w:val="left" w:pos="0"/>
        </w:tabs>
        <w:spacing w:line="360" w:lineRule="auto"/>
        <w:ind w:firstLine="48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AA0E889">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w:t>
      </w:r>
      <w:r>
        <w:rPr>
          <w:rFonts w:hint="eastAsia" w:ascii="宋体" w:hAnsi="宋体" w:cs="宋体"/>
          <w:color w:val="auto"/>
          <w:kern w:val="0"/>
          <w:sz w:val="24"/>
          <w:highlight w:val="none"/>
          <w:lang w:eastAsia="zh-CN"/>
        </w:rPr>
        <w:t>相关</w:t>
      </w:r>
      <w:r>
        <w:rPr>
          <w:rFonts w:hint="eastAsia" w:ascii="宋体" w:hAnsi="宋体" w:eastAsia="宋体" w:cs="宋体"/>
          <w:color w:val="auto"/>
          <w:kern w:val="0"/>
          <w:sz w:val="24"/>
          <w:highlight w:val="none"/>
        </w:rPr>
        <w:t>法律法规规定的违法违规情形的，采购人应当及时报告</w:t>
      </w:r>
      <w:r>
        <w:rPr>
          <w:rFonts w:hint="eastAsia" w:ascii="宋体" w:hAnsi="宋体" w:cs="宋体"/>
          <w:color w:val="auto"/>
          <w:kern w:val="0"/>
          <w:sz w:val="24"/>
          <w:highlight w:val="none"/>
          <w:lang w:val="en-US" w:eastAsia="zh-CN"/>
        </w:rPr>
        <w:t>相应</w:t>
      </w:r>
      <w:r>
        <w:rPr>
          <w:rFonts w:hint="eastAsia" w:ascii="宋体" w:hAnsi="宋体" w:cs="宋体"/>
          <w:color w:val="auto"/>
          <w:kern w:val="0"/>
          <w:sz w:val="24"/>
          <w:highlight w:val="none"/>
          <w:lang w:eastAsia="zh-CN"/>
        </w:rPr>
        <w:t>监督管理</w:t>
      </w:r>
      <w:r>
        <w:rPr>
          <w:rFonts w:hint="eastAsia" w:ascii="宋体" w:hAnsi="宋体" w:eastAsia="宋体" w:cs="宋体"/>
          <w:color w:val="auto"/>
          <w:kern w:val="0"/>
          <w:sz w:val="24"/>
          <w:highlight w:val="none"/>
        </w:rPr>
        <w:t>部门。</w:t>
      </w:r>
    </w:p>
    <w:bookmarkEnd w:id="31"/>
    <w:p w14:paraId="4173093B">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32" w:name="_Hlt68057669"/>
      <w:bookmarkEnd w:id="32"/>
      <w:bookmarkStart w:id="33" w:name="_Hlt75236011"/>
      <w:bookmarkEnd w:id="33"/>
      <w:bookmarkStart w:id="34" w:name="_Hlt68072990"/>
      <w:bookmarkEnd w:id="34"/>
      <w:bookmarkStart w:id="35" w:name="_Hlt74730295"/>
      <w:bookmarkEnd w:id="35"/>
      <w:bookmarkStart w:id="36" w:name="_Hlt75236101"/>
      <w:bookmarkEnd w:id="36"/>
      <w:bookmarkStart w:id="37" w:name="_Hlt68073093"/>
      <w:bookmarkEnd w:id="37"/>
      <w:bookmarkStart w:id="38" w:name="_Hlt68403820"/>
      <w:bookmarkEnd w:id="38"/>
      <w:bookmarkStart w:id="39" w:name="_Hlt74729768"/>
      <w:bookmarkEnd w:id="39"/>
      <w:bookmarkStart w:id="40" w:name="_Hlt68072998"/>
      <w:bookmarkEnd w:id="40"/>
      <w:bookmarkStart w:id="41" w:name="_Hlt75236290"/>
      <w:bookmarkEnd w:id="41"/>
      <w:bookmarkStart w:id="42" w:name="_Hlt74707468"/>
      <w:bookmarkEnd w:id="42"/>
      <w:bookmarkStart w:id="43" w:name="_Hlt74714665"/>
      <w:bookmarkEnd w:id="43"/>
    </w:p>
    <w:bookmarkEnd w:id="28"/>
    <w:bookmarkEnd w:id="29"/>
    <w:p w14:paraId="2EDB32FC">
      <w:pPr>
        <w:spacing w:line="360" w:lineRule="auto"/>
        <w:jc w:val="center"/>
        <w:outlineLvl w:val="0"/>
        <w:rPr>
          <w:rFonts w:hint="eastAsia" w:ascii="宋体" w:hAnsi="宋体" w:eastAsia="宋体" w:cs="宋体"/>
          <w:b/>
          <w:color w:val="auto"/>
          <w:sz w:val="36"/>
          <w:szCs w:val="36"/>
          <w:highlight w:val="none"/>
        </w:rPr>
      </w:pPr>
      <w:bookmarkStart w:id="44" w:name="第四部分"/>
      <w:r>
        <w:rPr>
          <w:rFonts w:hint="eastAsia" w:ascii="宋体" w:hAnsi="宋体" w:eastAsia="宋体" w:cs="宋体"/>
          <w:b/>
          <w:color w:val="auto"/>
          <w:sz w:val="36"/>
          <w:szCs w:val="36"/>
          <w:highlight w:val="none"/>
        </w:rPr>
        <w:t>第三部分   采购需求</w:t>
      </w:r>
    </w:p>
    <w:p w14:paraId="7905377B">
      <w:pPr>
        <w:pStyle w:val="3"/>
        <w:spacing w:line="440" w:lineRule="exact"/>
        <w:ind w:left="-240"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一、采购内容及数量：</w:t>
      </w:r>
    </w:p>
    <w:tbl>
      <w:tblPr>
        <w:tblStyle w:val="63"/>
        <w:tblpPr w:leftFromText="180" w:rightFromText="180" w:vertAnchor="text" w:horzAnchor="page" w:tblpXSpec="center" w:tblpY="100"/>
        <w:tblOverlap w:val="never"/>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167"/>
        <w:gridCol w:w="2504"/>
        <w:gridCol w:w="658"/>
        <w:gridCol w:w="810"/>
        <w:gridCol w:w="1345"/>
        <w:gridCol w:w="1230"/>
        <w:gridCol w:w="768"/>
      </w:tblGrid>
      <w:tr w14:paraId="00ADB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5" w:type="dxa"/>
            <w:vAlign w:val="center"/>
          </w:tcPr>
          <w:p w14:paraId="58308104">
            <w:pPr>
              <w:keepNext w:val="0"/>
              <w:keepLines w:val="0"/>
              <w:widowControl/>
              <w:suppressLineNumbers w:val="0"/>
              <w:spacing w:before="0" w:beforeAutospacing="0" w:after="0" w:afterAutospacing="0"/>
              <w:ind w:left="0" w:right="0"/>
              <w:jc w:val="center"/>
              <w:rPr>
                <w:rFonts w:hint="eastAsia" w:ascii="宋体" w:hAnsi="宋体" w:cs="宋体"/>
                <w:b/>
                <w:sz w:val="24"/>
                <w:szCs w:val="24"/>
                <w:highlight w:val="none"/>
              </w:rPr>
            </w:pPr>
            <w:r>
              <w:rPr>
                <w:rFonts w:hint="eastAsia" w:ascii="宋体" w:hAnsi="宋体" w:cs="宋体"/>
                <w:b/>
                <w:sz w:val="24"/>
                <w:szCs w:val="24"/>
                <w:highlight w:val="none"/>
              </w:rPr>
              <w:t>序号</w:t>
            </w:r>
          </w:p>
        </w:tc>
        <w:tc>
          <w:tcPr>
            <w:tcW w:w="2167" w:type="dxa"/>
            <w:vAlign w:val="center"/>
          </w:tcPr>
          <w:p w14:paraId="6147FD58">
            <w:pPr>
              <w:keepNext w:val="0"/>
              <w:keepLines w:val="0"/>
              <w:widowControl/>
              <w:suppressLineNumbers w:val="0"/>
              <w:spacing w:before="0" w:beforeAutospacing="0" w:after="0" w:afterAutospacing="0"/>
              <w:ind w:left="0" w:right="0"/>
              <w:jc w:val="center"/>
              <w:rPr>
                <w:rFonts w:hint="eastAsia" w:ascii="宋体" w:hAnsi="宋体" w:cs="宋体"/>
                <w:b/>
                <w:sz w:val="24"/>
                <w:szCs w:val="24"/>
                <w:highlight w:val="none"/>
              </w:rPr>
            </w:pPr>
            <w:r>
              <w:rPr>
                <w:rFonts w:hint="eastAsia" w:ascii="宋体" w:hAnsi="宋体" w:cs="宋体"/>
                <w:b/>
                <w:sz w:val="24"/>
                <w:szCs w:val="24"/>
                <w:highlight w:val="none"/>
              </w:rPr>
              <w:t>品名</w:t>
            </w:r>
          </w:p>
        </w:tc>
        <w:tc>
          <w:tcPr>
            <w:tcW w:w="2504" w:type="dxa"/>
            <w:vAlign w:val="center"/>
          </w:tcPr>
          <w:p w14:paraId="1087A55A">
            <w:pPr>
              <w:keepNext w:val="0"/>
              <w:keepLines w:val="0"/>
              <w:widowControl/>
              <w:suppressLineNumbers w:val="0"/>
              <w:spacing w:before="0" w:beforeAutospacing="0" w:after="0" w:afterAutospacing="0"/>
              <w:ind w:left="0" w:right="0"/>
              <w:jc w:val="center"/>
              <w:rPr>
                <w:rFonts w:hint="eastAsia" w:ascii="宋体" w:hAnsi="宋体" w:cs="宋体"/>
                <w:b/>
                <w:sz w:val="24"/>
                <w:szCs w:val="24"/>
                <w:highlight w:val="none"/>
              </w:rPr>
            </w:pPr>
            <w:r>
              <w:rPr>
                <w:rFonts w:hint="eastAsia" w:ascii="宋体" w:hAnsi="宋体" w:cs="宋体"/>
                <w:b/>
                <w:sz w:val="24"/>
                <w:szCs w:val="24"/>
                <w:highlight w:val="none"/>
              </w:rPr>
              <w:t>技术规格和配置要求</w:t>
            </w:r>
          </w:p>
        </w:tc>
        <w:tc>
          <w:tcPr>
            <w:tcW w:w="658" w:type="dxa"/>
            <w:vAlign w:val="center"/>
          </w:tcPr>
          <w:p w14:paraId="7D05675B">
            <w:pPr>
              <w:keepNext w:val="0"/>
              <w:keepLines w:val="0"/>
              <w:widowControl/>
              <w:suppressLineNumbers w:val="0"/>
              <w:spacing w:before="0" w:beforeAutospacing="0" w:after="0" w:afterAutospacing="0"/>
              <w:ind w:left="0" w:right="0"/>
              <w:jc w:val="center"/>
              <w:rPr>
                <w:rFonts w:hint="eastAsia" w:ascii="宋体" w:hAnsi="宋体" w:cs="宋体"/>
                <w:b/>
                <w:sz w:val="24"/>
                <w:szCs w:val="24"/>
                <w:highlight w:val="none"/>
              </w:rPr>
            </w:pPr>
            <w:r>
              <w:rPr>
                <w:rFonts w:hint="eastAsia" w:ascii="宋体" w:hAnsi="宋体" w:cs="宋体"/>
                <w:b/>
                <w:sz w:val="24"/>
                <w:szCs w:val="24"/>
                <w:highlight w:val="none"/>
              </w:rPr>
              <w:t>单位</w:t>
            </w:r>
          </w:p>
        </w:tc>
        <w:tc>
          <w:tcPr>
            <w:tcW w:w="810" w:type="dxa"/>
            <w:vAlign w:val="center"/>
          </w:tcPr>
          <w:p w14:paraId="1AC84F63">
            <w:pPr>
              <w:keepNext w:val="0"/>
              <w:keepLines w:val="0"/>
              <w:suppressLineNumbers w:val="0"/>
              <w:spacing w:before="0" w:beforeAutospacing="0" w:after="0" w:afterAutospacing="0"/>
              <w:ind w:left="0" w:right="0"/>
              <w:jc w:val="center"/>
              <w:rPr>
                <w:rFonts w:hint="eastAsia" w:ascii="宋体" w:hAnsi="宋体" w:cs="宋体"/>
                <w:b/>
                <w:sz w:val="24"/>
                <w:szCs w:val="24"/>
                <w:highlight w:val="none"/>
              </w:rPr>
            </w:pPr>
            <w:r>
              <w:rPr>
                <w:rFonts w:hint="eastAsia" w:ascii="宋体" w:hAnsi="宋体" w:cs="宋体"/>
                <w:b/>
                <w:sz w:val="24"/>
                <w:szCs w:val="24"/>
                <w:highlight w:val="none"/>
              </w:rPr>
              <w:t>数量</w:t>
            </w:r>
          </w:p>
        </w:tc>
        <w:tc>
          <w:tcPr>
            <w:tcW w:w="1345" w:type="dxa"/>
            <w:vAlign w:val="center"/>
          </w:tcPr>
          <w:p w14:paraId="4F2E402C">
            <w:pPr>
              <w:keepNext w:val="0"/>
              <w:keepLines w:val="0"/>
              <w:suppressLineNumbers w:val="0"/>
              <w:spacing w:before="0" w:beforeAutospacing="0" w:after="0" w:afterAutospacing="0"/>
              <w:ind w:left="0" w:right="0"/>
              <w:jc w:val="center"/>
              <w:rPr>
                <w:rFonts w:hint="eastAsia" w:ascii="宋体" w:hAnsi="宋体" w:cs="宋体"/>
                <w:b/>
                <w:sz w:val="24"/>
                <w:szCs w:val="24"/>
                <w:highlight w:val="none"/>
              </w:rPr>
            </w:pPr>
            <w:r>
              <w:rPr>
                <w:rFonts w:hint="eastAsia" w:ascii="宋体" w:hAnsi="宋体" w:cs="宋体"/>
                <w:b/>
                <w:sz w:val="24"/>
                <w:szCs w:val="24"/>
                <w:highlight w:val="none"/>
              </w:rPr>
              <w:t>预算单价（</w:t>
            </w:r>
            <w:r>
              <w:rPr>
                <w:rFonts w:hint="eastAsia" w:ascii="宋体" w:hAnsi="宋体" w:cs="宋体"/>
                <w:b/>
                <w:sz w:val="24"/>
                <w:szCs w:val="24"/>
                <w:highlight w:val="none"/>
                <w:lang w:eastAsia="zh-CN"/>
              </w:rPr>
              <w:t>万</w:t>
            </w:r>
            <w:r>
              <w:rPr>
                <w:rFonts w:hint="eastAsia" w:ascii="宋体" w:hAnsi="宋体" w:cs="宋体"/>
                <w:b/>
                <w:sz w:val="24"/>
                <w:szCs w:val="24"/>
                <w:highlight w:val="none"/>
              </w:rPr>
              <w:t>元）</w:t>
            </w:r>
          </w:p>
        </w:tc>
        <w:tc>
          <w:tcPr>
            <w:tcW w:w="1230" w:type="dxa"/>
            <w:vAlign w:val="center"/>
          </w:tcPr>
          <w:p w14:paraId="026D47E9">
            <w:pPr>
              <w:keepNext w:val="0"/>
              <w:keepLines w:val="0"/>
              <w:suppressLineNumbers w:val="0"/>
              <w:spacing w:before="0" w:beforeAutospacing="0" w:after="0" w:afterAutospacing="0"/>
              <w:ind w:left="0" w:right="0"/>
              <w:jc w:val="center"/>
              <w:rPr>
                <w:rFonts w:hint="eastAsia" w:ascii="宋体" w:hAnsi="宋体" w:cs="宋体"/>
                <w:b/>
                <w:sz w:val="24"/>
                <w:szCs w:val="24"/>
                <w:highlight w:val="none"/>
              </w:rPr>
            </w:pPr>
            <w:r>
              <w:rPr>
                <w:rFonts w:hint="eastAsia" w:ascii="宋体" w:hAnsi="宋体" w:cs="宋体"/>
                <w:b/>
                <w:sz w:val="24"/>
                <w:szCs w:val="24"/>
                <w:highlight w:val="none"/>
              </w:rPr>
              <w:t>合计</w:t>
            </w:r>
          </w:p>
          <w:p w14:paraId="61C2AA32">
            <w:pPr>
              <w:keepNext w:val="0"/>
              <w:keepLines w:val="0"/>
              <w:suppressLineNumbers w:val="0"/>
              <w:spacing w:before="0" w:beforeAutospacing="0" w:after="0" w:afterAutospacing="0"/>
              <w:ind w:left="0" w:right="0"/>
              <w:jc w:val="center"/>
              <w:rPr>
                <w:rFonts w:hint="eastAsia" w:ascii="宋体" w:hAnsi="宋体" w:cs="宋体"/>
                <w:b/>
                <w:sz w:val="24"/>
                <w:szCs w:val="24"/>
                <w:highlight w:val="none"/>
              </w:rPr>
            </w:pPr>
            <w:r>
              <w:rPr>
                <w:rFonts w:hint="eastAsia" w:ascii="宋体" w:hAnsi="宋体" w:cs="宋体"/>
                <w:b/>
                <w:sz w:val="24"/>
                <w:szCs w:val="24"/>
                <w:highlight w:val="none"/>
              </w:rPr>
              <w:t>（</w:t>
            </w:r>
            <w:r>
              <w:rPr>
                <w:rFonts w:hint="eastAsia" w:ascii="宋体" w:hAnsi="宋体" w:cs="宋体"/>
                <w:b/>
                <w:sz w:val="24"/>
                <w:szCs w:val="24"/>
                <w:highlight w:val="none"/>
                <w:lang w:eastAsia="zh-CN"/>
              </w:rPr>
              <w:t>万</w:t>
            </w:r>
            <w:r>
              <w:rPr>
                <w:rFonts w:hint="eastAsia" w:ascii="宋体" w:hAnsi="宋体" w:cs="宋体"/>
                <w:b/>
                <w:sz w:val="24"/>
                <w:szCs w:val="24"/>
                <w:highlight w:val="none"/>
              </w:rPr>
              <w:t>元）</w:t>
            </w:r>
          </w:p>
        </w:tc>
        <w:tc>
          <w:tcPr>
            <w:tcW w:w="768" w:type="dxa"/>
            <w:vAlign w:val="center"/>
          </w:tcPr>
          <w:p w14:paraId="13CBF56D">
            <w:pPr>
              <w:keepNext w:val="0"/>
              <w:keepLines w:val="0"/>
              <w:widowControl/>
              <w:suppressLineNumbers w:val="0"/>
              <w:spacing w:before="0" w:beforeAutospacing="0" w:after="0" w:afterAutospacing="0"/>
              <w:ind w:left="0" w:right="0"/>
              <w:jc w:val="center"/>
              <w:rPr>
                <w:rFonts w:hint="eastAsia" w:ascii="宋体" w:hAnsi="宋体" w:cs="宋体"/>
                <w:b/>
                <w:sz w:val="24"/>
                <w:szCs w:val="24"/>
                <w:highlight w:val="none"/>
              </w:rPr>
            </w:pPr>
            <w:r>
              <w:rPr>
                <w:rFonts w:hint="eastAsia" w:ascii="宋体" w:hAnsi="宋体" w:cs="宋体"/>
                <w:b/>
                <w:sz w:val="24"/>
                <w:szCs w:val="24"/>
                <w:highlight w:val="none"/>
              </w:rPr>
              <w:t>备注</w:t>
            </w:r>
          </w:p>
        </w:tc>
      </w:tr>
      <w:tr w14:paraId="15F5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5" w:type="dxa"/>
            <w:vAlign w:val="center"/>
          </w:tcPr>
          <w:p w14:paraId="7888271D">
            <w:pPr>
              <w:keepNext w:val="0"/>
              <w:keepLines w:val="0"/>
              <w:widowControl/>
              <w:suppressLineNumbers w:val="0"/>
              <w:spacing w:before="0" w:beforeAutospacing="0" w:after="0" w:afterAutospacing="0"/>
              <w:ind w:left="0" w:right="0"/>
              <w:jc w:val="center"/>
              <w:rPr>
                <w:rFonts w:hint="eastAsia" w:ascii="宋体" w:hAnsi="宋体" w:cs="宋体"/>
                <w:b/>
                <w:sz w:val="24"/>
                <w:szCs w:val="24"/>
                <w:highlight w:val="none"/>
              </w:rPr>
            </w:pPr>
            <w:r>
              <w:rPr>
                <w:rFonts w:hint="eastAsia" w:ascii="宋体" w:hAnsi="宋体" w:cs="宋体"/>
                <w:b/>
                <w:kern w:val="0"/>
                <w:sz w:val="24"/>
                <w:szCs w:val="24"/>
                <w:highlight w:val="none"/>
              </w:rPr>
              <w:t>1</w:t>
            </w:r>
          </w:p>
        </w:tc>
        <w:tc>
          <w:tcPr>
            <w:tcW w:w="2167" w:type="dxa"/>
            <w:vAlign w:val="center"/>
          </w:tcPr>
          <w:p w14:paraId="4A1E413B">
            <w:pPr>
              <w:keepNext w:val="0"/>
              <w:keepLines w:val="0"/>
              <w:suppressLineNumbers w:val="0"/>
              <w:spacing w:before="0" w:beforeAutospacing="0" w:after="0" w:afterAutospacing="0"/>
              <w:ind w:left="0" w:right="0"/>
              <w:jc w:val="center"/>
              <w:rPr>
                <w:rFonts w:hint="eastAsia" w:ascii="宋体" w:hAnsi="宋体" w:eastAsia="宋体" w:cs="宋体"/>
                <w:b/>
                <w:kern w:val="2"/>
                <w:sz w:val="24"/>
                <w:szCs w:val="24"/>
                <w:highlight w:val="none"/>
                <w:lang w:val="en-US" w:eastAsia="zh-CN" w:bidi="ar-SA"/>
              </w:rPr>
            </w:pPr>
            <w:r>
              <w:rPr>
                <w:rFonts w:hint="eastAsia" w:ascii="宋体" w:hAnsi="宋体" w:cs="宋体"/>
                <w:b/>
                <w:bCs/>
                <w:szCs w:val="21"/>
                <w:highlight w:val="none"/>
              </w:rPr>
              <w:t>9米系列26座公路旅游型柴油空调客车</w:t>
            </w:r>
          </w:p>
        </w:tc>
        <w:tc>
          <w:tcPr>
            <w:tcW w:w="2504" w:type="dxa"/>
            <w:vAlign w:val="center"/>
          </w:tcPr>
          <w:p w14:paraId="16DB9DA9">
            <w:pPr>
              <w:keepNext w:val="0"/>
              <w:keepLines w:val="0"/>
              <w:widowControl/>
              <w:suppressLineNumbers w:val="0"/>
              <w:spacing w:before="0" w:beforeAutospacing="0" w:after="0" w:afterAutospacing="0"/>
              <w:ind w:left="0" w:right="0"/>
              <w:jc w:val="center"/>
              <w:rPr>
                <w:rFonts w:hint="eastAsia" w:ascii="宋体" w:hAnsi="宋体" w:eastAsia="宋体" w:cs="宋体"/>
                <w:b/>
                <w:kern w:val="2"/>
                <w:sz w:val="24"/>
                <w:szCs w:val="24"/>
                <w:highlight w:val="none"/>
                <w:lang w:val="en-US" w:eastAsia="zh-CN" w:bidi="ar-SA"/>
              </w:rPr>
            </w:pPr>
            <w:r>
              <w:rPr>
                <w:rFonts w:hint="eastAsia" w:ascii="宋体" w:hAnsi="宋体" w:cs="宋体"/>
                <w:b/>
                <w:sz w:val="24"/>
                <w:szCs w:val="24"/>
                <w:highlight w:val="none"/>
              </w:rPr>
              <w:t>详见“二、主要技术指标参数及要求”</w:t>
            </w:r>
          </w:p>
        </w:tc>
        <w:tc>
          <w:tcPr>
            <w:tcW w:w="658" w:type="dxa"/>
            <w:vAlign w:val="center"/>
          </w:tcPr>
          <w:p w14:paraId="56C83EF7">
            <w:pPr>
              <w:keepNext w:val="0"/>
              <w:keepLines w:val="0"/>
              <w:suppressLineNumbers w:val="0"/>
              <w:spacing w:before="0" w:beforeAutospacing="0" w:after="0" w:afterAutospacing="0"/>
              <w:ind w:left="0" w:right="0"/>
              <w:jc w:val="center"/>
              <w:rPr>
                <w:rFonts w:hint="eastAsia" w:ascii="宋体" w:hAnsi="宋体" w:eastAsia="宋体" w:cs="宋体"/>
                <w:b/>
                <w:kern w:val="2"/>
                <w:sz w:val="24"/>
                <w:szCs w:val="24"/>
                <w:highlight w:val="none"/>
                <w:lang w:val="en-US" w:eastAsia="zh-CN" w:bidi="ar-SA"/>
              </w:rPr>
            </w:pPr>
            <w:r>
              <w:rPr>
                <w:rFonts w:hint="eastAsia" w:ascii="宋体" w:hAnsi="宋体" w:cs="宋体"/>
                <w:b/>
                <w:sz w:val="24"/>
                <w:szCs w:val="24"/>
                <w:highlight w:val="none"/>
              </w:rPr>
              <w:t>辆</w:t>
            </w:r>
          </w:p>
        </w:tc>
        <w:tc>
          <w:tcPr>
            <w:tcW w:w="810" w:type="dxa"/>
            <w:vAlign w:val="center"/>
          </w:tcPr>
          <w:p w14:paraId="65AB70FF">
            <w:pPr>
              <w:keepNext w:val="0"/>
              <w:keepLines w:val="0"/>
              <w:suppressLineNumbers w:val="0"/>
              <w:spacing w:before="0" w:beforeAutospacing="0" w:after="0" w:afterAutospacing="0"/>
              <w:ind w:left="0" w:right="0"/>
              <w:jc w:val="center"/>
              <w:rPr>
                <w:rFonts w:hint="eastAsia"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2</w:t>
            </w:r>
          </w:p>
        </w:tc>
        <w:tc>
          <w:tcPr>
            <w:tcW w:w="1345" w:type="dxa"/>
            <w:vAlign w:val="center"/>
          </w:tcPr>
          <w:p w14:paraId="1C989372">
            <w:pPr>
              <w:keepNext w:val="0"/>
              <w:keepLines w:val="0"/>
              <w:suppressLineNumbers w:val="0"/>
              <w:spacing w:before="0" w:beforeAutospacing="0" w:after="0" w:afterAutospacing="0"/>
              <w:ind w:left="0" w:right="0"/>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50</w:t>
            </w:r>
          </w:p>
        </w:tc>
        <w:tc>
          <w:tcPr>
            <w:tcW w:w="1230" w:type="dxa"/>
            <w:vAlign w:val="center"/>
          </w:tcPr>
          <w:p w14:paraId="08E62C56">
            <w:pPr>
              <w:keepNext w:val="0"/>
              <w:keepLines w:val="0"/>
              <w:suppressLineNumbers w:val="0"/>
              <w:spacing w:before="0" w:beforeAutospacing="0" w:after="0" w:afterAutospacing="0"/>
              <w:ind w:left="0" w:right="0"/>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100</w:t>
            </w:r>
          </w:p>
        </w:tc>
        <w:tc>
          <w:tcPr>
            <w:tcW w:w="768" w:type="dxa"/>
            <w:vAlign w:val="center"/>
          </w:tcPr>
          <w:p w14:paraId="18F9C933">
            <w:pPr>
              <w:keepNext w:val="0"/>
              <w:keepLines w:val="0"/>
              <w:widowControl/>
              <w:suppressLineNumbers w:val="0"/>
              <w:spacing w:before="0" w:beforeAutospacing="0" w:after="0" w:afterAutospacing="0"/>
              <w:ind w:left="0" w:right="0"/>
              <w:jc w:val="center"/>
              <w:rPr>
                <w:rFonts w:hint="eastAsia" w:ascii="宋体" w:hAnsi="宋体" w:cs="宋体"/>
                <w:b/>
                <w:sz w:val="24"/>
                <w:szCs w:val="24"/>
                <w:highlight w:val="none"/>
              </w:rPr>
            </w:pPr>
          </w:p>
        </w:tc>
      </w:tr>
      <w:tr w14:paraId="163E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5" w:type="dxa"/>
            <w:vAlign w:val="center"/>
          </w:tcPr>
          <w:p w14:paraId="7D315FD3">
            <w:pPr>
              <w:keepNext w:val="0"/>
              <w:keepLines w:val="0"/>
              <w:widowControl/>
              <w:suppressLineNumbers w:val="0"/>
              <w:spacing w:before="0" w:beforeAutospacing="0" w:after="0" w:afterAutospacing="0"/>
              <w:ind w:left="0" w:right="0"/>
              <w:jc w:val="center"/>
              <w:rPr>
                <w:rFonts w:hint="eastAsia" w:ascii="宋体" w:hAnsi="宋体" w:cs="宋体"/>
                <w:b/>
                <w:kern w:val="0"/>
                <w:sz w:val="24"/>
                <w:szCs w:val="24"/>
                <w:highlight w:val="none"/>
              </w:rPr>
            </w:pPr>
            <w:r>
              <w:rPr>
                <w:rFonts w:hint="eastAsia" w:ascii="宋体" w:hAnsi="宋体" w:cs="宋体"/>
                <w:b/>
                <w:kern w:val="0"/>
                <w:sz w:val="24"/>
                <w:szCs w:val="24"/>
                <w:highlight w:val="none"/>
              </w:rPr>
              <w:t>2</w:t>
            </w:r>
          </w:p>
        </w:tc>
        <w:tc>
          <w:tcPr>
            <w:tcW w:w="2167" w:type="dxa"/>
            <w:vAlign w:val="center"/>
          </w:tcPr>
          <w:p w14:paraId="00F0E3CC">
            <w:pPr>
              <w:keepNext w:val="0"/>
              <w:keepLines w:val="0"/>
              <w:suppressLineNumbers w:val="0"/>
              <w:spacing w:before="0" w:beforeAutospacing="0" w:after="0" w:afterAutospacing="0"/>
              <w:ind w:left="0" w:right="0"/>
              <w:jc w:val="center"/>
              <w:rPr>
                <w:rFonts w:hint="eastAsia" w:ascii="宋体" w:hAnsi="宋体" w:eastAsia="宋体" w:cs="宋体"/>
                <w:b/>
                <w:bCs/>
                <w:kern w:val="2"/>
                <w:sz w:val="21"/>
                <w:szCs w:val="21"/>
                <w:highlight w:val="none"/>
                <w:lang w:val="en-US" w:eastAsia="zh-CN" w:bidi="ar-SA"/>
              </w:rPr>
            </w:pPr>
            <w:r>
              <w:rPr>
                <w:rFonts w:hint="eastAsia" w:ascii="宋体" w:hAnsi="宋体" w:cs="宋体"/>
                <w:b/>
                <w:bCs/>
                <w:szCs w:val="21"/>
                <w:highlight w:val="none"/>
              </w:rPr>
              <w:t>11米系列39座公路旅游型柴油空调客车</w:t>
            </w:r>
          </w:p>
        </w:tc>
        <w:tc>
          <w:tcPr>
            <w:tcW w:w="2504" w:type="dxa"/>
            <w:vAlign w:val="center"/>
          </w:tcPr>
          <w:p w14:paraId="4A6DA2A4">
            <w:pPr>
              <w:keepNext w:val="0"/>
              <w:keepLines w:val="0"/>
              <w:widowControl/>
              <w:suppressLineNumbers w:val="0"/>
              <w:spacing w:before="0" w:beforeAutospacing="0" w:after="0" w:afterAutospacing="0"/>
              <w:ind w:left="0" w:right="0"/>
              <w:jc w:val="center"/>
              <w:rPr>
                <w:rFonts w:hint="eastAsia" w:ascii="宋体" w:hAnsi="宋体" w:eastAsia="宋体" w:cs="宋体"/>
                <w:b/>
                <w:kern w:val="2"/>
                <w:sz w:val="24"/>
                <w:szCs w:val="24"/>
                <w:highlight w:val="none"/>
                <w:lang w:val="en-US" w:eastAsia="zh-CN" w:bidi="ar-SA"/>
              </w:rPr>
            </w:pPr>
            <w:r>
              <w:rPr>
                <w:rFonts w:hint="eastAsia" w:ascii="宋体" w:hAnsi="宋体" w:cs="宋体"/>
                <w:b/>
                <w:sz w:val="24"/>
                <w:szCs w:val="24"/>
                <w:highlight w:val="none"/>
              </w:rPr>
              <w:t>详见“二、主要技术指标参数及要求”</w:t>
            </w:r>
          </w:p>
        </w:tc>
        <w:tc>
          <w:tcPr>
            <w:tcW w:w="658" w:type="dxa"/>
            <w:vAlign w:val="center"/>
          </w:tcPr>
          <w:p w14:paraId="1121D48E">
            <w:pPr>
              <w:keepNext w:val="0"/>
              <w:keepLines w:val="0"/>
              <w:suppressLineNumbers w:val="0"/>
              <w:spacing w:before="0" w:beforeAutospacing="0" w:after="0" w:afterAutospacing="0"/>
              <w:ind w:left="0" w:right="0"/>
              <w:jc w:val="center"/>
              <w:rPr>
                <w:rFonts w:hint="eastAsia" w:ascii="宋体" w:hAnsi="宋体" w:eastAsia="宋体" w:cs="宋体"/>
                <w:b/>
                <w:kern w:val="2"/>
                <w:sz w:val="24"/>
                <w:szCs w:val="24"/>
                <w:highlight w:val="none"/>
                <w:lang w:val="en-US" w:eastAsia="zh-CN" w:bidi="ar-SA"/>
              </w:rPr>
            </w:pPr>
            <w:r>
              <w:rPr>
                <w:rFonts w:hint="eastAsia" w:ascii="宋体" w:hAnsi="宋体" w:cs="宋体"/>
                <w:b/>
                <w:sz w:val="24"/>
                <w:szCs w:val="24"/>
                <w:highlight w:val="none"/>
              </w:rPr>
              <w:t>辆</w:t>
            </w:r>
          </w:p>
        </w:tc>
        <w:tc>
          <w:tcPr>
            <w:tcW w:w="810" w:type="dxa"/>
            <w:vAlign w:val="center"/>
          </w:tcPr>
          <w:p w14:paraId="5536BF52">
            <w:pPr>
              <w:keepNext w:val="0"/>
              <w:keepLines w:val="0"/>
              <w:suppressLineNumbers w:val="0"/>
              <w:spacing w:before="0" w:beforeAutospacing="0" w:after="0" w:afterAutospacing="0"/>
              <w:ind w:left="0" w:right="0"/>
              <w:jc w:val="center"/>
              <w:rPr>
                <w:rFonts w:hint="eastAsia" w:ascii="宋体" w:hAnsi="宋体" w:eastAsia="宋体" w:cs="宋体"/>
                <w:b/>
                <w:kern w:val="2"/>
                <w:sz w:val="24"/>
                <w:szCs w:val="24"/>
                <w:highlight w:val="none"/>
                <w:lang w:val="en-US" w:eastAsia="zh-CN" w:bidi="ar-SA"/>
              </w:rPr>
            </w:pPr>
            <w:r>
              <w:rPr>
                <w:rFonts w:hint="eastAsia" w:ascii="宋体" w:hAnsi="宋体" w:cs="宋体"/>
                <w:b/>
                <w:sz w:val="24"/>
                <w:szCs w:val="24"/>
                <w:highlight w:val="none"/>
                <w:lang w:val="en-US" w:eastAsia="zh-CN"/>
              </w:rPr>
              <w:t>2</w:t>
            </w:r>
          </w:p>
        </w:tc>
        <w:tc>
          <w:tcPr>
            <w:tcW w:w="1345" w:type="dxa"/>
            <w:vAlign w:val="center"/>
          </w:tcPr>
          <w:p w14:paraId="3B34D111">
            <w:pPr>
              <w:keepNext w:val="0"/>
              <w:keepLines w:val="0"/>
              <w:suppressLineNumbers w:val="0"/>
              <w:spacing w:before="0" w:beforeAutospacing="0" w:after="0" w:afterAutospacing="0"/>
              <w:ind w:left="0" w:right="0"/>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60</w:t>
            </w:r>
          </w:p>
        </w:tc>
        <w:tc>
          <w:tcPr>
            <w:tcW w:w="1230" w:type="dxa"/>
            <w:vAlign w:val="center"/>
          </w:tcPr>
          <w:p w14:paraId="0DC7A787">
            <w:pPr>
              <w:keepNext w:val="0"/>
              <w:keepLines w:val="0"/>
              <w:suppressLineNumbers w:val="0"/>
              <w:spacing w:before="0" w:beforeAutospacing="0" w:after="0" w:afterAutospacing="0"/>
              <w:ind w:left="0" w:right="0"/>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120</w:t>
            </w:r>
          </w:p>
        </w:tc>
        <w:tc>
          <w:tcPr>
            <w:tcW w:w="768" w:type="dxa"/>
            <w:vAlign w:val="center"/>
          </w:tcPr>
          <w:p w14:paraId="2D73221F">
            <w:pPr>
              <w:keepNext w:val="0"/>
              <w:keepLines w:val="0"/>
              <w:widowControl/>
              <w:suppressLineNumbers w:val="0"/>
              <w:spacing w:before="0" w:beforeAutospacing="0" w:after="0" w:afterAutospacing="0"/>
              <w:ind w:left="0" w:right="0"/>
              <w:jc w:val="center"/>
              <w:rPr>
                <w:rFonts w:hint="eastAsia" w:ascii="宋体" w:hAnsi="宋体" w:cs="宋体"/>
                <w:b/>
                <w:sz w:val="24"/>
                <w:szCs w:val="24"/>
                <w:highlight w:val="none"/>
              </w:rPr>
            </w:pPr>
          </w:p>
        </w:tc>
      </w:tr>
      <w:tr w14:paraId="27A0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735" w:type="dxa"/>
            <w:vAlign w:val="center"/>
          </w:tcPr>
          <w:p w14:paraId="2017ED8D">
            <w:pPr>
              <w:keepNext w:val="0"/>
              <w:keepLines w:val="0"/>
              <w:widowControl/>
              <w:suppressLineNumbers w:val="0"/>
              <w:spacing w:before="0" w:beforeAutospacing="0" w:after="0" w:afterAutospacing="0"/>
              <w:ind w:left="0" w:right="0"/>
              <w:jc w:val="center"/>
              <w:rPr>
                <w:rFonts w:hint="eastAsia" w:ascii="宋体" w:hAnsi="宋体" w:cs="宋体"/>
                <w:b/>
                <w:kern w:val="0"/>
                <w:sz w:val="24"/>
                <w:szCs w:val="24"/>
                <w:highlight w:val="none"/>
              </w:rPr>
            </w:pPr>
            <w:r>
              <w:rPr>
                <w:rFonts w:hint="eastAsia" w:ascii="宋体" w:hAnsi="宋体" w:cs="宋体"/>
                <w:b/>
                <w:kern w:val="0"/>
                <w:sz w:val="24"/>
                <w:szCs w:val="24"/>
                <w:highlight w:val="none"/>
              </w:rPr>
              <w:t>3</w:t>
            </w:r>
          </w:p>
        </w:tc>
        <w:tc>
          <w:tcPr>
            <w:tcW w:w="2167" w:type="dxa"/>
            <w:vAlign w:val="center"/>
          </w:tcPr>
          <w:p w14:paraId="4A939CB5">
            <w:pPr>
              <w:keepNext w:val="0"/>
              <w:keepLines w:val="0"/>
              <w:suppressLineNumbers w:val="0"/>
              <w:spacing w:before="0" w:beforeAutospacing="0" w:after="0" w:afterAutospacing="0"/>
              <w:ind w:left="0" w:right="0"/>
              <w:jc w:val="center"/>
              <w:rPr>
                <w:rFonts w:hint="eastAsia" w:ascii="宋体" w:hAnsi="宋体" w:eastAsia="宋体" w:cs="宋体"/>
                <w:b/>
                <w:kern w:val="2"/>
                <w:sz w:val="24"/>
                <w:szCs w:val="24"/>
                <w:highlight w:val="none"/>
                <w:lang w:val="en-US" w:eastAsia="zh-CN" w:bidi="ar-SA"/>
              </w:rPr>
            </w:pPr>
            <w:r>
              <w:rPr>
                <w:rFonts w:hint="eastAsia" w:ascii="宋体" w:hAnsi="宋体" w:cs="宋体"/>
                <w:b/>
                <w:bCs/>
                <w:szCs w:val="21"/>
                <w:highlight w:val="none"/>
              </w:rPr>
              <w:t>13米系列56座公路旅游型柴油空调客车</w:t>
            </w:r>
          </w:p>
        </w:tc>
        <w:tc>
          <w:tcPr>
            <w:tcW w:w="2504" w:type="dxa"/>
            <w:vAlign w:val="center"/>
          </w:tcPr>
          <w:p w14:paraId="133FBBD4">
            <w:pPr>
              <w:keepNext w:val="0"/>
              <w:keepLines w:val="0"/>
              <w:widowControl/>
              <w:suppressLineNumbers w:val="0"/>
              <w:spacing w:before="0" w:beforeAutospacing="0" w:after="0" w:afterAutospacing="0"/>
              <w:ind w:left="0" w:right="0"/>
              <w:jc w:val="center"/>
              <w:rPr>
                <w:rFonts w:hint="eastAsia" w:ascii="宋体" w:hAnsi="宋体" w:eastAsia="宋体" w:cs="宋体"/>
                <w:b/>
                <w:kern w:val="2"/>
                <w:sz w:val="24"/>
                <w:szCs w:val="24"/>
                <w:highlight w:val="none"/>
                <w:lang w:val="en-US" w:eastAsia="zh-CN" w:bidi="ar-SA"/>
              </w:rPr>
            </w:pPr>
            <w:r>
              <w:rPr>
                <w:rFonts w:hint="eastAsia" w:ascii="宋体" w:hAnsi="宋体" w:cs="宋体"/>
                <w:b/>
                <w:sz w:val="24"/>
                <w:szCs w:val="24"/>
                <w:highlight w:val="none"/>
              </w:rPr>
              <w:t>详见“二、主要技术指标参数及要求”</w:t>
            </w:r>
          </w:p>
        </w:tc>
        <w:tc>
          <w:tcPr>
            <w:tcW w:w="658" w:type="dxa"/>
            <w:vAlign w:val="center"/>
          </w:tcPr>
          <w:p w14:paraId="29C43F99">
            <w:pPr>
              <w:keepNext w:val="0"/>
              <w:keepLines w:val="0"/>
              <w:suppressLineNumbers w:val="0"/>
              <w:spacing w:before="0" w:beforeAutospacing="0" w:after="0" w:afterAutospacing="0"/>
              <w:ind w:left="0" w:right="0"/>
              <w:jc w:val="center"/>
              <w:rPr>
                <w:rFonts w:hint="eastAsia" w:ascii="宋体" w:hAnsi="宋体" w:eastAsia="宋体" w:cs="宋体"/>
                <w:b/>
                <w:kern w:val="2"/>
                <w:sz w:val="24"/>
                <w:szCs w:val="24"/>
                <w:highlight w:val="none"/>
                <w:lang w:val="en-US" w:eastAsia="zh-CN" w:bidi="ar-SA"/>
              </w:rPr>
            </w:pPr>
            <w:r>
              <w:rPr>
                <w:rFonts w:hint="eastAsia" w:ascii="宋体" w:hAnsi="宋体" w:cs="宋体"/>
                <w:b/>
                <w:sz w:val="24"/>
                <w:szCs w:val="24"/>
                <w:highlight w:val="none"/>
              </w:rPr>
              <w:t>辆</w:t>
            </w:r>
          </w:p>
        </w:tc>
        <w:tc>
          <w:tcPr>
            <w:tcW w:w="810" w:type="dxa"/>
            <w:vAlign w:val="center"/>
          </w:tcPr>
          <w:p w14:paraId="6D2240B9">
            <w:pPr>
              <w:keepNext w:val="0"/>
              <w:keepLines w:val="0"/>
              <w:suppressLineNumbers w:val="0"/>
              <w:spacing w:before="0" w:beforeAutospacing="0" w:after="0" w:afterAutospacing="0"/>
              <w:ind w:left="0" w:right="0"/>
              <w:jc w:val="center"/>
              <w:rPr>
                <w:rFonts w:hint="eastAsia" w:ascii="宋体" w:hAnsi="宋体" w:eastAsia="宋体" w:cs="宋体"/>
                <w:b/>
                <w:kern w:val="2"/>
                <w:sz w:val="24"/>
                <w:szCs w:val="24"/>
                <w:highlight w:val="none"/>
                <w:lang w:val="en-US" w:eastAsia="zh-CN" w:bidi="ar-SA"/>
              </w:rPr>
            </w:pPr>
            <w:r>
              <w:rPr>
                <w:rFonts w:hint="eastAsia" w:ascii="宋体" w:hAnsi="宋体" w:cs="宋体"/>
                <w:b/>
                <w:sz w:val="24"/>
                <w:szCs w:val="24"/>
                <w:highlight w:val="none"/>
                <w:lang w:val="en-US" w:eastAsia="zh-CN"/>
              </w:rPr>
              <w:t>6</w:t>
            </w:r>
          </w:p>
        </w:tc>
        <w:tc>
          <w:tcPr>
            <w:tcW w:w="1345" w:type="dxa"/>
            <w:vAlign w:val="center"/>
          </w:tcPr>
          <w:p w14:paraId="7A114A65">
            <w:pPr>
              <w:keepNext w:val="0"/>
              <w:keepLines w:val="0"/>
              <w:suppressLineNumbers w:val="0"/>
              <w:spacing w:before="0" w:beforeAutospacing="0" w:after="0" w:afterAutospacing="0"/>
              <w:ind w:left="0" w:right="0"/>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70</w:t>
            </w:r>
          </w:p>
        </w:tc>
        <w:tc>
          <w:tcPr>
            <w:tcW w:w="1230" w:type="dxa"/>
            <w:vAlign w:val="center"/>
          </w:tcPr>
          <w:p w14:paraId="7A00D97E">
            <w:pPr>
              <w:keepNext w:val="0"/>
              <w:keepLines w:val="0"/>
              <w:suppressLineNumbers w:val="0"/>
              <w:spacing w:before="0" w:beforeAutospacing="0" w:after="0" w:afterAutospacing="0"/>
              <w:ind w:left="0" w:right="0"/>
              <w:jc w:val="center"/>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420</w:t>
            </w:r>
          </w:p>
        </w:tc>
        <w:tc>
          <w:tcPr>
            <w:tcW w:w="768" w:type="dxa"/>
            <w:vAlign w:val="center"/>
          </w:tcPr>
          <w:p w14:paraId="7D59D6F1">
            <w:pPr>
              <w:keepNext w:val="0"/>
              <w:keepLines w:val="0"/>
              <w:widowControl/>
              <w:suppressLineNumbers w:val="0"/>
              <w:spacing w:before="0" w:beforeAutospacing="0" w:after="0" w:afterAutospacing="0"/>
              <w:ind w:left="0" w:right="0"/>
              <w:jc w:val="center"/>
              <w:rPr>
                <w:rFonts w:hint="eastAsia" w:ascii="宋体" w:hAnsi="宋体" w:cs="宋体"/>
                <w:b/>
                <w:sz w:val="24"/>
                <w:szCs w:val="24"/>
                <w:highlight w:val="none"/>
              </w:rPr>
            </w:pPr>
          </w:p>
        </w:tc>
      </w:tr>
      <w:tr w14:paraId="27F00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0217" w:type="dxa"/>
            <w:gridSpan w:val="8"/>
            <w:vAlign w:val="center"/>
          </w:tcPr>
          <w:p w14:paraId="1C7597F7">
            <w:pPr>
              <w:keepNext w:val="0"/>
              <w:keepLines w:val="0"/>
              <w:widowControl/>
              <w:suppressLineNumbers w:val="0"/>
              <w:spacing w:before="0" w:beforeAutospacing="0" w:after="0" w:afterAutospacing="0"/>
              <w:ind w:left="0" w:right="0"/>
              <w:jc w:val="center"/>
              <w:rPr>
                <w:rFonts w:hint="eastAsia" w:ascii="宋体" w:hAnsi="宋体" w:cs="宋体"/>
                <w:b/>
                <w:sz w:val="24"/>
                <w:szCs w:val="24"/>
                <w:highlight w:val="none"/>
              </w:rPr>
            </w:pPr>
            <w:r>
              <w:rPr>
                <w:rFonts w:hint="eastAsia" w:ascii="宋体" w:hAnsi="宋体" w:cs="宋体"/>
                <w:b/>
                <w:bCs/>
                <w:kern w:val="0"/>
                <w:sz w:val="24"/>
                <w:highlight w:val="none"/>
              </w:rPr>
              <w:t>预算总价：</w:t>
            </w:r>
            <w:r>
              <w:rPr>
                <w:rFonts w:hint="eastAsia" w:ascii="宋体" w:hAnsi="宋体" w:cs="宋体"/>
                <w:b/>
                <w:bCs/>
                <w:kern w:val="0"/>
                <w:sz w:val="24"/>
                <w:highlight w:val="none"/>
                <w:u w:val="single"/>
              </w:rPr>
              <w:t>人民币（大写）：</w:t>
            </w:r>
            <w:r>
              <w:rPr>
                <w:rFonts w:hint="eastAsia" w:ascii="宋体" w:hAnsi="宋体" w:cs="宋体"/>
                <w:b/>
                <w:bCs/>
                <w:kern w:val="0"/>
                <w:sz w:val="24"/>
                <w:highlight w:val="none"/>
                <w:u w:val="single"/>
                <w:lang w:eastAsia="zh-CN"/>
              </w:rPr>
              <w:t>陆佰肆拾万</w:t>
            </w:r>
            <w:r>
              <w:rPr>
                <w:rFonts w:hint="eastAsia" w:ascii="宋体" w:hAnsi="宋体" w:cs="宋体"/>
                <w:b/>
                <w:bCs/>
                <w:kern w:val="0"/>
                <w:sz w:val="24"/>
                <w:highlight w:val="none"/>
                <w:u w:val="single"/>
              </w:rPr>
              <w:fldChar w:fldCharType="begin"/>
            </w:r>
            <w:r>
              <w:rPr>
                <w:rFonts w:hint="eastAsia" w:ascii="宋体" w:hAnsi="宋体" w:cs="宋体"/>
                <w:b/>
                <w:bCs/>
                <w:kern w:val="0"/>
                <w:sz w:val="24"/>
                <w:highlight w:val="none"/>
                <w:u w:val="single"/>
              </w:rPr>
              <w:instrText xml:space="preserve"> = 650000 \* CHINESENUM4 \* MERGEFORMAT </w:instrText>
            </w:r>
            <w:r>
              <w:rPr>
                <w:rFonts w:hint="eastAsia" w:ascii="宋体" w:hAnsi="宋体" w:cs="宋体"/>
                <w:b/>
                <w:bCs/>
                <w:kern w:val="0"/>
                <w:sz w:val="24"/>
                <w:highlight w:val="none"/>
                <w:u w:val="single"/>
              </w:rPr>
              <w:fldChar w:fldCharType="separate"/>
            </w:r>
            <w:r>
              <w:rPr>
                <w:rFonts w:hint="eastAsia" w:ascii="宋体" w:hAnsi="宋体" w:cs="宋体"/>
                <w:b/>
                <w:bCs/>
                <w:kern w:val="0"/>
                <w:sz w:val="24"/>
                <w:highlight w:val="none"/>
                <w:u w:val="single"/>
              </w:rPr>
              <w:t>元整</w:t>
            </w:r>
            <w:r>
              <w:rPr>
                <w:rFonts w:hint="eastAsia" w:ascii="宋体" w:hAnsi="宋体" w:cs="宋体"/>
                <w:b/>
                <w:bCs/>
                <w:kern w:val="0"/>
                <w:sz w:val="24"/>
                <w:highlight w:val="none"/>
                <w:u w:val="single"/>
              </w:rPr>
              <w:fldChar w:fldCharType="end"/>
            </w:r>
            <w:r>
              <w:rPr>
                <w:rFonts w:hint="eastAsia" w:ascii="宋体" w:hAnsi="宋体" w:cs="宋体"/>
                <w:b/>
                <w:bCs/>
                <w:kern w:val="0"/>
                <w:sz w:val="24"/>
                <w:highlight w:val="none"/>
                <w:u w:val="single"/>
              </w:rPr>
              <w:t>（¥：</w:t>
            </w:r>
            <w:r>
              <w:rPr>
                <w:rFonts w:hint="eastAsia" w:ascii="宋体" w:hAnsi="宋体" w:cs="宋体"/>
                <w:b/>
                <w:bCs/>
                <w:kern w:val="0"/>
                <w:sz w:val="24"/>
                <w:highlight w:val="none"/>
                <w:u w:val="single"/>
                <w:lang w:val="en-US" w:eastAsia="zh-CN"/>
              </w:rPr>
              <w:t>6400000</w:t>
            </w:r>
            <w:r>
              <w:rPr>
                <w:rFonts w:hint="eastAsia" w:ascii="宋体" w:hAnsi="宋体" w:cs="宋体"/>
                <w:b/>
                <w:bCs/>
                <w:kern w:val="0"/>
                <w:sz w:val="24"/>
                <w:highlight w:val="none"/>
                <w:u w:val="single"/>
              </w:rPr>
              <w:t xml:space="preserve"> 元）</w:t>
            </w:r>
          </w:p>
        </w:tc>
      </w:tr>
    </w:tbl>
    <w:p w14:paraId="11D648F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highlight w:val="none"/>
          <w:lang w:val="en-US" w:eastAsia="zh-CN"/>
        </w:rPr>
        <w:t>注：以上金额包括设备的生产、供货、装卸运输、送货上门、安装调试、附件、辅材、备品备件、专用工具、税金、验收、辅助工作及售后服务等完成该项目的所有费用。</w:t>
      </w:r>
    </w:p>
    <w:p w14:paraId="7B3B1643">
      <w:pPr>
        <w:pStyle w:val="82"/>
        <w:keepNext w:val="0"/>
        <w:keepLines w:val="0"/>
        <w:pageBreakBefore w:val="0"/>
        <w:widowControl w:val="0"/>
        <w:numPr>
          <w:ilvl w:val="0"/>
          <w:numId w:val="0"/>
        </w:numPr>
        <w:kinsoku/>
        <w:wordWrap/>
        <w:overflowPunct/>
        <w:topLinePunct w:val="0"/>
        <w:autoSpaceDE/>
        <w:autoSpaceDN/>
        <w:bidi w:val="0"/>
        <w:adjustRightInd/>
        <w:snapToGrid/>
        <w:spacing w:beforeLines="0" w:after="0" w:line="240" w:lineRule="auto"/>
        <w:ind w:firstLine="480" w:firstLineChars="200"/>
        <w:textAlignment w:val="auto"/>
        <w:rPr>
          <w:rFonts w:hint="eastAsia" w:asciiTheme="minorEastAsia" w:hAnsiTheme="minorEastAsia" w:eastAsiaTheme="minorEastAsia" w:cstheme="minorEastAsia"/>
          <w:b/>
          <w:bCs/>
          <w:sz w:val="28"/>
          <w:szCs w:val="28"/>
          <w:highlight w:val="none"/>
        </w:rPr>
      </w:pPr>
      <w:r>
        <w:rPr>
          <w:rFonts w:hint="eastAsia" w:ascii="宋体" w:hAnsi="宋体" w:eastAsia="宋体" w:cs="宋体"/>
          <w:color w:val="auto"/>
          <w:sz w:val="24"/>
          <w:szCs w:val="24"/>
          <w:highlight w:val="none"/>
          <w:lang w:eastAsia="zh-CN"/>
        </w:rPr>
        <w:t>二、</w:t>
      </w:r>
      <w:r>
        <w:rPr>
          <w:rFonts w:hint="eastAsia" w:asciiTheme="minorEastAsia" w:hAnsiTheme="minorEastAsia" w:eastAsiaTheme="minorEastAsia" w:cstheme="minorEastAsia"/>
          <w:b/>
          <w:bCs/>
          <w:sz w:val="28"/>
          <w:szCs w:val="28"/>
          <w:highlight w:val="none"/>
        </w:rPr>
        <w:t>技术要求</w:t>
      </w:r>
    </w:p>
    <w:p w14:paraId="269D58BE">
      <w:pPr>
        <w:pStyle w:val="82"/>
        <w:keepNext w:val="0"/>
        <w:keepLines w:val="0"/>
        <w:pageBreakBefore w:val="0"/>
        <w:widowControl w:val="0"/>
        <w:numPr>
          <w:ilvl w:val="0"/>
          <w:numId w:val="0"/>
        </w:numPr>
        <w:kinsoku/>
        <w:wordWrap/>
        <w:overflowPunct/>
        <w:topLinePunct w:val="0"/>
        <w:autoSpaceDE/>
        <w:autoSpaceDN/>
        <w:bidi w:val="0"/>
        <w:adjustRightInd/>
        <w:snapToGrid/>
        <w:spacing w:beforeLines="0" w:after="0" w:line="240" w:lineRule="auto"/>
        <w:ind w:leftChars="0" w:firstLine="422" w:firstLineChars="200"/>
        <w:textAlignment w:val="auto"/>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lang w:eastAsia="zh-CN"/>
        </w:rPr>
        <w:t>（一）</w:t>
      </w:r>
      <w:r>
        <w:rPr>
          <w:rFonts w:hint="eastAsia" w:asciiTheme="minorEastAsia" w:hAnsiTheme="minorEastAsia" w:eastAsiaTheme="minorEastAsia" w:cstheme="minorEastAsia"/>
          <w:b/>
          <w:bCs/>
          <w:sz w:val="21"/>
          <w:szCs w:val="21"/>
          <w:highlight w:val="none"/>
        </w:rPr>
        <w:t>采购清单</w:t>
      </w:r>
    </w:p>
    <w:p w14:paraId="1D8935CD">
      <w:pPr>
        <w:pStyle w:val="82"/>
        <w:keepNext w:val="0"/>
        <w:keepLines w:val="0"/>
        <w:pageBreakBefore w:val="0"/>
        <w:widowControl w:val="0"/>
        <w:kinsoku/>
        <w:wordWrap/>
        <w:overflowPunct/>
        <w:topLinePunct w:val="0"/>
        <w:autoSpaceDE/>
        <w:autoSpaceDN/>
        <w:bidi w:val="0"/>
        <w:adjustRightInd/>
        <w:snapToGrid/>
        <w:spacing w:beforeLines="0" w:after="0" w:line="240" w:lineRule="auto"/>
        <w:textAlignment w:val="auto"/>
        <w:rPr>
          <w:rFonts w:hint="eastAsia" w:asciiTheme="minorEastAsia" w:hAnsiTheme="minorEastAsia" w:eastAsiaTheme="minorEastAsia" w:cstheme="minorEastAsia"/>
          <w:b/>
          <w:bCs/>
          <w:sz w:val="21"/>
          <w:szCs w:val="21"/>
          <w:highlight w:val="none"/>
        </w:rPr>
      </w:pPr>
    </w:p>
    <w:p w14:paraId="6FF7A6AD">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heme="minorEastAsia" w:hAnsiTheme="minorEastAsia" w:eastAsiaTheme="minorEastAsia" w:cstheme="minorEastAsia"/>
          <w:b/>
          <w:bCs/>
          <w:sz w:val="21"/>
          <w:szCs w:val="21"/>
          <w:highlight w:val="yellow"/>
        </w:rPr>
      </w:pPr>
      <w:r>
        <w:rPr>
          <w:rFonts w:hint="eastAsia" w:asciiTheme="minorEastAsia" w:hAnsiTheme="minorEastAsia" w:eastAsiaTheme="minorEastAsia" w:cstheme="minorEastAsia"/>
          <w:b/>
          <w:bCs/>
          <w:sz w:val="21"/>
          <w:szCs w:val="21"/>
          <w:highlight w:val="none"/>
        </w:rPr>
        <w:t>1</w:t>
      </w: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b/>
          <w:bCs/>
          <w:sz w:val="21"/>
          <w:szCs w:val="21"/>
          <w:highlight w:val="none"/>
        </w:rPr>
        <w:t>9米系列26座公路旅游型柴油空调客车技术参数要求</w:t>
      </w:r>
    </w:p>
    <w:tbl>
      <w:tblPr>
        <w:tblStyle w:val="63"/>
        <w:tblpPr w:leftFromText="180" w:rightFromText="180" w:vertAnchor="text" w:horzAnchor="page" w:tblpX="1425" w:tblpY="709"/>
        <w:tblOverlap w:val="never"/>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6603"/>
        <w:gridCol w:w="1070"/>
      </w:tblGrid>
      <w:tr w14:paraId="2ECBC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687" w:type="dxa"/>
            <w:vAlign w:val="center"/>
          </w:tcPr>
          <w:p w14:paraId="5F4F899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配置名称</w:t>
            </w:r>
          </w:p>
        </w:tc>
        <w:tc>
          <w:tcPr>
            <w:tcW w:w="6603" w:type="dxa"/>
            <w:vAlign w:val="center"/>
          </w:tcPr>
          <w:p w14:paraId="1E1776D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技术参数</w:t>
            </w:r>
          </w:p>
        </w:tc>
        <w:tc>
          <w:tcPr>
            <w:tcW w:w="1070" w:type="dxa"/>
            <w:vAlign w:val="center"/>
          </w:tcPr>
          <w:p w14:paraId="5B2A2F4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1"/>
                <w:szCs w:val="21"/>
                <w:highlight w:val="yellow"/>
              </w:rPr>
            </w:pPr>
            <w:r>
              <w:rPr>
                <w:rFonts w:hint="eastAsia" w:asciiTheme="minorEastAsia" w:hAnsiTheme="minorEastAsia" w:eastAsiaTheme="minorEastAsia" w:cstheme="minorEastAsia"/>
                <w:b/>
                <w:bCs/>
                <w:sz w:val="21"/>
                <w:szCs w:val="21"/>
                <w:highlight w:val="none"/>
              </w:rPr>
              <w:t>备注</w:t>
            </w:r>
          </w:p>
        </w:tc>
      </w:tr>
      <w:tr w14:paraId="29FF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687" w:type="dxa"/>
            <w:vAlign w:val="center"/>
          </w:tcPr>
          <w:p w14:paraId="35AA2C8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投标车型</w:t>
            </w:r>
          </w:p>
        </w:tc>
        <w:tc>
          <w:tcPr>
            <w:tcW w:w="6603" w:type="dxa"/>
            <w:vAlign w:val="center"/>
          </w:tcPr>
          <w:p w14:paraId="29BAA2A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9米系列公路型柴油空调客车</w:t>
            </w:r>
          </w:p>
        </w:tc>
        <w:tc>
          <w:tcPr>
            <w:tcW w:w="1070" w:type="dxa"/>
            <w:vAlign w:val="center"/>
          </w:tcPr>
          <w:p w14:paraId="53A862E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yellow"/>
              </w:rPr>
            </w:pPr>
          </w:p>
        </w:tc>
      </w:tr>
      <w:tr w14:paraId="589A2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4A78986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公告</w:t>
            </w:r>
          </w:p>
        </w:tc>
        <w:tc>
          <w:tcPr>
            <w:tcW w:w="6603" w:type="dxa"/>
            <w:vAlign w:val="center"/>
          </w:tcPr>
          <w:p w14:paraId="6B583A01">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有国家汽车产品公告目录，车辆一致性证书，符合GB7258和JT/T1094-2016营运客车安全技术条件要求，JT/T1095营运客车内饰材料阻燃特性，车型等级要求及国家相关规定的达标车型。</w:t>
            </w:r>
          </w:p>
        </w:tc>
        <w:tc>
          <w:tcPr>
            <w:tcW w:w="1070" w:type="dxa"/>
          </w:tcPr>
          <w:p w14:paraId="6D4B5E27">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yellow"/>
              </w:rPr>
            </w:pPr>
          </w:p>
        </w:tc>
      </w:tr>
      <w:tr w14:paraId="11EA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42A504A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highlight w:val="none"/>
              </w:rPr>
              <w:t>客车设计</w:t>
            </w:r>
          </w:p>
        </w:tc>
        <w:tc>
          <w:tcPr>
            <w:tcW w:w="6603" w:type="dxa"/>
            <w:vAlign w:val="center"/>
          </w:tcPr>
          <w:p w14:paraId="7149BBEB">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b/>
                <w:bCs/>
                <w:sz w:val="21"/>
                <w:szCs w:val="21"/>
                <w:highlight w:val="none"/>
              </w:rPr>
              <w:t>采用单风档超大视野挡风玻璃，</w:t>
            </w:r>
            <w:r>
              <w:rPr>
                <w:rFonts w:hint="eastAsia" w:asciiTheme="minorEastAsia" w:hAnsiTheme="minorEastAsia" w:eastAsiaTheme="minorEastAsia" w:cstheme="minorEastAsia"/>
                <w:sz w:val="21"/>
                <w:szCs w:val="21"/>
                <w:highlight w:val="none"/>
              </w:rPr>
              <w:t>结构紧凑、比例协调、线条流畅。新颖美观，节能环保，适应现代城市，技术性能和结构工艺体现国内先进水平，经济实用，安全舒适，维护简便，质量可靠，人性化。整车材料符合相关标准和节能环保要求。</w:t>
            </w:r>
          </w:p>
        </w:tc>
        <w:tc>
          <w:tcPr>
            <w:tcW w:w="1070" w:type="dxa"/>
            <w:tcBorders>
              <w:bottom w:val="single" w:color="auto" w:sz="4" w:space="0"/>
            </w:tcBorders>
          </w:tcPr>
          <w:p w14:paraId="06568E56">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yellow"/>
              </w:rPr>
            </w:pPr>
          </w:p>
        </w:tc>
      </w:tr>
      <w:tr w14:paraId="49421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192A460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▲车辆尺寸</w:t>
            </w:r>
          </w:p>
        </w:tc>
        <w:tc>
          <w:tcPr>
            <w:tcW w:w="6603" w:type="dxa"/>
            <w:tcBorders>
              <w:right w:val="single" w:color="auto" w:sz="4" w:space="0"/>
            </w:tcBorders>
            <w:vAlign w:val="center"/>
          </w:tcPr>
          <w:p w14:paraId="2331AC10">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highlight w:val="none"/>
              </w:rPr>
              <w:t>车身长度≥89</w:t>
            </w: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0mm，车身高度（含空调）≦34</w:t>
            </w: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0mm</w:t>
            </w:r>
          </w:p>
        </w:tc>
        <w:tc>
          <w:tcPr>
            <w:tcW w:w="1070" w:type="dxa"/>
            <w:tcBorders>
              <w:top w:val="single" w:color="auto" w:sz="4" w:space="0"/>
              <w:left w:val="single" w:color="auto" w:sz="4" w:space="0"/>
              <w:bottom w:val="single" w:color="auto" w:sz="4" w:space="0"/>
              <w:right w:val="single" w:color="auto" w:sz="4" w:space="0"/>
            </w:tcBorders>
          </w:tcPr>
          <w:p w14:paraId="227AD47A">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yellow"/>
              </w:rPr>
            </w:pPr>
          </w:p>
        </w:tc>
      </w:tr>
      <w:tr w14:paraId="79DDA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1B436ED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车辆用途</w:t>
            </w:r>
          </w:p>
        </w:tc>
        <w:tc>
          <w:tcPr>
            <w:tcW w:w="6603" w:type="dxa"/>
            <w:tcBorders>
              <w:right w:val="single" w:color="auto" w:sz="4" w:space="0"/>
            </w:tcBorders>
            <w:vAlign w:val="center"/>
          </w:tcPr>
          <w:p w14:paraId="6EFE65C1">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公路旅游客运</w:t>
            </w:r>
          </w:p>
        </w:tc>
        <w:tc>
          <w:tcPr>
            <w:tcW w:w="1070" w:type="dxa"/>
            <w:vMerge w:val="restart"/>
            <w:tcBorders>
              <w:top w:val="single" w:color="auto" w:sz="4" w:space="0"/>
              <w:left w:val="single" w:color="auto" w:sz="4" w:space="0"/>
              <w:bottom w:val="single" w:color="auto" w:sz="4" w:space="0"/>
              <w:right w:val="single" w:color="auto" w:sz="4" w:space="0"/>
            </w:tcBorders>
          </w:tcPr>
          <w:p w14:paraId="50EF757D">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yellow"/>
              </w:rPr>
            </w:pPr>
          </w:p>
        </w:tc>
      </w:tr>
      <w:tr w14:paraId="149E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3672925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▲车型等级</w:t>
            </w:r>
          </w:p>
        </w:tc>
        <w:tc>
          <w:tcPr>
            <w:tcW w:w="6603" w:type="dxa"/>
            <w:tcBorders>
              <w:right w:val="single" w:color="auto" w:sz="4" w:space="0"/>
            </w:tcBorders>
            <w:vAlign w:val="center"/>
          </w:tcPr>
          <w:p w14:paraId="7E82A092">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中型高一级或以上</w:t>
            </w:r>
          </w:p>
        </w:tc>
        <w:tc>
          <w:tcPr>
            <w:tcW w:w="1070" w:type="dxa"/>
            <w:vMerge w:val="continue"/>
            <w:tcBorders>
              <w:top w:val="nil"/>
              <w:left w:val="single" w:color="auto" w:sz="4" w:space="0"/>
              <w:bottom w:val="single" w:color="auto" w:sz="4" w:space="0"/>
              <w:right w:val="single" w:color="auto" w:sz="4" w:space="0"/>
            </w:tcBorders>
          </w:tcPr>
          <w:p w14:paraId="0F1ED8FF">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yellow"/>
              </w:rPr>
            </w:pPr>
          </w:p>
        </w:tc>
      </w:tr>
      <w:tr w14:paraId="452C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4191DAC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整备质量</w:t>
            </w:r>
          </w:p>
        </w:tc>
        <w:tc>
          <w:tcPr>
            <w:tcW w:w="6603" w:type="dxa"/>
            <w:tcBorders>
              <w:right w:val="single" w:color="auto" w:sz="4" w:space="0"/>
            </w:tcBorders>
            <w:vAlign w:val="center"/>
          </w:tcPr>
          <w:p w14:paraId="359C6141">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公告</w:t>
            </w:r>
          </w:p>
        </w:tc>
        <w:tc>
          <w:tcPr>
            <w:tcW w:w="1070" w:type="dxa"/>
            <w:vMerge w:val="continue"/>
            <w:tcBorders>
              <w:top w:val="single" w:color="auto" w:sz="4" w:space="0"/>
              <w:left w:val="single" w:color="auto" w:sz="4" w:space="0"/>
              <w:bottom w:val="single" w:color="auto" w:sz="4" w:space="0"/>
              <w:right w:val="single" w:color="auto" w:sz="4" w:space="0"/>
            </w:tcBorders>
          </w:tcPr>
          <w:p w14:paraId="4D7F35E2">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yellow"/>
              </w:rPr>
            </w:pPr>
          </w:p>
        </w:tc>
      </w:tr>
      <w:tr w14:paraId="661E7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104FB7A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总质量</w:t>
            </w:r>
          </w:p>
        </w:tc>
        <w:tc>
          <w:tcPr>
            <w:tcW w:w="6603" w:type="dxa"/>
            <w:tcBorders>
              <w:right w:val="single" w:color="auto" w:sz="4" w:space="0"/>
            </w:tcBorders>
            <w:vAlign w:val="center"/>
          </w:tcPr>
          <w:p w14:paraId="7256A326">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公告</w:t>
            </w:r>
          </w:p>
        </w:tc>
        <w:tc>
          <w:tcPr>
            <w:tcW w:w="1070" w:type="dxa"/>
            <w:vMerge w:val="continue"/>
            <w:tcBorders>
              <w:top w:val="nil"/>
              <w:left w:val="single" w:color="auto" w:sz="4" w:space="0"/>
              <w:bottom w:val="single" w:color="auto" w:sz="4" w:space="0"/>
              <w:right w:val="single" w:color="auto" w:sz="4" w:space="0"/>
            </w:tcBorders>
          </w:tcPr>
          <w:p w14:paraId="396E1F82">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yellow"/>
              </w:rPr>
            </w:pPr>
          </w:p>
        </w:tc>
      </w:tr>
      <w:tr w14:paraId="53966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593640A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油耗L/100KM(限定工况下)</w:t>
            </w:r>
          </w:p>
        </w:tc>
        <w:tc>
          <w:tcPr>
            <w:tcW w:w="6603" w:type="dxa"/>
            <w:tcBorders>
              <w:right w:val="single" w:color="auto" w:sz="4" w:space="0"/>
            </w:tcBorders>
            <w:vAlign w:val="center"/>
          </w:tcPr>
          <w:p w14:paraId="5587A28E">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公告</w:t>
            </w:r>
          </w:p>
        </w:tc>
        <w:tc>
          <w:tcPr>
            <w:tcW w:w="1070" w:type="dxa"/>
            <w:vMerge w:val="continue"/>
            <w:tcBorders>
              <w:top w:val="nil"/>
              <w:left w:val="single" w:color="auto" w:sz="4" w:space="0"/>
              <w:bottom w:val="single" w:color="auto" w:sz="4" w:space="0"/>
              <w:right w:val="single" w:color="auto" w:sz="4" w:space="0"/>
            </w:tcBorders>
          </w:tcPr>
          <w:p w14:paraId="0E9B89BA">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yellow"/>
              </w:rPr>
            </w:pPr>
          </w:p>
        </w:tc>
      </w:tr>
      <w:tr w14:paraId="1F749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712C5B2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最高车速</w:t>
            </w:r>
          </w:p>
        </w:tc>
        <w:tc>
          <w:tcPr>
            <w:tcW w:w="6603" w:type="dxa"/>
            <w:tcBorders>
              <w:right w:val="single" w:color="auto" w:sz="4" w:space="0"/>
            </w:tcBorders>
            <w:vAlign w:val="center"/>
          </w:tcPr>
          <w:p w14:paraId="440CC3C7">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100Km/h</w:t>
            </w:r>
          </w:p>
        </w:tc>
        <w:tc>
          <w:tcPr>
            <w:tcW w:w="1070" w:type="dxa"/>
            <w:vMerge w:val="continue"/>
            <w:tcBorders>
              <w:top w:val="nil"/>
              <w:left w:val="single" w:color="auto" w:sz="4" w:space="0"/>
              <w:bottom w:val="single" w:color="auto" w:sz="4" w:space="0"/>
              <w:right w:val="single" w:color="auto" w:sz="4" w:space="0"/>
            </w:tcBorders>
          </w:tcPr>
          <w:p w14:paraId="60992237">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4EAC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6886BDE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▲额定载客/标配座位</w:t>
            </w:r>
          </w:p>
        </w:tc>
        <w:tc>
          <w:tcPr>
            <w:tcW w:w="6603" w:type="dxa"/>
            <w:vAlign w:val="center"/>
          </w:tcPr>
          <w:p w14:paraId="36C7DFE3">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25+1</w:t>
            </w:r>
          </w:p>
        </w:tc>
        <w:tc>
          <w:tcPr>
            <w:tcW w:w="1070" w:type="dxa"/>
            <w:tcBorders>
              <w:top w:val="single" w:color="auto" w:sz="4" w:space="0"/>
            </w:tcBorders>
          </w:tcPr>
          <w:p w14:paraId="518C9201">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231F5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1FB26B4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排放标准</w:t>
            </w:r>
          </w:p>
        </w:tc>
        <w:tc>
          <w:tcPr>
            <w:tcW w:w="6603" w:type="dxa"/>
            <w:vAlign w:val="center"/>
          </w:tcPr>
          <w:p w14:paraId="0FD0AE08">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符合国六排放标准。符合国家相关标准和节能环保要求。</w:t>
            </w:r>
          </w:p>
        </w:tc>
        <w:tc>
          <w:tcPr>
            <w:tcW w:w="1070" w:type="dxa"/>
          </w:tcPr>
          <w:p w14:paraId="01031F1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523F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08D5A4A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噪声限制</w:t>
            </w:r>
          </w:p>
        </w:tc>
        <w:tc>
          <w:tcPr>
            <w:tcW w:w="6603" w:type="dxa"/>
            <w:vAlign w:val="center"/>
          </w:tcPr>
          <w:p w14:paraId="20EEA6DB">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优于或符合国家标准。</w:t>
            </w:r>
          </w:p>
        </w:tc>
        <w:tc>
          <w:tcPr>
            <w:tcW w:w="1070" w:type="dxa"/>
          </w:tcPr>
          <w:p w14:paraId="29205F28">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3E852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1F157DF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基本参数</w:t>
            </w:r>
          </w:p>
        </w:tc>
        <w:tc>
          <w:tcPr>
            <w:tcW w:w="6603" w:type="dxa"/>
            <w:vAlign w:val="center"/>
          </w:tcPr>
          <w:p w14:paraId="12666488">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基本参数、技术性能符合国家和行业的有关标准，与公告目录一致。</w:t>
            </w:r>
          </w:p>
        </w:tc>
        <w:tc>
          <w:tcPr>
            <w:tcW w:w="1070" w:type="dxa"/>
          </w:tcPr>
          <w:p w14:paraId="2D3A5C0D">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3538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360" w:type="dxa"/>
            <w:gridSpan w:val="3"/>
            <w:vAlign w:val="center"/>
          </w:tcPr>
          <w:p w14:paraId="5ED76E0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发动机系统</w:t>
            </w:r>
          </w:p>
        </w:tc>
      </w:tr>
      <w:tr w14:paraId="131C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1595F42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发动机</w:t>
            </w:r>
          </w:p>
        </w:tc>
        <w:tc>
          <w:tcPr>
            <w:tcW w:w="6603" w:type="dxa"/>
            <w:vAlign w:val="center"/>
          </w:tcPr>
          <w:p w14:paraId="77414D63">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后置发动机，机型特点和主要技术参数符合原厂公告标准。</w:t>
            </w:r>
          </w:p>
        </w:tc>
        <w:tc>
          <w:tcPr>
            <w:tcW w:w="1070" w:type="dxa"/>
          </w:tcPr>
          <w:p w14:paraId="7471AA5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yellow"/>
              </w:rPr>
            </w:pPr>
          </w:p>
        </w:tc>
      </w:tr>
      <w:tr w14:paraId="62A7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2890CBE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▲发动机型号</w:t>
            </w:r>
          </w:p>
        </w:tc>
        <w:tc>
          <w:tcPr>
            <w:tcW w:w="6603" w:type="dxa"/>
            <w:vAlign w:val="center"/>
          </w:tcPr>
          <w:p w14:paraId="1AD2D2A6">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发动机功率≧270马力六缸国六排放优质品牌柴油发动机</w:t>
            </w:r>
          </w:p>
        </w:tc>
        <w:tc>
          <w:tcPr>
            <w:tcW w:w="1070" w:type="dxa"/>
          </w:tcPr>
          <w:p w14:paraId="3DB9E94E">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yellow"/>
              </w:rPr>
            </w:pPr>
          </w:p>
        </w:tc>
      </w:tr>
      <w:tr w14:paraId="2E129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4AA88A2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进气系统</w:t>
            </w:r>
          </w:p>
        </w:tc>
        <w:tc>
          <w:tcPr>
            <w:tcW w:w="6603" w:type="dxa"/>
            <w:vAlign w:val="center"/>
          </w:tcPr>
          <w:p w14:paraId="1E65DC91">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空气进气管采用不锈钢成型管路，管路尽可能减少弯头，中间软连接采用耐热、耐压、耐油、抗老化优质胶管，安装固定牢固。</w:t>
            </w:r>
          </w:p>
        </w:tc>
        <w:tc>
          <w:tcPr>
            <w:tcW w:w="1070" w:type="dxa"/>
            <w:vAlign w:val="center"/>
          </w:tcPr>
          <w:p w14:paraId="1382B2E9">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yellow"/>
              </w:rPr>
            </w:pPr>
          </w:p>
        </w:tc>
      </w:tr>
      <w:tr w14:paraId="7784E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6DD3B54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冷却系统</w:t>
            </w:r>
          </w:p>
        </w:tc>
        <w:tc>
          <w:tcPr>
            <w:tcW w:w="6603" w:type="dxa"/>
            <w:vAlign w:val="center"/>
          </w:tcPr>
          <w:p w14:paraId="4CF8FD7C">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lang w:eastAsia="zh-CN"/>
              </w:rPr>
              <w:t>电子</w:t>
            </w:r>
            <w:r>
              <w:rPr>
                <w:rFonts w:hint="eastAsia" w:asciiTheme="minorEastAsia" w:hAnsiTheme="minorEastAsia" w:eastAsiaTheme="minorEastAsia" w:cstheme="minorEastAsia"/>
                <w:b/>
                <w:bCs/>
                <w:sz w:val="21"/>
                <w:szCs w:val="21"/>
                <w:highlight w:val="none"/>
              </w:rPr>
              <w:t>风扇</w:t>
            </w:r>
            <w:r>
              <w:rPr>
                <w:rFonts w:hint="eastAsia" w:asciiTheme="minorEastAsia" w:hAnsiTheme="minorEastAsia" w:eastAsiaTheme="minorEastAsia" w:cstheme="minorEastAsia"/>
                <w:b w:val="0"/>
                <w:bCs w:val="0"/>
                <w:sz w:val="21"/>
                <w:szCs w:val="21"/>
                <w:highlight w:val="none"/>
              </w:rPr>
              <w:t>，</w:t>
            </w:r>
            <w:r>
              <w:rPr>
                <w:rFonts w:hint="eastAsia" w:asciiTheme="minorEastAsia" w:hAnsiTheme="minorEastAsia" w:eastAsiaTheme="minorEastAsia" w:cstheme="minorEastAsia"/>
                <w:sz w:val="21"/>
                <w:szCs w:val="21"/>
                <w:highlight w:val="none"/>
              </w:rPr>
              <w:t>进出水管采用不锈钢成型管路，铜质管路或尼龙管尽可能减少弯头，中间软连接采用耐热、耐压、抗老化优质胶管，冷却液加注方便。进风格栅要安装不锈钢材质滤网，中冷器和水箱迎风面要加装柔软不锈钢丝网，方便冲洗。</w:t>
            </w:r>
          </w:p>
        </w:tc>
        <w:tc>
          <w:tcPr>
            <w:tcW w:w="1070" w:type="dxa"/>
          </w:tcPr>
          <w:p w14:paraId="50D909D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6F3D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68BB74B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油门控制系统</w:t>
            </w:r>
          </w:p>
        </w:tc>
        <w:tc>
          <w:tcPr>
            <w:tcW w:w="6603" w:type="dxa"/>
            <w:vAlign w:val="center"/>
          </w:tcPr>
          <w:p w14:paraId="6AE99951">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电子油门控制系统。</w:t>
            </w:r>
          </w:p>
        </w:tc>
        <w:tc>
          <w:tcPr>
            <w:tcW w:w="1070" w:type="dxa"/>
          </w:tcPr>
          <w:p w14:paraId="53B61CA7">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1A24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360" w:type="dxa"/>
            <w:gridSpan w:val="3"/>
            <w:vAlign w:val="center"/>
          </w:tcPr>
          <w:p w14:paraId="03DB13B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底盘系统</w:t>
            </w:r>
          </w:p>
        </w:tc>
      </w:tr>
      <w:tr w14:paraId="3B93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41F7086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底盘</w:t>
            </w:r>
          </w:p>
        </w:tc>
        <w:tc>
          <w:tcPr>
            <w:tcW w:w="6603" w:type="dxa"/>
            <w:vAlign w:val="center"/>
          </w:tcPr>
          <w:p w14:paraId="2F9BBAEC">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4×2式后置后驱。</w:t>
            </w:r>
          </w:p>
        </w:tc>
        <w:tc>
          <w:tcPr>
            <w:tcW w:w="1070" w:type="dxa"/>
          </w:tcPr>
          <w:p w14:paraId="6F800DA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7229D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 w:hRule="atLeast"/>
        </w:trPr>
        <w:tc>
          <w:tcPr>
            <w:tcW w:w="1687" w:type="dxa"/>
            <w:vAlign w:val="center"/>
          </w:tcPr>
          <w:p w14:paraId="5A13953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变速器</w:t>
            </w:r>
          </w:p>
        </w:tc>
        <w:tc>
          <w:tcPr>
            <w:tcW w:w="6603" w:type="dxa"/>
            <w:vAlign w:val="center"/>
          </w:tcPr>
          <w:p w14:paraId="23EC19FE">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六档</w:t>
            </w:r>
            <w:r>
              <w:rPr>
                <w:rFonts w:hint="eastAsia" w:asciiTheme="minorEastAsia" w:hAnsiTheme="minorEastAsia" w:eastAsiaTheme="minorEastAsia" w:cstheme="minorEastAsia"/>
                <w:sz w:val="21"/>
                <w:szCs w:val="21"/>
                <w:highlight w:val="none"/>
                <w:lang w:eastAsia="zh-CN"/>
              </w:rPr>
              <w:t>变速器</w:t>
            </w:r>
          </w:p>
        </w:tc>
        <w:tc>
          <w:tcPr>
            <w:tcW w:w="1070" w:type="dxa"/>
          </w:tcPr>
          <w:p w14:paraId="67929AF8">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知名品牌</w:t>
            </w:r>
          </w:p>
        </w:tc>
      </w:tr>
      <w:tr w14:paraId="6DEF0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02F9CC3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离合器</w:t>
            </w:r>
          </w:p>
        </w:tc>
        <w:tc>
          <w:tcPr>
            <w:tcW w:w="6603" w:type="dxa"/>
            <w:vAlign w:val="center"/>
          </w:tcPr>
          <w:p w14:paraId="377D6622">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Ø430，液压操纵气助力。</w:t>
            </w:r>
          </w:p>
        </w:tc>
        <w:tc>
          <w:tcPr>
            <w:tcW w:w="1070" w:type="dxa"/>
          </w:tcPr>
          <w:p w14:paraId="2E193716">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知名品牌</w:t>
            </w:r>
          </w:p>
        </w:tc>
      </w:tr>
      <w:tr w14:paraId="1946C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7" w:type="dxa"/>
            <w:vAlign w:val="center"/>
          </w:tcPr>
          <w:p w14:paraId="6A948F4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传动轴</w:t>
            </w:r>
          </w:p>
        </w:tc>
        <w:tc>
          <w:tcPr>
            <w:tcW w:w="6603" w:type="dxa"/>
            <w:vAlign w:val="center"/>
          </w:tcPr>
          <w:p w14:paraId="0F19EE66">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开式，两个万向节，刚性十字滚针轴承。</w:t>
            </w:r>
          </w:p>
        </w:tc>
        <w:tc>
          <w:tcPr>
            <w:tcW w:w="1070" w:type="dxa"/>
          </w:tcPr>
          <w:p w14:paraId="639E7571">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知名品牌</w:t>
            </w:r>
          </w:p>
        </w:tc>
      </w:tr>
      <w:tr w14:paraId="207D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474EF81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转向器</w:t>
            </w:r>
          </w:p>
        </w:tc>
        <w:tc>
          <w:tcPr>
            <w:tcW w:w="6603" w:type="dxa"/>
            <w:vAlign w:val="center"/>
          </w:tcPr>
          <w:p w14:paraId="6E0745A6">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优质</w:t>
            </w:r>
            <w:r>
              <w:rPr>
                <w:rFonts w:hint="eastAsia" w:asciiTheme="minorEastAsia" w:hAnsiTheme="minorEastAsia" w:eastAsiaTheme="minorEastAsia" w:cstheme="minorEastAsia"/>
                <w:sz w:val="21"/>
                <w:szCs w:val="21"/>
                <w:highlight w:val="none"/>
              </w:rPr>
              <w:t>整体式动力转向器</w:t>
            </w:r>
          </w:p>
        </w:tc>
        <w:tc>
          <w:tcPr>
            <w:tcW w:w="1070" w:type="dxa"/>
          </w:tcPr>
          <w:p w14:paraId="1060A136">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44A4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159E7E4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方向盘</w:t>
            </w:r>
          </w:p>
        </w:tc>
        <w:tc>
          <w:tcPr>
            <w:tcW w:w="6603" w:type="dxa"/>
            <w:vAlign w:val="center"/>
          </w:tcPr>
          <w:p w14:paraId="3D533829">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多功能方向盘（播放控制+定速巡航）前后上下可调。</w:t>
            </w:r>
          </w:p>
        </w:tc>
        <w:tc>
          <w:tcPr>
            <w:tcW w:w="1070" w:type="dxa"/>
          </w:tcPr>
          <w:p w14:paraId="4A3289F8">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00526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73D7E5F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前桥公告轴荷</w:t>
            </w:r>
          </w:p>
        </w:tc>
        <w:tc>
          <w:tcPr>
            <w:tcW w:w="6603" w:type="dxa"/>
            <w:vAlign w:val="center"/>
          </w:tcPr>
          <w:p w14:paraId="099797F2">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≧3.9T（</w:t>
            </w:r>
            <w:r>
              <w:rPr>
                <w:rFonts w:hint="eastAsia" w:asciiTheme="minorEastAsia" w:hAnsiTheme="minorEastAsia" w:eastAsiaTheme="minorEastAsia" w:cstheme="minorEastAsia"/>
                <w:sz w:val="21"/>
                <w:szCs w:val="21"/>
                <w:highlight w:val="none"/>
                <w:lang w:eastAsia="zh-CN"/>
              </w:rPr>
              <w:t>脂润滑</w:t>
            </w:r>
            <w:r>
              <w:rPr>
                <w:rFonts w:hint="eastAsia" w:asciiTheme="minorEastAsia" w:hAnsiTheme="minorEastAsia" w:eastAsiaTheme="minorEastAsia" w:cstheme="minorEastAsia"/>
                <w:sz w:val="21"/>
                <w:szCs w:val="21"/>
                <w:highlight w:val="none"/>
              </w:rPr>
              <w:t>免维护轮毂总成要求质保8年，附质保承诺书）</w:t>
            </w:r>
          </w:p>
        </w:tc>
        <w:tc>
          <w:tcPr>
            <w:tcW w:w="1070" w:type="dxa"/>
          </w:tcPr>
          <w:p w14:paraId="53D81B93">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0641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0B7CB1A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后桥公告轴荷</w:t>
            </w:r>
          </w:p>
        </w:tc>
        <w:tc>
          <w:tcPr>
            <w:tcW w:w="6603" w:type="dxa"/>
            <w:vAlign w:val="center"/>
          </w:tcPr>
          <w:p w14:paraId="44B1D2AC">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≧9T （</w:t>
            </w:r>
            <w:r>
              <w:rPr>
                <w:rFonts w:hint="eastAsia" w:asciiTheme="minorEastAsia" w:hAnsiTheme="minorEastAsia" w:eastAsiaTheme="minorEastAsia" w:cstheme="minorEastAsia"/>
                <w:sz w:val="21"/>
                <w:szCs w:val="21"/>
                <w:highlight w:val="none"/>
                <w:lang w:eastAsia="zh-CN"/>
              </w:rPr>
              <w:t>脂润滑</w:t>
            </w:r>
            <w:r>
              <w:rPr>
                <w:rFonts w:hint="eastAsia" w:asciiTheme="minorEastAsia" w:hAnsiTheme="minorEastAsia" w:eastAsiaTheme="minorEastAsia" w:cstheme="minorEastAsia"/>
                <w:sz w:val="21"/>
                <w:szCs w:val="21"/>
                <w:highlight w:val="none"/>
              </w:rPr>
              <w:t>免维护轮毂总成要求质保8年，附质保承诺书）精磨齿</w:t>
            </w:r>
          </w:p>
        </w:tc>
        <w:tc>
          <w:tcPr>
            <w:tcW w:w="1070" w:type="dxa"/>
          </w:tcPr>
          <w:p w14:paraId="2FD44D55">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pacing w:val="-4"/>
                <w:sz w:val="21"/>
                <w:szCs w:val="21"/>
                <w:highlight w:val="none"/>
              </w:rPr>
            </w:pPr>
          </w:p>
        </w:tc>
      </w:tr>
      <w:tr w14:paraId="5143C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12BC9BF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悬挂系统</w:t>
            </w:r>
          </w:p>
        </w:tc>
        <w:tc>
          <w:tcPr>
            <w:tcW w:w="6603" w:type="dxa"/>
            <w:vAlign w:val="center"/>
          </w:tcPr>
          <w:p w14:paraId="1400C14B">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napToGrid w:val="0"/>
                <w:kern w:val="0"/>
                <w:sz w:val="21"/>
                <w:szCs w:val="21"/>
                <w:highlight w:val="none"/>
              </w:rPr>
              <w:t>进口气囊+筒式液压减震器（悬架总成质保8年，</w:t>
            </w:r>
            <w:r>
              <w:rPr>
                <w:rFonts w:hint="eastAsia" w:asciiTheme="minorEastAsia" w:hAnsiTheme="minorEastAsia" w:eastAsiaTheme="minorEastAsia" w:cstheme="minorEastAsia"/>
                <w:sz w:val="21"/>
                <w:szCs w:val="21"/>
                <w:highlight w:val="none"/>
              </w:rPr>
              <w:t>附质保承诺书）</w:t>
            </w:r>
          </w:p>
        </w:tc>
        <w:tc>
          <w:tcPr>
            <w:tcW w:w="1070" w:type="dxa"/>
          </w:tcPr>
          <w:p w14:paraId="588450A9">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1A03A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48F182B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油箱容积（L）</w:t>
            </w:r>
          </w:p>
        </w:tc>
        <w:tc>
          <w:tcPr>
            <w:tcW w:w="6603" w:type="dxa"/>
            <w:vAlign w:val="center"/>
          </w:tcPr>
          <w:p w14:paraId="22200197">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z w:val="21"/>
                <w:szCs w:val="21"/>
                <w:highlight w:val="none"/>
              </w:rPr>
              <w:t>规定允许下尽量配置大容量</w:t>
            </w:r>
          </w:p>
        </w:tc>
        <w:tc>
          <w:tcPr>
            <w:tcW w:w="1070" w:type="dxa"/>
          </w:tcPr>
          <w:p w14:paraId="07B4CDFF">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011D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247B255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轮胎</w:t>
            </w:r>
          </w:p>
        </w:tc>
        <w:tc>
          <w:tcPr>
            <w:tcW w:w="6603" w:type="dxa"/>
            <w:vAlign w:val="center"/>
          </w:tcPr>
          <w:p w14:paraId="3943527C">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lang w:val="en-US" w:eastAsia="zh-CN"/>
              </w:rPr>
              <w:t>知名品牌</w:t>
            </w:r>
            <w:r>
              <w:rPr>
                <w:rFonts w:hint="eastAsia" w:asciiTheme="minorEastAsia" w:hAnsiTheme="minorEastAsia" w:eastAsiaTheme="minorEastAsia" w:cstheme="minorEastAsia"/>
                <w:snapToGrid w:val="0"/>
                <w:kern w:val="0"/>
                <w:sz w:val="21"/>
                <w:szCs w:val="21"/>
                <w:highlight w:val="none"/>
              </w:rPr>
              <w:t>轮胎， 配备胎一只(全尺寸、全型号）</w:t>
            </w:r>
          </w:p>
        </w:tc>
        <w:tc>
          <w:tcPr>
            <w:tcW w:w="1070" w:type="dxa"/>
          </w:tcPr>
          <w:p w14:paraId="4710638C">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推荐品牌：米其林、倍耐力、普利司通</w:t>
            </w:r>
          </w:p>
        </w:tc>
      </w:tr>
      <w:tr w14:paraId="5F04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19DA477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轮辋</w:t>
            </w:r>
          </w:p>
        </w:tc>
        <w:tc>
          <w:tcPr>
            <w:tcW w:w="6603" w:type="dxa"/>
            <w:vAlign w:val="center"/>
          </w:tcPr>
          <w:p w14:paraId="5BF2FE73">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napToGrid w:val="0"/>
                <w:kern w:val="0"/>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rPr>
              <w:t>锻造铝合金车轮表面必须有经强化处理工艺（提高产品表面硬度）</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kern w:val="0"/>
                <w:sz w:val="21"/>
                <w:szCs w:val="21"/>
                <w:highlight w:val="none"/>
              </w:rPr>
              <w:t>含备胎</w:t>
            </w:r>
            <w:r>
              <w:rPr>
                <w:rFonts w:hint="eastAsia" w:asciiTheme="minorEastAsia" w:hAnsiTheme="minorEastAsia" w:eastAsiaTheme="minorEastAsia" w:cstheme="minorEastAsia"/>
                <w:b w:val="0"/>
                <w:bCs w:val="0"/>
                <w:kern w:val="0"/>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免费质保8年，附承诺书。</w:t>
            </w:r>
          </w:p>
        </w:tc>
        <w:tc>
          <w:tcPr>
            <w:tcW w:w="1070" w:type="dxa"/>
          </w:tcPr>
          <w:p w14:paraId="7B44B682">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76477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326FB50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爆胎应急装置</w:t>
            </w:r>
          </w:p>
        </w:tc>
        <w:tc>
          <w:tcPr>
            <w:tcW w:w="6603" w:type="dxa"/>
            <w:vAlign w:val="center"/>
          </w:tcPr>
          <w:p w14:paraId="2F9D297E">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z w:val="21"/>
                <w:szCs w:val="21"/>
                <w:highlight w:val="none"/>
              </w:rPr>
              <w:t>标配</w:t>
            </w:r>
          </w:p>
        </w:tc>
        <w:tc>
          <w:tcPr>
            <w:tcW w:w="1070" w:type="dxa"/>
          </w:tcPr>
          <w:p w14:paraId="308B2237">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7D8D4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4416510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前轮胎压监测装置</w:t>
            </w:r>
          </w:p>
        </w:tc>
        <w:tc>
          <w:tcPr>
            <w:tcW w:w="6603" w:type="dxa"/>
            <w:vAlign w:val="center"/>
          </w:tcPr>
          <w:p w14:paraId="6F5E776A">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z w:val="21"/>
                <w:szCs w:val="21"/>
                <w:highlight w:val="none"/>
              </w:rPr>
              <w:t>标配</w:t>
            </w:r>
          </w:p>
        </w:tc>
        <w:tc>
          <w:tcPr>
            <w:tcW w:w="1070" w:type="dxa"/>
          </w:tcPr>
          <w:p w14:paraId="65554F5C">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5DAB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1B5F801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集中润滑</w:t>
            </w:r>
          </w:p>
        </w:tc>
        <w:tc>
          <w:tcPr>
            <w:tcW w:w="6603" w:type="dxa"/>
            <w:vAlign w:val="center"/>
          </w:tcPr>
          <w:p w14:paraId="267151D7">
            <w:pPr>
              <w:keepNext w:val="0"/>
              <w:keepLines w:val="0"/>
              <w:suppressLineNumbers w:val="0"/>
              <w:spacing w:before="0" w:beforeAutospacing="0" w:after="0" w:afterAutospacing="0" w:line="240" w:lineRule="auto"/>
              <w:ind w:left="0" w:right="0"/>
              <w:jc w:val="both"/>
              <w:rPr>
                <w:rFonts w:hint="eastAsia" w:asciiTheme="minorEastAsia" w:hAnsiTheme="minorEastAsia" w:eastAsiaTheme="minorEastAsia" w:cstheme="minorEastAsia"/>
                <w:sz w:val="21"/>
                <w:szCs w:val="21"/>
                <w:highlight w:val="none"/>
              </w:rPr>
            </w:pPr>
            <w:r>
              <w:rPr>
                <w:rFonts w:hint="eastAsia"/>
                <w:b w:val="0"/>
                <w:bCs w:val="0"/>
                <w:color w:val="auto"/>
                <w:sz w:val="21"/>
                <w:szCs w:val="21"/>
                <w:highlight w:val="none"/>
                <w:lang w:eastAsia="zh-CN"/>
              </w:rPr>
              <w:t>国产优质，</w:t>
            </w:r>
            <w:r>
              <w:rPr>
                <w:rFonts w:hint="eastAsia"/>
                <w:b w:val="0"/>
                <w:bCs w:val="0"/>
                <w:color w:val="auto"/>
                <w:sz w:val="21"/>
                <w:szCs w:val="21"/>
                <w:highlight w:val="none"/>
              </w:rPr>
              <w:t>免费质保</w:t>
            </w:r>
            <w:r>
              <w:rPr>
                <w:rFonts w:hint="default"/>
                <w:b w:val="0"/>
                <w:bCs w:val="0"/>
                <w:color w:val="auto"/>
                <w:sz w:val="21"/>
                <w:szCs w:val="21"/>
                <w:highlight w:val="none"/>
              </w:rPr>
              <w:t>8</w:t>
            </w:r>
            <w:r>
              <w:rPr>
                <w:rFonts w:hint="eastAsia"/>
                <w:b w:val="0"/>
                <w:bCs w:val="0"/>
                <w:color w:val="auto"/>
                <w:sz w:val="21"/>
                <w:szCs w:val="21"/>
                <w:highlight w:val="none"/>
              </w:rPr>
              <w:t>年（含易损、易耗件）</w:t>
            </w:r>
            <w:r>
              <w:rPr>
                <w:rFonts w:hint="eastAsia"/>
                <w:b w:val="0"/>
                <w:bCs w:val="0"/>
                <w:color w:val="auto"/>
                <w:sz w:val="21"/>
                <w:szCs w:val="21"/>
                <w:highlight w:val="none"/>
                <w:lang w:eastAsia="zh-CN"/>
              </w:rPr>
              <w:t>，</w:t>
            </w:r>
            <w:r>
              <w:rPr>
                <w:rFonts w:hint="eastAsia"/>
                <w:b w:val="0"/>
                <w:bCs w:val="0"/>
                <w:color w:val="auto"/>
                <w:sz w:val="21"/>
                <w:szCs w:val="21"/>
                <w:highlight w:val="none"/>
              </w:rPr>
              <w:t>附承诺书</w:t>
            </w:r>
          </w:p>
        </w:tc>
        <w:tc>
          <w:tcPr>
            <w:tcW w:w="1070" w:type="dxa"/>
          </w:tcPr>
          <w:p w14:paraId="5F7F498D">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60CD1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687" w:type="dxa"/>
            <w:vAlign w:val="center"/>
          </w:tcPr>
          <w:p w14:paraId="3249451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制动系统</w:t>
            </w:r>
          </w:p>
        </w:tc>
        <w:tc>
          <w:tcPr>
            <w:tcW w:w="6603" w:type="dxa"/>
            <w:vAlign w:val="center"/>
          </w:tcPr>
          <w:p w14:paraId="504D77C1">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kern w:val="0"/>
                <w:sz w:val="21"/>
                <w:szCs w:val="21"/>
                <w:highlight w:val="none"/>
              </w:rPr>
              <w:t>前盘后盘式，</w:t>
            </w:r>
            <w:r>
              <w:rPr>
                <w:rFonts w:hint="eastAsia" w:asciiTheme="minorEastAsia" w:hAnsiTheme="minorEastAsia" w:eastAsiaTheme="minorEastAsia" w:cstheme="minorEastAsia"/>
                <w:kern w:val="0"/>
                <w:sz w:val="21"/>
                <w:szCs w:val="21"/>
                <w:highlight w:val="none"/>
              </w:rPr>
              <w:t>双回路气制动，气压伺服助力，空气干燥器。阀类采用</w:t>
            </w:r>
            <w:r>
              <w:rPr>
                <w:rFonts w:hint="eastAsia" w:asciiTheme="minorEastAsia" w:hAnsiTheme="minorEastAsia" w:eastAsiaTheme="minorEastAsia" w:cstheme="minorEastAsia"/>
                <w:sz w:val="21"/>
                <w:szCs w:val="21"/>
                <w:highlight w:val="none"/>
                <w:lang w:val="en-US" w:eastAsia="zh-CN"/>
              </w:rPr>
              <w:t>知名品牌</w:t>
            </w:r>
            <w:r>
              <w:rPr>
                <w:rFonts w:hint="eastAsia" w:asciiTheme="minorEastAsia" w:hAnsiTheme="minorEastAsia" w:eastAsiaTheme="minorEastAsia" w:cstheme="minorEastAsia"/>
                <w:kern w:val="0"/>
                <w:sz w:val="21"/>
                <w:szCs w:val="21"/>
                <w:highlight w:val="none"/>
              </w:rPr>
              <w:t>。制动管路使用采用优质铜管，部分亚太管。管路系统按标准进行保压泄漏试验，与电线束和油水管分列布置。设低压声光报警，报警蜂鸣声与其它报警声响有明显区分。</w:t>
            </w:r>
          </w:p>
        </w:tc>
        <w:tc>
          <w:tcPr>
            <w:tcW w:w="1070" w:type="dxa"/>
          </w:tcPr>
          <w:p w14:paraId="222368A4">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02F1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87" w:type="dxa"/>
            <w:vAlign w:val="center"/>
          </w:tcPr>
          <w:p w14:paraId="25BFE32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缓速器</w:t>
            </w:r>
          </w:p>
        </w:tc>
        <w:tc>
          <w:tcPr>
            <w:tcW w:w="6603" w:type="dxa"/>
            <w:vAlign w:val="center"/>
          </w:tcPr>
          <w:p w14:paraId="2B7E9C95">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sz w:val="21"/>
                <w:szCs w:val="21"/>
                <w:highlight w:val="none"/>
              </w:rPr>
              <w:t>缓速器≧1500N.m四级控制，配温度报警装置</w:t>
            </w:r>
          </w:p>
        </w:tc>
        <w:tc>
          <w:tcPr>
            <w:tcW w:w="1070" w:type="dxa"/>
          </w:tcPr>
          <w:p w14:paraId="737543A6">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01AA2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027CE19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驻车制动</w:t>
            </w:r>
          </w:p>
        </w:tc>
        <w:tc>
          <w:tcPr>
            <w:tcW w:w="6603" w:type="dxa"/>
            <w:vAlign w:val="center"/>
          </w:tcPr>
          <w:p w14:paraId="5963FA88">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储能弹簧式作用于后轮。断气刹。</w:t>
            </w:r>
          </w:p>
        </w:tc>
        <w:tc>
          <w:tcPr>
            <w:tcW w:w="1070" w:type="dxa"/>
          </w:tcPr>
          <w:p w14:paraId="0021AFAC">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39D40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2332940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ABS及制动电子稳定系统</w:t>
            </w:r>
          </w:p>
        </w:tc>
        <w:tc>
          <w:tcPr>
            <w:tcW w:w="6603" w:type="dxa"/>
            <w:vAlign w:val="center"/>
          </w:tcPr>
          <w:p w14:paraId="3C49AD7B">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进口知名品牌 ABS+ESC</w:t>
            </w:r>
          </w:p>
        </w:tc>
        <w:tc>
          <w:tcPr>
            <w:tcW w:w="1070" w:type="dxa"/>
          </w:tcPr>
          <w:p w14:paraId="59F23899">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6C8A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0AECDE3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皮带</w:t>
            </w:r>
          </w:p>
        </w:tc>
        <w:tc>
          <w:tcPr>
            <w:tcW w:w="6603" w:type="dxa"/>
            <w:vAlign w:val="center"/>
          </w:tcPr>
          <w:p w14:paraId="37F72D5E">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采用附件所用传动皮带</w:t>
            </w:r>
            <w:r>
              <w:rPr>
                <w:rFonts w:hint="eastAsia" w:asciiTheme="minorEastAsia" w:hAnsiTheme="minorEastAsia" w:eastAsiaTheme="minorEastAsia" w:cstheme="minorEastAsia"/>
                <w:sz w:val="21"/>
                <w:szCs w:val="21"/>
                <w:highlight w:val="none"/>
                <w:lang w:eastAsia="zh-CN"/>
              </w:rPr>
              <w:t>。</w:t>
            </w:r>
          </w:p>
        </w:tc>
        <w:tc>
          <w:tcPr>
            <w:tcW w:w="1070" w:type="dxa"/>
            <w:shd w:val="clear" w:color="auto" w:fill="auto"/>
            <w:vAlign w:val="top"/>
          </w:tcPr>
          <w:p w14:paraId="3A0F72A0">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知名品牌</w:t>
            </w:r>
          </w:p>
        </w:tc>
      </w:tr>
      <w:tr w14:paraId="75D0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4E75BCD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底盘电器</w:t>
            </w:r>
          </w:p>
        </w:tc>
        <w:tc>
          <w:tcPr>
            <w:tcW w:w="6603" w:type="dxa"/>
            <w:vAlign w:val="center"/>
          </w:tcPr>
          <w:p w14:paraId="171F845D">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负极搭铁，进口AMP电器接插件，电线束与油、气、水等管线分列布置。电线</w:t>
            </w:r>
            <w:r>
              <w:rPr>
                <w:rFonts w:hint="eastAsia" w:asciiTheme="minorEastAsia" w:hAnsiTheme="minorEastAsia" w:eastAsiaTheme="minorEastAsia" w:cstheme="minorEastAsia"/>
                <w:kern w:val="0"/>
                <w:sz w:val="21"/>
                <w:szCs w:val="21"/>
                <w:highlight w:val="none"/>
              </w:rPr>
              <w:t>全部采用镀锡铜芯线。</w:t>
            </w:r>
          </w:p>
        </w:tc>
        <w:tc>
          <w:tcPr>
            <w:tcW w:w="1070" w:type="dxa"/>
          </w:tcPr>
          <w:p w14:paraId="045861E4">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044AB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611F807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发电机</w:t>
            </w:r>
          </w:p>
        </w:tc>
        <w:tc>
          <w:tcPr>
            <w:tcW w:w="6603" w:type="dxa"/>
            <w:vAlign w:val="center"/>
          </w:tcPr>
          <w:p w14:paraId="1ACDC1F8">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0A发电机两只</w:t>
            </w:r>
          </w:p>
        </w:tc>
        <w:tc>
          <w:tcPr>
            <w:tcW w:w="1070" w:type="dxa"/>
          </w:tcPr>
          <w:p w14:paraId="1992085F">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知名品牌</w:t>
            </w:r>
          </w:p>
        </w:tc>
      </w:tr>
      <w:tr w14:paraId="4424D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32FC069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组合开关</w:t>
            </w:r>
          </w:p>
        </w:tc>
        <w:tc>
          <w:tcPr>
            <w:tcW w:w="6603" w:type="dxa"/>
            <w:vAlign w:val="center"/>
          </w:tcPr>
          <w:p w14:paraId="69FB9A09">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采用转向柱安装组合式开关，包括大小灯、转向灯、雨刮器、点火开关等控制开关。</w:t>
            </w:r>
          </w:p>
        </w:tc>
        <w:tc>
          <w:tcPr>
            <w:tcW w:w="1070" w:type="dxa"/>
          </w:tcPr>
          <w:p w14:paraId="4CDEF555">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44F0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1793344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起动机</w:t>
            </w:r>
          </w:p>
        </w:tc>
        <w:tc>
          <w:tcPr>
            <w:tcW w:w="6603" w:type="dxa"/>
            <w:vAlign w:val="center"/>
          </w:tcPr>
          <w:p w14:paraId="32E78BFD">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24V电磁操纵性好。</w:t>
            </w:r>
          </w:p>
        </w:tc>
        <w:tc>
          <w:tcPr>
            <w:tcW w:w="1070" w:type="dxa"/>
          </w:tcPr>
          <w:p w14:paraId="23720B88">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20A35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1AFD58D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蓄电池</w:t>
            </w:r>
          </w:p>
        </w:tc>
        <w:tc>
          <w:tcPr>
            <w:tcW w:w="6603" w:type="dxa"/>
            <w:vAlign w:val="center"/>
          </w:tcPr>
          <w:p w14:paraId="7BE1A688">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采用国内一线品牌免维护蓄电池≧1</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0Ah两只，镀锌强度钢蓄电池架推拉式托盘，配独立蓄电池仓门并开一小仓门方便机械式电源总开关的开和关，作防腐处理，带气撑式开关，仓底开一处滴水小孔，安装位置要远离排气管。</w:t>
            </w:r>
          </w:p>
        </w:tc>
        <w:tc>
          <w:tcPr>
            <w:tcW w:w="1070" w:type="dxa"/>
          </w:tcPr>
          <w:p w14:paraId="425FF239">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471EC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1FE46E2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储气筒放水阀</w:t>
            </w:r>
          </w:p>
        </w:tc>
        <w:tc>
          <w:tcPr>
            <w:tcW w:w="6603" w:type="dxa"/>
            <w:vAlign w:val="center"/>
          </w:tcPr>
          <w:p w14:paraId="7A3720F0">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自动</w:t>
            </w:r>
          </w:p>
        </w:tc>
        <w:tc>
          <w:tcPr>
            <w:tcW w:w="1070" w:type="dxa"/>
          </w:tcPr>
          <w:p w14:paraId="1E1E7FE1">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kern w:val="0"/>
                <w:sz w:val="21"/>
                <w:szCs w:val="21"/>
                <w:highlight w:val="none"/>
              </w:rPr>
            </w:pPr>
          </w:p>
        </w:tc>
      </w:tr>
      <w:tr w14:paraId="68D8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360" w:type="dxa"/>
            <w:gridSpan w:val="3"/>
            <w:vAlign w:val="center"/>
          </w:tcPr>
          <w:p w14:paraId="5F18B2C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车  身</w:t>
            </w:r>
          </w:p>
        </w:tc>
      </w:tr>
      <w:tr w14:paraId="1123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7D34FD9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车身漆色图案</w:t>
            </w:r>
          </w:p>
        </w:tc>
        <w:tc>
          <w:tcPr>
            <w:tcW w:w="6603" w:type="dxa"/>
            <w:vAlign w:val="center"/>
          </w:tcPr>
          <w:p w14:paraId="405CC368">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车身油漆采用</w:t>
            </w:r>
            <w:r>
              <w:rPr>
                <w:rFonts w:hint="eastAsia" w:asciiTheme="minorEastAsia" w:hAnsiTheme="minorEastAsia" w:eastAsiaTheme="minorEastAsia" w:cstheme="minorEastAsia"/>
                <w:kern w:val="0"/>
                <w:sz w:val="21"/>
                <w:szCs w:val="21"/>
                <w:highlight w:val="none"/>
              </w:rPr>
              <w:t>进口实色</w:t>
            </w:r>
            <w:r>
              <w:rPr>
                <w:rFonts w:hint="eastAsia" w:asciiTheme="minorEastAsia" w:hAnsiTheme="minorEastAsia" w:eastAsiaTheme="minorEastAsia" w:cstheme="minorEastAsia"/>
                <w:sz w:val="21"/>
                <w:szCs w:val="21"/>
                <w:highlight w:val="none"/>
              </w:rPr>
              <w:t>漆，漆色图案由投标人提供，由招标人确认。</w:t>
            </w:r>
          </w:p>
        </w:tc>
        <w:tc>
          <w:tcPr>
            <w:tcW w:w="1070" w:type="dxa"/>
          </w:tcPr>
          <w:p w14:paraId="050AAD7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4F8A3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 w:hRule="atLeast"/>
        </w:trPr>
        <w:tc>
          <w:tcPr>
            <w:tcW w:w="1687" w:type="dxa"/>
            <w:vMerge w:val="restart"/>
            <w:vAlign w:val="center"/>
          </w:tcPr>
          <w:p w14:paraId="0E79BD0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▲车身结构与 车身型材</w:t>
            </w:r>
          </w:p>
        </w:tc>
        <w:tc>
          <w:tcPr>
            <w:tcW w:w="6603" w:type="dxa"/>
            <w:vAlign w:val="center"/>
          </w:tcPr>
          <w:p w14:paraId="10FFCC5B">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b/>
                <w:bCs/>
                <w:sz w:val="21"/>
                <w:szCs w:val="21"/>
                <w:highlight w:val="none"/>
              </w:rPr>
              <w:t>车身采用</w:t>
            </w:r>
            <w:r>
              <w:rPr>
                <w:rFonts w:hint="eastAsia" w:asciiTheme="minorEastAsia" w:hAnsiTheme="minorEastAsia" w:eastAsiaTheme="minorEastAsia" w:cstheme="minorEastAsia"/>
                <w:b/>
                <w:bCs/>
                <w:sz w:val="21"/>
                <w:szCs w:val="21"/>
                <w:highlight w:val="none"/>
                <w:lang w:eastAsia="zh-CN"/>
              </w:rPr>
              <w:t>半承载或更优（</w:t>
            </w:r>
            <w:r>
              <w:rPr>
                <w:rFonts w:hint="eastAsia" w:asciiTheme="minorEastAsia" w:hAnsiTheme="minorEastAsia" w:eastAsiaTheme="minorEastAsia" w:cstheme="minorEastAsia"/>
                <w:b/>
                <w:bCs/>
                <w:sz w:val="21"/>
                <w:szCs w:val="21"/>
                <w:highlight w:val="none"/>
              </w:rPr>
              <w:t>全承载</w:t>
            </w:r>
            <w:r>
              <w:rPr>
                <w:rFonts w:hint="eastAsia" w:asciiTheme="minorEastAsia" w:hAnsiTheme="minorEastAsia" w:eastAsiaTheme="minorEastAsia" w:cstheme="minorEastAsia"/>
                <w:b/>
                <w:bCs/>
                <w:sz w:val="21"/>
                <w:szCs w:val="21"/>
                <w:highlight w:val="none"/>
                <w:lang w:eastAsia="zh-CN"/>
              </w:rPr>
              <w:t>）</w:t>
            </w:r>
            <w:r>
              <w:rPr>
                <w:rFonts w:hint="eastAsia" w:asciiTheme="minorEastAsia" w:hAnsiTheme="minorEastAsia" w:eastAsiaTheme="minorEastAsia" w:cstheme="minorEastAsia"/>
                <w:b/>
                <w:bCs/>
                <w:sz w:val="21"/>
                <w:szCs w:val="21"/>
                <w:highlight w:val="none"/>
              </w:rPr>
              <w:t>结构。</w:t>
            </w:r>
            <w:r>
              <w:rPr>
                <w:rFonts w:hint="eastAsia" w:asciiTheme="minorEastAsia" w:hAnsiTheme="minorEastAsia" w:eastAsiaTheme="minorEastAsia" w:cstheme="minorEastAsia"/>
                <w:sz w:val="21"/>
                <w:szCs w:val="21"/>
                <w:highlight w:val="none"/>
              </w:rPr>
              <w:t>采用优质管材，车身骨架 整体强度满足营运客车运行寿命要求。所有结构件和覆盖件内外均经阴极电泳处理，车身蒙皮采用模压件，蒙皮厚度在1.0mm以上，整车蒙皮一次性冲压成型件。车身内顶和侧围整体经有效隔热降噪处理，前后围采用玻璃钢或钢板冲压成型件。</w:t>
            </w:r>
          </w:p>
        </w:tc>
        <w:tc>
          <w:tcPr>
            <w:tcW w:w="1070" w:type="dxa"/>
          </w:tcPr>
          <w:p w14:paraId="46D4847C">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49B86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Merge w:val="continue"/>
            <w:vAlign w:val="center"/>
          </w:tcPr>
          <w:p w14:paraId="48E85FE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0"/>
                <w:sz w:val="21"/>
                <w:szCs w:val="21"/>
                <w:highlight w:val="none"/>
              </w:rPr>
            </w:pPr>
          </w:p>
        </w:tc>
        <w:tc>
          <w:tcPr>
            <w:tcW w:w="6603" w:type="dxa"/>
            <w:vAlign w:val="center"/>
          </w:tcPr>
          <w:p w14:paraId="7E00A587">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.双</w:t>
            </w:r>
            <w:r>
              <w:rPr>
                <w:rFonts w:hint="eastAsia" w:asciiTheme="minorEastAsia" w:hAnsiTheme="minorEastAsia" w:eastAsiaTheme="minorEastAsia" w:cstheme="minorEastAsia"/>
                <w:sz w:val="21"/>
                <w:szCs w:val="21"/>
                <w:highlight w:val="none"/>
              </w:rPr>
              <w:t>侧围行李仓门为</w:t>
            </w:r>
            <w:r>
              <w:rPr>
                <w:rFonts w:hint="eastAsia" w:asciiTheme="minorEastAsia" w:hAnsiTheme="minorEastAsia" w:eastAsiaTheme="minorEastAsia" w:cstheme="minorEastAsia"/>
                <w:sz w:val="21"/>
                <w:szCs w:val="21"/>
                <w:highlight w:val="none"/>
                <w:lang w:eastAsia="zh-CN"/>
              </w:rPr>
              <w:t>气动</w:t>
            </w:r>
            <w:r>
              <w:rPr>
                <w:rFonts w:hint="eastAsia" w:asciiTheme="minorEastAsia" w:hAnsiTheme="minorEastAsia" w:eastAsiaTheme="minorEastAsia" w:cstheme="minorEastAsia"/>
                <w:sz w:val="21"/>
                <w:szCs w:val="21"/>
                <w:highlight w:val="none"/>
              </w:rPr>
              <w:t>平移式，液压撑杆，锁芯锁。</w:t>
            </w:r>
          </w:p>
        </w:tc>
        <w:tc>
          <w:tcPr>
            <w:tcW w:w="1070" w:type="dxa"/>
          </w:tcPr>
          <w:p w14:paraId="13154968">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00912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Merge w:val="continue"/>
            <w:vAlign w:val="center"/>
          </w:tcPr>
          <w:p w14:paraId="63944C4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0"/>
                <w:sz w:val="21"/>
                <w:szCs w:val="21"/>
                <w:highlight w:val="none"/>
              </w:rPr>
            </w:pPr>
          </w:p>
        </w:tc>
        <w:tc>
          <w:tcPr>
            <w:tcW w:w="6603" w:type="dxa"/>
            <w:vAlign w:val="center"/>
          </w:tcPr>
          <w:p w14:paraId="39E7138D">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在车身左右两侧设有多个支车点，并设置支车点标记。</w:t>
            </w:r>
          </w:p>
        </w:tc>
        <w:tc>
          <w:tcPr>
            <w:tcW w:w="1070" w:type="dxa"/>
          </w:tcPr>
          <w:p w14:paraId="02A674E1">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2BFF7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Merge w:val="continue"/>
            <w:vAlign w:val="center"/>
          </w:tcPr>
          <w:p w14:paraId="0A51EEE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0"/>
                <w:sz w:val="21"/>
                <w:szCs w:val="21"/>
                <w:highlight w:val="none"/>
              </w:rPr>
            </w:pPr>
          </w:p>
        </w:tc>
        <w:tc>
          <w:tcPr>
            <w:tcW w:w="6603" w:type="dxa"/>
            <w:vAlign w:val="center"/>
          </w:tcPr>
          <w:p w14:paraId="6EC3FDD0">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车厢两边及乘客门上配流水槽。</w:t>
            </w:r>
          </w:p>
        </w:tc>
        <w:tc>
          <w:tcPr>
            <w:tcW w:w="1070" w:type="dxa"/>
          </w:tcPr>
          <w:p w14:paraId="4CD36F55">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0725E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Merge w:val="continue"/>
            <w:vAlign w:val="center"/>
          </w:tcPr>
          <w:p w14:paraId="0A94FBF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0"/>
                <w:sz w:val="21"/>
                <w:szCs w:val="21"/>
                <w:highlight w:val="none"/>
              </w:rPr>
            </w:pPr>
          </w:p>
        </w:tc>
        <w:tc>
          <w:tcPr>
            <w:tcW w:w="6603" w:type="dxa"/>
            <w:vAlign w:val="center"/>
          </w:tcPr>
          <w:p w14:paraId="4F6AA048">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kern w:val="0"/>
                <w:sz w:val="21"/>
                <w:szCs w:val="21"/>
                <w:highlight w:val="none"/>
              </w:rPr>
              <w:t>车辆纵梁前部适当位置应设置拖钩，拖钩及连接部位骨架、连接方式应满足车辆拖动施救的需求，要求使用方便，拖拉固定可靠。同时纵梁前部区域的各类管路、线束的布置应充分考虑拖车时的运动干涉，以免损坏。</w:t>
            </w:r>
          </w:p>
        </w:tc>
        <w:tc>
          <w:tcPr>
            <w:tcW w:w="1070" w:type="dxa"/>
          </w:tcPr>
          <w:p w14:paraId="5A36EE7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17EB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Merge w:val="restart"/>
            <w:vAlign w:val="center"/>
          </w:tcPr>
          <w:p w14:paraId="288F9B4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车厢内处理工艺</w:t>
            </w:r>
          </w:p>
        </w:tc>
        <w:tc>
          <w:tcPr>
            <w:tcW w:w="6603" w:type="dxa"/>
            <w:vAlign w:val="center"/>
          </w:tcPr>
          <w:p w14:paraId="3C64D2FB">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1</w:t>
            </w:r>
            <w:r>
              <w:rPr>
                <w:rFonts w:hint="eastAsia" w:asciiTheme="minorEastAsia" w:hAnsiTheme="minorEastAsia" w:eastAsiaTheme="minorEastAsia" w:cstheme="minorEastAsia"/>
                <w:kern w:val="0"/>
                <w:sz w:val="21"/>
                <w:szCs w:val="21"/>
                <w:highlight w:val="none"/>
                <w:lang w:val="en-US" w:eastAsia="zh-CN"/>
              </w:rPr>
              <w:t>.</w:t>
            </w:r>
            <w:r>
              <w:rPr>
                <w:rFonts w:hint="eastAsia" w:asciiTheme="minorEastAsia" w:hAnsiTheme="minorEastAsia" w:eastAsiaTheme="minorEastAsia" w:cstheme="minorEastAsia"/>
                <w:kern w:val="0"/>
                <w:sz w:val="21"/>
                <w:szCs w:val="21"/>
                <w:highlight w:val="none"/>
              </w:rPr>
              <w:t>车厢内各阴阳角拼缝处拼压平整贴服。</w:t>
            </w:r>
          </w:p>
        </w:tc>
        <w:tc>
          <w:tcPr>
            <w:tcW w:w="1070" w:type="dxa"/>
          </w:tcPr>
          <w:p w14:paraId="58457EB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25423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Merge w:val="continue"/>
            <w:vAlign w:val="center"/>
          </w:tcPr>
          <w:p w14:paraId="30490B8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0"/>
                <w:sz w:val="21"/>
                <w:szCs w:val="21"/>
                <w:highlight w:val="none"/>
              </w:rPr>
            </w:pPr>
          </w:p>
        </w:tc>
        <w:tc>
          <w:tcPr>
            <w:tcW w:w="6603" w:type="dxa"/>
            <w:vAlign w:val="center"/>
          </w:tcPr>
          <w:p w14:paraId="4B3A85A7">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2</w:t>
            </w:r>
            <w:r>
              <w:rPr>
                <w:rFonts w:hint="eastAsia" w:asciiTheme="minorEastAsia" w:hAnsiTheme="minorEastAsia" w:eastAsiaTheme="minorEastAsia" w:cstheme="minorEastAsia"/>
                <w:kern w:val="0"/>
                <w:sz w:val="21"/>
                <w:szCs w:val="21"/>
                <w:highlight w:val="none"/>
                <w:lang w:val="en-US" w:eastAsia="zh-CN"/>
              </w:rPr>
              <w:t>.</w:t>
            </w:r>
            <w:r>
              <w:rPr>
                <w:rFonts w:hint="eastAsia" w:asciiTheme="minorEastAsia" w:hAnsiTheme="minorEastAsia" w:eastAsiaTheme="minorEastAsia" w:cstheme="minorEastAsia"/>
                <w:kern w:val="0"/>
                <w:sz w:val="21"/>
                <w:szCs w:val="21"/>
                <w:highlight w:val="none"/>
              </w:rPr>
              <w:t>乘客可能触及的车身内外部件、构件都不应有尖角和锐边。</w:t>
            </w:r>
          </w:p>
        </w:tc>
        <w:tc>
          <w:tcPr>
            <w:tcW w:w="1070" w:type="dxa"/>
          </w:tcPr>
          <w:p w14:paraId="06622C3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36F10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6ED1FEE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防锈处理工艺</w:t>
            </w:r>
          </w:p>
        </w:tc>
        <w:tc>
          <w:tcPr>
            <w:tcW w:w="6603" w:type="dxa"/>
            <w:vAlign w:val="center"/>
          </w:tcPr>
          <w:p w14:paraId="362EEBC8">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整车阴极电泳的工艺。</w:t>
            </w:r>
            <w:r>
              <w:rPr>
                <w:rFonts w:hint="eastAsia" w:asciiTheme="minorEastAsia" w:hAnsiTheme="minorEastAsia" w:eastAsiaTheme="minorEastAsia" w:cstheme="minorEastAsia"/>
                <w:b w:val="0"/>
                <w:bCs/>
                <w:sz w:val="21"/>
                <w:szCs w:val="21"/>
                <w:highlight w:val="none"/>
              </w:rPr>
              <w:t>整车防腐效果达到8年以上。附承诺书</w:t>
            </w:r>
          </w:p>
        </w:tc>
        <w:tc>
          <w:tcPr>
            <w:tcW w:w="1070" w:type="dxa"/>
          </w:tcPr>
          <w:p w14:paraId="54B28F63">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7E77A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3659CC1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b w:val="0"/>
                <w:bCs w:val="0"/>
                <w:color w:val="auto"/>
                <w:sz w:val="21"/>
                <w:szCs w:val="21"/>
                <w:highlight w:val="none"/>
              </w:rPr>
              <w:t>前／后挡风玻璃、侧车窗</w:t>
            </w:r>
          </w:p>
        </w:tc>
        <w:tc>
          <w:tcPr>
            <w:tcW w:w="6603" w:type="dxa"/>
            <w:vAlign w:val="center"/>
          </w:tcPr>
          <w:p w14:paraId="1E53DA45">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b w:val="0"/>
                <w:bCs w:val="0"/>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rPr>
              <w:t>前挡为双层夹胶防紫外线隔热</w:t>
            </w:r>
            <w:r>
              <w:rPr>
                <w:rFonts w:hint="eastAsia" w:asciiTheme="minorEastAsia" w:hAnsiTheme="minorEastAsia" w:eastAsiaTheme="minorEastAsia" w:cstheme="minorEastAsia"/>
                <w:b w:val="0"/>
                <w:bCs w:val="0"/>
                <w:sz w:val="21"/>
                <w:szCs w:val="21"/>
                <w:highlight w:val="none"/>
              </w:rPr>
              <w:t>大视野双曲面</w:t>
            </w:r>
            <w:r>
              <w:rPr>
                <w:rFonts w:hint="eastAsia" w:asciiTheme="minorEastAsia" w:hAnsiTheme="minorEastAsia" w:eastAsiaTheme="minorEastAsia" w:cstheme="minorEastAsia"/>
                <w:b w:val="0"/>
                <w:bCs w:val="0"/>
                <w:color w:val="auto"/>
                <w:sz w:val="21"/>
                <w:szCs w:val="21"/>
                <w:highlight w:val="none"/>
              </w:rPr>
              <w:t>玻璃；后挡为隔热钢化玻璃；均采用粘接式结构。侧窗</w:t>
            </w:r>
            <w:r>
              <w:rPr>
                <w:rFonts w:hint="eastAsia" w:asciiTheme="minorEastAsia" w:hAnsiTheme="minorEastAsia" w:eastAsiaTheme="minorEastAsia" w:cstheme="minorEastAsia"/>
                <w:b w:val="0"/>
                <w:bCs w:val="0"/>
                <w:color w:val="auto"/>
                <w:sz w:val="21"/>
                <w:szCs w:val="21"/>
                <w:highlight w:val="none"/>
                <w:lang w:eastAsia="zh-CN"/>
              </w:rPr>
              <w:t>为</w:t>
            </w:r>
            <w:r>
              <w:rPr>
                <w:rFonts w:hint="eastAsia" w:asciiTheme="minorEastAsia" w:hAnsiTheme="minorEastAsia" w:eastAsiaTheme="minorEastAsia" w:cstheme="minorEastAsia"/>
                <w:b w:val="0"/>
                <w:bCs w:val="0"/>
                <w:color w:val="auto"/>
                <w:sz w:val="21"/>
                <w:szCs w:val="21"/>
                <w:highlight w:val="none"/>
              </w:rPr>
              <w:t>防紫外线隔热车窗玻璃，满足上牌要求。</w:t>
            </w:r>
            <w:r>
              <w:rPr>
                <w:rFonts w:hint="eastAsia" w:asciiTheme="minorEastAsia" w:hAnsiTheme="minorEastAsia" w:eastAsiaTheme="minorEastAsia" w:cstheme="minorEastAsia"/>
                <w:b w:val="0"/>
                <w:bCs w:val="0"/>
                <w:color w:val="auto"/>
                <w:sz w:val="21"/>
                <w:szCs w:val="21"/>
                <w:highlight w:val="none"/>
                <w:lang w:eastAsia="zh-CN"/>
              </w:rPr>
              <w:t>免费配备本车型整车玻璃一套。</w:t>
            </w:r>
          </w:p>
        </w:tc>
        <w:tc>
          <w:tcPr>
            <w:tcW w:w="1070" w:type="dxa"/>
          </w:tcPr>
          <w:p w14:paraId="68CEA614">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6222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18C6C81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前挡风遮阳帘</w:t>
            </w:r>
          </w:p>
        </w:tc>
        <w:tc>
          <w:tcPr>
            <w:tcW w:w="6603" w:type="dxa"/>
            <w:vAlign w:val="center"/>
          </w:tcPr>
          <w:p w14:paraId="33F589DA">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电动单幅遮阳帘</w:t>
            </w:r>
          </w:p>
        </w:tc>
        <w:tc>
          <w:tcPr>
            <w:tcW w:w="1070" w:type="dxa"/>
          </w:tcPr>
          <w:p w14:paraId="70816C82">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0D42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418653B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侧窗、窗帘</w:t>
            </w:r>
          </w:p>
        </w:tc>
        <w:tc>
          <w:tcPr>
            <w:tcW w:w="6603" w:type="dxa"/>
            <w:vAlign w:val="center"/>
          </w:tcPr>
          <w:p w14:paraId="3702F572">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后两侧内置推拉窗、配应急外推窗，其余全封闭玻璃。配环保优质豪华窗帘。</w:t>
            </w:r>
          </w:p>
        </w:tc>
        <w:tc>
          <w:tcPr>
            <w:tcW w:w="1070" w:type="dxa"/>
          </w:tcPr>
          <w:p w14:paraId="4D7FE541">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3DFB8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4D7D55B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车门 、乘客门安全手动应急阀。</w:t>
            </w:r>
          </w:p>
        </w:tc>
        <w:tc>
          <w:tcPr>
            <w:tcW w:w="6603" w:type="dxa"/>
            <w:vAlign w:val="center"/>
          </w:tcPr>
          <w:p w14:paraId="2C2C7BC8">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全铝遥控外摆乘客门，带防夹装置，车外装应急阀。配有安全门</w:t>
            </w:r>
            <w:r>
              <w:rPr>
                <w:rFonts w:hint="eastAsia" w:asciiTheme="minorEastAsia" w:hAnsiTheme="minorEastAsia" w:eastAsiaTheme="minorEastAsia" w:cstheme="minorEastAsia"/>
                <w:sz w:val="21"/>
                <w:szCs w:val="21"/>
                <w:highlight w:val="none"/>
                <w:lang w:eastAsia="zh-CN"/>
              </w:rPr>
              <w:t>。</w:t>
            </w:r>
          </w:p>
        </w:tc>
        <w:tc>
          <w:tcPr>
            <w:tcW w:w="1070" w:type="dxa"/>
          </w:tcPr>
          <w:p w14:paraId="385F6795">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31A56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34EB354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▲乘客座椅</w:t>
            </w:r>
          </w:p>
        </w:tc>
        <w:tc>
          <w:tcPr>
            <w:tcW w:w="6603" w:type="dxa"/>
            <w:vAlign w:val="center"/>
          </w:tcPr>
          <w:p w14:paraId="5D57D7FA">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kern w:val="0"/>
                <w:sz w:val="21"/>
                <w:szCs w:val="21"/>
                <w:highlight w:val="none"/>
              </w:rPr>
              <w:t>豪华大商务双色仿皮面料座椅,</w:t>
            </w:r>
            <w:r>
              <w:rPr>
                <w:rFonts w:hint="eastAsia" w:asciiTheme="minorEastAsia" w:hAnsiTheme="minorEastAsia" w:eastAsiaTheme="minorEastAsia" w:cstheme="minorEastAsia"/>
                <w:kern w:val="0"/>
                <w:sz w:val="21"/>
                <w:szCs w:val="21"/>
                <w:highlight w:val="none"/>
              </w:rPr>
              <w:t>背可调、无侧移，固定扶手，配USB充电接口，带座位号，座椅后背绣“请全程系好安全带”字样，2+1排列。尽量考虑旅客舒适性。</w:t>
            </w:r>
            <w:r>
              <w:rPr>
                <w:rFonts w:hint="eastAsia" w:asciiTheme="minorEastAsia" w:hAnsiTheme="minorEastAsia" w:eastAsiaTheme="minorEastAsia" w:cstheme="minorEastAsia"/>
                <w:sz w:val="21"/>
                <w:szCs w:val="21"/>
                <w:highlight w:val="none"/>
              </w:rPr>
              <w:t>（要求质保8年，附质保承诺书）</w:t>
            </w:r>
          </w:p>
        </w:tc>
        <w:tc>
          <w:tcPr>
            <w:tcW w:w="1070" w:type="dxa"/>
          </w:tcPr>
          <w:p w14:paraId="2A0FAB2D">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22BC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12894D7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安全带</w:t>
            </w:r>
          </w:p>
        </w:tc>
        <w:tc>
          <w:tcPr>
            <w:tcW w:w="6603" w:type="dxa"/>
            <w:vAlign w:val="center"/>
          </w:tcPr>
          <w:p w14:paraId="60351435">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整车安全带（全车三点式</w:t>
            </w:r>
            <w:r>
              <w:rPr>
                <w:rFonts w:hint="eastAsia" w:asciiTheme="minorEastAsia" w:hAnsiTheme="minorEastAsia" w:eastAsiaTheme="minorEastAsia" w:cstheme="minorEastAsia"/>
                <w:kern w:val="0"/>
                <w:sz w:val="21"/>
                <w:szCs w:val="21"/>
                <w:highlight w:val="none"/>
                <w:lang w:eastAsia="zh-CN"/>
              </w:rPr>
              <w:t>伸缩</w:t>
            </w:r>
            <w:r>
              <w:rPr>
                <w:rFonts w:hint="eastAsia" w:asciiTheme="minorEastAsia" w:hAnsiTheme="minorEastAsia" w:eastAsiaTheme="minorEastAsia" w:cstheme="minorEastAsia"/>
                <w:kern w:val="0"/>
                <w:sz w:val="21"/>
                <w:szCs w:val="21"/>
                <w:highlight w:val="none"/>
              </w:rPr>
              <w:t>安全带，有重力感应带报警）</w:t>
            </w:r>
          </w:p>
        </w:tc>
        <w:tc>
          <w:tcPr>
            <w:tcW w:w="1070" w:type="dxa"/>
          </w:tcPr>
          <w:p w14:paraId="5A941AFC">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66A6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7509967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地板</w:t>
            </w:r>
          </w:p>
        </w:tc>
        <w:tc>
          <w:tcPr>
            <w:tcW w:w="6603" w:type="dxa"/>
            <w:vAlign w:val="center"/>
          </w:tcPr>
          <w:p w14:paraId="30A7143D">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1.铺设地毯纹防滑地板革，阻燃、环保，平整无明显凸起，地板革需符合GB38262-2019标准，防滑等级R11，耐磨等级T级。</w:t>
            </w:r>
          </w:p>
          <w:p w14:paraId="7742853C">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2.安装车用PVC高品质耐高温阻燃专用、防腐、环保地板，符合国标。厚度≥18mm，地板铺设工艺需按照地板生产厂家工艺要求，免费质保8年。加密加大地板下纵、横支撑梁，防止地板悬空断裂、下沉。</w:t>
            </w:r>
          </w:p>
        </w:tc>
        <w:tc>
          <w:tcPr>
            <w:tcW w:w="1070" w:type="dxa"/>
          </w:tcPr>
          <w:p w14:paraId="3A622553">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2E3A1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7BA8857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内饰</w:t>
            </w:r>
          </w:p>
        </w:tc>
        <w:tc>
          <w:tcPr>
            <w:tcW w:w="6603" w:type="dxa"/>
            <w:vAlign w:val="center"/>
          </w:tcPr>
          <w:p w14:paraId="5CA5BCC7">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rPr>
              <w:t>中顶皮革面料（阻燃材料）商务内饰</w:t>
            </w:r>
            <w:r>
              <w:rPr>
                <w:rFonts w:hint="eastAsia" w:asciiTheme="minorEastAsia" w:hAnsiTheme="minorEastAsia" w:eastAsiaTheme="minorEastAsia" w:cstheme="minorEastAsia"/>
                <w:b w:val="0"/>
                <w:bCs w:val="0"/>
                <w:sz w:val="21"/>
                <w:szCs w:val="21"/>
                <w:highlight w:val="none"/>
              </w:rPr>
              <w:t>，航空式双边行李架</w:t>
            </w:r>
            <w:r>
              <w:rPr>
                <w:rFonts w:hint="eastAsia" w:asciiTheme="minorEastAsia" w:hAnsiTheme="minorEastAsia" w:eastAsiaTheme="minorEastAsia" w:cstheme="minorEastAsia"/>
                <w:b w:val="0"/>
                <w:bCs w:val="0"/>
                <w:sz w:val="21"/>
                <w:szCs w:val="21"/>
                <w:highlight w:val="none"/>
                <w:lang w:eastAsia="zh-CN"/>
              </w:rPr>
              <w:t>，</w:t>
            </w:r>
            <w:r>
              <w:rPr>
                <w:rFonts w:hint="eastAsia" w:asciiTheme="minorEastAsia" w:hAnsiTheme="minorEastAsia" w:eastAsiaTheme="minorEastAsia" w:cstheme="minorEastAsia"/>
                <w:b w:val="0"/>
                <w:bCs w:val="0"/>
                <w:sz w:val="21"/>
                <w:szCs w:val="21"/>
                <w:highlight w:val="none"/>
              </w:rPr>
              <w:t>带舱盖</w:t>
            </w:r>
          </w:p>
        </w:tc>
        <w:tc>
          <w:tcPr>
            <w:tcW w:w="1070" w:type="dxa"/>
          </w:tcPr>
          <w:p w14:paraId="1AF15BD9">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1D4F9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47809AF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驾驶区仪表台</w:t>
            </w:r>
          </w:p>
        </w:tc>
        <w:tc>
          <w:tcPr>
            <w:tcW w:w="6603" w:type="dxa"/>
            <w:vAlign w:val="center"/>
          </w:tcPr>
          <w:p w14:paraId="792F5A1A">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整体式仪表台，应充分考虑满足配装车载监控、（倒车）监视器、GPS车载机等布置要求。 </w:t>
            </w:r>
            <w:r>
              <w:rPr>
                <w:rFonts w:hint="eastAsia" w:asciiTheme="minorEastAsia" w:hAnsiTheme="minorEastAsia" w:eastAsiaTheme="minorEastAsia" w:cstheme="minorEastAsia"/>
                <w:kern w:val="0"/>
                <w:sz w:val="21"/>
                <w:szCs w:val="21"/>
                <w:highlight w:val="none"/>
              </w:rPr>
              <w:t>为方便雨刷器等部件的检修与拆装，在仪表台设置专用检修门。</w:t>
            </w:r>
          </w:p>
        </w:tc>
        <w:tc>
          <w:tcPr>
            <w:tcW w:w="1070" w:type="dxa"/>
          </w:tcPr>
          <w:p w14:paraId="52A94FC9">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0013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229E477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仪表</w:t>
            </w:r>
          </w:p>
        </w:tc>
        <w:tc>
          <w:tcPr>
            <w:tcW w:w="6603" w:type="dxa"/>
            <w:vAlign w:val="center"/>
          </w:tcPr>
          <w:p w14:paraId="097D5763">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一体式，</w:t>
            </w:r>
            <w:r>
              <w:rPr>
                <w:rFonts w:hint="eastAsia" w:asciiTheme="minorEastAsia" w:hAnsiTheme="minorEastAsia" w:eastAsiaTheme="minorEastAsia" w:cstheme="minorEastAsia"/>
                <w:kern w:val="0"/>
                <w:sz w:val="21"/>
                <w:szCs w:val="21"/>
                <w:highlight w:val="none"/>
              </w:rPr>
              <w:t>在仪表显示面板上要有ABS和发动机故障“闪码”显示功能,各设一个“闪码”开关。配国标OBD诊断接口，</w:t>
            </w:r>
            <w:r>
              <w:rPr>
                <w:rFonts w:hint="eastAsia" w:asciiTheme="minorEastAsia" w:hAnsiTheme="minorEastAsia" w:eastAsiaTheme="minorEastAsia" w:cstheme="minorEastAsia"/>
                <w:sz w:val="21"/>
                <w:szCs w:val="21"/>
                <w:highlight w:val="none"/>
              </w:rPr>
              <w:t>要求阻燃性高。</w:t>
            </w:r>
          </w:p>
        </w:tc>
        <w:tc>
          <w:tcPr>
            <w:tcW w:w="1070" w:type="dxa"/>
          </w:tcPr>
          <w:p w14:paraId="0D0C96FA">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48FD3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0AD455E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▲后视镜</w:t>
            </w:r>
          </w:p>
        </w:tc>
        <w:tc>
          <w:tcPr>
            <w:tcW w:w="6603" w:type="dxa"/>
            <w:vAlign w:val="center"/>
          </w:tcPr>
          <w:p w14:paraId="2B39A42C">
            <w:pPr>
              <w:keepNext w:val="0"/>
              <w:keepLines w:val="0"/>
              <w:numPr>
                <w:ilvl w:val="0"/>
                <w:numId w:val="0"/>
              </w:numPr>
              <w:suppressLineNumbers w:val="0"/>
              <w:spacing w:before="0" w:beforeAutospacing="0" w:after="0" w:afterAutospacing="0" w:line="240" w:lineRule="auto"/>
              <w:ind w:left="0" w:leftChars="0" w:right="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1.豪华无盲区电动后视镜。车厢大视野内视镜。</w:t>
            </w:r>
          </w:p>
          <w:p w14:paraId="54A19AC6">
            <w:pPr>
              <w:keepNext w:val="0"/>
              <w:keepLines w:val="0"/>
              <w:numPr>
                <w:ilvl w:val="0"/>
                <w:numId w:val="0"/>
              </w:numPr>
              <w:suppressLineNumbers w:val="0"/>
              <w:spacing w:before="0" w:beforeAutospacing="0" w:after="0" w:afterAutospacing="0" w:line="240" w:lineRule="auto"/>
              <w:ind w:left="0" w:leftChars="0" w:right="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配带盲区检测电子后视镜，整车在左右两侧分别安装BSD盲区检测系统，左右2路BSD告警，整套系统采用全链路数字信号传输，融合电子后视镜功能，分别将告警信息以声、光、图像形式显示在对应侧电子后视镜上。</w:t>
            </w:r>
          </w:p>
          <w:p w14:paraId="3D4C5EA5">
            <w:pPr>
              <w:keepNext w:val="0"/>
              <w:keepLines w:val="0"/>
              <w:numPr>
                <w:ilvl w:val="0"/>
                <w:numId w:val="0"/>
              </w:numPr>
              <w:suppressLineNumbers w:val="0"/>
              <w:spacing w:before="0" w:beforeAutospacing="0" w:after="0" w:afterAutospacing="0" w:line="240" w:lineRule="auto"/>
              <w:ind w:left="0" w:leftChars="0" w:right="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3.可通过语义分割算法实现对马路牙子，公交站台，隔离带，隔离栅栏等边界进行识别划分出可行驶区域，并对可行驶区域外的行人进行告警过滤。</w:t>
            </w:r>
          </w:p>
          <w:p w14:paraId="782F0428">
            <w:pPr>
              <w:keepNext w:val="0"/>
              <w:keepLines w:val="0"/>
              <w:numPr>
                <w:ilvl w:val="0"/>
                <w:numId w:val="0"/>
              </w:numPr>
              <w:suppressLineNumbers w:val="0"/>
              <w:spacing w:before="0" w:beforeAutospacing="0" w:after="0" w:afterAutospacing="0" w:line="240" w:lineRule="auto"/>
              <w:ind w:left="0" w:leftChars="0" w:right="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4.系统可识别行人/自行车/摩托车/电单车/三轮车/手推车等，支持多种行人姿态检测，如撑伞/站立/蹲坐等，系统需具备夜视功能，检测距离不低于20m，告警检出率不低于98%。</w:t>
            </w:r>
          </w:p>
          <w:p w14:paraId="41644880">
            <w:pPr>
              <w:keepNext w:val="0"/>
              <w:keepLines w:val="0"/>
              <w:numPr>
                <w:ilvl w:val="0"/>
                <w:numId w:val="0"/>
              </w:numPr>
              <w:suppressLineNumbers w:val="0"/>
              <w:spacing w:before="0" w:beforeAutospacing="0" w:after="0" w:afterAutospacing="0" w:line="240" w:lineRule="auto"/>
              <w:ind w:left="0" w:leftChars="0" w:right="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5.系统采用2块高清IPS显示屏电子后视镜（液晶屏≥12.3寸）4颗数字高感光防水摄像头及2颗BSD盲区检测摄像头。</w:t>
            </w:r>
          </w:p>
          <w:p w14:paraId="060BDDCD">
            <w:pPr>
              <w:keepNext w:val="0"/>
              <w:keepLines w:val="0"/>
              <w:numPr>
                <w:ilvl w:val="0"/>
                <w:numId w:val="0"/>
              </w:numPr>
              <w:suppressLineNumbers w:val="0"/>
              <w:spacing w:before="0" w:beforeAutospacing="0" w:after="0" w:afterAutospacing="0" w:line="240" w:lineRule="auto"/>
              <w:ind w:left="0" w:leftChars="0" w:right="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6.盲区检测摄像头安装在车辆的尾部，离地1.8~2.5m，由后往前看，能够对车辆左右内轮差盲区，A柱盲区，后视镜盲区进行有效检测报警。</w:t>
            </w:r>
          </w:p>
          <w:p w14:paraId="147C82AD">
            <w:pPr>
              <w:keepNext w:val="0"/>
              <w:keepLines w:val="0"/>
              <w:numPr>
                <w:ilvl w:val="0"/>
                <w:numId w:val="0"/>
              </w:numPr>
              <w:suppressLineNumbers w:val="0"/>
              <w:spacing w:before="0" w:beforeAutospacing="0" w:after="0" w:afterAutospacing="0" w:line="240" w:lineRule="auto"/>
              <w:ind w:left="0" w:leftChars="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7.整套系统厂家需管理体系通过IATF16949认证，及产品EMC证书。质保八年（含易损、易耗件），出具质保承诺函。</w:t>
            </w:r>
          </w:p>
        </w:tc>
        <w:tc>
          <w:tcPr>
            <w:tcW w:w="1070" w:type="dxa"/>
          </w:tcPr>
          <w:p w14:paraId="4DFF673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3E18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58010CB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司机座椅</w:t>
            </w:r>
          </w:p>
        </w:tc>
        <w:tc>
          <w:tcPr>
            <w:tcW w:w="6603" w:type="dxa"/>
            <w:vAlign w:val="center"/>
          </w:tcPr>
          <w:p w14:paraId="03DC7706">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仿皮面料高靠背气囊减震可调座椅，三点式带报警功能安全带。</w:t>
            </w:r>
          </w:p>
        </w:tc>
        <w:tc>
          <w:tcPr>
            <w:tcW w:w="1070" w:type="dxa"/>
          </w:tcPr>
          <w:p w14:paraId="53F4A6F5">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609F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0745A77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司机窗</w:t>
            </w:r>
          </w:p>
        </w:tc>
        <w:tc>
          <w:tcPr>
            <w:tcW w:w="6603" w:type="dxa"/>
            <w:vAlign w:val="center"/>
          </w:tcPr>
          <w:p w14:paraId="215BC78C">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铝合金推拉车窗，司机窗下拉式遮阳帘。</w:t>
            </w:r>
          </w:p>
        </w:tc>
        <w:tc>
          <w:tcPr>
            <w:tcW w:w="1070" w:type="dxa"/>
          </w:tcPr>
          <w:p w14:paraId="3956A2AE">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1C4D8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32AC009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司机区</w:t>
            </w:r>
          </w:p>
        </w:tc>
        <w:tc>
          <w:tcPr>
            <w:tcW w:w="6603" w:type="dxa"/>
            <w:vAlign w:val="center"/>
          </w:tcPr>
          <w:p w14:paraId="480C4233">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必须安装司机全包围，驾驶员和前乘客门处分别安装软叶小</w:t>
            </w:r>
            <w:r>
              <w:rPr>
                <w:rFonts w:hint="eastAsia" w:asciiTheme="minorEastAsia" w:hAnsiTheme="minorEastAsia" w:eastAsiaTheme="minorEastAsia" w:cstheme="minorEastAsia"/>
                <w:kern w:val="0"/>
                <w:sz w:val="21"/>
                <w:szCs w:val="21"/>
                <w:highlight w:val="none"/>
              </w:rPr>
              <w:t>风扇，配USB充电接口。</w:t>
            </w:r>
            <w:r>
              <w:rPr>
                <w:rFonts w:hint="eastAsia" w:asciiTheme="minorEastAsia" w:hAnsiTheme="minorEastAsia" w:eastAsiaTheme="minorEastAsia" w:cstheme="minorEastAsia"/>
                <w:sz w:val="21"/>
                <w:szCs w:val="21"/>
                <w:highlight w:val="none"/>
              </w:rPr>
              <w:t>茶杯支架。水壶支架。</w:t>
            </w:r>
          </w:p>
        </w:tc>
        <w:tc>
          <w:tcPr>
            <w:tcW w:w="1070" w:type="dxa"/>
          </w:tcPr>
          <w:p w14:paraId="1DDD63B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2A89B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70E3F93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护栏</w:t>
            </w:r>
          </w:p>
        </w:tc>
        <w:tc>
          <w:tcPr>
            <w:tcW w:w="6603" w:type="dxa"/>
            <w:vAlign w:val="center"/>
          </w:tcPr>
          <w:p w14:paraId="0BBF3CF4">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软化护栏，配置导游可折叠靠背。</w:t>
            </w:r>
          </w:p>
        </w:tc>
        <w:tc>
          <w:tcPr>
            <w:tcW w:w="1070" w:type="dxa"/>
          </w:tcPr>
          <w:p w14:paraId="23D1A85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55E49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7945839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天窗</w:t>
            </w:r>
          </w:p>
        </w:tc>
        <w:tc>
          <w:tcPr>
            <w:tcW w:w="6603" w:type="dxa"/>
            <w:vAlign w:val="center"/>
          </w:tcPr>
          <w:p w14:paraId="068F7E96">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1个带电动换气扇顶风窗。</w:t>
            </w:r>
          </w:p>
        </w:tc>
        <w:tc>
          <w:tcPr>
            <w:tcW w:w="1070" w:type="dxa"/>
          </w:tcPr>
          <w:p w14:paraId="443F2856">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3C2D9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19F8786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车内照明</w:t>
            </w:r>
          </w:p>
        </w:tc>
        <w:tc>
          <w:tcPr>
            <w:tcW w:w="6603" w:type="dxa"/>
            <w:vAlign w:val="center"/>
          </w:tcPr>
          <w:p w14:paraId="05743068">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LED顶灯，前后分开控制。司机顶部工作灯。配乘客阅读灯。踏步灯及LED过道氛围灯带。</w:t>
            </w:r>
          </w:p>
        </w:tc>
        <w:tc>
          <w:tcPr>
            <w:tcW w:w="1070" w:type="dxa"/>
          </w:tcPr>
          <w:p w14:paraId="36DA0611">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5EF4F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87" w:type="dxa"/>
            <w:vAlign w:val="center"/>
          </w:tcPr>
          <w:p w14:paraId="49D02E9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雨刮</w:t>
            </w:r>
          </w:p>
        </w:tc>
        <w:tc>
          <w:tcPr>
            <w:tcW w:w="6603" w:type="dxa"/>
            <w:vAlign w:val="center"/>
          </w:tcPr>
          <w:p w14:paraId="160F0F17">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雨刷器括刷面积满足驾驶视野要求。</w:t>
            </w:r>
          </w:p>
        </w:tc>
        <w:tc>
          <w:tcPr>
            <w:tcW w:w="1070" w:type="dxa"/>
          </w:tcPr>
          <w:p w14:paraId="44D062A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1F600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6E93125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定速巡航</w:t>
            </w:r>
          </w:p>
        </w:tc>
        <w:tc>
          <w:tcPr>
            <w:tcW w:w="6603" w:type="dxa"/>
            <w:vAlign w:val="center"/>
          </w:tcPr>
          <w:p w14:paraId="64F2FE70">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配定速巡航功能</w:t>
            </w:r>
          </w:p>
        </w:tc>
        <w:tc>
          <w:tcPr>
            <w:tcW w:w="1070" w:type="dxa"/>
          </w:tcPr>
          <w:p w14:paraId="7ED5BE6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5BADA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360" w:type="dxa"/>
            <w:gridSpan w:val="3"/>
            <w:vAlign w:val="center"/>
          </w:tcPr>
          <w:p w14:paraId="57BB52D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空调系统</w:t>
            </w:r>
          </w:p>
        </w:tc>
      </w:tr>
      <w:tr w14:paraId="06EC0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4EB6696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空调</w:t>
            </w:r>
          </w:p>
        </w:tc>
        <w:tc>
          <w:tcPr>
            <w:tcW w:w="6603" w:type="dxa"/>
            <w:vAlign w:val="center"/>
          </w:tcPr>
          <w:p w14:paraId="070A445E">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顶置非独立空调；制冷量≥2</w:t>
            </w: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000大卡；空调机组安装牢固可靠，整机性能稳定，拆装清洁方便。前、后车厢及驾驶区各部位温度均匀一致。风道内增设导流板，确保冷风有效引入车厢。冷凝、蒸发风机采用进口无刷风机，</w:t>
            </w:r>
            <w:r>
              <w:rPr>
                <w:rFonts w:hint="eastAsia" w:asciiTheme="minorEastAsia" w:hAnsiTheme="minorEastAsia" w:eastAsiaTheme="minorEastAsia" w:cstheme="minorEastAsia"/>
                <w:b w:val="0"/>
                <w:bCs/>
                <w:sz w:val="21"/>
                <w:szCs w:val="21"/>
                <w:highlight w:val="none"/>
              </w:rPr>
              <w:t>进口或国产</w:t>
            </w:r>
            <w:r>
              <w:rPr>
                <w:rFonts w:hint="eastAsia" w:asciiTheme="minorEastAsia" w:hAnsiTheme="minorEastAsia" w:eastAsiaTheme="minorEastAsia" w:cstheme="minorEastAsia"/>
                <w:sz w:val="21"/>
                <w:szCs w:val="21"/>
                <w:highlight w:val="none"/>
              </w:rPr>
              <w:t>膨胀阀、干燥过滤器、电磁阀、视液镜、离合器；比泽尔压缩机；空调保险采用防松保险，空调管道采用铜质管，</w:t>
            </w:r>
            <w:r>
              <w:rPr>
                <w:rFonts w:hint="eastAsia" w:asciiTheme="minorEastAsia" w:hAnsiTheme="minorEastAsia" w:eastAsiaTheme="minorEastAsia" w:cstheme="minorEastAsia"/>
                <w:b w:val="0"/>
                <w:bCs/>
                <w:sz w:val="21"/>
                <w:szCs w:val="21"/>
                <w:highlight w:val="none"/>
              </w:rPr>
              <w:t>免费质保8年（含易损、易耗件</w:t>
            </w:r>
            <w:r>
              <w:rPr>
                <w:rFonts w:hint="eastAsia" w:asciiTheme="minorEastAsia" w:hAnsiTheme="minorEastAsia" w:eastAsiaTheme="minorEastAsia" w:cstheme="minorEastAsia"/>
                <w:b w:val="0"/>
                <w:bCs/>
                <w:kern w:val="0"/>
                <w:sz w:val="21"/>
                <w:szCs w:val="21"/>
                <w:highlight w:val="none"/>
              </w:rPr>
              <w:t>）</w:t>
            </w:r>
            <w:r>
              <w:rPr>
                <w:rFonts w:hint="eastAsia" w:asciiTheme="minorEastAsia" w:hAnsiTheme="minorEastAsia" w:eastAsiaTheme="minorEastAsia" w:cstheme="minorEastAsia"/>
                <w:b/>
                <w:sz w:val="21"/>
                <w:szCs w:val="21"/>
                <w:highlight w:val="none"/>
                <w:lang w:eastAsia="zh-CN"/>
              </w:rPr>
              <w:t>，</w:t>
            </w:r>
            <w:r>
              <w:rPr>
                <w:rFonts w:hint="eastAsia" w:asciiTheme="minorEastAsia" w:hAnsiTheme="minorEastAsia" w:eastAsiaTheme="minorEastAsia" w:cstheme="minorEastAsia"/>
                <w:kern w:val="0"/>
                <w:sz w:val="21"/>
                <w:szCs w:val="21"/>
                <w:highlight w:val="none"/>
              </w:rPr>
              <w:t>附</w:t>
            </w:r>
            <w:r>
              <w:rPr>
                <w:rFonts w:hint="eastAsia" w:asciiTheme="minorEastAsia" w:hAnsiTheme="minorEastAsia" w:eastAsiaTheme="minorEastAsia" w:cstheme="minorEastAsia"/>
                <w:kern w:val="0"/>
                <w:sz w:val="21"/>
                <w:szCs w:val="21"/>
                <w:highlight w:val="none"/>
                <w:lang w:val="en-US" w:eastAsia="zh-CN"/>
              </w:rPr>
              <w:t>质保</w:t>
            </w:r>
            <w:r>
              <w:rPr>
                <w:rFonts w:hint="eastAsia" w:asciiTheme="minorEastAsia" w:hAnsiTheme="minorEastAsia" w:eastAsiaTheme="minorEastAsia" w:cstheme="minorEastAsia"/>
                <w:kern w:val="0"/>
                <w:sz w:val="21"/>
                <w:szCs w:val="21"/>
                <w:highlight w:val="none"/>
              </w:rPr>
              <w:t>承诺书。</w:t>
            </w:r>
          </w:p>
        </w:tc>
        <w:tc>
          <w:tcPr>
            <w:tcW w:w="1070" w:type="dxa"/>
            <w:vAlign w:val="center"/>
          </w:tcPr>
          <w:p w14:paraId="4F76B54C">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3D01B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 w:hRule="atLeast"/>
        </w:trPr>
        <w:tc>
          <w:tcPr>
            <w:tcW w:w="1687" w:type="dxa"/>
            <w:vAlign w:val="center"/>
          </w:tcPr>
          <w:p w14:paraId="0638C20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水暖</w:t>
            </w:r>
          </w:p>
        </w:tc>
        <w:tc>
          <w:tcPr>
            <w:tcW w:w="6603" w:type="dxa"/>
            <w:vAlign w:val="center"/>
          </w:tcPr>
          <w:p w14:paraId="36C52A6C">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非独立强制水暖（带水泵），车厢</w:t>
            </w:r>
            <w:r>
              <w:rPr>
                <w:rFonts w:hint="eastAsia" w:asciiTheme="minorEastAsia" w:hAnsiTheme="minorEastAsia" w:eastAsiaTheme="minorEastAsia" w:cstheme="minorEastAsia"/>
                <w:sz w:val="21"/>
                <w:szCs w:val="21"/>
                <w:highlight w:val="none"/>
                <w:lang w:val="en-US" w:eastAsia="zh-CN"/>
              </w:rPr>
              <w:t>4</w:t>
            </w:r>
            <w:r>
              <w:rPr>
                <w:rFonts w:hint="eastAsia" w:asciiTheme="minorEastAsia" w:hAnsiTheme="minorEastAsia" w:eastAsiaTheme="minorEastAsia" w:cstheme="minorEastAsia"/>
                <w:sz w:val="21"/>
                <w:szCs w:val="21"/>
                <w:highlight w:val="none"/>
              </w:rPr>
              <w:t>只壁挂式暖风散热器并安装防踏保护罩，驾驶区设暖风口，前挡风玻璃除霜机，铜管路。</w:t>
            </w:r>
          </w:p>
        </w:tc>
        <w:tc>
          <w:tcPr>
            <w:tcW w:w="1070" w:type="dxa"/>
          </w:tcPr>
          <w:p w14:paraId="1047E4B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5E118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290" w:type="dxa"/>
            <w:gridSpan w:val="2"/>
            <w:vAlign w:val="center"/>
          </w:tcPr>
          <w:p w14:paraId="778543D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发动机仓</w:t>
            </w:r>
          </w:p>
        </w:tc>
        <w:tc>
          <w:tcPr>
            <w:tcW w:w="1070" w:type="dxa"/>
            <w:vAlign w:val="center"/>
          </w:tcPr>
          <w:p w14:paraId="6ABDBA3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sz w:val="21"/>
                <w:szCs w:val="21"/>
                <w:highlight w:val="none"/>
              </w:rPr>
            </w:pPr>
          </w:p>
        </w:tc>
      </w:tr>
      <w:tr w14:paraId="497E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12AB0F4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自动灭火装置</w:t>
            </w:r>
          </w:p>
        </w:tc>
        <w:tc>
          <w:tcPr>
            <w:tcW w:w="6603" w:type="dxa"/>
            <w:vAlign w:val="center"/>
          </w:tcPr>
          <w:p w14:paraId="37ED3824">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标配发动机仓温报警和灭火装置3只（有前手控开关）质保10年</w:t>
            </w:r>
            <w:r>
              <w:rPr>
                <w:rFonts w:hint="eastAsia" w:asciiTheme="minorEastAsia" w:hAnsiTheme="minorEastAsia" w:eastAsiaTheme="minorEastAsia" w:cstheme="minorEastAsia"/>
                <w:b w:val="0"/>
                <w:bCs w:val="0"/>
                <w:kern w:val="0"/>
                <w:sz w:val="21"/>
                <w:szCs w:val="21"/>
                <w:highlight w:val="none"/>
              </w:rPr>
              <w:t>出具质保承诺函</w:t>
            </w:r>
            <w:r>
              <w:rPr>
                <w:rFonts w:hint="eastAsia" w:asciiTheme="minorEastAsia" w:hAnsiTheme="minorEastAsia" w:eastAsiaTheme="minorEastAsia" w:cstheme="minorEastAsia"/>
                <w:b w:val="0"/>
                <w:bCs w:val="0"/>
                <w:sz w:val="21"/>
                <w:szCs w:val="21"/>
                <w:highlight w:val="none"/>
              </w:rPr>
              <w:t>。</w:t>
            </w:r>
            <w:r>
              <w:rPr>
                <w:rFonts w:hint="eastAsia" w:asciiTheme="minorEastAsia" w:hAnsiTheme="minorEastAsia" w:eastAsiaTheme="minorEastAsia" w:cstheme="minorEastAsia"/>
                <w:sz w:val="21"/>
                <w:szCs w:val="21"/>
                <w:highlight w:val="none"/>
              </w:rPr>
              <w:t>（产品过保质期由中标方负责免费更换）。</w:t>
            </w:r>
          </w:p>
        </w:tc>
        <w:tc>
          <w:tcPr>
            <w:tcW w:w="1070" w:type="dxa"/>
          </w:tcPr>
          <w:p w14:paraId="5B4EB3C1">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32340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360" w:type="dxa"/>
            <w:gridSpan w:val="3"/>
            <w:vAlign w:val="center"/>
          </w:tcPr>
          <w:p w14:paraId="7DD8430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其  它</w:t>
            </w:r>
          </w:p>
        </w:tc>
      </w:tr>
      <w:tr w14:paraId="123D2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55E05F0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三级</w:t>
            </w:r>
            <w:r>
              <w:rPr>
                <w:rFonts w:hint="eastAsia" w:asciiTheme="minorEastAsia" w:hAnsiTheme="minorEastAsia" w:eastAsiaTheme="minorEastAsia" w:cstheme="minorEastAsia"/>
                <w:sz w:val="21"/>
                <w:szCs w:val="21"/>
                <w:highlight w:val="none"/>
              </w:rPr>
              <w:t>CAN总线</w:t>
            </w:r>
          </w:p>
        </w:tc>
        <w:tc>
          <w:tcPr>
            <w:tcW w:w="6603" w:type="dxa"/>
            <w:vAlign w:val="center"/>
          </w:tcPr>
          <w:p w14:paraId="449BD6B0">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标配，配国标OBD诊断接口</w:t>
            </w:r>
          </w:p>
        </w:tc>
        <w:tc>
          <w:tcPr>
            <w:tcW w:w="1070" w:type="dxa"/>
          </w:tcPr>
          <w:p w14:paraId="5DFB8A15">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6F20B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7DE0C7D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行车记录仪</w:t>
            </w:r>
          </w:p>
        </w:tc>
        <w:tc>
          <w:tcPr>
            <w:tcW w:w="6603" w:type="dxa"/>
            <w:vAlign w:val="center"/>
          </w:tcPr>
          <w:p w14:paraId="535B793B">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标配（符合国家最新要求标准）</w:t>
            </w:r>
          </w:p>
        </w:tc>
        <w:tc>
          <w:tcPr>
            <w:tcW w:w="1070" w:type="dxa"/>
          </w:tcPr>
          <w:p w14:paraId="29017251">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1EC67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275CD9B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电/气喇叭</w:t>
            </w:r>
          </w:p>
        </w:tc>
        <w:tc>
          <w:tcPr>
            <w:tcW w:w="6603" w:type="dxa"/>
            <w:vAlign w:val="center"/>
          </w:tcPr>
          <w:p w14:paraId="6D858AE8">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配置</w:t>
            </w:r>
          </w:p>
        </w:tc>
        <w:tc>
          <w:tcPr>
            <w:tcW w:w="1070" w:type="dxa"/>
          </w:tcPr>
          <w:p w14:paraId="6C2CFFD4">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2EAE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7E6E787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视听音响系统</w:t>
            </w:r>
          </w:p>
        </w:tc>
        <w:tc>
          <w:tcPr>
            <w:tcW w:w="6603" w:type="dxa"/>
            <w:vAlign w:val="center"/>
          </w:tcPr>
          <w:p w14:paraId="35E33BBF">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前22寸高清液晶彩色显示器一只。高清硬盘播放器，豪华点歌台（点歌显示屏1</w:t>
            </w:r>
            <w:r>
              <w:rPr>
                <w:rFonts w:hint="eastAsia" w:asciiTheme="minorEastAsia" w:hAnsiTheme="minorEastAsia" w:eastAsiaTheme="minorEastAsia" w:cstheme="minorEastAsia"/>
                <w:kern w:val="0"/>
                <w:sz w:val="21"/>
                <w:szCs w:val="21"/>
                <w:highlight w:val="none"/>
                <w:lang w:val="en-US" w:eastAsia="zh-CN"/>
              </w:rPr>
              <w:t>5.6</w:t>
            </w:r>
            <w:r>
              <w:rPr>
                <w:rFonts w:hint="eastAsia" w:asciiTheme="minorEastAsia" w:hAnsiTheme="minorEastAsia" w:eastAsiaTheme="minorEastAsia" w:cstheme="minorEastAsia"/>
                <w:kern w:val="0"/>
                <w:sz w:val="21"/>
                <w:szCs w:val="21"/>
                <w:highlight w:val="none"/>
              </w:rPr>
              <w:t>寸</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3T硬盘10万首歌曲）及600W以上功放</w:t>
            </w:r>
            <w:r>
              <w:rPr>
                <w:rFonts w:hint="eastAsia" w:asciiTheme="minorEastAsia" w:hAnsiTheme="minorEastAsia" w:eastAsiaTheme="minorEastAsia" w:cstheme="minorEastAsia"/>
                <w:kern w:val="0"/>
                <w:sz w:val="21"/>
                <w:szCs w:val="21"/>
                <w:highlight w:val="none"/>
                <w:lang w:val="en-US" w:eastAsia="zh-CN"/>
              </w:rPr>
              <w:t>+进口品牌</w:t>
            </w:r>
            <w:r>
              <w:rPr>
                <w:rFonts w:hint="eastAsia" w:asciiTheme="minorEastAsia" w:hAnsiTheme="minorEastAsia" w:eastAsiaTheme="minorEastAsia" w:cstheme="minorEastAsia"/>
                <w:kern w:val="0"/>
                <w:sz w:val="21"/>
                <w:szCs w:val="21"/>
                <w:highlight w:val="none"/>
                <w:lang w:eastAsia="zh-CN"/>
              </w:rPr>
              <w:t>扬声器（喇叭</w:t>
            </w:r>
            <w:r>
              <w:rPr>
                <w:rFonts w:hint="eastAsia" w:asciiTheme="minorEastAsia" w:hAnsiTheme="minorEastAsia" w:eastAsiaTheme="minorEastAsia" w:cstheme="minorEastAsia"/>
                <w:kern w:val="0"/>
                <w:sz w:val="21"/>
                <w:szCs w:val="21"/>
                <w:highlight w:val="none"/>
              </w:rPr>
              <w:t>12只或以上</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，配二个无线麦克风（支持充电）。点歌台要求设计美观、</w:t>
            </w:r>
            <w:r>
              <w:rPr>
                <w:rFonts w:hint="eastAsia" w:asciiTheme="minorEastAsia" w:hAnsiTheme="minorEastAsia" w:eastAsiaTheme="minorEastAsia" w:cstheme="minorEastAsia"/>
                <w:kern w:val="0"/>
                <w:sz w:val="21"/>
                <w:szCs w:val="21"/>
                <w:highlight w:val="none"/>
                <w:lang w:eastAsia="zh-CN"/>
              </w:rPr>
              <w:t>安装</w:t>
            </w:r>
            <w:r>
              <w:rPr>
                <w:rFonts w:hint="eastAsia" w:asciiTheme="minorEastAsia" w:hAnsiTheme="minorEastAsia" w:eastAsiaTheme="minorEastAsia" w:cstheme="minorEastAsia"/>
                <w:kern w:val="0"/>
                <w:sz w:val="21"/>
                <w:szCs w:val="21"/>
                <w:highlight w:val="none"/>
              </w:rPr>
              <w:t>牢固</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中标后要求跟招标人对接确认。</w:t>
            </w:r>
            <w:r>
              <w:rPr>
                <w:rFonts w:hint="eastAsia" w:asciiTheme="minorEastAsia" w:hAnsiTheme="minorEastAsia" w:eastAsiaTheme="minorEastAsia" w:cstheme="minorEastAsia"/>
                <w:sz w:val="21"/>
                <w:szCs w:val="21"/>
                <w:highlight w:val="none"/>
                <w:lang w:val="en-US" w:eastAsia="zh-CN"/>
              </w:rPr>
              <w:t>整套系统厂家需管理体系通过IATF16949认证。</w:t>
            </w:r>
            <w:r>
              <w:rPr>
                <w:rFonts w:hint="eastAsia" w:asciiTheme="minorEastAsia" w:hAnsiTheme="minorEastAsia" w:eastAsiaTheme="minorEastAsia" w:cstheme="minorEastAsia"/>
                <w:kern w:val="0"/>
                <w:sz w:val="21"/>
                <w:szCs w:val="21"/>
                <w:highlight w:val="none"/>
              </w:rPr>
              <w:t>整套设备要求质保5年，附质保承诺书。</w:t>
            </w:r>
          </w:p>
        </w:tc>
        <w:tc>
          <w:tcPr>
            <w:tcW w:w="1070" w:type="dxa"/>
          </w:tcPr>
          <w:p w14:paraId="3802672E">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3F7E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59A5E92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车载智能设备</w:t>
            </w:r>
          </w:p>
        </w:tc>
        <w:tc>
          <w:tcPr>
            <w:tcW w:w="6603" w:type="dxa"/>
            <w:vAlign w:val="center"/>
          </w:tcPr>
          <w:p w14:paraId="7AC06461">
            <w:pPr>
              <w:keepNext w:val="0"/>
              <w:keepLines w:val="0"/>
              <w:suppressLineNumbers w:val="0"/>
              <w:tabs>
                <w:tab w:val="left" w:pos="312"/>
              </w:tabs>
              <w:adjustRightInd w:val="0"/>
              <w:snapToGrid w:val="0"/>
              <w:spacing w:before="0" w:beforeAutospacing="0" w:after="0" w:afterAutospacing="0" w:line="240" w:lineRule="auto"/>
              <w:ind w:left="0" w:right="0"/>
              <w:rPr>
                <w:rFonts w:hint="eastAsia"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rPr>
              <w:t>1.每车配置6台摄像机，其中车内摄像机3台，倒车监控摄像机1台，主动安全ADAS、DMS两路。</w:t>
            </w:r>
          </w:p>
          <w:p w14:paraId="101591C7">
            <w:pPr>
              <w:keepNext w:val="0"/>
              <w:keepLines w:val="0"/>
              <w:suppressLineNumbers w:val="0"/>
              <w:tabs>
                <w:tab w:val="left" w:pos="312"/>
              </w:tabs>
              <w:adjustRightInd w:val="0"/>
              <w:snapToGrid w:val="0"/>
              <w:spacing w:before="0" w:beforeAutospacing="0" w:after="0" w:afterAutospacing="0" w:line="240" w:lineRule="auto"/>
              <w:ind w:left="0" w:right="0"/>
              <w:rPr>
                <w:rFonts w:hint="eastAsia"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rPr>
              <w:t>2.车载监控主机支持至少6路720P模拟高清、1路IPC接入；4G通讯，北斗/GPS双模，含RS232、RS485、USB等接口；内置喇叭、刷卡器、内置喇叭支持85dB@10cm最大音量；1TB硬盘。</w:t>
            </w:r>
          </w:p>
          <w:p w14:paraId="3DF62197">
            <w:pPr>
              <w:keepNext w:val="0"/>
              <w:keepLines w:val="0"/>
              <w:suppressLineNumbers w:val="0"/>
              <w:tabs>
                <w:tab w:val="left" w:pos="312"/>
              </w:tabs>
              <w:adjustRightInd w:val="0"/>
              <w:snapToGrid w:val="0"/>
              <w:spacing w:before="0" w:beforeAutospacing="0" w:after="0" w:afterAutospacing="0" w:line="240" w:lineRule="auto"/>
              <w:ind w:left="0" w:right="0"/>
              <w:rPr>
                <w:rFonts w:hint="eastAsia"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rPr>
              <w:t>3.ADAS摄像机：分辨率≥1920×1080P，视频输出 AHD同轴高清标准，4pin航空线。</w:t>
            </w:r>
          </w:p>
          <w:p w14:paraId="5020AE8F">
            <w:pPr>
              <w:keepNext w:val="0"/>
              <w:keepLines w:val="0"/>
              <w:suppressLineNumbers w:val="0"/>
              <w:tabs>
                <w:tab w:val="left" w:pos="312"/>
              </w:tabs>
              <w:adjustRightInd w:val="0"/>
              <w:snapToGrid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rPr>
              <w:t>4.DSM摄像机：分辨率≥1280×720P，</w:t>
            </w:r>
            <w:r>
              <w:rPr>
                <w:rFonts w:hint="eastAsia" w:asciiTheme="minorEastAsia" w:hAnsiTheme="minorEastAsia" w:eastAsiaTheme="minorEastAsia" w:cstheme="minorEastAsia"/>
                <w:sz w:val="21"/>
                <w:szCs w:val="21"/>
                <w:highlight w:val="none"/>
                <w:lang w:val="en-US" w:eastAsia="zh-CN"/>
              </w:rPr>
              <w:t>带主动防御系统，算法需达到Safe GPT或优于；</w:t>
            </w:r>
          </w:p>
          <w:p w14:paraId="19DE4A43">
            <w:pPr>
              <w:keepNext w:val="0"/>
              <w:keepLines w:val="0"/>
              <w:suppressLineNumbers w:val="0"/>
              <w:tabs>
                <w:tab w:val="left" w:pos="312"/>
              </w:tabs>
              <w:adjustRightInd w:val="0"/>
              <w:snapToGrid w:val="0"/>
              <w:spacing w:before="0" w:beforeAutospacing="0" w:after="0" w:afterAutospacing="0" w:line="240" w:lineRule="auto"/>
              <w:ind w:left="0" w:right="0"/>
              <w:rPr>
                <w:rFonts w:hint="eastAsia"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color w:val="000000"/>
                <w:kern w:val="0"/>
                <w:sz w:val="21"/>
                <w:szCs w:val="21"/>
                <w:highlight w:val="none"/>
                <w:lang w:val="en-US" w:eastAsia="zh-CN"/>
              </w:rPr>
              <w:t>硬件质保8年</w:t>
            </w:r>
            <w:r>
              <w:rPr>
                <w:rFonts w:hint="eastAsia" w:asciiTheme="minorEastAsia" w:hAnsiTheme="minorEastAsia" w:eastAsiaTheme="minorEastAsia" w:cstheme="minorEastAsia"/>
                <w:sz w:val="21"/>
                <w:szCs w:val="21"/>
                <w:highlight w:val="none"/>
                <w:lang w:val="en-US" w:eastAsia="zh-CN"/>
              </w:rPr>
              <w:t>（含易损，易耗件）出具厂家质保承诺函。</w:t>
            </w:r>
          </w:p>
          <w:p w14:paraId="6C79F7E6">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rPr>
              <w:t>6.</w:t>
            </w:r>
            <w:r>
              <w:rPr>
                <w:rFonts w:hint="eastAsia" w:asciiTheme="minorEastAsia" w:hAnsiTheme="minorEastAsia" w:eastAsiaTheme="minorEastAsia" w:cstheme="minorEastAsia"/>
                <w:b/>
                <w:bCs/>
                <w:color w:val="000000"/>
                <w:kern w:val="0"/>
                <w:sz w:val="21"/>
                <w:szCs w:val="21"/>
                <w:highlight w:val="none"/>
                <w:lang w:val="en-US" w:eastAsia="zh-CN"/>
              </w:rPr>
              <w:t>车载智能设备需与招标方现有的系统和平台（新安护航）兼容对接，</w:t>
            </w:r>
            <w:r>
              <w:rPr>
                <w:rFonts w:hint="eastAsia" w:asciiTheme="minorEastAsia" w:hAnsiTheme="minorEastAsia" w:eastAsiaTheme="minorEastAsia" w:cstheme="minorEastAsia"/>
                <w:b/>
                <w:bCs/>
                <w:sz w:val="21"/>
                <w:szCs w:val="21"/>
                <w:highlight w:val="none"/>
              </w:rPr>
              <w:t>若不兼容由中标单位承担一切费用。</w:t>
            </w:r>
          </w:p>
        </w:tc>
        <w:tc>
          <w:tcPr>
            <w:tcW w:w="1070" w:type="dxa"/>
          </w:tcPr>
          <w:p w14:paraId="78BECC66">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5EA7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1E9A375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lang w:val="en-US" w:eastAsia="zh-CN"/>
              </w:rPr>
              <w:t>360全景</w:t>
            </w:r>
          </w:p>
        </w:tc>
        <w:tc>
          <w:tcPr>
            <w:tcW w:w="6603" w:type="dxa"/>
            <w:vAlign w:val="center"/>
          </w:tcPr>
          <w:p w14:paraId="7176FA80">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360全景环视主机不低于4路输入，至少具备2路视频输出接口，工作电压满足</w:t>
            </w:r>
            <w:r>
              <w:rPr>
                <w:rFonts w:hint="eastAsia" w:asciiTheme="minorEastAsia" w:hAnsiTheme="minorEastAsia" w:eastAsiaTheme="minorEastAsia" w:cstheme="minorEastAsia"/>
                <w:sz w:val="21"/>
                <w:szCs w:val="21"/>
                <w:highlight w:val="none"/>
              </w:rPr>
              <w:t>-30℃~85℃</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硬线信号具备左右转向和倒车信号接口，在收到信号是可实时不同场景的3D画面，具备CAN通讯功能。360画面显示到仪表台7寸显示屏上，360环视免费质保8年（含易损、易耗件），出具质保承诺函。整套系统厂家需管理体系通过IATF16949认证及产品EMC证书。</w:t>
            </w:r>
          </w:p>
        </w:tc>
        <w:tc>
          <w:tcPr>
            <w:tcW w:w="1070" w:type="dxa"/>
          </w:tcPr>
          <w:p w14:paraId="26DAF00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302F7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1A211C1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驾驶员预警系统</w:t>
            </w:r>
          </w:p>
        </w:tc>
        <w:tc>
          <w:tcPr>
            <w:tcW w:w="6603" w:type="dxa"/>
            <w:vAlign w:val="center"/>
          </w:tcPr>
          <w:p w14:paraId="754813EE">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国产车道偏离及偏离预警系统（探头可监测）</w:t>
            </w:r>
          </w:p>
        </w:tc>
        <w:tc>
          <w:tcPr>
            <w:tcW w:w="1070" w:type="dxa"/>
          </w:tcPr>
          <w:p w14:paraId="395ACF6E">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3BB0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560B6AB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标识</w:t>
            </w:r>
          </w:p>
        </w:tc>
        <w:tc>
          <w:tcPr>
            <w:tcW w:w="6603" w:type="dxa"/>
            <w:vAlign w:val="center"/>
          </w:tcPr>
          <w:p w14:paraId="1B10CA33">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乘客门、安全窗等标识，监督电话“12328”，企业名称：建德市公共交通运输有限公司</w:t>
            </w:r>
            <w:r>
              <w:rPr>
                <w:rFonts w:hint="eastAsia" w:asciiTheme="minorEastAsia" w:hAnsiTheme="minorEastAsia" w:eastAsiaTheme="minorEastAsia" w:cstheme="minorEastAsia"/>
                <w:sz w:val="21"/>
                <w:szCs w:val="21"/>
                <w:highlight w:val="none"/>
              </w:rPr>
              <w:t>。</w:t>
            </w:r>
          </w:p>
          <w:p w14:paraId="7D9B8C0C">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eastAsia="zh-CN"/>
              </w:rPr>
              <w:t>车身张贴或喷涂企业</w:t>
            </w:r>
            <w:r>
              <w:rPr>
                <w:rFonts w:hint="eastAsia" w:asciiTheme="minorEastAsia" w:hAnsiTheme="minorEastAsia" w:eastAsiaTheme="minorEastAsia" w:cstheme="minorEastAsia"/>
                <w:sz w:val="21"/>
                <w:szCs w:val="21"/>
                <w:highlight w:val="none"/>
                <w:lang w:val="en-US" w:eastAsia="zh-CN"/>
              </w:rPr>
              <w:t>LOGO+</w:t>
            </w:r>
            <w:r>
              <w:rPr>
                <w:rFonts w:hint="eastAsia" w:asciiTheme="minorEastAsia" w:hAnsiTheme="minorEastAsia" w:eastAsiaTheme="minorEastAsia" w:cstheme="minorEastAsia"/>
                <w:sz w:val="21"/>
                <w:szCs w:val="21"/>
                <w:highlight w:val="none"/>
                <w:lang w:eastAsia="zh-CN"/>
              </w:rPr>
              <w:t>“建德公交”字样，具体由招标人确定。</w:t>
            </w:r>
          </w:p>
        </w:tc>
        <w:tc>
          <w:tcPr>
            <w:tcW w:w="1070" w:type="dxa"/>
          </w:tcPr>
          <w:p w14:paraId="36C35918">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1822F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354A0AC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灭火器</w:t>
            </w:r>
          </w:p>
        </w:tc>
        <w:tc>
          <w:tcPr>
            <w:tcW w:w="6603" w:type="dxa"/>
            <w:vAlign w:val="center"/>
          </w:tcPr>
          <w:p w14:paraId="081EA69D">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4kg灭火器2只。</w:t>
            </w:r>
          </w:p>
        </w:tc>
        <w:tc>
          <w:tcPr>
            <w:tcW w:w="1070" w:type="dxa"/>
          </w:tcPr>
          <w:p w14:paraId="5E6EC01A">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7ACB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0292898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自动破窗装置</w:t>
            </w:r>
          </w:p>
        </w:tc>
        <w:tc>
          <w:tcPr>
            <w:tcW w:w="6603" w:type="dxa"/>
            <w:vAlign w:val="center"/>
          </w:tcPr>
          <w:p w14:paraId="0E0AD7EB">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安装符合国标要求的手自一体、一拖四自动破窗器（要求质保8年，附质保承诺书）。</w:t>
            </w:r>
          </w:p>
          <w:p w14:paraId="68179F36">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生产企业需通过IATF16949:2016汽车质量管理体系认证，具备国家客车质量监督检验中心《客车自动破窗装置》的检验报告，装置符合国家交通运输部行业JT/T1030-2016《客车电磁击窗器标准》。</w:t>
            </w:r>
          </w:p>
          <w:p w14:paraId="6495ED11">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破窗装置需采用电动机作为动能破窗，具备手自一体破窗，并有手动破窗防误触碰报警功能。</w:t>
            </w:r>
          </w:p>
          <w:p w14:paraId="2FD594B8">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破窗装置采用翻盖防误触碰报警，单个破窗装置破窗工作时的电流应不大于1安倍；破窗装置重要功能应符合国家交通运输行业《城市公共汽电车辆专用安全设施技术要求JT/T1391-2021》中相关标准。</w:t>
            </w:r>
          </w:p>
          <w:p w14:paraId="176CE9B0">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破窗装置采用的控制开关应同时具备自动检测故障和防误触碰报警保护功能；应具备24小时全程（主动）自动检测故障报警提示功能，且同时具有单个及多个破窗器线路故障提示功能，便于及时发现故障及时检修。</w:t>
            </w:r>
          </w:p>
        </w:tc>
        <w:tc>
          <w:tcPr>
            <w:tcW w:w="1070" w:type="dxa"/>
          </w:tcPr>
          <w:p w14:paraId="245330A3">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11086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3FB77C5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安全锤</w:t>
            </w:r>
          </w:p>
        </w:tc>
        <w:tc>
          <w:tcPr>
            <w:tcW w:w="6603" w:type="dxa"/>
            <w:vAlign w:val="center"/>
          </w:tcPr>
          <w:p w14:paraId="258B753C">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配</w:t>
            </w:r>
            <w:r>
              <w:rPr>
                <w:rFonts w:hint="eastAsia" w:asciiTheme="minorEastAsia" w:hAnsiTheme="minorEastAsia" w:eastAsiaTheme="minorEastAsia" w:cstheme="minorEastAsia"/>
                <w:b/>
                <w:sz w:val="21"/>
                <w:szCs w:val="21"/>
                <w:highlight w:val="none"/>
                <w:lang w:val="en-US" w:eastAsia="zh-CN"/>
              </w:rPr>
              <w:t>6</w:t>
            </w:r>
            <w:r>
              <w:rPr>
                <w:rFonts w:hint="eastAsia" w:asciiTheme="minorEastAsia" w:hAnsiTheme="minorEastAsia" w:eastAsiaTheme="minorEastAsia" w:cstheme="minorEastAsia"/>
                <w:sz w:val="21"/>
                <w:szCs w:val="21"/>
                <w:highlight w:val="none"/>
              </w:rPr>
              <w:t>只（带防盗自动报警型）安全锤，其中司机旁安装</w:t>
            </w:r>
            <w:r>
              <w:rPr>
                <w:rFonts w:hint="eastAsia" w:asciiTheme="minorEastAsia" w:hAnsiTheme="minorEastAsia" w:eastAsiaTheme="minorEastAsia" w:cstheme="minorEastAsia"/>
                <w:b/>
                <w:sz w:val="21"/>
                <w:szCs w:val="21"/>
                <w:highlight w:val="none"/>
              </w:rPr>
              <w:t>1</w:t>
            </w:r>
            <w:r>
              <w:rPr>
                <w:rFonts w:hint="eastAsia" w:asciiTheme="minorEastAsia" w:hAnsiTheme="minorEastAsia" w:eastAsiaTheme="minorEastAsia" w:cstheme="minorEastAsia"/>
                <w:sz w:val="21"/>
                <w:szCs w:val="21"/>
                <w:highlight w:val="none"/>
              </w:rPr>
              <w:t>只，符合GB7258-2017《机动车运行安全技术条件》要求</w:t>
            </w:r>
          </w:p>
        </w:tc>
        <w:tc>
          <w:tcPr>
            <w:tcW w:w="1070" w:type="dxa"/>
          </w:tcPr>
          <w:p w14:paraId="1A096298">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681C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05D842A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工具箱</w:t>
            </w:r>
          </w:p>
        </w:tc>
        <w:tc>
          <w:tcPr>
            <w:tcW w:w="6603" w:type="dxa"/>
            <w:vAlign w:val="center"/>
          </w:tcPr>
          <w:p w14:paraId="1485983F">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2"/>
                <w:sz w:val="21"/>
                <w:szCs w:val="21"/>
                <w:highlight w:val="none"/>
                <w:lang w:val="en-US" w:eastAsia="zh-CN" w:bidi="ar-SA"/>
              </w:rPr>
            </w:pPr>
            <w:r>
              <w:rPr>
                <w:rFonts w:hint="eastAsia"/>
                <w:color w:val="auto"/>
                <w:sz w:val="21"/>
                <w:szCs w:val="21"/>
                <w:highlight w:val="none"/>
              </w:rPr>
              <w:t>车厢内安装一个固定工具箱，工具箱式样及安装位置与招标单位对接后确认</w:t>
            </w:r>
            <w:r>
              <w:rPr>
                <w:rFonts w:hint="eastAsia"/>
                <w:color w:val="auto"/>
                <w:sz w:val="21"/>
                <w:szCs w:val="21"/>
                <w:highlight w:val="none"/>
                <w:lang w:eastAsia="zh-CN"/>
              </w:rPr>
              <w:t>。</w:t>
            </w:r>
          </w:p>
        </w:tc>
        <w:tc>
          <w:tcPr>
            <w:tcW w:w="1070" w:type="dxa"/>
          </w:tcPr>
          <w:p w14:paraId="001FB108">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7F029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5D6B335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随车工具</w:t>
            </w:r>
          </w:p>
        </w:tc>
        <w:tc>
          <w:tcPr>
            <w:tcW w:w="6603" w:type="dxa"/>
            <w:vAlign w:val="center"/>
          </w:tcPr>
          <w:p w14:paraId="4E72CF3B">
            <w:pPr>
              <w:keepNext w:val="0"/>
              <w:keepLines w:val="0"/>
              <w:suppressLineNumbers w:val="0"/>
              <w:spacing w:before="0" w:beforeAutospacing="0" w:after="0" w:afterAutospacing="0" w:line="240" w:lineRule="auto"/>
              <w:ind w:left="0" w:right="0"/>
              <w:jc w:val="left"/>
              <w:rPr>
                <w:rFonts w:hint="eastAsia" w:eastAsia="宋体" w:asciiTheme="minorEastAsia" w:hAnsiTheme="minorEastAsia" w:cstheme="minorEastAsia"/>
                <w:kern w:val="2"/>
                <w:sz w:val="21"/>
                <w:szCs w:val="21"/>
                <w:highlight w:val="none"/>
                <w:lang w:val="en-US" w:eastAsia="zh-CN" w:bidi="ar-SA"/>
              </w:rPr>
            </w:pPr>
            <w:r>
              <w:rPr>
                <w:rFonts w:hint="eastAsia"/>
                <w:color w:val="auto"/>
                <w:sz w:val="21"/>
                <w:szCs w:val="21"/>
                <w:highlight w:val="none"/>
              </w:rPr>
              <w:t>提供</w:t>
            </w:r>
            <w:r>
              <w:rPr>
                <w:rFonts w:hint="default"/>
                <w:color w:val="auto"/>
                <w:sz w:val="21"/>
                <w:szCs w:val="21"/>
                <w:highlight w:val="none"/>
              </w:rPr>
              <w:t>1</w:t>
            </w:r>
            <w:r>
              <w:rPr>
                <w:rFonts w:hint="eastAsia"/>
                <w:color w:val="auto"/>
                <w:sz w:val="21"/>
                <w:szCs w:val="21"/>
                <w:highlight w:val="none"/>
              </w:rPr>
              <w:t>车</w:t>
            </w:r>
            <w:r>
              <w:rPr>
                <w:rFonts w:hint="default"/>
                <w:color w:val="auto"/>
                <w:sz w:val="21"/>
                <w:szCs w:val="21"/>
                <w:highlight w:val="none"/>
              </w:rPr>
              <w:t>1</w:t>
            </w:r>
            <w:r>
              <w:rPr>
                <w:rFonts w:hint="eastAsia"/>
                <w:color w:val="auto"/>
                <w:sz w:val="21"/>
                <w:szCs w:val="21"/>
                <w:highlight w:val="none"/>
              </w:rPr>
              <w:t>套随车工具及专用工具</w:t>
            </w:r>
            <w:r>
              <w:rPr>
                <w:rFonts w:hint="eastAsia"/>
                <w:color w:val="auto"/>
                <w:sz w:val="21"/>
                <w:szCs w:val="21"/>
                <w:highlight w:val="none"/>
                <w:lang w:eastAsia="zh-CN"/>
              </w:rPr>
              <w:t>。</w:t>
            </w:r>
          </w:p>
        </w:tc>
        <w:tc>
          <w:tcPr>
            <w:tcW w:w="1070" w:type="dxa"/>
          </w:tcPr>
          <w:p w14:paraId="4C087068">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4FCCA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0F6C7DD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垃圾篓支架</w:t>
            </w:r>
          </w:p>
        </w:tc>
        <w:tc>
          <w:tcPr>
            <w:tcW w:w="6603" w:type="dxa"/>
            <w:vAlign w:val="center"/>
          </w:tcPr>
          <w:p w14:paraId="1FF996AC">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配备2只小垃圾桶，（设“易腐”和“其他”标识）</w:t>
            </w:r>
          </w:p>
        </w:tc>
        <w:tc>
          <w:tcPr>
            <w:tcW w:w="1070" w:type="dxa"/>
          </w:tcPr>
          <w:p w14:paraId="57AC909F">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28722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648997B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电子钟</w:t>
            </w:r>
          </w:p>
        </w:tc>
        <w:tc>
          <w:tcPr>
            <w:tcW w:w="6603" w:type="dxa"/>
            <w:vAlign w:val="center"/>
          </w:tcPr>
          <w:p w14:paraId="4379373C">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时间温度一体显示电子钟</w:t>
            </w:r>
          </w:p>
        </w:tc>
        <w:tc>
          <w:tcPr>
            <w:tcW w:w="1070" w:type="dxa"/>
          </w:tcPr>
          <w:p w14:paraId="587EF8DF">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24E68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4A226A7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警告牌</w:t>
            </w:r>
          </w:p>
        </w:tc>
        <w:tc>
          <w:tcPr>
            <w:tcW w:w="6603" w:type="dxa"/>
            <w:vAlign w:val="center"/>
          </w:tcPr>
          <w:p w14:paraId="10A74D9E">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有</w:t>
            </w:r>
          </w:p>
        </w:tc>
        <w:tc>
          <w:tcPr>
            <w:tcW w:w="1070" w:type="dxa"/>
          </w:tcPr>
          <w:p w14:paraId="6D3FD916">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166BE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687" w:type="dxa"/>
            <w:vAlign w:val="center"/>
          </w:tcPr>
          <w:p w14:paraId="2114D60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线束</w:t>
            </w:r>
          </w:p>
        </w:tc>
        <w:tc>
          <w:tcPr>
            <w:tcW w:w="6603" w:type="dxa"/>
            <w:vAlign w:val="center"/>
          </w:tcPr>
          <w:p w14:paraId="7388803E">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整车（镀锡）电线束、油气水管路排列整齐，固定牢固，与高温、旋转部件保持安全距离或作重点防护，外覆阻燃材料，穿越洞孔时加装可靠的绝缘防磨损护套。保险盒区预留二个电源接口备用。</w:t>
            </w:r>
          </w:p>
        </w:tc>
        <w:tc>
          <w:tcPr>
            <w:tcW w:w="1070" w:type="dxa"/>
          </w:tcPr>
          <w:p w14:paraId="5A9D7F12">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359F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687" w:type="dxa"/>
            <w:vAlign w:val="center"/>
          </w:tcPr>
          <w:p w14:paraId="2DC8052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备注</w:t>
            </w:r>
          </w:p>
        </w:tc>
        <w:tc>
          <w:tcPr>
            <w:tcW w:w="6603" w:type="dxa"/>
            <w:vAlign w:val="center"/>
          </w:tcPr>
          <w:p w14:paraId="40F3AF76">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rPr>
              <w:t>本车型必须符合2018年4月1日实施的JT/T1094-2016营运客车安全技术条件要求。</w:t>
            </w:r>
            <w:r>
              <w:rPr>
                <w:rFonts w:hint="eastAsia" w:asciiTheme="minorEastAsia" w:hAnsiTheme="minorEastAsia" w:eastAsiaTheme="minorEastAsia" w:cstheme="minorEastAsia"/>
                <w:sz w:val="21"/>
                <w:szCs w:val="21"/>
                <w:highlight w:val="none"/>
              </w:rPr>
              <w:t>其他未及内容，按厂家提供的上国家公告目录的技术参数和国家规定的标准配置。</w:t>
            </w:r>
          </w:p>
        </w:tc>
        <w:tc>
          <w:tcPr>
            <w:tcW w:w="1070" w:type="dxa"/>
          </w:tcPr>
          <w:p w14:paraId="62F66592">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7BD2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87" w:type="dxa"/>
            <w:vAlign w:val="center"/>
          </w:tcPr>
          <w:p w14:paraId="3468AF1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发动机远程排放系统</w:t>
            </w:r>
          </w:p>
        </w:tc>
        <w:tc>
          <w:tcPr>
            <w:tcW w:w="6603" w:type="dxa"/>
            <w:vAlign w:val="center"/>
          </w:tcPr>
          <w:p w14:paraId="2BC6F349">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OBD</w:t>
            </w:r>
            <w:r>
              <w:rPr>
                <w:rFonts w:hint="eastAsia" w:asciiTheme="minorEastAsia" w:hAnsiTheme="minorEastAsia" w:eastAsiaTheme="minorEastAsia" w:cstheme="minorEastAsia"/>
                <w:sz w:val="21"/>
                <w:szCs w:val="21"/>
                <w:highlight w:val="none"/>
              </w:rPr>
              <w:t>发动机远程排放系统</w:t>
            </w:r>
          </w:p>
        </w:tc>
        <w:tc>
          <w:tcPr>
            <w:tcW w:w="1070" w:type="dxa"/>
          </w:tcPr>
          <w:p w14:paraId="651098C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bl>
    <w:p w14:paraId="188A9332">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auto"/>
          <w:sz w:val="21"/>
          <w:szCs w:val="21"/>
          <w:highlight w:val="none"/>
        </w:rPr>
        <w:t>说明：中标车辆必须符合杭州地区车辆上牌要求，由中标厂家完成车辆上牌工作，其正常检测上牌费用凭发票由招标单位支付；招标单位负责联系车管人员上门服务工作，相关费用由中标厂家支付。</w:t>
      </w:r>
    </w:p>
    <w:p w14:paraId="5F10A087">
      <w:pPr>
        <w:pStyle w:val="2"/>
        <w:numPr>
          <w:ilvl w:val="1"/>
          <w:numId w:val="0"/>
        </w:numPr>
        <w:tabs>
          <w:tab w:val="left" w:pos="360"/>
          <w:tab w:val="clear" w:pos="432"/>
        </w:tabs>
        <w:ind w:leftChars="0"/>
        <w:rPr>
          <w:rFonts w:hint="eastAsia"/>
          <w:highlight w:val="none"/>
        </w:rPr>
      </w:pPr>
    </w:p>
    <w:p w14:paraId="39C8A4EE">
      <w:pPr>
        <w:pStyle w:val="82"/>
        <w:spacing w:before="120" w:line="240" w:lineRule="auto"/>
        <w:ind w:firstLine="0"/>
        <w:rPr>
          <w:rFonts w:hint="eastAsia" w:asciiTheme="minorEastAsia" w:hAnsiTheme="minorEastAsia" w:eastAsiaTheme="minorEastAsia" w:cstheme="minorEastAsia"/>
          <w:b/>
          <w:bCs/>
          <w:sz w:val="21"/>
          <w:szCs w:val="21"/>
          <w:highlight w:val="none"/>
        </w:rPr>
      </w:pPr>
    </w:p>
    <w:p w14:paraId="4E4CCE8F">
      <w:pPr>
        <w:pStyle w:val="141"/>
        <w:spacing w:line="240" w:lineRule="auto"/>
        <w:rPr>
          <w:rFonts w:hint="eastAsia" w:asciiTheme="minorEastAsia" w:hAnsiTheme="minorEastAsia" w:eastAsiaTheme="minorEastAsia" w:cstheme="minorEastAsia"/>
          <w:b/>
          <w:bCs/>
          <w:kern w:val="2"/>
          <w:sz w:val="21"/>
          <w:szCs w:val="21"/>
          <w:highlight w:val="none"/>
        </w:rPr>
      </w:pPr>
      <w:r>
        <w:rPr>
          <w:rFonts w:hint="eastAsia" w:asciiTheme="minorEastAsia" w:hAnsiTheme="minorEastAsia" w:eastAsiaTheme="minorEastAsia" w:cstheme="minorEastAsia"/>
          <w:b/>
          <w:bCs/>
          <w:kern w:val="2"/>
          <w:sz w:val="21"/>
          <w:szCs w:val="21"/>
          <w:highlight w:val="none"/>
          <w:lang w:val="en-US" w:eastAsia="zh-CN"/>
        </w:rPr>
        <w:t>2</w:t>
      </w:r>
      <w:r>
        <w:rPr>
          <w:rFonts w:hint="eastAsia" w:asciiTheme="minorEastAsia" w:hAnsiTheme="minorEastAsia" w:eastAsiaTheme="minorEastAsia" w:cstheme="minorEastAsia"/>
          <w:b/>
          <w:bCs/>
          <w:kern w:val="2"/>
          <w:sz w:val="21"/>
          <w:szCs w:val="21"/>
          <w:highlight w:val="none"/>
        </w:rPr>
        <w:t>、11米系列39座公路旅游型柴油空调客车技术参数要求</w:t>
      </w:r>
    </w:p>
    <w:tbl>
      <w:tblPr>
        <w:tblStyle w:val="63"/>
        <w:tblpPr w:leftFromText="180" w:rightFromText="180" w:vertAnchor="text" w:horzAnchor="page" w:tblpX="1425" w:tblpY="709"/>
        <w:tblOverlap w:val="never"/>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6784"/>
        <w:gridCol w:w="1072"/>
      </w:tblGrid>
      <w:tr w14:paraId="7E935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506" w:type="dxa"/>
            <w:vAlign w:val="center"/>
          </w:tcPr>
          <w:p w14:paraId="734889F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配置名称</w:t>
            </w:r>
          </w:p>
        </w:tc>
        <w:tc>
          <w:tcPr>
            <w:tcW w:w="6784" w:type="dxa"/>
            <w:vAlign w:val="center"/>
          </w:tcPr>
          <w:p w14:paraId="11CA5AE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技术参数</w:t>
            </w:r>
          </w:p>
        </w:tc>
        <w:tc>
          <w:tcPr>
            <w:tcW w:w="1072" w:type="dxa"/>
            <w:vAlign w:val="center"/>
          </w:tcPr>
          <w:p w14:paraId="35BCE28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备注</w:t>
            </w:r>
          </w:p>
        </w:tc>
      </w:tr>
      <w:tr w14:paraId="37E3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06" w:type="dxa"/>
            <w:vAlign w:val="center"/>
          </w:tcPr>
          <w:p w14:paraId="70A2103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投标车型</w:t>
            </w:r>
          </w:p>
        </w:tc>
        <w:tc>
          <w:tcPr>
            <w:tcW w:w="6784" w:type="dxa"/>
            <w:vAlign w:val="center"/>
          </w:tcPr>
          <w:p w14:paraId="39D9F08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11米系列公路型柴油空调客车</w:t>
            </w:r>
          </w:p>
        </w:tc>
        <w:tc>
          <w:tcPr>
            <w:tcW w:w="1072" w:type="dxa"/>
            <w:vAlign w:val="center"/>
          </w:tcPr>
          <w:p w14:paraId="61826ED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p>
        </w:tc>
      </w:tr>
      <w:tr w14:paraId="4C291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6DF1DFE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公告</w:t>
            </w:r>
          </w:p>
        </w:tc>
        <w:tc>
          <w:tcPr>
            <w:tcW w:w="6784" w:type="dxa"/>
            <w:vAlign w:val="center"/>
          </w:tcPr>
          <w:p w14:paraId="15A637C6">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有国家汽车产品公告目录，车辆一致性证书，符合GB7258和JT/T1094-2016营运客车安全技术条件要求，JT/T1095营运客车内饰材料阻燃特性，车型等级要求及国家相关规定的达标车型。</w:t>
            </w:r>
          </w:p>
        </w:tc>
        <w:tc>
          <w:tcPr>
            <w:tcW w:w="1072" w:type="dxa"/>
          </w:tcPr>
          <w:p w14:paraId="4294F07A">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43F82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5B9D06D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客车设计</w:t>
            </w:r>
          </w:p>
        </w:tc>
        <w:tc>
          <w:tcPr>
            <w:tcW w:w="6784" w:type="dxa"/>
            <w:vAlign w:val="center"/>
          </w:tcPr>
          <w:p w14:paraId="69CF6B9F">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rPr>
              <w:t>采用单风档大视野挡风玻璃，</w:t>
            </w:r>
            <w:r>
              <w:rPr>
                <w:rFonts w:hint="eastAsia" w:asciiTheme="minorEastAsia" w:hAnsiTheme="minorEastAsia" w:eastAsiaTheme="minorEastAsia" w:cstheme="minorEastAsia"/>
                <w:sz w:val="21"/>
                <w:szCs w:val="21"/>
                <w:highlight w:val="none"/>
              </w:rPr>
              <w:t>结构紧凑、比例协调、线条流畅。新颖美观，节能环保，适应现代城市，技术性能和结构工艺体现国内先进水平，经济实用，安全舒适，维护简便，质量可靠，人性化。整车材料符合相关标准和节能环保要求。</w:t>
            </w:r>
          </w:p>
        </w:tc>
        <w:tc>
          <w:tcPr>
            <w:tcW w:w="1072" w:type="dxa"/>
            <w:tcBorders>
              <w:bottom w:val="single" w:color="auto" w:sz="4" w:space="0"/>
            </w:tcBorders>
          </w:tcPr>
          <w:p w14:paraId="405BD479">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5439F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0E98637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▲车辆尺寸</w:t>
            </w:r>
          </w:p>
        </w:tc>
        <w:tc>
          <w:tcPr>
            <w:tcW w:w="6784" w:type="dxa"/>
            <w:tcBorders>
              <w:right w:val="single" w:color="auto" w:sz="4" w:space="0"/>
            </w:tcBorders>
            <w:vAlign w:val="center"/>
          </w:tcPr>
          <w:p w14:paraId="5BFED728">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车身长度≧10990mm，车身高度（含空调）≦36</w:t>
            </w:r>
            <w:r>
              <w:rPr>
                <w:rFonts w:hint="eastAsia" w:asciiTheme="minorEastAsia" w:hAnsiTheme="minorEastAsia" w:eastAsiaTheme="minorEastAsia" w:cstheme="minorEastAsia"/>
                <w:sz w:val="21"/>
                <w:szCs w:val="21"/>
                <w:highlight w:val="none"/>
                <w:lang w:val="en-US" w:eastAsia="zh-CN"/>
              </w:rPr>
              <w:t>3</w:t>
            </w:r>
            <w:r>
              <w:rPr>
                <w:rFonts w:hint="eastAsia" w:asciiTheme="minorEastAsia" w:hAnsiTheme="minorEastAsia" w:eastAsiaTheme="minorEastAsia" w:cstheme="minorEastAsia"/>
                <w:sz w:val="21"/>
                <w:szCs w:val="21"/>
                <w:highlight w:val="none"/>
              </w:rPr>
              <w:t>0mm</w:t>
            </w:r>
          </w:p>
        </w:tc>
        <w:tc>
          <w:tcPr>
            <w:tcW w:w="1072" w:type="dxa"/>
            <w:tcBorders>
              <w:top w:val="single" w:color="auto" w:sz="4" w:space="0"/>
              <w:left w:val="single" w:color="auto" w:sz="4" w:space="0"/>
              <w:bottom w:val="single" w:color="auto" w:sz="4" w:space="0"/>
              <w:right w:val="single" w:color="auto" w:sz="4" w:space="0"/>
            </w:tcBorders>
          </w:tcPr>
          <w:p w14:paraId="4D1AC357">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7184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31C4A51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车辆用途</w:t>
            </w:r>
          </w:p>
        </w:tc>
        <w:tc>
          <w:tcPr>
            <w:tcW w:w="6784" w:type="dxa"/>
            <w:tcBorders>
              <w:right w:val="single" w:color="auto" w:sz="4" w:space="0"/>
            </w:tcBorders>
            <w:vAlign w:val="center"/>
          </w:tcPr>
          <w:p w14:paraId="4EB6D800">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公路旅游客运</w:t>
            </w:r>
          </w:p>
        </w:tc>
        <w:tc>
          <w:tcPr>
            <w:tcW w:w="1072" w:type="dxa"/>
            <w:vMerge w:val="restart"/>
            <w:tcBorders>
              <w:top w:val="single" w:color="auto" w:sz="4" w:space="0"/>
              <w:left w:val="single" w:color="auto" w:sz="4" w:space="0"/>
              <w:bottom w:val="single" w:color="auto" w:sz="4" w:space="0"/>
              <w:right w:val="single" w:color="auto" w:sz="4" w:space="0"/>
            </w:tcBorders>
          </w:tcPr>
          <w:p w14:paraId="0FCC128F">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2C0A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4EEEB08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▲车型等级</w:t>
            </w:r>
          </w:p>
        </w:tc>
        <w:tc>
          <w:tcPr>
            <w:tcW w:w="6784" w:type="dxa"/>
            <w:tcBorders>
              <w:right w:val="single" w:color="auto" w:sz="4" w:space="0"/>
            </w:tcBorders>
            <w:vAlign w:val="center"/>
          </w:tcPr>
          <w:p w14:paraId="1DFE097D">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大型高一级或以上</w:t>
            </w:r>
          </w:p>
        </w:tc>
        <w:tc>
          <w:tcPr>
            <w:tcW w:w="1072" w:type="dxa"/>
            <w:vMerge w:val="continue"/>
            <w:tcBorders>
              <w:top w:val="nil"/>
              <w:left w:val="single" w:color="auto" w:sz="4" w:space="0"/>
              <w:bottom w:val="single" w:color="auto" w:sz="4" w:space="0"/>
              <w:right w:val="single" w:color="auto" w:sz="4" w:space="0"/>
            </w:tcBorders>
          </w:tcPr>
          <w:p w14:paraId="024B0DA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54E3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49C6D41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整备质量</w:t>
            </w:r>
          </w:p>
        </w:tc>
        <w:tc>
          <w:tcPr>
            <w:tcW w:w="6784" w:type="dxa"/>
            <w:tcBorders>
              <w:right w:val="single" w:color="auto" w:sz="4" w:space="0"/>
            </w:tcBorders>
            <w:vAlign w:val="center"/>
          </w:tcPr>
          <w:p w14:paraId="66A19221">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公告</w:t>
            </w:r>
          </w:p>
        </w:tc>
        <w:tc>
          <w:tcPr>
            <w:tcW w:w="1072" w:type="dxa"/>
            <w:vMerge w:val="continue"/>
            <w:tcBorders>
              <w:top w:val="nil"/>
              <w:left w:val="single" w:color="auto" w:sz="4" w:space="0"/>
              <w:bottom w:val="single" w:color="auto" w:sz="4" w:space="0"/>
              <w:right w:val="single" w:color="auto" w:sz="4" w:space="0"/>
            </w:tcBorders>
          </w:tcPr>
          <w:p w14:paraId="65750DB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0F89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434273D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总质量</w:t>
            </w:r>
          </w:p>
        </w:tc>
        <w:tc>
          <w:tcPr>
            <w:tcW w:w="6784" w:type="dxa"/>
            <w:tcBorders>
              <w:right w:val="single" w:color="auto" w:sz="4" w:space="0"/>
            </w:tcBorders>
            <w:vAlign w:val="center"/>
          </w:tcPr>
          <w:p w14:paraId="51523A93">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公告</w:t>
            </w:r>
          </w:p>
        </w:tc>
        <w:tc>
          <w:tcPr>
            <w:tcW w:w="1072" w:type="dxa"/>
            <w:vMerge w:val="continue"/>
            <w:tcBorders>
              <w:top w:val="nil"/>
              <w:left w:val="single" w:color="auto" w:sz="4" w:space="0"/>
              <w:bottom w:val="single" w:color="auto" w:sz="4" w:space="0"/>
              <w:right w:val="single" w:color="auto" w:sz="4" w:space="0"/>
            </w:tcBorders>
          </w:tcPr>
          <w:p w14:paraId="1FDCDBC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6B857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433B7AE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油耗L/100KM(限定工况下)</w:t>
            </w:r>
          </w:p>
        </w:tc>
        <w:tc>
          <w:tcPr>
            <w:tcW w:w="6784" w:type="dxa"/>
            <w:tcBorders>
              <w:right w:val="single" w:color="auto" w:sz="4" w:space="0"/>
            </w:tcBorders>
            <w:vAlign w:val="center"/>
          </w:tcPr>
          <w:p w14:paraId="56B86B37">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公告</w:t>
            </w:r>
          </w:p>
        </w:tc>
        <w:tc>
          <w:tcPr>
            <w:tcW w:w="1072" w:type="dxa"/>
            <w:vMerge w:val="continue"/>
            <w:tcBorders>
              <w:top w:val="nil"/>
              <w:left w:val="single" w:color="auto" w:sz="4" w:space="0"/>
              <w:bottom w:val="single" w:color="auto" w:sz="4" w:space="0"/>
              <w:right w:val="single" w:color="auto" w:sz="4" w:space="0"/>
            </w:tcBorders>
          </w:tcPr>
          <w:p w14:paraId="2A491AF4">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5DDC0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0475345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最高车速</w:t>
            </w:r>
          </w:p>
        </w:tc>
        <w:tc>
          <w:tcPr>
            <w:tcW w:w="6784" w:type="dxa"/>
            <w:tcBorders>
              <w:right w:val="single" w:color="auto" w:sz="4" w:space="0"/>
            </w:tcBorders>
            <w:vAlign w:val="center"/>
          </w:tcPr>
          <w:p w14:paraId="2C0E72C3">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100Km/h</w:t>
            </w:r>
          </w:p>
        </w:tc>
        <w:tc>
          <w:tcPr>
            <w:tcW w:w="1072" w:type="dxa"/>
            <w:vMerge w:val="continue"/>
            <w:tcBorders>
              <w:top w:val="nil"/>
              <w:left w:val="single" w:color="auto" w:sz="4" w:space="0"/>
              <w:bottom w:val="single" w:color="auto" w:sz="4" w:space="0"/>
              <w:right w:val="single" w:color="auto" w:sz="4" w:space="0"/>
            </w:tcBorders>
          </w:tcPr>
          <w:p w14:paraId="40F50271">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2C908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1CCC66F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▲额定载客/标配座位</w:t>
            </w:r>
          </w:p>
        </w:tc>
        <w:tc>
          <w:tcPr>
            <w:tcW w:w="6784" w:type="dxa"/>
            <w:vAlign w:val="center"/>
          </w:tcPr>
          <w:p w14:paraId="3EF08899">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38+1</w:t>
            </w:r>
          </w:p>
        </w:tc>
        <w:tc>
          <w:tcPr>
            <w:tcW w:w="1072" w:type="dxa"/>
            <w:tcBorders>
              <w:top w:val="single" w:color="auto" w:sz="4" w:space="0"/>
            </w:tcBorders>
          </w:tcPr>
          <w:p w14:paraId="58DA8F1A">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5A8D8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2703F19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排放标准</w:t>
            </w:r>
          </w:p>
        </w:tc>
        <w:tc>
          <w:tcPr>
            <w:tcW w:w="6784" w:type="dxa"/>
            <w:vAlign w:val="center"/>
          </w:tcPr>
          <w:p w14:paraId="50A301D4">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符合国六排放标准。符合国家相关标准和节能环保要求。</w:t>
            </w:r>
          </w:p>
        </w:tc>
        <w:tc>
          <w:tcPr>
            <w:tcW w:w="1072" w:type="dxa"/>
          </w:tcPr>
          <w:p w14:paraId="4EA39139">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5CFC2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61E7B09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噪声限制</w:t>
            </w:r>
          </w:p>
        </w:tc>
        <w:tc>
          <w:tcPr>
            <w:tcW w:w="6784" w:type="dxa"/>
            <w:vAlign w:val="center"/>
          </w:tcPr>
          <w:p w14:paraId="5FCA45AD">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优于或符合国家标准。</w:t>
            </w:r>
          </w:p>
        </w:tc>
        <w:tc>
          <w:tcPr>
            <w:tcW w:w="1072" w:type="dxa"/>
          </w:tcPr>
          <w:p w14:paraId="09C174DF">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70A07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255664A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基本参数</w:t>
            </w:r>
          </w:p>
        </w:tc>
        <w:tc>
          <w:tcPr>
            <w:tcW w:w="6784" w:type="dxa"/>
            <w:vAlign w:val="center"/>
          </w:tcPr>
          <w:p w14:paraId="6AD69E24">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基本参数、技术性能符合国家和行业的有关标准，与公告目录一致。</w:t>
            </w:r>
          </w:p>
        </w:tc>
        <w:tc>
          <w:tcPr>
            <w:tcW w:w="1072" w:type="dxa"/>
          </w:tcPr>
          <w:p w14:paraId="69D92CF9">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7CAB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362" w:type="dxa"/>
            <w:gridSpan w:val="3"/>
            <w:vAlign w:val="center"/>
          </w:tcPr>
          <w:p w14:paraId="52A965A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发动机系统</w:t>
            </w:r>
          </w:p>
        </w:tc>
      </w:tr>
      <w:tr w14:paraId="56A08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0F64B74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发动机</w:t>
            </w:r>
          </w:p>
        </w:tc>
        <w:tc>
          <w:tcPr>
            <w:tcW w:w="6784" w:type="dxa"/>
            <w:vAlign w:val="center"/>
          </w:tcPr>
          <w:p w14:paraId="17559F9A">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后置发动机，机型特点和主要技术参数符合原厂公告标准。</w:t>
            </w:r>
          </w:p>
        </w:tc>
        <w:tc>
          <w:tcPr>
            <w:tcW w:w="1072" w:type="dxa"/>
          </w:tcPr>
          <w:p w14:paraId="3FA869E9">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5AF2C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2979802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▲发动机型号</w:t>
            </w:r>
          </w:p>
        </w:tc>
        <w:tc>
          <w:tcPr>
            <w:tcW w:w="6784" w:type="dxa"/>
            <w:vAlign w:val="center"/>
          </w:tcPr>
          <w:p w14:paraId="3F70C94F">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发动机功率≧3</w:t>
            </w:r>
            <w:r>
              <w:rPr>
                <w:rFonts w:hint="eastAsia" w:asciiTheme="minorEastAsia" w:hAnsiTheme="minorEastAsia" w:eastAsiaTheme="minorEastAsia" w:cstheme="minorEastAsia"/>
                <w:sz w:val="21"/>
                <w:szCs w:val="21"/>
                <w:highlight w:val="none"/>
                <w:lang w:val="en-US" w:eastAsia="zh-CN"/>
              </w:rPr>
              <w:t>2</w:t>
            </w:r>
            <w:r>
              <w:rPr>
                <w:rFonts w:hint="eastAsia" w:asciiTheme="minorEastAsia" w:hAnsiTheme="minorEastAsia" w:eastAsiaTheme="minorEastAsia" w:cstheme="minorEastAsia"/>
                <w:sz w:val="21"/>
                <w:szCs w:val="21"/>
                <w:highlight w:val="none"/>
              </w:rPr>
              <w:t>0马力六缸国六排放优质品牌柴油发动机</w:t>
            </w:r>
          </w:p>
        </w:tc>
        <w:tc>
          <w:tcPr>
            <w:tcW w:w="1072" w:type="dxa"/>
          </w:tcPr>
          <w:p w14:paraId="3099D3F3">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703D2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124F0CF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进气系统</w:t>
            </w:r>
          </w:p>
        </w:tc>
        <w:tc>
          <w:tcPr>
            <w:tcW w:w="6784" w:type="dxa"/>
            <w:vAlign w:val="center"/>
          </w:tcPr>
          <w:p w14:paraId="68A65805">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空气进气管采用不锈钢成型管路，管路尽可能减少弯头，中间软连接采用耐热、耐压、耐油、抗老化优质胶管，安装固定牢固。</w:t>
            </w:r>
          </w:p>
        </w:tc>
        <w:tc>
          <w:tcPr>
            <w:tcW w:w="1072" w:type="dxa"/>
            <w:vAlign w:val="center"/>
          </w:tcPr>
          <w:p w14:paraId="0C5F1298">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5580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350AE19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冷却系统</w:t>
            </w:r>
          </w:p>
        </w:tc>
        <w:tc>
          <w:tcPr>
            <w:tcW w:w="6784" w:type="dxa"/>
            <w:vAlign w:val="center"/>
          </w:tcPr>
          <w:p w14:paraId="09FB03B3">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lang w:eastAsia="zh-CN"/>
              </w:rPr>
              <w:t>电子</w:t>
            </w:r>
            <w:r>
              <w:rPr>
                <w:rFonts w:hint="eastAsia" w:asciiTheme="minorEastAsia" w:hAnsiTheme="minorEastAsia" w:eastAsiaTheme="minorEastAsia" w:cstheme="minorEastAsia"/>
                <w:b/>
                <w:bCs/>
                <w:sz w:val="21"/>
                <w:szCs w:val="21"/>
                <w:highlight w:val="none"/>
              </w:rPr>
              <w:t>风扇，</w:t>
            </w:r>
            <w:r>
              <w:rPr>
                <w:rFonts w:hint="eastAsia" w:asciiTheme="minorEastAsia" w:hAnsiTheme="minorEastAsia" w:eastAsiaTheme="minorEastAsia" w:cstheme="minorEastAsia"/>
                <w:sz w:val="21"/>
                <w:szCs w:val="21"/>
                <w:highlight w:val="none"/>
              </w:rPr>
              <w:t>进出水管采用不锈钢成型管路，铜质管路或尼龙管尽可能减少弯头，中间软连接采用耐热、耐压、抗老化优质胶管，冷却液加注方便。进风格栅要安装不锈钢材质滤网，中冷器和水箱迎风面要加装柔软不锈钢丝网，方便冲洗。</w:t>
            </w:r>
          </w:p>
        </w:tc>
        <w:tc>
          <w:tcPr>
            <w:tcW w:w="1072" w:type="dxa"/>
          </w:tcPr>
          <w:p w14:paraId="4E4613AF">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388D9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55CB5B7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油门控制系统</w:t>
            </w:r>
          </w:p>
        </w:tc>
        <w:tc>
          <w:tcPr>
            <w:tcW w:w="6784" w:type="dxa"/>
            <w:vAlign w:val="center"/>
          </w:tcPr>
          <w:p w14:paraId="3409A850">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电子油门控制系统。</w:t>
            </w:r>
          </w:p>
        </w:tc>
        <w:tc>
          <w:tcPr>
            <w:tcW w:w="1072" w:type="dxa"/>
          </w:tcPr>
          <w:p w14:paraId="3F44B63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75EB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362" w:type="dxa"/>
            <w:gridSpan w:val="3"/>
            <w:vAlign w:val="center"/>
          </w:tcPr>
          <w:p w14:paraId="615F0A5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底盘系统</w:t>
            </w:r>
          </w:p>
        </w:tc>
      </w:tr>
      <w:tr w14:paraId="3EFB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130BE92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底盘</w:t>
            </w:r>
          </w:p>
        </w:tc>
        <w:tc>
          <w:tcPr>
            <w:tcW w:w="6784" w:type="dxa"/>
            <w:vAlign w:val="center"/>
          </w:tcPr>
          <w:p w14:paraId="2D4A42B1">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4×2式后置后驱。</w:t>
            </w:r>
          </w:p>
        </w:tc>
        <w:tc>
          <w:tcPr>
            <w:tcW w:w="1072" w:type="dxa"/>
          </w:tcPr>
          <w:p w14:paraId="570CCC1A">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055D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1CFCD35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变速器</w:t>
            </w:r>
          </w:p>
        </w:tc>
        <w:tc>
          <w:tcPr>
            <w:tcW w:w="6784" w:type="dxa"/>
            <w:vAlign w:val="center"/>
          </w:tcPr>
          <w:p w14:paraId="4A5C1475">
            <w:pPr>
              <w:keepNext w:val="0"/>
              <w:keepLines w:val="0"/>
              <w:suppressLineNumbers w:val="0"/>
              <w:spacing w:before="0" w:beforeAutospacing="0" w:after="0" w:afterAutospacing="0" w:line="240" w:lineRule="auto"/>
              <w:ind w:left="0" w:leftChars="0" w:right="0" w:rightChars="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六档</w:t>
            </w:r>
            <w:r>
              <w:rPr>
                <w:rFonts w:hint="eastAsia" w:asciiTheme="minorEastAsia" w:hAnsiTheme="minorEastAsia" w:eastAsiaTheme="minorEastAsia" w:cstheme="minorEastAsia"/>
                <w:sz w:val="21"/>
                <w:szCs w:val="21"/>
                <w:highlight w:val="none"/>
                <w:lang w:eastAsia="zh-CN"/>
              </w:rPr>
              <w:t>变速器</w:t>
            </w:r>
          </w:p>
        </w:tc>
        <w:tc>
          <w:tcPr>
            <w:tcW w:w="1072" w:type="dxa"/>
          </w:tcPr>
          <w:p w14:paraId="07232CC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知名品牌</w:t>
            </w:r>
          </w:p>
        </w:tc>
      </w:tr>
      <w:tr w14:paraId="0F2C9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6B54961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离合器</w:t>
            </w:r>
          </w:p>
        </w:tc>
        <w:tc>
          <w:tcPr>
            <w:tcW w:w="6784" w:type="dxa"/>
            <w:vAlign w:val="center"/>
          </w:tcPr>
          <w:p w14:paraId="0B115785">
            <w:pPr>
              <w:keepNext w:val="0"/>
              <w:keepLines w:val="0"/>
              <w:suppressLineNumbers w:val="0"/>
              <w:spacing w:before="0" w:beforeAutospacing="0" w:after="0" w:afterAutospacing="0" w:line="240" w:lineRule="auto"/>
              <w:ind w:left="0" w:leftChars="0" w:right="0" w:rightChars="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Ø430，液压操纵气助力。</w:t>
            </w:r>
          </w:p>
        </w:tc>
        <w:tc>
          <w:tcPr>
            <w:tcW w:w="1072" w:type="dxa"/>
          </w:tcPr>
          <w:p w14:paraId="22398063">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知名品牌</w:t>
            </w:r>
          </w:p>
        </w:tc>
      </w:tr>
      <w:tr w14:paraId="3870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4354A5C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传动轴</w:t>
            </w:r>
          </w:p>
        </w:tc>
        <w:tc>
          <w:tcPr>
            <w:tcW w:w="6784" w:type="dxa"/>
            <w:vAlign w:val="center"/>
          </w:tcPr>
          <w:p w14:paraId="23074ED6">
            <w:pPr>
              <w:keepNext w:val="0"/>
              <w:keepLines w:val="0"/>
              <w:suppressLineNumbers w:val="0"/>
              <w:spacing w:before="0" w:beforeAutospacing="0" w:after="0" w:afterAutospacing="0" w:line="240" w:lineRule="auto"/>
              <w:ind w:left="0" w:leftChars="0" w:right="0" w:rightChars="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开式，两个万向节，刚性十字滚针轴承。</w:t>
            </w:r>
          </w:p>
        </w:tc>
        <w:tc>
          <w:tcPr>
            <w:tcW w:w="1072" w:type="dxa"/>
          </w:tcPr>
          <w:p w14:paraId="1A52A5C7">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知名品牌</w:t>
            </w:r>
          </w:p>
        </w:tc>
      </w:tr>
      <w:tr w14:paraId="7845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2E88745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转向器</w:t>
            </w:r>
          </w:p>
        </w:tc>
        <w:tc>
          <w:tcPr>
            <w:tcW w:w="6784" w:type="dxa"/>
            <w:vAlign w:val="center"/>
          </w:tcPr>
          <w:p w14:paraId="06ED8145">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优质</w:t>
            </w:r>
            <w:r>
              <w:rPr>
                <w:rFonts w:hint="eastAsia" w:asciiTheme="minorEastAsia" w:hAnsiTheme="minorEastAsia" w:eastAsiaTheme="minorEastAsia" w:cstheme="minorEastAsia"/>
                <w:sz w:val="21"/>
                <w:szCs w:val="21"/>
                <w:highlight w:val="none"/>
              </w:rPr>
              <w:t>整体式动力转向器</w:t>
            </w:r>
          </w:p>
        </w:tc>
        <w:tc>
          <w:tcPr>
            <w:tcW w:w="1072" w:type="dxa"/>
          </w:tcPr>
          <w:p w14:paraId="016E6F6D">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1742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0F01F82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方向盘</w:t>
            </w:r>
          </w:p>
        </w:tc>
        <w:tc>
          <w:tcPr>
            <w:tcW w:w="6784" w:type="dxa"/>
            <w:vAlign w:val="center"/>
          </w:tcPr>
          <w:p w14:paraId="49F888C5">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多功能方向盘（播放控制+定速巡航）前后上下可调。</w:t>
            </w:r>
          </w:p>
        </w:tc>
        <w:tc>
          <w:tcPr>
            <w:tcW w:w="1072" w:type="dxa"/>
          </w:tcPr>
          <w:p w14:paraId="74715DF9">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453E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6BD932B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前桥公告轴荷</w:t>
            </w:r>
          </w:p>
        </w:tc>
        <w:tc>
          <w:tcPr>
            <w:tcW w:w="6784" w:type="dxa"/>
            <w:vAlign w:val="center"/>
          </w:tcPr>
          <w:p w14:paraId="7790AC1B">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sz w:val="21"/>
                <w:szCs w:val="21"/>
                <w:highlight w:val="none"/>
              </w:rPr>
              <w:t>T（</w:t>
            </w:r>
            <w:r>
              <w:rPr>
                <w:rFonts w:hint="eastAsia" w:asciiTheme="minorEastAsia" w:hAnsiTheme="minorEastAsia" w:eastAsiaTheme="minorEastAsia" w:cstheme="minorEastAsia"/>
                <w:sz w:val="21"/>
                <w:szCs w:val="21"/>
                <w:highlight w:val="none"/>
                <w:lang w:eastAsia="zh-CN"/>
              </w:rPr>
              <w:t>脂润滑</w:t>
            </w:r>
            <w:r>
              <w:rPr>
                <w:rFonts w:hint="eastAsia" w:asciiTheme="minorEastAsia" w:hAnsiTheme="minorEastAsia" w:eastAsiaTheme="minorEastAsia" w:cstheme="minorEastAsia"/>
                <w:sz w:val="21"/>
                <w:szCs w:val="21"/>
                <w:highlight w:val="none"/>
              </w:rPr>
              <w:t>免维护轮毂总成要求质保8年，附质保承诺书）</w:t>
            </w:r>
          </w:p>
        </w:tc>
        <w:tc>
          <w:tcPr>
            <w:tcW w:w="1072" w:type="dxa"/>
          </w:tcPr>
          <w:p w14:paraId="5249519A">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3BB3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6439BC3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后桥公告轴荷</w:t>
            </w:r>
          </w:p>
        </w:tc>
        <w:tc>
          <w:tcPr>
            <w:tcW w:w="6784" w:type="dxa"/>
            <w:vAlign w:val="center"/>
          </w:tcPr>
          <w:p w14:paraId="4C4815CF">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≧10T（</w:t>
            </w:r>
            <w:r>
              <w:rPr>
                <w:rFonts w:hint="eastAsia" w:asciiTheme="minorEastAsia" w:hAnsiTheme="minorEastAsia" w:eastAsiaTheme="minorEastAsia" w:cstheme="minorEastAsia"/>
                <w:sz w:val="21"/>
                <w:szCs w:val="21"/>
                <w:highlight w:val="none"/>
                <w:lang w:eastAsia="zh-CN"/>
              </w:rPr>
              <w:t>脂润滑</w:t>
            </w:r>
            <w:r>
              <w:rPr>
                <w:rFonts w:hint="eastAsia" w:asciiTheme="minorEastAsia" w:hAnsiTheme="minorEastAsia" w:eastAsiaTheme="minorEastAsia" w:cstheme="minorEastAsia"/>
                <w:sz w:val="21"/>
                <w:szCs w:val="21"/>
                <w:highlight w:val="none"/>
              </w:rPr>
              <w:t>免维护轮毂总成要求质保8年，附质保承诺书） 精磨齿</w:t>
            </w:r>
          </w:p>
        </w:tc>
        <w:tc>
          <w:tcPr>
            <w:tcW w:w="1072" w:type="dxa"/>
          </w:tcPr>
          <w:p w14:paraId="1585C7D1">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pacing w:val="-4"/>
                <w:sz w:val="21"/>
                <w:szCs w:val="21"/>
                <w:highlight w:val="none"/>
              </w:rPr>
            </w:pPr>
          </w:p>
        </w:tc>
      </w:tr>
      <w:tr w14:paraId="4CA0F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7A3144E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悬挂系统</w:t>
            </w:r>
          </w:p>
        </w:tc>
        <w:tc>
          <w:tcPr>
            <w:tcW w:w="6784" w:type="dxa"/>
            <w:vAlign w:val="center"/>
          </w:tcPr>
          <w:p w14:paraId="41112FC7">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napToGrid w:val="0"/>
                <w:kern w:val="0"/>
                <w:sz w:val="21"/>
                <w:szCs w:val="21"/>
                <w:highlight w:val="none"/>
              </w:rPr>
              <w:t>进口气囊+筒式液压减震器（悬架总成质保8年，</w:t>
            </w:r>
            <w:r>
              <w:rPr>
                <w:rFonts w:hint="eastAsia" w:asciiTheme="minorEastAsia" w:hAnsiTheme="minorEastAsia" w:eastAsiaTheme="minorEastAsia" w:cstheme="minorEastAsia"/>
                <w:sz w:val="21"/>
                <w:szCs w:val="21"/>
                <w:highlight w:val="none"/>
              </w:rPr>
              <w:t>附质保承诺书）</w:t>
            </w:r>
          </w:p>
        </w:tc>
        <w:tc>
          <w:tcPr>
            <w:tcW w:w="1072" w:type="dxa"/>
          </w:tcPr>
          <w:p w14:paraId="1B358D35">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2386B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3114659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油箱容积（L）</w:t>
            </w:r>
          </w:p>
        </w:tc>
        <w:tc>
          <w:tcPr>
            <w:tcW w:w="6784" w:type="dxa"/>
            <w:vAlign w:val="center"/>
          </w:tcPr>
          <w:p w14:paraId="61BAC276">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z w:val="21"/>
                <w:szCs w:val="21"/>
                <w:highlight w:val="none"/>
              </w:rPr>
              <w:t>规定允许下尽量配置大容量</w:t>
            </w:r>
          </w:p>
        </w:tc>
        <w:tc>
          <w:tcPr>
            <w:tcW w:w="1072" w:type="dxa"/>
          </w:tcPr>
          <w:p w14:paraId="333D3CCE">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2381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4B715BB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轮胎</w:t>
            </w:r>
          </w:p>
        </w:tc>
        <w:tc>
          <w:tcPr>
            <w:tcW w:w="6784" w:type="dxa"/>
            <w:vAlign w:val="center"/>
          </w:tcPr>
          <w:p w14:paraId="6AF142B3">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napToGrid w:val="0"/>
                <w:kern w:val="0"/>
                <w:sz w:val="21"/>
                <w:szCs w:val="21"/>
                <w:highlight w:val="none"/>
                <w:lang w:val="en-US" w:eastAsia="zh-CN" w:bidi="ar-SA"/>
              </w:rPr>
            </w:pPr>
            <w:r>
              <w:rPr>
                <w:rFonts w:hint="eastAsia" w:asciiTheme="minorEastAsia" w:hAnsiTheme="minorEastAsia" w:eastAsiaTheme="minorEastAsia" w:cstheme="minorEastAsia"/>
                <w:snapToGrid w:val="0"/>
                <w:kern w:val="0"/>
                <w:sz w:val="21"/>
                <w:szCs w:val="21"/>
                <w:highlight w:val="none"/>
                <w:lang w:val="en-US" w:eastAsia="zh-CN"/>
              </w:rPr>
              <w:t>知名品牌</w:t>
            </w:r>
            <w:r>
              <w:rPr>
                <w:rFonts w:hint="eastAsia" w:asciiTheme="minorEastAsia" w:hAnsiTheme="minorEastAsia" w:eastAsiaTheme="minorEastAsia" w:cstheme="minorEastAsia"/>
                <w:snapToGrid w:val="0"/>
                <w:kern w:val="0"/>
                <w:sz w:val="21"/>
                <w:szCs w:val="21"/>
                <w:highlight w:val="none"/>
              </w:rPr>
              <w:t>轮胎， 配备胎一只(全尺寸、全型号）</w:t>
            </w:r>
          </w:p>
        </w:tc>
        <w:tc>
          <w:tcPr>
            <w:tcW w:w="1072" w:type="dxa"/>
            <w:vAlign w:val="top"/>
          </w:tcPr>
          <w:p w14:paraId="5F9CB1C1">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eastAsia="zh-CN"/>
              </w:rPr>
              <w:t>推荐品牌：米其林、倍耐力、普利司通</w:t>
            </w:r>
          </w:p>
        </w:tc>
      </w:tr>
      <w:tr w14:paraId="23FCB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537289D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rPr>
              <w:t>轮辋</w:t>
            </w:r>
          </w:p>
        </w:tc>
        <w:tc>
          <w:tcPr>
            <w:tcW w:w="6784" w:type="dxa"/>
            <w:vAlign w:val="center"/>
          </w:tcPr>
          <w:p w14:paraId="792D77C5">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napToGrid w:val="0"/>
                <w:kern w:val="0"/>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rPr>
              <w:t>锻造铝合金车轮表面必须有经强化处理工艺（提高产品表面硬度）</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kern w:val="0"/>
                <w:sz w:val="21"/>
                <w:szCs w:val="21"/>
                <w:highlight w:val="none"/>
              </w:rPr>
              <w:t>含备胎</w:t>
            </w:r>
            <w:r>
              <w:rPr>
                <w:rFonts w:hint="eastAsia" w:asciiTheme="minorEastAsia" w:hAnsiTheme="minorEastAsia" w:eastAsiaTheme="minorEastAsia" w:cstheme="minorEastAsia"/>
                <w:b w:val="0"/>
                <w:bCs w:val="0"/>
                <w:kern w:val="0"/>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免费质保8年，附承诺书。</w:t>
            </w:r>
          </w:p>
        </w:tc>
        <w:tc>
          <w:tcPr>
            <w:tcW w:w="1072" w:type="dxa"/>
            <w:vAlign w:val="top"/>
          </w:tcPr>
          <w:p w14:paraId="3594B5F8">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kern w:val="2"/>
                <w:sz w:val="21"/>
                <w:szCs w:val="21"/>
                <w:highlight w:val="none"/>
                <w:lang w:val="en-US" w:eastAsia="zh-CN" w:bidi="ar-SA"/>
              </w:rPr>
            </w:pPr>
          </w:p>
        </w:tc>
      </w:tr>
      <w:tr w14:paraId="3C212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0F5CC36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爆胎应急装置</w:t>
            </w:r>
          </w:p>
        </w:tc>
        <w:tc>
          <w:tcPr>
            <w:tcW w:w="6784" w:type="dxa"/>
            <w:vAlign w:val="center"/>
          </w:tcPr>
          <w:p w14:paraId="324C8609">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z w:val="21"/>
                <w:szCs w:val="21"/>
                <w:highlight w:val="none"/>
              </w:rPr>
              <w:t>标配</w:t>
            </w:r>
          </w:p>
        </w:tc>
        <w:tc>
          <w:tcPr>
            <w:tcW w:w="1072" w:type="dxa"/>
          </w:tcPr>
          <w:p w14:paraId="5F8CA7B5">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728CA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58E55FF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前轮胎压监测装置</w:t>
            </w:r>
          </w:p>
        </w:tc>
        <w:tc>
          <w:tcPr>
            <w:tcW w:w="6784" w:type="dxa"/>
            <w:vAlign w:val="center"/>
          </w:tcPr>
          <w:p w14:paraId="108A3E70">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z w:val="21"/>
                <w:szCs w:val="21"/>
                <w:highlight w:val="none"/>
              </w:rPr>
              <w:t>标配</w:t>
            </w:r>
          </w:p>
        </w:tc>
        <w:tc>
          <w:tcPr>
            <w:tcW w:w="1072" w:type="dxa"/>
          </w:tcPr>
          <w:p w14:paraId="77E46986">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319C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7CB2160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集中润滑</w:t>
            </w:r>
          </w:p>
        </w:tc>
        <w:tc>
          <w:tcPr>
            <w:tcW w:w="6784" w:type="dxa"/>
            <w:vAlign w:val="center"/>
          </w:tcPr>
          <w:p w14:paraId="27336303">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b w:val="0"/>
                <w:bCs w:val="0"/>
                <w:color w:val="auto"/>
                <w:sz w:val="21"/>
                <w:szCs w:val="21"/>
                <w:highlight w:val="none"/>
                <w:lang w:eastAsia="zh-CN"/>
              </w:rPr>
              <w:t>国产优质，</w:t>
            </w:r>
            <w:r>
              <w:rPr>
                <w:rFonts w:hint="eastAsia"/>
                <w:b w:val="0"/>
                <w:bCs w:val="0"/>
                <w:color w:val="auto"/>
                <w:sz w:val="21"/>
                <w:szCs w:val="21"/>
                <w:highlight w:val="none"/>
              </w:rPr>
              <w:t>免费质保</w:t>
            </w:r>
            <w:r>
              <w:rPr>
                <w:rFonts w:hint="default"/>
                <w:b w:val="0"/>
                <w:bCs w:val="0"/>
                <w:color w:val="auto"/>
                <w:sz w:val="21"/>
                <w:szCs w:val="21"/>
                <w:highlight w:val="none"/>
              </w:rPr>
              <w:t>8</w:t>
            </w:r>
            <w:r>
              <w:rPr>
                <w:rFonts w:hint="eastAsia"/>
                <w:b w:val="0"/>
                <w:bCs w:val="0"/>
                <w:color w:val="auto"/>
                <w:sz w:val="21"/>
                <w:szCs w:val="21"/>
                <w:highlight w:val="none"/>
              </w:rPr>
              <w:t>年（含易损、易耗件）</w:t>
            </w:r>
            <w:r>
              <w:rPr>
                <w:rFonts w:hint="eastAsia"/>
                <w:b w:val="0"/>
                <w:bCs w:val="0"/>
                <w:color w:val="auto"/>
                <w:sz w:val="21"/>
                <w:szCs w:val="21"/>
                <w:highlight w:val="none"/>
                <w:lang w:eastAsia="zh-CN"/>
              </w:rPr>
              <w:t>，</w:t>
            </w:r>
            <w:r>
              <w:rPr>
                <w:rFonts w:hint="eastAsia"/>
                <w:b w:val="0"/>
                <w:bCs w:val="0"/>
                <w:color w:val="auto"/>
                <w:sz w:val="21"/>
                <w:szCs w:val="21"/>
                <w:highlight w:val="none"/>
              </w:rPr>
              <w:t>附承诺书</w:t>
            </w:r>
          </w:p>
        </w:tc>
        <w:tc>
          <w:tcPr>
            <w:tcW w:w="1072" w:type="dxa"/>
          </w:tcPr>
          <w:p w14:paraId="4D3CC8C7">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04138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506" w:type="dxa"/>
            <w:vAlign w:val="center"/>
          </w:tcPr>
          <w:p w14:paraId="3FF7EAF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制动系统</w:t>
            </w:r>
          </w:p>
        </w:tc>
        <w:tc>
          <w:tcPr>
            <w:tcW w:w="6784" w:type="dxa"/>
            <w:vAlign w:val="center"/>
          </w:tcPr>
          <w:p w14:paraId="6E74E994">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kern w:val="0"/>
                <w:sz w:val="21"/>
                <w:szCs w:val="21"/>
                <w:highlight w:val="none"/>
              </w:rPr>
              <w:t>前盘后盘式，</w:t>
            </w:r>
            <w:r>
              <w:rPr>
                <w:rFonts w:hint="eastAsia" w:asciiTheme="minorEastAsia" w:hAnsiTheme="minorEastAsia" w:eastAsiaTheme="minorEastAsia" w:cstheme="minorEastAsia"/>
                <w:kern w:val="0"/>
                <w:sz w:val="21"/>
                <w:szCs w:val="21"/>
                <w:highlight w:val="none"/>
              </w:rPr>
              <w:t>双回路气制动，气压伺服助力，空气干燥器。阀类采用</w:t>
            </w:r>
            <w:r>
              <w:rPr>
                <w:rFonts w:hint="eastAsia" w:asciiTheme="minorEastAsia" w:hAnsiTheme="minorEastAsia" w:eastAsiaTheme="minorEastAsia" w:cstheme="minorEastAsia"/>
                <w:sz w:val="21"/>
                <w:szCs w:val="21"/>
                <w:highlight w:val="none"/>
                <w:lang w:val="en-US" w:eastAsia="zh-CN"/>
              </w:rPr>
              <w:t>知名品牌</w:t>
            </w:r>
            <w:r>
              <w:rPr>
                <w:rFonts w:hint="eastAsia" w:asciiTheme="minorEastAsia" w:hAnsiTheme="minorEastAsia" w:eastAsiaTheme="minorEastAsia" w:cstheme="minorEastAsia"/>
                <w:kern w:val="0"/>
                <w:sz w:val="21"/>
                <w:szCs w:val="21"/>
                <w:highlight w:val="none"/>
              </w:rPr>
              <w:t>。制动管路使用采用优质铜管，部分亚太管。管路系统按标准进行保压泄漏试验，与电线束和油水管分列布置。设低压声光报警，报警蜂鸣声与其它报警声响有明显区分。</w:t>
            </w:r>
          </w:p>
        </w:tc>
        <w:tc>
          <w:tcPr>
            <w:tcW w:w="1072" w:type="dxa"/>
          </w:tcPr>
          <w:p w14:paraId="6EF079F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14A4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6" w:type="dxa"/>
            <w:vAlign w:val="center"/>
          </w:tcPr>
          <w:p w14:paraId="228FAAF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缓速器</w:t>
            </w:r>
          </w:p>
        </w:tc>
        <w:tc>
          <w:tcPr>
            <w:tcW w:w="6784" w:type="dxa"/>
            <w:vAlign w:val="center"/>
          </w:tcPr>
          <w:p w14:paraId="6D6293A4">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b/>
                <w:bCs/>
                <w:kern w:val="0"/>
                <w:sz w:val="21"/>
                <w:szCs w:val="21"/>
                <w:highlight w:val="none"/>
              </w:rPr>
            </w:pPr>
            <w:r>
              <w:rPr>
                <w:rFonts w:hint="eastAsia" w:asciiTheme="minorEastAsia" w:hAnsiTheme="minorEastAsia" w:eastAsiaTheme="minorEastAsia" w:cstheme="minorEastAsia"/>
                <w:sz w:val="21"/>
                <w:szCs w:val="21"/>
                <w:highlight w:val="none"/>
              </w:rPr>
              <w:t>缓速器≧</w:t>
            </w:r>
            <w:r>
              <w:rPr>
                <w:rFonts w:hint="eastAsia" w:asciiTheme="minorEastAsia" w:hAnsiTheme="minorEastAsia" w:eastAsiaTheme="minorEastAsia" w:cstheme="minorEastAsia"/>
                <w:sz w:val="21"/>
                <w:szCs w:val="21"/>
                <w:highlight w:val="none"/>
                <w:lang w:val="en-US" w:eastAsia="zh-CN"/>
              </w:rPr>
              <w:t>19</w:t>
            </w:r>
            <w:r>
              <w:rPr>
                <w:rFonts w:hint="eastAsia" w:asciiTheme="minorEastAsia" w:hAnsiTheme="minorEastAsia" w:eastAsiaTheme="minorEastAsia" w:cstheme="minorEastAsia"/>
                <w:sz w:val="21"/>
                <w:szCs w:val="21"/>
                <w:highlight w:val="none"/>
              </w:rPr>
              <w:t>00N.m四级控制，配温度报警装置</w:t>
            </w:r>
          </w:p>
        </w:tc>
        <w:tc>
          <w:tcPr>
            <w:tcW w:w="1072" w:type="dxa"/>
          </w:tcPr>
          <w:p w14:paraId="1F53B4D1">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0E72D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081055A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驻车制动</w:t>
            </w:r>
          </w:p>
        </w:tc>
        <w:tc>
          <w:tcPr>
            <w:tcW w:w="6784" w:type="dxa"/>
            <w:vAlign w:val="center"/>
          </w:tcPr>
          <w:p w14:paraId="6BB0EA28">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储能弹簧式作用于后轮。断气刹。</w:t>
            </w:r>
          </w:p>
        </w:tc>
        <w:tc>
          <w:tcPr>
            <w:tcW w:w="1072" w:type="dxa"/>
          </w:tcPr>
          <w:p w14:paraId="642B1C95">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1F19F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68B958C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ABS及制动电子稳定系统</w:t>
            </w:r>
          </w:p>
        </w:tc>
        <w:tc>
          <w:tcPr>
            <w:tcW w:w="6784" w:type="dxa"/>
            <w:vAlign w:val="center"/>
          </w:tcPr>
          <w:p w14:paraId="332A94CB">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进口知名品牌 ABS+ESC</w:t>
            </w:r>
          </w:p>
        </w:tc>
        <w:tc>
          <w:tcPr>
            <w:tcW w:w="1072" w:type="dxa"/>
          </w:tcPr>
          <w:p w14:paraId="60BA59A1">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7737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03F536D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电子紧急制动系统</w:t>
            </w:r>
          </w:p>
        </w:tc>
        <w:tc>
          <w:tcPr>
            <w:tcW w:w="6784" w:type="dxa"/>
            <w:vAlign w:val="center"/>
          </w:tcPr>
          <w:p w14:paraId="14A8855F">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进口知名品牌 AEBS</w:t>
            </w:r>
          </w:p>
        </w:tc>
        <w:tc>
          <w:tcPr>
            <w:tcW w:w="1072" w:type="dxa"/>
          </w:tcPr>
          <w:p w14:paraId="354411DE">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0879C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675903F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皮带</w:t>
            </w:r>
          </w:p>
        </w:tc>
        <w:tc>
          <w:tcPr>
            <w:tcW w:w="6784" w:type="dxa"/>
            <w:vAlign w:val="center"/>
          </w:tcPr>
          <w:p w14:paraId="29C7462D">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采用附件所用传动皮带。</w:t>
            </w:r>
          </w:p>
        </w:tc>
        <w:tc>
          <w:tcPr>
            <w:tcW w:w="1072" w:type="dxa"/>
            <w:shd w:val="clear" w:color="auto" w:fill="auto"/>
            <w:vAlign w:val="top"/>
          </w:tcPr>
          <w:p w14:paraId="61E62E03">
            <w:pPr>
              <w:keepNext w:val="0"/>
              <w:keepLines w:val="0"/>
              <w:suppressLineNumbers w:val="0"/>
              <w:spacing w:before="0" w:beforeAutospacing="0" w:after="0" w:afterAutospacing="0" w:line="240" w:lineRule="auto"/>
              <w:ind w:left="0" w:leftChars="0" w:right="0" w:rightChars="0"/>
              <w:rPr>
                <w:rFonts w:hint="eastAsia" w:asciiTheme="minorEastAsia" w:hAnsiTheme="minorEastAsia" w:eastAsiaTheme="minorEastAsia" w:cstheme="minorEastAsia"/>
                <w:kern w:val="2"/>
                <w:sz w:val="21"/>
                <w:szCs w:val="21"/>
                <w:highlight w:val="none"/>
                <w:lang w:val="en-US" w:eastAsia="zh-CN" w:bidi="ar-SA"/>
              </w:rPr>
            </w:pPr>
            <w:r>
              <w:rPr>
                <w:rFonts w:hint="eastAsia" w:asciiTheme="minorEastAsia" w:hAnsiTheme="minorEastAsia" w:eastAsiaTheme="minorEastAsia" w:cstheme="minorEastAsia"/>
                <w:sz w:val="21"/>
                <w:szCs w:val="21"/>
                <w:highlight w:val="none"/>
                <w:lang w:val="en-US" w:eastAsia="zh-CN"/>
              </w:rPr>
              <w:t>知名品牌</w:t>
            </w:r>
          </w:p>
        </w:tc>
      </w:tr>
      <w:tr w14:paraId="2167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21914C5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底盘电器</w:t>
            </w:r>
          </w:p>
        </w:tc>
        <w:tc>
          <w:tcPr>
            <w:tcW w:w="6784" w:type="dxa"/>
            <w:vAlign w:val="center"/>
          </w:tcPr>
          <w:p w14:paraId="04A1399E">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负极搭铁，进口AMP电器接插件，电线束与油、气、水等管线分列布置。电线</w:t>
            </w:r>
            <w:r>
              <w:rPr>
                <w:rFonts w:hint="eastAsia" w:asciiTheme="minorEastAsia" w:hAnsiTheme="minorEastAsia" w:eastAsiaTheme="minorEastAsia" w:cstheme="minorEastAsia"/>
                <w:kern w:val="0"/>
                <w:sz w:val="21"/>
                <w:szCs w:val="21"/>
                <w:highlight w:val="none"/>
              </w:rPr>
              <w:t>全部采用镀锡铜芯线。</w:t>
            </w:r>
          </w:p>
        </w:tc>
        <w:tc>
          <w:tcPr>
            <w:tcW w:w="1072" w:type="dxa"/>
          </w:tcPr>
          <w:p w14:paraId="7D0AC4F3">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0BE9B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4E1C54C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发电机</w:t>
            </w:r>
          </w:p>
        </w:tc>
        <w:tc>
          <w:tcPr>
            <w:tcW w:w="6784" w:type="dxa"/>
            <w:vAlign w:val="center"/>
          </w:tcPr>
          <w:p w14:paraId="5172F517">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0A发电机二只</w:t>
            </w:r>
          </w:p>
        </w:tc>
        <w:tc>
          <w:tcPr>
            <w:tcW w:w="1072" w:type="dxa"/>
          </w:tcPr>
          <w:p w14:paraId="322E2F31">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知名品牌</w:t>
            </w:r>
          </w:p>
        </w:tc>
      </w:tr>
      <w:tr w14:paraId="0FAF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08B91A1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组合开关</w:t>
            </w:r>
          </w:p>
        </w:tc>
        <w:tc>
          <w:tcPr>
            <w:tcW w:w="6784" w:type="dxa"/>
            <w:vAlign w:val="center"/>
          </w:tcPr>
          <w:p w14:paraId="3A0440DC">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采用转向柱安装组合式开关，包括大小灯、转向灯、雨刮器、点火开关等控制开关。</w:t>
            </w:r>
          </w:p>
        </w:tc>
        <w:tc>
          <w:tcPr>
            <w:tcW w:w="1072" w:type="dxa"/>
          </w:tcPr>
          <w:p w14:paraId="3570EAC5">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7E60C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3890283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起动机</w:t>
            </w:r>
          </w:p>
        </w:tc>
        <w:tc>
          <w:tcPr>
            <w:tcW w:w="6784" w:type="dxa"/>
            <w:vAlign w:val="center"/>
          </w:tcPr>
          <w:p w14:paraId="737B6EBE">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24V电磁操纵性好。</w:t>
            </w:r>
          </w:p>
        </w:tc>
        <w:tc>
          <w:tcPr>
            <w:tcW w:w="1072" w:type="dxa"/>
          </w:tcPr>
          <w:p w14:paraId="491C4441">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65EB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1A34059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蓄电池</w:t>
            </w:r>
          </w:p>
        </w:tc>
        <w:tc>
          <w:tcPr>
            <w:tcW w:w="6784" w:type="dxa"/>
            <w:vAlign w:val="center"/>
          </w:tcPr>
          <w:p w14:paraId="77CC60D7">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采用国内一线品牌免维护蓄电池≧195Ah两只，镀锌强度钢蓄电池架推拉式托盘，配独立蓄电池仓门并开一小仓门方便机械式电源总开关的开和关，作防腐处理，带气撑式开关，仓底开一处滴水小孔，安装位置要远离排气管。</w:t>
            </w:r>
          </w:p>
        </w:tc>
        <w:tc>
          <w:tcPr>
            <w:tcW w:w="1072" w:type="dxa"/>
          </w:tcPr>
          <w:p w14:paraId="6BE22CF9">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44F3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4473693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储气筒放水阀</w:t>
            </w:r>
          </w:p>
        </w:tc>
        <w:tc>
          <w:tcPr>
            <w:tcW w:w="6784" w:type="dxa"/>
            <w:vAlign w:val="center"/>
          </w:tcPr>
          <w:p w14:paraId="4B4FA2E1">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自动</w:t>
            </w:r>
          </w:p>
        </w:tc>
        <w:tc>
          <w:tcPr>
            <w:tcW w:w="1072" w:type="dxa"/>
          </w:tcPr>
          <w:p w14:paraId="771C77A3">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kern w:val="0"/>
                <w:sz w:val="21"/>
                <w:szCs w:val="21"/>
                <w:highlight w:val="none"/>
              </w:rPr>
            </w:pPr>
          </w:p>
        </w:tc>
      </w:tr>
      <w:tr w14:paraId="079D3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362" w:type="dxa"/>
            <w:gridSpan w:val="3"/>
            <w:vAlign w:val="center"/>
          </w:tcPr>
          <w:p w14:paraId="7845B37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车  身</w:t>
            </w:r>
          </w:p>
        </w:tc>
      </w:tr>
      <w:tr w14:paraId="1E751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6F0A8B5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车身漆色图案</w:t>
            </w:r>
          </w:p>
        </w:tc>
        <w:tc>
          <w:tcPr>
            <w:tcW w:w="6784" w:type="dxa"/>
            <w:vAlign w:val="center"/>
          </w:tcPr>
          <w:p w14:paraId="4CD28D20">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车身油漆采用</w:t>
            </w:r>
            <w:r>
              <w:rPr>
                <w:rFonts w:hint="eastAsia" w:asciiTheme="minorEastAsia" w:hAnsiTheme="minorEastAsia" w:eastAsiaTheme="minorEastAsia" w:cstheme="minorEastAsia"/>
                <w:kern w:val="0"/>
                <w:sz w:val="21"/>
                <w:szCs w:val="21"/>
                <w:highlight w:val="none"/>
              </w:rPr>
              <w:t>进口实色</w:t>
            </w:r>
            <w:r>
              <w:rPr>
                <w:rFonts w:hint="eastAsia" w:asciiTheme="minorEastAsia" w:hAnsiTheme="minorEastAsia" w:eastAsiaTheme="minorEastAsia" w:cstheme="minorEastAsia"/>
                <w:sz w:val="21"/>
                <w:szCs w:val="21"/>
                <w:highlight w:val="none"/>
              </w:rPr>
              <w:t>漆，漆色图案由投标人提供，由招标人确认。</w:t>
            </w:r>
          </w:p>
        </w:tc>
        <w:tc>
          <w:tcPr>
            <w:tcW w:w="1072" w:type="dxa"/>
          </w:tcPr>
          <w:p w14:paraId="2F02565E">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160A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Merge w:val="restart"/>
            <w:vAlign w:val="center"/>
          </w:tcPr>
          <w:p w14:paraId="6B8F16A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▲车身结构与 车身型材</w:t>
            </w:r>
          </w:p>
        </w:tc>
        <w:tc>
          <w:tcPr>
            <w:tcW w:w="6784" w:type="dxa"/>
            <w:vAlign w:val="center"/>
          </w:tcPr>
          <w:p w14:paraId="500C03BA">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rPr>
              <w:t>1</w:t>
            </w:r>
            <w:r>
              <w:rPr>
                <w:rFonts w:hint="eastAsia" w:asciiTheme="minorEastAsia" w:hAnsiTheme="minorEastAsia" w:eastAsiaTheme="minorEastAsia" w:cstheme="minorEastAsia"/>
                <w:b/>
                <w:bCs/>
                <w:sz w:val="21"/>
                <w:szCs w:val="21"/>
                <w:highlight w:val="none"/>
                <w:lang w:val="en-US" w:eastAsia="zh-CN"/>
              </w:rPr>
              <w:t>.</w:t>
            </w:r>
            <w:r>
              <w:rPr>
                <w:rFonts w:hint="eastAsia" w:asciiTheme="minorEastAsia" w:hAnsiTheme="minorEastAsia" w:eastAsiaTheme="minorEastAsia" w:cstheme="minorEastAsia"/>
                <w:b/>
                <w:bCs/>
                <w:sz w:val="21"/>
                <w:szCs w:val="21"/>
                <w:highlight w:val="none"/>
              </w:rPr>
              <w:t>车身采用半承载或更优（全承载）。</w:t>
            </w:r>
            <w:r>
              <w:rPr>
                <w:rFonts w:hint="eastAsia" w:asciiTheme="minorEastAsia" w:hAnsiTheme="minorEastAsia" w:eastAsiaTheme="minorEastAsia" w:cstheme="minorEastAsia"/>
                <w:sz w:val="21"/>
                <w:szCs w:val="21"/>
                <w:highlight w:val="none"/>
              </w:rPr>
              <w:t>采用优质管材，车身骨架 整体强度满足营运客车运行寿命要求。所有结构件和覆盖件内外均经阴极电泳处理，车身蒙皮采用模压件，蒙皮厚度在1.0mm以上，整车蒙皮一次性冲压成型件。车身内顶和侧围整体经有效隔热降噪处理，前后围采用玻璃钢或钢板冲压成型件。</w:t>
            </w:r>
          </w:p>
        </w:tc>
        <w:tc>
          <w:tcPr>
            <w:tcW w:w="1072" w:type="dxa"/>
          </w:tcPr>
          <w:p w14:paraId="76DF1EBF">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35FB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Merge w:val="continue"/>
            <w:vAlign w:val="center"/>
          </w:tcPr>
          <w:p w14:paraId="2455B01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0"/>
                <w:sz w:val="21"/>
                <w:szCs w:val="21"/>
                <w:highlight w:val="none"/>
              </w:rPr>
            </w:pPr>
          </w:p>
        </w:tc>
        <w:tc>
          <w:tcPr>
            <w:tcW w:w="6784" w:type="dxa"/>
            <w:vAlign w:val="center"/>
          </w:tcPr>
          <w:p w14:paraId="2F059AA8">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.双</w:t>
            </w:r>
            <w:r>
              <w:rPr>
                <w:rFonts w:hint="eastAsia" w:asciiTheme="minorEastAsia" w:hAnsiTheme="minorEastAsia" w:eastAsiaTheme="minorEastAsia" w:cstheme="minorEastAsia"/>
                <w:sz w:val="21"/>
                <w:szCs w:val="21"/>
                <w:highlight w:val="none"/>
              </w:rPr>
              <w:t>侧围行李仓门为</w:t>
            </w:r>
            <w:r>
              <w:rPr>
                <w:rFonts w:hint="eastAsia" w:asciiTheme="minorEastAsia" w:hAnsiTheme="minorEastAsia" w:eastAsiaTheme="minorEastAsia" w:cstheme="minorEastAsia"/>
                <w:sz w:val="21"/>
                <w:szCs w:val="21"/>
                <w:highlight w:val="none"/>
                <w:lang w:eastAsia="zh-CN"/>
              </w:rPr>
              <w:t>气动</w:t>
            </w:r>
            <w:r>
              <w:rPr>
                <w:rFonts w:hint="eastAsia" w:asciiTheme="minorEastAsia" w:hAnsiTheme="minorEastAsia" w:eastAsiaTheme="minorEastAsia" w:cstheme="minorEastAsia"/>
                <w:sz w:val="21"/>
                <w:szCs w:val="21"/>
                <w:highlight w:val="none"/>
              </w:rPr>
              <w:t>平移式，液压撑杆，锁芯锁。</w:t>
            </w:r>
          </w:p>
        </w:tc>
        <w:tc>
          <w:tcPr>
            <w:tcW w:w="1072" w:type="dxa"/>
          </w:tcPr>
          <w:p w14:paraId="3BD3FAA3">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5BDDF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Merge w:val="continue"/>
            <w:vAlign w:val="center"/>
          </w:tcPr>
          <w:p w14:paraId="428F474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0"/>
                <w:sz w:val="21"/>
                <w:szCs w:val="21"/>
                <w:highlight w:val="none"/>
              </w:rPr>
            </w:pPr>
          </w:p>
        </w:tc>
        <w:tc>
          <w:tcPr>
            <w:tcW w:w="6784" w:type="dxa"/>
            <w:vAlign w:val="center"/>
          </w:tcPr>
          <w:p w14:paraId="17EC29A5">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在车身左右两侧设有多个支车点，并设置支车点标记。</w:t>
            </w:r>
          </w:p>
        </w:tc>
        <w:tc>
          <w:tcPr>
            <w:tcW w:w="1072" w:type="dxa"/>
          </w:tcPr>
          <w:p w14:paraId="2A1EDAE9">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5AB3B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Merge w:val="continue"/>
            <w:vAlign w:val="center"/>
          </w:tcPr>
          <w:p w14:paraId="0767437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0"/>
                <w:sz w:val="21"/>
                <w:szCs w:val="21"/>
                <w:highlight w:val="none"/>
              </w:rPr>
            </w:pPr>
          </w:p>
        </w:tc>
        <w:tc>
          <w:tcPr>
            <w:tcW w:w="6784" w:type="dxa"/>
            <w:vAlign w:val="center"/>
          </w:tcPr>
          <w:p w14:paraId="4C0339C1">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车厢两边及乘客门上配流水槽。</w:t>
            </w:r>
          </w:p>
        </w:tc>
        <w:tc>
          <w:tcPr>
            <w:tcW w:w="1072" w:type="dxa"/>
          </w:tcPr>
          <w:p w14:paraId="1981FBFF">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020C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Merge w:val="continue"/>
            <w:vAlign w:val="center"/>
          </w:tcPr>
          <w:p w14:paraId="3A68971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0"/>
                <w:sz w:val="21"/>
                <w:szCs w:val="21"/>
                <w:highlight w:val="none"/>
              </w:rPr>
            </w:pPr>
          </w:p>
        </w:tc>
        <w:tc>
          <w:tcPr>
            <w:tcW w:w="6784" w:type="dxa"/>
            <w:vAlign w:val="center"/>
          </w:tcPr>
          <w:p w14:paraId="6AD1C99E">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kern w:val="0"/>
                <w:sz w:val="21"/>
                <w:szCs w:val="21"/>
                <w:highlight w:val="none"/>
              </w:rPr>
              <w:t>车辆纵梁前部适当位置应设置拖钩，拖钩及连接部位骨架、连接方式应满足车辆拖动施救的需求，要求使用方便，拖拉固定可靠。同时纵梁前部区域的各类管路、线束的布置应充分考虑拖车时的运动干涉，以免损坏。</w:t>
            </w:r>
          </w:p>
        </w:tc>
        <w:tc>
          <w:tcPr>
            <w:tcW w:w="1072" w:type="dxa"/>
          </w:tcPr>
          <w:p w14:paraId="756BEAE7">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17BBE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Merge w:val="restart"/>
            <w:vAlign w:val="center"/>
          </w:tcPr>
          <w:p w14:paraId="51E34CD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车厢内处理工艺</w:t>
            </w:r>
          </w:p>
        </w:tc>
        <w:tc>
          <w:tcPr>
            <w:tcW w:w="6784" w:type="dxa"/>
            <w:vAlign w:val="center"/>
          </w:tcPr>
          <w:p w14:paraId="6648A9D7">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1</w:t>
            </w:r>
            <w:r>
              <w:rPr>
                <w:rFonts w:hint="eastAsia" w:asciiTheme="minorEastAsia" w:hAnsiTheme="minorEastAsia" w:eastAsiaTheme="minorEastAsia" w:cstheme="minorEastAsia"/>
                <w:kern w:val="0"/>
                <w:sz w:val="21"/>
                <w:szCs w:val="21"/>
                <w:highlight w:val="none"/>
                <w:lang w:val="en-US" w:eastAsia="zh-CN"/>
              </w:rPr>
              <w:t>.</w:t>
            </w:r>
            <w:r>
              <w:rPr>
                <w:rFonts w:hint="eastAsia" w:asciiTheme="minorEastAsia" w:hAnsiTheme="minorEastAsia" w:eastAsiaTheme="minorEastAsia" w:cstheme="minorEastAsia"/>
                <w:kern w:val="0"/>
                <w:sz w:val="21"/>
                <w:szCs w:val="21"/>
                <w:highlight w:val="none"/>
              </w:rPr>
              <w:t>车厢内各阴阳角拼缝处拼压平整贴服。</w:t>
            </w:r>
          </w:p>
        </w:tc>
        <w:tc>
          <w:tcPr>
            <w:tcW w:w="1072" w:type="dxa"/>
          </w:tcPr>
          <w:p w14:paraId="4FB65386">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53981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Merge w:val="continue"/>
            <w:vAlign w:val="center"/>
          </w:tcPr>
          <w:p w14:paraId="04F1A4D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0"/>
                <w:sz w:val="21"/>
                <w:szCs w:val="21"/>
                <w:highlight w:val="none"/>
              </w:rPr>
            </w:pPr>
          </w:p>
        </w:tc>
        <w:tc>
          <w:tcPr>
            <w:tcW w:w="6784" w:type="dxa"/>
            <w:vAlign w:val="center"/>
          </w:tcPr>
          <w:p w14:paraId="591BBBC9">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2</w:t>
            </w:r>
            <w:r>
              <w:rPr>
                <w:rFonts w:hint="eastAsia" w:asciiTheme="minorEastAsia" w:hAnsiTheme="minorEastAsia" w:eastAsiaTheme="minorEastAsia" w:cstheme="minorEastAsia"/>
                <w:kern w:val="0"/>
                <w:sz w:val="21"/>
                <w:szCs w:val="21"/>
                <w:highlight w:val="none"/>
                <w:lang w:val="en-US" w:eastAsia="zh-CN"/>
              </w:rPr>
              <w:t>.</w:t>
            </w:r>
            <w:r>
              <w:rPr>
                <w:rFonts w:hint="eastAsia" w:asciiTheme="minorEastAsia" w:hAnsiTheme="minorEastAsia" w:eastAsiaTheme="minorEastAsia" w:cstheme="minorEastAsia"/>
                <w:kern w:val="0"/>
                <w:sz w:val="21"/>
                <w:szCs w:val="21"/>
                <w:highlight w:val="none"/>
              </w:rPr>
              <w:t>乘客可能触及的车身内外部件、构件都不应有尖角和锐边。</w:t>
            </w:r>
          </w:p>
        </w:tc>
        <w:tc>
          <w:tcPr>
            <w:tcW w:w="1072" w:type="dxa"/>
          </w:tcPr>
          <w:p w14:paraId="2721432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5473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3E37F3E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防锈处理工艺</w:t>
            </w:r>
          </w:p>
        </w:tc>
        <w:tc>
          <w:tcPr>
            <w:tcW w:w="6784" w:type="dxa"/>
            <w:vAlign w:val="center"/>
          </w:tcPr>
          <w:p w14:paraId="0B45102B">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整车阴极电泳的工艺。</w:t>
            </w:r>
            <w:r>
              <w:rPr>
                <w:rFonts w:hint="eastAsia" w:asciiTheme="minorEastAsia" w:hAnsiTheme="minorEastAsia" w:eastAsiaTheme="minorEastAsia" w:cstheme="minorEastAsia"/>
                <w:b w:val="0"/>
                <w:bCs/>
                <w:sz w:val="21"/>
                <w:szCs w:val="21"/>
                <w:highlight w:val="none"/>
              </w:rPr>
              <w:t>整车防腐效果达到8年以上。附承诺书</w:t>
            </w:r>
          </w:p>
        </w:tc>
        <w:tc>
          <w:tcPr>
            <w:tcW w:w="1072" w:type="dxa"/>
          </w:tcPr>
          <w:p w14:paraId="7227848D">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7D3F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10306D4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b w:val="0"/>
                <w:bCs w:val="0"/>
                <w:color w:val="auto"/>
                <w:sz w:val="21"/>
                <w:szCs w:val="21"/>
                <w:highlight w:val="none"/>
              </w:rPr>
              <w:t>前／后挡风玻璃、侧车窗</w:t>
            </w:r>
          </w:p>
        </w:tc>
        <w:tc>
          <w:tcPr>
            <w:tcW w:w="6784" w:type="dxa"/>
            <w:vAlign w:val="center"/>
          </w:tcPr>
          <w:p w14:paraId="32BB40E7">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val="0"/>
                <w:bCs w:val="0"/>
                <w:color w:val="auto"/>
                <w:sz w:val="21"/>
                <w:szCs w:val="21"/>
                <w:highlight w:val="none"/>
              </w:rPr>
              <w:t>前挡为双层夹胶防紫外线隔热</w:t>
            </w:r>
            <w:r>
              <w:rPr>
                <w:rFonts w:hint="eastAsia" w:asciiTheme="minorEastAsia" w:hAnsiTheme="minorEastAsia" w:eastAsiaTheme="minorEastAsia" w:cstheme="minorEastAsia"/>
                <w:b w:val="0"/>
                <w:bCs w:val="0"/>
                <w:sz w:val="21"/>
                <w:szCs w:val="21"/>
                <w:highlight w:val="none"/>
              </w:rPr>
              <w:t>大视野双曲面</w:t>
            </w:r>
            <w:r>
              <w:rPr>
                <w:rFonts w:hint="eastAsia" w:asciiTheme="minorEastAsia" w:hAnsiTheme="minorEastAsia" w:eastAsiaTheme="minorEastAsia" w:cstheme="minorEastAsia"/>
                <w:b w:val="0"/>
                <w:bCs w:val="0"/>
                <w:color w:val="auto"/>
                <w:sz w:val="21"/>
                <w:szCs w:val="21"/>
                <w:highlight w:val="none"/>
              </w:rPr>
              <w:t>玻璃；后挡为隔热钢化玻璃；均采用粘接式结构。侧窗</w:t>
            </w:r>
            <w:r>
              <w:rPr>
                <w:rFonts w:hint="eastAsia" w:asciiTheme="minorEastAsia" w:hAnsiTheme="minorEastAsia" w:eastAsiaTheme="minorEastAsia" w:cstheme="minorEastAsia"/>
                <w:b w:val="0"/>
                <w:bCs w:val="0"/>
                <w:color w:val="auto"/>
                <w:sz w:val="21"/>
                <w:szCs w:val="21"/>
                <w:highlight w:val="none"/>
                <w:lang w:eastAsia="zh-CN"/>
              </w:rPr>
              <w:t>为</w:t>
            </w:r>
            <w:r>
              <w:rPr>
                <w:rFonts w:hint="eastAsia" w:asciiTheme="minorEastAsia" w:hAnsiTheme="minorEastAsia" w:eastAsiaTheme="minorEastAsia" w:cstheme="minorEastAsia"/>
                <w:b w:val="0"/>
                <w:bCs w:val="0"/>
                <w:color w:val="auto"/>
                <w:sz w:val="21"/>
                <w:szCs w:val="21"/>
                <w:highlight w:val="none"/>
              </w:rPr>
              <w:t>防紫外线隔热车窗玻璃，满足上牌要求。</w:t>
            </w:r>
            <w:r>
              <w:rPr>
                <w:rFonts w:hint="eastAsia" w:asciiTheme="minorEastAsia" w:hAnsiTheme="minorEastAsia" w:eastAsiaTheme="minorEastAsia" w:cstheme="minorEastAsia"/>
                <w:b w:val="0"/>
                <w:bCs w:val="0"/>
                <w:color w:val="auto"/>
                <w:sz w:val="21"/>
                <w:szCs w:val="21"/>
                <w:highlight w:val="none"/>
                <w:lang w:eastAsia="zh-CN"/>
              </w:rPr>
              <w:t>免费配备本车型整车玻璃一套。</w:t>
            </w:r>
          </w:p>
        </w:tc>
        <w:tc>
          <w:tcPr>
            <w:tcW w:w="1072" w:type="dxa"/>
          </w:tcPr>
          <w:p w14:paraId="34F0D208">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4DB9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1FD7EB3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前挡风遮阳帘</w:t>
            </w:r>
          </w:p>
        </w:tc>
        <w:tc>
          <w:tcPr>
            <w:tcW w:w="6784" w:type="dxa"/>
            <w:vAlign w:val="center"/>
          </w:tcPr>
          <w:p w14:paraId="45A545C1">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电动双幅遮阳帘</w:t>
            </w:r>
          </w:p>
        </w:tc>
        <w:tc>
          <w:tcPr>
            <w:tcW w:w="1072" w:type="dxa"/>
          </w:tcPr>
          <w:p w14:paraId="52459862">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3A344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60D668F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侧窗、窗帘</w:t>
            </w:r>
          </w:p>
        </w:tc>
        <w:tc>
          <w:tcPr>
            <w:tcW w:w="6784" w:type="dxa"/>
            <w:vAlign w:val="center"/>
          </w:tcPr>
          <w:p w14:paraId="67329F45">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后两侧内置推拉窗、配应急外推窗，其余全封闭玻璃。配环保优质豪华窗帘。</w:t>
            </w:r>
          </w:p>
        </w:tc>
        <w:tc>
          <w:tcPr>
            <w:tcW w:w="1072" w:type="dxa"/>
          </w:tcPr>
          <w:p w14:paraId="71914285">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13620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588AE2B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车门 、乘客门安全手动应急阀。</w:t>
            </w:r>
          </w:p>
        </w:tc>
        <w:tc>
          <w:tcPr>
            <w:tcW w:w="6784" w:type="dxa"/>
            <w:vAlign w:val="center"/>
          </w:tcPr>
          <w:p w14:paraId="5E29226D">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全铝遥控外摆乘客门，前、中门，带防夹装置，车外装应急阀。配有安全门</w:t>
            </w:r>
            <w:r>
              <w:rPr>
                <w:rFonts w:hint="eastAsia" w:asciiTheme="minorEastAsia" w:hAnsiTheme="minorEastAsia" w:eastAsiaTheme="minorEastAsia" w:cstheme="minorEastAsia"/>
                <w:sz w:val="21"/>
                <w:szCs w:val="21"/>
                <w:highlight w:val="none"/>
                <w:lang w:eastAsia="zh-CN"/>
              </w:rPr>
              <w:t>。</w:t>
            </w:r>
          </w:p>
        </w:tc>
        <w:tc>
          <w:tcPr>
            <w:tcW w:w="1072" w:type="dxa"/>
          </w:tcPr>
          <w:p w14:paraId="45C5B7F2">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1D983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503B5DB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▲乘客座椅</w:t>
            </w:r>
          </w:p>
        </w:tc>
        <w:tc>
          <w:tcPr>
            <w:tcW w:w="6784" w:type="dxa"/>
            <w:vAlign w:val="center"/>
          </w:tcPr>
          <w:p w14:paraId="629A0204">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kern w:val="0"/>
                <w:sz w:val="21"/>
                <w:szCs w:val="21"/>
                <w:highlight w:val="none"/>
              </w:rPr>
              <w:t>豪华中商务双色仿皮面料座椅,</w:t>
            </w:r>
            <w:r>
              <w:rPr>
                <w:rFonts w:hint="eastAsia" w:asciiTheme="minorEastAsia" w:hAnsiTheme="minorEastAsia" w:eastAsiaTheme="minorEastAsia" w:cstheme="minorEastAsia"/>
                <w:kern w:val="0"/>
                <w:sz w:val="21"/>
                <w:szCs w:val="21"/>
                <w:highlight w:val="none"/>
              </w:rPr>
              <w:t>背可调、座椅可横移，固定扶手，配USB充电接口，带座位号，座椅后背绣“请全程系好安全带”字样，2+2排列。尽量考虑旅客舒适性。</w:t>
            </w:r>
            <w:r>
              <w:rPr>
                <w:rFonts w:hint="eastAsia" w:asciiTheme="minorEastAsia" w:hAnsiTheme="minorEastAsia" w:eastAsiaTheme="minorEastAsia" w:cstheme="minorEastAsia"/>
                <w:sz w:val="21"/>
                <w:szCs w:val="21"/>
                <w:highlight w:val="none"/>
              </w:rPr>
              <w:t>（要求质保8年，附质保承诺书）</w:t>
            </w:r>
            <w:r>
              <w:rPr>
                <w:rFonts w:hint="eastAsia" w:asciiTheme="minorEastAsia" w:hAnsiTheme="minorEastAsia" w:eastAsiaTheme="minorEastAsia" w:cstheme="minorEastAsia"/>
                <w:kern w:val="0"/>
                <w:sz w:val="21"/>
                <w:szCs w:val="21"/>
                <w:highlight w:val="none"/>
              </w:rPr>
              <w:t>。</w:t>
            </w:r>
          </w:p>
        </w:tc>
        <w:tc>
          <w:tcPr>
            <w:tcW w:w="1072" w:type="dxa"/>
          </w:tcPr>
          <w:p w14:paraId="43C079E3">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42FDD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0F9FAB6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安全带</w:t>
            </w:r>
          </w:p>
        </w:tc>
        <w:tc>
          <w:tcPr>
            <w:tcW w:w="6784" w:type="dxa"/>
            <w:vAlign w:val="center"/>
          </w:tcPr>
          <w:p w14:paraId="1942936C">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整车安全带（全车三点式</w:t>
            </w:r>
            <w:r>
              <w:rPr>
                <w:rFonts w:hint="eastAsia" w:asciiTheme="minorEastAsia" w:hAnsiTheme="minorEastAsia" w:eastAsiaTheme="minorEastAsia" w:cstheme="minorEastAsia"/>
                <w:kern w:val="0"/>
                <w:sz w:val="21"/>
                <w:szCs w:val="21"/>
                <w:highlight w:val="none"/>
                <w:lang w:eastAsia="zh-CN"/>
              </w:rPr>
              <w:t>伸缩</w:t>
            </w:r>
            <w:r>
              <w:rPr>
                <w:rFonts w:hint="eastAsia" w:asciiTheme="minorEastAsia" w:hAnsiTheme="minorEastAsia" w:eastAsiaTheme="minorEastAsia" w:cstheme="minorEastAsia"/>
                <w:kern w:val="0"/>
                <w:sz w:val="21"/>
                <w:szCs w:val="21"/>
                <w:highlight w:val="none"/>
              </w:rPr>
              <w:t>安全带，有重力感应带报警）</w:t>
            </w:r>
          </w:p>
        </w:tc>
        <w:tc>
          <w:tcPr>
            <w:tcW w:w="1072" w:type="dxa"/>
          </w:tcPr>
          <w:p w14:paraId="6CFD3873">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1C9F3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351F634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地板</w:t>
            </w:r>
          </w:p>
        </w:tc>
        <w:tc>
          <w:tcPr>
            <w:tcW w:w="6784" w:type="dxa"/>
            <w:vAlign w:val="center"/>
          </w:tcPr>
          <w:p w14:paraId="4FA002C1">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1.铺设地毯纹防滑地板革，阻燃、环保，平整无明显凸起，地板革需符合GB38262-2019标准，防滑等级R11，耐磨等级T级。</w:t>
            </w:r>
          </w:p>
          <w:p w14:paraId="4B29E319">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2.安装车用PVC高品质耐高温阻燃专用、防腐、环保地板，符合国标。厚度≥18mm，地板铺设工艺需按照地板生产厂家工艺要求，免费质保8年。加密加大地板下纵、横支撑梁，防止地板悬空断裂、下沉。</w:t>
            </w:r>
          </w:p>
        </w:tc>
        <w:tc>
          <w:tcPr>
            <w:tcW w:w="1072" w:type="dxa"/>
          </w:tcPr>
          <w:p w14:paraId="4A92FFF9">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5542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6CC774C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内饰</w:t>
            </w:r>
          </w:p>
        </w:tc>
        <w:tc>
          <w:tcPr>
            <w:tcW w:w="6784" w:type="dxa"/>
            <w:vAlign w:val="center"/>
          </w:tcPr>
          <w:p w14:paraId="33D4AA65">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rPr>
              <w:t>中顶皮革面料（阻燃材料）商务内饰，</w:t>
            </w:r>
            <w:r>
              <w:rPr>
                <w:rFonts w:hint="eastAsia" w:asciiTheme="minorEastAsia" w:hAnsiTheme="minorEastAsia" w:eastAsiaTheme="minorEastAsia" w:cstheme="minorEastAsia"/>
                <w:b w:val="0"/>
                <w:bCs w:val="0"/>
                <w:sz w:val="21"/>
                <w:szCs w:val="21"/>
                <w:highlight w:val="none"/>
              </w:rPr>
              <w:t>航空式双边行李架</w:t>
            </w:r>
            <w:r>
              <w:rPr>
                <w:rFonts w:hint="eastAsia" w:asciiTheme="minorEastAsia" w:hAnsiTheme="minorEastAsia" w:eastAsiaTheme="minorEastAsia" w:cstheme="minorEastAsia"/>
                <w:b w:val="0"/>
                <w:bCs w:val="0"/>
                <w:sz w:val="21"/>
                <w:szCs w:val="21"/>
                <w:highlight w:val="none"/>
                <w:lang w:eastAsia="zh-CN"/>
              </w:rPr>
              <w:t>，</w:t>
            </w:r>
            <w:r>
              <w:rPr>
                <w:rFonts w:hint="eastAsia" w:asciiTheme="minorEastAsia" w:hAnsiTheme="minorEastAsia" w:eastAsiaTheme="minorEastAsia" w:cstheme="minorEastAsia"/>
                <w:b w:val="0"/>
                <w:bCs w:val="0"/>
                <w:sz w:val="21"/>
                <w:szCs w:val="21"/>
                <w:highlight w:val="none"/>
              </w:rPr>
              <w:t>带舱盖</w:t>
            </w:r>
          </w:p>
        </w:tc>
        <w:tc>
          <w:tcPr>
            <w:tcW w:w="1072" w:type="dxa"/>
          </w:tcPr>
          <w:p w14:paraId="1C63F768">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031C9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47F9400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驾驶区仪表台</w:t>
            </w:r>
          </w:p>
        </w:tc>
        <w:tc>
          <w:tcPr>
            <w:tcW w:w="6784" w:type="dxa"/>
            <w:vAlign w:val="center"/>
          </w:tcPr>
          <w:p w14:paraId="4414FD63">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整体式仪表台，应充分考虑满足配装车载监控、中客门（倒车）监视器、GPS车载机、等布置要求。 </w:t>
            </w:r>
            <w:r>
              <w:rPr>
                <w:rFonts w:hint="eastAsia" w:asciiTheme="minorEastAsia" w:hAnsiTheme="minorEastAsia" w:eastAsiaTheme="minorEastAsia" w:cstheme="minorEastAsia"/>
                <w:kern w:val="0"/>
                <w:sz w:val="21"/>
                <w:szCs w:val="21"/>
                <w:highlight w:val="none"/>
              </w:rPr>
              <w:t>为方便雨刷器等部件的检修与拆装，在仪表台设置专用检修门。</w:t>
            </w:r>
          </w:p>
        </w:tc>
        <w:tc>
          <w:tcPr>
            <w:tcW w:w="1072" w:type="dxa"/>
          </w:tcPr>
          <w:p w14:paraId="06FEA89F">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3ECC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1BD8B58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仪表</w:t>
            </w:r>
          </w:p>
        </w:tc>
        <w:tc>
          <w:tcPr>
            <w:tcW w:w="6784" w:type="dxa"/>
            <w:vAlign w:val="center"/>
          </w:tcPr>
          <w:p w14:paraId="0B95D5DA">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一体式，</w:t>
            </w:r>
            <w:r>
              <w:rPr>
                <w:rFonts w:hint="eastAsia" w:asciiTheme="minorEastAsia" w:hAnsiTheme="minorEastAsia" w:eastAsiaTheme="minorEastAsia" w:cstheme="minorEastAsia"/>
                <w:kern w:val="0"/>
                <w:sz w:val="21"/>
                <w:szCs w:val="21"/>
                <w:highlight w:val="none"/>
              </w:rPr>
              <w:t>在仪表显示面板上要有ABS和发动机故障“闪码”显示功能,各设一个“闪码”开关。配国标OBD诊断接口，</w:t>
            </w:r>
            <w:r>
              <w:rPr>
                <w:rFonts w:hint="eastAsia" w:asciiTheme="minorEastAsia" w:hAnsiTheme="minorEastAsia" w:eastAsiaTheme="minorEastAsia" w:cstheme="minorEastAsia"/>
                <w:sz w:val="21"/>
                <w:szCs w:val="21"/>
                <w:highlight w:val="none"/>
              </w:rPr>
              <w:t>要求阻燃性高。</w:t>
            </w:r>
          </w:p>
        </w:tc>
        <w:tc>
          <w:tcPr>
            <w:tcW w:w="1072" w:type="dxa"/>
          </w:tcPr>
          <w:p w14:paraId="641C7DD7">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7DD54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7D33D8A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▲后视镜</w:t>
            </w:r>
          </w:p>
        </w:tc>
        <w:tc>
          <w:tcPr>
            <w:tcW w:w="6784" w:type="dxa"/>
            <w:vAlign w:val="center"/>
          </w:tcPr>
          <w:p w14:paraId="37C05340">
            <w:pPr>
              <w:keepNext w:val="0"/>
              <w:keepLines w:val="0"/>
              <w:numPr>
                <w:ilvl w:val="0"/>
                <w:numId w:val="0"/>
              </w:numPr>
              <w:suppressLineNumbers w:val="0"/>
              <w:spacing w:before="0" w:beforeAutospacing="0" w:after="0" w:afterAutospacing="0" w:line="240" w:lineRule="auto"/>
              <w:ind w:left="0" w:leftChars="0" w:right="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1.豪华无盲区电动后视镜。车厢大视野内视镜。</w:t>
            </w:r>
          </w:p>
          <w:p w14:paraId="671A3107">
            <w:pPr>
              <w:keepNext w:val="0"/>
              <w:keepLines w:val="0"/>
              <w:numPr>
                <w:ilvl w:val="0"/>
                <w:numId w:val="0"/>
              </w:numPr>
              <w:suppressLineNumbers w:val="0"/>
              <w:spacing w:before="0" w:beforeAutospacing="0" w:after="0" w:afterAutospacing="0" w:line="240" w:lineRule="auto"/>
              <w:ind w:left="0" w:leftChars="0" w:right="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配带盲区检测电子后视镜，整车在左右两侧分别安装BSD盲区检测系统，左右2路BSD告警，整套系统采用全链路数字信号传输，融合电子后视镜功能，分别将告警信息以声、光、图像形式显示在对应侧电子后视镜上。</w:t>
            </w:r>
          </w:p>
          <w:p w14:paraId="1F8C8548">
            <w:pPr>
              <w:keepNext w:val="0"/>
              <w:keepLines w:val="0"/>
              <w:numPr>
                <w:ilvl w:val="0"/>
                <w:numId w:val="0"/>
              </w:numPr>
              <w:suppressLineNumbers w:val="0"/>
              <w:spacing w:before="0" w:beforeAutospacing="0" w:after="0" w:afterAutospacing="0" w:line="240" w:lineRule="auto"/>
              <w:ind w:left="0" w:leftChars="0" w:right="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3.可通过语义分割算法实现对马路牙子，公交站台，隔离带，隔离栅栏等边界进行识别划分出可行驶区域，并对可行驶区域外的行人进行告警过滤。</w:t>
            </w:r>
          </w:p>
          <w:p w14:paraId="1DCE23D1">
            <w:pPr>
              <w:keepNext w:val="0"/>
              <w:keepLines w:val="0"/>
              <w:numPr>
                <w:ilvl w:val="0"/>
                <w:numId w:val="0"/>
              </w:numPr>
              <w:suppressLineNumbers w:val="0"/>
              <w:spacing w:before="0" w:beforeAutospacing="0" w:after="0" w:afterAutospacing="0" w:line="240" w:lineRule="auto"/>
              <w:ind w:left="0" w:leftChars="0" w:right="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4.系统可识别行人/自行车/摩托车/电单车/三轮车/手推车等，支持多种行人姿态检测，如撑伞/站立/蹲坐等，系统需具备夜视功能，检测距离不低于20m，告警检出率不低于98%。</w:t>
            </w:r>
          </w:p>
          <w:p w14:paraId="552FCA36">
            <w:pPr>
              <w:keepNext w:val="0"/>
              <w:keepLines w:val="0"/>
              <w:numPr>
                <w:ilvl w:val="0"/>
                <w:numId w:val="0"/>
              </w:numPr>
              <w:suppressLineNumbers w:val="0"/>
              <w:spacing w:before="0" w:beforeAutospacing="0" w:after="0" w:afterAutospacing="0" w:line="240" w:lineRule="auto"/>
              <w:ind w:left="0" w:leftChars="0" w:right="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5.系统采用2块高清IPS显示屏电子后视镜（液晶屏≥12.3寸）4颗数字高感光防水摄像头及2颗BSD盲区检测摄像头。</w:t>
            </w:r>
          </w:p>
          <w:p w14:paraId="7B1573E9">
            <w:pPr>
              <w:keepNext w:val="0"/>
              <w:keepLines w:val="0"/>
              <w:numPr>
                <w:ilvl w:val="0"/>
                <w:numId w:val="0"/>
              </w:numPr>
              <w:suppressLineNumbers w:val="0"/>
              <w:spacing w:before="0" w:beforeAutospacing="0" w:after="0" w:afterAutospacing="0" w:line="240" w:lineRule="auto"/>
              <w:ind w:left="0" w:leftChars="0" w:right="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6.盲区检测摄像头安装在车辆的尾部，离地1.8~2.5m，由后往前看，能够对车辆左右内轮差盲区，A柱盲区，后视镜盲区进行有效检测报警。</w:t>
            </w:r>
          </w:p>
          <w:p w14:paraId="6C0ADA45">
            <w:pPr>
              <w:keepNext w:val="0"/>
              <w:keepLines w:val="0"/>
              <w:numPr>
                <w:ilvl w:val="0"/>
                <w:numId w:val="0"/>
              </w:numPr>
              <w:suppressLineNumbers w:val="0"/>
              <w:spacing w:before="0" w:beforeAutospacing="0" w:after="0" w:afterAutospacing="0" w:line="240" w:lineRule="auto"/>
              <w:ind w:left="0" w:leftChars="0" w:right="0"/>
              <w:jc w:val="lef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lang w:val="en-US" w:eastAsia="zh-CN"/>
              </w:rPr>
              <w:t>7.整套系统厂家需管理体系通过IATF16949认证，及产品EMC证书。质保八年（含易损、易耗件），出具质保承诺函。</w:t>
            </w:r>
          </w:p>
        </w:tc>
        <w:tc>
          <w:tcPr>
            <w:tcW w:w="1072" w:type="dxa"/>
          </w:tcPr>
          <w:p w14:paraId="653FD4B3">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1F99B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569AF0C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司机座椅</w:t>
            </w:r>
          </w:p>
        </w:tc>
        <w:tc>
          <w:tcPr>
            <w:tcW w:w="6784" w:type="dxa"/>
            <w:vAlign w:val="center"/>
          </w:tcPr>
          <w:p w14:paraId="2EA83728">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仿皮面料高靠背气囊减震可调座椅，三点式带报警功能安全带。</w:t>
            </w:r>
          </w:p>
        </w:tc>
        <w:tc>
          <w:tcPr>
            <w:tcW w:w="1072" w:type="dxa"/>
          </w:tcPr>
          <w:p w14:paraId="2F3EA362">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76007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7E39308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司机窗</w:t>
            </w:r>
          </w:p>
        </w:tc>
        <w:tc>
          <w:tcPr>
            <w:tcW w:w="6784" w:type="dxa"/>
            <w:vAlign w:val="center"/>
          </w:tcPr>
          <w:p w14:paraId="56E70481">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铝合金推拉车窗，司机窗下拉式遮阳帘。</w:t>
            </w:r>
          </w:p>
        </w:tc>
        <w:tc>
          <w:tcPr>
            <w:tcW w:w="1072" w:type="dxa"/>
          </w:tcPr>
          <w:p w14:paraId="3F11D9E9">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70DC1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4DA4F64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司机区</w:t>
            </w:r>
          </w:p>
        </w:tc>
        <w:tc>
          <w:tcPr>
            <w:tcW w:w="6784" w:type="dxa"/>
            <w:vAlign w:val="center"/>
          </w:tcPr>
          <w:p w14:paraId="149FCB86">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必须安装司机全包围，驾驶员和前乘客门处分别安装软叶小</w:t>
            </w:r>
            <w:r>
              <w:rPr>
                <w:rFonts w:hint="eastAsia" w:asciiTheme="minorEastAsia" w:hAnsiTheme="minorEastAsia" w:eastAsiaTheme="minorEastAsia" w:cstheme="minorEastAsia"/>
                <w:kern w:val="0"/>
                <w:sz w:val="21"/>
                <w:szCs w:val="21"/>
                <w:highlight w:val="none"/>
              </w:rPr>
              <w:t>风扇，配USB充电接口。</w:t>
            </w:r>
            <w:r>
              <w:rPr>
                <w:rFonts w:hint="eastAsia" w:asciiTheme="minorEastAsia" w:hAnsiTheme="minorEastAsia" w:eastAsiaTheme="minorEastAsia" w:cstheme="minorEastAsia"/>
                <w:sz w:val="21"/>
                <w:szCs w:val="21"/>
                <w:highlight w:val="none"/>
              </w:rPr>
              <w:t>茶杯支架。水壶支架。</w:t>
            </w:r>
          </w:p>
        </w:tc>
        <w:tc>
          <w:tcPr>
            <w:tcW w:w="1072" w:type="dxa"/>
          </w:tcPr>
          <w:p w14:paraId="08DD55E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6AA1D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0431340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护栏</w:t>
            </w:r>
          </w:p>
        </w:tc>
        <w:tc>
          <w:tcPr>
            <w:tcW w:w="6784" w:type="dxa"/>
            <w:vAlign w:val="center"/>
          </w:tcPr>
          <w:p w14:paraId="5120750F">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软化护栏，配置导游可折叠靠背。</w:t>
            </w:r>
          </w:p>
        </w:tc>
        <w:tc>
          <w:tcPr>
            <w:tcW w:w="1072" w:type="dxa"/>
          </w:tcPr>
          <w:p w14:paraId="110DB80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7F1A6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795E1C1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天窗</w:t>
            </w:r>
          </w:p>
        </w:tc>
        <w:tc>
          <w:tcPr>
            <w:tcW w:w="6784" w:type="dxa"/>
            <w:vAlign w:val="center"/>
          </w:tcPr>
          <w:p w14:paraId="065E9144">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2个带电动换气扇顶风窗。</w:t>
            </w:r>
          </w:p>
        </w:tc>
        <w:tc>
          <w:tcPr>
            <w:tcW w:w="1072" w:type="dxa"/>
          </w:tcPr>
          <w:p w14:paraId="3FBEF22E">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3B90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621D01F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车内照明</w:t>
            </w:r>
          </w:p>
        </w:tc>
        <w:tc>
          <w:tcPr>
            <w:tcW w:w="6784" w:type="dxa"/>
            <w:vAlign w:val="center"/>
          </w:tcPr>
          <w:p w14:paraId="303C640F">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LED顶灯，前后分开控制。司机顶部工作灯。配乘客阅读灯。踏步灯及LED过道氛围灯带。</w:t>
            </w:r>
          </w:p>
        </w:tc>
        <w:tc>
          <w:tcPr>
            <w:tcW w:w="1072" w:type="dxa"/>
          </w:tcPr>
          <w:p w14:paraId="561E9C95">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4B744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1B9BBBD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雨刮</w:t>
            </w:r>
          </w:p>
        </w:tc>
        <w:tc>
          <w:tcPr>
            <w:tcW w:w="6784" w:type="dxa"/>
            <w:vAlign w:val="center"/>
          </w:tcPr>
          <w:p w14:paraId="6EEB7052">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雨刷器括刷面积满足驾驶视野要求。</w:t>
            </w:r>
          </w:p>
        </w:tc>
        <w:tc>
          <w:tcPr>
            <w:tcW w:w="1072" w:type="dxa"/>
          </w:tcPr>
          <w:p w14:paraId="713ADE87">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25F9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7890F5C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定速巡航</w:t>
            </w:r>
          </w:p>
        </w:tc>
        <w:tc>
          <w:tcPr>
            <w:tcW w:w="6784" w:type="dxa"/>
            <w:vAlign w:val="center"/>
          </w:tcPr>
          <w:p w14:paraId="729D4545">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配定速巡航功能</w:t>
            </w:r>
          </w:p>
        </w:tc>
        <w:tc>
          <w:tcPr>
            <w:tcW w:w="1072" w:type="dxa"/>
          </w:tcPr>
          <w:p w14:paraId="5AC5EEDA">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7B4C7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362" w:type="dxa"/>
            <w:gridSpan w:val="3"/>
            <w:vAlign w:val="center"/>
          </w:tcPr>
          <w:p w14:paraId="61C9F40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空调系统</w:t>
            </w:r>
          </w:p>
        </w:tc>
      </w:tr>
      <w:tr w14:paraId="2C521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52A6F3A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空调</w:t>
            </w:r>
          </w:p>
        </w:tc>
        <w:tc>
          <w:tcPr>
            <w:tcW w:w="6784" w:type="dxa"/>
            <w:vAlign w:val="center"/>
          </w:tcPr>
          <w:p w14:paraId="68868229">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顶置非独立空调；制冷量</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000</w:t>
            </w:r>
            <w:r>
              <w:rPr>
                <w:rFonts w:hint="eastAsia" w:asciiTheme="minorEastAsia" w:hAnsiTheme="minorEastAsia" w:eastAsiaTheme="minorEastAsia" w:cstheme="minorEastAsia"/>
                <w:sz w:val="21"/>
                <w:szCs w:val="21"/>
                <w:highlight w:val="none"/>
              </w:rPr>
              <w:t>大卡；空调机组安装牢固可靠，整机性能稳定，拆装清洁方便。前、后车厢及驾驶区各部位温度均匀一致。风道内增设导流板，确保冷风有效引入车厢。冷凝、蒸发风机采用进口无刷风机，</w:t>
            </w:r>
            <w:r>
              <w:rPr>
                <w:rFonts w:hint="eastAsia" w:asciiTheme="minorEastAsia" w:hAnsiTheme="minorEastAsia" w:eastAsiaTheme="minorEastAsia" w:cstheme="minorEastAsia"/>
                <w:b/>
                <w:sz w:val="21"/>
                <w:szCs w:val="21"/>
                <w:highlight w:val="none"/>
              </w:rPr>
              <w:t>进口或国产</w:t>
            </w:r>
            <w:r>
              <w:rPr>
                <w:rFonts w:hint="eastAsia" w:asciiTheme="minorEastAsia" w:hAnsiTheme="minorEastAsia" w:eastAsiaTheme="minorEastAsia" w:cstheme="minorEastAsia"/>
                <w:sz w:val="21"/>
                <w:szCs w:val="21"/>
                <w:highlight w:val="none"/>
              </w:rPr>
              <w:t>膨胀阀、干燥过滤器、电磁阀、视液镜、离合器；比泽尔压缩机；空调保险采用防松保险，空调管道采用铜质管，</w:t>
            </w:r>
            <w:r>
              <w:rPr>
                <w:rFonts w:hint="eastAsia" w:asciiTheme="minorEastAsia" w:hAnsiTheme="minorEastAsia" w:eastAsiaTheme="minorEastAsia" w:cstheme="minorEastAsia"/>
                <w:b w:val="0"/>
                <w:bCs/>
                <w:sz w:val="21"/>
                <w:szCs w:val="21"/>
                <w:highlight w:val="none"/>
              </w:rPr>
              <w:t>免费质保8年（含易损、易耗件</w:t>
            </w:r>
            <w:r>
              <w:rPr>
                <w:rFonts w:hint="eastAsia" w:asciiTheme="minorEastAsia" w:hAnsiTheme="minorEastAsia" w:eastAsiaTheme="minorEastAsia" w:cstheme="minorEastAsia"/>
                <w:b w:val="0"/>
                <w:bCs/>
                <w:kern w:val="0"/>
                <w:sz w:val="21"/>
                <w:szCs w:val="21"/>
                <w:highlight w:val="none"/>
              </w:rPr>
              <w:t>）</w:t>
            </w:r>
            <w:r>
              <w:rPr>
                <w:rFonts w:hint="eastAsia" w:asciiTheme="minorEastAsia" w:hAnsiTheme="minorEastAsia" w:eastAsiaTheme="minorEastAsia" w:cstheme="minorEastAsia"/>
                <w:b w:val="0"/>
                <w:bCs/>
                <w:sz w:val="21"/>
                <w:szCs w:val="21"/>
                <w:highlight w:val="none"/>
              </w:rPr>
              <w:t>，</w:t>
            </w:r>
            <w:r>
              <w:rPr>
                <w:rFonts w:hint="eastAsia" w:asciiTheme="minorEastAsia" w:hAnsiTheme="minorEastAsia" w:eastAsiaTheme="minorEastAsia" w:cstheme="minorEastAsia"/>
                <w:kern w:val="0"/>
                <w:sz w:val="21"/>
                <w:szCs w:val="21"/>
                <w:highlight w:val="none"/>
              </w:rPr>
              <w:t>附</w:t>
            </w:r>
            <w:r>
              <w:rPr>
                <w:rFonts w:hint="eastAsia" w:asciiTheme="minorEastAsia" w:hAnsiTheme="minorEastAsia" w:eastAsiaTheme="minorEastAsia" w:cstheme="minorEastAsia"/>
                <w:kern w:val="0"/>
                <w:sz w:val="21"/>
                <w:szCs w:val="21"/>
                <w:highlight w:val="none"/>
                <w:lang w:val="en-US" w:eastAsia="zh-CN"/>
              </w:rPr>
              <w:t>质保</w:t>
            </w:r>
            <w:r>
              <w:rPr>
                <w:rFonts w:hint="eastAsia" w:asciiTheme="minorEastAsia" w:hAnsiTheme="minorEastAsia" w:eastAsiaTheme="minorEastAsia" w:cstheme="minorEastAsia"/>
                <w:kern w:val="0"/>
                <w:sz w:val="21"/>
                <w:szCs w:val="21"/>
                <w:highlight w:val="none"/>
              </w:rPr>
              <w:t>承诺书。</w:t>
            </w:r>
          </w:p>
        </w:tc>
        <w:tc>
          <w:tcPr>
            <w:tcW w:w="1072" w:type="dxa"/>
            <w:vAlign w:val="center"/>
          </w:tcPr>
          <w:p w14:paraId="399AD713">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2FCDF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2F2EC40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水暖</w:t>
            </w:r>
          </w:p>
        </w:tc>
        <w:tc>
          <w:tcPr>
            <w:tcW w:w="6784" w:type="dxa"/>
            <w:vAlign w:val="center"/>
          </w:tcPr>
          <w:p w14:paraId="065054F3">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非独立强制水暖（带水泵），车厢6只</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壁挂式</w:t>
            </w:r>
            <w:r>
              <w:rPr>
                <w:rFonts w:hint="eastAsia" w:asciiTheme="minorEastAsia" w:hAnsiTheme="minorEastAsia" w:eastAsiaTheme="minorEastAsia" w:cstheme="minorEastAsia"/>
                <w:sz w:val="21"/>
                <w:szCs w:val="21"/>
                <w:highlight w:val="none"/>
                <w:lang w:val="en-US" w:eastAsia="zh-CN"/>
              </w:rPr>
              <w:t>+方箱式）</w:t>
            </w:r>
            <w:r>
              <w:rPr>
                <w:rFonts w:hint="eastAsia" w:asciiTheme="minorEastAsia" w:hAnsiTheme="minorEastAsia" w:eastAsiaTheme="minorEastAsia" w:cstheme="minorEastAsia"/>
                <w:sz w:val="21"/>
                <w:szCs w:val="21"/>
                <w:highlight w:val="none"/>
              </w:rPr>
              <w:t>暖风散热器并安装防踏保护罩，驾驶区设暖风口，前挡风玻璃除霜机，铜管路。</w:t>
            </w:r>
          </w:p>
        </w:tc>
        <w:tc>
          <w:tcPr>
            <w:tcW w:w="1072" w:type="dxa"/>
          </w:tcPr>
          <w:p w14:paraId="3FE5B86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334F3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290" w:type="dxa"/>
            <w:gridSpan w:val="2"/>
            <w:vAlign w:val="center"/>
          </w:tcPr>
          <w:p w14:paraId="176DE0A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发动机仓</w:t>
            </w:r>
          </w:p>
        </w:tc>
        <w:tc>
          <w:tcPr>
            <w:tcW w:w="1072" w:type="dxa"/>
            <w:vAlign w:val="center"/>
          </w:tcPr>
          <w:p w14:paraId="65F0B50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sz w:val="21"/>
                <w:szCs w:val="21"/>
                <w:highlight w:val="none"/>
              </w:rPr>
            </w:pPr>
          </w:p>
        </w:tc>
      </w:tr>
      <w:tr w14:paraId="08D16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43DBA2D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自动灭火装置</w:t>
            </w:r>
          </w:p>
        </w:tc>
        <w:tc>
          <w:tcPr>
            <w:tcW w:w="6784" w:type="dxa"/>
            <w:vAlign w:val="center"/>
          </w:tcPr>
          <w:p w14:paraId="69A6A0D8">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标配发动机仓温报警和灭火装置3只（有前手控开关）质保10年</w:t>
            </w:r>
            <w:r>
              <w:rPr>
                <w:rFonts w:hint="eastAsia" w:asciiTheme="minorEastAsia" w:hAnsiTheme="minorEastAsia" w:eastAsiaTheme="minorEastAsia" w:cstheme="minorEastAsia"/>
                <w:b w:val="0"/>
                <w:bCs w:val="0"/>
                <w:kern w:val="0"/>
                <w:sz w:val="21"/>
                <w:szCs w:val="21"/>
                <w:highlight w:val="none"/>
              </w:rPr>
              <w:t>出具质保承诺函</w:t>
            </w:r>
            <w:r>
              <w:rPr>
                <w:rFonts w:hint="eastAsia" w:asciiTheme="minorEastAsia" w:hAnsiTheme="minorEastAsia" w:eastAsiaTheme="minorEastAsia" w:cstheme="minorEastAsia"/>
                <w:b w:val="0"/>
                <w:bCs w:val="0"/>
                <w:sz w:val="21"/>
                <w:szCs w:val="21"/>
                <w:highlight w:val="none"/>
              </w:rPr>
              <w:t>。（</w:t>
            </w:r>
            <w:r>
              <w:rPr>
                <w:rFonts w:hint="eastAsia" w:asciiTheme="minorEastAsia" w:hAnsiTheme="minorEastAsia" w:eastAsiaTheme="minorEastAsia" w:cstheme="minorEastAsia"/>
                <w:sz w:val="21"/>
                <w:szCs w:val="21"/>
                <w:highlight w:val="none"/>
              </w:rPr>
              <w:t>产品过保质期由中标方负责免费更换）。</w:t>
            </w:r>
          </w:p>
        </w:tc>
        <w:tc>
          <w:tcPr>
            <w:tcW w:w="1072" w:type="dxa"/>
          </w:tcPr>
          <w:p w14:paraId="7178D344">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7C5EF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362" w:type="dxa"/>
            <w:gridSpan w:val="3"/>
            <w:vAlign w:val="center"/>
          </w:tcPr>
          <w:p w14:paraId="4E62D94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其  它</w:t>
            </w:r>
          </w:p>
        </w:tc>
      </w:tr>
      <w:tr w14:paraId="59DF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11C2EC3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三级</w:t>
            </w:r>
            <w:r>
              <w:rPr>
                <w:rFonts w:hint="eastAsia" w:asciiTheme="minorEastAsia" w:hAnsiTheme="minorEastAsia" w:eastAsiaTheme="minorEastAsia" w:cstheme="minorEastAsia"/>
                <w:sz w:val="21"/>
                <w:szCs w:val="21"/>
                <w:highlight w:val="none"/>
              </w:rPr>
              <w:t>CAN总线</w:t>
            </w:r>
          </w:p>
        </w:tc>
        <w:tc>
          <w:tcPr>
            <w:tcW w:w="6784" w:type="dxa"/>
            <w:vAlign w:val="center"/>
          </w:tcPr>
          <w:p w14:paraId="6C8DB630">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标配，配国标OBD诊断接口</w:t>
            </w:r>
          </w:p>
        </w:tc>
        <w:tc>
          <w:tcPr>
            <w:tcW w:w="1072" w:type="dxa"/>
          </w:tcPr>
          <w:p w14:paraId="1B73D4B3">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5496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4F78B4B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行车记录仪</w:t>
            </w:r>
          </w:p>
        </w:tc>
        <w:tc>
          <w:tcPr>
            <w:tcW w:w="6784" w:type="dxa"/>
            <w:vAlign w:val="center"/>
          </w:tcPr>
          <w:p w14:paraId="3324F922">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标配（符合国家最新要求标准）</w:t>
            </w:r>
          </w:p>
        </w:tc>
        <w:tc>
          <w:tcPr>
            <w:tcW w:w="1072" w:type="dxa"/>
          </w:tcPr>
          <w:p w14:paraId="4120184F">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3075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50DDA25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电/气喇叭</w:t>
            </w:r>
          </w:p>
        </w:tc>
        <w:tc>
          <w:tcPr>
            <w:tcW w:w="6784" w:type="dxa"/>
            <w:vAlign w:val="center"/>
          </w:tcPr>
          <w:p w14:paraId="7B787F70">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配置</w:t>
            </w:r>
          </w:p>
        </w:tc>
        <w:tc>
          <w:tcPr>
            <w:tcW w:w="1072" w:type="dxa"/>
          </w:tcPr>
          <w:p w14:paraId="5478C844">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1C9D3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7786E25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视听音响系统</w:t>
            </w:r>
          </w:p>
        </w:tc>
        <w:tc>
          <w:tcPr>
            <w:tcW w:w="6784" w:type="dxa"/>
            <w:vAlign w:val="center"/>
          </w:tcPr>
          <w:p w14:paraId="4FD4221E">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前、中22寸高清液晶彩色显示器各一只。高清硬盘播放器，豪华点歌台（点歌显示屏1</w:t>
            </w:r>
            <w:r>
              <w:rPr>
                <w:rFonts w:hint="eastAsia" w:asciiTheme="minorEastAsia" w:hAnsiTheme="minorEastAsia" w:eastAsiaTheme="minorEastAsia" w:cstheme="minorEastAsia"/>
                <w:kern w:val="0"/>
                <w:sz w:val="21"/>
                <w:szCs w:val="21"/>
                <w:highlight w:val="none"/>
                <w:lang w:val="en-US" w:eastAsia="zh-CN"/>
              </w:rPr>
              <w:t>5.6</w:t>
            </w:r>
            <w:r>
              <w:rPr>
                <w:rFonts w:hint="eastAsia" w:asciiTheme="minorEastAsia" w:hAnsiTheme="minorEastAsia" w:eastAsiaTheme="minorEastAsia" w:cstheme="minorEastAsia"/>
                <w:kern w:val="0"/>
                <w:sz w:val="21"/>
                <w:szCs w:val="21"/>
                <w:highlight w:val="none"/>
              </w:rPr>
              <w:t>寸</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3T硬盘10万首歌曲）及600W以上功放</w:t>
            </w:r>
            <w:r>
              <w:rPr>
                <w:rFonts w:hint="eastAsia" w:asciiTheme="minorEastAsia" w:hAnsiTheme="minorEastAsia" w:eastAsiaTheme="minorEastAsia" w:cstheme="minorEastAsia"/>
                <w:kern w:val="0"/>
                <w:sz w:val="21"/>
                <w:szCs w:val="21"/>
                <w:highlight w:val="none"/>
                <w:lang w:val="en-US" w:eastAsia="zh-CN"/>
              </w:rPr>
              <w:t>+进口品牌</w:t>
            </w:r>
            <w:r>
              <w:rPr>
                <w:rFonts w:hint="eastAsia" w:asciiTheme="minorEastAsia" w:hAnsiTheme="minorEastAsia" w:eastAsiaTheme="minorEastAsia" w:cstheme="minorEastAsia"/>
                <w:kern w:val="0"/>
                <w:sz w:val="21"/>
                <w:szCs w:val="21"/>
                <w:highlight w:val="none"/>
                <w:lang w:eastAsia="zh-CN"/>
              </w:rPr>
              <w:t>扬声器（喇叭</w:t>
            </w:r>
            <w:r>
              <w:rPr>
                <w:rFonts w:hint="eastAsia" w:asciiTheme="minorEastAsia" w:hAnsiTheme="minorEastAsia" w:eastAsiaTheme="minorEastAsia" w:cstheme="minorEastAsia"/>
                <w:kern w:val="0"/>
                <w:sz w:val="21"/>
                <w:szCs w:val="21"/>
                <w:highlight w:val="none"/>
              </w:rPr>
              <w:t>12只或以上</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，配二个无线麦克风（支持充电）。点歌台要求设计美观、</w:t>
            </w:r>
            <w:r>
              <w:rPr>
                <w:rFonts w:hint="eastAsia" w:asciiTheme="minorEastAsia" w:hAnsiTheme="minorEastAsia" w:eastAsiaTheme="minorEastAsia" w:cstheme="minorEastAsia"/>
                <w:kern w:val="0"/>
                <w:sz w:val="21"/>
                <w:szCs w:val="21"/>
                <w:highlight w:val="none"/>
                <w:lang w:eastAsia="zh-CN"/>
              </w:rPr>
              <w:t>安装</w:t>
            </w:r>
            <w:r>
              <w:rPr>
                <w:rFonts w:hint="eastAsia" w:asciiTheme="minorEastAsia" w:hAnsiTheme="minorEastAsia" w:eastAsiaTheme="minorEastAsia" w:cstheme="minorEastAsia"/>
                <w:kern w:val="0"/>
                <w:sz w:val="21"/>
                <w:szCs w:val="21"/>
                <w:highlight w:val="none"/>
              </w:rPr>
              <w:t>牢固</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中标后要求跟招标人对接确认。</w:t>
            </w:r>
            <w:r>
              <w:rPr>
                <w:rFonts w:hint="eastAsia" w:asciiTheme="minorEastAsia" w:hAnsiTheme="minorEastAsia" w:eastAsiaTheme="minorEastAsia" w:cstheme="minorEastAsia"/>
                <w:sz w:val="21"/>
                <w:szCs w:val="21"/>
                <w:highlight w:val="none"/>
                <w:lang w:val="en-US" w:eastAsia="zh-CN"/>
              </w:rPr>
              <w:t>整套系统厂家需管理体系通过IATF16949认证。</w:t>
            </w:r>
            <w:r>
              <w:rPr>
                <w:rFonts w:hint="eastAsia" w:asciiTheme="minorEastAsia" w:hAnsiTheme="minorEastAsia" w:eastAsiaTheme="minorEastAsia" w:cstheme="minorEastAsia"/>
                <w:kern w:val="0"/>
                <w:sz w:val="21"/>
                <w:szCs w:val="21"/>
                <w:highlight w:val="none"/>
              </w:rPr>
              <w:t>整套设备要求质保5年，附质保承诺书。</w:t>
            </w:r>
          </w:p>
        </w:tc>
        <w:tc>
          <w:tcPr>
            <w:tcW w:w="1072" w:type="dxa"/>
          </w:tcPr>
          <w:p w14:paraId="6E54D48A">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762CE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6D1A0AF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车载智能设备</w:t>
            </w:r>
          </w:p>
        </w:tc>
        <w:tc>
          <w:tcPr>
            <w:tcW w:w="6784" w:type="dxa"/>
            <w:vAlign w:val="center"/>
          </w:tcPr>
          <w:p w14:paraId="7DB52D57">
            <w:pPr>
              <w:keepNext w:val="0"/>
              <w:keepLines w:val="0"/>
              <w:suppressLineNumbers w:val="0"/>
              <w:tabs>
                <w:tab w:val="left" w:pos="312"/>
              </w:tabs>
              <w:adjustRightInd w:val="0"/>
              <w:snapToGrid w:val="0"/>
              <w:spacing w:before="0" w:beforeAutospacing="0" w:after="0" w:afterAutospacing="0" w:line="240" w:lineRule="auto"/>
              <w:ind w:left="0" w:right="0"/>
              <w:rPr>
                <w:rFonts w:hint="eastAsia"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rPr>
              <w:t>1.每车配置6台摄像机，其中车内摄像机3台，倒车监控摄像机1台，主动安全ADAS、DMS两路。</w:t>
            </w:r>
          </w:p>
          <w:p w14:paraId="3723F5AE">
            <w:pPr>
              <w:keepNext w:val="0"/>
              <w:keepLines w:val="0"/>
              <w:suppressLineNumbers w:val="0"/>
              <w:tabs>
                <w:tab w:val="left" w:pos="312"/>
              </w:tabs>
              <w:adjustRightInd w:val="0"/>
              <w:snapToGrid w:val="0"/>
              <w:spacing w:before="0" w:beforeAutospacing="0" w:after="0" w:afterAutospacing="0" w:line="240" w:lineRule="auto"/>
              <w:ind w:left="0" w:right="0"/>
              <w:rPr>
                <w:rFonts w:hint="eastAsia"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rPr>
              <w:t>2.车载监控主机支持至少6路720P模拟高清、1路IPC接入；4G通讯，北斗/GPS双模，含RS232、RS485、USB等接口；内置喇叭、刷卡器、内置喇叭支持85dB@10cm最大音量；1TB硬盘。</w:t>
            </w:r>
          </w:p>
          <w:p w14:paraId="0B92AADE">
            <w:pPr>
              <w:keepNext w:val="0"/>
              <w:keepLines w:val="0"/>
              <w:suppressLineNumbers w:val="0"/>
              <w:tabs>
                <w:tab w:val="left" w:pos="312"/>
              </w:tabs>
              <w:adjustRightInd w:val="0"/>
              <w:snapToGrid w:val="0"/>
              <w:spacing w:before="0" w:beforeAutospacing="0" w:after="0" w:afterAutospacing="0" w:line="240" w:lineRule="auto"/>
              <w:ind w:left="0" w:right="0"/>
              <w:rPr>
                <w:rFonts w:hint="eastAsia"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rPr>
              <w:t>3.ADAS摄像机：分辨率≥1920×1080P，视频输出 AHD同轴高清标准，4pin航空线。</w:t>
            </w:r>
          </w:p>
          <w:p w14:paraId="0A8455AA">
            <w:pPr>
              <w:keepNext w:val="0"/>
              <w:keepLines w:val="0"/>
              <w:suppressLineNumbers w:val="0"/>
              <w:tabs>
                <w:tab w:val="left" w:pos="312"/>
              </w:tabs>
              <w:adjustRightInd w:val="0"/>
              <w:snapToGrid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rPr>
              <w:t>4.DSM摄像机：分辨率≥1280×720P，</w:t>
            </w:r>
            <w:r>
              <w:rPr>
                <w:rFonts w:hint="eastAsia" w:asciiTheme="minorEastAsia" w:hAnsiTheme="minorEastAsia" w:eastAsiaTheme="minorEastAsia" w:cstheme="minorEastAsia"/>
                <w:sz w:val="21"/>
                <w:szCs w:val="21"/>
                <w:highlight w:val="none"/>
                <w:lang w:val="en-US" w:eastAsia="zh-CN"/>
              </w:rPr>
              <w:t>带主动防御系统，算法需达到Safe GPT或优于。</w:t>
            </w:r>
          </w:p>
          <w:p w14:paraId="158ABA79">
            <w:pPr>
              <w:keepNext w:val="0"/>
              <w:keepLines w:val="0"/>
              <w:suppressLineNumbers w:val="0"/>
              <w:tabs>
                <w:tab w:val="left" w:pos="312"/>
              </w:tabs>
              <w:adjustRightInd w:val="0"/>
              <w:snapToGrid w:val="0"/>
              <w:spacing w:before="0" w:beforeAutospacing="0" w:after="0" w:afterAutospacing="0" w:line="240" w:lineRule="auto"/>
              <w:ind w:left="0" w:right="0"/>
              <w:rPr>
                <w:rFonts w:hint="eastAsia"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color w:val="000000"/>
                <w:kern w:val="0"/>
                <w:sz w:val="21"/>
                <w:szCs w:val="21"/>
                <w:highlight w:val="none"/>
                <w:lang w:val="en-US" w:eastAsia="zh-CN"/>
              </w:rPr>
              <w:t>硬件质保8年</w:t>
            </w:r>
            <w:r>
              <w:rPr>
                <w:rFonts w:hint="eastAsia" w:asciiTheme="minorEastAsia" w:hAnsiTheme="minorEastAsia" w:eastAsiaTheme="minorEastAsia" w:cstheme="minorEastAsia"/>
                <w:sz w:val="21"/>
                <w:szCs w:val="21"/>
                <w:highlight w:val="none"/>
                <w:lang w:val="en-US" w:eastAsia="zh-CN"/>
              </w:rPr>
              <w:t>（含易损，易耗件）出具厂家质保承诺函。</w:t>
            </w:r>
          </w:p>
          <w:p w14:paraId="7255C730">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rPr>
              <w:t>6.</w:t>
            </w:r>
            <w:r>
              <w:rPr>
                <w:rFonts w:hint="eastAsia" w:asciiTheme="minorEastAsia" w:hAnsiTheme="minorEastAsia" w:eastAsiaTheme="minorEastAsia" w:cstheme="minorEastAsia"/>
                <w:b/>
                <w:bCs/>
                <w:color w:val="000000"/>
                <w:kern w:val="0"/>
                <w:sz w:val="21"/>
                <w:szCs w:val="21"/>
                <w:highlight w:val="none"/>
                <w:lang w:val="en-US" w:eastAsia="zh-CN"/>
              </w:rPr>
              <w:t>车载智能设备需与招标方现有的系统和平台（新安护航）兼容对接，</w:t>
            </w:r>
            <w:r>
              <w:rPr>
                <w:rFonts w:hint="eastAsia" w:asciiTheme="minorEastAsia" w:hAnsiTheme="minorEastAsia" w:eastAsiaTheme="minorEastAsia" w:cstheme="minorEastAsia"/>
                <w:b/>
                <w:bCs/>
                <w:sz w:val="21"/>
                <w:szCs w:val="21"/>
                <w:highlight w:val="none"/>
              </w:rPr>
              <w:t>若不兼容由中标单位承担一切费用。</w:t>
            </w:r>
          </w:p>
        </w:tc>
        <w:tc>
          <w:tcPr>
            <w:tcW w:w="1072" w:type="dxa"/>
          </w:tcPr>
          <w:p w14:paraId="13459018">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203E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285D2BC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lang w:val="en-US" w:eastAsia="zh-CN"/>
              </w:rPr>
              <w:t>360全景</w:t>
            </w:r>
          </w:p>
        </w:tc>
        <w:tc>
          <w:tcPr>
            <w:tcW w:w="6784" w:type="dxa"/>
            <w:vAlign w:val="center"/>
          </w:tcPr>
          <w:p w14:paraId="70C4761A">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360全景环视主机不低于4路输入，至少具备2路视频输出接口，工作电压满足</w:t>
            </w:r>
            <w:r>
              <w:rPr>
                <w:rFonts w:hint="eastAsia" w:asciiTheme="minorEastAsia" w:hAnsiTheme="minorEastAsia" w:eastAsiaTheme="minorEastAsia" w:cstheme="minorEastAsia"/>
                <w:sz w:val="21"/>
                <w:szCs w:val="21"/>
                <w:highlight w:val="none"/>
              </w:rPr>
              <w:t>-30℃~85℃</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硬线信号具备左右转向和倒车信号接口，在收到信号是可实时不同场景的3D画面，具备CAN通讯功能。360画面显示到仪表台7寸显示屏上，360环视免费质保8年（含易损、易耗件），出具质保承诺函。整套系统厂家需管理体系通过IATF16949认证及产品EMC证书。</w:t>
            </w:r>
          </w:p>
        </w:tc>
        <w:tc>
          <w:tcPr>
            <w:tcW w:w="1072" w:type="dxa"/>
          </w:tcPr>
          <w:p w14:paraId="025BEC43">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3738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0C04CE4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驾驶员预警系统</w:t>
            </w:r>
          </w:p>
        </w:tc>
        <w:tc>
          <w:tcPr>
            <w:tcW w:w="6784" w:type="dxa"/>
            <w:vAlign w:val="center"/>
          </w:tcPr>
          <w:p w14:paraId="454362BD">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国产车道偏离及偏离预警系统（探头可监测）</w:t>
            </w:r>
          </w:p>
        </w:tc>
        <w:tc>
          <w:tcPr>
            <w:tcW w:w="1072" w:type="dxa"/>
          </w:tcPr>
          <w:p w14:paraId="2E11D8AF">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51C9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5447ECB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标识</w:t>
            </w:r>
          </w:p>
        </w:tc>
        <w:tc>
          <w:tcPr>
            <w:tcW w:w="6784" w:type="dxa"/>
            <w:vAlign w:val="center"/>
          </w:tcPr>
          <w:p w14:paraId="736F70DA">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乘客门、安全窗等标识，监督电话“12328”，企业名称：建德市公共交通运输有限公司</w:t>
            </w:r>
            <w:r>
              <w:rPr>
                <w:rFonts w:hint="eastAsia" w:asciiTheme="minorEastAsia" w:hAnsiTheme="minorEastAsia" w:eastAsiaTheme="minorEastAsia" w:cstheme="minorEastAsia"/>
                <w:sz w:val="21"/>
                <w:szCs w:val="21"/>
                <w:highlight w:val="none"/>
              </w:rPr>
              <w:t>。</w:t>
            </w:r>
          </w:p>
          <w:p w14:paraId="4E4B6BEE">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eastAsia="zh-CN"/>
              </w:rPr>
              <w:t>车身张贴或喷涂企业</w:t>
            </w:r>
            <w:r>
              <w:rPr>
                <w:rFonts w:hint="eastAsia" w:asciiTheme="minorEastAsia" w:hAnsiTheme="minorEastAsia" w:eastAsiaTheme="minorEastAsia" w:cstheme="minorEastAsia"/>
                <w:sz w:val="21"/>
                <w:szCs w:val="21"/>
                <w:highlight w:val="none"/>
                <w:lang w:val="en-US" w:eastAsia="zh-CN"/>
              </w:rPr>
              <w:t>LOGO+</w:t>
            </w:r>
            <w:r>
              <w:rPr>
                <w:rFonts w:hint="eastAsia" w:asciiTheme="minorEastAsia" w:hAnsiTheme="minorEastAsia" w:eastAsiaTheme="minorEastAsia" w:cstheme="minorEastAsia"/>
                <w:sz w:val="21"/>
                <w:szCs w:val="21"/>
                <w:highlight w:val="none"/>
                <w:lang w:eastAsia="zh-CN"/>
              </w:rPr>
              <w:t>“建德公交”字样，具体由招标人确定。</w:t>
            </w:r>
          </w:p>
        </w:tc>
        <w:tc>
          <w:tcPr>
            <w:tcW w:w="1072" w:type="dxa"/>
          </w:tcPr>
          <w:p w14:paraId="45504EF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402E0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03BB457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灭火器</w:t>
            </w:r>
          </w:p>
        </w:tc>
        <w:tc>
          <w:tcPr>
            <w:tcW w:w="6784" w:type="dxa"/>
            <w:vAlign w:val="center"/>
          </w:tcPr>
          <w:p w14:paraId="75F629B7">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4kg灭火器2只。</w:t>
            </w:r>
          </w:p>
        </w:tc>
        <w:tc>
          <w:tcPr>
            <w:tcW w:w="1072" w:type="dxa"/>
          </w:tcPr>
          <w:p w14:paraId="61D051AC">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7E5D0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272240F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自动破窗装置</w:t>
            </w:r>
          </w:p>
        </w:tc>
        <w:tc>
          <w:tcPr>
            <w:tcW w:w="6784" w:type="dxa"/>
            <w:vAlign w:val="center"/>
          </w:tcPr>
          <w:p w14:paraId="0250BF84">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安装符合国标要求的手自一体、一拖四自动破窗器（要求质保8年，附质保承诺书）。</w:t>
            </w:r>
          </w:p>
          <w:p w14:paraId="2AF7F352">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生产企业需通过IATF16949:2016汽车质量管理体系认证，具备国家客车质量监督检验中心《客车自动破窗装置》的检验报告，装置符合国家交通运输部行业JT/T1030-2016《客车电磁击窗器标准》。</w:t>
            </w:r>
          </w:p>
          <w:p w14:paraId="023BAA35">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破窗装置需采用电动机作为动能破窗，具备手自一体破窗，并有手动破窗防误触碰报警功能。</w:t>
            </w:r>
          </w:p>
          <w:p w14:paraId="5A267319">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破窗装置采用翻盖防误触碰报警，单个破窗装置破窗工作时的电流应不大于1安倍；破窗装置重要功能应符合国家交通运输行业《城市公共汽电车辆专用安全设施技术要求JT/T1391-2021》中相关标准。</w:t>
            </w:r>
          </w:p>
          <w:p w14:paraId="3744F5CC">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破窗装置采用的控制开关应同时具备自动检测故障和防误触碰报警保护功能；应具备24小时全程（主动）自动检测故障报警提示功能，且同时具有单个及多个破窗器线路故障提示功能，便于及时发现故障及时检修。</w:t>
            </w:r>
          </w:p>
        </w:tc>
        <w:tc>
          <w:tcPr>
            <w:tcW w:w="1072" w:type="dxa"/>
          </w:tcPr>
          <w:p w14:paraId="5138EFF4">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4B352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53E3133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安全锤</w:t>
            </w:r>
          </w:p>
        </w:tc>
        <w:tc>
          <w:tcPr>
            <w:tcW w:w="6784" w:type="dxa"/>
            <w:vAlign w:val="center"/>
          </w:tcPr>
          <w:p w14:paraId="55A19561">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w:t>
            </w:r>
            <w:r>
              <w:rPr>
                <w:rFonts w:hint="eastAsia" w:asciiTheme="minorEastAsia" w:hAnsiTheme="minorEastAsia" w:eastAsiaTheme="minorEastAsia" w:cstheme="minorEastAsia"/>
                <w:b/>
                <w:sz w:val="21"/>
                <w:szCs w:val="21"/>
              </w:rPr>
              <w:t>7</w:t>
            </w:r>
            <w:r>
              <w:rPr>
                <w:rFonts w:hint="eastAsia" w:asciiTheme="minorEastAsia" w:hAnsiTheme="minorEastAsia" w:eastAsiaTheme="minorEastAsia" w:cstheme="minorEastAsia"/>
                <w:sz w:val="21"/>
                <w:szCs w:val="21"/>
              </w:rPr>
              <w:t>只（带防盗自动报警型）安全锤，其中司机旁安装</w:t>
            </w:r>
            <w:r>
              <w:rPr>
                <w:rFonts w:hint="eastAsia" w:asciiTheme="minorEastAsia" w:hAnsiTheme="minorEastAsia" w:eastAsiaTheme="minorEastAsia" w:cstheme="minorEastAsia"/>
                <w:b/>
                <w:sz w:val="21"/>
                <w:szCs w:val="21"/>
              </w:rPr>
              <w:t>1</w:t>
            </w:r>
            <w:r>
              <w:rPr>
                <w:rFonts w:hint="eastAsia" w:asciiTheme="minorEastAsia" w:hAnsiTheme="minorEastAsia" w:eastAsiaTheme="minorEastAsia" w:cstheme="minorEastAsia"/>
                <w:sz w:val="21"/>
                <w:szCs w:val="21"/>
              </w:rPr>
              <w:t>只，符合GB7258-2017《机动车运行安全技术条件》要求</w:t>
            </w:r>
          </w:p>
        </w:tc>
        <w:tc>
          <w:tcPr>
            <w:tcW w:w="1072" w:type="dxa"/>
          </w:tcPr>
          <w:p w14:paraId="79A2C212">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4918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113D1B5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工具箱</w:t>
            </w:r>
          </w:p>
        </w:tc>
        <w:tc>
          <w:tcPr>
            <w:tcW w:w="6784" w:type="dxa"/>
            <w:vAlign w:val="center"/>
          </w:tcPr>
          <w:p w14:paraId="74F71563">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color w:val="auto"/>
                <w:sz w:val="21"/>
                <w:szCs w:val="21"/>
              </w:rPr>
              <w:t>车厢内安装一个固定工具箱，工具箱式样及安装位置与招标单位对接后确认</w:t>
            </w:r>
            <w:r>
              <w:rPr>
                <w:rFonts w:hint="eastAsia"/>
                <w:color w:val="auto"/>
                <w:sz w:val="21"/>
                <w:szCs w:val="21"/>
                <w:lang w:eastAsia="zh-CN"/>
              </w:rPr>
              <w:t>。</w:t>
            </w:r>
          </w:p>
        </w:tc>
        <w:tc>
          <w:tcPr>
            <w:tcW w:w="1072" w:type="dxa"/>
          </w:tcPr>
          <w:p w14:paraId="127C4BFC">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0EF8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0B06919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随车工具</w:t>
            </w:r>
          </w:p>
        </w:tc>
        <w:tc>
          <w:tcPr>
            <w:tcW w:w="6784" w:type="dxa"/>
            <w:vAlign w:val="center"/>
          </w:tcPr>
          <w:p w14:paraId="22609279">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color w:val="auto"/>
                <w:sz w:val="21"/>
                <w:szCs w:val="21"/>
              </w:rPr>
              <w:t>提供</w:t>
            </w:r>
            <w:r>
              <w:rPr>
                <w:rFonts w:hint="default"/>
                <w:color w:val="auto"/>
                <w:sz w:val="21"/>
                <w:szCs w:val="21"/>
              </w:rPr>
              <w:t>1</w:t>
            </w:r>
            <w:r>
              <w:rPr>
                <w:rFonts w:hint="eastAsia"/>
                <w:color w:val="auto"/>
                <w:sz w:val="21"/>
                <w:szCs w:val="21"/>
              </w:rPr>
              <w:t>车</w:t>
            </w:r>
            <w:r>
              <w:rPr>
                <w:rFonts w:hint="default"/>
                <w:color w:val="auto"/>
                <w:sz w:val="21"/>
                <w:szCs w:val="21"/>
              </w:rPr>
              <w:t>1</w:t>
            </w:r>
            <w:r>
              <w:rPr>
                <w:rFonts w:hint="eastAsia"/>
                <w:color w:val="auto"/>
                <w:sz w:val="21"/>
                <w:szCs w:val="21"/>
              </w:rPr>
              <w:t>套随车工具及专用工具</w:t>
            </w:r>
            <w:r>
              <w:rPr>
                <w:rFonts w:hint="eastAsia"/>
                <w:color w:val="auto"/>
                <w:sz w:val="21"/>
                <w:szCs w:val="21"/>
                <w:lang w:eastAsia="zh-CN"/>
              </w:rPr>
              <w:t>。</w:t>
            </w:r>
          </w:p>
        </w:tc>
        <w:tc>
          <w:tcPr>
            <w:tcW w:w="1072" w:type="dxa"/>
          </w:tcPr>
          <w:p w14:paraId="796CB359">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7478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4EDAD52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垃圾篓支架</w:t>
            </w:r>
          </w:p>
        </w:tc>
        <w:tc>
          <w:tcPr>
            <w:tcW w:w="6784" w:type="dxa"/>
            <w:vAlign w:val="center"/>
          </w:tcPr>
          <w:p w14:paraId="2DF6F30D">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配备2只小垃圾桶，（设“易腐”和“其他”标识）</w:t>
            </w:r>
          </w:p>
        </w:tc>
        <w:tc>
          <w:tcPr>
            <w:tcW w:w="1072" w:type="dxa"/>
          </w:tcPr>
          <w:p w14:paraId="070B588D">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52C7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763C1BA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电子钟</w:t>
            </w:r>
          </w:p>
        </w:tc>
        <w:tc>
          <w:tcPr>
            <w:tcW w:w="6784" w:type="dxa"/>
            <w:vAlign w:val="center"/>
          </w:tcPr>
          <w:p w14:paraId="2F271F30">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时间温度一体显示电子钟</w:t>
            </w:r>
          </w:p>
        </w:tc>
        <w:tc>
          <w:tcPr>
            <w:tcW w:w="1072" w:type="dxa"/>
          </w:tcPr>
          <w:p w14:paraId="2DD94FB9">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77AD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1DD9B97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警告牌</w:t>
            </w:r>
          </w:p>
        </w:tc>
        <w:tc>
          <w:tcPr>
            <w:tcW w:w="6784" w:type="dxa"/>
            <w:vAlign w:val="center"/>
          </w:tcPr>
          <w:p w14:paraId="3F2EC8EF">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w:t>
            </w:r>
          </w:p>
        </w:tc>
        <w:tc>
          <w:tcPr>
            <w:tcW w:w="1072" w:type="dxa"/>
          </w:tcPr>
          <w:p w14:paraId="3152196D">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0EF3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62094B3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线束</w:t>
            </w:r>
          </w:p>
        </w:tc>
        <w:tc>
          <w:tcPr>
            <w:tcW w:w="6784" w:type="dxa"/>
            <w:vAlign w:val="center"/>
          </w:tcPr>
          <w:p w14:paraId="1BCEFD5D">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整车（镀锡）电线束、油气水管路排列整齐，固定牢固，与高温、旋转部件保持安全距离或作重点防护，外覆阻燃材料，穿越洞孔时加装可靠的绝缘防磨损护套。保险盒区预留二个电源接口备用。</w:t>
            </w:r>
          </w:p>
        </w:tc>
        <w:tc>
          <w:tcPr>
            <w:tcW w:w="1072" w:type="dxa"/>
          </w:tcPr>
          <w:p w14:paraId="30FD1DA6">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2B18E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1506" w:type="dxa"/>
            <w:vAlign w:val="center"/>
          </w:tcPr>
          <w:p w14:paraId="454AEC9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备注</w:t>
            </w:r>
          </w:p>
        </w:tc>
        <w:tc>
          <w:tcPr>
            <w:tcW w:w="6784" w:type="dxa"/>
            <w:vAlign w:val="center"/>
          </w:tcPr>
          <w:p w14:paraId="43545486">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本车型必须符合2018年4月1日实施的JT/T1094-2016营运客车安全技术条件要求。</w:t>
            </w:r>
            <w:r>
              <w:rPr>
                <w:rFonts w:hint="eastAsia" w:asciiTheme="minorEastAsia" w:hAnsiTheme="minorEastAsia" w:eastAsiaTheme="minorEastAsia" w:cstheme="minorEastAsia"/>
                <w:sz w:val="21"/>
                <w:szCs w:val="21"/>
              </w:rPr>
              <w:t>其他未及内容，按厂家提供的上国家公告目录的技术参数和国家规定的标准配置。</w:t>
            </w:r>
          </w:p>
        </w:tc>
        <w:tc>
          <w:tcPr>
            <w:tcW w:w="1072" w:type="dxa"/>
          </w:tcPr>
          <w:p w14:paraId="5D4B0856">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04DE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06" w:type="dxa"/>
            <w:vAlign w:val="center"/>
          </w:tcPr>
          <w:p w14:paraId="60BAF3E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发动机远程排放系统</w:t>
            </w:r>
          </w:p>
        </w:tc>
        <w:tc>
          <w:tcPr>
            <w:tcW w:w="6784" w:type="dxa"/>
            <w:vAlign w:val="center"/>
          </w:tcPr>
          <w:p w14:paraId="39662E0A">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OBD</w:t>
            </w:r>
            <w:r>
              <w:rPr>
                <w:rFonts w:hint="eastAsia" w:asciiTheme="minorEastAsia" w:hAnsiTheme="minorEastAsia" w:eastAsiaTheme="minorEastAsia" w:cstheme="minorEastAsia"/>
                <w:sz w:val="21"/>
                <w:szCs w:val="21"/>
              </w:rPr>
              <w:t>发动机远程排放系统</w:t>
            </w:r>
          </w:p>
        </w:tc>
        <w:tc>
          <w:tcPr>
            <w:tcW w:w="1072" w:type="dxa"/>
          </w:tcPr>
          <w:p w14:paraId="490F6A26">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bl>
    <w:p w14:paraId="17529E20">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说明：中标车辆必须符合杭州地区车辆上牌要求，由中标厂家完成车辆上牌工作，其正常检测上牌费用凭发票由招标单位支付；招标单位负责联系车管人员上门服务工作，相关费用由中标厂家支付。</w:t>
      </w:r>
    </w:p>
    <w:p w14:paraId="202ACDF5">
      <w:pPr>
        <w:rPr>
          <w:rFonts w:hint="eastAsia"/>
        </w:rPr>
      </w:pPr>
    </w:p>
    <w:p w14:paraId="75AE29A6">
      <w:pPr>
        <w:spacing w:line="240" w:lineRule="auto"/>
        <w:rPr>
          <w:rFonts w:hint="eastAsia" w:asciiTheme="minorEastAsia" w:hAnsiTheme="minorEastAsia" w:eastAsiaTheme="minorEastAsia" w:cstheme="minorEastAsia"/>
          <w:b/>
          <w:bCs/>
          <w:sz w:val="21"/>
          <w:szCs w:val="21"/>
        </w:rPr>
      </w:pPr>
    </w:p>
    <w:p w14:paraId="3326D5F9">
      <w:pPr>
        <w:spacing w:line="240" w:lineRule="auto"/>
        <w:rPr>
          <w:rFonts w:hint="eastAsia" w:asciiTheme="minorEastAsia" w:hAnsiTheme="minorEastAsia" w:eastAsiaTheme="minorEastAsia" w:cstheme="minorEastAsia"/>
          <w:b/>
          <w:bCs/>
          <w:sz w:val="21"/>
          <w:szCs w:val="21"/>
        </w:rPr>
      </w:pPr>
    </w:p>
    <w:p w14:paraId="3E9C420B">
      <w:pPr>
        <w:spacing w:line="24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bCs/>
          <w:sz w:val="21"/>
          <w:szCs w:val="21"/>
        </w:rPr>
        <w:t>13米系列56座公路旅游型柴油空调客车技术参数要求</w:t>
      </w:r>
    </w:p>
    <w:tbl>
      <w:tblPr>
        <w:tblStyle w:val="63"/>
        <w:tblpPr w:leftFromText="180" w:rightFromText="180" w:vertAnchor="text" w:horzAnchor="page" w:tblpX="1425" w:tblpY="709"/>
        <w:tblOverlap w:val="never"/>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6784"/>
        <w:gridCol w:w="1085"/>
      </w:tblGrid>
      <w:tr w14:paraId="3C0A2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06" w:type="dxa"/>
            <w:vAlign w:val="center"/>
          </w:tcPr>
          <w:p w14:paraId="3F181C8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配置名称</w:t>
            </w:r>
          </w:p>
        </w:tc>
        <w:tc>
          <w:tcPr>
            <w:tcW w:w="6784" w:type="dxa"/>
            <w:vAlign w:val="center"/>
          </w:tcPr>
          <w:p w14:paraId="2D749A7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技术参数</w:t>
            </w:r>
          </w:p>
        </w:tc>
        <w:tc>
          <w:tcPr>
            <w:tcW w:w="1085" w:type="dxa"/>
            <w:vAlign w:val="center"/>
          </w:tcPr>
          <w:p w14:paraId="60F8D0B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备注</w:t>
            </w:r>
          </w:p>
        </w:tc>
      </w:tr>
      <w:tr w14:paraId="6A77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06" w:type="dxa"/>
            <w:vAlign w:val="center"/>
          </w:tcPr>
          <w:p w14:paraId="7838E90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投标车型</w:t>
            </w:r>
          </w:p>
        </w:tc>
        <w:tc>
          <w:tcPr>
            <w:tcW w:w="6784" w:type="dxa"/>
            <w:vAlign w:val="center"/>
          </w:tcPr>
          <w:p w14:paraId="27E2CFF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13米系列公路型柴油空调客车</w:t>
            </w:r>
          </w:p>
        </w:tc>
        <w:tc>
          <w:tcPr>
            <w:tcW w:w="1085" w:type="dxa"/>
            <w:vAlign w:val="center"/>
          </w:tcPr>
          <w:p w14:paraId="319B479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p>
        </w:tc>
      </w:tr>
      <w:tr w14:paraId="055EB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563801E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公告</w:t>
            </w:r>
          </w:p>
        </w:tc>
        <w:tc>
          <w:tcPr>
            <w:tcW w:w="6784" w:type="dxa"/>
            <w:vAlign w:val="center"/>
          </w:tcPr>
          <w:p w14:paraId="13868826">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有国家汽车产品公告目录，车辆一致性证书，符合GB7258和JT/T1094-2016营运客车安全技术条件要求，JT/T1095营运客车内饰材料阻燃特性，车型等级要求及国家相关规定的达标车型。</w:t>
            </w:r>
          </w:p>
        </w:tc>
        <w:tc>
          <w:tcPr>
            <w:tcW w:w="1085" w:type="dxa"/>
          </w:tcPr>
          <w:p w14:paraId="69CCEE62">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5289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3ADD012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客车设计</w:t>
            </w:r>
          </w:p>
        </w:tc>
        <w:tc>
          <w:tcPr>
            <w:tcW w:w="6784" w:type="dxa"/>
            <w:vAlign w:val="center"/>
          </w:tcPr>
          <w:p w14:paraId="1313626E">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采用双风档超大视野挡风玻璃，</w:t>
            </w:r>
            <w:r>
              <w:rPr>
                <w:rFonts w:hint="eastAsia" w:asciiTheme="minorEastAsia" w:hAnsiTheme="minorEastAsia" w:eastAsiaTheme="minorEastAsia" w:cstheme="minorEastAsia"/>
                <w:sz w:val="21"/>
                <w:szCs w:val="21"/>
              </w:rPr>
              <w:t>结构紧凑、比例协调、线条流畅。新颖美观，节能环保，适应现代城市，技术性能和结构工艺体现国内先进水平，经济实用，安全舒适，维护简便，质量可靠，人性化。整车材料符合相关标准和节能环保要求。</w:t>
            </w:r>
          </w:p>
        </w:tc>
        <w:tc>
          <w:tcPr>
            <w:tcW w:w="1085" w:type="dxa"/>
            <w:tcBorders>
              <w:bottom w:val="single" w:color="auto" w:sz="4" w:space="0"/>
            </w:tcBorders>
          </w:tcPr>
          <w:p w14:paraId="0F04E3FF">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1C9E3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336E8E8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▲车辆尺寸</w:t>
            </w:r>
          </w:p>
        </w:tc>
        <w:tc>
          <w:tcPr>
            <w:tcW w:w="6784" w:type="dxa"/>
            <w:tcBorders>
              <w:right w:val="single" w:color="auto" w:sz="4" w:space="0"/>
            </w:tcBorders>
            <w:vAlign w:val="center"/>
          </w:tcPr>
          <w:p w14:paraId="50BC8C09">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车身长度≦1</w:t>
            </w:r>
            <w:r>
              <w:rPr>
                <w:rFonts w:hint="eastAsia" w:asciiTheme="minorEastAsia" w:hAnsiTheme="minorEastAsia" w:eastAsiaTheme="minorEastAsia" w:cstheme="minorEastAsia"/>
                <w:sz w:val="21"/>
                <w:szCs w:val="21"/>
                <w:lang w:val="en-US" w:eastAsia="zh-CN"/>
              </w:rPr>
              <w:t>310</w:t>
            </w:r>
            <w:r>
              <w:rPr>
                <w:rFonts w:hint="eastAsia" w:asciiTheme="minorEastAsia" w:hAnsiTheme="minorEastAsia" w:eastAsiaTheme="minorEastAsia" w:cstheme="minorEastAsia"/>
                <w:sz w:val="21"/>
                <w:szCs w:val="21"/>
              </w:rPr>
              <w:t>0mm，车身高度（含空调）</w:t>
            </w: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720</w:t>
            </w:r>
            <w:r>
              <w:rPr>
                <w:rFonts w:hint="eastAsia" w:asciiTheme="minorEastAsia" w:hAnsiTheme="minorEastAsia" w:eastAsiaTheme="minorEastAsia" w:cstheme="minorEastAsia"/>
                <w:sz w:val="21"/>
                <w:szCs w:val="21"/>
              </w:rPr>
              <w:t>mm</w:t>
            </w:r>
          </w:p>
        </w:tc>
        <w:tc>
          <w:tcPr>
            <w:tcW w:w="1085" w:type="dxa"/>
            <w:tcBorders>
              <w:top w:val="single" w:color="auto" w:sz="4" w:space="0"/>
              <w:left w:val="single" w:color="auto" w:sz="4" w:space="0"/>
              <w:bottom w:val="single" w:color="auto" w:sz="4" w:space="0"/>
              <w:right w:val="single" w:color="auto" w:sz="4" w:space="0"/>
            </w:tcBorders>
          </w:tcPr>
          <w:p w14:paraId="71F76841">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4DE2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47DACA5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车辆用途</w:t>
            </w:r>
          </w:p>
        </w:tc>
        <w:tc>
          <w:tcPr>
            <w:tcW w:w="6784" w:type="dxa"/>
            <w:tcBorders>
              <w:right w:val="single" w:color="auto" w:sz="4" w:space="0"/>
            </w:tcBorders>
            <w:vAlign w:val="center"/>
          </w:tcPr>
          <w:p w14:paraId="641D95E2">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公路旅游客运</w:t>
            </w:r>
          </w:p>
        </w:tc>
        <w:tc>
          <w:tcPr>
            <w:tcW w:w="1085" w:type="dxa"/>
            <w:vMerge w:val="restart"/>
            <w:tcBorders>
              <w:top w:val="single" w:color="auto" w:sz="4" w:space="0"/>
              <w:left w:val="single" w:color="auto" w:sz="4" w:space="0"/>
              <w:bottom w:val="single" w:color="auto" w:sz="4" w:space="0"/>
              <w:right w:val="single" w:color="auto" w:sz="4" w:space="0"/>
            </w:tcBorders>
          </w:tcPr>
          <w:p w14:paraId="1F8526F5">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1E41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68737A4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▲车型等级</w:t>
            </w:r>
          </w:p>
        </w:tc>
        <w:tc>
          <w:tcPr>
            <w:tcW w:w="6784" w:type="dxa"/>
            <w:tcBorders>
              <w:right w:val="single" w:color="auto" w:sz="4" w:space="0"/>
            </w:tcBorders>
            <w:vAlign w:val="center"/>
          </w:tcPr>
          <w:p w14:paraId="35C0D274">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特大型高一级或以上</w:t>
            </w:r>
          </w:p>
        </w:tc>
        <w:tc>
          <w:tcPr>
            <w:tcW w:w="1085" w:type="dxa"/>
            <w:vMerge w:val="continue"/>
            <w:tcBorders>
              <w:top w:val="nil"/>
              <w:left w:val="single" w:color="auto" w:sz="4" w:space="0"/>
              <w:bottom w:val="single" w:color="auto" w:sz="4" w:space="0"/>
              <w:right w:val="single" w:color="auto" w:sz="4" w:space="0"/>
            </w:tcBorders>
          </w:tcPr>
          <w:p w14:paraId="1EFCE62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50ED3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2300D62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整备质量</w:t>
            </w:r>
          </w:p>
        </w:tc>
        <w:tc>
          <w:tcPr>
            <w:tcW w:w="6784" w:type="dxa"/>
            <w:tcBorders>
              <w:right w:val="single" w:color="auto" w:sz="4" w:space="0"/>
            </w:tcBorders>
            <w:vAlign w:val="center"/>
          </w:tcPr>
          <w:p w14:paraId="164D36E7">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公告</w:t>
            </w:r>
          </w:p>
        </w:tc>
        <w:tc>
          <w:tcPr>
            <w:tcW w:w="1085" w:type="dxa"/>
            <w:vMerge w:val="continue"/>
            <w:tcBorders>
              <w:top w:val="single" w:color="auto" w:sz="4" w:space="0"/>
              <w:left w:val="single" w:color="auto" w:sz="4" w:space="0"/>
              <w:bottom w:val="single" w:color="auto" w:sz="4" w:space="0"/>
              <w:right w:val="single" w:color="auto" w:sz="4" w:space="0"/>
            </w:tcBorders>
          </w:tcPr>
          <w:p w14:paraId="09F45098">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2E530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6953093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总质量</w:t>
            </w:r>
          </w:p>
        </w:tc>
        <w:tc>
          <w:tcPr>
            <w:tcW w:w="6784" w:type="dxa"/>
            <w:tcBorders>
              <w:right w:val="single" w:color="auto" w:sz="4" w:space="0"/>
            </w:tcBorders>
            <w:vAlign w:val="center"/>
          </w:tcPr>
          <w:p w14:paraId="138F3E9C">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公告</w:t>
            </w:r>
          </w:p>
        </w:tc>
        <w:tc>
          <w:tcPr>
            <w:tcW w:w="1085" w:type="dxa"/>
            <w:vMerge w:val="continue"/>
            <w:tcBorders>
              <w:top w:val="nil"/>
              <w:left w:val="single" w:color="auto" w:sz="4" w:space="0"/>
              <w:bottom w:val="single" w:color="auto" w:sz="4" w:space="0"/>
              <w:right w:val="single" w:color="auto" w:sz="4" w:space="0"/>
            </w:tcBorders>
          </w:tcPr>
          <w:p w14:paraId="537B3CE7">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25FC8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150B06F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油耗L/100KM(限定工况下)</w:t>
            </w:r>
          </w:p>
        </w:tc>
        <w:tc>
          <w:tcPr>
            <w:tcW w:w="6784" w:type="dxa"/>
            <w:tcBorders>
              <w:right w:val="single" w:color="auto" w:sz="4" w:space="0"/>
            </w:tcBorders>
            <w:vAlign w:val="center"/>
          </w:tcPr>
          <w:p w14:paraId="3E25E2B2">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公告</w:t>
            </w:r>
          </w:p>
        </w:tc>
        <w:tc>
          <w:tcPr>
            <w:tcW w:w="1085" w:type="dxa"/>
            <w:vMerge w:val="continue"/>
            <w:tcBorders>
              <w:top w:val="nil"/>
              <w:left w:val="single" w:color="auto" w:sz="4" w:space="0"/>
              <w:bottom w:val="single" w:color="auto" w:sz="4" w:space="0"/>
              <w:right w:val="single" w:color="auto" w:sz="4" w:space="0"/>
            </w:tcBorders>
          </w:tcPr>
          <w:p w14:paraId="730F041D">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50135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073687C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最高车速</w:t>
            </w:r>
          </w:p>
        </w:tc>
        <w:tc>
          <w:tcPr>
            <w:tcW w:w="6784" w:type="dxa"/>
            <w:tcBorders>
              <w:right w:val="single" w:color="auto" w:sz="4" w:space="0"/>
            </w:tcBorders>
            <w:vAlign w:val="center"/>
          </w:tcPr>
          <w:p w14:paraId="3A459ACC">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100Km/h</w:t>
            </w:r>
          </w:p>
        </w:tc>
        <w:tc>
          <w:tcPr>
            <w:tcW w:w="1085" w:type="dxa"/>
            <w:vMerge w:val="continue"/>
            <w:tcBorders>
              <w:top w:val="nil"/>
              <w:left w:val="single" w:color="auto" w:sz="4" w:space="0"/>
              <w:bottom w:val="single" w:color="auto" w:sz="4" w:space="0"/>
              <w:right w:val="single" w:color="auto" w:sz="4" w:space="0"/>
            </w:tcBorders>
          </w:tcPr>
          <w:p w14:paraId="690DACE7">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7C36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616709D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▲额定载客/标配座位</w:t>
            </w:r>
          </w:p>
        </w:tc>
        <w:tc>
          <w:tcPr>
            <w:tcW w:w="6784" w:type="dxa"/>
            <w:vAlign w:val="center"/>
          </w:tcPr>
          <w:p w14:paraId="644F1FDF">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55+1</w:t>
            </w:r>
          </w:p>
        </w:tc>
        <w:tc>
          <w:tcPr>
            <w:tcW w:w="1085" w:type="dxa"/>
            <w:tcBorders>
              <w:top w:val="single" w:color="auto" w:sz="4" w:space="0"/>
            </w:tcBorders>
          </w:tcPr>
          <w:p w14:paraId="37D3BDC8">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648A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79A7448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排放标准</w:t>
            </w:r>
          </w:p>
        </w:tc>
        <w:tc>
          <w:tcPr>
            <w:tcW w:w="6784" w:type="dxa"/>
            <w:vAlign w:val="center"/>
          </w:tcPr>
          <w:p w14:paraId="07A6F17F">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符合国六排放标准。符合国家相关标准和节能环保要求。</w:t>
            </w:r>
          </w:p>
        </w:tc>
        <w:tc>
          <w:tcPr>
            <w:tcW w:w="1085" w:type="dxa"/>
          </w:tcPr>
          <w:p w14:paraId="5862106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368E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1EF8A4C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噪声限制</w:t>
            </w:r>
          </w:p>
        </w:tc>
        <w:tc>
          <w:tcPr>
            <w:tcW w:w="6784" w:type="dxa"/>
            <w:vAlign w:val="center"/>
          </w:tcPr>
          <w:p w14:paraId="1A4225F4">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优于或符合国家标准。</w:t>
            </w:r>
          </w:p>
        </w:tc>
        <w:tc>
          <w:tcPr>
            <w:tcW w:w="1085" w:type="dxa"/>
          </w:tcPr>
          <w:p w14:paraId="4ADE71CA">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2D6F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2F1AC29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基本参数</w:t>
            </w:r>
          </w:p>
        </w:tc>
        <w:tc>
          <w:tcPr>
            <w:tcW w:w="6784" w:type="dxa"/>
            <w:vAlign w:val="center"/>
          </w:tcPr>
          <w:p w14:paraId="77A1B358">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基本参数、技术性能符合国家和行业的有关标准，与公告目录一致。</w:t>
            </w:r>
          </w:p>
        </w:tc>
        <w:tc>
          <w:tcPr>
            <w:tcW w:w="1085" w:type="dxa"/>
          </w:tcPr>
          <w:p w14:paraId="1F73DFE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03AFA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375" w:type="dxa"/>
            <w:gridSpan w:val="3"/>
            <w:vAlign w:val="center"/>
          </w:tcPr>
          <w:p w14:paraId="2A191A7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发动机系统</w:t>
            </w:r>
          </w:p>
        </w:tc>
      </w:tr>
      <w:tr w14:paraId="4D6A9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074ABD3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发动机</w:t>
            </w:r>
          </w:p>
        </w:tc>
        <w:tc>
          <w:tcPr>
            <w:tcW w:w="6784" w:type="dxa"/>
            <w:vAlign w:val="center"/>
          </w:tcPr>
          <w:p w14:paraId="3DF03F59">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后置发动机，机型特点和主要技术参数符合原厂公告标准。</w:t>
            </w:r>
          </w:p>
        </w:tc>
        <w:tc>
          <w:tcPr>
            <w:tcW w:w="1085" w:type="dxa"/>
          </w:tcPr>
          <w:p w14:paraId="46B3B36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5151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3AE8BC1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▲发动机型号</w:t>
            </w:r>
          </w:p>
        </w:tc>
        <w:tc>
          <w:tcPr>
            <w:tcW w:w="6784" w:type="dxa"/>
            <w:vAlign w:val="center"/>
          </w:tcPr>
          <w:p w14:paraId="2A03FACE">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发动机功率≧</w:t>
            </w:r>
            <w:r>
              <w:rPr>
                <w:rFonts w:hint="eastAsia" w:asciiTheme="minorEastAsia" w:hAnsiTheme="minorEastAsia" w:eastAsiaTheme="minorEastAsia" w:cstheme="minorEastAsia"/>
                <w:sz w:val="21"/>
                <w:szCs w:val="21"/>
                <w:highlight w:val="none"/>
                <w:lang w:val="en-US" w:eastAsia="zh-CN"/>
              </w:rPr>
              <w:t>375</w:t>
            </w:r>
            <w:r>
              <w:rPr>
                <w:rFonts w:hint="eastAsia" w:asciiTheme="minorEastAsia" w:hAnsiTheme="minorEastAsia" w:eastAsiaTheme="minorEastAsia" w:cstheme="minorEastAsia"/>
                <w:sz w:val="21"/>
                <w:szCs w:val="21"/>
                <w:highlight w:val="none"/>
              </w:rPr>
              <w:t>马力六缸国六排放</w:t>
            </w:r>
            <w:r>
              <w:rPr>
                <w:rFonts w:hint="eastAsia" w:asciiTheme="minorEastAsia" w:hAnsiTheme="minorEastAsia" w:eastAsiaTheme="minorEastAsia" w:cstheme="minorEastAsia"/>
                <w:sz w:val="21"/>
                <w:szCs w:val="21"/>
                <w:highlight w:val="none"/>
                <w:lang w:eastAsia="zh-CN"/>
              </w:rPr>
              <w:t>优质品牌</w:t>
            </w:r>
            <w:r>
              <w:rPr>
                <w:rFonts w:hint="eastAsia" w:asciiTheme="minorEastAsia" w:hAnsiTheme="minorEastAsia" w:eastAsiaTheme="minorEastAsia" w:cstheme="minorEastAsia"/>
                <w:sz w:val="21"/>
                <w:szCs w:val="21"/>
                <w:highlight w:val="none"/>
              </w:rPr>
              <w:t>柴油发动机</w:t>
            </w:r>
          </w:p>
        </w:tc>
        <w:tc>
          <w:tcPr>
            <w:tcW w:w="1085" w:type="dxa"/>
          </w:tcPr>
          <w:p w14:paraId="3F2A49FA">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0B31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195E62D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进气系统</w:t>
            </w:r>
          </w:p>
        </w:tc>
        <w:tc>
          <w:tcPr>
            <w:tcW w:w="6784" w:type="dxa"/>
            <w:vAlign w:val="center"/>
          </w:tcPr>
          <w:p w14:paraId="4BC391CA">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空气进气管采用不锈钢成型管路，管路尽可能减少弯头，中间软连接采用耐热、耐压、耐油、抗老化优质胶管，安装固定牢固。</w:t>
            </w:r>
          </w:p>
        </w:tc>
        <w:tc>
          <w:tcPr>
            <w:tcW w:w="1085" w:type="dxa"/>
            <w:vAlign w:val="center"/>
          </w:tcPr>
          <w:p w14:paraId="2683F6B7">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623BD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7C4AE2E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冷却系统</w:t>
            </w:r>
          </w:p>
        </w:tc>
        <w:tc>
          <w:tcPr>
            <w:tcW w:w="6784" w:type="dxa"/>
            <w:vAlign w:val="center"/>
          </w:tcPr>
          <w:p w14:paraId="150D7A33">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rPr>
              <w:t>电子风扇，</w:t>
            </w:r>
            <w:r>
              <w:rPr>
                <w:rFonts w:hint="eastAsia" w:asciiTheme="minorEastAsia" w:hAnsiTheme="minorEastAsia" w:eastAsiaTheme="minorEastAsia" w:cstheme="minorEastAsia"/>
                <w:sz w:val="21"/>
                <w:szCs w:val="21"/>
                <w:highlight w:val="none"/>
              </w:rPr>
              <w:t>进出水管采用不锈钢成型管路，铜质管路或尼龙管尽可能减少弯头，中间软连接采用耐热、耐压、抗老化优质胶管，冷却液加注方便。进风格栅要安装不锈钢材质滤网，中冷器和水箱迎风面要加装柔软不锈钢丝网，方便冲洗。</w:t>
            </w:r>
          </w:p>
        </w:tc>
        <w:tc>
          <w:tcPr>
            <w:tcW w:w="1085" w:type="dxa"/>
          </w:tcPr>
          <w:p w14:paraId="7A1B7C2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1249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7011C55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油门控制系统</w:t>
            </w:r>
          </w:p>
        </w:tc>
        <w:tc>
          <w:tcPr>
            <w:tcW w:w="6784" w:type="dxa"/>
            <w:vAlign w:val="center"/>
          </w:tcPr>
          <w:p w14:paraId="33E45702">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电子油门控制系统。</w:t>
            </w:r>
          </w:p>
        </w:tc>
        <w:tc>
          <w:tcPr>
            <w:tcW w:w="1085" w:type="dxa"/>
          </w:tcPr>
          <w:p w14:paraId="0B447FEF">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24AB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375" w:type="dxa"/>
            <w:gridSpan w:val="3"/>
            <w:vAlign w:val="center"/>
          </w:tcPr>
          <w:p w14:paraId="0E20C0F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底盘系统</w:t>
            </w:r>
          </w:p>
        </w:tc>
      </w:tr>
      <w:tr w14:paraId="3E5C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69E6535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底盘</w:t>
            </w:r>
          </w:p>
        </w:tc>
        <w:tc>
          <w:tcPr>
            <w:tcW w:w="6784" w:type="dxa"/>
            <w:vAlign w:val="center"/>
          </w:tcPr>
          <w:p w14:paraId="3FD04BFB">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6×2式后置后驱。</w:t>
            </w:r>
          </w:p>
        </w:tc>
        <w:tc>
          <w:tcPr>
            <w:tcW w:w="1085" w:type="dxa"/>
          </w:tcPr>
          <w:p w14:paraId="557C7A5E">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785F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5284C6C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变速器</w:t>
            </w:r>
          </w:p>
        </w:tc>
        <w:tc>
          <w:tcPr>
            <w:tcW w:w="6784" w:type="dxa"/>
            <w:vAlign w:val="center"/>
          </w:tcPr>
          <w:p w14:paraId="7E479940">
            <w:pPr>
              <w:keepNext w:val="0"/>
              <w:keepLines w:val="0"/>
              <w:suppressLineNumbers w:val="0"/>
              <w:spacing w:before="0" w:beforeAutospacing="0" w:after="0" w:afterAutospacing="0" w:line="240" w:lineRule="auto"/>
              <w:ind w:left="0" w:leftChars="0" w:right="0" w:rightChars="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六档</w:t>
            </w:r>
            <w:r>
              <w:rPr>
                <w:rFonts w:hint="eastAsia" w:asciiTheme="minorEastAsia" w:hAnsiTheme="minorEastAsia" w:eastAsiaTheme="minorEastAsia" w:cstheme="minorEastAsia"/>
                <w:sz w:val="21"/>
                <w:szCs w:val="21"/>
                <w:highlight w:val="none"/>
                <w:lang w:eastAsia="zh-CN"/>
              </w:rPr>
              <w:t>变速器</w:t>
            </w:r>
          </w:p>
        </w:tc>
        <w:tc>
          <w:tcPr>
            <w:tcW w:w="1085" w:type="dxa"/>
          </w:tcPr>
          <w:p w14:paraId="74D0F921">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知名品牌</w:t>
            </w:r>
          </w:p>
        </w:tc>
      </w:tr>
      <w:tr w14:paraId="0509A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1B8C0DD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离合器</w:t>
            </w:r>
          </w:p>
        </w:tc>
        <w:tc>
          <w:tcPr>
            <w:tcW w:w="6784" w:type="dxa"/>
            <w:vAlign w:val="center"/>
          </w:tcPr>
          <w:p w14:paraId="0EFF3185">
            <w:pPr>
              <w:keepNext w:val="0"/>
              <w:keepLines w:val="0"/>
              <w:suppressLineNumbers w:val="0"/>
              <w:spacing w:before="0" w:beforeAutospacing="0" w:after="0" w:afterAutospacing="0" w:line="240" w:lineRule="auto"/>
              <w:ind w:left="0" w:leftChars="0" w:right="0" w:rightChars="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Ø430，液压操纵气助力。</w:t>
            </w:r>
          </w:p>
        </w:tc>
        <w:tc>
          <w:tcPr>
            <w:tcW w:w="1085" w:type="dxa"/>
          </w:tcPr>
          <w:p w14:paraId="390B5E08">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知名品牌</w:t>
            </w:r>
          </w:p>
        </w:tc>
      </w:tr>
      <w:tr w14:paraId="5D07F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5029548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传动轴</w:t>
            </w:r>
          </w:p>
        </w:tc>
        <w:tc>
          <w:tcPr>
            <w:tcW w:w="6784" w:type="dxa"/>
            <w:vAlign w:val="center"/>
          </w:tcPr>
          <w:p w14:paraId="56B43C89">
            <w:pPr>
              <w:keepNext w:val="0"/>
              <w:keepLines w:val="0"/>
              <w:suppressLineNumbers w:val="0"/>
              <w:spacing w:before="0" w:beforeAutospacing="0" w:after="0" w:afterAutospacing="0" w:line="240" w:lineRule="auto"/>
              <w:ind w:left="0" w:leftChars="0" w:right="0" w:rightChars="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开式，两个万向节，刚性十字滚针轴承。</w:t>
            </w:r>
          </w:p>
        </w:tc>
        <w:tc>
          <w:tcPr>
            <w:tcW w:w="1085" w:type="dxa"/>
          </w:tcPr>
          <w:p w14:paraId="09D8B1C1">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知名品牌</w:t>
            </w:r>
          </w:p>
        </w:tc>
      </w:tr>
      <w:tr w14:paraId="2C192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1DD743A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转向器</w:t>
            </w:r>
          </w:p>
        </w:tc>
        <w:tc>
          <w:tcPr>
            <w:tcW w:w="6784" w:type="dxa"/>
            <w:vAlign w:val="center"/>
          </w:tcPr>
          <w:p w14:paraId="5A616E34">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优质</w:t>
            </w:r>
            <w:r>
              <w:rPr>
                <w:rFonts w:hint="eastAsia" w:asciiTheme="minorEastAsia" w:hAnsiTheme="minorEastAsia" w:eastAsiaTheme="minorEastAsia" w:cstheme="minorEastAsia"/>
                <w:sz w:val="21"/>
                <w:szCs w:val="21"/>
              </w:rPr>
              <w:t>整体式动力转向器</w:t>
            </w:r>
          </w:p>
        </w:tc>
        <w:tc>
          <w:tcPr>
            <w:tcW w:w="1085" w:type="dxa"/>
          </w:tcPr>
          <w:p w14:paraId="471ED527">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0DB11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2A0A482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方向盘</w:t>
            </w:r>
          </w:p>
        </w:tc>
        <w:tc>
          <w:tcPr>
            <w:tcW w:w="6784" w:type="dxa"/>
            <w:vAlign w:val="center"/>
          </w:tcPr>
          <w:p w14:paraId="35F97AF9">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多功能方向盘（播放控制+定速巡航）前后上下可调。</w:t>
            </w:r>
          </w:p>
        </w:tc>
        <w:tc>
          <w:tcPr>
            <w:tcW w:w="1085" w:type="dxa"/>
          </w:tcPr>
          <w:p w14:paraId="0490A4E9">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11EF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53FCD67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前桥公告轴荷</w:t>
            </w:r>
          </w:p>
        </w:tc>
        <w:tc>
          <w:tcPr>
            <w:tcW w:w="6784" w:type="dxa"/>
            <w:vAlign w:val="center"/>
          </w:tcPr>
          <w:p w14:paraId="49FF04FD">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≧5T（</w:t>
            </w:r>
            <w:r>
              <w:rPr>
                <w:rFonts w:hint="eastAsia" w:asciiTheme="minorEastAsia" w:hAnsiTheme="minorEastAsia" w:eastAsiaTheme="minorEastAsia" w:cstheme="minorEastAsia"/>
                <w:sz w:val="21"/>
                <w:szCs w:val="21"/>
                <w:highlight w:val="none"/>
                <w:lang w:eastAsia="zh-CN"/>
              </w:rPr>
              <w:t>脂润滑</w:t>
            </w:r>
            <w:r>
              <w:rPr>
                <w:rFonts w:hint="eastAsia" w:asciiTheme="minorEastAsia" w:hAnsiTheme="minorEastAsia" w:eastAsiaTheme="minorEastAsia" w:cstheme="minorEastAsia"/>
                <w:sz w:val="21"/>
                <w:szCs w:val="21"/>
                <w:highlight w:val="none"/>
              </w:rPr>
              <w:t>免维护轮毂总成要求质保8年，附质保承诺书）</w:t>
            </w:r>
          </w:p>
        </w:tc>
        <w:tc>
          <w:tcPr>
            <w:tcW w:w="1085" w:type="dxa"/>
          </w:tcPr>
          <w:p w14:paraId="6E7D6ED5">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6216F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3DA3AC0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后桥公告轴荷</w:t>
            </w:r>
          </w:p>
        </w:tc>
        <w:tc>
          <w:tcPr>
            <w:tcW w:w="6784" w:type="dxa"/>
            <w:vAlign w:val="center"/>
          </w:tcPr>
          <w:p w14:paraId="0194D7F6">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10T （</w:t>
            </w:r>
            <w:r>
              <w:rPr>
                <w:rFonts w:hint="eastAsia" w:asciiTheme="minorEastAsia" w:hAnsiTheme="minorEastAsia" w:eastAsiaTheme="minorEastAsia" w:cstheme="minorEastAsia"/>
                <w:sz w:val="21"/>
                <w:szCs w:val="21"/>
                <w:highlight w:val="none"/>
                <w:lang w:eastAsia="zh-CN"/>
              </w:rPr>
              <w:t>脂润滑</w:t>
            </w:r>
            <w:r>
              <w:rPr>
                <w:rFonts w:hint="eastAsia" w:asciiTheme="minorEastAsia" w:hAnsiTheme="minorEastAsia" w:eastAsiaTheme="minorEastAsia" w:cstheme="minorEastAsia"/>
                <w:sz w:val="21"/>
                <w:szCs w:val="21"/>
                <w:highlight w:val="none"/>
              </w:rPr>
              <w:t>免维护轮毂总成要求质保8年，附质保承诺书）精磨齿</w:t>
            </w:r>
          </w:p>
        </w:tc>
        <w:tc>
          <w:tcPr>
            <w:tcW w:w="1085" w:type="dxa"/>
          </w:tcPr>
          <w:p w14:paraId="10EB7D7A">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pacing w:val="-4"/>
                <w:sz w:val="21"/>
                <w:szCs w:val="21"/>
                <w:highlight w:val="none"/>
              </w:rPr>
            </w:pPr>
          </w:p>
        </w:tc>
      </w:tr>
      <w:tr w14:paraId="75716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6DE6C57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随动桥公告轴荷</w:t>
            </w:r>
          </w:p>
        </w:tc>
        <w:tc>
          <w:tcPr>
            <w:tcW w:w="6784" w:type="dxa"/>
            <w:vAlign w:val="center"/>
          </w:tcPr>
          <w:p w14:paraId="361E51C0">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5T （</w:t>
            </w:r>
            <w:r>
              <w:rPr>
                <w:rFonts w:hint="eastAsia" w:asciiTheme="minorEastAsia" w:hAnsiTheme="minorEastAsia" w:eastAsiaTheme="minorEastAsia" w:cstheme="minorEastAsia"/>
                <w:sz w:val="21"/>
                <w:szCs w:val="21"/>
                <w:highlight w:val="none"/>
                <w:lang w:eastAsia="zh-CN"/>
              </w:rPr>
              <w:t>脂润滑</w:t>
            </w:r>
            <w:r>
              <w:rPr>
                <w:rFonts w:hint="eastAsia" w:asciiTheme="minorEastAsia" w:hAnsiTheme="minorEastAsia" w:eastAsiaTheme="minorEastAsia" w:cstheme="minorEastAsia"/>
                <w:sz w:val="21"/>
                <w:szCs w:val="21"/>
                <w:highlight w:val="none"/>
              </w:rPr>
              <w:t>免维护轮毂总成要求质保8年，附质保承诺书）</w:t>
            </w:r>
          </w:p>
        </w:tc>
        <w:tc>
          <w:tcPr>
            <w:tcW w:w="1085" w:type="dxa"/>
          </w:tcPr>
          <w:p w14:paraId="0A60EA24">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3162F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1F9F185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悬挂系统</w:t>
            </w:r>
          </w:p>
        </w:tc>
        <w:tc>
          <w:tcPr>
            <w:tcW w:w="6784" w:type="dxa"/>
            <w:vAlign w:val="center"/>
          </w:tcPr>
          <w:p w14:paraId="40C81FA1">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napToGrid w:val="0"/>
                <w:kern w:val="0"/>
                <w:sz w:val="21"/>
                <w:szCs w:val="21"/>
              </w:rPr>
              <w:t>进口气囊+筒式液压减震器</w:t>
            </w:r>
            <w:r>
              <w:rPr>
                <w:rFonts w:hint="eastAsia" w:asciiTheme="minorEastAsia" w:hAnsiTheme="minorEastAsia" w:eastAsiaTheme="minorEastAsia" w:cstheme="minorEastAsia"/>
                <w:snapToGrid w:val="0"/>
                <w:kern w:val="0"/>
                <w:sz w:val="21"/>
                <w:szCs w:val="21"/>
                <w:highlight w:val="none"/>
              </w:rPr>
              <w:t>（悬架总成</w:t>
            </w:r>
            <w:r>
              <w:rPr>
                <w:rFonts w:hint="eastAsia" w:asciiTheme="minorEastAsia" w:hAnsiTheme="minorEastAsia" w:eastAsiaTheme="minorEastAsia" w:cstheme="minorEastAsia"/>
                <w:sz w:val="21"/>
                <w:szCs w:val="21"/>
                <w:highlight w:val="none"/>
              </w:rPr>
              <w:t>质保8年，附质保承诺书）</w:t>
            </w:r>
          </w:p>
        </w:tc>
        <w:tc>
          <w:tcPr>
            <w:tcW w:w="1085" w:type="dxa"/>
          </w:tcPr>
          <w:p w14:paraId="2C3E978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16F2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6DA02EC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车身升降系统</w:t>
            </w:r>
          </w:p>
        </w:tc>
        <w:tc>
          <w:tcPr>
            <w:tcW w:w="6784" w:type="dxa"/>
          </w:tcPr>
          <w:p w14:paraId="22BA936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进口品牌车身自动升降系统</w:t>
            </w:r>
          </w:p>
        </w:tc>
        <w:tc>
          <w:tcPr>
            <w:tcW w:w="1085" w:type="dxa"/>
          </w:tcPr>
          <w:p w14:paraId="4D64B112">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390FA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50D63AC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油箱容积（L）</w:t>
            </w:r>
          </w:p>
        </w:tc>
        <w:tc>
          <w:tcPr>
            <w:tcW w:w="6784" w:type="dxa"/>
            <w:vAlign w:val="center"/>
          </w:tcPr>
          <w:p w14:paraId="47370875">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z w:val="21"/>
                <w:szCs w:val="21"/>
              </w:rPr>
              <w:t>规定允许下尽量配置大容量</w:t>
            </w:r>
          </w:p>
        </w:tc>
        <w:tc>
          <w:tcPr>
            <w:tcW w:w="1085" w:type="dxa"/>
          </w:tcPr>
          <w:p w14:paraId="3A21D2CC">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563EF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4BD0653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green"/>
              </w:rPr>
            </w:pPr>
            <w:r>
              <w:rPr>
                <w:rFonts w:hint="eastAsia" w:asciiTheme="minorEastAsia" w:hAnsiTheme="minorEastAsia" w:eastAsiaTheme="minorEastAsia" w:cstheme="minorEastAsia"/>
                <w:sz w:val="21"/>
                <w:szCs w:val="21"/>
                <w:highlight w:val="none"/>
              </w:rPr>
              <w:t>轮胎</w:t>
            </w:r>
          </w:p>
        </w:tc>
        <w:tc>
          <w:tcPr>
            <w:tcW w:w="6784" w:type="dxa"/>
            <w:vAlign w:val="center"/>
          </w:tcPr>
          <w:p w14:paraId="78C36C8F">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napToGrid w:val="0"/>
                <w:kern w:val="0"/>
                <w:sz w:val="21"/>
                <w:szCs w:val="21"/>
                <w:highlight w:val="none"/>
              </w:rPr>
            </w:pPr>
            <w:r>
              <w:rPr>
                <w:rFonts w:hint="eastAsia" w:asciiTheme="minorEastAsia" w:hAnsiTheme="minorEastAsia" w:eastAsiaTheme="minorEastAsia" w:cstheme="minorEastAsia"/>
                <w:snapToGrid w:val="0"/>
                <w:kern w:val="0"/>
                <w:sz w:val="21"/>
                <w:szCs w:val="21"/>
                <w:highlight w:val="none"/>
                <w:lang w:val="en-US" w:eastAsia="zh-CN"/>
              </w:rPr>
              <w:t>知名品牌</w:t>
            </w:r>
            <w:r>
              <w:rPr>
                <w:rFonts w:hint="eastAsia" w:asciiTheme="minorEastAsia" w:hAnsiTheme="minorEastAsia" w:eastAsiaTheme="minorEastAsia" w:cstheme="minorEastAsia"/>
                <w:snapToGrid w:val="0"/>
                <w:kern w:val="0"/>
                <w:sz w:val="21"/>
                <w:szCs w:val="21"/>
                <w:highlight w:val="none"/>
              </w:rPr>
              <w:t>轮胎， 配备胎一只(全尺寸、全型号）</w:t>
            </w:r>
          </w:p>
        </w:tc>
        <w:tc>
          <w:tcPr>
            <w:tcW w:w="1085" w:type="dxa"/>
          </w:tcPr>
          <w:p w14:paraId="68ED6EA7">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eastAsia="zh-CN"/>
              </w:rPr>
              <w:t>荐品牌：米其林、倍耐力、普利司通</w:t>
            </w:r>
          </w:p>
        </w:tc>
      </w:tr>
      <w:tr w14:paraId="24597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29E149F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轮辋</w:t>
            </w:r>
          </w:p>
        </w:tc>
        <w:tc>
          <w:tcPr>
            <w:tcW w:w="6784" w:type="dxa"/>
            <w:vAlign w:val="center"/>
          </w:tcPr>
          <w:p w14:paraId="5A47CBD9">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val="0"/>
                <w:bCs w:val="0"/>
                <w:color w:val="auto"/>
                <w:sz w:val="21"/>
                <w:szCs w:val="21"/>
                <w:highlight w:val="none"/>
              </w:rPr>
              <w:t>锻造铝合金车轮表面必须有经强化处理工艺（提高产品表面硬度）</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kern w:val="0"/>
                <w:sz w:val="21"/>
                <w:szCs w:val="21"/>
                <w:highlight w:val="none"/>
              </w:rPr>
              <w:t>含备胎</w:t>
            </w:r>
            <w:r>
              <w:rPr>
                <w:rFonts w:hint="eastAsia" w:asciiTheme="minorEastAsia" w:hAnsiTheme="minorEastAsia" w:eastAsiaTheme="minorEastAsia" w:cstheme="minorEastAsia"/>
                <w:b w:val="0"/>
                <w:bCs w:val="0"/>
                <w:kern w:val="0"/>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rPr>
              <w:t>免费质保8年，附承诺书。</w:t>
            </w:r>
          </w:p>
        </w:tc>
        <w:tc>
          <w:tcPr>
            <w:tcW w:w="1085" w:type="dxa"/>
          </w:tcPr>
          <w:p w14:paraId="1EAAA95F">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5D67A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57D28AC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爆胎应急装置</w:t>
            </w:r>
          </w:p>
        </w:tc>
        <w:tc>
          <w:tcPr>
            <w:tcW w:w="6784" w:type="dxa"/>
            <w:vAlign w:val="center"/>
          </w:tcPr>
          <w:p w14:paraId="72531DAA">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z w:val="21"/>
                <w:szCs w:val="21"/>
              </w:rPr>
              <w:t>标配</w:t>
            </w:r>
          </w:p>
        </w:tc>
        <w:tc>
          <w:tcPr>
            <w:tcW w:w="1085" w:type="dxa"/>
          </w:tcPr>
          <w:p w14:paraId="7A01CCAF">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070E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5924A2F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highlight w:val="none"/>
              </w:rPr>
              <w:t>前、随动轮胎压监测装置装置</w:t>
            </w:r>
          </w:p>
        </w:tc>
        <w:tc>
          <w:tcPr>
            <w:tcW w:w="6784" w:type="dxa"/>
            <w:vAlign w:val="center"/>
          </w:tcPr>
          <w:p w14:paraId="7C1BA995">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napToGrid w:val="0"/>
                <w:kern w:val="0"/>
                <w:sz w:val="21"/>
                <w:szCs w:val="21"/>
              </w:rPr>
            </w:pPr>
            <w:r>
              <w:rPr>
                <w:rFonts w:hint="eastAsia" w:asciiTheme="minorEastAsia" w:hAnsiTheme="minorEastAsia" w:eastAsiaTheme="minorEastAsia" w:cstheme="minorEastAsia"/>
                <w:sz w:val="21"/>
                <w:szCs w:val="21"/>
              </w:rPr>
              <w:t>标配</w:t>
            </w:r>
          </w:p>
        </w:tc>
        <w:tc>
          <w:tcPr>
            <w:tcW w:w="1085" w:type="dxa"/>
          </w:tcPr>
          <w:p w14:paraId="69BB6D47">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2E492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5CB9014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集中润滑</w:t>
            </w:r>
          </w:p>
        </w:tc>
        <w:tc>
          <w:tcPr>
            <w:tcW w:w="6784" w:type="dxa"/>
            <w:vAlign w:val="center"/>
          </w:tcPr>
          <w:p w14:paraId="4BBD3FBB">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b w:val="0"/>
                <w:bCs w:val="0"/>
                <w:color w:val="auto"/>
                <w:sz w:val="21"/>
                <w:szCs w:val="21"/>
                <w:highlight w:val="none"/>
                <w:lang w:eastAsia="zh-CN"/>
              </w:rPr>
              <w:t>国产优质，</w:t>
            </w:r>
            <w:r>
              <w:rPr>
                <w:rFonts w:hint="eastAsia"/>
                <w:b w:val="0"/>
                <w:bCs w:val="0"/>
                <w:color w:val="auto"/>
                <w:sz w:val="21"/>
                <w:szCs w:val="21"/>
                <w:highlight w:val="none"/>
              </w:rPr>
              <w:t>免费质保</w:t>
            </w:r>
            <w:r>
              <w:rPr>
                <w:rFonts w:hint="default"/>
                <w:b w:val="0"/>
                <w:bCs w:val="0"/>
                <w:color w:val="auto"/>
                <w:sz w:val="21"/>
                <w:szCs w:val="21"/>
                <w:highlight w:val="none"/>
              </w:rPr>
              <w:t>8</w:t>
            </w:r>
            <w:r>
              <w:rPr>
                <w:rFonts w:hint="eastAsia"/>
                <w:b w:val="0"/>
                <w:bCs w:val="0"/>
                <w:color w:val="auto"/>
                <w:sz w:val="21"/>
                <w:szCs w:val="21"/>
                <w:highlight w:val="none"/>
              </w:rPr>
              <w:t>年（含易损、易耗件）</w:t>
            </w:r>
            <w:r>
              <w:rPr>
                <w:rFonts w:hint="eastAsia"/>
                <w:b w:val="0"/>
                <w:bCs w:val="0"/>
                <w:color w:val="auto"/>
                <w:sz w:val="21"/>
                <w:szCs w:val="21"/>
                <w:highlight w:val="none"/>
                <w:lang w:eastAsia="zh-CN"/>
              </w:rPr>
              <w:t>，</w:t>
            </w:r>
            <w:r>
              <w:rPr>
                <w:rFonts w:hint="eastAsia"/>
                <w:b w:val="0"/>
                <w:bCs w:val="0"/>
                <w:color w:val="auto"/>
                <w:sz w:val="21"/>
                <w:szCs w:val="21"/>
                <w:highlight w:val="none"/>
              </w:rPr>
              <w:t>附承诺书</w:t>
            </w:r>
          </w:p>
        </w:tc>
        <w:tc>
          <w:tcPr>
            <w:tcW w:w="1085" w:type="dxa"/>
          </w:tcPr>
          <w:p w14:paraId="1D785001">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0E8D8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1506" w:type="dxa"/>
            <w:vAlign w:val="center"/>
          </w:tcPr>
          <w:p w14:paraId="2BD94D2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制动系统</w:t>
            </w:r>
          </w:p>
        </w:tc>
        <w:tc>
          <w:tcPr>
            <w:tcW w:w="6784" w:type="dxa"/>
            <w:vAlign w:val="center"/>
          </w:tcPr>
          <w:p w14:paraId="2D6FF3CB">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kern w:val="0"/>
                <w:sz w:val="21"/>
                <w:szCs w:val="21"/>
                <w:highlight w:val="none"/>
              </w:rPr>
              <w:t>前、后、随动盘式，</w:t>
            </w:r>
            <w:r>
              <w:rPr>
                <w:rFonts w:hint="eastAsia" w:asciiTheme="minorEastAsia" w:hAnsiTheme="minorEastAsia" w:eastAsiaTheme="minorEastAsia" w:cstheme="minorEastAsia"/>
                <w:kern w:val="0"/>
                <w:sz w:val="21"/>
                <w:szCs w:val="21"/>
                <w:highlight w:val="none"/>
              </w:rPr>
              <w:t>双回路气制动，气压伺服助力，空气干燥器。阀类采用</w:t>
            </w:r>
            <w:r>
              <w:rPr>
                <w:rFonts w:hint="eastAsia" w:asciiTheme="minorEastAsia" w:hAnsiTheme="minorEastAsia" w:eastAsiaTheme="minorEastAsia" w:cstheme="minorEastAsia"/>
                <w:sz w:val="21"/>
                <w:szCs w:val="21"/>
                <w:highlight w:val="none"/>
                <w:lang w:val="en-US" w:eastAsia="zh-CN"/>
              </w:rPr>
              <w:t>知名品牌</w:t>
            </w:r>
            <w:r>
              <w:rPr>
                <w:rFonts w:hint="eastAsia" w:asciiTheme="minorEastAsia" w:hAnsiTheme="minorEastAsia" w:eastAsiaTheme="minorEastAsia" w:cstheme="minorEastAsia"/>
                <w:kern w:val="0"/>
                <w:sz w:val="21"/>
                <w:szCs w:val="21"/>
                <w:highlight w:val="none"/>
              </w:rPr>
              <w:t>。制动管路使用采用优质铜管，部分亚太管。管路系统按标准进行保压泄漏试验，与电线束和油水管分列布置。设低压声光报警，报警蜂鸣声与其它报警声响有明显区分。</w:t>
            </w:r>
          </w:p>
        </w:tc>
        <w:tc>
          <w:tcPr>
            <w:tcW w:w="1085" w:type="dxa"/>
          </w:tcPr>
          <w:p w14:paraId="483D6818">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207C6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6" w:type="dxa"/>
            <w:vAlign w:val="center"/>
          </w:tcPr>
          <w:p w14:paraId="4FEE3F1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缓速器</w:t>
            </w:r>
          </w:p>
        </w:tc>
        <w:tc>
          <w:tcPr>
            <w:tcW w:w="6784" w:type="dxa"/>
            <w:vAlign w:val="center"/>
          </w:tcPr>
          <w:p w14:paraId="644B787A">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b/>
                <w:bCs/>
                <w:kern w:val="0"/>
                <w:sz w:val="21"/>
                <w:szCs w:val="21"/>
              </w:rPr>
            </w:pPr>
            <w:r>
              <w:rPr>
                <w:rFonts w:hint="eastAsia" w:asciiTheme="minorEastAsia" w:hAnsiTheme="minorEastAsia" w:eastAsiaTheme="minorEastAsia" w:cstheme="minorEastAsia"/>
                <w:sz w:val="21"/>
                <w:szCs w:val="21"/>
              </w:rPr>
              <w:t>缓速器≧2400N.m四级控制，配温度报警装置</w:t>
            </w:r>
          </w:p>
        </w:tc>
        <w:tc>
          <w:tcPr>
            <w:tcW w:w="1085" w:type="dxa"/>
          </w:tcPr>
          <w:p w14:paraId="649630C2">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6ABB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6193F65E">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驻车制动</w:t>
            </w:r>
          </w:p>
        </w:tc>
        <w:tc>
          <w:tcPr>
            <w:tcW w:w="6784" w:type="dxa"/>
            <w:vAlign w:val="center"/>
          </w:tcPr>
          <w:p w14:paraId="36205CA6">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储能弹簧式作用于后轮。断气刹。</w:t>
            </w:r>
          </w:p>
        </w:tc>
        <w:tc>
          <w:tcPr>
            <w:tcW w:w="1085" w:type="dxa"/>
          </w:tcPr>
          <w:p w14:paraId="404C788D">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4B23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4BBBDFD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ABS及制动电子稳定系统</w:t>
            </w:r>
          </w:p>
        </w:tc>
        <w:tc>
          <w:tcPr>
            <w:tcW w:w="6784" w:type="dxa"/>
            <w:vAlign w:val="center"/>
          </w:tcPr>
          <w:p w14:paraId="7173C9A1">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进口知名品牌 ABS+ESC</w:t>
            </w:r>
          </w:p>
        </w:tc>
        <w:tc>
          <w:tcPr>
            <w:tcW w:w="1085" w:type="dxa"/>
          </w:tcPr>
          <w:p w14:paraId="44ABEAF2">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6815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5582E95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电子紧急制动系统</w:t>
            </w:r>
          </w:p>
        </w:tc>
        <w:tc>
          <w:tcPr>
            <w:tcW w:w="6784" w:type="dxa"/>
            <w:vAlign w:val="center"/>
          </w:tcPr>
          <w:p w14:paraId="6E2CE544">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进口知名品牌 AEBS</w:t>
            </w:r>
          </w:p>
        </w:tc>
        <w:tc>
          <w:tcPr>
            <w:tcW w:w="1085" w:type="dxa"/>
          </w:tcPr>
          <w:p w14:paraId="20FE5515">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1904B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69D78BD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皮带</w:t>
            </w:r>
          </w:p>
        </w:tc>
        <w:tc>
          <w:tcPr>
            <w:tcW w:w="6784" w:type="dxa"/>
            <w:vAlign w:val="center"/>
          </w:tcPr>
          <w:p w14:paraId="616BD4AE">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采用附件所用传动皮带。</w:t>
            </w:r>
          </w:p>
        </w:tc>
        <w:tc>
          <w:tcPr>
            <w:tcW w:w="1085" w:type="dxa"/>
          </w:tcPr>
          <w:p w14:paraId="3F7681B3">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知名品牌</w:t>
            </w:r>
          </w:p>
        </w:tc>
      </w:tr>
      <w:tr w14:paraId="1209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6DC71DB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底盘电器</w:t>
            </w:r>
          </w:p>
        </w:tc>
        <w:tc>
          <w:tcPr>
            <w:tcW w:w="6784" w:type="dxa"/>
            <w:vAlign w:val="center"/>
          </w:tcPr>
          <w:p w14:paraId="24DCDEDE">
            <w:pPr>
              <w:keepNext w:val="0"/>
              <w:keepLines w:val="0"/>
              <w:widowControl/>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负极搭铁，进口AMP电器接插件，电线束与油、气、水等管线分列布置。电线</w:t>
            </w:r>
            <w:r>
              <w:rPr>
                <w:rFonts w:hint="eastAsia" w:asciiTheme="minorEastAsia" w:hAnsiTheme="minorEastAsia" w:eastAsiaTheme="minorEastAsia" w:cstheme="minorEastAsia"/>
                <w:kern w:val="0"/>
                <w:sz w:val="21"/>
                <w:szCs w:val="21"/>
              </w:rPr>
              <w:t>全部采用镀锡铜芯线。</w:t>
            </w:r>
          </w:p>
        </w:tc>
        <w:tc>
          <w:tcPr>
            <w:tcW w:w="1085" w:type="dxa"/>
          </w:tcPr>
          <w:p w14:paraId="34C7EA47">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53546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471141F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发电机</w:t>
            </w:r>
          </w:p>
        </w:tc>
        <w:tc>
          <w:tcPr>
            <w:tcW w:w="6784" w:type="dxa"/>
            <w:vAlign w:val="center"/>
          </w:tcPr>
          <w:p w14:paraId="3166D702">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0A发电机三只</w:t>
            </w:r>
          </w:p>
        </w:tc>
        <w:tc>
          <w:tcPr>
            <w:tcW w:w="1085" w:type="dxa"/>
          </w:tcPr>
          <w:p w14:paraId="0BCD2009">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lang w:val="en-US" w:eastAsia="zh-CN"/>
              </w:rPr>
              <w:t>知名品牌</w:t>
            </w:r>
          </w:p>
        </w:tc>
      </w:tr>
      <w:tr w14:paraId="3292E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34910D5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组合开关</w:t>
            </w:r>
          </w:p>
        </w:tc>
        <w:tc>
          <w:tcPr>
            <w:tcW w:w="6784" w:type="dxa"/>
            <w:vAlign w:val="center"/>
          </w:tcPr>
          <w:p w14:paraId="166DDA5E">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采用转向柱安装组合式开关，包括大小灯、转向灯、雨刮器、点火开关等控制开关。</w:t>
            </w:r>
          </w:p>
        </w:tc>
        <w:tc>
          <w:tcPr>
            <w:tcW w:w="1085" w:type="dxa"/>
          </w:tcPr>
          <w:p w14:paraId="6EB1236F">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5A416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0F45707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起动机</w:t>
            </w:r>
          </w:p>
        </w:tc>
        <w:tc>
          <w:tcPr>
            <w:tcW w:w="6784" w:type="dxa"/>
            <w:vAlign w:val="center"/>
          </w:tcPr>
          <w:p w14:paraId="163D0A42">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24V电磁操纵性好。</w:t>
            </w:r>
          </w:p>
        </w:tc>
        <w:tc>
          <w:tcPr>
            <w:tcW w:w="1085" w:type="dxa"/>
          </w:tcPr>
          <w:p w14:paraId="36FAD8DD">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2F35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7EA69A7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蓄电池</w:t>
            </w:r>
          </w:p>
        </w:tc>
        <w:tc>
          <w:tcPr>
            <w:tcW w:w="6784" w:type="dxa"/>
            <w:vAlign w:val="center"/>
          </w:tcPr>
          <w:p w14:paraId="5B2E3022">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采用国内一线品牌免维护蓄电池≧195Ah两只，镀锌强度钢蓄电池架推拉式托盘，配独立蓄电池仓门并开一小仓门方便机械式电源总开关的开和关，作防腐处理，带气撑式开关，仓底开一处滴水小孔，安装位置要远离排气管。</w:t>
            </w:r>
          </w:p>
        </w:tc>
        <w:tc>
          <w:tcPr>
            <w:tcW w:w="1085" w:type="dxa"/>
          </w:tcPr>
          <w:p w14:paraId="58301C4E">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21D3A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4431119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储气筒放水阀</w:t>
            </w:r>
          </w:p>
        </w:tc>
        <w:tc>
          <w:tcPr>
            <w:tcW w:w="6784" w:type="dxa"/>
            <w:vAlign w:val="center"/>
          </w:tcPr>
          <w:p w14:paraId="3897033B">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自动</w:t>
            </w:r>
          </w:p>
        </w:tc>
        <w:tc>
          <w:tcPr>
            <w:tcW w:w="1085" w:type="dxa"/>
          </w:tcPr>
          <w:p w14:paraId="1670BEC4">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kern w:val="0"/>
                <w:sz w:val="21"/>
                <w:szCs w:val="21"/>
              </w:rPr>
            </w:pPr>
          </w:p>
        </w:tc>
      </w:tr>
      <w:tr w14:paraId="15DE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375" w:type="dxa"/>
            <w:gridSpan w:val="3"/>
            <w:vAlign w:val="center"/>
          </w:tcPr>
          <w:p w14:paraId="6737D24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车  身</w:t>
            </w:r>
          </w:p>
        </w:tc>
      </w:tr>
      <w:tr w14:paraId="133A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08E86BA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车身漆色图案</w:t>
            </w:r>
          </w:p>
        </w:tc>
        <w:tc>
          <w:tcPr>
            <w:tcW w:w="6784" w:type="dxa"/>
            <w:vAlign w:val="center"/>
          </w:tcPr>
          <w:p w14:paraId="50CB63A4">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车身油漆采用</w:t>
            </w:r>
            <w:r>
              <w:rPr>
                <w:rFonts w:hint="eastAsia" w:asciiTheme="minorEastAsia" w:hAnsiTheme="minorEastAsia" w:eastAsiaTheme="minorEastAsia" w:cstheme="minorEastAsia"/>
                <w:kern w:val="0"/>
                <w:sz w:val="21"/>
                <w:szCs w:val="21"/>
                <w:highlight w:val="none"/>
              </w:rPr>
              <w:t>进口实色</w:t>
            </w:r>
            <w:r>
              <w:rPr>
                <w:rFonts w:hint="eastAsia" w:asciiTheme="minorEastAsia" w:hAnsiTheme="minorEastAsia" w:eastAsiaTheme="minorEastAsia" w:cstheme="minorEastAsia"/>
                <w:sz w:val="21"/>
                <w:szCs w:val="21"/>
                <w:highlight w:val="none"/>
              </w:rPr>
              <w:t>漆，漆色图案由投标人提供，由招标人确认。</w:t>
            </w:r>
          </w:p>
        </w:tc>
        <w:tc>
          <w:tcPr>
            <w:tcW w:w="1085" w:type="dxa"/>
          </w:tcPr>
          <w:p w14:paraId="4F510F2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rPr>
            </w:pPr>
          </w:p>
        </w:tc>
      </w:tr>
      <w:tr w14:paraId="6EC9E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Merge w:val="restart"/>
            <w:vAlign w:val="center"/>
          </w:tcPr>
          <w:p w14:paraId="4ED2ED2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▲车身结构与 车身型材</w:t>
            </w:r>
          </w:p>
        </w:tc>
        <w:tc>
          <w:tcPr>
            <w:tcW w:w="6784" w:type="dxa"/>
            <w:vAlign w:val="center"/>
          </w:tcPr>
          <w:p w14:paraId="27EA9F0D">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b/>
                <w:bCs/>
                <w:sz w:val="21"/>
                <w:szCs w:val="21"/>
                <w:highlight w:val="none"/>
              </w:rPr>
              <w:t>采用全承载车身结构（出具承诺函）。</w:t>
            </w:r>
            <w:r>
              <w:rPr>
                <w:rFonts w:hint="eastAsia" w:asciiTheme="minorEastAsia" w:hAnsiTheme="minorEastAsia" w:eastAsiaTheme="minorEastAsia" w:cstheme="minorEastAsia"/>
                <w:sz w:val="21"/>
                <w:szCs w:val="21"/>
                <w:highlight w:val="none"/>
              </w:rPr>
              <w:t>采用优质管材，车身骨架 整体强度满足营运客车运行寿命要求。所有结构件和覆盖件内外均经阴极电泳处理，车身蒙皮采用模压件，蒙皮厚度在1.0mm以上，整车蒙皮一次性冲压成型件。车身内顶和侧围整体经有效隔热降噪处理，前后围采用玻璃钢或钢板冲压成型件。</w:t>
            </w:r>
          </w:p>
        </w:tc>
        <w:tc>
          <w:tcPr>
            <w:tcW w:w="1085" w:type="dxa"/>
          </w:tcPr>
          <w:p w14:paraId="4E528685">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0A9EF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Merge w:val="continue"/>
            <w:vAlign w:val="center"/>
          </w:tcPr>
          <w:p w14:paraId="45720BA9">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0"/>
                <w:sz w:val="21"/>
                <w:szCs w:val="21"/>
                <w:highlight w:val="none"/>
              </w:rPr>
            </w:pPr>
          </w:p>
        </w:tc>
        <w:tc>
          <w:tcPr>
            <w:tcW w:w="6784" w:type="dxa"/>
            <w:vAlign w:val="center"/>
          </w:tcPr>
          <w:p w14:paraId="1AE664E9">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.双</w:t>
            </w:r>
            <w:r>
              <w:rPr>
                <w:rFonts w:hint="eastAsia" w:asciiTheme="minorEastAsia" w:hAnsiTheme="minorEastAsia" w:eastAsiaTheme="minorEastAsia" w:cstheme="minorEastAsia"/>
                <w:sz w:val="21"/>
                <w:szCs w:val="21"/>
                <w:highlight w:val="none"/>
              </w:rPr>
              <w:t>侧围行李仓门为</w:t>
            </w:r>
            <w:r>
              <w:rPr>
                <w:rFonts w:hint="eastAsia" w:asciiTheme="minorEastAsia" w:hAnsiTheme="minorEastAsia" w:eastAsiaTheme="minorEastAsia" w:cstheme="minorEastAsia"/>
                <w:sz w:val="21"/>
                <w:szCs w:val="21"/>
                <w:highlight w:val="none"/>
                <w:lang w:eastAsia="zh-CN"/>
              </w:rPr>
              <w:t>气动</w:t>
            </w:r>
            <w:r>
              <w:rPr>
                <w:rFonts w:hint="eastAsia" w:asciiTheme="minorEastAsia" w:hAnsiTheme="minorEastAsia" w:eastAsiaTheme="minorEastAsia" w:cstheme="minorEastAsia"/>
                <w:sz w:val="21"/>
                <w:szCs w:val="21"/>
                <w:highlight w:val="none"/>
              </w:rPr>
              <w:t>平移式，液压撑杆，锁芯锁。</w:t>
            </w:r>
          </w:p>
        </w:tc>
        <w:tc>
          <w:tcPr>
            <w:tcW w:w="1085" w:type="dxa"/>
          </w:tcPr>
          <w:p w14:paraId="394CBC2A">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1C593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Merge w:val="continue"/>
            <w:vAlign w:val="center"/>
          </w:tcPr>
          <w:p w14:paraId="384EF2E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0"/>
                <w:sz w:val="21"/>
                <w:szCs w:val="21"/>
                <w:highlight w:val="none"/>
              </w:rPr>
            </w:pPr>
          </w:p>
        </w:tc>
        <w:tc>
          <w:tcPr>
            <w:tcW w:w="6784" w:type="dxa"/>
            <w:vAlign w:val="center"/>
          </w:tcPr>
          <w:p w14:paraId="69C9BF6E">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驾驶员休息舱，带单冷空调及暖风、USB充电接口、照明系统</w:t>
            </w:r>
          </w:p>
        </w:tc>
        <w:tc>
          <w:tcPr>
            <w:tcW w:w="1085" w:type="dxa"/>
          </w:tcPr>
          <w:p w14:paraId="447901C7">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6873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Merge w:val="continue"/>
            <w:vAlign w:val="center"/>
          </w:tcPr>
          <w:p w14:paraId="20E1F7F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0"/>
                <w:sz w:val="21"/>
                <w:szCs w:val="21"/>
                <w:highlight w:val="none"/>
              </w:rPr>
            </w:pPr>
          </w:p>
        </w:tc>
        <w:tc>
          <w:tcPr>
            <w:tcW w:w="6784" w:type="dxa"/>
            <w:vAlign w:val="center"/>
          </w:tcPr>
          <w:p w14:paraId="649DA342">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在车身左右两侧设有多个支车点，并设置支车点标记。</w:t>
            </w:r>
          </w:p>
        </w:tc>
        <w:tc>
          <w:tcPr>
            <w:tcW w:w="1085" w:type="dxa"/>
          </w:tcPr>
          <w:p w14:paraId="2E863D59">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426C5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Merge w:val="continue"/>
            <w:vAlign w:val="center"/>
          </w:tcPr>
          <w:p w14:paraId="2403F93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0"/>
                <w:sz w:val="21"/>
                <w:szCs w:val="21"/>
                <w:highlight w:val="none"/>
              </w:rPr>
            </w:pPr>
          </w:p>
        </w:tc>
        <w:tc>
          <w:tcPr>
            <w:tcW w:w="6784" w:type="dxa"/>
            <w:vAlign w:val="center"/>
          </w:tcPr>
          <w:p w14:paraId="7F3A6B6A">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车厢两边及乘客门上配流水槽。</w:t>
            </w:r>
          </w:p>
        </w:tc>
        <w:tc>
          <w:tcPr>
            <w:tcW w:w="1085" w:type="dxa"/>
          </w:tcPr>
          <w:p w14:paraId="7F1A910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501B3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Merge w:val="continue"/>
            <w:vAlign w:val="center"/>
          </w:tcPr>
          <w:p w14:paraId="1269DC9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0"/>
                <w:sz w:val="21"/>
                <w:szCs w:val="21"/>
                <w:highlight w:val="none"/>
              </w:rPr>
            </w:pPr>
          </w:p>
        </w:tc>
        <w:tc>
          <w:tcPr>
            <w:tcW w:w="6784" w:type="dxa"/>
            <w:vAlign w:val="center"/>
          </w:tcPr>
          <w:p w14:paraId="0E45300F">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6</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kern w:val="0"/>
                <w:sz w:val="21"/>
                <w:szCs w:val="21"/>
                <w:highlight w:val="none"/>
              </w:rPr>
              <w:t>车辆纵梁前部适当位置应设置拖钩，拖钩及连接部位骨架、连接方式应满足车辆拖动施救的需求，要求使用方便，拖拉固定可靠。同时纵梁前部区域的各类管路、线束的布置应充分考虑拖车时的运动干涉，以免损坏。</w:t>
            </w:r>
          </w:p>
        </w:tc>
        <w:tc>
          <w:tcPr>
            <w:tcW w:w="1085" w:type="dxa"/>
          </w:tcPr>
          <w:p w14:paraId="75EBE5D6">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6B436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Merge w:val="restart"/>
            <w:vAlign w:val="center"/>
          </w:tcPr>
          <w:p w14:paraId="249A4A8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车厢内处理工艺</w:t>
            </w:r>
          </w:p>
        </w:tc>
        <w:tc>
          <w:tcPr>
            <w:tcW w:w="6784" w:type="dxa"/>
            <w:vAlign w:val="center"/>
          </w:tcPr>
          <w:p w14:paraId="71402243">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1</w:t>
            </w:r>
            <w:r>
              <w:rPr>
                <w:rFonts w:hint="eastAsia" w:asciiTheme="minorEastAsia" w:hAnsiTheme="minorEastAsia" w:eastAsiaTheme="minorEastAsia" w:cstheme="minorEastAsia"/>
                <w:kern w:val="0"/>
                <w:sz w:val="21"/>
                <w:szCs w:val="21"/>
                <w:highlight w:val="none"/>
                <w:lang w:val="en-US" w:eastAsia="zh-CN"/>
              </w:rPr>
              <w:t>.</w:t>
            </w:r>
            <w:r>
              <w:rPr>
                <w:rFonts w:hint="eastAsia" w:asciiTheme="minorEastAsia" w:hAnsiTheme="minorEastAsia" w:eastAsiaTheme="minorEastAsia" w:cstheme="minorEastAsia"/>
                <w:kern w:val="0"/>
                <w:sz w:val="21"/>
                <w:szCs w:val="21"/>
                <w:highlight w:val="none"/>
              </w:rPr>
              <w:t>车厢内各阴阳角拼缝处拼压平整贴服。</w:t>
            </w:r>
          </w:p>
        </w:tc>
        <w:tc>
          <w:tcPr>
            <w:tcW w:w="1085" w:type="dxa"/>
          </w:tcPr>
          <w:p w14:paraId="49464D95">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0981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Merge w:val="continue"/>
            <w:vAlign w:val="center"/>
          </w:tcPr>
          <w:p w14:paraId="36CFCEA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0"/>
                <w:sz w:val="21"/>
                <w:szCs w:val="21"/>
                <w:highlight w:val="none"/>
              </w:rPr>
            </w:pPr>
          </w:p>
        </w:tc>
        <w:tc>
          <w:tcPr>
            <w:tcW w:w="6784" w:type="dxa"/>
            <w:vAlign w:val="center"/>
          </w:tcPr>
          <w:p w14:paraId="6AF66903">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2</w:t>
            </w:r>
            <w:r>
              <w:rPr>
                <w:rFonts w:hint="eastAsia" w:asciiTheme="minorEastAsia" w:hAnsiTheme="minorEastAsia" w:eastAsiaTheme="minorEastAsia" w:cstheme="minorEastAsia"/>
                <w:kern w:val="0"/>
                <w:sz w:val="21"/>
                <w:szCs w:val="21"/>
                <w:highlight w:val="none"/>
                <w:lang w:val="en-US" w:eastAsia="zh-CN"/>
              </w:rPr>
              <w:t>.</w:t>
            </w:r>
            <w:r>
              <w:rPr>
                <w:rFonts w:hint="eastAsia" w:asciiTheme="minorEastAsia" w:hAnsiTheme="minorEastAsia" w:eastAsiaTheme="minorEastAsia" w:cstheme="minorEastAsia"/>
                <w:kern w:val="0"/>
                <w:sz w:val="21"/>
                <w:szCs w:val="21"/>
                <w:highlight w:val="none"/>
              </w:rPr>
              <w:t>乘客可能触及的车身内外部件、构件都不应有尖角和锐边。</w:t>
            </w:r>
          </w:p>
        </w:tc>
        <w:tc>
          <w:tcPr>
            <w:tcW w:w="1085" w:type="dxa"/>
          </w:tcPr>
          <w:p w14:paraId="71F8BD22">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6166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04A067F6">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防锈处理工艺</w:t>
            </w:r>
          </w:p>
        </w:tc>
        <w:tc>
          <w:tcPr>
            <w:tcW w:w="6784" w:type="dxa"/>
            <w:vAlign w:val="center"/>
          </w:tcPr>
          <w:p w14:paraId="36B63B7C">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整车阴极电泳的工艺。</w:t>
            </w:r>
            <w:r>
              <w:rPr>
                <w:rFonts w:hint="eastAsia" w:asciiTheme="minorEastAsia" w:hAnsiTheme="minorEastAsia" w:eastAsiaTheme="minorEastAsia" w:cstheme="minorEastAsia"/>
                <w:b w:val="0"/>
                <w:bCs/>
                <w:sz w:val="21"/>
                <w:szCs w:val="21"/>
                <w:highlight w:val="none"/>
              </w:rPr>
              <w:t>整车防腐效果达到8年以上。附承诺书</w:t>
            </w:r>
          </w:p>
        </w:tc>
        <w:tc>
          <w:tcPr>
            <w:tcW w:w="1085" w:type="dxa"/>
          </w:tcPr>
          <w:p w14:paraId="478774BF">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27A99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33BA13E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w:t>
            </w:r>
            <w:r>
              <w:rPr>
                <w:rFonts w:hint="eastAsia" w:asciiTheme="minorEastAsia" w:hAnsiTheme="minorEastAsia" w:eastAsiaTheme="minorEastAsia" w:cstheme="minorEastAsia"/>
                <w:b w:val="0"/>
                <w:bCs w:val="0"/>
                <w:color w:val="auto"/>
                <w:sz w:val="21"/>
                <w:szCs w:val="21"/>
                <w:highlight w:val="none"/>
              </w:rPr>
              <w:t>前／后挡风玻璃、侧车窗</w:t>
            </w:r>
          </w:p>
        </w:tc>
        <w:tc>
          <w:tcPr>
            <w:tcW w:w="6784" w:type="dxa"/>
            <w:vAlign w:val="center"/>
          </w:tcPr>
          <w:p w14:paraId="5D46E977">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val="0"/>
                <w:bCs w:val="0"/>
                <w:color w:val="auto"/>
                <w:sz w:val="21"/>
                <w:szCs w:val="21"/>
                <w:highlight w:val="none"/>
              </w:rPr>
              <w:t>前挡为双层夹胶防紫外线隔热</w:t>
            </w:r>
            <w:r>
              <w:rPr>
                <w:rFonts w:hint="eastAsia" w:asciiTheme="minorEastAsia" w:hAnsiTheme="minorEastAsia" w:eastAsiaTheme="minorEastAsia" w:cstheme="minorEastAsia"/>
                <w:b w:val="0"/>
                <w:bCs w:val="0"/>
                <w:sz w:val="21"/>
                <w:szCs w:val="21"/>
                <w:highlight w:val="none"/>
              </w:rPr>
              <w:t>大视野双曲面</w:t>
            </w:r>
            <w:r>
              <w:rPr>
                <w:rFonts w:hint="eastAsia" w:asciiTheme="minorEastAsia" w:hAnsiTheme="minorEastAsia" w:eastAsiaTheme="minorEastAsia" w:cstheme="minorEastAsia"/>
                <w:b w:val="0"/>
                <w:bCs w:val="0"/>
                <w:color w:val="auto"/>
                <w:sz w:val="21"/>
                <w:szCs w:val="21"/>
                <w:highlight w:val="none"/>
              </w:rPr>
              <w:t>玻璃；后挡为隔热钢化玻璃；均采用粘接式结构。侧窗</w:t>
            </w:r>
            <w:r>
              <w:rPr>
                <w:rFonts w:hint="eastAsia" w:asciiTheme="minorEastAsia" w:hAnsiTheme="minorEastAsia" w:eastAsiaTheme="minorEastAsia" w:cstheme="minorEastAsia"/>
                <w:b w:val="0"/>
                <w:bCs w:val="0"/>
                <w:color w:val="auto"/>
                <w:sz w:val="21"/>
                <w:szCs w:val="21"/>
                <w:highlight w:val="none"/>
                <w:lang w:eastAsia="zh-CN"/>
              </w:rPr>
              <w:t>为</w:t>
            </w:r>
            <w:r>
              <w:rPr>
                <w:rFonts w:hint="eastAsia" w:asciiTheme="minorEastAsia" w:hAnsiTheme="minorEastAsia" w:eastAsiaTheme="minorEastAsia" w:cstheme="minorEastAsia"/>
                <w:b w:val="0"/>
                <w:bCs w:val="0"/>
                <w:color w:val="auto"/>
                <w:sz w:val="21"/>
                <w:szCs w:val="21"/>
                <w:highlight w:val="none"/>
              </w:rPr>
              <w:t>防紫外线隔热车窗玻璃，满足上牌要求。</w:t>
            </w:r>
            <w:r>
              <w:rPr>
                <w:rFonts w:hint="eastAsia" w:asciiTheme="minorEastAsia" w:hAnsiTheme="minorEastAsia" w:eastAsiaTheme="minorEastAsia" w:cstheme="minorEastAsia"/>
                <w:b w:val="0"/>
                <w:bCs w:val="0"/>
                <w:color w:val="auto"/>
                <w:sz w:val="21"/>
                <w:szCs w:val="21"/>
                <w:highlight w:val="none"/>
                <w:lang w:eastAsia="zh-CN"/>
              </w:rPr>
              <w:t>免费配备本车型整车玻璃一套。</w:t>
            </w:r>
          </w:p>
        </w:tc>
        <w:tc>
          <w:tcPr>
            <w:tcW w:w="1085" w:type="dxa"/>
          </w:tcPr>
          <w:p w14:paraId="4842D3B6">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3FD7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560B3A8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前挡风遮阳帘</w:t>
            </w:r>
          </w:p>
        </w:tc>
        <w:tc>
          <w:tcPr>
            <w:tcW w:w="6784" w:type="dxa"/>
            <w:vAlign w:val="center"/>
          </w:tcPr>
          <w:p w14:paraId="03298D99">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电动单幅遮阳帘</w:t>
            </w:r>
          </w:p>
        </w:tc>
        <w:tc>
          <w:tcPr>
            <w:tcW w:w="1085" w:type="dxa"/>
          </w:tcPr>
          <w:p w14:paraId="1C0459B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1C620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4D3477A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侧窗、窗帘</w:t>
            </w:r>
          </w:p>
        </w:tc>
        <w:tc>
          <w:tcPr>
            <w:tcW w:w="6784" w:type="dxa"/>
            <w:vAlign w:val="center"/>
          </w:tcPr>
          <w:p w14:paraId="4DB534DA">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后两侧内置推拉窗、配应急外推窗，其余全封闭玻璃。配环保优质豪华窗帘。</w:t>
            </w:r>
          </w:p>
        </w:tc>
        <w:tc>
          <w:tcPr>
            <w:tcW w:w="1085" w:type="dxa"/>
          </w:tcPr>
          <w:p w14:paraId="2F0F4509">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7E746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38F4BE1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车门 、乘客门安全手动应急阀。</w:t>
            </w:r>
          </w:p>
        </w:tc>
        <w:tc>
          <w:tcPr>
            <w:tcW w:w="6784" w:type="dxa"/>
            <w:vAlign w:val="center"/>
          </w:tcPr>
          <w:p w14:paraId="300E6536">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lang w:eastAsia="zh-CN"/>
              </w:rPr>
            </w:pPr>
            <w:r>
              <w:rPr>
                <w:rFonts w:hint="eastAsia" w:asciiTheme="minorEastAsia" w:hAnsiTheme="minorEastAsia" w:eastAsiaTheme="minorEastAsia" w:cstheme="minorEastAsia"/>
                <w:sz w:val="21"/>
                <w:szCs w:val="21"/>
                <w:highlight w:val="none"/>
              </w:rPr>
              <w:t>全铝遥控外摆乘客门，前、中门，带防夹装置，车外装应急阀。配有安全门</w:t>
            </w:r>
            <w:r>
              <w:rPr>
                <w:rFonts w:hint="eastAsia" w:asciiTheme="minorEastAsia" w:hAnsiTheme="minorEastAsia" w:eastAsiaTheme="minorEastAsia" w:cstheme="minorEastAsia"/>
                <w:sz w:val="21"/>
                <w:szCs w:val="21"/>
                <w:highlight w:val="none"/>
                <w:lang w:eastAsia="zh-CN"/>
              </w:rPr>
              <w:t>。</w:t>
            </w:r>
          </w:p>
        </w:tc>
        <w:tc>
          <w:tcPr>
            <w:tcW w:w="1085" w:type="dxa"/>
          </w:tcPr>
          <w:p w14:paraId="68AF7F85">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555C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5D9A1BA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▲乘客座椅</w:t>
            </w:r>
          </w:p>
        </w:tc>
        <w:tc>
          <w:tcPr>
            <w:tcW w:w="6784" w:type="dxa"/>
            <w:vAlign w:val="center"/>
          </w:tcPr>
          <w:p w14:paraId="0D3FF1DB">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kern w:val="0"/>
                <w:sz w:val="21"/>
                <w:szCs w:val="21"/>
                <w:highlight w:val="none"/>
              </w:rPr>
              <w:t>豪华小商务双色仿皮面料座椅,</w:t>
            </w:r>
            <w:r>
              <w:rPr>
                <w:rFonts w:hint="eastAsia" w:asciiTheme="minorEastAsia" w:hAnsiTheme="minorEastAsia" w:eastAsiaTheme="minorEastAsia" w:cstheme="minorEastAsia"/>
                <w:kern w:val="0"/>
                <w:sz w:val="21"/>
                <w:szCs w:val="21"/>
                <w:highlight w:val="none"/>
              </w:rPr>
              <w:t>背可调、座椅可横移，固定扶手，配USB充电接口，带座位号，座椅后背绣“请全程系好安全带”字样，2+2排列。尽量考虑旅客舒适性。</w:t>
            </w:r>
            <w:r>
              <w:rPr>
                <w:rFonts w:hint="eastAsia" w:asciiTheme="minorEastAsia" w:hAnsiTheme="minorEastAsia" w:eastAsiaTheme="minorEastAsia" w:cstheme="minorEastAsia"/>
                <w:sz w:val="21"/>
                <w:szCs w:val="21"/>
                <w:highlight w:val="none"/>
              </w:rPr>
              <w:t>（要求质保8年，附质保承诺书）</w:t>
            </w:r>
          </w:p>
        </w:tc>
        <w:tc>
          <w:tcPr>
            <w:tcW w:w="1085" w:type="dxa"/>
          </w:tcPr>
          <w:p w14:paraId="190AAEFA">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54336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2365B24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安全带</w:t>
            </w:r>
          </w:p>
        </w:tc>
        <w:tc>
          <w:tcPr>
            <w:tcW w:w="6784" w:type="dxa"/>
            <w:vAlign w:val="center"/>
          </w:tcPr>
          <w:p w14:paraId="1C1D95A4">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整车安全带（全车三点式</w:t>
            </w:r>
            <w:r>
              <w:rPr>
                <w:rFonts w:hint="eastAsia" w:asciiTheme="minorEastAsia" w:hAnsiTheme="minorEastAsia" w:eastAsiaTheme="minorEastAsia" w:cstheme="minorEastAsia"/>
                <w:kern w:val="0"/>
                <w:sz w:val="21"/>
                <w:szCs w:val="21"/>
                <w:highlight w:val="none"/>
                <w:lang w:eastAsia="zh-CN"/>
              </w:rPr>
              <w:t>伸缩</w:t>
            </w:r>
            <w:r>
              <w:rPr>
                <w:rFonts w:hint="eastAsia" w:asciiTheme="minorEastAsia" w:hAnsiTheme="minorEastAsia" w:eastAsiaTheme="minorEastAsia" w:cstheme="minorEastAsia"/>
                <w:kern w:val="0"/>
                <w:sz w:val="21"/>
                <w:szCs w:val="21"/>
                <w:highlight w:val="none"/>
              </w:rPr>
              <w:t>安全带，有重力感应带报警）</w:t>
            </w:r>
          </w:p>
        </w:tc>
        <w:tc>
          <w:tcPr>
            <w:tcW w:w="1085" w:type="dxa"/>
          </w:tcPr>
          <w:p w14:paraId="6ED2B958">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12C3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6" w:type="dxa"/>
            <w:vAlign w:val="center"/>
          </w:tcPr>
          <w:p w14:paraId="6FB78CE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地板</w:t>
            </w:r>
          </w:p>
        </w:tc>
        <w:tc>
          <w:tcPr>
            <w:tcW w:w="6784" w:type="dxa"/>
            <w:vAlign w:val="center"/>
          </w:tcPr>
          <w:p w14:paraId="3E416755">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1.铺设地毯纹防滑地板革，阻燃、环保，平整无明显凸起，地板革需符合GB38262-2019标准，防滑等级R11，耐磨等级T级。</w:t>
            </w:r>
          </w:p>
          <w:p w14:paraId="3B66ADF0">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2.安装车用PVC高品质耐高温阻燃专用、防腐、环保地板，符合国标。厚度≥18mm，地板铺设工艺需按照地板生产厂家工艺要求，免费质保8年。加密加大地板下纵、横支撑梁，防止地板悬空断裂、下沉。</w:t>
            </w:r>
          </w:p>
        </w:tc>
        <w:tc>
          <w:tcPr>
            <w:tcW w:w="1085" w:type="dxa"/>
          </w:tcPr>
          <w:p w14:paraId="2057DB4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53A6C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5FE45DF0">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内饰</w:t>
            </w:r>
          </w:p>
        </w:tc>
        <w:tc>
          <w:tcPr>
            <w:tcW w:w="6784" w:type="dxa"/>
            <w:vAlign w:val="center"/>
          </w:tcPr>
          <w:p w14:paraId="4EAA3F40">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rPr>
              <w:t>中顶皮革面料（阻燃材料）商务内饰，</w:t>
            </w:r>
            <w:r>
              <w:rPr>
                <w:rFonts w:hint="eastAsia" w:asciiTheme="minorEastAsia" w:hAnsiTheme="minorEastAsia" w:eastAsiaTheme="minorEastAsia" w:cstheme="minorEastAsia"/>
                <w:b w:val="0"/>
                <w:bCs w:val="0"/>
                <w:sz w:val="21"/>
                <w:szCs w:val="21"/>
                <w:highlight w:val="none"/>
              </w:rPr>
              <w:t>航空式双边行李架</w:t>
            </w:r>
            <w:r>
              <w:rPr>
                <w:rFonts w:hint="eastAsia" w:asciiTheme="minorEastAsia" w:hAnsiTheme="minorEastAsia" w:eastAsiaTheme="minorEastAsia" w:cstheme="minorEastAsia"/>
                <w:b w:val="0"/>
                <w:bCs w:val="0"/>
                <w:sz w:val="21"/>
                <w:szCs w:val="21"/>
                <w:highlight w:val="none"/>
                <w:lang w:eastAsia="zh-CN"/>
              </w:rPr>
              <w:t>，</w:t>
            </w:r>
            <w:r>
              <w:rPr>
                <w:rFonts w:hint="eastAsia" w:asciiTheme="minorEastAsia" w:hAnsiTheme="minorEastAsia" w:eastAsiaTheme="minorEastAsia" w:cstheme="minorEastAsia"/>
                <w:b w:val="0"/>
                <w:bCs w:val="0"/>
                <w:sz w:val="21"/>
                <w:szCs w:val="21"/>
                <w:highlight w:val="none"/>
              </w:rPr>
              <w:t>带舱盖</w:t>
            </w:r>
          </w:p>
        </w:tc>
        <w:tc>
          <w:tcPr>
            <w:tcW w:w="1085" w:type="dxa"/>
          </w:tcPr>
          <w:p w14:paraId="2217843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13DBE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2B6BDEC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驾驶区仪表台</w:t>
            </w:r>
          </w:p>
        </w:tc>
        <w:tc>
          <w:tcPr>
            <w:tcW w:w="6784" w:type="dxa"/>
            <w:vAlign w:val="center"/>
          </w:tcPr>
          <w:p w14:paraId="5D4011E2">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整体式仪表台，应充分考虑满足配装车载监控、中客门（倒车）监视器、GPS车载机、等布置要求。 </w:t>
            </w:r>
            <w:r>
              <w:rPr>
                <w:rFonts w:hint="eastAsia" w:asciiTheme="minorEastAsia" w:hAnsiTheme="minorEastAsia" w:eastAsiaTheme="minorEastAsia" w:cstheme="minorEastAsia"/>
                <w:kern w:val="0"/>
                <w:sz w:val="21"/>
                <w:szCs w:val="21"/>
                <w:highlight w:val="none"/>
              </w:rPr>
              <w:t>为方便雨刷器等部件的检修与拆装，在仪表台设置专用检修门。</w:t>
            </w:r>
          </w:p>
        </w:tc>
        <w:tc>
          <w:tcPr>
            <w:tcW w:w="1085" w:type="dxa"/>
          </w:tcPr>
          <w:p w14:paraId="0E7E77C3">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4CD98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26E4050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仪表</w:t>
            </w:r>
          </w:p>
        </w:tc>
        <w:tc>
          <w:tcPr>
            <w:tcW w:w="6784" w:type="dxa"/>
            <w:vAlign w:val="center"/>
          </w:tcPr>
          <w:p w14:paraId="2F24838C">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一体式，</w:t>
            </w:r>
            <w:r>
              <w:rPr>
                <w:rFonts w:hint="eastAsia" w:asciiTheme="minorEastAsia" w:hAnsiTheme="minorEastAsia" w:eastAsiaTheme="minorEastAsia" w:cstheme="minorEastAsia"/>
                <w:kern w:val="0"/>
                <w:sz w:val="21"/>
                <w:szCs w:val="21"/>
                <w:highlight w:val="none"/>
              </w:rPr>
              <w:t>在仪表显示面板上要有ABS和发动机故障“闪码”显示功能,各设一个“闪码”开关。配国标OBD诊断接口，</w:t>
            </w:r>
            <w:r>
              <w:rPr>
                <w:rFonts w:hint="eastAsia" w:asciiTheme="minorEastAsia" w:hAnsiTheme="minorEastAsia" w:eastAsiaTheme="minorEastAsia" w:cstheme="minorEastAsia"/>
                <w:sz w:val="21"/>
                <w:szCs w:val="21"/>
                <w:highlight w:val="none"/>
              </w:rPr>
              <w:t>要求阻燃性高。</w:t>
            </w:r>
          </w:p>
        </w:tc>
        <w:tc>
          <w:tcPr>
            <w:tcW w:w="1085" w:type="dxa"/>
          </w:tcPr>
          <w:p w14:paraId="13DBA22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3CE39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294B866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▲后视镜</w:t>
            </w:r>
          </w:p>
        </w:tc>
        <w:tc>
          <w:tcPr>
            <w:tcW w:w="6784" w:type="dxa"/>
            <w:vAlign w:val="center"/>
          </w:tcPr>
          <w:p w14:paraId="45741C2D">
            <w:pPr>
              <w:keepNext w:val="0"/>
              <w:keepLines w:val="0"/>
              <w:numPr>
                <w:ilvl w:val="0"/>
                <w:numId w:val="0"/>
              </w:numPr>
              <w:suppressLineNumbers w:val="0"/>
              <w:spacing w:before="0" w:beforeAutospacing="0" w:after="0" w:afterAutospacing="0" w:line="240" w:lineRule="auto"/>
              <w:ind w:left="0" w:leftChars="0" w:right="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1.豪华无盲区电动后视镜。车厢大视野内视镜。</w:t>
            </w:r>
          </w:p>
          <w:p w14:paraId="453BD86E">
            <w:pPr>
              <w:keepNext w:val="0"/>
              <w:keepLines w:val="0"/>
              <w:numPr>
                <w:ilvl w:val="0"/>
                <w:numId w:val="0"/>
              </w:numPr>
              <w:suppressLineNumbers w:val="0"/>
              <w:spacing w:before="0" w:beforeAutospacing="0" w:after="0" w:afterAutospacing="0" w:line="240" w:lineRule="auto"/>
              <w:ind w:left="0" w:leftChars="0" w:right="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2.配带盲区检测电子后视镜，整车在左右两侧分别安装BSD盲区检测系统，左右2路BSD告警，整套系统采用全链路数字信号传输，融合电子后视镜功能，分别将告警信息以声、光、图像形式显示在对应侧电子后视镜上。</w:t>
            </w:r>
          </w:p>
          <w:p w14:paraId="7F6DCCB7">
            <w:pPr>
              <w:keepNext w:val="0"/>
              <w:keepLines w:val="0"/>
              <w:numPr>
                <w:ilvl w:val="0"/>
                <w:numId w:val="0"/>
              </w:numPr>
              <w:suppressLineNumbers w:val="0"/>
              <w:spacing w:before="0" w:beforeAutospacing="0" w:after="0" w:afterAutospacing="0" w:line="240" w:lineRule="auto"/>
              <w:ind w:left="0" w:leftChars="0" w:right="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3.可通过语义分割算法实现对马路牙子，公交站台，隔离带，隔离栅栏等边界进行识别划分出可行驶区域，并对可行驶区域外的行人进行告警过滤。</w:t>
            </w:r>
          </w:p>
          <w:p w14:paraId="43D0AA83">
            <w:pPr>
              <w:keepNext w:val="0"/>
              <w:keepLines w:val="0"/>
              <w:numPr>
                <w:ilvl w:val="0"/>
                <w:numId w:val="0"/>
              </w:numPr>
              <w:suppressLineNumbers w:val="0"/>
              <w:spacing w:before="0" w:beforeAutospacing="0" w:after="0" w:afterAutospacing="0" w:line="240" w:lineRule="auto"/>
              <w:ind w:left="0" w:leftChars="0" w:right="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4.系统可识别行人/自行车/摩托车/电单车/三轮车/手推车等，支持多种行人姿态检测，如撑伞/站立/蹲坐等，系统需具备夜视功能，检测距离不低于20m，告警检出率不低于98%。</w:t>
            </w:r>
          </w:p>
          <w:p w14:paraId="103DD031">
            <w:pPr>
              <w:keepNext w:val="0"/>
              <w:keepLines w:val="0"/>
              <w:numPr>
                <w:ilvl w:val="0"/>
                <w:numId w:val="0"/>
              </w:numPr>
              <w:suppressLineNumbers w:val="0"/>
              <w:spacing w:before="0" w:beforeAutospacing="0" w:after="0" w:afterAutospacing="0" w:line="240" w:lineRule="auto"/>
              <w:ind w:left="0" w:leftChars="0" w:right="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5.系统采用2块高清IPS显示屏电子后视镜（液晶屏≥12.3寸）4颗数字高感光防水摄像头及2颗BSD盲区检测摄像头。</w:t>
            </w:r>
          </w:p>
          <w:p w14:paraId="2B141987">
            <w:pPr>
              <w:keepNext w:val="0"/>
              <w:keepLines w:val="0"/>
              <w:numPr>
                <w:ilvl w:val="0"/>
                <w:numId w:val="0"/>
              </w:numPr>
              <w:suppressLineNumbers w:val="0"/>
              <w:spacing w:before="0" w:beforeAutospacing="0" w:after="0" w:afterAutospacing="0" w:line="240" w:lineRule="auto"/>
              <w:ind w:left="0" w:leftChars="0" w:right="0"/>
              <w:jc w:val="left"/>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6.盲区检测摄像头安装在车辆的尾部，离地1.8~2.5m，由后往前看，能够对车辆左右内轮差盲区，A柱盲区，后视镜盲区进行有效检测报警。</w:t>
            </w:r>
          </w:p>
          <w:p w14:paraId="343F1783">
            <w:pPr>
              <w:keepNext w:val="0"/>
              <w:keepLines w:val="0"/>
              <w:numPr>
                <w:ilvl w:val="0"/>
                <w:numId w:val="0"/>
              </w:numPr>
              <w:suppressLineNumbers w:val="0"/>
              <w:spacing w:before="0" w:beforeAutospacing="0" w:after="0" w:afterAutospacing="0" w:line="240" w:lineRule="auto"/>
              <w:ind w:left="0" w:leftChars="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7.整套系统厂家需管理体系通过IATF16949认证，及产品EMC证书。质保八年（含易损、易耗件），出具质保承诺函。</w:t>
            </w:r>
          </w:p>
        </w:tc>
        <w:tc>
          <w:tcPr>
            <w:tcW w:w="1085" w:type="dxa"/>
          </w:tcPr>
          <w:p w14:paraId="1D1862A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56F18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1CE44B3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司机座椅</w:t>
            </w:r>
          </w:p>
        </w:tc>
        <w:tc>
          <w:tcPr>
            <w:tcW w:w="6784" w:type="dxa"/>
            <w:vAlign w:val="center"/>
          </w:tcPr>
          <w:p w14:paraId="0EC8DAF6">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仿皮面料高靠背气囊减震可调座椅，三点式带报警功能安全带。</w:t>
            </w:r>
          </w:p>
        </w:tc>
        <w:tc>
          <w:tcPr>
            <w:tcW w:w="1085" w:type="dxa"/>
          </w:tcPr>
          <w:p w14:paraId="27499745">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71562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5A0E3F4A">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司机窗</w:t>
            </w:r>
          </w:p>
        </w:tc>
        <w:tc>
          <w:tcPr>
            <w:tcW w:w="6784" w:type="dxa"/>
            <w:vAlign w:val="center"/>
          </w:tcPr>
          <w:p w14:paraId="5923C5A5">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铝合金推拉车窗，司机窗下拉式遮阳帘。</w:t>
            </w:r>
          </w:p>
        </w:tc>
        <w:tc>
          <w:tcPr>
            <w:tcW w:w="1085" w:type="dxa"/>
          </w:tcPr>
          <w:p w14:paraId="45F715C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52B7E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7C11235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司机区</w:t>
            </w:r>
          </w:p>
        </w:tc>
        <w:tc>
          <w:tcPr>
            <w:tcW w:w="6784" w:type="dxa"/>
            <w:vAlign w:val="center"/>
          </w:tcPr>
          <w:p w14:paraId="31B9C604">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必须安装司机全包围，驾驶员和前乘客门处分别安装软叶小</w:t>
            </w:r>
            <w:r>
              <w:rPr>
                <w:rFonts w:hint="eastAsia" w:asciiTheme="minorEastAsia" w:hAnsiTheme="minorEastAsia" w:eastAsiaTheme="minorEastAsia" w:cstheme="minorEastAsia"/>
                <w:kern w:val="0"/>
                <w:sz w:val="21"/>
                <w:szCs w:val="21"/>
                <w:highlight w:val="none"/>
              </w:rPr>
              <w:t>风扇，配USB充电接口。</w:t>
            </w:r>
            <w:r>
              <w:rPr>
                <w:rFonts w:hint="eastAsia" w:asciiTheme="minorEastAsia" w:hAnsiTheme="minorEastAsia" w:eastAsiaTheme="minorEastAsia" w:cstheme="minorEastAsia"/>
                <w:sz w:val="21"/>
                <w:szCs w:val="21"/>
                <w:highlight w:val="none"/>
              </w:rPr>
              <w:t>茶杯支架。水壶支架。</w:t>
            </w:r>
          </w:p>
        </w:tc>
        <w:tc>
          <w:tcPr>
            <w:tcW w:w="1085" w:type="dxa"/>
          </w:tcPr>
          <w:p w14:paraId="6F39CBC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10004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14842F2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护栏</w:t>
            </w:r>
          </w:p>
        </w:tc>
        <w:tc>
          <w:tcPr>
            <w:tcW w:w="6784" w:type="dxa"/>
            <w:vAlign w:val="center"/>
          </w:tcPr>
          <w:p w14:paraId="66255D50">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软化护栏，配置导游可折叠靠背。</w:t>
            </w:r>
          </w:p>
        </w:tc>
        <w:tc>
          <w:tcPr>
            <w:tcW w:w="1085" w:type="dxa"/>
          </w:tcPr>
          <w:p w14:paraId="6478D937">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55BF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7498E51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天窗</w:t>
            </w:r>
          </w:p>
        </w:tc>
        <w:tc>
          <w:tcPr>
            <w:tcW w:w="6784" w:type="dxa"/>
            <w:vAlign w:val="center"/>
          </w:tcPr>
          <w:p w14:paraId="4F2EFB38">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2个带电动换气扇顶风窗。</w:t>
            </w:r>
          </w:p>
        </w:tc>
        <w:tc>
          <w:tcPr>
            <w:tcW w:w="1085" w:type="dxa"/>
          </w:tcPr>
          <w:p w14:paraId="0F7B25F7">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64DDD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3CCACA07">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车内照明</w:t>
            </w:r>
          </w:p>
        </w:tc>
        <w:tc>
          <w:tcPr>
            <w:tcW w:w="6784" w:type="dxa"/>
            <w:vAlign w:val="center"/>
          </w:tcPr>
          <w:p w14:paraId="32E8D0FE">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LED顶灯，前后分开控制。司机顶部工作灯。配乘客阅读灯。踏步灯及LED过道氛围灯带。</w:t>
            </w:r>
          </w:p>
        </w:tc>
        <w:tc>
          <w:tcPr>
            <w:tcW w:w="1085" w:type="dxa"/>
          </w:tcPr>
          <w:p w14:paraId="6A8CE9B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2E75D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506" w:type="dxa"/>
            <w:vAlign w:val="center"/>
          </w:tcPr>
          <w:p w14:paraId="11229D7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雨刮</w:t>
            </w:r>
          </w:p>
        </w:tc>
        <w:tc>
          <w:tcPr>
            <w:tcW w:w="6784" w:type="dxa"/>
            <w:vAlign w:val="center"/>
          </w:tcPr>
          <w:p w14:paraId="38D59522">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雨刷器括刷面积满足驾驶视野要求。</w:t>
            </w:r>
          </w:p>
        </w:tc>
        <w:tc>
          <w:tcPr>
            <w:tcW w:w="1085" w:type="dxa"/>
          </w:tcPr>
          <w:p w14:paraId="5DB193EF">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07065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2E24EAD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定速巡航</w:t>
            </w:r>
          </w:p>
        </w:tc>
        <w:tc>
          <w:tcPr>
            <w:tcW w:w="6784" w:type="dxa"/>
            <w:vAlign w:val="center"/>
          </w:tcPr>
          <w:p w14:paraId="21D84DEC">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配定速巡航功能</w:t>
            </w:r>
          </w:p>
        </w:tc>
        <w:tc>
          <w:tcPr>
            <w:tcW w:w="1085" w:type="dxa"/>
          </w:tcPr>
          <w:p w14:paraId="5E6064BD">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73DA4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375" w:type="dxa"/>
            <w:gridSpan w:val="3"/>
            <w:vAlign w:val="center"/>
          </w:tcPr>
          <w:p w14:paraId="60D8EF4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空调系统</w:t>
            </w:r>
          </w:p>
        </w:tc>
      </w:tr>
      <w:tr w14:paraId="1D097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074026E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空调</w:t>
            </w:r>
          </w:p>
        </w:tc>
        <w:tc>
          <w:tcPr>
            <w:tcW w:w="6784" w:type="dxa"/>
            <w:vAlign w:val="center"/>
          </w:tcPr>
          <w:p w14:paraId="787437D0">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rPr>
              <w:t>顶置非独立空调；制冷量≥32000大卡；空调机组安装牢固可靠，整机性能稳定，拆装清洁方便。前、后车厢及驾驶区各部位温度均匀一致。风道内增设导流板，确保冷风有效引入车厢。冷凝、蒸发风机采用进口无刷风机，</w:t>
            </w:r>
            <w:r>
              <w:rPr>
                <w:rFonts w:hint="eastAsia" w:asciiTheme="minorEastAsia" w:hAnsiTheme="minorEastAsia" w:eastAsiaTheme="minorEastAsia" w:cstheme="minorEastAsia"/>
                <w:b/>
                <w:sz w:val="21"/>
                <w:szCs w:val="21"/>
                <w:highlight w:val="none"/>
              </w:rPr>
              <w:t>进口或国产</w:t>
            </w:r>
            <w:r>
              <w:rPr>
                <w:rFonts w:hint="eastAsia" w:asciiTheme="minorEastAsia" w:hAnsiTheme="minorEastAsia" w:eastAsiaTheme="minorEastAsia" w:cstheme="minorEastAsia"/>
                <w:sz w:val="21"/>
                <w:szCs w:val="21"/>
                <w:highlight w:val="none"/>
              </w:rPr>
              <w:t>膨胀阀、干燥过滤器、电磁阀、视液镜、离合器；比泽尔压缩机；空调保险采用防松保险，空调管道采用铜质管，</w:t>
            </w:r>
            <w:r>
              <w:rPr>
                <w:rFonts w:hint="eastAsia" w:asciiTheme="minorEastAsia" w:hAnsiTheme="minorEastAsia" w:eastAsiaTheme="minorEastAsia" w:cstheme="minorEastAsia"/>
                <w:b w:val="0"/>
                <w:bCs/>
                <w:sz w:val="21"/>
                <w:szCs w:val="21"/>
                <w:highlight w:val="none"/>
              </w:rPr>
              <w:t>免费质保8年（含易损、易耗件</w:t>
            </w:r>
            <w:r>
              <w:rPr>
                <w:rFonts w:hint="eastAsia" w:asciiTheme="minorEastAsia" w:hAnsiTheme="minorEastAsia" w:eastAsiaTheme="minorEastAsia" w:cstheme="minorEastAsia"/>
                <w:b w:val="0"/>
                <w:bCs/>
                <w:kern w:val="0"/>
                <w:sz w:val="21"/>
                <w:szCs w:val="21"/>
                <w:highlight w:val="none"/>
              </w:rPr>
              <w:t>）</w:t>
            </w:r>
            <w:r>
              <w:rPr>
                <w:rFonts w:hint="eastAsia" w:asciiTheme="minorEastAsia" w:hAnsiTheme="minorEastAsia" w:eastAsiaTheme="minorEastAsia" w:cstheme="minorEastAsia"/>
                <w:b w:val="0"/>
                <w:bCs/>
                <w:sz w:val="21"/>
                <w:szCs w:val="21"/>
                <w:highlight w:val="none"/>
              </w:rPr>
              <w:t>，</w:t>
            </w:r>
            <w:r>
              <w:rPr>
                <w:rFonts w:hint="eastAsia" w:asciiTheme="minorEastAsia" w:hAnsiTheme="minorEastAsia" w:eastAsiaTheme="minorEastAsia" w:cstheme="minorEastAsia"/>
                <w:b w:val="0"/>
                <w:bCs/>
                <w:kern w:val="0"/>
                <w:sz w:val="21"/>
                <w:szCs w:val="21"/>
                <w:highlight w:val="none"/>
              </w:rPr>
              <w:t>附</w:t>
            </w:r>
            <w:r>
              <w:rPr>
                <w:rFonts w:hint="eastAsia" w:asciiTheme="minorEastAsia" w:hAnsiTheme="minorEastAsia" w:eastAsiaTheme="minorEastAsia" w:cstheme="minorEastAsia"/>
                <w:b w:val="0"/>
                <w:bCs/>
                <w:kern w:val="0"/>
                <w:sz w:val="21"/>
                <w:szCs w:val="21"/>
                <w:highlight w:val="none"/>
                <w:lang w:val="en-US" w:eastAsia="zh-CN"/>
              </w:rPr>
              <w:t>质保</w:t>
            </w:r>
            <w:r>
              <w:rPr>
                <w:rFonts w:hint="eastAsia" w:asciiTheme="minorEastAsia" w:hAnsiTheme="minorEastAsia" w:eastAsiaTheme="minorEastAsia" w:cstheme="minorEastAsia"/>
                <w:kern w:val="0"/>
                <w:sz w:val="21"/>
                <w:szCs w:val="21"/>
                <w:highlight w:val="none"/>
              </w:rPr>
              <w:t>承诺书。</w:t>
            </w:r>
          </w:p>
        </w:tc>
        <w:tc>
          <w:tcPr>
            <w:tcW w:w="1085" w:type="dxa"/>
            <w:vAlign w:val="center"/>
          </w:tcPr>
          <w:p w14:paraId="6169FD0E">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7AC3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4E5A61D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水暖</w:t>
            </w:r>
          </w:p>
        </w:tc>
        <w:tc>
          <w:tcPr>
            <w:tcW w:w="6784" w:type="dxa"/>
            <w:vAlign w:val="center"/>
          </w:tcPr>
          <w:p w14:paraId="5EBEA905">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非独立强制水暖（带水泵），车厢8只</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壁挂式</w:t>
            </w:r>
            <w:r>
              <w:rPr>
                <w:rFonts w:hint="eastAsia" w:asciiTheme="minorEastAsia" w:hAnsiTheme="minorEastAsia" w:eastAsiaTheme="minorEastAsia" w:cstheme="minorEastAsia"/>
                <w:sz w:val="21"/>
                <w:szCs w:val="21"/>
                <w:highlight w:val="none"/>
                <w:lang w:val="en-US" w:eastAsia="zh-CN"/>
              </w:rPr>
              <w:t>+方箱式</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rPr>
              <w:t>暖风散热器并安装防踏保护罩，驾驶区设暖风口，前挡风玻璃除霜机，铜管路。</w:t>
            </w:r>
          </w:p>
        </w:tc>
        <w:tc>
          <w:tcPr>
            <w:tcW w:w="1085" w:type="dxa"/>
          </w:tcPr>
          <w:p w14:paraId="4844DA8F">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7F848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8290" w:type="dxa"/>
            <w:gridSpan w:val="2"/>
            <w:vAlign w:val="center"/>
          </w:tcPr>
          <w:p w14:paraId="2DF0EC0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发动机仓</w:t>
            </w:r>
          </w:p>
        </w:tc>
        <w:tc>
          <w:tcPr>
            <w:tcW w:w="1085" w:type="dxa"/>
            <w:vAlign w:val="center"/>
          </w:tcPr>
          <w:p w14:paraId="31C65B62">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sz w:val="21"/>
                <w:szCs w:val="21"/>
                <w:highlight w:val="none"/>
              </w:rPr>
            </w:pPr>
          </w:p>
        </w:tc>
      </w:tr>
      <w:tr w14:paraId="28DB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1B7D822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自动灭火装置</w:t>
            </w:r>
          </w:p>
        </w:tc>
        <w:tc>
          <w:tcPr>
            <w:tcW w:w="6784" w:type="dxa"/>
            <w:vAlign w:val="center"/>
          </w:tcPr>
          <w:p w14:paraId="155856DF">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标配发动机仓温报警和灭火装置3只（有前手控开关）质保10年</w:t>
            </w:r>
            <w:r>
              <w:rPr>
                <w:rFonts w:hint="eastAsia" w:asciiTheme="minorEastAsia" w:hAnsiTheme="minorEastAsia" w:eastAsiaTheme="minorEastAsia" w:cstheme="minorEastAsia"/>
                <w:b w:val="0"/>
                <w:bCs w:val="0"/>
                <w:kern w:val="0"/>
                <w:sz w:val="21"/>
                <w:szCs w:val="21"/>
                <w:highlight w:val="none"/>
              </w:rPr>
              <w:t>出具质保承诺函</w:t>
            </w:r>
            <w:r>
              <w:rPr>
                <w:rFonts w:hint="eastAsia" w:asciiTheme="minorEastAsia" w:hAnsiTheme="minorEastAsia" w:eastAsiaTheme="minorEastAsia" w:cstheme="minorEastAsia"/>
                <w:b w:val="0"/>
                <w:bCs w:val="0"/>
                <w:sz w:val="21"/>
                <w:szCs w:val="21"/>
                <w:highlight w:val="none"/>
              </w:rPr>
              <w:t>。 （产品过保质期由中标方负责免费更换）。</w:t>
            </w:r>
          </w:p>
        </w:tc>
        <w:tc>
          <w:tcPr>
            <w:tcW w:w="1085" w:type="dxa"/>
          </w:tcPr>
          <w:p w14:paraId="41E5833E">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46DF3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9375" w:type="dxa"/>
            <w:gridSpan w:val="3"/>
            <w:vAlign w:val="center"/>
          </w:tcPr>
          <w:p w14:paraId="4A154B8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b/>
                <w:sz w:val="21"/>
                <w:szCs w:val="21"/>
                <w:highlight w:val="none"/>
              </w:rPr>
            </w:pPr>
            <w:r>
              <w:rPr>
                <w:rFonts w:hint="eastAsia" w:asciiTheme="minorEastAsia" w:hAnsiTheme="minorEastAsia" w:eastAsiaTheme="minorEastAsia" w:cstheme="minorEastAsia"/>
                <w:b/>
                <w:sz w:val="21"/>
                <w:szCs w:val="21"/>
                <w:highlight w:val="none"/>
              </w:rPr>
              <w:t>其  它</w:t>
            </w:r>
          </w:p>
        </w:tc>
      </w:tr>
      <w:tr w14:paraId="6C42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209FDDF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三级</w:t>
            </w:r>
            <w:r>
              <w:rPr>
                <w:rFonts w:hint="eastAsia" w:asciiTheme="minorEastAsia" w:hAnsiTheme="minorEastAsia" w:eastAsiaTheme="minorEastAsia" w:cstheme="minorEastAsia"/>
                <w:sz w:val="21"/>
                <w:szCs w:val="21"/>
                <w:highlight w:val="none"/>
              </w:rPr>
              <w:t>CAN总线</w:t>
            </w:r>
          </w:p>
        </w:tc>
        <w:tc>
          <w:tcPr>
            <w:tcW w:w="6784" w:type="dxa"/>
            <w:vAlign w:val="center"/>
          </w:tcPr>
          <w:p w14:paraId="40769682">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标配，配国标OBD诊断接口</w:t>
            </w:r>
          </w:p>
        </w:tc>
        <w:tc>
          <w:tcPr>
            <w:tcW w:w="1085" w:type="dxa"/>
          </w:tcPr>
          <w:p w14:paraId="22066AB6">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2D0C0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02E2E22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行车记录仪</w:t>
            </w:r>
          </w:p>
        </w:tc>
        <w:tc>
          <w:tcPr>
            <w:tcW w:w="6784" w:type="dxa"/>
            <w:vAlign w:val="center"/>
          </w:tcPr>
          <w:p w14:paraId="578EF1AB">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标配（符合国家最新要求标准）</w:t>
            </w:r>
          </w:p>
        </w:tc>
        <w:tc>
          <w:tcPr>
            <w:tcW w:w="1085" w:type="dxa"/>
          </w:tcPr>
          <w:p w14:paraId="2151B704">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7F63D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7A4CAFA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电/气喇叭</w:t>
            </w:r>
          </w:p>
        </w:tc>
        <w:tc>
          <w:tcPr>
            <w:tcW w:w="6784" w:type="dxa"/>
            <w:vAlign w:val="center"/>
          </w:tcPr>
          <w:p w14:paraId="3AC0C788">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配置</w:t>
            </w:r>
          </w:p>
        </w:tc>
        <w:tc>
          <w:tcPr>
            <w:tcW w:w="1085" w:type="dxa"/>
          </w:tcPr>
          <w:p w14:paraId="08C32E0D">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3209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12A6496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视听音响系统</w:t>
            </w:r>
          </w:p>
        </w:tc>
        <w:tc>
          <w:tcPr>
            <w:tcW w:w="6784" w:type="dxa"/>
            <w:vAlign w:val="center"/>
          </w:tcPr>
          <w:p w14:paraId="4B6AF725">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前、中22寸高清液晶彩色显示器各一只。高清硬盘播放器，豪华点歌台（点歌显示屏1</w:t>
            </w:r>
            <w:r>
              <w:rPr>
                <w:rFonts w:hint="eastAsia" w:asciiTheme="minorEastAsia" w:hAnsiTheme="minorEastAsia" w:eastAsiaTheme="minorEastAsia" w:cstheme="minorEastAsia"/>
                <w:kern w:val="0"/>
                <w:sz w:val="21"/>
                <w:szCs w:val="21"/>
                <w:highlight w:val="none"/>
                <w:lang w:val="en-US" w:eastAsia="zh-CN"/>
              </w:rPr>
              <w:t>5.6</w:t>
            </w:r>
            <w:r>
              <w:rPr>
                <w:rFonts w:hint="eastAsia" w:asciiTheme="minorEastAsia" w:hAnsiTheme="minorEastAsia" w:eastAsiaTheme="minorEastAsia" w:cstheme="minorEastAsia"/>
                <w:kern w:val="0"/>
                <w:sz w:val="21"/>
                <w:szCs w:val="21"/>
                <w:highlight w:val="none"/>
              </w:rPr>
              <w:t>寸</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3T硬盘10万首歌曲）及600W以上功放</w:t>
            </w:r>
            <w:r>
              <w:rPr>
                <w:rFonts w:hint="eastAsia" w:asciiTheme="minorEastAsia" w:hAnsiTheme="minorEastAsia" w:eastAsiaTheme="minorEastAsia" w:cstheme="minorEastAsia"/>
                <w:kern w:val="0"/>
                <w:sz w:val="21"/>
                <w:szCs w:val="21"/>
                <w:highlight w:val="none"/>
                <w:lang w:val="en-US" w:eastAsia="zh-CN"/>
              </w:rPr>
              <w:t>+进口品牌</w:t>
            </w:r>
            <w:r>
              <w:rPr>
                <w:rFonts w:hint="eastAsia" w:asciiTheme="minorEastAsia" w:hAnsiTheme="minorEastAsia" w:eastAsiaTheme="minorEastAsia" w:cstheme="minorEastAsia"/>
                <w:kern w:val="0"/>
                <w:sz w:val="21"/>
                <w:szCs w:val="21"/>
                <w:highlight w:val="none"/>
                <w:lang w:eastAsia="zh-CN"/>
              </w:rPr>
              <w:t>扬声器（喇叭</w:t>
            </w:r>
            <w:r>
              <w:rPr>
                <w:rFonts w:hint="eastAsia" w:asciiTheme="minorEastAsia" w:hAnsiTheme="minorEastAsia" w:eastAsiaTheme="minorEastAsia" w:cstheme="minorEastAsia"/>
                <w:kern w:val="0"/>
                <w:sz w:val="21"/>
                <w:szCs w:val="21"/>
                <w:highlight w:val="none"/>
              </w:rPr>
              <w:t>12只或以上</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，配二个无线麦克风（支持充电）。点歌台要求设计美观、</w:t>
            </w:r>
            <w:r>
              <w:rPr>
                <w:rFonts w:hint="eastAsia" w:asciiTheme="minorEastAsia" w:hAnsiTheme="minorEastAsia" w:eastAsiaTheme="minorEastAsia" w:cstheme="minorEastAsia"/>
                <w:kern w:val="0"/>
                <w:sz w:val="21"/>
                <w:szCs w:val="21"/>
                <w:highlight w:val="none"/>
                <w:lang w:eastAsia="zh-CN"/>
              </w:rPr>
              <w:t>安装</w:t>
            </w:r>
            <w:r>
              <w:rPr>
                <w:rFonts w:hint="eastAsia" w:asciiTheme="minorEastAsia" w:hAnsiTheme="minorEastAsia" w:eastAsiaTheme="minorEastAsia" w:cstheme="minorEastAsia"/>
                <w:kern w:val="0"/>
                <w:sz w:val="21"/>
                <w:szCs w:val="21"/>
                <w:highlight w:val="none"/>
              </w:rPr>
              <w:t>牢固</w:t>
            </w:r>
            <w:r>
              <w:rPr>
                <w:rFonts w:hint="eastAsia" w:asciiTheme="minorEastAsia" w:hAnsiTheme="minorEastAsia" w:eastAsiaTheme="minorEastAsia" w:cstheme="minorEastAsia"/>
                <w:kern w:val="0"/>
                <w:sz w:val="21"/>
                <w:szCs w:val="21"/>
                <w:highlight w:val="none"/>
                <w:lang w:eastAsia="zh-CN"/>
              </w:rPr>
              <w:t>，</w:t>
            </w:r>
            <w:r>
              <w:rPr>
                <w:rFonts w:hint="eastAsia" w:asciiTheme="minorEastAsia" w:hAnsiTheme="minorEastAsia" w:eastAsiaTheme="minorEastAsia" w:cstheme="minorEastAsia"/>
                <w:kern w:val="0"/>
                <w:sz w:val="21"/>
                <w:szCs w:val="21"/>
                <w:highlight w:val="none"/>
              </w:rPr>
              <w:t>中标后要求跟招标人对接确认。</w:t>
            </w:r>
            <w:r>
              <w:rPr>
                <w:rFonts w:hint="eastAsia" w:asciiTheme="minorEastAsia" w:hAnsiTheme="minorEastAsia" w:eastAsiaTheme="minorEastAsia" w:cstheme="minorEastAsia"/>
                <w:sz w:val="21"/>
                <w:szCs w:val="21"/>
                <w:highlight w:val="none"/>
                <w:lang w:val="en-US" w:eastAsia="zh-CN"/>
              </w:rPr>
              <w:t>整套系统厂家需管理体系通过IATF16949认证。</w:t>
            </w:r>
            <w:r>
              <w:rPr>
                <w:rFonts w:hint="eastAsia" w:asciiTheme="minorEastAsia" w:hAnsiTheme="minorEastAsia" w:eastAsiaTheme="minorEastAsia" w:cstheme="minorEastAsia"/>
                <w:kern w:val="0"/>
                <w:sz w:val="21"/>
                <w:szCs w:val="21"/>
                <w:highlight w:val="none"/>
              </w:rPr>
              <w:t>整套设备要求质保5年，附质保承诺书。</w:t>
            </w:r>
          </w:p>
        </w:tc>
        <w:tc>
          <w:tcPr>
            <w:tcW w:w="1085" w:type="dxa"/>
          </w:tcPr>
          <w:p w14:paraId="6842F93E">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4B79C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1041B351">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车载智能设备</w:t>
            </w:r>
          </w:p>
        </w:tc>
        <w:tc>
          <w:tcPr>
            <w:tcW w:w="6784" w:type="dxa"/>
            <w:vAlign w:val="center"/>
          </w:tcPr>
          <w:p w14:paraId="73BABB16">
            <w:pPr>
              <w:keepNext w:val="0"/>
              <w:keepLines w:val="0"/>
              <w:suppressLineNumbers w:val="0"/>
              <w:tabs>
                <w:tab w:val="left" w:pos="312"/>
              </w:tabs>
              <w:adjustRightInd w:val="0"/>
              <w:snapToGrid w:val="0"/>
              <w:spacing w:before="0" w:beforeAutospacing="0" w:after="0" w:afterAutospacing="0" w:line="240" w:lineRule="auto"/>
              <w:ind w:left="0" w:right="0"/>
              <w:rPr>
                <w:rFonts w:hint="eastAsia"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rPr>
              <w:t>1.每车配置6台摄像机，其中车内摄像机3台，倒车监控摄像机1台，主动安全ADAS、DMS两路。</w:t>
            </w:r>
          </w:p>
          <w:p w14:paraId="7AE1D739">
            <w:pPr>
              <w:keepNext w:val="0"/>
              <w:keepLines w:val="0"/>
              <w:suppressLineNumbers w:val="0"/>
              <w:tabs>
                <w:tab w:val="left" w:pos="312"/>
              </w:tabs>
              <w:adjustRightInd w:val="0"/>
              <w:snapToGrid w:val="0"/>
              <w:spacing w:before="0" w:beforeAutospacing="0" w:after="0" w:afterAutospacing="0" w:line="240" w:lineRule="auto"/>
              <w:ind w:left="0" w:right="0"/>
              <w:rPr>
                <w:rFonts w:hint="eastAsia"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rPr>
              <w:t>2.车载监控主机支持至少6路720P模拟高清、1路IPC接入；4G通讯，北斗/GPS双模，含RS232、RS485、USB等接口；内置喇叭、刷卡器、内置喇叭支持85dB@10cm最大音量；1TB硬盘。</w:t>
            </w:r>
          </w:p>
          <w:p w14:paraId="0861C6AC">
            <w:pPr>
              <w:keepNext w:val="0"/>
              <w:keepLines w:val="0"/>
              <w:suppressLineNumbers w:val="0"/>
              <w:tabs>
                <w:tab w:val="left" w:pos="312"/>
              </w:tabs>
              <w:adjustRightInd w:val="0"/>
              <w:snapToGrid w:val="0"/>
              <w:spacing w:before="0" w:beforeAutospacing="0" w:after="0" w:afterAutospacing="0" w:line="240" w:lineRule="auto"/>
              <w:ind w:left="0" w:right="0"/>
              <w:rPr>
                <w:rFonts w:hint="eastAsia"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rPr>
              <w:t>3.ADAS摄像机：分辨率≥1920×1080P，视频输出 AHD同轴高清标准，4pin航空线。</w:t>
            </w:r>
          </w:p>
          <w:p w14:paraId="0495B31F">
            <w:pPr>
              <w:keepNext w:val="0"/>
              <w:keepLines w:val="0"/>
              <w:suppressLineNumbers w:val="0"/>
              <w:tabs>
                <w:tab w:val="left" w:pos="312"/>
              </w:tabs>
              <w:adjustRightInd w:val="0"/>
              <w:snapToGrid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lang w:val="en-US" w:eastAsia="zh-CN"/>
              </w:rPr>
            </w:pPr>
            <w:r>
              <w:rPr>
                <w:rFonts w:hint="eastAsia" w:asciiTheme="minorEastAsia" w:hAnsiTheme="minorEastAsia" w:eastAsiaTheme="minorEastAsia" w:cstheme="minorEastAsia"/>
                <w:color w:val="000000"/>
                <w:kern w:val="0"/>
                <w:sz w:val="21"/>
                <w:szCs w:val="21"/>
                <w:highlight w:val="none"/>
                <w:lang w:val="en-US" w:eastAsia="zh-CN"/>
              </w:rPr>
              <w:t>4.DSM摄像机：分辨率≥1280×720P，</w:t>
            </w:r>
            <w:r>
              <w:rPr>
                <w:rFonts w:hint="eastAsia" w:asciiTheme="minorEastAsia" w:hAnsiTheme="minorEastAsia" w:eastAsiaTheme="minorEastAsia" w:cstheme="minorEastAsia"/>
                <w:sz w:val="21"/>
                <w:szCs w:val="21"/>
                <w:highlight w:val="none"/>
                <w:lang w:val="en-US" w:eastAsia="zh-CN"/>
              </w:rPr>
              <w:t>带主动防御系统，算法需达到Safe GPT或优于；</w:t>
            </w:r>
          </w:p>
          <w:p w14:paraId="2D033283">
            <w:pPr>
              <w:keepNext w:val="0"/>
              <w:keepLines w:val="0"/>
              <w:suppressLineNumbers w:val="0"/>
              <w:tabs>
                <w:tab w:val="left" w:pos="312"/>
              </w:tabs>
              <w:adjustRightInd w:val="0"/>
              <w:snapToGrid w:val="0"/>
              <w:spacing w:before="0" w:beforeAutospacing="0" w:after="0" w:afterAutospacing="0" w:line="240" w:lineRule="auto"/>
              <w:ind w:left="0" w:right="0"/>
              <w:rPr>
                <w:rFonts w:hint="eastAsia" w:asciiTheme="minorEastAsia" w:hAnsiTheme="minorEastAsia" w:eastAsiaTheme="minorEastAsia" w:cstheme="minorEastAsia"/>
                <w:color w:val="000000"/>
                <w:kern w:val="0"/>
                <w:sz w:val="21"/>
                <w:szCs w:val="21"/>
                <w:highlight w:val="none"/>
                <w:lang w:val="en-US" w:eastAsia="zh-CN"/>
              </w:rPr>
            </w:pPr>
            <w:r>
              <w:rPr>
                <w:rFonts w:hint="eastAsia" w:asciiTheme="minorEastAsia" w:hAnsiTheme="minorEastAsia" w:eastAsiaTheme="minorEastAsia" w:cstheme="minorEastAsia"/>
                <w:sz w:val="21"/>
                <w:szCs w:val="21"/>
                <w:highlight w:val="none"/>
                <w:lang w:val="en-US" w:eastAsia="zh-CN"/>
              </w:rPr>
              <w:t>5.</w:t>
            </w:r>
            <w:r>
              <w:rPr>
                <w:rFonts w:hint="eastAsia" w:asciiTheme="minorEastAsia" w:hAnsiTheme="minorEastAsia" w:eastAsiaTheme="minorEastAsia" w:cstheme="minorEastAsia"/>
                <w:color w:val="000000"/>
                <w:kern w:val="0"/>
                <w:sz w:val="21"/>
                <w:szCs w:val="21"/>
                <w:highlight w:val="none"/>
                <w:lang w:val="en-US" w:eastAsia="zh-CN"/>
              </w:rPr>
              <w:t>硬件质保8年</w:t>
            </w:r>
            <w:r>
              <w:rPr>
                <w:rFonts w:hint="eastAsia" w:asciiTheme="minorEastAsia" w:hAnsiTheme="minorEastAsia" w:eastAsiaTheme="minorEastAsia" w:cstheme="minorEastAsia"/>
                <w:sz w:val="21"/>
                <w:szCs w:val="21"/>
                <w:highlight w:val="none"/>
                <w:lang w:val="en-US" w:eastAsia="zh-CN"/>
              </w:rPr>
              <w:t>（含易损，易耗件）出具厂家质保承诺函。</w:t>
            </w:r>
          </w:p>
          <w:p w14:paraId="3D56CE0C">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color w:val="000000"/>
                <w:kern w:val="0"/>
                <w:sz w:val="21"/>
                <w:szCs w:val="21"/>
                <w:highlight w:val="none"/>
                <w:lang w:val="en-US" w:eastAsia="zh-CN"/>
              </w:rPr>
              <w:t>6.</w:t>
            </w:r>
            <w:r>
              <w:rPr>
                <w:rFonts w:hint="eastAsia" w:asciiTheme="minorEastAsia" w:hAnsiTheme="minorEastAsia" w:eastAsiaTheme="minorEastAsia" w:cstheme="minorEastAsia"/>
                <w:b/>
                <w:bCs/>
                <w:color w:val="000000"/>
                <w:kern w:val="0"/>
                <w:sz w:val="21"/>
                <w:szCs w:val="21"/>
                <w:highlight w:val="none"/>
                <w:lang w:val="en-US" w:eastAsia="zh-CN"/>
              </w:rPr>
              <w:t>车载智能设备需与招标方现有的系统和平台（新安护航）兼容对接，</w:t>
            </w:r>
            <w:r>
              <w:rPr>
                <w:rFonts w:hint="eastAsia" w:asciiTheme="minorEastAsia" w:hAnsiTheme="minorEastAsia" w:eastAsiaTheme="minorEastAsia" w:cstheme="minorEastAsia"/>
                <w:b/>
                <w:bCs/>
                <w:sz w:val="21"/>
                <w:szCs w:val="21"/>
                <w:highlight w:val="none"/>
              </w:rPr>
              <w:t>若不兼容由中标单位承担一切费用。</w:t>
            </w:r>
          </w:p>
        </w:tc>
        <w:tc>
          <w:tcPr>
            <w:tcW w:w="1085" w:type="dxa"/>
          </w:tcPr>
          <w:p w14:paraId="4CE41FD7">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3473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7292365B">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sz w:val="21"/>
                <w:szCs w:val="21"/>
                <w:highlight w:val="none"/>
                <w:lang w:val="en-US" w:eastAsia="zh-CN"/>
              </w:rPr>
              <w:t>360全景</w:t>
            </w:r>
          </w:p>
        </w:tc>
        <w:tc>
          <w:tcPr>
            <w:tcW w:w="6784" w:type="dxa"/>
            <w:vAlign w:val="center"/>
          </w:tcPr>
          <w:p w14:paraId="71850BE7">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360全景环视主机不低于6路输入，至少具备2路视频输出接口，工作电压满足</w:t>
            </w:r>
            <w:r>
              <w:rPr>
                <w:rFonts w:hint="eastAsia" w:asciiTheme="minorEastAsia" w:hAnsiTheme="minorEastAsia" w:eastAsiaTheme="minorEastAsia" w:cstheme="minorEastAsia"/>
                <w:sz w:val="21"/>
                <w:szCs w:val="21"/>
                <w:highlight w:val="none"/>
              </w:rPr>
              <w:t>-30℃~85℃</w:t>
            </w:r>
            <w:r>
              <w:rPr>
                <w:rFonts w:hint="eastAsia" w:asciiTheme="minorEastAsia" w:hAnsiTheme="minorEastAsia" w:eastAsiaTheme="minorEastAsia" w:cstheme="minorEastAsia"/>
                <w:sz w:val="21"/>
                <w:szCs w:val="21"/>
                <w:highlight w:val="none"/>
                <w:lang w:eastAsia="zh-CN"/>
              </w:rPr>
              <w:t>，</w:t>
            </w:r>
            <w:r>
              <w:rPr>
                <w:rFonts w:hint="eastAsia" w:asciiTheme="minorEastAsia" w:hAnsiTheme="minorEastAsia" w:eastAsiaTheme="minorEastAsia" w:cstheme="minorEastAsia"/>
                <w:sz w:val="21"/>
                <w:szCs w:val="21"/>
                <w:highlight w:val="none"/>
                <w:lang w:val="en-US" w:eastAsia="zh-CN"/>
              </w:rPr>
              <w:t>硬线信号具备左右转向和倒车信号接口，在收到信号是可实时不同场景的3D画面，具备CAN通讯功能。360画面显示到仪表台7寸显示屏上，360环视免费质保8年（含易损、易耗件），出具质保承诺函。整套系统厂家需管理体系通过IATF16949认证及产品EMC证书。</w:t>
            </w:r>
          </w:p>
        </w:tc>
        <w:tc>
          <w:tcPr>
            <w:tcW w:w="1085" w:type="dxa"/>
          </w:tcPr>
          <w:p w14:paraId="1C74DCFD">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1E04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172AEEF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kern w:val="0"/>
                <w:sz w:val="21"/>
                <w:szCs w:val="21"/>
                <w:highlight w:val="none"/>
              </w:rPr>
            </w:pPr>
            <w:r>
              <w:rPr>
                <w:rFonts w:hint="eastAsia" w:asciiTheme="minorEastAsia" w:hAnsiTheme="minorEastAsia" w:eastAsiaTheme="minorEastAsia" w:cstheme="minorEastAsia"/>
                <w:kern w:val="0"/>
                <w:sz w:val="21"/>
                <w:szCs w:val="21"/>
                <w:highlight w:val="none"/>
              </w:rPr>
              <w:t>驾驶员预警系统</w:t>
            </w:r>
          </w:p>
        </w:tc>
        <w:tc>
          <w:tcPr>
            <w:tcW w:w="6784" w:type="dxa"/>
            <w:vAlign w:val="center"/>
          </w:tcPr>
          <w:p w14:paraId="7D5FD5A7">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国产车道偏离及偏离预警系统（探头可监测）</w:t>
            </w:r>
          </w:p>
        </w:tc>
        <w:tc>
          <w:tcPr>
            <w:tcW w:w="1085" w:type="dxa"/>
          </w:tcPr>
          <w:p w14:paraId="79174D65">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325E5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5C691C2C">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标识</w:t>
            </w:r>
          </w:p>
        </w:tc>
        <w:tc>
          <w:tcPr>
            <w:tcW w:w="6784" w:type="dxa"/>
            <w:vAlign w:val="center"/>
          </w:tcPr>
          <w:p w14:paraId="54A8A16B">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kern w:val="0"/>
                <w:sz w:val="21"/>
                <w:szCs w:val="21"/>
                <w:highlight w:val="none"/>
              </w:rPr>
              <w:t>乘客门、安全窗等标识，监督电话“12328”，企业名称：建德市公共交通运输有限公司</w:t>
            </w:r>
            <w:r>
              <w:rPr>
                <w:rFonts w:hint="eastAsia" w:asciiTheme="minorEastAsia" w:hAnsiTheme="minorEastAsia" w:eastAsiaTheme="minorEastAsia" w:cstheme="minorEastAsia"/>
                <w:sz w:val="21"/>
                <w:szCs w:val="21"/>
                <w:highlight w:val="none"/>
              </w:rPr>
              <w:t>。</w:t>
            </w:r>
          </w:p>
          <w:p w14:paraId="0A8C5662">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val="0"/>
                <w:bCs w:val="0"/>
                <w:sz w:val="21"/>
                <w:szCs w:val="21"/>
                <w:highlight w:val="none"/>
                <w:lang w:eastAsia="zh-CN"/>
              </w:rPr>
              <w:t>车身张贴或喷涂企业</w:t>
            </w:r>
            <w:r>
              <w:rPr>
                <w:rFonts w:hint="eastAsia" w:asciiTheme="minorEastAsia" w:hAnsiTheme="minorEastAsia" w:eastAsiaTheme="minorEastAsia" w:cstheme="minorEastAsia"/>
                <w:b w:val="0"/>
                <w:bCs w:val="0"/>
                <w:sz w:val="21"/>
                <w:szCs w:val="21"/>
                <w:highlight w:val="none"/>
                <w:lang w:val="en-US" w:eastAsia="zh-CN"/>
              </w:rPr>
              <w:t>LOGO+</w:t>
            </w:r>
            <w:r>
              <w:rPr>
                <w:rFonts w:hint="eastAsia" w:asciiTheme="minorEastAsia" w:hAnsiTheme="minorEastAsia" w:eastAsiaTheme="minorEastAsia" w:cstheme="minorEastAsia"/>
                <w:b w:val="0"/>
                <w:bCs w:val="0"/>
                <w:sz w:val="21"/>
                <w:szCs w:val="21"/>
                <w:highlight w:val="none"/>
                <w:lang w:eastAsia="zh-CN"/>
              </w:rPr>
              <w:t>“建德公交”字样，具体由招标人确定。</w:t>
            </w:r>
          </w:p>
        </w:tc>
        <w:tc>
          <w:tcPr>
            <w:tcW w:w="1085" w:type="dxa"/>
          </w:tcPr>
          <w:p w14:paraId="4348B981">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28E7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45DA621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灭火器</w:t>
            </w:r>
          </w:p>
        </w:tc>
        <w:tc>
          <w:tcPr>
            <w:tcW w:w="6784" w:type="dxa"/>
            <w:vAlign w:val="center"/>
          </w:tcPr>
          <w:p w14:paraId="707C816C">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4kg灭火器2只。</w:t>
            </w:r>
          </w:p>
        </w:tc>
        <w:tc>
          <w:tcPr>
            <w:tcW w:w="1085" w:type="dxa"/>
          </w:tcPr>
          <w:p w14:paraId="1B213817">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2D1E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008799A3">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工具箱</w:t>
            </w:r>
          </w:p>
        </w:tc>
        <w:tc>
          <w:tcPr>
            <w:tcW w:w="6784" w:type="dxa"/>
            <w:vAlign w:val="center"/>
          </w:tcPr>
          <w:p w14:paraId="20E9D2C5">
            <w:pPr>
              <w:keepNext w:val="0"/>
              <w:keepLines w:val="0"/>
              <w:suppressLineNumbers w:val="0"/>
              <w:spacing w:before="0" w:beforeAutospacing="0" w:after="0" w:afterAutospacing="0" w:line="240" w:lineRule="auto"/>
              <w:ind w:left="0" w:right="0"/>
              <w:jc w:val="left"/>
              <w:rPr>
                <w:rFonts w:hint="eastAsia" w:eastAsia="宋体" w:asciiTheme="minorEastAsia" w:hAnsiTheme="minorEastAsia" w:cstheme="minorEastAsia"/>
                <w:sz w:val="21"/>
                <w:szCs w:val="21"/>
                <w:highlight w:val="none"/>
                <w:lang w:eastAsia="zh-CN"/>
              </w:rPr>
            </w:pPr>
            <w:r>
              <w:rPr>
                <w:rFonts w:hint="eastAsia"/>
                <w:color w:val="auto"/>
                <w:sz w:val="21"/>
                <w:szCs w:val="21"/>
                <w:highlight w:val="none"/>
              </w:rPr>
              <w:t>车厢内安装一个固定工具箱，工具箱式样及安装位置与招标单位对接后确认</w:t>
            </w:r>
            <w:r>
              <w:rPr>
                <w:rFonts w:hint="eastAsia"/>
                <w:color w:val="auto"/>
                <w:sz w:val="21"/>
                <w:szCs w:val="21"/>
                <w:highlight w:val="none"/>
                <w:lang w:eastAsia="zh-CN"/>
              </w:rPr>
              <w:t>。</w:t>
            </w:r>
          </w:p>
        </w:tc>
        <w:tc>
          <w:tcPr>
            <w:tcW w:w="1085" w:type="dxa"/>
          </w:tcPr>
          <w:p w14:paraId="1AC541C8">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7A4E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7365C47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随车工具</w:t>
            </w:r>
          </w:p>
        </w:tc>
        <w:tc>
          <w:tcPr>
            <w:tcW w:w="6784" w:type="dxa"/>
            <w:vAlign w:val="center"/>
          </w:tcPr>
          <w:p w14:paraId="07103940">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color w:val="auto"/>
                <w:sz w:val="21"/>
                <w:szCs w:val="21"/>
                <w:highlight w:val="none"/>
              </w:rPr>
              <w:t>提供</w:t>
            </w:r>
            <w:r>
              <w:rPr>
                <w:rFonts w:hint="default"/>
                <w:color w:val="auto"/>
                <w:sz w:val="21"/>
                <w:szCs w:val="21"/>
                <w:highlight w:val="none"/>
              </w:rPr>
              <w:t>1</w:t>
            </w:r>
            <w:r>
              <w:rPr>
                <w:rFonts w:hint="eastAsia"/>
                <w:color w:val="auto"/>
                <w:sz w:val="21"/>
                <w:szCs w:val="21"/>
                <w:highlight w:val="none"/>
              </w:rPr>
              <w:t>车</w:t>
            </w:r>
            <w:r>
              <w:rPr>
                <w:rFonts w:hint="default"/>
                <w:color w:val="auto"/>
                <w:sz w:val="21"/>
                <w:szCs w:val="21"/>
                <w:highlight w:val="none"/>
              </w:rPr>
              <w:t>1</w:t>
            </w:r>
            <w:r>
              <w:rPr>
                <w:rFonts w:hint="eastAsia"/>
                <w:color w:val="auto"/>
                <w:sz w:val="21"/>
                <w:szCs w:val="21"/>
                <w:highlight w:val="none"/>
              </w:rPr>
              <w:t>套随车工具及专用工具</w:t>
            </w:r>
            <w:r>
              <w:rPr>
                <w:rFonts w:hint="eastAsia"/>
                <w:color w:val="auto"/>
                <w:sz w:val="21"/>
                <w:szCs w:val="21"/>
                <w:highlight w:val="none"/>
                <w:lang w:eastAsia="zh-CN"/>
              </w:rPr>
              <w:t>。</w:t>
            </w:r>
          </w:p>
        </w:tc>
        <w:tc>
          <w:tcPr>
            <w:tcW w:w="1085" w:type="dxa"/>
          </w:tcPr>
          <w:p w14:paraId="058C8A43">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4536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06" w:type="dxa"/>
            <w:vAlign w:val="center"/>
          </w:tcPr>
          <w:p w14:paraId="5AC68DE5">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垃圾篓支架</w:t>
            </w:r>
          </w:p>
        </w:tc>
        <w:tc>
          <w:tcPr>
            <w:tcW w:w="6784" w:type="dxa"/>
            <w:vAlign w:val="center"/>
          </w:tcPr>
          <w:p w14:paraId="5A593FD0">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配备2只小垃圾桶，（设“易腐”和“其他”标识）</w:t>
            </w:r>
          </w:p>
        </w:tc>
        <w:tc>
          <w:tcPr>
            <w:tcW w:w="1085" w:type="dxa"/>
          </w:tcPr>
          <w:p w14:paraId="1E613A6A">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4404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08520FC8">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电子钟</w:t>
            </w:r>
          </w:p>
        </w:tc>
        <w:tc>
          <w:tcPr>
            <w:tcW w:w="6784" w:type="dxa"/>
            <w:vAlign w:val="center"/>
          </w:tcPr>
          <w:p w14:paraId="7AAF46F8">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时间温度一体显示电子钟</w:t>
            </w:r>
          </w:p>
        </w:tc>
        <w:tc>
          <w:tcPr>
            <w:tcW w:w="1085" w:type="dxa"/>
          </w:tcPr>
          <w:p w14:paraId="0C19ADD9">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3AED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4817CA5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警告牌</w:t>
            </w:r>
          </w:p>
        </w:tc>
        <w:tc>
          <w:tcPr>
            <w:tcW w:w="6784" w:type="dxa"/>
            <w:vAlign w:val="center"/>
          </w:tcPr>
          <w:p w14:paraId="51B3FA4E">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有</w:t>
            </w:r>
          </w:p>
        </w:tc>
        <w:tc>
          <w:tcPr>
            <w:tcW w:w="1085" w:type="dxa"/>
          </w:tcPr>
          <w:p w14:paraId="6CC1EE8B">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6ABDD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11C5ED8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自动破窗装置</w:t>
            </w:r>
          </w:p>
        </w:tc>
        <w:tc>
          <w:tcPr>
            <w:tcW w:w="6784" w:type="dxa"/>
            <w:vAlign w:val="center"/>
          </w:tcPr>
          <w:p w14:paraId="22459F32">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安装符合国标要求的手自一体、一拖四自动破窗器（要求质保8年，附质保承诺书）。</w:t>
            </w:r>
          </w:p>
          <w:p w14:paraId="750BE6D4">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2</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生产企业需通过IATF16949:2016汽车质量管理体系认证，具备国家客车质量监督检验中心《客车自动破窗装置》的检验报告，装置符合国家交通运输部行业JT/T1030-2016《客车电磁击窗器标准》。</w:t>
            </w:r>
          </w:p>
          <w:p w14:paraId="503A99C6">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破窗装置需采用电动机作为动能破窗，具备手自一体破窗，并有手动破窗防误触碰报警功能。</w:t>
            </w:r>
          </w:p>
          <w:p w14:paraId="06A7A0C2">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4</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破窗装置采用翻盖防误触碰报警，单个破窗装置破窗工作时的电流应不大于1安倍；破窗装置重要功能应符合国家交通运输行业《城市公共汽电车辆专用安全设施技术要求JT/T1391-2021》中相关标准。</w:t>
            </w:r>
          </w:p>
          <w:p w14:paraId="5C982527">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w:t>
            </w:r>
            <w:r>
              <w:rPr>
                <w:rFonts w:hint="eastAsia" w:asciiTheme="minorEastAsia" w:hAnsiTheme="minorEastAsia" w:eastAsiaTheme="minorEastAsia" w:cstheme="minorEastAsia"/>
                <w:sz w:val="21"/>
                <w:szCs w:val="21"/>
                <w:highlight w:val="none"/>
                <w:lang w:val="en-US" w:eastAsia="zh-CN"/>
              </w:rPr>
              <w:t>.</w:t>
            </w:r>
            <w:r>
              <w:rPr>
                <w:rFonts w:hint="eastAsia" w:asciiTheme="minorEastAsia" w:hAnsiTheme="minorEastAsia" w:eastAsiaTheme="minorEastAsia" w:cstheme="minorEastAsia"/>
                <w:sz w:val="21"/>
                <w:szCs w:val="21"/>
                <w:highlight w:val="none"/>
              </w:rPr>
              <w:t>破窗装置采用的控制开关应同时具备自动检测故障和防误触碰报警保护功能；应具备24小时全程（主动）自动检测故障报警提示功能，且同时具有单个及多个破窗器线路故障提示功能，便于及时发现故障及时检修。</w:t>
            </w:r>
          </w:p>
        </w:tc>
        <w:tc>
          <w:tcPr>
            <w:tcW w:w="1085" w:type="dxa"/>
          </w:tcPr>
          <w:p w14:paraId="03E004E1">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3417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38ED7264">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安全锤</w:t>
            </w:r>
          </w:p>
        </w:tc>
        <w:tc>
          <w:tcPr>
            <w:tcW w:w="6784" w:type="dxa"/>
            <w:vAlign w:val="center"/>
          </w:tcPr>
          <w:p w14:paraId="3496DF69">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配</w:t>
            </w:r>
            <w:r>
              <w:rPr>
                <w:rFonts w:hint="eastAsia" w:asciiTheme="minorEastAsia" w:hAnsiTheme="minorEastAsia" w:eastAsiaTheme="minorEastAsia" w:cstheme="minorEastAsia"/>
                <w:b/>
                <w:sz w:val="21"/>
                <w:szCs w:val="21"/>
                <w:highlight w:val="none"/>
              </w:rPr>
              <w:t>9</w:t>
            </w:r>
            <w:r>
              <w:rPr>
                <w:rFonts w:hint="eastAsia" w:asciiTheme="minorEastAsia" w:hAnsiTheme="minorEastAsia" w:eastAsiaTheme="minorEastAsia" w:cstheme="minorEastAsia"/>
                <w:sz w:val="21"/>
                <w:szCs w:val="21"/>
                <w:highlight w:val="none"/>
              </w:rPr>
              <w:t>只（带防盗自动报警型）安全锤，其中司机旁安装</w:t>
            </w:r>
            <w:r>
              <w:rPr>
                <w:rFonts w:hint="eastAsia" w:asciiTheme="minorEastAsia" w:hAnsiTheme="minorEastAsia" w:eastAsiaTheme="minorEastAsia" w:cstheme="minorEastAsia"/>
                <w:b/>
                <w:sz w:val="21"/>
                <w:szCs w:val="21"/>
                <w:highlight w:val="none"/>
              </w:rPr>
              <w:t>1</w:t>
            </w:r>
            <w:r>
              <w:rPr>
                <w:rFonts w:hint="eastAsia" w:asciiTheme="minorEastAsia" w:hAnsiTheme="minorEastAsia" w:eastAsiaTheme="minorEastAsia" w:cstheme="minorEastAsia"/>
                <w:sz w:val="21"/>
                <w:szCs w:val="21"/>
                <w:highlight w:val="none"/>
              </w:rPr>
              <w:t>只，符合GB7258-2017《机动车运行安全技术条件》要求</w:t>
            </w:r>
          </w:p>
        </w:tc>
        <w:tc>
          <w:tcPr>
            <w:tcW w:w="1085" w:type="dxa"/>
          </w:tcPr>
          <w:p w14:paraId="694A80BC">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2F686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06" w:type="dxa"/>
            <w:vAlign w:val="center"/>
          </w:tcPr>
          <w:p w14:paraId="391F9A0F">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线束</w:t>
            </w:r>
          </w:p>
        </w:tc>
        <w:tc>
          <w:tcPr>
            <w:tcW w:w="6784" w:type="dxa"/>
            <w:vAlign w:val="center"/>
          </w:tcPr>
          <w:p w14:paraId="4945F029">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整车（镀锡）电线束、油气水管路排列整齐，固定牢固，与高温、旋转部件保持安全距离或作重点防护，外覆阻燃材料，穿越洞孔时加装可靠的绝缘防磨损护套。保险盒区预留二个电源接口备用。</w:t>
            </w:r>
          </w:p>
        </w:tc>
        <w:tc>
          <w:tcPr>
            <w:tcW w:w="1085" w:type="dxa"/>
          </w:tcPr>
          <w:p w14:paraId="103FB398">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4D532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506" w:type="dxa"/>
            <w:vAlign w:val="center"/>
          </w:tcPr>
          <w:p w14:paraId="3D84B23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备注</w:t>
            </w:r>
          </w:p>
        </w:tc>
        <w:tc>
          <w:tcPr>
            <w:tcW w:w="6784" w:type="dxa"/>
            <w:vAlign w:val="center"/>
          </w:tcPr>
          <w:p w14:paraId="661AB930">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b/>
                <w:bCs/>
                <w:sz w:val="21"/>
                <w:szCs w:val="21"/>
                <w:highlight w:val="none"/>
              </w:rPr>
              <w:t>本车型必须符合2018年4月1日实施的JT/T1094-2016营运客车安全技术条件要求。</w:t>
            </w:r>
            <w:r>
              <w:rPr>
                <w:rFonts w:hint="eastAsia" w:asciiTheme="minorEastAsia" w:hAnsiTheme="minorEastAsia" w:eastAsiaTheme="minorEastAsia" w:cstheme="minorEastAsia"/>
                <w:sz w:val="21"/>
                <w:szCs w:val="21"/>
                <w:highlight w:val="none"/>
              </w:rPr>
              <w:t>其他未及内容，按厂家提供的上国家公告目录的技术参数和国家规定的标准配置。</w:t>
            </w:r>
          </w:p>
        </w:tc>
        <w:tc>
          <w:tcPr>
            <w:tcW w:w="1085" w:type="dxa"/>
          </w:tcPr>
          <w:p w14:paraId="1F60FA10">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r w14:paraId="7B612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06" w:type="dxa"/>
            <w:vAlign w:val="center"/>
          </w:tcPr>
          <w:p w14:paraId="5DAAA06D">
            <w:pPr>
              <w:keepNext w:val="0"/>
              <w:keepLines w:val="0"/>
              <w:suppressLineNumbers w:val="0"/>
              <w:spacing w:before="0" w:beforeAutospacing="0" w:after="0" w:afterAutospacing="0" w:line="240" w:lineRule="auto"/>
              <w:ind w:left="0" w:right="0"/>
              <w:jc w:val="center"/>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发动机远程排放系统</w:t>
            </w:r>
          </w:p>
        </w:tc>
        <w:tc>
          <w:tcPr>
            <w:tcW w:w="6784" w:type="dxa"/>
            <w:vAlign w:val="center"/>
          </w:tcPr>
          <w:p w14:paraId="3642E1BB">
            <w:pPr>
              <w:keepNext w:val="0"/>
              <w:keepLines w:val="0"/>
              <w:suppressLineNumbers w:val="0"/>
              <w:spacing w:before="0" w:beforeAutospacing="0" w:after="0" w:afterAutospacing="0" w:line="240" w:lineRule="auto"/>
              <w:ind w:left="0" w:right="0"/>
              <w:jc w:val="left"/>
              <w:rPr>
                <w:rFonts w:hint="eastAsia" w:asciiTheme="minorEastAsia" w:hAnsiTheme="minorEastAsia" w:eastAsiaTheme="minorEastAsia" w:cstheme="minorEastAsia"/>
                <w:b/>
                <w:bCs/>
                <w:sz w:val="21"/>
                <w:szCs w:val="21"/>
                <w:highlight w:val="none"/>
              </w:rPr>
            </w:pPr>
            <w:r>
              <w:rPr>
                <w:rFonts w:hint="eastAsia" w:asciiTheme="minorEastAsia" w:hAnsiTheme="minorEastAsia" w:eastAsiaTheme="minorEastAsia" w:cstheme="minorEastAsia"/>
                <w:b/>
                <w:bCs/>
                <w:sz w:val="21"/>
                <w:szCs w:val="21"/>
                <w:highlight w:val="none"/>
              </w:rPr>
              <w:t>OBD</w:t>
            </w:r>
            <w:r>
              <w:rPr>
                <w:rFonts w:hint="eastAsia" w:asciiTheme="minorEastAsia" w:hAnsiTheme="minorEastAsia" w:eastAsiaTheme="minorEastAsia" w:cstheme="minorEastAsia"/>
                <w:sz w:val="21"/>
                <w:szCs w:val="21"/>
                <w:highlight w:val="none"/>
              </w:rPr>
              <w:t>发动机远程排放系统</w:t>
            </w:r>
          </w:p>
        </w:tc>
        <w:tc>
          <w:tcPr>
            <w:tcW w:w="1085" w:type="dxa"/>
          </w:tcPr>
          <w:p w14:paraId="2F0AC20C">
            <w:pPr>
              <w:keepNext w:val="0"/>
              <w:keepLines w:val="0"/>
              <w:suppressLineNumbers w:val="0"/>
              <w:spacing w:before="0" w:beforeAutospacing="0" w:after="0" w:afterAutospacing="0" w:line="240" w:lineRule="auto"/>
              <w:ind w:left="0" w:right="0"/>
              <w:rPr>
                <w:rFonts w:hint="eastAsia" w:asciiTheme="minorEastAsia" w:hAnsiTheme="minorEastAsia" w:eastAsiaTheme="minorEastAsia" w:cstheme="minorEastAsia"/>
                <w:sz w:val="21"/>
                <w:szCs w:val="21"/>
                <w:highlight w:val="none"/>
              </w:rPr>
            </w:pPr>
          </w:p>
        </w:tc>
      </w:tr>
    </w:tbl>
    <w:p w14:paraId="0132CCAB">
      <w:pPr>
        <w:spacing w:line="240" w:lineRule="auto"/>
        <w:rPr>
          <w:rFonts w:hint="eastAsia"/>
          <w:highlight w:val="none"/>
          <w:lang w:eastAsia="zh-CN"/>
        </w:rPr>
      </w:pPr>
      <w:r>
        <w:rPr>
          <w:rFonts w:hint="eastAsia" w:asciiTheme="minorEastAsia" w:hAnsiTheme="minorEastAsia" w:eastAsiaTheme="minorEastAsia" w:cstheme="minorEastAsia"/>
          <w:color w:val="auto"/>
          <w:sz w:val="21"/>
          <w:szCs w:val="21"/>
          <w:highlight w:val="none"/>
        </w:rPr>
        <w:t>说明：中标车辆必须符合杭州地区车辆上牌要求，由中标厂家完成车辆上牌工作，其正常检测上牌费用凭发票由招标单位支付；招标单位负责联系车管人员上门服务工作，相关费用由中标厂家支付。</w:t>
      </w:r>
    </w:p>
    <w:p w14:paraId="699E579B">
      <w:pPr>
        <w:pStyle w:val="3"/>
        <w:spacing w:line="440" w:lineRule="exact"/>
        <w:ind w:left="0" w:leftChars="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三、其他要求</w:t>
      </w:r>
    </w:p>
    <w:p w14:paraId="55F89663">
      <w:pPr>
        <w:autoSpaceDE w:val="0"/>
        <w:autoSpaceDN w:val="0"/>
        <w:spacing w:line="480" w:lineRule="exact"/>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.1、采购设备的总体要求：</w:t>
      </w:r>
    </w:p>
    <w:p w14:paraId="2B8EA9EA">
      <w:pPr>
        <w:autoSpaceDE w:val="0"/>
        <w:autoSpaceDN w:val="0"/>
        <w:snapToGrid w:val="0"/>
        <w:spacing w:line="480" w:lineRule="exact"/>
        <w:ind w:firstLine="352" w:firstLineChars="147"/>
        <w:textAlignment w:val="bottom"/>
        <w:rPr>
          <w:rFonts w:hint="eastAsia" w:ascii="宋体" w:hAnsi="宋体" w:eastAsia="宋体" w:cs="宋体"/>
          <w:b/>
          <w:color w:val="auto"/>
          <w:sz w:val="24"/>
          <w:highlight w:val="none"/>
          <w:lang w:val="en-US" w:eastAsia="zh-CN"/>
        </w:rPr>
      </w:pPr>
      <w:r>
        <w:rPr>
          <w:rFonts w:hint="eastAsia" w:ascii="宋体" w:hAnsi="宋体" w:eastAsia="宋体" w:cs="宋体"/>
          <w:b w:val="0"/>
          <w:bCs/>
          <w:color w:val="auto"/>
          <w:sz w:val="24"/>
          <w:highlight w:val="none"/>
          <w:lang w:val="en-US" w:eastAsia="zh-CN"/>
        </w:rPr>
        <w:t>乙方保证所供商品(包括商品部件、配件</w:t>
      </w:r>
      <w:r>
        <w:rPr>
          <w:rFonts w:hint="eastAsia" w:ascii="宋体" w:hAnsi="宋体" w:cs="宋体"/>
          <w:b w:val="0"/>
          <w:bCs/>
          <w:color w:val="auto"/>
          <w:sz w:val="24"/>
          <w:highlight w:val="none"/>
          <w:lang w:val="en-US" w:eastAsia="zh-CN"/>
        </w:rPr>
        <w:t>）</w:t>
      </w:r>
      <w:r>
        <w:rPr>
          <w:rFonts w:hint="eastAsia" w:ascii="宋体" w:hAnsi="宋体" w:eastAsia="宋体" w:cs="宋体"/>
          <w:b w:val="0"/>
          <w:bCs/>
          <w:color w:val="auto"/>
          <w:sz w:val="24"/>
          <w:highlight w:val="none"/>
          <w:lang w:val="en-US" w:eastAsia="zh-CN"/>
        </w:rPr>
        <w:t>是202</w:t>
      </w:r>
      <w:r>
        <w:rPr>
          <w:rFonts w:hint="eastAsia" w:ascii="宋体" w:hAnsi="宋体" w:cs="宋体"/>
          <w:b w:val="0"/>
          <w:bCs/>
          <w:color w:val="auto"/>
          <w:sz w:val="24"/>
          <w:highlight w:val="none"/>
          <w:lang w:val="en-US" w:eastAsia="zh-CN"/>
        </w:rPr>
        <w:t>5</w:t>
      </w:r>
      <w:r>
        <w:rPr>
          <w:rFonts w:hint="eastAsia" w:ascii="宋体" w:hAnsi="宋体" w:eastAsia="宋体" w:cs="宋体"/>
          <w:b w:val="0"/>
          <w:bCs/>
          <w:color w:val="auto"/>
          <w:sz w:val="24"/>
          <w:highlight w:val="none"/>
          <w:lang w:val="en-US" w:eastAsia="zh-CN"/>
        </w:rPr>
        <w:t>年以后新生产的、未使用过的，符合国家规定的技术规格和质量标准的合格产品，并且是完全符合本次招标文件(包括补充更正，如有</w:t>
      </w:r>
      <w:r>
        <w:rPr>
          <w:rFonts w:hint="eastAsia" w:ascii="宋体" w:hAnsi="宋体" w:cs="宋体"/>
          <w:b w:val="0"/>
          <w:bCs/>
          <w:color w:val="auto"/>
          <w:sz w:val="24"/>
          <w:highlight w:val="none"/>
          <w:lang w:val="en-US" w:eastAsia="zh-CN"/>
        </w:rPr>
        <w:t>）</w:t>
      </w:r>
      <w:r>
        <w:rPr>
          <w:rFonts w:hint="eastAsia" w:ascii="宋体" w:hAnsi="宋体" w:eastAsia="宋体" w:cs="宋体"/>
          <w:b w:val="0"/>
          <w:bCs/>
          <w:color w:val="auto"/>
          <w:sz w:val="24"/>
          <w:highlight w:val="none"/>
          <w:lang w:val="en-US" w:eastAsia="zh-CN"/>
        </w:rPr>
        <w:t>中采购货物要求所规定的技术参数和质量要求。</w:t>
      </w:r>
    </w:p>
    <w:p w14:paraId="270006F0">
      <w:pPr>
        <w:autoSpaceDE w:val="0"/>
        <w:autoSpaceDN w:val="0"/>
        <w:snapToGrid w:val="0"/>
        <w:spacing w:line="480" w:lineRule="exact"/>
        <w:ind w:firstLine="354" w:firstLineChars="147"/>
        <w:textAlignment w:val="bottom"/>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.2</w:t>
      </w:r>
      <w:bookmarkStart w:id="45" w:name="OLE_LINK4"/>
      <w:r>
        <w:rPr>
          <w:rFonts w:hint="eastAsia" w:ascii="宋体" w:hAnsi="宋体" w:eastAsia="宋体" w:cs="宋体"/>
          <w:b/>
          <w:color w:val="auto"/>
          <w:sz w:val="24"/>
          <w:highlight w:val="none"/>
        </w:rPr>
        <w:t>、</w:t>
      </w:r>
      <w:bookmarkEnd w:id="45"/>
      <w:r>
        <w:rPr>
          <w:rFonts w:hint="eastAsia" w:ascii="宋体" w:hAnsi="宋体" w:cs="宋体"/>
          <w:b/>
          <w:color w:val="auto"/>
          <w:sz w:val="24"/>
          <w:highlight w:val="none"/>
          <w:lang w:eastAsia="zh-CN"/>
        </w:rPr>
        <w:t>质保期</w:t>
      </w:r>
    </w:p>
    <w:p w14:paraId="733210AB">
      <w:pPr>
        <w:spacing w:line="480" w:lineRule="exact"/>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1、本项目</w:t>
      </w:r>
      <w:r>
        <w:rPr>
          <w:rFonts w:hint="eastAsia" w:ascii="宋体" w:hAnsi="宋体" w:cs="宋体"/>
          <w:bCs/>
          <w:color w:val="auto"/>
          <w:sz w:val="24"/>
          <w:highlight w:val="none"/>
          <w:lang w:eastAsia="zh-CN"/>
        </w:rPr>
        <w:t>整车质保</w:t>
      </w:r>
      <w:r>
        <w:rPr>
          <w:rFonts w:hint="eastAsia" w:ascii="宋体" w:hAnsi="宋体" w:cs="宋体"/>
          <w:bCs/>
          <w:color w:val="auto"/>
          <w:sz w:val="24"/>
          <w:highlight w:val="none"/>
          <w:lang w:val="en-US" w:eastAsia="zh-CN"/>
        </w:rPr>
        <w:t>5年，其余配件</w:t>
      </w:r>
      <w:r>
        <w:rPr>
          <w:rFonts w:hint="eastAsia" w:ascii="宋体" w:hAnsi="宋体" w:cs="宋体"/>
          <w:bCs/>
          <w:color w:val="auto"/>
          <w:sz w:val="24"/>
          <w:highlight w:val="none"/>
          <w:lang w:eastAsia="zh-CN"/>
        </w:rPr>
        <w:t>按技术参数要求默认响应</w:t>
      </w:r>
      <w:r>
        <w:rPr>
          <w:rFonts w:hint="eastAsia" w:ascii="宋体" w:hAnsi="宋体" w:eastAsia="宋体" w:cs="宋体"/>
          <w:bCs/>
          <w:color w:val="auto"/>
          <w:sz w:val="24"/>
          <w:highlight w:val="none"/>
        </w:rPr>
        <w:t>质保期（若设备厂商提供更长质保期，则按最长的质保期执行），质保期从验收合格交付使用之日起算；质保期内因不能排除的故障而影响工作的情况每发生一次，其质保期相应延长60天，质保期内因设备本身缺陷造成各种故障应由卖方免费技术服务和维修。</w:t>
      </w:r>
      <w:bookmarkStart w:id="54" w:name="_GoBack"/>
      <w:bookmarkEnd w:id="54"/>
    </w:p>
    <w:p w14:paraId="4D8226E7">
      <w:pPr>
        <w:pStyle w:val="2"/>
        <w:ind w:left="438" w:leftChars="88" w:hanging="253" w:hangingChars="105"/>
        <w:rPr>
          <w:rFonts w:hint="eastAsia"/>
        </w:rPr>
      </w:pPr>
      <w:r>
        <w:rPr>
          <w:rFonts w:hint="eastAsia" w:ascii="宋体" w:hAnsi="宋体" w:eastAsia="宋体" w:cs="宋体"/>
          <w:b/>
          <w:color w:val="auto"/>
          <w:sz w:val="24"/>
          <w:highlight w:val="none"/>
          <w:lang w:val="en-US" w:eastAsia="zh-CN"/>
        </w:rPr>
        <w:t>3.3</w:t>
      </w:r>
      <w:r>
        <w:rPr>
          <w:rFonts w:hint="eastAsia" w:ascii="宋体" w:hAnsi="宋体" w:eastAsia="宋体" w:cs="宋体"/>
          <w:b/>
          <w:color w:val="auto"/>
          <w:sz w:val="24"/>
          <w:highlight w:val="none"/>
        </w:rPr>
        <w:t>售后服务</w:t>
      </w:r>
    </w:p>
    <w:p w14:paraId="0886989F">
      <w:pPr>
        <w:spacing w:line="480" w:lineRule="exact"/>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rPr>
        <w:t>、在设备（或系统）整个使用期内，</w:t>
      </w:r>
      <w:r>
        <w:rPr>
          <w:rFonts w:hint="eastAsia" w:ascii="宋体" w:hAnsi="宋体" w:cs="宋体"/>
          <w:bCs/>
          <w:color w:val="auto"/>
          <w:sz w:val="24"/>
          <w:highlight w:val="none"/>
          <w:lang w:eastAsia="zh-CN"/>
        </w:rPr>
        <w:t>供应商</w:t>
      </w:r>
      <w:r>
        <w:rPr>
          <w:rFonts w:hint="eastAsia" w:ascii="宋体" w:hAnsi="宋体" w:eastAsia="宋体" w:cs="宋体"/>
          <w:bCs/>
          <w:color w:val="auto"/>
          <w:sz w:val="24"/>
          <w:highlight w:val="none"/>
        </w:rPr>
        <w:t>应确保正常使用，在接到用户维修要求后在0.5小时内响应并提出解决方案，2小时内到达现场对故障进行处理，维修过程中所需材料中标供应商在接到通知后应及时提供，最长不超过24小时必须送达。若24小时内无法修复的，应48小时内提供相应备用设备并负责安装调试，为此，投标供应商应提供相应承诺书。</w:t>
      </w:r>
    </w:p>
    <w:p w14:paraId="775C8A27">
      <w:pPr>
        <w:spacing w:line="480" w:lineRule="exact"/>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、在质保期内，中标供应商应负责对其提供的设备进行现场维修、损坏件更换，不收取额外费用，响应时间必须满足采购人工作正常运行的要求。</w:t>
      </w:r>
    </w:p>
    <w:p w14:paraId="11E1B73F">
      <w:pPr>
        <w:spacing w:line="480" w:lineRule="exact"/>
        <w:ind w:firstLine="480" w:firstLineChars="200"/>
        <w:rPr>
          <w:rFonts w:hint="eastAsia" w:ascii="宋体" w:hAnsi="宋体" w:eastAsia="宋体" w:cs="宋体"/>
          <w:bCs/>
          <w:color w:val="auto"/>
          <w:sz w:val="24"/>
          <w:highlight w:val="none"/>
        </w:rPr>
      </w:pP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rPr>
        <w:t>、供应商在投标文件中须说明保修期内提供的服务计划。</w:t>
      </w:r>
    </w:p>
    <w:p w14:paraId="6C02F3C8">
      <w:pPr>
        <w:autoSpaceDE w:val="0"/>
        <w:autoSpaceDN w:val="0"/>
        <w:snapToGrid w:val="0"/>
        <w:spacing w:line="480" w:lineRule="exact"/>
        <w:ind w:right="-178" w:rightChars="-85"/>
        <w:textAlignment w:val="bottom"/>
        <w:rPr>
          <w:rFonts w:hint="eastAsia" w:ascii="宋体" w:hAnsi="宋体" w:eastAsia="宋体" w:cs="宋体"/>
          <w:color w:val="auto"/>
          <w:sz w:val="24"/>
          <w:highlight w:val="none"/>
        </w:rPr>
      </w:pPr>
      <w:r>
        <w:rPr>
          <w:rFonts w:hint="eastAsia" w:ascii="宋体" w:hAnsi="宋体" w:cs="宋体"/>
          <w:b/>
          <w:bCs/>
          <w:color w:val="auto"/>
          <w:sz w:val="24"/>
          <w:highlight w:val="none"/>
          <w:lang w:val="en-US" w:eastAsia="zh-CN"/>
        </w:rPr>
        <w:t>3.4</w:t>
      </w:r>
      <w:r>
        <w:rPr>
          <w:rFonts w:hint="eastAsia" w:ascii="宋体" w:hAnsi="宋体" w:eastAsia="宋体" w:cs="宋体"/>
          <w:b/>
          <w:bCs/>
          <w:color w:val="auto"/>
          <w:sz w:val="24"/>
          <w:highlight w:val="none"/>
        </w:rPr>
        <w:t>、其他商务要求（包装和运输、保险等）</w:t>
      </w:r>
    </w:p>
    <w:p w14:paraId="0ABA94F6">
      <w:pPr>
        <w:autoSpaceDE w:val="0"/>
        <w:autoSpaceDN w:val="0"/>
        <w:snapToGrid w:val="0"/>
        <w:spacing w:line="48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1.中标人在签订合同后，必须在</w:t>
      </w:r>
      <w:r>
        <w:rPr>
          <w:rFonts w:hint="eastAsia" w:ascii="宋体" w:hAnsi="宋体" w:cs="宋体"/>
          <w:b w:val="0"/>
          <w:bCs/>
          <w:color w:val="auto"/>
          <w:sz w:val="24"/>
          <w:highlight w:val="none"/>
          <w:lang w:val="en-US" w:eastAsia="zh-CN"/>
        </w:rPr>
        <w:t>40</w:t>
      </w:r>
      <w:r>
        <w:rPr>
          <w:rFonts w:hint="eastAsia" w:ascii="宋体" w:hAnsi="宋体" w:eastAsia="宋体" w:cs="宋体"/>
          <w:b w:val="0"/>
          <w:bCs/>
          <w:color w:val="auto"/>
          <w:sz w:val="24"/>
          <w:highlight w:val="none"/>
          <w:lang w:val="en-US" w:eastAsia="zh-CN"/>
        </w:rPr>
        <w:t>日历天内按采购单位要求完成交货、调试并交付使用。如在规定的时间内由于供应商的原因不能完成交货的，供应商应承担由此给采购单位造成的损失。</w:t>
      </w:r>
    </w:p>
    <w:p w14:paraId="13747F45">
      <w:pPr>
        <w:autoSpaceDE w:val="0"/>
        <w:autoSpaceDN w:val="0"/>
        <w:snapToGrid w:val="0"/>
        <w:spacing w:line="48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 xml:space="preserve">2. </w:t>
      </w:r>
      <w:r>
        <w:rPr>
          <w:rFonts w:hint="eastAsia" w:ascii="宋体" w:hAnsi="宋体" w:cs="宋体"/>
          <w:b w:val="0"/>
          <w:bCs/>
          <w:color w:val="auto"/>
          <w:sz w:val="24"/>
          <w:highlight w:val="none"/>
          <w:lang w:val="en-US" w:eastAsia="zh-CN"/>
        </w:rPr>
        <w:t>交付</w:t>
      </w:r>
      <w:r>
        <w:rPr>
          <w:rFonts w:hint="eastAsia" w:ascii="宋体" w:hAnsi="宋体" w:eastAsia="宋体" w:cs="宋体"/>
          <w:b w:val="0"/>
          <w:bCs/>
          <w:color w:val="auto"/>
          <w:sz w:val="24"/>
          <w:highlight w:val="none"/>
          <w:lang w:val="en-US" w:eastAsia="zh-CN"/>
        </w:rPr>
        <w:t>地点：由采购单位指定。</w:t>
      </w:r>
    </w:p>
    <w:p w14:paraId="306B3CC1">
      <w:pPr>
        <w:autoSpaceDE w:val="0"/>
        <w:autoSpaceDN w:val="0"/>
        <w:snapToGrid w:val="0"/>
        <w:spacing w:line="48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 安装标准：符合我国国家有关技术规范要求和技术标准，所有的软件和硬件必须保证同时安装到位。</w:t>
      </w:r>
    </w:p>
    <w:p w14:paraId="449AA6A6">
      <w:pPr>
        <w:autoSpaceDE w:val="0"/>
        <w:autoSpaceDN w:val="0"/>
        <w:snapToGrid w:val="0"/>
        <w:spacing w:line="48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 中标方免费提供中标设备（软件和硬件）的安装调试服务。</w:t>
      </w:r>
    </w:p>
    <w:p w14:paraId="5FAD4059">
      <w:pPr>
        <w:autoSpaceDE w:val="0"/>
        <w:autoSpaceDN w:val="0"/>
        <w:snapToGrid w:val="0"/>
        <w:spacing w:line="48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 投标方应在投标文件中应提供安装计划、对安装场地和环境的要求。</w:t>
      </w:r>
    </w:p>
    <w:p w14:paraId="109C61FE">
      <w:pPr>
        <w:autoSpaceDE w:val="0"/>
        <w:autoSpaceDN w:val="0"/>
        <w:snapToGrid w:val="0"/>
        <w:spacing w:line="480" w:lineRule="exact"/>
        <w:ind w:left="-181" w:leftChars="-86" w:right="-178" w:rightChars="-85" w:firstLine="480" w:firstLineChars="200"/>
        <w:textAlignment w:val="bottom"/>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 xml:space="preserve">6.免费提供操作和维修培训，提供培训计划及方案，并由使用科室对培训计划进行确认。对买方的维修人员进行培训并承担所有费用，使其能对设备进行日常的维护保养并能对一般故障及时进行维修。所有的维修图纸、维修手册及维修调试软件的密码及专用的维修工具应全部免费提供。现场培训内容包括设备操作、维护及维修等，直至受培训人员能够熟练掌握为止。培训完成后，卖方须提供详细培训记录，培训记录应有培训内容、参加人员（签字）、培训地点、培训时间以及操作人员考核情况。 </w:t>
      </w:r>
    </w:p>
    <w:p w14:paraId="41ECAFF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w:t>
      </w:r>
      <w:r>
        <w:rPr>
          <w:rFonts w:hint="eastAsia" w:ascii="宋体" w:hAnsi="宋体" w:cs="宋体"/>
          <w:b/>
          <w:color w:val="auto"/>
          <w:sz w:val="24"/>
          <w:highlight w:val="none"/>
          <w:lang w:val="en-US" w:eastAsia="zh-CN"/>
        </w:rPr>
        <w:t>5</w:t>
      </w:r>
      <w:r>
        <w:rPr>
          <w:rFonts w:hint="eastAsia" w:ascii="宋体" w:hAnsi="宋体" w:eastAsia="宋体" w:cs="宋体"/>
          <w:b/>
          <w:color w:val="auto"/>
          <w:sz w:val="24"/>
          <w:highlight w:val="none"/>
        </w:rPr>
        <w:t>、验收方式及标准</w:t>
      </w:r>
    </w:p>
    <w:p w14:paraId="0A1451BA">
      <w:pPr>
        <w:spacing w:line="360" w:lineRule="auto"/>
        <w:ind w:firstLine="480" w:firstLineChars="200"/>
        <w:rPr>
          <w:rFonts w:hint="eastAsia" w:ascii="宋体" w:hAnsi="宋体" w:eastAsia="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w:t>
      </w:r>
      <w:r>
        <w:rPr>
          <w:rFonts w:hint="eastAsia" w:ascii="宋体" w:hAnsi="宋体" w:eastAsia="宋体" w:cs="宋体"/>
          <w:b w:val="0"/>
          <w:bCs w:val="0"/>
          <w:color w:val="auto"/>
          <w:sz w:val="24"/>
          <w:highlight w:val="none"/>
          <w:lang w:val="en-US" w:eastAsia="zh-CN"/>
        </w:rPr>
        <w:t>乙方应提供系统设备的有效检验材料，经甲方认可后，与合同的技术指标一起作为验收标准。甲方对系统设备验收合格后，在《采购验收反馈表》上签署意见并加盖单位公章。验收中发现系统设备达不到验收标准或合同规定的技术指标，乙方必须更换，并负担由此给甲方造成的损失，直到验收合格为止。</w:t>
      </w:r>
    </w:p>
    <w:p w14:paraId="12CD326F">
      <w:pPr>
        <w:pStyle w:val="2"/>
        <w:ind w:left="0" w:leftChars="0" w:firstLine="480" w:firstLineChars="20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注明生产地，车辆焊接、总装、完检等重点生产工艺必须在车辆制造商的总厂完成，不得委外加工；验车时发现不符合要求的，采购人有权拒绝接车，按废标处理并追究全部责任；投标人必须书面承诺：如不符合要求而引起一切法律责任，由投标人无条件承担。</w:t>
      </w:r>
    </w:p>
    <w:p w14:paraId="049FFFB1">
      <w:pPr>
        <w:pStyle w:val="2"/>
        <w:ind w:left="0" w:leftChars="0" w:firstLine="480" w:firstLineChars="200"/>
        <w:rPr>
          <w:rFonts w:hint="default"/>
          <w:highlight w:val="none"/>
          <w:lang w:val="en-US" w:eastAsia="zh-CN"/>
        </w:rPr>
      </w:pPr>
      <w:r>
        <w:rPr>
          <w:rFonts w:hint="eastAsia" w:ascii="宋体" w:hAnsi="宋体" w:eastAsia="宋体" w:cs="宋体"/>
          <w:b w:val="0"/>
          <w:bCs w:val="0"/>
          <w:color w:val="auto"/>
          <w:sz w:val="24"/>
          <w:highlight w:val="none"/>
          <w:lang w:val="en-US" w:eastAsia="zh-CN"/>
        </w:rPr>
        <w:t>3、总厂的判定：总厂的地址，必须在车辆制造商总厂的营业执照的登记地所在的地级市行政区域内。</w:t>
      </w:r>
    </w:p>
    <w:p w14:paraId="63223C94">
      <w:pPr>
        <w:spacing w:line="360" w:lineRule="auto"/>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6</w:t>
      </w:r>
      <w:r>
        <w:rPr>
          <w:rFonts w:hint="eastAsia" w:ascii="宋体" w:hAnsi="宋体" w:eastAsia="宋体" w:cs="宋体"/>
          <w:b/>
          <w:bCs/>
          <w:color w:val="auto"/>
          <w:sz w:val="24"/>
          <w:highlight w:val="none"/>
        </w:rPr>
        <w:t>、资金支付的方式、时间和条件</w:t>
      </w:r>
    </w:p>
    <w:p w14:paraId="1A0FA733">
      <w:pPr>
        <w:spacing w:line="360" w:lineRule="auto"/>
        <w:ind w:firstLine="480" w:firstLineChars="200"/>
        <w:rPr>
          <w:rFonts w:hint="eastAsia" w:ascii="宋体" w:hAnsi="宋体" w:eastAsia="宋体" w:cs="宋体"/>
          <w:snapToGrid/>
          <w:color w:val="auto"/>
          <w:kern w:val="0"/>
          <w:sz w:val="24"/>
          <w:szCs w:val="20"/>
          <w:highlight w:val="none"/>
          <w:lang w:val="en-US" w:eastAsia="zh-CN" w:bidi="ar-SA"/>
        </w:rPr>
      </w:pPr>
      <w:r>
        <w:rPr>
          <w:rFonts w:hint="eastAsia" w:ascii="宋体" w:hAnsi="宋体" w:eastAsia="宋体" w:cs="宋体"/>
          <w:snapToGrid/>
          <w:color w:val="auto"/>
          <w:kern w:val="0"/>
          <w:sz w:val="24"/>
          <w:szCs w:val="20"/>
          <w:highlight w:val="none"/>
          <w:lang w:val="en-US" w:eastAsia="zh-CN" w:bidi="ar-SA"/>
        </w:rPr>
        <w:t>采购单位根据合同、投标文件等资料进行验收。</w:t>
      </w:r>
    </w:p>
    <w:p w14:paraId="0E5E98A6">
      <w:pPr>
        <w:spacing w:line="360" w:lineRule="auto"/>
        <w:ind w:firstLine="480" w:firstLineChars="200"/>
        <w:rPr>
          <w:rFonts w:hint="eastAsia" w:ascii="宋体" w:hAnsi="宋体" w:eastAsia="宋体" w:cs="宋体"/>
          <w:snapToGrid/>
          <w:color w:val="auto"/>
          <w:kern w:val="0"/>
          <w:sz w:val="24"/>
          <w:szCs w:val="20"/>
          <w:highlight w:val="none"/>
          <w:lang w:val="en-US" w:eastAsia="zh-CN" w:bidi="ar-SA"/>
        </w:rPr>
      </w:pPr>
      <w:r>
        <w:rPr>
          <w:rFonts w:hint="eastAsia" w:ascii="宋体" w:hAnsi="宋体" w:eastAsia="宋体" w:cs="宋体"/>
          <w:snapToGrid/>
          <w:color w:val="auto"/>
          <w:kern w:val="0"/>
          <w:sz w:val="24"/>
          <w:szCs w:val="20"/>
          <w:highlight w:val="none"/>
          <w:lang w:val="en-US" w:eastAsia="zh-CN" w:bidi="ar-SA"/>
        </w:rPr>
        <w:t>项目款结算采取分期付款方式。</w:t>
      </w:r>
    </w:p>
    <w:p w14:paraId="18800E56">
      <w:pPr>
        <w:spacing w:line="360" w:lineRule="auto"/>
        <w:ind w:firstLine="480" w:firstLineChars="200"/>
        <w:rPr>
          <w:rFonts w:hint="eastAsia" w:ascii="宋体" w:hAnsi="宋体" w:eastAsia="宋体" w:cs="宋体"/>
          <w:snapToGrid/>
          <w:color w:val="auto"/>
          <w:kern w:val="0"/>
          <w:sz w:val="24"/>
          <w:szCs w:val="20"/>
          <w:highlight w:val="none"/>
          <w:lang w:val="en-US" w:eastAsia="zh-CN" w:bidi="ar-SA"/>
        </w:rPr>
      </w:pPr>
      <w:r>
        <w:rPr>
          <w:rFonts w:hint="eastAsia" w:ascii="宋体" w:hAnsi="宋体" w:eastAsia="宋体" w:cs="宋体"/>
          <w:snapToGrid/>
          <w:color w:val="auto"/>
          <w:kern w:val="0"/>
          <w:sz w:val="24"/>
          <w:szCs w:val="20"/>
          <w:highlight w:val="none"/>
          <w:lang w:val="en-US" w:eastAsia="zh-CN" w:bidi="ar-SA"/>
        </w:rPr>
        <w:t>合同签订后，货物到场后10日历天内由采购单位向中标供应商支付合同总价的40%，安装调试完毕并验收合格后，中标供应商向采购单位提交相关资料后，由采购单位向中标供应商支付结算60%货款。</w:t>
      </w:r>
    </w:p>
    <w:p w14:paraId="3645B9E4">
      <w:pPr>
        <w:spacing w:line="360" w:lineRule="auto"/>
        <w:ind w:firstLine="480" w:firstLineChars="200"/>
        <w:rPr>
          <w:rFonts w:hint="eastAsia" w:ascii="宋体" w:hAnsi="宋体" w:eastAsia="宋体" w:cs="宋体"/>
          <w:b/>
          <w:bCs/>
          <w:color w:val="auto"/>
          <w:sz w:val="24"/>
          <w:highlight w:val="none"/>
          <w:lang w:val="en-US" w:eastAsia="zh-CN"/>
        </w:rPr>
      </w:pPr>
      <w:r>
        <w:rPr>
          <w:rFonts w:hint="eastAsia" w:ascii="宋体" w:hAnsi="宋体" w:eastAsia="宋体" w:cs="宋体"/>
          <w:snapToGrid/>
          <w:color w:val="auto"/>
          <w:kern w:val="0"/>
          <w:sz w:val="24"/>
          <w:szCs w:val="20"/>
          <w:highlight w:val="none"/>
          <w:lang w:val="en-US" w:eastAsia="zh-CN" w:bidi="ar-SA"/>
        </w:rPr>
        <w:t>支付项目款时，中标供应商将结款申请1份、增值税专用全额发票及复印件1份、合同复印件1份、货物设备清单、质保承诺书和经采购单位验收确认的《验收反馈表》和验收报告提交采购单位，由采购单位向中标供应商支付结算当期项目款。</w:t>
      </w:r>
    </w:p>
    <w:p w14:paraId="12A06462">
      <w:pPr>
        <w:spacing w:line="360" w:lineRule="auto"/>
        <w:ind w:firstLine="482" w:firstLineChars="200"/>
        <w:rPr>
          <w:rStyle w:val="356"/>
          <w:rFonts w:hint="eastAsia" w:ascii="宋体" w:hAnsi="宋体" w:eastAsia="宋体" w:cs="宋体"/>
          <w:bCs/>
          <w:color w:val="auto"/>
          <w:highlight w:val="non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w:t>
      </w:r>
      <w:r>
        <w:rPr>
          <w:rFonts w:hint="eastAsia" w:ascii="宋体" w:hAnsi="宋体" w:cs="宋体"/>
          <w:b/>
          <w:bCs/>
          <w:color w:val="auto"/>
          <w:sz w:val="24"/>
          <w:highlight w:val="none"/>
          <w:lang w:val="en-US" w:eastAsia="zh-CN"/>
        </w:rPr>
        <w:t>7</w:t>
      </w:r>
      <w:r>
        <w:rPr>
          <w:rFonts w:hint="eastAsia" w:ascii="宋体" w:hAnsi="宋体" w:eastAsia="宋体" w:cs="宋体"/>
          <w:b/>
          <w:bCs/>
          <w:color w:val="auto"/>
          <w:sz w:val="24"/>
          <w:highlight w:val="none"/>
        </w:rPr>
        <w:t>、</w:t>
      </w:r>
      <w:r>
        <w:rPr>
          <w:rStyle w:val="356"/>
          <w:rFonts w:hint="eastAsia" w:ascii="宋体" w:hAnsi="宋体" w:eastAsia="宋体" w:cs="宋体"/>
          <w:bCs/>
          <w:color w:val="auto"/>
          <w:highlight w:val="none"/>
        </w:rPr>
        <w:t>履约保证金</w:t>
      </w:r>
    </w:p>
    <w:p w14:paraId="4980D977">
      <w:pPr>
        <w:spacing w:line="360" w:lineRule="auto"/>
        <w:ind w:firstLine="480" w:firstLineChars="200"/>
        <w:rPr>
          <w:rFonts w:hint="eastAsia"/>
          <w:lang w:val="en-US" w:eastAsia="zh-CN"/>
        </w:rPr>
      </w:pPr>
      <w:r>
        <w:rPr>
          <w:rFonts w:hint="eastAsia" w:ascii="宋体" w:hAnsi="宋体" w:eastAsia="宋体" w:cs="宋体"/>
          <w:snapToGrid/>
          <w:color w:val="auto"/>
          <w:kern w:val="0"/>
          <w:sz w:val="24"/>
          <w:szCs w:val="20"/>
          <w:highlight w:val="none"/>
          <w:lang w:val="en-US" w:eastAsia="zh-CN" w:bidi="ar-SA"/>
        </w:rPr>
        <w:t>在合同签订后7日内由中标供应商按合同总金额的5%交至采购单位指定帐户（供应商应当以支票、汇票、本票等非现金形式提交。）。项目验收合格且质保期满后经回访无质量问题由采购单位无息退还。因供应商所供商品质量或服务原因造成采购单位损失的，采购单位有权要求供应商以其履约保证金作出补偿。</w:t>
      </w:r>
    </w:p>
    <w:p w14:paraId="6270D6C9">
      <w:pPr>
        <w:rPr>
          <w:rFonts w:hint="eastAsia"/>
        </w:rPr>
      </w:pPr>
    </w:p>
    <w:p w14:paraId="168A4188">
      <w:pPr>
        <w:numPr>
          <w:ilvl w:val="0"/>
          <w:numId w:val="1"/>
        </w:num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评标办法</w:t>
      </w:r>
    </w:p>
    <w:p w14:paraId="5556DAAF">
      <w:pPr>
        <w:pStyle w:val="62"/>
        <w:numPr>
          <w:ilvl w:val="0"/>
          <w:numId w:val="0"/>
        </w:numPr>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4"/>
        <w:tblpPr w:leftFromText="180" w:rightFromText="180" w:vertAnchor="text" w:horzAnchor="page" w:tblpX="1810" w:tblpY="249"/>
        <w:tblOverlap w:val="never"/>
        <w:tblW w:w="86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4587"/>
        <w:gridCol w:w="812"/>
        <w:gridCol w:w="1025"/>
        <w:gridCol w:w="1191"/>
      </w:tblGrid>
      <w:tr w14:paraId="260B6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02D033C8">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4587" w:type="dxa"/>
            <w:vAlign w:val="center"/>
          </w:tcPr>
          <w:p w14:paraId="283E9070">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评标标准</w:t>
            </w:r>
          </w:p>
        </w:tc>
        <w:tc>
          <w:tcPr>
            <w:tcW w:w="812" w:type="dxa"/>
            <w:vAlign w:val="center"/>
          </w:tcPr>
          <w:p w14:paraId="2E10ED7D">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权重</w:t>
            </w:r>
          </w:p>
        </w:tc>
        <w:tc>
          <w:tcPr>
            <w:tcW w:w="1025" w:type="dxa"/>
            <w:vAlign w:val="center"/>
          </w:tcPr>
          <w:p w14:paraId="7E7D18DD">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主观分/客观分属性</w:t>
            </w:r>
          </w:p>
        </w:tc>
        <w:tc>
          <w:tcPr>
            <w:tcW w:w="1191" w:type="dxa"/>
            <w:vAlign w:val="center"/>
          </w:tcPr>
          <w:p w14:paraId="60D58E34">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投标文件中评标标准相应的商务技术资料目录*</w:t>
            </w:r>
          </w:p>
        </w:tc>
      </w:tr>
      <w:tr w14:paraId="14F67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8" w:type="dxa"/>
            <w:vAlign w:val="center"/>
          </w:tcPr>
          <w:p w14:paraId="3D6D8809">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4587" w:type="dxa"/>
            <w:vAlign w:val="center"/>
          </w:tcPr>
          <w:p w14:paraId="71D95755">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符合明确指标参数得20分。投标产品关键技术指标（标有“▲”的指标）需要重点满足，不满足作为负偏离每项扣3分；对非关键的性能指标及技术参数属负偏离或缺漏项的每项扣2分，扣完为止。</w:t>
            </w:r>
          </w:p>
          <w:p w14:paraId="71962C21">
            <w:pPr>
              <w:keepNext w:val="0"/>
              <w:keepLines w:val="0"/>
              <w:suppressLineNumbers w:val="0"/>
              <w:spacing w:before="0" w:beforeAutospacing="0" w:after="0" w:afterAutospacing="0" w:line="360" w:lineRule="auto"/>
              <w:ind w:left="0" w:right="0"/>
              <w:rPr>
                <w:rFonts w:hint="eastAsia"/>
                <w:color w:val="auto"/>
                <w:highlight w:val="none"/>
                <w:lang w:val="en-US" w:eastAsia="zh-CN"/>
              </w:rPr>
            </w:pPr>
            <w:r>
              <w:rPr>
                <w:rFonts w:hint="eastAsia" w:ascii="宋体" w:hAnsi="宋体" w:eastAsia="宋体" w:cs="宋体"/>
                <w:b/>
                <w:bCs/>
                <w:color w:val="auto"/>
                <w:kern w:val="2"/>
                <w:sz w:val="24"/>
                <w:szCs w:val="24"/>
                <w:highlight w:val="none"/>
                <w:lang w:val="en-US" w:eastAsia="zh-CN" w:bidi="ar-SA"/>
              </w:rPr>
              <w:t>以上需按招标文件采购需求提供相关证明材料。</w:t>
            </w:r>
          </w:p>
        </w:tc>
        <w:tc>
          <w:tcPr>
            <w:tcW w:w="812" w:type="dxa"/>
            <w:vAlign w:val="center"/>
          </w:tcPr>
          <w:p w14:paraId="2DA3E895">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c>
          <w:tcPr>
            <w:tcW w:w="1025" w:type="dxa"/>
            <w:vAlign w:val="center"/>
          </w:tcPr>
          <w:p w14:paraId="7974B1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191" w:type="dxa"/>
            <w:vAlign w:val="center"/>
          </w:tcPr>
          <w:p w14:paraId="6323FF9B">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default" w:ascii="宋体" w:hAnsi="宋体" w:eastAsia="宋体" w:cs="宋体"/>
                <w:color w:val="auto"/>
                <w:sz w:val="24"/>
                <w:szCs w:val="24"/>
                <w:highlight w:val="none"/>
                <w:lang w:val="en-US" w:eastAsia="zh-CN"/>
              </w:rPr>
            </w:pPr>
          </w:p>
        </w:tc>
      </w:tr>
      <w:tr w14:paraId="7F6D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13EED663">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4587" w:type="dxa"/>
            <w:vAlign w:val="center"/>
          </w:tcPr>
          <w:p w14:paraId="782CDF84">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根对性能指标、技术参数属正偏或高配的、有先进程度的正偏离每项加1分，无实质性意义的正偏离不加分，最高得6分。</w:t>
            </w:r>
          </w:p>
        </w:tc>
        <w:tc>
          <w:tcPr>
            <w:tcW w:w="812" w:type="dxa"/>
            <w:vAlign w:val="center"/>
          </w:tcPr>
          <w:p w14:paraId="2FD339D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025" w:type="dxa"/>
            <w:vAlign w:val="center"/>
          </w:tcPr>
          <w:p w14:paraId="62C4FDE8">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客</w:t>
            </w:r>
            <w:r>
              <w:rPr>
                <w:rFonts w:hint="eastAsia" w:ascii="宋体" w:hAnsi="宋体" w:eastAsia="宋体" w:cs="宋体"/>
                <w:color w:val="auto"/>
                <w:sz w:val="24"/>
                <w:szCs w:val="24"/>
                <w:highlight w:val="none"/>
                <w:lang w:val="en-US" w:eastAsia="zh-CN"/>
              </w:rPr>
              <w:t>观分</w:t>
            </w:r>
          </w:p>
        </w:tc>
        <w:tc>
          <w:tcPr>
            <w:tcW w:w="1191" w:type="dxa"/>
            <w:vAlign w:val="center"/>
          </w:tcPr>
          <w:p w14:paraId="1080798D">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default" w:ascii="宋体" w:hAnsi="宋体" w:eastAsia="宋体" w:cs="宋体"/>
                <w:color w:val="auto"/>
                <w:sz w:val="24"/>
                <w:szCs w:val="24"/>
                <w:highlight w:val="none"/>
                <w:lang w:val="en-US" w:eastAsia="zh-CN"/>
              </w:rPr>
            </w:pPr>
          </w:p>
        </w:tc>
      </w:tr>
      <w:tr w14:paraId="723F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4847B29D">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4587" w:type="dxa"/>
            <w:vAlign w:val="center"/>
          </w:tcPr>
          <w:p w14:paraId="5950732F">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投标人针对项目提出合理化建议与增值服务进行评分，最高</w:t>
            </w:r>
            <w:r>
              <w:rPr>
                <w:rFonts w:hint="eastAsia" w:ascii="宋体" w:hAnsi="宋体" w:cs="宋体"/>
                <w:color w:val="auto"/>
                <w:kern w:val="2"/>
                <w:sz w:val="24"/>
                <w:szCs w:val="24"/>
                <w:highlight w:val="none"/>
                <w:lang w:val="en-US" w:eastAsia="zh-CN" w:bidi="ar-SA"/>
              </w:rPr>
              <w:t>得</w:t>
            </w:r>
            <w:r>
              <w:rPr>
                <w:rFonts w:hint="eastAsia" w:ascii="宋体" w:hAnsi="宋体" w:eastAsia="宋体" w:cs="宋体"/>
                <w:color w:val="auto"/>
                <w:kern w:val="2"/>
                <w:sz w:val="24"/>
                <w:szCs w:val="24"/>
                <w:highlight w:val="none"/>
                <w:lang w:val="en-US" w:eastAsia="zh-CN" w:bidi="ar-SA"/>
              </w:rPr>
              <w:t>2分。</w:t>
            </w:r>
          </w:p>
        </w:tc>
        <w:tc>
          <w:tcPr>
            <w:tcW w:w="812" w:type="dxa"/>
            <w:vAlign w:val="center"/>
          </w:tcPr>
          <w:p w14:paraId="3B2C27C3">
            <w:pPr>
              <w:keepNext w:val="0"/>
              <w:keepLines w:val="0"/>
              <w:suppressLineNumbers w:val="0"/>
              <w:spacing w:before="0" w:beforeAutospacing="0" w:after="0" w:afterAutospacing="0" w:line="360" w:lineRule="auto"/>
              <w:ind w:left="0" w:right="0"/>
              <w:jc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color w:val="auto"/>
                <w:sz w:val="24"/>
                <w:szCs w:val="24"/>
                <w:highlight w:val="none"/>
                <w:lang w:val="en-US" w:eastAsia="zh-CN"/>
              </w:rPr>
              <w:t>2</w:t>
            </w:r>
          </w:p>
        </w:tc>
        <w:tc>
          <w:tcPr>
            <w:tcW w:w="1025" w:type="dxa"/>
            <w:vAlign w:val="center"/>
          </w:tcPr>
          <w:p w14:paraId="51AB8CA7">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w:t>
            </w:r>
            <w:r>
              <w:rPr>
                <w:rFonts w:hint="eastAsia" w:ascii="宋体" w:hAnsi="宋体" w:eastAsia="宋体" w:cs="宋体"/>
                <w:color w:val="auto"/>
                <w:sz w:val="24"/>
                <w:szCs w:val="24"/>
                <w:highlight w:val="none"/>
                <w:lang w:val="en-US" w:eastAsia="zh-CN"/>
              </w:rPr>
              <w:t>观分</w:t>
            </w:r>
          </w:p>
        </w:tc>
        <w:tc>
          <w:tcPr>
            <w:tcW w:w="1191" w:type="dxa"/>
            <w:vAlign w:val="center"/>
          </w:tcPr>
          <w:p w14:paraId="06BFDF2D">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auto"/>
              <w:rPr>
                <w:rFonts w:hint="eastAsia" w:ascii="宋体" w:hAnsi="宋体" w:eastAsia="宋体" w:cs="宋体"/>
                <w:color w:val="auto"/>
                <w:kern w:val="2"/>
                <w:sz w:val="24"/>
                <w:szCs w:val="24"/>
                <w:highlight w:val="none"/>
                <w:lang w:val="en-US" w:eastAsia="zh-CN" w:bidi="ar-SA"/>
              </w:rPr>
            </w:pPr>
          </w:p>
        </w:tc>
      </w:tr>
      <w:tr w14:paraId="49584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3" w:hRule="atLeast"/>
        </w:trPr>
        <w:tc>
          <w:tcPr>
            <w:tcW w:w="1078" w:type="dxa"/>
            <w:vAlign w:val="center"/>
          </w:tcPr>
          <w:p w14:paraId="36978BB0">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4587" w:type="dxa"/>
            <w:vAlign w:val="center"/>
          </w:tcPr>
          <w:p w14:paraId="7E8128E3">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整车制造商已投入整车阴极电泳设备和技术，承诺全金属车身并采用整车阴极电泳技术，终身免费维护的，得3分。（提供电泳设备采购合同的复印件并加盖整车制造商公章及承诺书，未提供或提供不全的得分不予计取。）</w:t>
            </w:r>
          </w:p>
        </w:tc>
        <w:tc>
          <w:tcPr>
            <w:tcW w:w="812" w:type="dxa"/>
            <w:vAlign w:val="center"/>
          </w:tcPr>
          <w:p w14:paraId="1D34F38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1025" w:type="dxa"/>
            <w:vAlign w:val="center"/>
          </w:tcPr>
          <w:p w14:paraId="24A5D650">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客</w:t>
            </w:r>
            <w:r>
              <w:rPr>
                <w:rFonts w:hint="eastAsia" w:ascii="宋体" w:hAnsi="宋体" w:eastAsia="宋体" w:cs="宋体"/>
                <w:color w:val="auto"/>
                <w:sz w:val="24"/>
                <w:szCs w:val="24"/>
                <w:highlight w:val="none"/>
                <w:lang w:val="en-US" w:eastAsia="zh-CN"/>
              </w:rPr>
              <w:t>观分</w:t>
            </w:r>
          </w:p>
        </w:tc>
        <w:tc>
          <w:tcPr>
            <w:tcW w:w="1191" w:type="dxa"/>
            <w:vAlign w:val="center"/>
          </w:tcPr>
          <w:p w14:paraId="14D42F30">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r>
      <w:tr w14:paraId="26C3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0E4AE295">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5</w:t>
            </w:r>
          </w:p>
        </w:tc>
        <w:tc>
          <w:tcPr>
            <w:tcW w:w="4587" w:type="dxa"/>
            <w:vAlign w:val="center"/>
          </w:tcPr>
          <w:p w14:paraId="77702EFB">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根据投标人提供的投标车辆公告显示燃油消耗值，以公告显示从低到高，有效投标人中排名前四名分别</w:t>
            </w:r>
            <w:r>
              <w:rPr>
                <w:rFonts w:hint="eastAsia" w:ascii="宋体" w:hAnsi="宋体" w:cs="宋体"/>
                <w:color w:val="auto"/>
                <w:kern w:val="2"/>
                <w:sz w:val="24"/>
                <w:szCs w:val="24"/>
                <w:highlight w:val="none"/>
                <w:lang w:val="en-US" w:eastAsia="zh-CN" w:bidi="ar-SA"/>
              </w:rPr>
              <w:t>得</w:t>
            </w:r>
            <w:r>
              <w:rPr>
                <w:rFonts w:hint="eastAsia" w:ascii="宋体" w:hAnsi="宋体" w:eastAsia="宋体" w:cs="宋体"/>
                <w:color w:val="auto"/>
                <w:kern w:val="2"/>
                <w:sz w:val="24"/>
                <w:szCs w:val="24"/>
                <w:highlight w:val="none"/>
                <w:lang w:val="en-US" w:eastAsia="zh-CN" w:bidi="ar-SA"/>
              </w:rPr>
              <w:t>1分、0.75分、0.5分、0.25分，其</w:t>
            </w:r>
            <w:r>
              <w:rPr>
                <w:rFonts w:hint="eastAsia" w:ascii="宋体" w:hAnsi="宋体" w:cs="宋体"/>
                <w:color w:val="auto"/>
                <w:kern w:val="2"/>
                <w:sz w:val="24"/>
                <w:szCs w:val="24"/>
                <w:highlight w:val="none"/>
                <w:lang w:val="en-US" w:eastAsia="zh-CN" w:bidi="ar-SA"/>
              </w:rPr>
              <w:t>余</w:t>
            </w:r>
            <w:r>
              <w:rPr>
                <w:rFonts w:hint="eastAsia" w:ascii="宋体" w:hAnsi="宋体" w:eastAsia="宋体" w:cs="宋体"/>
                <w:color w:val="auto"/>
                <w:kern w:val="2"/>
                <w:sz w:val="24"/>
                <w:szCs w:val="24"/>
                <w:highlight w:val="none"/>
                <w:lang w:val="en-US" w:eastAsia="zh-CN" w:bidi="ar-SA"/>
              </w:rPr>
              <w:t>得0分。</w:t>
            </w:r>
          </w:p>
          <w:p w14:paraId="1DCF413D">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注：标书中提供产品公告显示的油耗值为依据。</w:t>
            </w:r>
          </w:p>
        </w:tc>
        <w:tc>
          <w:tcPr>
            <w:tcW w:w="812" w:type="dxa"/>
            <w:vAlign w:val="center"/>
          </w:tcPr>
          <w:p w14:paraId="62D540F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w:t>
            </w:r>
          </w:p>
        </w:tc>
        <w:tc>
          <w:tcPr>
            <w:tcW w:w="1025" w:type="dxa"/>
            <w:vAlign w:val="center"/>
          </w:tcPr>
          <w:p w14:paraId="58D1B7BA">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客</w:t>
            </w:r>
            <w:r>
              <w:rPr>
                <w:rFonts w:hint="eastAsia" w:ascii="宋体" w:hAnsi="宋体" w:eastAsia="宋体" w:cs="宋体"/>
                <w:color w:val="auto"/>
                <w:sz w:val="24"/>
                <w:szCs w:val="24"/>
                <w:highlight w:val="none"/>
                <w:lang w:val="en-US" w:eastAsia="zh-CN"/>
              </w:rPr>
              <w:t>观分</w:t>
            </w:r>
          </w:p>
        </w:tc>
        <w:tc>
          <w:tcPr>
            <w:tcW w:w="1191" w:type="dxa"/>
            <w:vAlign w:val="center"/>
          </w:tcPr>
          <w:p w14:paraId="1961F128">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r>
      <w:tr w14:paraId="55F1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3FFA3ACA">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6</w:t>
            </w:r>
          </w:p>
        </w:tc>
        <w:tc>
          <w:tcPr>
            <w:tcW w:w="4587" w:type="dxa"/>
            <w:vAlign w:val="center"/>
          </w:tcPr>
          <w:p w14:paraId="3479C258">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车辆外观与内饰：外观美观大方，经典耐看，维修简便、材料轻量化、操作简便、内饰材料耐脏易清洗布置合理、色彩搭配柔和、人性化设计等，[</w:t>
            </w:r>
            <w:r>
              <w:rPr>
                <w:rFonts w:hint="eastAsia" w:ascii="宋体" w:hAnsi="宋体" w:cs="宋体"/>
                <w:color w:val="auto"/>
                <w:kern w:val="2"/>
                <w:sz w:val="24"/>
                <w:szCs w:val="24"/>
                <w:highlight w:val="none"/>
                <w:lang w:val="en-US" w:eastAsia="zh-CN" w:bidi="ar-SA"/>
              </w:rPr>
              <w:t>需</w:t>
            </w:r>
            <w:r>
              <w:rPr>
                <w:rFonts w:hint="eastAsia" w:ascii="宋体" w:hAnsi="宋体" w:eastAsia="宋体" w:cs="宋体"/>
                <w:color w:val="auto"/>
                <w:kern w:val="2"/>
                <w:sz w:val="24"/>
                <w:szCs w:val="24"/>
                <w:highlight w:val="none"/>
                <w:lang w:val="en-US" w:eastAsia="zh-CN" w:bidi="ar-SA"/>
              </w:rPr>
              <w:t>提供车辆外型图片（左前、右前、正前、正后、左侧、右侧）、内部图片（驾驶区、仪表台、上下客区、乘客区）、各仓、检修工艺门彩色图片各一张]由评委进行打分，最高得5分。</w:t>
            </w:r>
          </w:p>
        </w:tc>
        <w:tc>
          <w:tcPr>
            <w:tcW w:w="812" w:type="dxa"/>
            <w:vAlign w:val="center"/>
          </w:tcPr>
          <w:p w14:paraId="2886293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5</w:t>
            </w:r>
          </w:p>
        </w:tc>
        <w:tc>
          <w:tcPr>
            <w:tcW w:w="1025" w:type="dxa"/>
            <w:vAlign w:val="center"/>
          </w:tcPr>
          <w:p w14:paraId="2D5D009B">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color w:val="auto"/>
                <w:kern w:val="2"/>
                <w:sz w:val="24"/>
                <w:szCs w:val="24"/>
                <w:highlight w:val="none"/>
                <w:lang w:val="en-US" w:eastAsia="zh-Hans" w:bidi="ar-SA"/>
              </w:rPr>
            </w:pPr>
            <w:r>
              <w:rPr>
                <w:rFonts w:hint="eastAsia" w:ascii="宋体" w:hAnsi="宋体" w:cs="宋体"/>
                <w:color w:val="auto"/>
                <w:sz w:val="24"/>
                <w:szCs w:val="24"/>
                <w:highlight w:val="none"/>
                <w:lang w:val="en-US" w:eastAsia="zh-CN"/>
              </w:rPr>
              <w:t>主</w:t>
            </w:r>
            <w:r>
              <w:rPr>
                <w:rFonts w:hint="eastAsia" w:ascii="宋体" w:hAnsi="宋体" w:eastAsia="宋体" w:cs="宋体"/>
                <w:color w:val="auto"/>
                <w:sz w:val="24"/>
                <w:szCs w:val="24"/>
                <w:highlight w:val="none"/>
                <w:lang w:val="en-US" w:eastAsia="zh-CN"/>
              </w:rPr>
              <w:t>观分</w:t>
            </w:r>
          </w:p>
        </w:tc>
        <w:tc>
          <w:tcPr>
            <w:tcW w:w="1191" w:type="dxa"/>
            <w:vAlign w:val="center"/>
          </w:tcPr>
          <w:p w14:paraId="40CDA02C">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color w:val="auto"/>
                <w:kern w:val="2"/>
                <w:sz w:val="24"/>
                <w:szCs w:val="24"/>
                <w:highlight w:val="none"/>
                <w:lang w:val="en-US" w:eastAsia="zh-CN" w:bidi="ar-SA"/>
              </w:rPr>
            </w:pPr>
          </w:p>
        </w:tc>
      </w:tr>
      <w:tr w14:paraId="0AD83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1078" w:type="dxa"/>
            <w:vAlign w:val="center"/>
          </w:tcPr>
          <w:p w14:paraId="5E693564">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7</w:t>
            </w:r>
          </w:p>
        </w:tc>
        <w:tc>
          <w:tcPr>
            <w:tcW w:w="4587" w:type="dxa"/>
            <w:vAlign w:val="center"/>
          </w:tcPr>
          <w:p w14:paraId="2E2376EE">
            <w:pPr>
              <w:keepNext w:val="0"/>
              <w:keepLines w:val="0"/>
              <w:suppressLineNumbers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据投标人提供的实施方案（包含实施计划、供货方案、人员安排、质量管理等）</w:t>
            </w:r>
            <w:r>
              <w:rPr>
                <w:rFonts w:hint="eastAsia" w:ascii="宋体" w:hAnsi="宋体" w:cs="宋体"/>
                <w:color w:val="auto"/>
                <w:kern w:val="2"/>
                <w:sz w:val="24"/>
                <w:szCs w:val="24"/>
                <w:highlight w:val="none"/>
                <w:lang w:val="en-US" w:eastAsia="zh-CN" w:bidi="ar-SA"/>
              </w:rPr>
              <w:t>根据</w:t>
            </w:r>
            <w:r>
              <w:rPr>
                <w:rFonts w:hint="eastAsia" w:ascii="宋体" w:hAnsi="宋体" w:eastAsia="宋体" w:cs="宋体"/>
                <w:color w:val="auto"/>
                <w:kern w:val="2"/>
                <w:sz w:val="24"/>
                <w:szCs w:val="24"/>
                <w:highlight w:val="none"/>
                <w:lang w:val="en-US" w:eastAsia="zh-CN" w:bidi="ar-SA"/>
              </w:rPr>
              <w:t>完整性、合理性和科学性等进行打分，</w:t>
            </w:r>
            <w:r>
              <w:rPr>
                <w:rFonts w:hint="eastAsia" w:ascii="宋体" w:hAnsi="宋体" w:cs="宋体"/>
                <w:color w:val="auto"/>
                <w:kern w:val="2"/>
                <w:sz w:val="24"/>
                <w:szCs w:val="24"/>
                <w:highlight w:val="none"/>
                <w:lang w:val="en-US" w:eastAsia="zh-CN" w:bidi="ar-SA"/>
              </w:rPr>
              <w:t>每项得1分，</w:t>
            </w:r>
            <w:r>
              <w:rPr>
                <w:rFonts w:hint="eastAsia" w:ascii="宋体" w:hAnsi="宋体" w:eastAsia="宋体" w:cs="宋体"/>
                <w:color w:val="auto"/>
                <w:kern w:val="2"/>
                <w:sz w:val="24"/>
                <w:szCs w:val="24"/>
                <w:highlight w:val="none"/>
                <w:lang w:val="en-US" w:eastAsia="zh-CN" w:bidi="ar-SA"/>
              </w:rPr>
              <w:t>最高得5分。</w:t>
            </w:r>
          </w:p>
        </w:tc>
        <w:tc>
          <w:tcPr>
            <w:tcW w:w="812" w:type="dxa"/>
            <w:vAlign w:val="center"/>
          </w:tcPr>
          <w:p w14:paraId="1B4C984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025" w:type="dxa"/>
            <w:vAlign w:val="center"/>
          </w:tcPr>
          <w:p w14:paraId="3CF38991">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w:t>
            </w:r>
            <w:r>
              <w:rPr>
                <w:rFonts w:hint="eastAsia" w:ascii="宋体" w:hAnsi="宋体" w:eastAsia="宋体" w:cs="宋体"/>
                <w:color w:val="auto"/>
                <w:sz w:val="24"/>
                <w:szCs w:val="24"/>
                <w:highlight w:val="none"/>
                <w:lang w:val="en-US" w:eastAsia="zh-CN"/>
              </w:rPr>
              <w:t>观分</w:t>
            </w:r>
          </w:p>
        </w:tc>
        <w:tc>
          <w:tcPr>
            <w:tcW w:w="1191" w:type="dxa"/>
            <w:vAlign w:val="center"/>
          </w:tcPr>
          <w:p w14:paraId="57397598">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color w:val="auto"/>
                <w:kern w:val="2"/>
                <w:sz w:val="24"/>
                <w:szCs w:val="24"/>
                <w:highlight w:val="none"/>
                <w:lang w:val="en-US" w:eastAsia="zh-CN" w:bidi="ar-SA"/>
              </w:rPr>
            </w:pPr>
          </w:p>
        </w:tc>
      </w:tr>
      <w:tr w14:paraId="2851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8" w:type="dxa"/>
            <w:vAlign w:val="center"/>
          </w:tcPr>
          <w:p w14:paraId="27E7E5B8">
            <w:pPr>
              <w:keepNext w:val="0"/>
              <w:keepLines w:val="0"/>
              <w:pageBreakBefore w:val="0"/>
              <w:suppressLineNumbers w:val="0"/>
              <w:kinsoku/>
              <w:wordWrap/>
              <w:overflowPunct/>
              <w:topLinePunct w:val="0"/>
              <w:autoSpaceDE/>
              <w:autoSpaceDN/>
              <w:bidi w:val="0"/>
              <w:spacing w:before="0" w:beforeAutospacing="0" w:after="0" w:afterAutospacing="0" w:line="440" w:lineRule="exact"/>
              <w:ind w:left="0" w:leftChars="0" w:right="0" w:rightChars="0"/>
              <w:jc w:val="center"/>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8</w:t>
            </w:r>
          </w:p>
        </w:tc>
        <w:tc>
          <w:tcPr>
            <w:tcW w:w="4587" w:type="dxa"/>
            <w:vAlign w:val="center"/>
          </w:tcPr>
          <w:p w14:paraId="22199595">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根据</w:t>
            </w:r>
            <w:r>
              <w:rPr>
                <w:rFonts w:hint="eastAsia" w:ascii="宋体" w:hAnsi="宋体" w:eastAsia="宋体" w:cs="宋体"/>
                <w:color w:val="auto"/>
                <w:kern w:val="2"/>
                <w:sz w:val="24"/>
                <w:szCs w:val="24"/>
                <w:highlight w:val="none"/>
                <w:lang w:val="en-US" w:eastAsia="zh-CN" w:bidi="ar-SA"/>
              </w:rPr>
              <w:t>所投类型车辆，用户反馈情况打分，一个案例得1分，最高得4分。（</w:t>
            </w:r>
            <w:r>
              <w:rPr>
                <w:rFonts w:hint="eastAsia" w:ascii="宋体" w:hAnsi="宋体" w:cs="宋体"/>
                <w:color w:val="auto"/>
                <w:kern w:val="2"/>
                <w:sz w:val="24"/>
                <w:szCs w:val="24"/>
                <w:highlight w:val="none"/>
                <w:lang w:val="en-US" w:eastAsia="zh-CN" w:bidi="ar-SA"/>
              </w:rPr>
              <w:t>需</w:t>
            </w:r>
            <w:r>
              <w:rPr>
                <w:rFonts w:hint="eastAsia" w:ascii="宋体" w:hAnsi="宋体" w:eastAsia="宋体" w:cs="宋体"/>
                <w:color w:val="auto"/>
                <w:kern w:val="2"/>
                <w:sz w:val="24"/>
                <w:szCs w:val="24"/>
                <w:highlight w:val="none"/>
                <w:lang w:val="en-US" w:eastAsia="zh-CN" w:bidi="ar-SA"/>
              </w:rPr>
              <w:t>提供用户反馈相关证明材料</w:t>
            </w:r>
            <w:r>
              <w:rPr>
                <w:rFonts w:hint="eastAsia" w:ascii="宋体" w:hAnsi="宋体" w:cs="宋体"/>
                <w:color w:val="auto"/>
                <w:kern w:val="2"/>
                <w:sz w:val="24"/>
                <w:szCs w:val="24"/>
                <w:highlight w:val="none"/>
                <w:lang w:val="en-US" w:eastAsia="zh-CN" w:bidi="ar-SA"/>
              </w:rPr>
              <w:t>并盖章</w:t>
            </w:r>
            <w:r>
              <w:rPr>
                <w:rFonts w:hint="eastAsia" w:ascii="宋体" w:hAnsi="宋体" w:eastAsia="宋体" w:cs="宋体"/>
                <w:color w:val="auto"/>
                <w:kern w:val="2"/>
                <w:sz w:val="24"/>
                <w:szCs w:val="24"/>
                <w:highlight w:val="none"/>
                <w:lang w:val="en-US" w:eastAsia="zh-CN" w:bidi="ar-SA"/>
              </w:rPr>
              <w:t>，相同单位出具的用户反馈材料</w:t>
            </w:r>
            <w:r>
              <w:rPr>
                <w:rFonts w:hint="eastAsia" w:ascii="宋体" w:hAnsi="宋体" w:cs="宋体"/>
                <w:color w:val="auto"/>
                <w:kern w:val="2"/>
                <w:sz w:val="24"/>
                <w:szCs w:val="24"/>
                <w:highlight w:val="none"/>
                <w:lang w:val="en-US" w:eastAsia="zh-CN" w:bidi="ar-SA"/>
              </w:rPr>
              <w:t>不重复</w:t>
            </w:r>
            <w:r>
              <w:rPr>
                <w:rFonts w:hint="eastAsia" w:ascii="宋体" w:hAnsi="宋体" w:eastAsia="宋体" w:cs="宋体"/>
                <w:color w:val="auto"/>
                <w:kern w:val="2"/>
                <w:sz w:val="24"/>
                <w:szCs w:val="24"/>
                <w:highlight w:val="none"/>
                <w:lang w:val="en-US" w:eastAsia="zh-CN" w:bidi="ar-SA"/>
              </w:rPr>
              <w:t>计取。）</w:t>
            </w:r>
          </w:p>
        </w:tc>
        <w:tc>
          <w:tcPr>
            <w:tcW w:w="812" w:type="dxa"/>
            <w:vAlign w:val="center"/>
          </w:tcPr>
          <w:p w14:paraId="27D70A6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025" w:type="dxa"/>
            <w:vAlign w:val="center"/>
          </w:tcPr>
          <w:p w14:paraId="164362FC">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客</w:t>
            </w:r>
            <w:r>
              <w:rPr>
                <w:rFonts w:hint="eastAsia" w:ascii="宋体" w:hAnsi="宋体" w:eastAsia="宋体" w:cs="宋体"/>
                <w:color w:val="auto"/>
                <w:sz w:val="24"/>
                <w:szCs w:val="24"/>
                <w:highlight w:val="none"/>
                <w:lang w:val="en-US" w:eastAsia="zh-CN"/>
              </w:rPr>
              <w:t>观分</w:t>
            </w:r>
          </w:p>
        </w:tc>
        <w:tc>
          <w:tcPr>
            <w:tcW w:w="1191" w:type="dxa"/>
            <w:vAlign w:val="center"/>
          </w:tcPr>
          <w:p w14:paraId="68776043">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r>
      <w:tr w14:paraId="266F4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078" w:type="dxa"/>
            <w:vAlign w:val="center"/>
          </w:tcPr>
          <w:p w14:paraId="7AB2E8F3">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9</w:t>
            </w:r>
          </w:p>
        </w:tc>
        <w:tc>
          <w:tcPr>
            <w:tcW w:w="4587" w:type="dxa"/>
            <w:vAlign w:val="center"/>
          </w:tcPr>
          <w:p w14:paraId="6CCA908C">
            <w:pPr>
              <w:keepNext w:val="0"/>
              <w:keepLines w:val="0"/>
              <w:suppressLineNumbers w:val="0"/>
              <w:spacing w:before="0" w:beforeAutospacing="0" w:after="0" w:afterAutospacing="0" w:line="360" w:lineRule="auto"/>
              <w:ind w:left="0" w:right="0"/>
              <w:outlineLvl w:val="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none"/>
                <w:lang w:val="en-US" w:eastAsia="zh-CN"/>
              </w:rPr>
              <w:t>投标人或整车制造商投标前在建德市范围内设有售后服务网点的得2分；投标前在杭州市范围内设有售后服务网点的得1分；投标前未在杭州市范围内设有售后服务网点的不得分。</w:t>
            </w:r>
          </w:p>
        </w:tc>
        <w:tc>
          <w:tcPr>
            <w:tcW w:w="812" w:type="dxa"/>
            <w:vAlign w:val="center"/>
          </w:tcPr>
          <w:p w14:paraId="55FE6630">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2</w:t>
            </w:r>
          </w:p>
        </w:tc>
        <w:tc>
          <w:tcPr>
            <w:tcW w:w="1025" w:type="dxa"/>
            <w:vAlign w:val="center"/>
          </w:tcPr>
          <w:p w14:paraId="284E3006">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w:t>
            </w:r>
            <w:r>
              <w:rPr>
                <w:rFonts w:hint="eastAsia" w:ascii="宋体" w:hAnsi="宋体" w:eastAsia="宋体" w:cs="宋体"/>
                <w:color w:val="auto"/>
                <w:sz w:val="24"/>
                <w:szCs w:val="24"/>
                <w:highlight w:val="none"/>
                <w:lang w:val="en-US" w:eastAsia="zh-CN"/>
              </w:rPr>
              <w:t>观分</w:t>
            </w:r>
          </w:p>
        </w:tc>
        <w:tc>
          <w:tcPr>
            <w:tcW w:w="1191" w:type="dxa"/>
            <w:vAlign w:val="center"/>
          </w:tcPr>
          <w:p w14:paraId="70522179">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r>
      <w:tr w14:paraId="5CA5E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078" w:type="dxa"/>
            <w:vAlign w:val="center"/>
          </w:tcPr>
          <w:p w14:paraId="1275C14F">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10</w:t>
            </w:r>
          </w:p>
        </w:tc>
        <w:tc>
          <w:tcPr>
            <w:tcW w:w="4587" w:type="dxa"/>
            <w:vAlign w:val="center"/>
          </w:tcPr>
          <w:p w14:paraId="7CF7A915">
            <w:pPr>
              <w:keepNext w:val="0"/>
              <w:keepLines w:val="0"/>
              <w:suppressLineNumbers w:val="0"/>
              <w:spacing w:before="0" w:beforeAutospacing="0" w:after="0" w:afterAutospacing="0" w:line="360" w:lineRule="auto"/>
              <w:ind w:left="0" w:right="0"/>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根据售</w:t>
            </w:r>
            <w:r>
              <w:rPr>
                <w:rFonts w:hint="eastAsia" w:ascii="宋体" w:hAnsi="宋体" w:eastAsia="宋体" w:cs="宋体"/>
                <w:color w:val="auto"/>
                <w:sz w:val="24"/>
                <w:szCs w:val="24"/>
                <w:highlight w:val="none"/>
              </w:rPr>
              <w:t>后服务方案、项目维护计划（对用户故障的响应、处理、定期巡检等情况）</w:t>
            </w:r>
            <w:r>
              <w:rPr>
                <w:rFonts w:hint="eastAsia" w:ascii="宋体" w:hAnsi="宋体" w:eastAsia="宋体" w:cs="宋体"/>
                <w:color w:val="auto"/>
                <w:sz w:val="24"/>
                <w:szCs w:val="24"/>
                <w:highlight w:val="none"/>
                <w:lang w:eastAsia="zh-CN"/>
              </w:rPr>
              <w:t>根据</w:t>
            </w:r>
            <w:r>
              <w:rPr>
                <w:rFonts w:hint="eastAsia" w:ascii="宋体" w:hAnsi="宋体" w:eastAsia="宋体" w:cs="宋体"/>
                <w:color w:val="auto"/>
                <w:sz w:val="24"/>
                <w:szCs w:val="24"/>
                <w:highlight w:val="none"/>
              </w:rPr>
              <w:t>有效性</w:t>
            </w:r>
            <w:r>
              <w:rPr>
                <w:rFonts w:hint="eastAsia" w:ascii="宋体" w:hAnsi="宋体" w:eastAsia="宋体" w:cs="宋体"/>
                <w:color w:val="auto"/>
                <w:sz w:val="24"/>
                <w:szCs w:val="24"/>
                <w:highlight w:val="none"/>
                <w:lang w:eastAsia="zh-CN"/>
              </w:rPr>
              <w:t>、可行性</w:t>
            </w:r>
            <w:r>
              <w:rPr>
                <w:rFonts w:hint="eastAsia" w:ascii="宋体" w:hAnsi="宋体" w:eastAsia="宋体" w:cs="宋体"/>
                <w:color w:val="auto"/>
                <w:sz w:val="24"/>
                <w:szCs w:val="24"/>
                <w:highlight w:val="none"/>
              </w:rPr>
              <w:t>等情况</w:t>
            </w:r>
            <w:r>
              <w:rPr>
                <w:rFonts w:hint="eastAsia" w:ascii="宋体" w:hAnsi="宋体" w:eastAsia="宋体" w:cs="宋体"/>
                <w:color w:val="auto"/>
                <w:sz w:val="24"/>
                <w:szCs w:val="24"/>
                <w:highlight w:val="none"/>
                <w:lang w:eastAsia="zh-CN"/>
              </w:rPr>
              <w:t>进行打分</w:t>
            </w:r>
            <w:r>
              <w:rPr>
                <w:rFonts w:hint="eastAsia" w:ascii="宋体" w:hAnsi="宋体" w:eastAsia="宋体" w:cs="宋体"/>
                <w:color w:val="auto"/>
                <w:sz w:val="24"/>
                <w:szCs w:val="24"/>
                <w:highlight w:val="none"/>
              </w:rPr>
              <w:t>，最高得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812" w:type="dxa"/>
            <w:vAlign w:val="center"/>
          </w:tcPr>
          <w:p w14:paraId="28DF43E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1025" w:type="dxa"/>
            <w:vAlign w:val="center"/>
          </w:tcPr>
          <w:p w14:paraId="6AD99DEA">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w:t>
            </w:r>
            <w:r>
              <w:rPr>
                <w:rFonts w:hint="eastAsia" w:ascii="宋体" w:hAnsi="宋体" w:eastAsia="宋体" w:cs="宋体"/>
                <w:color w:val="auto"/>
                <w:sz w:val="24"/>
                <w:szCs w:val="24"/>
                <w:highlight w:val="none"/>
                <w:lang w:val="en-US" w:eastAsia="zh-CN"/>
              </w:rPr>
              <w:t>观分</w:t>
            </w:r>
          </w:p>
        </w:tc>
        <w:tc>
          <w:tcPr>
            <w:tcW w:w="1191" w:type="dxa"/>
            <w:vAlign w:val="center"/>
          </w:tcPr>
          <w:p w14:paraId="651955E2">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r>
      <w:tr w14:paraId="2C71F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078" w:type="dxa"/>
            <w:shd w:val="clear" w:color="auto" w:fill="auto"/>
            <w:vAlign w:val="center"/>
          </w:tcPr>
          <w:p w14:paraId="19529ACD">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leftChars="0" w:right="0" w:right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11</w:t>
            </w:r>
          </w:p>
        </w:tc>
        <w:tc>
          <w:tcPr>
            <w:tcW w:w="4587" w:type="dxa"/>
            <w:shd w:val="clear" w:color="auto" w:fill="auto"/>
            <w:vAlign w:val="center"/>
          </w:tcPr>
          <w:p w14:paraId="3FA66BC3">
            <w:pPr>
              <w:keepNext w:val="0"/>
              <w:keepLines w:val="0"/>
              <w:suppressLineNumbers w:val="0"/>
              <w:spacing w:before="0" w:beforeAutospacing="0" w:after="0" w:afterAutospacing="0" w:line="360" w:lineRule="auto"/>
              <w:ind w:left="0" w:right="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根据投标人对投标车型配件优惠程度进行打分，最高得2分。</w:t>
            </w:r>
          </w:p>
        </w:tc>
        <w:tc>
          <w:tcPr>
            <w:tcW w:w="812" w:type="dxa"/>
            <w:shd w:val="clear" w:color="auto" w:fill="auto"/>
            <w:vAlign w:val="center"/>
          </w:tcPr>
          <w:p w14:paraId="252C93C2">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w:t>
            </w:r>
          </w:p>
        </w:tc>
        <w:tc>
          <w:tcPr>
            <w:tcW w:w="1025" w:type="dxa"/>
            <w:shd w:val="clear" w:color="auto" w:fill="auto"/>
            <w:vAlign w:val="center"/>
          </w:tcPr>
          <w:p w14:paraId="0AEE8306">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主</w:t>
            </w:r>
            <w:r>
              <w:rPr>
                <w:rFonts w:hint="eastAsia" w:ascii="宋体" w:hAnsi="宋体" w:eastAsia="宋体" w:cs="宋体"/>
                <w:color w:val="auto"/>
                <w:sz w:val="24"/>
                <w:szCs w:val="24"/>
                <w:highlight w:val="none"/>
                <w:lang w:val="en-US" w:eastAsia="zh-CN"/>
              </w:rPr>
              <w:t>观分</w:t>
            </w:r>
          </w:p>
        </w:tc>
        <w:tc>
          <w:tcPr>
            <w:tcW w:w="1191" w:type="dxa"/>
            <w:vAlign w:val="center"/>
          </w:tcPr>
          <w:p w14:paraId="578813CA">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r>
      <w:tr w14:paraId="246F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078" w:type="dxa"/>
            <w:shd w:val="clear" w:color="auto" w:fill="auto"/>
            <w:vAlign w:val="center"/>
          </w:tcPr>
          <w:p w14:paraId="7CB36E40">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leftChars="0" w:right="0" w:rightChars="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12</w:t>
            </w:r>
          </w:p>
        </w:tc>
        <w:tc>
          <w:tcPr>
            <w:tcW w:w="4587" w:type="dxa"/>
            <w:shd w:val="clear" w:color="auto" w:fill="auto"/>
            <w:vAlign w:val="center"/>
          </w:tcPr>
          <w:p w14:paraId="013436C9">
            <w:pPr>
              <w:keepNext w:val="0"/>
              <w:keepLines w:val="0"/>
              <w:suppressLineNumbers w:val="0"/>
              <w:spacing w:before="0" w:beforeAutospacing="0" w:after="0" w:afterAutospacing="0" w:line="360" w:lineRule="auto"/>
              <w:ind w:left="0" w:right="0"/>
              <w:outlineLvl w:val="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根据质保期进行打分：</w:t>
            </w:r>
          </w:p>
          <w:p w14:paraId="41453780">
            <w:pPr>
              <w:keepNext w:val="0"/>
              <w:keepLines w:val="0"/>
              <w:suppressLineNumbers w:val="0"/>
              <w:spacing w:before="0" w:beforeAutospacing="0" w:after="0" w:afterAutospacing="0" w:line="360" w:lineRule="auto"/>
              <w:ind w:left="0" w:right="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整车质保5年；润滑装置质保8年；冷空调质保8年的不得分，整车、润滑装置、冷空调相应全部增加1年得1分，最高得3分。</w:t>
            </w:r>
          </w:p>
        </w:tc>
        <w:tc>
          <w:tcPr>
            <w:tcW w:w="812" w:type="dxa"/>
            <w:shd w:val="clear" w:color="auto" w:fill="auto"/>
            <w:vAlign w:val="center"/>
          </w:tcPr>
          <w:p w14:paraId="1519BBE3">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w:t>
            </w:r>
          </w:p>
        </w:tc>
        <w:tc>
          <w:tcPr>
            <w:tcW w:w="1025" w:type="dxa"/>
            <w:shd w:val="clear" w:color="auto" w:fill="auto"/>
            <w:vAlign w:val="center"/>
          </w:tcPr>
          <w:p w14:paraId="5733D00C">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客</w:t>
            </w:r>
            <w:r>
              <w:rPr>
                <w:rFonts w:hint="eastAsia" w:ascii="宋体" w:hAnsi="宋体" w:eastAsia="宋体" w:cs="宋体"/>
                <w:color w:val="auto"/>
                <w:sz w:val="24"/>
                <w:szCs w:val="24"/>
                <w:highlight w:val="none"/>
                <w:lang w:val="en-US" w:eastAsia="zh-CN"/>
              </w:rPr>
              <w:t>观分</w:t>
            </w:r>
          </w:p>
        </w:tc>
        <w:tc>
          <w:tcPr>
            <w:tcW w:w="1191" w:type="dxa"/>
            <w:vAlign w:val="center"/>
          </w:tcPr>
          <w:p w14:paraId="429DFC18">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r>
      <w:tr w14:paraId="1BCB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1" w:hRule="atLeast"/>
        </w:trPr>
        <w:tc>
          <w:tcPr>
            <w:tcW w:w="1078" w:type="dxa"/>
            <w:vAlign w:val="center"/>
          </w:tcPr>
          <w:p w14:paraId="5C104A4C">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13</w:t>
            </w:r>
          </w:p>
        </w:tc>
        <w:tc>
          <w:tcPr>
            <w:tcW w:w="4587" w:type="dxa"/>
            <w:shd w:val="clear" w:color="auto" w:fill="auto"/>
            <w:vAlign w:val="center"/>
          </w:tcPr>
          <w:p w14:paraId="64664335">
            <w:pPr>
              <w:keepNext w:val="0"/>
              <w:keepLines w:val="0"/>
              <w:suppressLineNumbers w:val="0"/>
              <w:spacing w:before="0" w:beforeAutospacing="0" w:after="0" w:afterAutospacing="0" w:line="360" w:lineRule="auto"/>
              <w:ind w:left="0" w:right="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投标人或整车制造商具有质量管理体系认证证书、环境管理体系认证证书、职业健康管理体系认证证书、能源管理体系认证证书且证书有效期内的，每提供一个得1分，最高得4分。（提供相关证书复印件并加盖公章）</w:t>
            </w:r>
          </w:p>
        </w:tc>
        <w:tc>
          <w:tcPr>
            <w:tcW w:w="812" w:type="dxa"/>
            <w:shd w:val="clear" w:color="auto" w:fill="auto"/>
            <w:vAlign w:val="center"/>
          </w:tcPr>
          <w:p w14:paraId="0575B984">
            <w:pPr>
              <w:keepNext w:val="0"/>
              <w:keepLines w:val="0"/>
              <w:suppressLineNumbers w:val="0"/>
              <w:spacing w:before="0" w:beforeAutospacing="0" w:after="0" w:afterAutospacing="0" w:line="360" w:lineRule="auto"/>
              <w:ind w:left="0" w:leftChars="0" w:right="0" w:rightChars="0"/>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w:t>
            </w:r>
          </w:p>
        </w:tc>
        <w:tc>
          <w:tcPr>
            <w:tcW w:w="1025" w:type="dxa"/>
            <w:shd w:val="clear" w:color="auto" w:fill="auto"/>
            <w:vAlign w:val="center"/>
          </w:tcPr>
          <w:p w14:paraId="58027BD4">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leftChars="0" w:right="0" w:rightChars="0"/>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客</w:t>
            </w:r>
            <w:r>
              <w:rPr>
                <w:rFonts w:hint="eastAsia" w:ascii="宋体" w:hAnsi="宋体" w:eastAsia="宋体" w:cs="宋体"/>
                <w:color w:val="auto"/>
                <w:sz w:val="24"/>
                <w:szCs w:val="24"/>
                <w:highlight w:val="none"/>
                <w:lang w:val="en-US" w:eastAsia="zh-CN"/>
              </w:rPr>
              <w:t>观分</w:t>
            </w:r>
          </w:p>
        </w:tc>
        <w:tc>
          <w:tcPr>
            <w:tcW w:w="1191" w:type="dxa"/>
            <w:vAlign w:val="center"/>
          </w:tcPr>
          <w:p w14:paraId="482C7F37">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r>
      <w:tr w14:paraId="43D75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trPr>
        <w:tc>
          <w:tcPr>
            <w:tcW w:w="1078" w:type="dxa"/>
            <w:vAlign w:val="center"/>
          </w:tcPr>
          <w:p w14:paraId="016E5067">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14</w:t>
            </w:r>
          </w:p>
        </w:tc>
        <w:tc>
          <w:tcPr>
            <w:tcW w:w="4587" w:type="dxa"/>
            <w:shd w:val="clear" w:color="auto" w:fill="auto"/>
            <w:vAlign w:val="center"/>
          </w:tcPr>
          <w:p w14:paraId="655D136C">
            <w:pPr>
              <w:keepNext w:val="0"/>
              <w:keepLines w:val="0"/>
              <w:suppressLineNumbers w:val="0"/>
              <w:spacing w:before="0" w:beforeAutospacing="0" w:after="0" w:afterAutospacing="0" w:line="360" w:lineRule="auto"/>
              <w:ind w:left="0" w:right="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投标人或整车制造商提供202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年1月1日（以合同签订日期为准）以来的同类项目成功案例，每提供一个案例得0.5分，最高分3分。（提供合同复印件等证明材料并加盖公章，原件中标后由业主核查）</w:t>
            </w:r>
          </w:p>
        </w:tc>
        <w:tc>
          <w:tcPr>
            <w:tcW w:w="812" w:type="dxa"/>
            <w:vAlign w:val="center"/>
          </w:tcPr>
          <w:p w14:paraId="3285659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1025" w:type="dxa"/>
            <w:vAlign w:val="center"/>
          </w:tcPr>
          <w:p w14:paraId="2D64547F">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客</w:t>
            </w:r>
            <w:r>
              <w:rPr>
                <w:rFonts w:hint="eastAsia" w:ascii="宋体" w:hAnsi="宋体" w:eastAsia="宋体" w:cs="宋体"/>
                <w:color w:val="auto"/>
                <w:sz w:val="24"/>
                <w:szCs w:val="24"/>
                <w:highlight w:val="none"/>
                <w:lang w:val="en-US" w:eastAsia="zh-CN"/>
              </w:rPr>
              <w:t>观分</w:t>
            </w:r>
          </w:p>
        </w:tc>
        <w:tc>
          <w:tcPr>
            <w:tcW w:w="1191" w:type="dxa"/>
            <w:vAlign w:val="center"/>
          </w:tcPr>
          <w:p w14:paraId="2F12423F">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r>
      <w:tr w14:paraId="0B94B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078" w:type="dxa"/>
            <w:vAlign w:val="center"/>
          </w:tcPr>
          <w:p w14:paraId="6FAD1482">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default" w:ascii="宋体" w:hAnsi="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15</w:t>
            </w:r>
          </w:p>
        </w:tc>
        <w:tc>
          <w:tcPr>
            <w:tcW w:w="4587" w:type="dxa"/>
            <w:shd w:val="clear" w:color="auto" w:fill="auto"/>
            <w:vAlign w:val="center"/>
          </w:tcPr>
          <w:p w14:paraId="0E583F86">
            <w:pPr>
              <w:keepNext w:val="0"/>
              <w:keepLines w:val="0"/>
              <w:suppressLineNumbers w:val="0"/>
              <w:spacing w:before="0" w:beforeAutospacing="0" w:after="0" w:afterAutospacing="0" w:line="360" w:lineRule="auto"/>
              <w:ind w:left="0" w:right="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投标文件编制完整，格式规范、符合招标文件要求的，得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分；投标文件有关内容前后矛盾、与招标文件要求不一致等存在其他错漏的，酌情扣分。</w:t>
            </w:r>
          </w:p>
        </w:tc>
        <w:tc>
          <w:tcPr>
            <w:tcW w:w="812" w:type="dxa"/>
            <w:vAlign w:val="center"/>
          </w:tcPr>
          <w:p w14:paraId="44255B25">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3</w:t>
            </w:r>
          </w:p>
        </w:tc>
        <w:tc>
          <w:tcPr>
            <w:tcW w:w="1025" w:type="dxa"/>
            <w:vAlign w:val="center"/>
          </w:tcPr>
          <w:p w14:paraId="74664081">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主</w:t>
            </w:r>
            <w:r>
              <w:rPr>
                <w:rFonts w:hint="eastAsia" w:ascii="宋体" w:hAnsi="宋体" w:eastAsia="宋体" w:cs="宋体"/>
                <w:color w:val="auto"/>
                <w:sz w:val="24"/>
                <w:szCs w:val="24"/>
                <w:highlight w:val="none"/>
                <w:lang w:val="en-US" w:eastAsia="zh-CN"/>
              </w:rPr>
              <w:t>观分</w:t>
            </w:r>
          </w:p>
        </w:tc>
        <w:tc>
          <w:tcPr>
            <w:tcW w:w="1191" w:type="dxa"/>
            <w:vAlign w:val="center"/>
          </w:tcPr>
          <w:p w14:paraId="6B1288E3">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r>
      <w:tr w14:paraId="65011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078" w:type="dxa"/>
            <w:vAlign w:val="center"/>
          </w:tcPr>
          <w:p w14:paraId="5D3268CC">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16</w:t>
            </w:r>
          </w:p>
        </w:tc>
        <w:tc>
          <w:tcPr>
            <w:tcW w:w="4587" w:type="dxa"/>
            <w:vAlign w:val="center"/>
          </w:tcPr>
          <w:p w14:paraId="4298846B">
            <w:pPr>
              <w:keepNext w:val="0"/>
              <w:keepLines w:val="0"/>
              <w:suppressLineNumbers w:val="0"/>
              <w:spacing w:before="0" w:beforeAutospacing="0" w:after="0" w:afterAutospacing="0" w:line="360" w:lineRule="auto"/>
              <w:ind w:left="0" w:right="0"/>
              <w:outlineLvl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w:t>
            </w:r>
            <w:r>
              <w:rPr>
                <w:rFonts w:hint="eastAsia" w:ascii="宋体" w:hAnsi="宋体" w:eastAsia="宋体" w:cs="宋体"/>
                <w:color w:val="auto"/>
                <w:sz w:val="24"/>
                <w:szCs w:val="24"/>
                <w:highlight w:val="none"/>
                <w:lang w:val="en-US" w:eastAsia="zh-CN"/>
              </w:rPr>
              <w:t>3</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］的计算公式计算。评标过程中，不得去掉报价中的最高报价和最低报价。</w:t>
            </w:r>
          </w:p>
        </w:tc>
        <w:tc>
          <w:tcPr>
            <w:tcW w:w="812" w:type="dxa"/>
            <w:vAlign w:val="center"/>
          </w:tcPr>
          <w:p w14:paraId="511689E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30</w:t>
            </w:r>
          </w:p>
        </w:tc>
        <w:tc>
          <w:tcPr>
            <w:tcW w:w="1025" w:type="dxa"/>
            <w:vAlign w:val="center"/>
          </w:tcPr>
          <w:p w14:paraId="03C4971F">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客观分</w:t>
            </w:r>
          </w:p>
        </w:tc>
        <w:tc>
          <w:tcPr>
            <w:tcW w:w="1191" w:type="dxa"/>
            <w:vAlign w:val="center"/>
          </w:tcPr>
          <w:p w14:paraId="3DC293AE">
            <w:pPr>
              <w:keepNext w:val="0"/>
              <w:keepLines w:val="0"/>
              <w:pageBreakBefore w:val="0"/>
              <w:suppressLineNumbers w:val="0"/>
              <w:kinsoku/>
              <w:wordWrap/>
              <w:overflowPunct/>
              <w:topLinePunct w:val="0"/>
              <w:autoSpaceDE/>
              <w:autoSpaceDN/>
              <w:bidi w:val="0"/>
              <w:snapToGrid w:val="0"/>
              <w:spacing w:before="0" w:beforeAutospacing="0" w:after="0" w:afterAutospacing="0" w:line="440" w:lineRule="exact"/>
              <w:ind w:left="0" w:right="0"/>
              <w:jc w:val="center"/>
              <w:rPr>
                <w:rFonts w:hint="eastAsia" w:ascii="宋体" w:hAnsi="宋体" w:eastAsia="宋体" w:cs="宋体"/>
                <w:color w:val="auto"/>
                <w:sz w:val="24"/>
                <w:szCs w:val="24"/>
                <w:highlight w:val="none"/>
              </w:rPr>
            </w:pPr>
          </w:p>
        </w:tc>
      </w:tr>
    </w:tbl>
    <w:p w14:paraId="3F468A23">
      <w:pPr>
        <w:keepNext w:val="0"/>
        <w:keepLines w:val="0"/>
        <w:pageBreakBefore w:val="0"/>
        <w:kinsoku/>
        <w:wordWrap/>
        <w:overflowPunct/>
        <w:topLinePunct w:val="0"/>
        <w:autoSpaceDE/>
        <w:autoSpaceDN/>
        <w:bidi w:val="0"/>
        <w:adjustRightInd w:val="0"/>
        <w:spacing w:line="420" w:lineRule="exact"/>
        <w:jc w:val="left"/>
        <w:rPr>
          <w:rFonts w:hint="eastAsia" w:ascii="宋体" w:hAnsi="宋体" w:eastAsia="宋体" w:cs="宋体"/>
          <w:color w:val="auto"/>
          <w:sz w:val="24"/>
          <w:highlight w:val="none"/>
          <w:lang w:eastAsia="zh-CN"/>
        </w:rPr>
      </w:pPr>
    </w:p>
    <w:p w14:paraId="6498BA0E">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0"/>
          <w:szCs w:val="20"/>
          <w:highlight w:val="none"/>
          <w:shd w:val="clear" w:color="auto" w:fill="FFFFFF"/>
        </w:rPr>
        <w:t> *</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 </w:t>
      </w:r>
    </w:p>
    <w:p w14:paraId="33F73A62">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6A6436BE">
      <w:pPr>
        <w:adjustRightInd/>
        <w:spacing w:line="360" w:lineRule="auto"/>
        <w:ind w:firstLine="472" w:firstLineChars="196"/>
        <w:rPr>
          <w:rFonts w:hint="eastAsia" w:ascii="宋体" w:hAnsi="宋体" w:eastAsia="宋体" w:cs="宋体"/>
          <w:b/>
          <w:color w:val="auto"/>
          <w:sz w:val="32"/>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18561679">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631A88C0">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评标标准：</w:t>
      </w:r>
      <w:r>
        <w:rPr>
          <w:rFonts w:hint="eastAsia" w:ascii="宋体" w:hAnsi="宋体" w:eastAsia="宋体" w:cs="宋体"/>
          <w:color w:val="auto"/>
          <w:kern w:val="0"/>
          <w:sz w:val="24"/>
          <w:highlight w:val="none"/>
        </w:rPr>
        <w:t>见评标办法前附表。</w:t>
      </w:r>
    </w:p>
    <w:p w14:paraId="295A5870">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158311B5">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362DC3AB">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 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56A88CCF">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24E89D63">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4088CEE8">
      <w:pPr>
        <w:pStyle w:val="132"/>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047604CE">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内容与投标文件中相应内容不一致的，以开标一览表(报价表</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为准</w:t>
      </w:r>
      <w:r>
        <w:rPr>
          <w:rFonts w:hint="eastAsia" w:ascii="宋体" w:hAnsi="宋体" w:cs="宋体"/>
          <w:color w:val="auto"/>
          <w:kern w:val="0"/>
          <w:szCs w:val="24"/>
          <w:highlight w:val="none"/>
          <w:lang w:eastAsia="zh-CN"/>
        </w:rPr>
        <w:t>；</w:t>
      </w:r>
    </w:p>
    <w:p w14:paraId="6CEEE210">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r>
        <w:rPr>
          <w:rFonts w:hint="eastAsia" w:ascii="宋体" w:hAnsi="宋体" w:cs="宋体"/>
          <w:color w:val="auto"/>
          <w:kern w:val="0"/>
          <w:szCs w:val="24"/>
          <w:highlight w:val="none"/>
          <w:lang w:eastAsia="zh-CN"/>
        </w:rPr>
        <w:t>；</w:t>
      </w:r>
    </w:p>
    <w:p w14:paraId="5198DBF9">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r>
        <w:rPr>
          <w:rFonts w:hint="eastAsia" w:ascii="宋体" w:hAnsi="宋体" w:cs="宋体"/>
          <w:color w:val="auto"/>
          <w:kern w:val="0"/>
          <w:szCs w:val="24"/>
          <w:highlight w:val="none"/>
          <w:lang w:eastAsia="zh-CN"/>
        </w:rPr>
        <w:t>；</w:t>
      </w:r>
    </w:p>
    <w:p w14:paraId="032252A1">
      <w:pPr>
        <w:pStyle w:val="132"/>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4D56D465">
      <w:pPr>
        <w:pStyle w:val="132"/>
        <w:spacing w:before="0"/>
        <w:ind w:firstLine="480"/>
        <w:rPr>
          <w:rFonts w:hint="eastAsia" w:ascii="宋体" w:hAnsi="宋体" w:eastAsia="宋体" w:cs="宋体"/>
          <w:color w:val="auto"/>
          <w:kern w:val="0"/>
          <w:szCs w:val="24"/>
          <w:highlight w:val="yellow"/>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EC23277">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5B9F188F">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0F1044D7">
      <w:pPr>
        <w:pStyle w:val="132"/>
        <w:spacing w:before="0"/>
        <w:ind w:firstLine="480"/>
        <w:rPr>
          <w:rFonts w:hint="eastAsia" w:ascii="宋体" w:hAnsi="宋体" w:eastAsia="宋体" w:cs="宋体"/>
          <w:color w:val="auto"/>
          <w:kern w:val="0"/>
          <w:szCs w:val="24"/>
          <w:highlight w:val="yellow"/>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color w:val="auto"/>
          <w:kern w:val="0"/>
          <w:szCs w:val="24"/>
          <w:highlight w:val="none"/>
          <w:lang w:eastAsia="zh-CN"/>
        </w:rPr>
        <w:t>；</w:t>
      </w:r>
      <w:r>
        <w:rPr>
          <w:rFonts w:hint="eastAsia" w:ascii="宋体" w:hAnsi="宋体" w:eastAsia="宋体" w:cs="宋体"/>
          <w:color w:val="auto"/>
          <w:kern w:val="0"/>
          <w:szCs w:val="24"/>
          <w:highlight w:val="none"/>
        </w:rPr>
        <w:t>投标人不能证明其报价合理性的，评标委员会应当将其作为无效投标处理。</w:t>
      </w:r>
    </w:p>
    <w:p w14:paraId="5F1236EB">
      <w:pPr>
        <w:spacing w:line="360" w:lineRule="auto"/>
        <w:ind w:firstLine="482" w:firstLineChars="200"/>
        <w:rPr>
          <w:rFonts w:hint="eastAsia" w:ascii="宋体" w:hAnsi="宋体" w:eastAsia="宋体" w:cs="宋体"/>
          <w:color w:val="auto"/>
          <w:kern w:val="0"/>
          <w:sz w:val="24"/>
          <w:highlight w:val="yellow"/>
          <w:lang w:eastAsia="zh-CN"/>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C38EB80">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8F5623A">
      <w:pPr>
        <w:spacing w:line="360" w:lineRule="auto"/>
        <w:ind w:firstLine="472" w:firstLineChars="196"/>
        <w:rPr>
          <w:rFonts w:hint="eastAsia" w:ascii="宋体" w:hAnsi="宋体" w:eastAsia="宋体" w:cs="宋体"/>
          <w:b/>
          <w:color w:val="auto"/>
          <w:sz w:val="32"/>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E4E5399">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04A364AA">
      <w:pPr>
        <w:pStyle w:val="132"/>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6137AEF">
      <w:pPr>
        <w:pStyle w:val="24"/>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608943B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2DE892A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00EDA967">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6FB54C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6CDDF9F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1A944F2D">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r>
        <w:rPr>
          <w:rFonts w:hint="eastAsia" w:ascii="宋体" w:hAnsi="宋体" w:cs="宋体"/>
          <w:color w:val="auto"/>
          <w:kern w:val="0"/>
          <w:sz w:val="24"/>
          <w:highlight w:val="none"/>
          <w:lang w:eastAsia="zh-CN"/>
        </w:rPr>
        <w:t>；</w:t>
      </w:r>
    </w:p>
    <w:p w14:paraId="247D755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r>
        <w:rPr>
          <w:rFonts w:hint="eastAsia" w:ascii="宋体" w:hAnsi="宋体" w:cs="宋体"/>
          <w:color w:val="auto"/>
          <w:kern w:val="0"/>
          <w:sz w:val="24"/>
          <w:highlight w:val="none"/>
          <w:lang w:eastAsia="zh-CN"/>
        </w:rPr>
        <w:t>；</w:t>
      </w:r>
    </w:p>
    <w:p w14:paraId="6E36ABB2">
      <w:pPr>
        <w:spacing w:line="360" w:lineRule="auto"/>
        <w:ind w:firstLine="480" w:firstLineChars="200"/>
        <w:rPr>
          <w:rFonts w:hint="eastAsia" w:ascii="宋体" w:hAnsi="宋体" w:cs="宋体"/>
          <w:color w:val="auto"/>
          <w:kern w:val="0"/>
          <w:sz w:val="24"/>
          <w:highlight w:val="none"/>
          <w:lang w:eastAsia="zh-CN"/>
        </w:rPr>
      </w:pPr>
      <w:r>
        <w:rPr>
          <w:rFonts w:hint="eastAsia" w:ascii="宋体" w:hAnsi="宋体" w:eastAsia="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color w:val="auto"/>
          <w:kern w:val="0"/>
          <w:sz w:val="24"/>
          <w:highlight w:val="none"/>
          <w:lang w:eastAsia="zh-CN"/>
        </w:rPr>
        <w:t>；</w:t>
      </w:r>
    </w:p>
    <w:p w14:paraId="5779218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1269C22D">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6A7FCF32">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1D06596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4.2.12投标人仅提交备份投标文件，未在电子交易平台传输递交投标文件的，投标无效；</w:t>
      </w:r>
    </w:p>
    <w:p w14:paraId="28A8CF57">
      <w:pPr>
        <w:pStyle w:val="2"/>
        <w:ind w:left="862" w:leftChars="205"/>
        <w:rPr>
          <w:rFonts w:hint="eastAsia"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4.2.13 投标文件不满足招标文件</w:t>
      </w:r>
      <w:r>
        <w:rPr>
          <w:rFonts w:hint="eastAsia" w:ascii="宋体" w:hAnsi="宋体" w:eastAsia="宋体" w:cs="宋体"/>
          <w:b w:val="0"/>
          <w:bCs w:val="0"/>
          <w:color w:val="auto"/>
          <w:kern w:val="0"/>
          <w:sz w:val="24"/>
          <w:szCs w:val="24"/>
          <w:highlight w:val="none"/>
          <w:lang w:val="en-US" w:eastAsia="zh-CN"/>
        </w:rPr>
        <w:t>的其他</w:t>
      </w:r>
      <w:r>
        <w:rPr>
          <w:rFonts w:hint="eastAsia" w:ascii="宋体" w:hAnsi="宋体" w:eastAsia="宋体" w:cs="宋体"/>
          <w:b w:val="0"/>
          <w:bCs w:val="0"/>
          <w:color w:val="auto"/>
          <w:kern w:val="0"/>
          <w:sz w:val="24"/>
          <w:szCs w:val="24"/>
          <w:highlight w:val="none"/>
          <w:lang w:val="en-US"/>
        </w:rPr>
        <w:t>实质性要求的；</w:t>
      </w:r>
    </w:p>
    <w:p w14:paraId="06F068D3">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lang w:val="en-US"/>
        </w:rPr>
        <w:t>4.2.</w:t>
      </w:r>
      <w:r>
        <w:rPr>
          <w:rFonts w:hint="eastAsia" w:ascii="宋体" w:hAnsi="宋体" w:eastAsia="宋体" w:cs="宋体"/>
          <w:b/>
          <w:bCs/>
          <w:color w:val="auto"/>
          <w:kern w:val="0"/>
          <w:sz w:val="24"/>
          <w:highlight w:val="none"/>
          <w:lang w:val="en-US" w:eastAsia="zh-CN"/>
        </w:rPr>
        <w:t>14</w:t>
      </w:r>
      <w:r>
        <w:rPr>
          <w:rFonts w:hint="eastAsia" w:ascii="宋体" w:hAnsi="宋体" w:cs="宋体"/>
          <w:color w:val="auto"/>
          <w:kern w:val="0"/>
          <w:sz w:val="24"/>
          <w:highlight w:val="none"/>
          <w:lang w:eastAsia="zh-CN"/>
        </w:rPr>
        <w:t>法律法规</w:t>
      </w:r>
      <w:r>
        <w:rPr>
          <w:rFonts w:hint="eastAsia" w:ascii="宋体" w:hAnsi="宋体" w:eastAsia="宋体" w:cs="宋体"/>
          <w:color w:val="auto"/>
          <w:kern w:val="0"/>
          <w:sz w:val="24"/>
          <w:highlight w:val="none"/>
        </w:rPr>
        <w:t>、规章（适用本市的）及省级以上规范性文件（适用本市的）规定的其他无效情形。</w:t>
      </w:r>
    </w:p>
    <w:p w14:paraId="5A5592F9">
      <w:pPr>
        <w:pStyle w:val="24"/>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在采购中，出现下列情形之一的，应予废标：</w:t>
      </w:r>
    </w:p>
    <w:p w14:paraId="777BCC32">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5C5BDFF2">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2501831E">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3F98247F">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2392F91B">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应当将废标理由通知所有投标人。</w:t>
      </w:r>
    </w:p>
    <w:p w14:paraId="74E99652">
      <w:pPr>
        <w:pStyle w:val="24"/>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沟通并作书面记录。采购人、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确认后，将修改招标文件，重新组织采购活动。</w:t>
      </w:r>
    </w:p>
    <w:p w14:paraId="6A177A75">
      <w:pPr>
        <w:pStyle w:val="24"/>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w:t>
      </w:r>
      <w:r>
        <w:rPr>
          <w:rFonts w:hint="eastAsia" w:cs="宋体"/>
          <w:color w:val="auto"/>
          <w:highlight w:val="none"/>
          <w:lang w:eastAsia="zh-CN"/>
        </w:rPr>
        <w:t>以下</w:t>
      </w:r>
      <w:r>
        <w:rPr>
          <w:rFonts w:hint="eastAsia" w:ascii="宋体" w:hAnsi="宋体" w:eastAsia="宋体" w:cs="宋体"/>
          <w:color w:val="auto"/>
          <w:highlight w:val="none"/>
        </w:rPr>
        <w:t>违法行为之一，影响或者可能影响中标结果的，依照下列规定处理：</w:t>
      </w:r>
    </w:p>
    <w:p w14:paraId="11CDCC80">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7.1未确定中标供应商的，终止本次采购活动，重新开展采购活动。</w:t>
      </w:r>
    </w:p>
    <w:p w14:paraId="38E845B9">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7.2已确定中标供应商但尚未签订采购合同的，中标结果无效，从合格的中标候选人中另行确定中标供应商；没有合格的中标候选人的，重新开展采购活动。</w:t>
      </w:r>
    </w:p>
    <w:p w14:paraId="1D6C7513">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w:t>
      </w:r>
      <w:r>
        <w:rPr>
          <w:rFonts w:hint="eastAsia" w:cs="宋体"/>
          <w:color w:val="auto"/>
          <w:highlight w:val="none"/>
          <w:lang w:eastAsia="zh-CN"/>
        </w:rPr>
        <w:t>采购</w:t>
      </w:r>
      <w:r>
        <w:rPr>
          <w:rFonts w:hint="eastAsia" w:ascii="宋体" w:hAnsi="宋体" w:eastAsia="宋体" w:cs="宋体"/>
          <w:color w:val="auto"/>
          <w:highlight w:val="none"/>
        </w:rPr>
        <w:t>合同已签订但尚未履行的，撤销合同，从合格的中标候选人中另行确定中标供应商；没有合格的中标候选人的，重新开展</w:t>
      </w:r>
      <w:r>
        <w:rPr>
          <w:rFonts w:hint="eastAsia" w:cs="宋体"/>
          <w:color w:val="auto"/>
          <w:highlight w:val="none"/>
          <w:lang w:eastAsia="zh-CN"/>
        </w:rPr>
        <w:t>采购</w:t>
      </w:r>
      <w:r>
        <w:rPr>
          <w:rFonts w:hint="eastAsia" w:ascii="宋体" w:hAnsi="宋体" w:eastAsia="宋体" w:cs="宋体"/>
          <w:color w:val="auto"/>
          <w:highlight w:val="none"/>
        </w:rPr>
        <w:t>活动。</w:t>
      </w:r>
    </w:p>
    <w:p w14:paraId="27BE45C9">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w:t>
      </w:r>
      <w:r>
        <w:rPr>
          <w:rFonts w:hint="eastAsia" w:cs="宋体"/>
          <w:color w:val="auto"/>
          <w:highlight w:val="none"/>
          <w:lang w:eastAsia="zh-CN"/>
        </w:rPr>
        <w:t>采购</w:t>
      </w:r>
      <w:r>
        <w:rPr>
          <w:rFonts w:hint="eastAsia" w:ascii="宋体" w:hAnsi="宋体" w:eastAsia="宋体" w:cs="宋体"/>
          <w:color w:val="auto"/>
          <w:highlight w:val="none"/>
        </w:rPr>
        <w:t>合同已经履行，给采购人、供应商造成损失的，由责任人承担赔偿责任。</w:t>
      </w:r>
    </w:p>
    <w:p w14:paraId="39199FBB">
      <w:pPr>
        <w:pStyle w:val="24"/>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w:t>
      </w:r>
      <w:r>
        <w:rPr>
          <w:rFonts w:hint="eastAsia" w:cs="宋体"/>
          <w:color w:val="auto"/>
          <w:highlight w:val="none"/>
          <w:lang w:eastAsia="zh-CN"/>
        </w:rPr>
        <w:t>采购</w:t>
      </w:r>
      <w:r>
        <w:rPr>
          <w:rFonts w:hint="eastAsia" w:ascii="宋体" w:hAnsi="宋体" w:eastAsia="宋体" w:cs="宋体"/>
          <w:color w:val="auto"/>
          <w:highlight w:val="none"/>
        </w:rPr>
        <w:t>当事人有其他违反</w:t>
      </w:r>
      <w:r>
        <w:rPr>
          <w:rFonts w:hint="eastAsia" w:cs="宋体"/>
          <w:color w:val="auto"/>
          <w:highlight w:val="none"/>
          <w:lang w:eastAsia="zh-CN"/>
        </w:rPr>
        <w:t>相关</w:t>
      </w:r>
      <w:r>
        <w:rPr>
          <w:rFonts w:hint="eastAsia" w:ascii="宋体" w:hAnsi="宋体" w:eastAsia="宋体" w:cs="宋体"/>
          <w:color w:val="auto"/>
          <w:highlight w:val="none"/>
        </w:rPr>
        <w:t>法律法规规定的行为，经改正后仍然影响或者可能影响中标结果或者依法被认定为中标无效的，依照7.1-7.4规定处理。</w:t>
      </w:r>
    </w:p>
    <w:bookmarkEnd w:id="44"/>
    <w:p w14:paraId="687AD786">
      <w:pPr>
        <w:keepNext w:val="0"/>
        <w:keepLines w:val="0"/>
        <w:widowControl w:val="0"/>
        <w:suppressLineNumbers w:val="0"/>
        <w:adjustRightInd w:val="0"/>
        <w:snapToGrid w:val="0"/>
        <w:spacing w:before="0" w:beforeAutospacing="0" w:after="0" w:afterAutospacing="0" w:line="360" w:lineRule="auto"/>
        <w:ind w:right="0"/>
        <w:jc w:val="both"/>
        <w:rPr>
          <w:rFonts w:hint="eastAsia" w:ascii="宋体" w:hAnsi="宋体" w:eastAsia="宋体" w:cs="仿宋_GB2312"/>
          <w:b/>
          <w:bCs w:val="0"/>
          <w:kern w:val="2"/>
          <w:sz w:val="32"/>
          <w:szCs w:val="24"/>
          <w:lang w:val="en-US" w:eastAsia="zh-CN" w:bidi="ar"/>
        </w:rPr>
      </w:pPr>
      <w:bookmarkStart w:id="46" w:name="第五部分"/>
      <w:bookmarkStart w:id="47" w:name="_Toc86217003"/>
    </w:p>
    <w:p w14:paraId="1E9DE3E3">
      <w:pPr>
        <w:pStyle w:val="2"/>
        <w:rPr>
          <w:rFonts w:hint="eastAsia" w:ascii="宋体" w:hAnsi="宋体" w:eastAsia="宋体" w:cs="仿宋_GB2312"/>
          <w:b/>
          <w:bCs w:val="0"/>
          <w:kern w:val="2"/>
          <w:sz w:val="32"/>
          <w:szCs w:val="24"/>
          <w:lang w:val="en-US" w:eastAsia="zh-CN" w:bidi="ar"/>
        </w:rPr>
      </w:pPr>
    </w:p>
    <w:p w14:paraId="61E04E67">
      <w:pPr>
        <w:rPr>
          <w:rFonts w:hint="eastAsia"/>
          <w:lang w:val="en-US" w:eastAsia="zh-CN"/>
        </w:rPr>
      </w:pPr>
    </w:p>
    <w:p w14:paraId="4AEE785F">
      <w:pPr>
        <w:keepNext w:val="0"/>
        <w:keepLines w:val="0"/>
        <w:widowControl w:val="0"/>
        <w:suppressLineNumbers w:val="0"/>
        <w:adjustRightInd w:val="0"/>
        <w:snapToGrid w:val="0"/>
        <w:spacing w:before="0" w:beforeAutospacing="0" w:after="0" w:afterAutospacing="0" w:line="360" w:lineRule="auto"/>
        <w:ind w:right="0"/>
        <w:jc w:val="both"/>
        <w:rPr>
          <w:rFonts w:hint="eastAsia" w:ascii="宋体" w:hAnsi="宋体" w:eastAsia="宋体" w:cs="仿宋_GB2312"/>
          <w:b/>
          <w:bCs w:val="0"/>
          <w:sz w:val="32"/>
          <w:szCs w:val="24"/>
          <w:lang w:val="en-US"/>
        </w:rPr>
      </w:pPr>
      <w:r>
        <w:rPr>
          <w:rFonts w:hint="eastAsia" w:ascii="宋体" w:hAnsi="宋体" w:eastAsia="宋体" w:cs="仿宋_GB2312"/>
          <w:b/>
          <w:bCs w:val="0"/>
          <w:kern w:val="2"/>
          <w:sz w:val="32"/>
          <w:szCs w:val="24"/>
          <w:lang w:val="en-US" w:eastAsia="zh-CN" w:bidi="ar"/>
        </w:rPr>
        <w:t>五、评审过程的保密与录像</w:t>
      </w:r>
    </w:p>
    <w:p w14:paraId="6E25FB2C">
      <w:pPr>
        <w:keepNext w:val="0"/>
        <w:keepLines w:val="0"/>
        <w:widowControl/>
        <w:suppressLineNumbers w:val="0"/>
        <w:adjustRightInd w:val="0"/>
        <w:spacing w:before="0" w:beforeAutospacing="0" w:after="0" w:afterAutospacing="0" w:line="360" w:lineRule="auto"/>
        <w:ind w:left="0" w:right="0" w:firstLine="482" w:firstLineChars="200"/>
        <w:jc w:val="both"/>
        <w:rPr>
          <w:rFonts w:hint="eastAsia" w:ascii="宋体" w:hAnsi="宋体" w:eastAsia="宋体" w:cs="仿宋_GB2312"/>
          <w:sz w:val="24"/>
          <w:szCs w:val="24"/>
          <w:lang w:val="en-US"/>
        </w:rPr>
      </w:pPr>
      <w:r>
        <w:rPr>
          <w:rFonts w:hint="eastAsia" w:ascii="宋体" w:hAnsi="宋体" w:eastAsia="宋体" w:cs="仿宋_GB2312"/>
          <w:b/>
          <w:bCs w:val="0"/>
          <w:kern w:val="2"/>
          <w:sz w:val="24"/>
          <w:szCs w:val="24"/>
          <w:lang w:val="en-US" w:eastAsia="zh-CN" w:bidi="ar"/>
        </w:rPr>
        <w:t>1.保密。</w:t>
      </w:r>
      <w:r>
        <w:rPr>
          <w:rFonts w:hint="eastAsia" w:ascii="宋体" w:hAnsi="宋体" w:eastAsia="宋体" w:cs="仿宋_GB2312"/>
          <w:kern w:val="2"/>
          <w:sz w:val="24"/>
          <w:szCs w:val="24"/>
          <w:lang w:val="en-US" w:eastAsia="zh-CN" w:bidi="ar"/>
        </w:rPr>
        <w:t>评审活动在严格保密的情况下进行。评审过程中凡是与采购响应文件评审和比较、成交人推荐等评审有关的情况，以及涉及国家秘密和商业秘密等信息，评审小组成员、采购人和采购代理机构工作人员、相关监督人员等与评审有关的人员应当予以保密。</w:t>
      </w:r>
    </w:p>
    <w:p w14:paraId="5285B23B">
      <w:pPr>
        <w:keepNext w:val="0"/>
        <w:keepLines w:val="0"/>
        <w:widowControl/>
        <w:suppressLineNumbers w:val="0"/>
        <w:adjustRightInd w:val="0"/>
        <w:spacing w:before="0" w:beforeAutospacing="0" w:after="0" w:afterAutospacing="0" w:line="360" w:lineRule="auto"/>
        <w:ind w:left="0" w:right="0" w:firstLine="482" w:firstLineChars="200"/>
        <w:jc w:val="both"/>
        <w:rPr>
          <w:rFonts w:hint="eastAsia" w:ascii="宋体" w:hAnsi="宋体" w:eastAsia="宋体" w:cs="仿宋_GB2312"/>
          <w:sz w:val="24"/>
          <w:szCs w:val="24"/>
          <w:lang w:val="en-US"/>
        </w:rPr>
      </w:pPr>
      <w:r>
        <w:rPr>
          <w:rFonts w:hint="eastAsia" w:ascii="宋体" w:hAnsi="宋体" w:eastAsia="宋体" w:cs="仿宋_GB2312"/>
          <w:b/>
          <w:bCs w:val="0"/>
          <w:kern w:val="2"/>
          <w:sz w:val="24"/>
          <w:szCs w:val="24"/>
          <w:lang w:val="en-US" w:eastAsia="zh-CN" w:bidi="ar"/>
        </w:rPr>
        <w:t>2.录音录像。</w:t>
      </w:r>
      <w:r>
        <w:rPr>
          <w:rFonts w:hint="eastAsia" w:ascii="宋体" w:hAnsi="宋体" w:eastAsia="宋体" w:cs="仿宋_GB2312"/>
          <w:kern w:val="2"/>
          <w:sz w:val="24"/>
          <w:szCs w:val="24"/>
          <w:lang w:val="en-US" w:eastAsia="zh-CN" w:bidi="ar"/>
        </w:rPr>
        <w:t>采购代理机构对评审工作现场进行全过程录音录像，录音录像资料作为采购项目文件随其他文件一并存档。</w:t>
      </w:r>
    </w:p>
    <w:p w14:paraId="6C59643C">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014BA02E">
      <w:pPr>
        <w:pStyle w:val="2"/>
        <w:ind w:left="0" w:leftChars="0" w:firstLine="0" w:firstLineChars="0"/>
        <w:rPr>
          <w:rFonts w:hint="eastAsia" w:ascii="宋体" w:hAnsi="宋体" w:eastAsia="宋体" w:cs="宋体"/>
          <w:color w:val="auto"/>
          <w:highlight w:val="none"/>
        </w:rPr>
      </w:pPr>
    </w:p>
    <w:p w14:paraId="55F039BB">
      <w:pPr>
        <w:rPr>
          <w:rFonts w:hint="eastAsia"/>
        </w:rPr>
      </w:pPr>
    </w:p>
    <w:p w14:paraId="244AFFE5">
      <w:pPr>
        <w:pStyle w:val="2"/>
        <w:rPr>
          <w:rFonts w:hint="eastAsia"/>
        </w:rPr>
      </w:pPr>
    </w:p>
    <w:p w14:paraId="721B27B8">
      <w:pPr>
        <w:rPr>
          <w:rFonts w:hint="eastAsia"/>
        </w:rPr>
      </w:pPr>
    </w:p>
    <w:p w14:paraId="5E3CC979">
      <w:pPr>
        <w:spacing w:line="360" w:lineRule="auto"/>
        <w:ind w:left="720" w:leftChars="343" w:firstLine="1084" w:firstLineChars="300"/>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第五部分 拟签订的合同文本</w:t>
      </w:r>
    </w:p>
    <w:p w14:paraId="347F1DAA">
      <w:pPr>
        <w:pStyle w:val="33"/>
        <w:widowControl/>
        <w:overflowPunct w:val="0"/>
        <w:autoSpaceDE w:val="0"/>
        <w:autoSpaceDN w:val="0"/>
        <w:adjustRightInd w:val="0"/>
        <w:snapToGrid w:val="0"/>
        <w:spacing w:line="336" w:lineRule="auto"/>
        <w:jc w:val="center"/>
        <w:textAlignment w:val="baseline"/>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（本合同为合同样稿，最终稿由三方协商后确定）</w:t>
      </w:r>
    </w:p>
    <w:p w14:paraId="1847FE56">
      <w:pPr>
        <w:pStyle w:val="33"/>
        <w:widowControl/>
        <w:overflowPunct w:val="0"/>
        <w:autoSpaceDE w:val="0"/>
        <w:autoSpaceDN w:val="0"/>
        <w:adjustRightInd w:val="0"/>
        <w:snapToGrid w:val="0"/>
        <w:spacing w:line="440" w:lineRule="exact"/>
        <w:jc w:val="center"/>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合同编号：</w:t>
      </w:r>
      <w:r>
        <w:rPr>
          <w:rFonts w:hint="eastAsia" w:hAnsi="宋体" w:cs="宋体"/>
          <w:b/>
          <w:bCs/>
          <w:color w:val="auto"/>
          <w:sz w:val="24"/>
          <w:szCs w:val="24"/>
          <w:highlight w:val="none"/>
          <w:lang w:val="en-US" w:eastAsia="zh-CN"/>
        </w:rPr>
        <w:t>ZJXCX2025B-002</w:t>
      </w:r>
    </w:p>
    <w:p w14:paraId="18C45101">
      <w:pPr>
        <w:pStyle w:val="33"/>
        <w:snapToGrid w:val="0"/>
        <w:spacing w:line="500" w:lineRule="exac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甲  方（使用方）：</w:t>
      </w:r>
      <w:r>
        <w:rPr>
          <w:rFonts w:hint="eastAsia" w:hAnsi="宋体" w:cs="宋体"/>
          <w:b/>
          <w:color w:val="auto"/>
          <w:sz w:val="24"/>
          <w:szCs w:val="24"/>
          <w:highlight w:val="none"/>
          <w:lang w:val="en-US" w:eastAsia="zh-CN"/>
        </w:rPr>
        <w:t xml:space="preserve"> 建德市长运物资有限公司</w:t>
      </w:r>
    </w:p>
    <w:p w14:paraId="08275F2C">
      <w:pPr>
        <w:pStyle w:val="33"/>
        <w:snapToGrid w:val="0"/>
        <w:spacing w:line="50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乙  方（供应商）:</w:t>
      </w:r>
    </w:p>
    <w:p w14:paraId="38052A67">
      <w:pPr>
        <w:pStyle w:val="33"/>
        <w:snapToGrid w:val="0"/>
        <w:spacing w:line="500" w:lineRule="exact"/>
        <w:rPr>
          <w:rFonts w:hint="default" w:ascii="宋体" w:hAnsi="宋体" w:eastAsia="宋体" w:cs="宋体"/>
          <w:b/>
          <w:bCs/>
          <w:color w:val="auto"/>
          <w:sz w:val="24"/>
          <w:szCs w:val="24"/>
          <w:highlight w:val="none"/>
          <w:lang w:val="en-US" w:eastAsia="zh-CN"/>
        </w:rPr>
      </w:pPr>
      <w:r>
        <w:rPr>
          <w:rFonts w:hint="eastAsia" w:ascii="宋体" w:hAnsi="宋体" w:eastAsia="宋体" w:cs="宋体"/>
          <w:b/>
          <w:color w:val="auto"/>
          <w:sz w:val="24"/>
          <w:szCs w:val="24"/>
          <w:highlight w:val="none"/>
        </w:rPr>
        <w:t>见证方（代理机构）：</w:t>
      </w:r>
      <w:r>
        <w:rPr>
          <w:rFonts w:hint="eastAsia" w:hAnsi="宋体" w:cs="宋体"/>
          <w:b/>
          <w:color w:val="auto"/>
          <w:sz w:val="24"/>
          <w:szCs w:val="24"/>
          <w:highlight w:val="none"/>
          <w:lang w:val="en-US" w:eastAsia="zh-CN"/>
        </w:rPr>
        <w:t>浙江新诚信工程咨询有限公司</w:t>
      </w:r>
    </w:p>
    <w:p w14:paraId="00709B1C">
      <w:pPr>
        <w:pStyle w:val="33"/>
        <w:widowControl/>
        <w:overflowPunct w:val="0"/>
        <w:autoSpaceDE w:val="0"/>
        <w:autoSpaceDN w:val="0"/>
        <w:adjustRightInd w:val="0"/>
        <w:snapToGrid w:val="0"/>
        <w:spacing w:line="440" w:lineRule="exact"/>
        <w:ind w:firstLine="480" w:firstLineChars="200"/>
        <w:jc w:val="left"/>
        <w:textAlignment w:val="baseline"/>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根据《中华人民共和国</w:t>
      </w:r>
      <w:r>
        <w:rPr>
          <w:rFonts w:hint="eastAsia" w:hAnsi="宋体" w:eastAsia="宋体" w:cs="宋体"/>
          <w:color w:val="auto"/>
          <w:sz w:val="24"/>
          <w:szCs w:val="24"/>
          <w:highlight w:val="none"/>
          <w:lang w:eastAsia="zh-CN"/>
        </w:rPr>
        <w:t>民法典</w:t>
      </w:r>
      <w:r>
        <w:rPr>
          <w:rFonts w:hint="eastAsia" w:ascii="宋体" w:hAnsi="宋体" w:eastAsia="宋体" w:cs="宋体"/>
          <w:color w:val="auto"/>
          <w:sz w:val="24"/>
          <w:szCs w:val="24"/>
          <w:highlight w:val="none"/>
        </w:rPr>
        <w:t>》的规定，经公开招标，确定乙方为</w:t>
      </w:r>
      <w:r>
        <w:rPr>
          <w:rFonts w:hint="eastAsia"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lang w:eastAsia="zh-CN"/>
        </w:rPr>
        <w:t>中标单位</w:t>
      </w:r>
      <w:r>
        <w:rPr>
          <w:rFonts w:hint="eastAsia" w:ascii="宋体" w:hAnsi="宋体" w:eastAsia="宋体" w:cs="宋体"/>
          <w:color w:val="auto"/>
          <w:sz w:val="24"/>
          <w:szCs w:val="24"/>
          <w:highlight w:val="none"/>
        </w:rPr>
        <w:t>。按照招标文件（</w:t>
      </w:r>
      <w:r>
        <w:rPr>
          <w:rFonts w:hint="eastAsia" w:hAnsi="宋体" w:cs="宋体"/>
          <w:color w:val="auto"/>
          <w:sz w:val="24"/>
          <w:szCs w:val="24"/>
          <w:highlight w:val="none"/>
          <w:lang w:val="en-US" w:eastAsia="zh-CN"/>
        </w:rPr>
        <w:t xml:space="preserve"> 编号：ZJXCX2025B-002</w:t>
      </w:r>
      <w:r>
        <w:rPr>
          <w:rFonts w:hint="eastAsia" w:ascii="宋体" w:hAnsi="宋体" w:eastAsia="宋体" w:cs="宋体"/>
          <w:color w:val="auto"/>
          <w:sz w:val="24"/>
          <w:szCs w:val="24"/>
          <w:highlight w:val="none"/>
        </w:rPr>
        <w:t>）和投标结果，为明确双方的权利和义务，经甲乙双方协商达成合同如下：</w:t>
      </w:r>
    </w:p>
    <w:p w14:paraId="192EAD09">
      <w:pPr>
        <w:pStyle w:val="33"/>
        <w:widowControl/>
        <w:overflowPunct w:val="0"/>
        <w:autoSpaceDE w:val="0"/>
        <w:autoSpaceDN w:val="0"/>
        <w:adjustRightInd w:val="0"/>
        <w:snapToGrid w:val="0"/>
        <w:spacing w:line="440" w:lineRule="exact"/>
        <w:ind w:firstLine="472" w:firstLineChars="196"/>
        <w:jc w:val="left"/>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第一条：货物内容、数量、价款</w:t>
      </w:r>
    </w:p>
    <w:tbl>
      <w:tblPr>
        <w:tblStyle w:val="63"/>
        <w:tblW w:w="4997" w:type="pct"/>
        <w:tblInd w:w="0" w:type="dxa"/>
        <w:tblLayout w:type="autofit"/>
        <w:tblCellMar>
          <w:top w:w="0" w:type="dxa"/>
          <w:left w:w="108" w:type="dxa"/>
          <w:bottom w:w="0" w:type="dxa"/>
          <w:right w:w="108" w:type="dxa"/>
        </w:tblCellMar>
      </w:tblPr>
      <w:tblGrid>
        <w:gridCol w:w="550"/>
        <w:gridCol w:w="930"/>
        <w:gridCol w:w="930"/>
        <w:gridCol w:w="924"/>
        <w:gridCol w:w="1888"/>
        <w:gridCol w:w="455"/>
        <w:gridCol w:w="456"/>
        <w:gridCol w:w="940"/>
        <w:gridCol w:w="1417"/>
      </w:tblGrid>
      <w:tr w14:paraId="5DC7A7A0">
        <w:tblPrEx>
          <w:tblCellMar>
            <w:top w:w="0" w:type="dxa"/>
            <w:left w:w="108" w:type="dxa"/>
            <w:bottom w:w="0" w:type="dxa"/>
            <w:right w:w="108" w:type="dxa"/>
          </w:tblCellMar>
        </w:tblPrEx>
        <w:trPr>
          <w:trHeight w:val="639" w:hRule="atLeast"/>
          <w:tblHeader/>
        </w:trPr>
        <w:tc>
          <w:tcPr>
            <w:tcW w:w="33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4F16CE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highlight w:val="none"/>
              </w:rPr>
            </w:pPr>
            <w:r>
              <w:rPr>
                <w:rFonts w:hint="eastAsia" w:ascii="宋体" w:hAnsi="宋体" w:eastAsia="宋体" w:cs="宋体"/>
                <w:b/>
                <w:bCs/>
                <w:color w:val="auto"/>
                <w:kern w:val="0"/>
                <w:sz w:val="20"/>
                <w:highlight w:val="none"/>
              </w:rPr>
              <w:t>序号</w:t>
            </w:r>
          </w:p>
        </w:tc>
        <w:tc>
          <w:tcPr>
            <w:tcW w:w="55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AB0F05C">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highlight w:val="none"/>
              </w:rPr>
            </w:pPr>
            <w:r>
              <w:rPr>
                <w:rFonts w:hint="eastAsia" w:ascii="宋体" w:hAnsi="宋体" w:eastAsia="宋体" w:cs="宋体"/>
                <w:b/>
                <w:bCs/>
                <w:color w:val="auto"/>
                <w:kern w:val="0"/>
                <w:sz w:val="20"/>
                <w:highlight w:val="none"/>
              </w:rPr>
              <w:t>项目（货物）名称</w:t>
            </w:r>
          </w:p>
        </w:tc>
        <w:tc>
          <w:tcPr>
            <w:tcW w:w="559" w:type="pct"/>
            <w:tcBorders>
              <w:top w:val="single" w:color="auto" w:sz="4" w:space="0"/>
              <w:left w:val="nil"/>
              <w:bottom w:val="single" w:color="auto" w:sz="4" w:space="0"/>
              <w:right w:val="single" w:color="auto" w:sz="4" w:space="0"/>
            </w:tcBorders>
            <w:shd w:val="clear" w:color="000000" w:fill="FFFFFF"/>
            <w:noWrap w:val="0"/>
            <w:vAlign w:val="center"/>
          </w:tcPr>
          <w:p w14:paraId="28C532BE">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highlight w:val="none"/>
              </w:rPr>
            </w:pPr>
            <w:r>
              <w:rPr>
                <w:rFonts w:hint="eastAsia" w:ascii="宋体" w:hAnsi="宋体" w:eastAsia="宋体" w:cs="宋体"/>
                <w:b/>
                <w:bCs/>
                <w:color w:val="auto"/>
                <w:kern w:val="0"/>
                <w:sz w:val="20"/>
                <w:highlight w:val="none"/>
              </w:rPr>
              <w:t>品牌</w:t>
            </w:r>
          </w:p>
        </w:tc>
        <w:tc>
          <w:tcPr>
            <w:tcW w:w="555" w:type="pct"/>
            <w:tcBorders>
              <w:top w:val="single" w:color="auto" w:sz="4" w:space="0"/>
              <w:left w:val="nil"/>
              <w:bottom w:val="single" w:color="auto" w:sz="4" w:space="0"/>
              <w:right w:val="single" w:color="auto" w:sz="4" w:space="0"/>
            </w:tcBorders>
            <w:shd w:val="clear" w:color="000000" w:fill="FFFFFF"/>
            <w:noWrap w:val="0"/>
            <w:vAlign w:val="center"/>
          </w:tcPr>
          <w:p w14:paraId="741DD7B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highlight w:val="none"/>
              </w:rPr>
            </w:pPr>
            <w:r>
              <w:rPr>
                <w:rFonts w:hint="eastAsia" w:ascii="宋体" w:hAnsi="宋体" w:eastAsia="宋体" w:cs="宋体"/>
                <w:b/>
                <w:bCs/>
                <w:color w:val="auto"/>
                <w:kern w:val="0"/>
                <w:sz w:val="20"/>
                <w:highlight w:val="none"/>
              </w:rPr>
              <w:t>产品规格型号</w:t>
            </w:r>
          </w:p>
        </w:tc>
        <w:tc>
          <w:tcPr>
            <w:tcW w:w="112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DDDD8A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highlight w:val="none"/>
              </w:rPr>
            </w:pPr>
            <w:r>
              <w:rPr>
                <w:rFonts w:hint="eastAsia" w:ascii="宋体" w:hAnsi="宋体" w:eastAsia="宋体" w:cs="宋体"/>
                <w:b/>
                <w:bCs/>
                <w:color w:val="auto"/>
                <w:kern w:val="0"/>
                <w:sz w:val="20"/>
                <w:highlight w:val="none"/>
              </w:rPr>
              <w:t>主要技术参数</w:t>
            </w:r>
          </w:p>
        </w:tc>
        <w:tc>
          <w:tcPr>
            <w:tcW w:w="279" w:type="pct"/>
            <w:tcBorders>
              <w:top w:val="single" w:color="auto" w:sz="4" w:space="0"/>
              <w:left w:val="nil"/>
              <w:bottom w:val="single" w:color="auto" w:sz="4" w:space="0"/>
              <w:right w:val="single" w:color="auto" w:sz="4" w:space="0"/>
            </w:tcBorders>
            <w:shd w:val="clear" w:color="000000" w:fill="FFFFFF"/>
            <w:noWrap w:val="0"/>
            <w:vAlign w:val="center"/>
          </w:tcPr>
          <w:p w14:paraId="2F34F74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highlight w:val="none"/>
              </w:rPr>
            </w:pPr>
            <w:r>
              <w:rPr>
                <w:rFonts w:hint="eastAsia" w:ascii="宋体" w:hAnsi="宋体" w:eastAsia="宋体" w:cs="宋体"/>
                <w:b/>
                <w:bCs/>
                <w:color w:val="auto"/>
                <w:kern w:val="0"/>
                <w:sz w:val="20"/>
                <w:highlight w:val="none"/>
              </w:rPr>
              <w:t>单位</w:t>
            </w:r>
          </w:p>
        </w:tc>
        <w:tc>
          <w:tcPr>
            <w:tcW w:w="279" w:type="pct"/>
            <w:tcBorders>
              <w:top w:val="single" w:color="auto" w:sz="4" w:space="0"/>
              <w:left w:val="nil"/>
              <w:bottom w:val="single" w:color="auto" w:sz="4" w:space="0"/>
              <w:right w:val="single" w:color="auto" w:sz="4" w:space="0"/>
            </w:tcBorders>
            <w:shd w:val="clear" w:color="000000" w:fill="FFFFFF"/>
            <w:noWrap w:val="0"/>
            <w:vAlign w:val="center"/>
          </w:tcPr>
          <w:p w14:paraId="7307A19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highlight w:val="none"/>
              </w:rPr>
            </w:pPr>
            <w:r>
              <w:rPr>
                <w:rFonts w:hint="eastAsia" w:ascii="宋体" w:hAnsi="宋体" w:eastAsia="宋体" w:cs="宋体"/>
                <w:b/>
                <w:bCs/>
                <w:color w:val="auto"/>
                <w:kern w:val="0"/>
                <w:sz w:val="20"/>
                <w:highlight w:val="none"/>
              </w:rPr>
              <w:t>数量</w:t>
            </w:r>
          </w:p>
        </w:tc>
        <w:tc>
          <w:tcPr>
            <w:tcW w:w="559" w:type="pct"/>
            <w:tcBorders>
              <w:top w:val="single" w:color="auto" w:sz="4" w:space="0"/>
              <w:left w:val="nil"/>
              <w:bottom w:val="single" w:color="auto" w:sz="4" w:space="0"/>
              <w:right w:val="single" w:color="auto" w:sz="4" w:space="0"/>
            </w:tcBorders>
            <w:noWrap w:val="0"/>
            <w:vAlign w:val="center"/>
          </w:tcPr>
          <w:p w14:paraId="773C592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highlight w:val="none"/>
              </w:rPr>
            </w:pPr>
            <w:r>
              <w:rPr>
                <w:rFonts w:hint="eastAsia" w:ascii="宋体" w:hAnsi="宋体" w:eastAsia="宋体" w:cs="宋体"/>
                <w:b/>
                <w:bCs/>
                <w:color w:val="auto"/>
                <w:kern w:val="0"/>
                <w:sz w:val="20"/>
                <w:highlight w:val="none"/>
                <w:lang w:eastAsia="zh-CN"/>
              </w:rPr>
              <w:t>中标</w:t>
            </w:r>
            <w:r>
              <w:rPr>
                <w:rFonts w:hint="eastAsia" w:ascii="宋体" w:hAnsi="宋体" w:eastAsia="宋体" w:cs="宋体"/>
                <w:b/>
                <w:bCs/>
                <w:color w:val="auto"/>
                <w:kern w:val="0"/>
                <w:sz w:val="20"/>
                <w:highlight w:val="none"/>
              </w:rPr>
              <w:t>单价（元）</w:t>
            </w:r>
          </w:p>
        </w:tc>
        <w:tc>
          <w:tcPr>
            <w:tcW w:w="746" w:type="pct"/>
            <w:tcBorders>
              <w:top w:val="single" w:color="auto" w:sz="4" w:space="0"/>
              <w:left w:val="nil"/>
              <w:bottom w:val="single" w:color="auto" w:sz="4" w:space="0"/>
              <w:right w:val="single" w:color="auto" w:sz="4" w:space="0"/>
            </w:tcBorders>
            <w:noWrap w:val="0"/>
            <w:vAlign w:val="center"/>
          </w:tcPr>
          <w:p w14:paraId="0A60D7B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highlight w:val="none"/>
              </w:rPr>
            </w:pPr>
            <w:r>
              <w:rPr>
                <w:rFonts w:hint="eastAsia" w:ascii="宋体" w:hAnsi="宋体" w:eastAsia="宋体" w:cs="宋体"/>
                <w:b/>
                <w:bCs/>
                <w:color w:val="auto"/>
                <w:kern w:val="0"/>
                <w:sz w:val="20"/>
                <w:highlight w:val="none"/>
                <w:lang w:eastAsia="zh-CN"/>
              </w:rPr>
              <w:t>中标</w:t>
            </w:r>
            <w:r>
              <w:rPr>
                <w:rFonts w:hint="eastAsia" w:ascii="宋体" w:hAnsi="宋体" w:eastAsia="宋体" w:cs="宋体"/>
                <w:b/>
                <w:bCs/>
                <w:color w:val="auto"/>
                <w:kern w:val="0"/>
                <w:sz w:val="20"/>
                <w:highlight w:val="none"/>
              </w:rPr>
              <w:t>总价</w:t>
            </w:r>
          </w:p>
          <w:p w14:paraId="32DDEE9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0"/>
                <w:highlight w:val="none"/>
              </w:rPr>
            </w:pPr>
            <w:r>
              <w:rPr>
                <w:rFonts w:hint="eastAsia" w:ascii="宋体" w:hAnsi="宋体" w:eastAsia="宋体" w:cs="宋体"/>
                <w:b/>
                <w:bCs/>
                <w:color w:val="auto"/>
                <w:kern w:val="0"/>
                <w:sz w:val="20"/>
                <w:highlight w:val="none"/>
              </w:rPr>
              <w:t>（元）</w:t>
            </w:r>
          </w:p>
        </w:tc>
      </w:tr>
      <w:tr w14:paraId="75DF20E5">
        <w:tblPrEx>
          <w:tblCellMar>
            <w:top w:w="0" w:type="dxa"/>
            <w:left w:w="108" w:type="dxa"/>
            <w:bottom w:w="0" w:type="dxa"/>
            <w:right w:w="108" w:type="dxa"/>
          </w:tblCellMar>
        </w:tblPrEx>
        <w:trPr>
          <w:trHeight w:val="356" w:hRule="atLeast"/>
        </w:trPr>
        <w:tc>
          <w:tcPr>
            <w:tcW w:w="335" w:type="pct"/>
            <w:tcBorders>
              <w:top w:val="nil"/>
              <w:left w:val="single" w:color="auto" w:sz="4" w:space="0"/>
              <w:bottom w:val="single" w:color="auto" w:sz="4" w:space="0"/>
              <w:right w:val="single" w:color="auto" w:sz="4" w:space="0"/>
            </w:tcBorders>
            <w:noWrap w:val="0"/>
            <w:vAlign w:val="center"/>
          </w:tcPr>
          <w:p w14:paraId="21A18EC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1</w:t>
            </w:r>
          </w:p>
        </w:tc>
        <w:tc>
          <w:tcPr>
            <w:tcW w:w="559" w:type="pct"/>
            <w:tcBorders>
              <w:top w:val="nil"/>
              <w:left w:val="single" w:color="auto" w:sz="4" w:space="0"/>
              <w:bottom w:val="single" w:color="auto" w:sz="4" w:space="0"/>
              <w:right w:val="single" w:color="auto" w:sz="4" w:space="0"/>
            </w:tcBorders>
            <w:noWrap w:val="0"/>
            <w:vAlign w:val="center"/>
          </w:tcPr>
          <w:p w14:paraId="5C3D052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p>
        </w:tc>
        <w:tc>
          <w:tcPr>
            <w:tcW w:w="559" w:type="pct"/>
            <w:tcBorders>
              <w:top w:val="nil"/>
              <w:left w:val="nil"/>
              <w:bottom w:val="single" w:color="auto" w:sz="4" w:space="0"/>
              <w:right w:val="single" w:color="auto" w:sz="4" w:space="0"/>
            </w:tcBorders>
            <w:noWrap w:val="0"/>
            <w:vAlign w:val="center"/>
          </w:tcPr>
          <w:p w14:paraId="26A81906">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0"/>
                <w:highlight w:val="none"/>
              </w:rPr>
            </w:pPr>
          </w:p>
        </w:tc>
        <w:tc>
          <w:tcPr>
            <w:tcW w:w="555" w:type="pct"/>
            <w:tcBorders>
              <w:top w:val="nil"/>
              <w:left w:val="nil"/>
              <w:bottom w:val="single" w:color="auto" w:sz="4" w:space="0"/>
              <w:right w:val="single" w:color="auto" w:sz="4" w:space="0"/>
            </w:tcBorders>
            <w:noWrap w:val="0"/>
            <w:vAlign w:val="center"/>
          </w:tcPr>
          <w:p w14:paraId="6A6061AC">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0"/>
                <w:highlight w:val="none"/>
              </w:rPr>
            </w:pPr>
          </w:p>
        </w:tc>
        <w:tc>
          <w:tcPr>
            <w:tcW w:w="1123" w:type="pct"/>
            <w:tcBorders>
              <w:top w:val="nil"/>
              <w:left w:val="single" w:color="auto" w:sz="4" w:space="0"/>
              <w:bottom w:val="single" w:color="auto" w:sz="4" w:space="0"/>
              <w:right w:val="single" w:color="auto" w:sz="4" w:space="0"/>
            </w:tcBorders>
            <w:noWrap w:val="0"/>
            <w:vAlign w:val="center"/>
          </w:tcPr>
          <w:p w14:paraId="5B461918">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0"/>
                <w:highlight w:val="none"/>
              </w:rPr>
            </w:pPr>
          </w:p>
        </w:tc>
        <w:tc>
          <w:tcPr>
            <w:tcW w:w="279" w:type="pct"/>
            <w:tcBorders>
              <w:top w:val="nil"/>
              <w:left w:val="nil"/>
              <w:bottom w:val="single" w:color="auto" w:sz="4" w:space="0"/>
              <w:right w:val="single" w:color="auto" w:sz="4" w:space="0"/>
            </w:tcBorders>
            <w:noWrap w:val="0"/>
            <w:vAlign w:val="center"/>
          </w:tcPr>
          <w:p w14:paraId="2564FD2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p>
        </w:tc>
        <w:tc>
          <w:tcPr>
            <w:tcW w:w="279" w:type="pct"/>
            <w:tcBorders>
              <w:top w:val="nil"/>
              <w:left w:val="nil"/>
              <w:bottom w:val="single" w:color="auto" w:sz="4" w:space="0"/>
              <w:right w:val="single" w:color="auto" w:sz="4" w:space="0"/>
            </w:tcBorders>
            <w:noWrap w:val="0"/>
            <w:vAlign w:val="center"/>
          </w:tcPr>
          <w:p w14:paraId="24201D7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rPr>
            </w:pPr>
          </w:p>
        </w:tc>
        <w:tc>
          <w:tcPr>
            <w:tcW w:w="559" w:type="pct"/>
            <w:tcBorders>
              <w:top w:val="nil"/>
              <w:left w:val="nil"/>
              <w:bottom w:val="single" w:color="auto" w:sz="4" w:space="0"/>
              <w:right w:val="single" w:color="auto" w:sz="4" w:space="0"/>
            </w:tcBorders>
            <w:noWrap w:val="0"/>
            <w:vAlign w:val="center"/>
          </w:tcPr>
          <w:p w14:paraId="58CF34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rPr>
            </w:pPr>
          </w:p>
        </w:tc>
        <w:tc>
          <w:tcPr>
            <w:tcW w:w="746" w:type="pct"/>
            <w:tcBorders>
              <w:top w:val="nil"/>
              <w:left w:val="nil"/>
              <w:bottom w:val="single" w:color="auto" w:sz="4" w:space="0"/>
              <w:right w:val="single" w:color="auto" w:sz="4" w:space="0"/>
            </w:tcBorders>
            <w:noWrap w:val="0"/>
            <w:vAlign w:val="center"/>
          </w:tcPr>
          <w:p w14:paraId="16F2209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rPr>
            </w:pPr>
          </w:p>
        </w:tc>
      </w:tr>
      <w:tr w14:paraId="21CD5769">
        <w:tblPrEx>
          <w:tblCellMar>
            <w:top w:w="0" w:type="dxa"/>
            <w:left w:w="108" w:type="dxa"/>
            <w:bottom w:w="0" w:type="dxa"/>
            <w:right w:w="108" w:type="dxa"/>
          </w:tblCellMar>
        </w:tblPrEx>
        <w:trPr>
          <w:trHeight w:val="346" w:hRule="atLeast"/>
        </w:trPr>
        <w:tc>
          <w:tcPr>
            <w:tcW w:w="335" w:type="pct"/>
            <w:tcBorders>
              <w:top w:val="nil"/>
              <w:left w:val="single" w:color="auto" w:sz="4" w:space="0"/>
              <w:bottom w:val="single" w:color="auto" w:sz="4" w:space="0"/>
              <w:right w:val="single" w:color="auto" w:sz="4" w:space="0"/>
            </w:tcBorders>
            <w:noWrap w:val="0"/>
            <w:vAlign w:val="center"/>
          </w:tcPr>
          <w:p w14:paraId="306F1BB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2</w:t>
            </w:r>
          </w:p>
        </w:tc>
        <w:tc>
          <w:tcPr>
            <w:tcW w:w="559" w:type="pct"/>
            <w:tcBorders>
              <w:top w:val="nil"/>
              <w:left w:val="single" w:color="auto" w:sz="4" w:space="0"/>
              <w:bottom w:val="single" w:color="auto" w:sz="4" w:space="0"/>
              <w:right w:val="single" w:color="auto" w:sz="4" w:space="0"/>
            </w:tcBorders>
            <w:noWrap w:val="0"/>
            <w:vAlign w:val="center"/>
          </w:tcPr>
          <w:p w14:paraId="3842278E">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p>
        </w:tc>
        <w:tc>
          <w:tcPr>
            <w:tcW w:w="559" w:type="pct"/>
            <w:tcBorders>
              <w:top w:val="nil"/>
              <w:left w:val="nil"/>
              <w:bottom w:val="single" w:color="auto" w:sz="4" w:space="0"/>
              <w:right w:val="single" w:color="auto" w:sz="4" w:space="0"/>
            </w:tcBorders>
            <w:noWrap w:val="0"/>
            <w:vAlign w:val="center"/>
          </w:tcPr>
          <w:p w14:paraId="7E8647D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highlight w:val="none"/>
              </w:rPr>
            </w:pPr>
          </w:p>
        </w:tc>
        <w:tc>
          <w:tcPr>
            <w:tcW w:w="555" w:type="pct"/>
            <w:tcBorders>
              <w:top w:val="nil"/>
              <w:left w:val="nil"/>
              <w:bottom w:val="single" w:color="auto" w:sz="4" w:space="0"/>
              <w:right w:val="single" w:color="auto" w:sz="4" w:space="0"/>
            </w:tcBorders>
            <w:noWrap w:val="0"/>
            <w:vAlign w:val="center"/>
          </w:tcPr>
          <w:p w14:paraId="6419ED6F">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0"/>
                <w:highlight w:val="none"/>
              </w:rPr>
            </w:pPr>
          </w:p>
        </w:tc>
        <w:tc>
          <w:tcPr>
            <w:tcW w:w="1123" w:type="pct"/>
            <w:tcBorders>
              <w:top w:val="nil"/>
              <w:left w:val="single" w:color="auto" w:sz="4" w:space="0"/>
              <w:bottom w:val="single" w:color="auto" w:sz="4" w:space="0"/>
              <w:right w:val="single" w:color="auto" w:sz="4" w:space="0"/>
            </w:tcBorders>
            <w:noWrap w:val="0"/>
            <w:vAlign w:val="center"/>
          </w:tcPr>
          <w:p w14:paraId="0BC424A4">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0"/>
                <w:highlight w:val="none"/>
              </w:rPr>
            </w:pPr>
          </w:p>
        </w:tc>
        <w:tc>
          <w:tcPr>
            <w:tcW w:w="279" w:type="pct"/>
            <w:tcBorders>
              <w:top w:val="nil"/>
              <w:left w:val="nil"/>
              <w:bottom w:val="single" w:color="auto" w:sz="4" w:space="0"/>
              <w:right w:val="single" w:color="auto" w:sz="4" w:space="0"/>
            </w:tcBorders>
            <w:noWrap w:val="0"/>
            <w:vAlign w:val="center"/>
          </w:tcPr>
          <w:p w14:paraId="449D58B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p>
        </w:tc>
        <w:tc>
          <w:tcPr>
            <w:tcW w:w="279" w:type="pct"/>
            <w:tcBorders>
              <w:top w:val="nil"/>
              <w:left w:val="nil"/>
              <w:bottom w:val="single" w:color="auto" w:sz="4" w:space="0"/>
              <w:right w:val="single" w:color="auto" w:sz="4" w:space="0"/>
            </w:tcBorders>
            <w:noWrap w:val="0"/>
            <w:vAlign w:val="center"/>
          </w:tcPr>
          <w:p w14:paraId="072428A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rPr>
            </w:pPr>
          </w:p>
        </w:tc>
        <w:tc>
          <w:tcPr>
            <w:tcW w:w="559" w:type="pct"/>
            <w:tcBorders>
              <w:top w:val="nil"/>
              <w:left w:val="nil"/>
              <w:bottom w:val="single" w:color="auto" w:sz="4" w:space="0"/>
              <w:right w:val="single" w:color="auto" w:sz="4" w:space="0"/>
            </w:tcBorders>
            <w:noWrap w:val="0"/>
            <w:vAlign w:val="center"/>
          </w:tcPr>
          <w:p w14:paraId="2EFC943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rPr>
            </w:pPr>
          </w:p>
        </w:tc>
        <w:tc>
          <w:tcPr>
            <w:tcW w:w="746" w:type="pct"/>
            <w:tcBorders>
              <w:top w:val="nil"/>
              <w:left w:val="nil"/>
              <w:bottom w:val="single" w:color="auto" w:sz="4" w:space="0"/>
              <w:right w:val="single" w:color="auto" w:sz="4" w:space="0"/>
            </w:tcBorders>
            <w:noWrap w:val="0"/>
            <w:vAlign w:val="center"/>
          </w:tcPr>
          <w:p w14:paraId="121361D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p>
        </w:tc>
      </w:tr>
      <w:tr w14:paraId="63A1C751">
        <w:tblPrEx>
          <w:tblCellMar>
            <w:top w:w="0" w:type="dxa"/>
            <w:left w:w="108" w:type="dxa"/>
            <w:bottom w:w="0" w:type="dxa"/>
            <w:right w:w="108" w:type="dxa"/>
          </w:tblCellMar>
        </w:tblPrEx>
        <w:trPr>
          <w:trHeight w:val="346" w:hRule="atLeast"/>
        </w:trPr>
        <w:tc>
          <w:tcPr>
            <w:tcW w:w="335" w:type="pct"/>
            <w:tcBorders>
              <w:top w:val="nil"/>
              <w:left w:val="single" w:color="auto" w:sz="4" w:space="0"/>
              <w:bottom w:val="single" w:color="auto" w:sz="4" w:space="0"/>
              <w:right w:val="single" w:color="auto" w:sz="4" w:space="0"/>
            </w:tcBorders>
            <w:noWrap w:val="0"/>
            <w:vAlign w:val="center"/>
          </w:tcPr>
          <w:p w14:paraId="43DD353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3</w:t>
            </w:r>
          </w:p>
        </w:tc>
        <w:tc>
          <w:tcPr>
            <w:tcW w:w="559" w:type="pct"/>
            <w:tcBorders>
              <w:top w:val="nil"/>
              <w:left w:val="single" w:color="auto" w:sz="4" w:space="0"/>
              <w:bottom w:val="single" w:color="auto" w:sz="4" w:space="0"/>
              <w:right w:val="single" w:color="auto" w:sz="4" w:space="0"/>
            </w:tcBorders>
            <w:noWrap w:val="0"/>
            <w:vAlign w:val="center"/>
          </w:tcPr>
          <w:p w14:paraId="72CA6B89">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p>
        </w:tc>
        <w:tc>
          <w:tcPr>
            <w:tcW w:w="559" w:type="pct"/>
            <w:tcBorders>
              <w:top w:val="nil"/>
              <w:left w:val="nil"/>
              <w:bottom w:val="single" w:color="auto" w:sz="4" w:space="0"/>
              <w:right w:val="single" w:color="auto" w:sz="4" w:space="0"/>
            </w:tcBorders>
            <w:noWrap w:val="0"/>
            <w:vAlign w:val="center"/>
          </w:tcPr>
          <w:p w14:paraId="4FB8890A">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p>
        </w:tc>
        <w:tc>
          <w:tcPr>
            <w:tcW w:w="555" w:type="pct"/>
            <w:tcBorders>
              <w:top w:val="nil"/>
              <w:left w:val="nil"/>
              <w:bottom w:val="single" w:color="auto" w:sz="4" w:space="0"/>
              <w:right w:val="single" w:color="auto" w:sz="4" w:space="0"/>
            </w:tcBorders>
            <w:noWrap w:val="0"/>
            <w:vAlign w:val="center"/>
          </w:tcPr>
          <w:p w14:paraId="20466FAC">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0"/>
                <w:highlight w:val="none"/>
              </w:rPr>
            </w:pPr>
          </w:p>
        </w:tc>
        <w:tc>
          <w:tcPr>
            <w:tcW w:w="1123" w:type="pct"/>
            <w:tcBorders>
              <w:top w:val="nil"/>
              <w:left w:val="single" w:color="auto" w:sz="4" w:space="0"/>
              <w:bottom w:val="single" w:color="auto" w:sz="4" w:space="0"/>
              <w:right w:val="single" w:color="auto" w:sz="4" w:space="0"/>
            </w:tcBorders>
            <w:noWrap w:val="0"/>
            <w:vAlign w:val="center"/>
          </w:tcPr>
          <w:p w14:paraId="22A53D39">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0"/>
                <w:highlight w:val="none"/>
              </w:rPr>
            </w:pPr>
          </w:p>
        </w:tc>
        <w:tc>
          <w:tcPr>
            <w:tcW w:w="279" w:type="pct"/>
            <w:tcBorders>
              <w:top w:val="nil"/>
              <w:left w:val="nil"/>
              <w:bottom w:val="single" w:color="auto" w:sz="4" w:space="0"/>
              <w:right w:val="single" w:color="auto" w:sz="4" w:space="0"/>
            </w:tcBorders>
            <w:noWrap w:val="0"/>
            <w:vAlign w:val="center"/>
          </w:tcPr>
          <w:p w14:paraId="6920BF35">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p>
        </w:tc>
        <w:tc>
          <w:tcPr>
            <w:tcW w:w="279" w:type="pct"/>
            <w:tcBorders>
              <w:top w:val="nil"/>
              <w:left w:val="nil"/>
              <w:bottom w:val="single" w:color="auto" w:sz="4" w:space="0"/>
              <w:right w:val="single" w:color="auto" w:sz="4" w:space="0"/>
            </w:tcBorders>
            <w:noWrap w:val="0"/>
            <w:vAlign w:val="center"/>
          </w:tcPr>
          <w:p w14:paraId="1E61BC4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rPr>
            </w:pPr>
          </w:p>
        </w:tc>
        <w:tc>
          <w:tcPr>
            <w:tcW w:w="559" w:type="pct"/>
            <w:tcBorders>
              <w:top w:val="nil"/>
              <w:left w:val="nil"/>
              <w:bottom w:val="single" w:color="auto" w:sz="4" w:space="0"/>
              <w:right w:val="single" w:color="auto" w:sz="4" w:space="0"/>
            </w:tcBorders>
            <w:noWrap w:val="0"/>
            <w:vAlign w:val="center"/>
          </w:tcPr>
          <w:p w14:paraId="0DA3DDE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rPr>
            </w:pPr>
          </w:p>
        </w:tc>
        <w:tc>
          <w:tcPr>
            <w:tcW w:w="746" w:type="pct"/>
            <w:tcBorders>
              <w:top w:val="nil"/>
              <w:left w:val="nil"/>
              <w:bottom w:val="single" w:color="auto" w:sz="4" w:space="0"/>
              <w:right w:val="single" w:color="auto" w:sz="4" w:space="0"/>
            </w:tcBorders>
            <w:noWrap w:val="0"/>
            <w:vAlign w:val="center"/>
          </w:tcPr>
          <w:p w14:paraId="242CAE7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p>
        </w:tc>
      </w:tr>
      <w:tr w14:paraId="3000F557">
        <w:tblPrEx>
          <w:tblCellMar>
            <w:top w:w="0" w:type="dxa"/>
            <w:left w:w="108" w:type="dxa"/>
            <w:bottom w:w="0" w:type="dxa"/>
            <w:right w:w="108" w:type="dxa"/>
          </w:tblCellMar>
        </w:tblPrEx>
        <w:trPr>
          <w:trHeight w:val="346" w:hRule="atLeast"/>
        </w:trPr>
        <w:tc>
          <w:tcPr>
            <w:tcW w:w="335" w:type="pct"/>
            <w:tcBorders>
              <w:top w:val="nil"/>
              <w:left w:val="single" w:color="auto" w:sz="4" w:space="0"/>
              <w:bottom w:val="single" w:color="auto" w:sz="4" w:space="0"/>
              <w:right w:val="single" w:color="auto" w:sz="4" w:space="0"/>
            </w:tcBorders>
            <w:noWrap w:val="0"/>
            <w:vAlign w:val="center"/>
          </w:tcPr>
          <w:p w14:paraId="7FD3B6B4">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4</w:t>
            </w:r>
          </w:p>
        </w:tc>
        <w:tc>
          <w:tcPr>
            <w:tcW w:w="559" w:type="pct"/>
            <w:tcBorders>
              <w:top w:val="nil"/>
              <w:left w:val="single" w:color="auto" w:sz="4" w:space="0"/>
              <w:bottom w:val="single" w:color="auto" w:sz="4" w:space="0"/>
              <w:right w:val="single" w:color="auto" w:sz="4" w:space="0"/>
            </w:tcBorders>
            <w:noWrap w:val="0"/>
            <w:vAlign w:val="center"/>
          </w:tcPr>
          <w:p w14:paraId="58A4D076">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p>
        </w:tc>
        <w:tc>
          <w:tcPr>
            <w:tcW w:w="559" w:type="pct"/>
            <w:tcBorders>
              <w:top w:val="nil"/>
              <w:left w:val="nil"/>
              <w:bottom w:val="single" w:color="auto" w:sz="4" w:space="0"/>
              <w:right w:val="single" w:color="auto" w:sz="4" w:space="0"/>
            </w:tcBorders>
            <w:noWrap w:val="0"/>
            <w:vAlign w:val="center"/>
          </w:tcPr>
          <w:p w14:paraId="105EA1B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p>
        </w:tc>
        <w:tc>
          <w:tcPr>
            <w:tcW w:w="555" w:type="pct"/>
            <w:tcBorders>
              <w:top w:val="nil"/>
              <w:left w:val="nil"/>
              <w:bottom w:val="single" w:color="auto" w:sz="4" w:space="0"/>
              <w:right w:val="single" w:color="auto" w:sz="4" w:space="0"/>
            </w:tcBorders>
            <w:noWrap w:val="0"/>
            <w:vAlign w:val="center"/>
          </w:tcPr>
          <w:p w14:paraId="1E84EF4F">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0"/>
                <w:highlight w:val="none"/>
              </w:rPr>
            </w:pPr>
          </w:p>
        </w:tc>
        <w:tc>
          <w:tcPr>
            <w:tcW w:w="1123" w:type="pct"/>
            <w:tcBorders>
              <w:top w:val="nil"/>
              <w:left w:val="single" w:color="auto" w:sz="4" w:space="0"/>
              <w:bottom w:val="single" w:color="auto" w:sz="4" w:space="0"/>
              <w:right w:val="single" w:color="auto" w:sz="4" w:space="0"/>
            </w:tcBorders>
            <w:noWrap w:val="0"/>
            <w:vAlign w:val="center"/>
          </w:tcPr>
          <w:p w14:paraId="59028E52">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0"/>
                <w:highlight w:val="none"/>
              </w:rPr>
            </w:pPr>
          </w:p>
        </w:tc>
        <w:tc>
          <w:tcPr>
            <w:tcW w:w="279" w:type="pct"/>
            <w:tcBorders>
              <w:top w:val="nil"/>
              <w:left w:val="nil"/>
              <w:bottom w:val="single" w:color="auto" w:sz="4" w:space="0"/>
              <w:right w:val="single" w:color="auto" w:sz="4" w:space="0"/>
            </w:tcBorders>
            <w:noWrap w:val="0"/>
            <w:vAlign w:val="center"/>
          </w:tcPr>
          <w:p w14:paraId="7FABFDF3">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p>
        </w:tc>
        <w:tc>
          <w:tcPr>
            <w:tcW w:w="279" w:type="pct"/>
            <w:tcBorders>
              <w:top w:val="nil"/>
              <w:left w:val="nil"/>
              <w:bottom w:val="single" w:color="auto" w:sz="4" w:space="0"/>
              <w:right w:val="single" w:color="auto" w:sz="4" w:space="0"/>
            </w:tcBorders>
            <w:noWrap w:val="0"/>
            <w:vAlign w:val="center"/>
          </w:tcPr>
          <w:p w14:paraId="49291B2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rPr>
            </w:pPr>
          </w:p>
        </w:tc>
        <w:tc>
          <w:tcPr>
            <w:tcW w:w="559" w:type="pct"/>
            <w:tcBorders>
              <w:top w:val="nil"/>
              <w:left w:val="nil"/>
              <w:bottom w:val="single" w:color="auto" w:sz="4" w:space="0"/>
              <w:right w:val="single" w:color="auto" w:sz="4" w:space="0"/>
            </w:tcBorders>
            <w:noWrap w:val="0"/>
            <w:vAlign w:val="center"/>
          </w:tcPr>
          <w:p w14:paraId="2987064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rPr>
            </w:pPr>
          </w:p>
        </w:tc>
        <w:tc>
          <w:tcPr>
            <w:tcW w:w="746" w:type="pct"/>
            <w:tcBorders>
              <w:top w:val="nil"/>
              <w:left w:val="nil"/>
              <w:bottom w:val="single" w:color="auto" w:sz="4" w:space="0"/>
              <w:right w:val="single" w:color="auto" w:sz="4" w:space="0"/>
            </w:tcBorders>
            <w:noWrap w:val="0"/>
            <w:vAlign w:val="center"/>
          </w:tcPr>
          <w:p w14:paraId="44901A1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p>
        </w:tc>
      </w:tr>
      <w:tr w14:paraId="29A5E704">
        <w:tblPrEx>
          <w:tblCellMar>
            <w:top w:w="0" w:type="dxa"/>
            <w:left w:w="108" w:type="dxa"/>
            <w:bottom w:w="0" w:type="dxa"/>
            <w:right w:w="108" w:type="dxa"/>
          </w:tblCellMar>
        </w:tblPrEx>
        <w:trPr>
          <w:trHeight w:val="318" w:hRule="atLeast"/>
        </w:trPr>
        <w:tc>
          <w:tcPr>
            <w:tcW w:w="335" w:type="pct"/>
            <w:tcBorders>
              <w:top w:val="nil"/>
              <w:left w:val="single" w:color="auto" w:sz="4" w:space="0"/>
              <w:bottom w:val="single" w:color="auto" w:sz="4" w:space="0"/>
              <w:right w:val="single" w:color="auto" w:sz="4" w:space="0"/>
            </w:tcBorders>
            <w:noWrap w:val="0"/>
            <w:vAlign w:val="center"/>
          </w:tcPr>
          <w:p w14:paraId="14F770CB">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w:t>
            </w:r>
          </w:p>
        </w:tc>
        <w:tc>
          <w:tcPr>
            <w:tcW w:w="559" w:type="pct"/>
            <w:tcBorders>
              <w:top w:val="nil"/>
              <w:left w:val="single" w:color="auto" w:sz="4" w:space="0"/>
              <w:bottom w:val="single" w:color="auto" w:sz="4" w:space="0"/>
              <w:right w:val="single" w:color="auto" w:sz="4" w:space="0"/>
            </w:tcBorders>
            <w:noWrap w:val="0"/>
            <w:vAlign w:val="center"/>
          </w:tcPr>
          <w:p w14:paraId="339E6C41">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p>
        </w:tc>
        <w:tc>
          <w:tcPr>
            <w:tcW w:w="559" w:type="pct"/>
            <w:tcBorders>
              <w:top w:val="nil"/>
              <w:left w:val="nil"/>
              <w:bottom w:val="single" w:color="auto" w:sz="4" w:space="0"/>
              <w:right w:val="single" w:color="auto" w:sz="4" w:space="0"/>
            </w:tcBorders>
            <w:noWrap w:val="0"/>
            <w:vAlign w:val="center"/>
          </w:tcPr>
          <w:p w14:paraId="0DCFB0CF">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p>
        </w:tc>
        <w:tc>
          <w:tcPr>
            <w:tcW w:w="555" w:type="pct"/>
            <w:tcBorders>
              <w:top w:val="nil"/>
              <w:left w:val="nil"/>
              <w:bottom w:val="single" w:color="auto" w:sz="4" w:space="0"/>
              <w:right w:val="single" w:color="auto" w:sz="4" w:space="0"/>
            </w:tcBorders>
            <w:noWrap w:val="0"/>
            <w:vAlign w:val="center"/>
          </w:tcPr>
          <w:p w14:paraId="4A62F222">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0"/>
                <w:highlight w:val="none"/>
              </w:rPr>
            </w:pPr>
          </w:p>
        </w:tc>
        <w:tc>
          <w:tcPr>
            <w:tcW w:w="1123" w:type="pct"/>
            <w:tcBorders>
              <w:top w:val="nil"/>
              <w:left w:val="single" w:color="auto" w:sz="4" w:space="0"/>
              <w:bottom w:val="single" w:color="auto" w:sz="4" w:space="0"/>
              <w:right w:val="single" w:color="auto" w:sz="4" w:space="0"/>
            </w:tcBorders>
            <w:noWrap w:val="0"/>
            <w:vAlign w:val="center"/>
          </w:tcPr>
          <w:p w14:paraId="0100DAB9">
            <w:pPr>
              <w:keepNext w:val="0"/>
              <w:keepLines w:val="0"/>
              <w:widowControl/>
              <w:suppressLineNumbers w:val="0"/>
              <w:spacing w:before="0" w:beforeAutospacing="0" w:after="0" w:afterAutospacing="0"/>
              <w:ind w:left="0" w:right="0"/>
              <w:rPr>
                <w:rFonts w:hint="eastAsia" w:ascii="宋体" w:hAnsi="宋体" w:eastAsia="宋体" w:cs="宋体"/>
                <w:color w:val="auto"/>
                <w:kern w:val="0"/>
                <w:sz w:val="20"/>
                <w:highlight w:val="none"/>
              </w:rPr>
            </w:pPr>
          </w:p>
        </w:tc>
        <w:tc>
          <w:tcPr>
            <w:tcW w:w="279" w:type="pct"/>
            <w:tcBorders>
              <w:top w:val="nil"/>
              <w:left w:val="nil"/>
              <w:bottom w:val="single" w:color="auto" w:sz="4" w:space="0"/>
              <w:right w:val="single" w:color="auto" w:sz="4" w:space="0"/>
            </w:tcBorders>
            <w:noWrap w:val="0"/>
            <w:vAlign w:val="center"/>
          </w:tcPr>
          <w:p w14:paraId="713B5827">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0"/>
                <w:highlight w:val="none"/>
              </w:rPr>
            </w:pPr>
          </w:p>
        </w:tc>
        <w:tc>
          <w:tcPr>
            <w:tcW w:w="279" w:type="pct"/>
            <w:tcBorders>
              <w:top w:val="nil"/>
              <w:left w:val="nil"/>
              <w:bottom w:val="single" w:color="auto" w:sz="4" w:space="0"/>
              <w:right w:val="single" w:color="auto" w:sz="4" w:space="0"/>
            </w:tcBorders>
            <w:noWrap w:val="0"/>
            <w:vAlign w:val="center"/>
          </w:tcPr>
          <w:p w14:paraId="5CBA2E11">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rPr>
            </w:pPr>
          </w:p>
        </w:tc>
        <w:tc>
          <w:tcPr>
            <w:tcW w:w="559" w:type="pct"/>
            <w:tcBorders>
              <w:top w:val="nil"/>
              <w:left w:val="nil"/>
              <w:bottom w:val="single" w:color="auto" w:sz="4" w:space="0"/>
              <w:right w:val="single" w:color="auto" w:sz="4" w:space="0"/>
            </w:tcBorders>
            <w:noWrap w:val="0"/>
            <w:vAlign w:val="center"/>
          </w:tcPr>
          <w:p w14:paraId="10680A0A">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kern w:val="0"/>
                <w:szCs w:val="21"/>
                <w:highlight w:val="none"/>
              </w:rPr>
            </w:pPr>
          </w:p>
        </w:tc>
        <w:tc>
          <w:tcPr>
            <w:tcW w:w="746" w:type="pct"/>
            <w:tcBorders>
              <w:top w:val="nil"/>
              <w:left w:val="nil"/>
              <w:bottom w:val="single" w:color="auto" w:sz="4" w:space="0"/>
              <w:right w:val="single" w:color="auto" w:sz="4" w:space="0"/>
            </w:tcBorders>
            <w:noWrap w:val="0"/>
            <w:vAlign w:val="center"/>
          </w:tcPr>
          <w:p w14:paraId="147E971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color w:val="auto"/>
                <w:szCs w:val="21"/>
                <w:highlight w:val="none"/>
              </w:rPr>
            </w:pPr>
          </w:p>
        </w:tc>
      </w:tr>
      <w:tr w14:paraId="0AAA75F2">
        <w:tblPrEx>
          <w:tblCellMar>
            <w:top w:w="0" w:type="dxa"/>
            <w:left w:w="108" w:type="dxa"/>
            <w:bottom w:w="0" w:type="dxa"/>
            <w:right w:w="108" w:type="dxa"/>
          </w:tblCellMar>
        </w:tblPrEx>
        <w:trPr>
          <w:trHeight w:val="464" w:hRule="atLeast"/>
        </w:trPr>
        <w:tc>
          <w:tcPr>
            <w:tcW w:w="4253" w:type="pct"/>
            <w:gridSpan w:val="8"/>
            <w:tcBorders>
              <w:top w:val="nil"/>
              <w:left w:val="single" w:color="auto" w:sz="4" w:space="0"/>
              <w:bottom w:val="single" w:color="auto" w:sz="4" w:space="0"/>
              <w:right w:val="single" w:color="auto" w:sz="4" w:space="0"/>
            </w:tcBorders>
            <w:noWrap w:val="0"/>
            <w:vAlign w:val="center"/>
          </w:tcPr>
          <w:p w14:paraId="6F9C053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0"/>
                <w:highlight w:val="none"/>
                <w:u w:val="single"/>
              </w:rPr>
            </w:pPr>
            <w:r>
              <w:rPr>
                <w:rFonts w:hint="eastAsia" w:ascii="宋体" w:hAnsi="宋体" w:eastAsia="宋体" w:cs="宋体"/>
                <w:b/>
                <w:bCs/>
                <w:color w:val="auto"/>
                <w:kern w:val="0"/>
                <w:sz w:val="20"/>
                <w:szCs w:val="22"/>
                <w:highlight w:val="none"/>
                <w:lang w:eastAsia="zh-CN"/>
              </w:rPr>
              <w:t>总</w:t>
            </w:r>
            <w:r>
              <w:rPr>
                <w:rFonts w:hint="eastAsia" w:ascii="宋体" w:hAnsi="宋体" w:eastAsia="宋体" w:cs="宋体"/>
                <w:b/>
                <w:bCs/>
                <w:color w:val="auto"/>
                <w:kern w:val="0"/>
                <w:sz w:val="20"/>
                <w:szCs w:val="22"/>
                <w:highlight w:val="none"/>
              </w:rPr>
              <w:t>报价：人民币（大写）</w:t>
            </w:r>
            <w:r>
              <w:rPr>
                <w:rFonts w:hint="eastAsia" w:ascii="宋体" w:hAnsi="宋体" w:eastAsia="宋体" w:cs="宋体"/>
                <w:b/>
                <w:bCs/>
                <w:color w:val="auto"/>
                <w:kern w:val="0"/>
                <w:sz w:val="20"/>
                <w:szCs w:val="22"/>
                <w:highlight w:val="none"/>
                <w:u w:val="single"/>
              </w:rPr>
              <w:t xml:space="preserve">                                              </w:t>
            </w:r>
          </w:p>
        </w:tc>
        <w:tc>
          <w:tcPr>
            <w:tcW w:w="746" w:type="pct"/>
            <w:tcBorders>
              <w:top w:val="nil"/>
              <w:left w:val="nil"/>
              <w:bottom w:val="single" w:color="auto" w:sz="4" w:space="0"/>
              <w:right w:val="single" w:color="auto" w:sz="4" w:space="0"/>
            </w:tcBorders>
            <w:noWrap w:val="0"/>
            <w:vAlign w:val="center"/>
          </w:tcPr>
          <w:p w14:paraId="63A6A6DA">
            <w:pPr>
              <w:keepNext w:val="0"/>
              <w:keepLines w:val="0"/>
              <w:suppressLineNumbers w:val="0"/>
              <w:spacing w:before="0" w:beforeAutospacing="0" w:after="0" w:afterAutospacing="0"/>
              <w:ind w:left="0" w:right="0"/>
              <w:rPr>
                <w:rFonts w:hint="eastAsia" w:ascii="宋体" w:hAnsi="宋体" w:eastAsia="宋体" w:cs="宋体"/>
                <w:color w:val="auto"/>
                <w:sz w:val="20"/>
                <w:highlight w:val="none"/>
                <w:u w:val="single"/>
              </w:rPr>
            </w:pPr>
            <w:r>
              <w:rPr>
                <w:rFonts w:hint="eastAsia" w:ascii="宋体" w:hAnsi="宋体" w:eastAsia="宋体" w:cs="宋体"/>
                <w:color w:val="auto"/>
                <w:sz w:val="20"/>
                <w:highlight w:val="none"/>
              </w:rPr>
              <w:t>￥</w:t>
            </w:r>
            <w:r>
              <w:rPr>
                <w:rFonts w:hint="eastAsia" w:ascii="宋体" w:hAnsi="宋体" w:eastAsia="宋体" w:cs="宋体"/>
                <w:color w:val="auto"/>
                <w:sz w:val="20"/>
                <w:highlight w:val="none"/>
                <w:u w:val="single"/>
              </w:rPr>
              <w:t xml:space="preserve">        </w:t>
            </w:r>
            <w:r>
              <w:rPr>
                <w:rFonts w:hint="eastAsia" w:ascii="宋体" w:hAnsi="宋体" w:eastAsia="宋体" w:cs="宋体"/>
                <w:color w:val="auto"/>
                <w:sz w:val="20"/>
                <w:highlight w:val="none"/>
              </w:rPr>
              <w:t>元</w:t>
            </w:r>
          </w:p>
        </w:tc>
      </w:tr>
    </w:tbl>
    <w:p w14:paraId="7E688A4C">
      <w:pPr>
        <w:pStyle w:val="23"/>
        <w:tabs>
          <w:tab w:val="left" w:pos="993"/>
        </w:tabs>
        <w:spacing w:after="0" w:line="360" w:lineRule="auto"/>
        <w:ind w:firstLine="240" w:firstLineChars="100"/>
        <w:rPr>
          <w:rFonts w:hint="eastAsia" w:ascii="宋体" w:hAnsi="宋体" w:eastAsia="宋体" w:cs="宋体"/>
          <w:bCs/>
          <w:color w:val="auto"/>
          <w:szCs w:val="21"/>
          <w:highlight w:val="none"/>
        </w:rPr>
      </w:pPr>
      <w:r>
        <w:rPr>
          <w:rFonts w:hint="eastAsia" w:ascii="宋体" w:hAnsi="宋体" w:eastAsia="宋体" w:cs="宋体"/>
          <w:color w:val="auto"/>
          <w:highlight w:val="none"/>
        </w:rPr>
        <w:t>注</w:t>
      </w:r>
      <w:r>
        <w:rPr>
          <w:rFonts w:hint="eastAsia" w:ascii="宋体" w:hAnsi="宋体" w:eastAsia="宋体" w:cs="宋体"/>
          <w:color w:val="auto"/>
          <w:highlight w:val="none"/>
          <w:lang w:eastAsia="zh-CN"/>
        </w:rPr>
        <w:t>：</w:t>
      </w:r>
      <w:r>
        <w:rPr>
          <w:rFonts w:hint="eastAsia"/>
          <w:highlight w:val="none"/>
        </w:rPr>
        <w:t>以上金额包括</w:t>
      </w:r>
      <w:r>
        <w:rPr>
          <w:rFonts w:hint="eastAsia" w:ascii="宋体" w:hAnsi="宋体" w:cs="宋体"/>
          <w:highlight w:val="none"/>
        </w:rPr>
        <w:t>设备的生产、供货、装卸运输、送货上门、安装调试、附件、辅材、备品备件、专用工具、税金、验收、辅助工作及售后服务等完成该项目的所有费用</w:t>
      </w:r>
      <w:r>
        <w:rPr>
          <w:rFonts w:hint="eastAsia" w:ascii="宋体" w:hAnsi="宋体" w:cs="宋体"/>
          <w:bCs/>
          <w:highlight w:val="none"/>
        </w:rPr>
        <w:t>。</w:t>
      </w:r>
    </w:p>
    <w:p w14:paraId="00E26DE8">
      <w:pPr>
        <w:keepNext w:val="0"/>
        <w:keepLines w:val="0"/>
        <w:pageBreakBefore w:val="0"/>
        <w:tabs>
          <w:tab w:val="left" w:pos="5500"/>
        </w:tabs>
        <w:kinsoku/>
        <w:wordWrap/>
        <w:overflowPunct/>
        <w:topLinePunct w:val="0"/>
        <w:autoSpaceDE w:val="0"/>
        <w:bidi w:val="0"/>
        <w:adjustRightInd w:val="0"/>
        <w:spacing w:line="440" w:lineRule="exact"/>
        <w:ind w:firstLine="48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第二条：质量要求</w:t>
      </w:r>
    </w:p>
    <w:p w14:paraId="018727AB">
      <w:pPr>
        <w:keepNext w:val="0"/>
        <w:keepLines w:val="0"/>
        <w:pageBreakBefore w:val="0"/>
        <w:tabs>
          <w:tab w:val="left" w:pos="5500"/>
        </w:tabs>
        <w:kinsoku/>
        <w:wordWrap/>
        <w:overflowPunct/>
        <w:topLinePunct w:val="0"/>
        <w:autoSpaceDE w:val="0"/>
        <w:bidi w:val="0"/>
        <w:adjustRightInd w:val="0"/>
        <w:spacing w:line="44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乙方保证所供商品(包括商品部件、配件)是</w:t>
      </w:r>
      <w:r>
        <w:rPr>
          <w:rFonts w:hint="eastAsia" w:ascii="宋体" w:hAnsi="宋体" w:eastAsia="宋体" w:cs="宋体"/>
          <w:color w:val="auto"/>
          <w:kern w:val="0"/>
          <w:sz w:val="24"/>
          <w:highlight w:val="none"/>
          <w:lang w:eastAsia="zh-CN"/>
        </w:rPr>
        <w:t>202</w:t>
      </w:r>
      <w:r>
        <w:rPr>
          <w:rFonts w:hint="eastAsia" w:ascii="宋体" w:hAnsi="宋体" w:cs="宋体"/>
          <w:color w:val="auto"/>
          <w:kern w:val="0"/>
          <w:sz w:val="24"/>
          <w:highlight w:val="none"/>
          <w:lang w:val="en-US" w:eastAsia="zh-CN"/>
        </w:rPr>
        <w:t>5</w:t>
      </w:r>
      <w:r>
        <w:rPr>
          <w:rFonts w:hint="eastAsia" w:ascii="宋体" w:hAnsi="宋体" w:eastAsia="宋体" w:cs="宋体"/>
          <w:color w:val="auto"/>
          <w:kern w:val="0"/>
          <w:sz w:val="24"/>
          <w:highlight w:val="none"/>
        </w:rPr>
        <w:t>年以后新生</w:t>
      </w:r>
      <w:r>
        <w:rPr>
          <w:rFonts w:hint="eastAsia" w:ascii="宋体" w:hAnsi="宋体" w:eastAsia="宋体" w:cs="宋体"/>
          <w:color w:val="auto"/>
          <w:sz w:val="24"/>
          <w:highlight w:val="none"/>
        </w:rPr>
        <w:t>产的、未使用过的，</w:t>
      </w:r>
      <w:r>
        <w:rPr>
          <w:rFonts w:hint="eastAsia" w:ascii="宋体" w:hAnsi="宋体" w:eastAsia="宋体" w:cs="宋体"/>
          <w:color w:val="auto"/>
          <w:kern w:val="0"/>
          <w:sz w:val="24"/>
          <w:highlight w:val="none"/>
        </w:rPr>
        <w:t>符合国家规定的技术规格和质量标准的合格产品，并且是完全符合本次招标文件(包括补充更正，如有)中采购货物要求所规定的技术参数和质量要求。</w:t>
      </w:r>
    </w:p>
    <w:p w14:paraId="451B9EDF">
      <w:pPr>
        <w:keepNext w:val="0"/>
        <w:keepLines w:val="0"/>
        <w:pageBreakBefore w:val="0"/>
        <w:tabs>
          <w:tab w:val="left" w:pos="5500"/>
        </w:tabs>
        <w:kinsoku/>
        <w:wordWrap/>
        <w:overflowPunct/>
        <w:topLinePunct w:val="0"/>
        <w:autoSpaceDE w:val="0"/>
        <w:bidi w:val="0"/>
        <w:adjustRightInd w:val="0"/>
        <w:spacing w:line="440" w:lineRule="exact"/>
        <w:ind w:firstLine="472" w:firstLineChars="196"/>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第三条：合同履行时间、地点</w:t>
      </w:r>
    </w:p>
    <w:p w14:paraId="61C56EB5">
      <w:pPr>
        <w:keepNext w:val="0"/>
        <w:keepLines w:val="0"/>
        <w:pageBreakBefore w:val="0"/>
        <w:widowControl/>
        <w:numPr>
          <w:ilvl w:val="0"/>
          <w:numId w:val="2"/>
        </w:numPr>
        <w:kinsoku/>
        <w:wordWrap/>
        <w:overflowPunct/>
        <w:topLinePunct w:val="0"/>
        <w:autoSpaceDE w:val="0"/>
        <w:autoSpaceDN w:val="0"/>
        <w:bidi w:val="0"/>
        <w:spacing w:line="440" w:lineRule="exact"/>
        <w:ind w:left="-181" w:leftChars="-86" w:right="-178" w:rightChars="-85" w:firstLine="600" w:firstLineChars="250"/>
        <w:textAlignment w:val="bottom"/>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在签订合同后，必须在</w:t>
      </w:r>
      <w:r>
        <w:rPr>
          <w:rFonts w:hint="eastAsia" w:ascii="宋体" w:hAnsi="宋体" w:eastAsia="宋体" w:cs="宋体"/>
          <w:b/>
          <w:bCs/>
          <w:color w:val="auto"/>
          <w:sz w:val="24"/>
          <w:szCs w:val="24"/>
          <w:highlight w:val="none"/>
          <w:u w:val="single"/>
          <w:lang w:val="en-US" w:eastAsia="zh-CN"/>
        </w:rPr>
        <w:t xml:space="preserve">   </w:t>
      </w:r>
      <w:r>
        <w:rPr>
          <w:rFonts w:hint="eastAsia" w:ascii="宋体" w:hAnsi="宋体" w:eastAsia="宋体" w:cs="宋体"/>
          <w:b/>
          <w:bCs/>
          <w:color w:val="auto"/>
          <w:sz w:val="24"/>
          <w:szCs w:val="24"/>
          <w:highlight w:val="none"/>
          <w:u w:val="single"/>
        </w:rPr>
        <w:t>日历天</w:t>
      </w:r>
      <w:r>
        <w:rPr>
          <w:rFonts w:hint="eastAsia" w:ascii="宋体" w:hAnsi="宋体" w:eastAsia="宋体" w:cs="宋体"/>
          <w:color w:val="auto"/>
          <w:sz w:val="24"/>
          <w:szCs w:val="24"/>
          <w:highlight w:val="none"/>
        </w:rPr>
        <w:t>内按采购单位要求完成交货、调试并交付使用。如在规定的时间内由于供应商的原因不能完成交货的，供应商应承担由此给采购单位造成的损失。</w:t>
      </w:r>
    </w:p>
    <w:p w14:paraId="6DB5F5AD">
      <w:pPr>
        <w:keepNext w:val="0"/>
        <w:keepLines w:val="0"/>
        <w:pageBreakBefore w:val="0"/>
        <w:widowControl/>
        <w:numPr>
          <w:ilvl w:val="0"/>
          <w:numId w:val="2"/>
        </w:numPr>
        <w:kinsoku/>
        <w:wordWrap/>
        <w:overflowPunct/>
        <w:topLinePunct w:val="0"/>
        <w:autoSpaceDE w:val="0"/>
        <w:autoSpaceDN w:val="0"/>
        <w:bidi w:val="0"/>
        <w:spacing w:line="440" w:lineRule="exact"/>
        <w:ind w:left="-181" w:leftChars="-86" w:right="-178" w:rightChars="-85" w:firstLine="600" w:firstLineChars="250"/>
        <w:textAlignment w:val="bottom"/>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合同履行地点：由甲方指定。</w:t>
      </w:r>
      <w:r>
        <w:rPr>
          <w:rFonts w:hint="eastAsia" w:ascii="宋体" w:hAnsi="宋体" w:eastAsia="宋体" w:cs="宋体"/>
          <w:color w:val="auto"/>
          <w:sz w:val="24"/>
          <w:szCs w:val="24"/>
          <w:highlight w:val="none"/>
        </w:rPr>
        <w:t xml:space="preserve"> </w:t>
      </w:r>
    </w:p>
    <w:p w14:paraId="5E0A1052">
      <w:pPr>
        <w:keepNext w:val="0"/>
        <w:keepLines w:val="0"/>
        <w:pageBreakBefore w:val="0"/>
        <w:widowControl/>
        <w:kinsoku/>
        <w:wordWrap/>
        <w:overflowPunct/>
        <w:topLinePunct w:val="0"/>
        <w:autoSpaceDE w:val="0"/>
        <w:autoSpaceDN w:val="0"/>
        <w:bidi w:val="0"/>
        <w:spacing w:line="440" w:lineRule="exact"/>
        <w:ind w:left="-181" w:leftChars="-86" w:right="-178" w:rightChars="-85" w:firstLine="600" w:firstLineChars="250"/>
        <w:textAlignment w:val="bottom"/>
        <w:rPr>
          <w:rFonts w:hint="eastAsia" w:ascii="宋体" w:hAnsi="宋体" w:eastAsia="宋体" w:cs="宋体"/>
          <w:color w:val="auto"/>
          <w:kern w:val="0"/>
          <w:sz w:val="24"/>
          <w:szCs w:val="22"/>
          <w:highlight w:val="none"/>
        </w:rPr>
      </w:pPr>
      <w:r>
        <w:rPr>
          <w:rFonts w:hint="eastAsia" w:ascii="宋体" w:hAnsi="宋体" w:eastAsia="宋体" w:cs="宋体"/>
          <w:color w:val="auto"/>
          <w:kern w:val="0"/>
          <w:sz w:val="24"/>
          <w:szCs w:val="22"/>
          <w:highlight w:val="none"/>
        </w:rPr>
        <w:t>3. 凡合同所列机型停产或市场断货，乙方可在不改变品牌、机型、档次、基本功能等前提下，提供相应配置或高于原配置的商品。</w:t>
      </w:r>
    </w:p>
    <w:p w14:paraId="031C7638">
      <w:pPr>
        <w:keepNext w:val="0"/>
        <w:keepLines w:val="0"/>
        <w:pageBreakBefore w:val="0"/>
        <w:tabs>
          <w:tab w:val="left" w:pos="5500"/>
        </w:tabs>
        <w:kinsoku/>
        <w:wordWrap/>
        <w:overflowPunct/>
        <w:topLinePunct w:val="0"/>
        <w:autoSpaceDE w:val="0"/>
        <w:bidi w:val="0"/>
        <w:adjustRightInd w:val="0"/>
        <w:spacing w:line="440" w:lineRule="exact"/>
        <w:ind w:firstLine="48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第四条：验收时间、组织</w:t>
      </w:r>
    </w:p>
    <w:p w14:paraId="70C585F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w:t>
      </w:r>
      <w:r>
        <w:rPr>
          <w:rFonts w:hint="eastAsia" w:ascii="宋体" w:hAnsi="宋体" w:eastAsia="宋体" w:cs="宋体"/>
          <w:b w:val="0"/>
          <w:bCs w:val="0"/>
          <w:color w:val="auto"/>
          <w:sz w:val="24"/>
          <w:highlight w:val="none"/>
          <w:lang w:val="en-US" w:eastAsia="zh-CN"/>
        </w:rPr>
        <w:t>乙方应提供系统设备的有效检验材料，经甲方认可后，与合同的技术指标一起作为验收标准。甲方对系统设备验收合格后，在《采购验收反馈表》上签署意见并加盖单位公章。验收中发现系统设备达不到验收标准或合同规定的技术指标，乙方必须更换，并负担由此给甲方造成的损失，直到验收合格为止。验收费用由乙方承担。</w:t>
      </w:r>
    </w:p>
    <w:p w14:paraId="47262619">
      <w:pPr>
        <w:pStyle w:val="2"/>
        <w:ind w:left="437" w:leftChars="88" w:hanging="252" w:hangingChars="105"/>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注明生产地，车辆焊接、总装、完检等重点生产工艺必须在车辆制造商的总厂完成，不得委外加工；验车时发现不符合要求的，采购人有权拒绝接车，按废标处理并追究全部责任；投标人必须书面承诺：如不符合要求而引起一切法律责任，由投标人无条件承担。</w:t>
      </w:r>
    </w:p>
    <w:p w14:paraId="2B0B92F2">
      <w:pPr>
        <w:pStyle w:val="2"/>
        <w:ind w:left="437" w:leftChars="88" w:hanging="252" w:hangingChars="105"/>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highlight w:val="none"/>
          <w:lang w:val="en-US" w:eastAsia="zh-CN"/>
        </w:rPr>
        <w:t>3、总厂的判定：总厂的地址，必须在车辆制造商总厂的营业执照的登记地所在的地级市行政区域内。</w:t>
      </w:r>
    </w:p>
    <w:p w14:paraId="04A62DD8">
      <w:pPr>
        <w:keepNext w:val="0"/>
        <w:keepLines w:val="0"/>
        <w:pageBreakBefore w:val="0"/>
        <w:kinsoku/>
        <w:wordWrap/>
        <w:overflowPunct/>
        <w:topLinePunct w:val="0"/>
        <w:autoSpaceDE w:val="0"/>
        <w:bidi w:val="0"/>
        <w:adjustRightInd w:val="0"/>
        <w:spacing w:line="440" w:lineRule="exact"/>
        <w:ind w:firstLine="477" w:firstLineChars="198"/>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第五条：货款支付</w:t>
      </w:r>
    </w:p>
    <w:p w14:paraId="77699351">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根据合同、投标文件等资料进行验收。</w:t>
      </w:r>
    </w:p>
    <w:p w14:paraId="5303B11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项目款结算采取分期付款方式。</w:t>
      </w:r>
    </w:p>
    <w:p w14:paraId="4A2B35D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合同签订后，货物到场后10日历天内由</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向中标供应商支付合同总价的</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0%，安装调试完毕并验收合格后，中标供应商向</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提交相关资料后，由</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向中标供应商支付结算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0%货款。</w:t>
      </w:r>
    </w:p>
    <w:p w14:paraId="6DE5011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支付项目款时，中标供应商将结款申请1份、增值税专用全额发票及复印件1份、合同复印件1份、货物设备清单</w:t>
      </w:r>
      <w:r>
        <w:rPr>
          <w:rFonts w:hint="eastAsia" w:ascii="宋体" w:hAnsi="宋体" w:eastAsia="宋体" w:cs="宋体"/>
          <w:color w:val="auto"/>
          <w:sz w:val="24"/>
          <w:szCs w:val="24"/>
          <w:highlight w:val="none"/>
          <w:lang w:eastAsia="zh-CN"/>
        </w:rPr>
        <w:t>、质保承诺书</w:t>
      </w:r>
      <w:r>
        <w:rPr>
          <w:rFonts w:hint="eastAsia" w:ascii="宋体" w:hAnsi="宋体" w:eastAsia="宋体" w:cs="宋体"/>
          <w:color w:val="auto"/>
          <w:sz w:val="24"/>
          <w:szCs w:val="24"/>
          <w:highlight w:val="none"/>
        </w:rPr>
        <w:t>和经</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验收确认的《验收反馈表》和验收报告提交</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，由</w:t>
      </w:r>
      <w:r>
        <w:rPr>
          <w:rFonts w:hint="eastAsia" w:ascii="宋体" w:hAnsi="宋体" w:eastAsia="宋体" w:cs="宋体"/>
          <w:color w:val="auto"/>
          <w:sz w:val="24"/>
          <w:szCs w:val="24"/>
          <w:highlight w:val="none"/>
          <w:lang w:eastAsia="zh-CN"/>
        </w:rPr>
        <w:t>采购单位</w:t>
      </w:r>
      <w:r>
        <w:rPr>
          <w:rFonts w:hint="eastAsia" w:ascii="宋体" w:hAnsi="宋体" w:eastAsia="宋体" w:cs="宋体"/>
          <w:color w:val="auto"/>
          <w:sz w:val="24"/>
          <w:szCs w:val="24"/>
          <w:highlight w:val="none"/>
        </w:rPr>
        <w:t>向中标供应商支付结算当期项目款。</w:t>
      </w:r>
    </w:p>
    <w:p w14:paraId="6F626D56">
      <w:pPr>
        <w:keepNext w:val="0"/>
        <w:keepLines w:val="0"/>
        <w:pageBreakBefore w:val="0"/>
        <w:widowControl w:val="0"/>
        <w:kinsoku/>
        <w:wordWrap/>
        <w:overflowPunct/>
        <w:topLinePunct w:val="0"/>
        <w:autoSpaceDE/>
        <w:autoSpaceDN/>
        <w:bidi w:val="0"/>
        <w:adjustRightInd/>
        <w:snapToGrid/>
        <w:ind w:firstLine="482" w:firstLineChars="200"/>
        <w:textAlignment w:val="auto"/>
        <w:rPr>
          <w:rFonts w:hint="eastAsia" w:ascii="宋体" w:hAnsi="宋体" w:cs="宋体"/>
          <w:b/>
          <w:color w:val="auto"/>
          <w:sz w:val="24"/>
          <w:szCs w:val="24"/>
          <w:highlight w:val="none"/>
          <w:lang w:val="en-US" w:eastAsia="zh-CN"/>
        </w:rPr>
      </w:pPr>
      <w:r>
        <w:rPr>
          <w:rFonts w:hint="eastAsia" w:ascii="宋体" w:hAnsi="宋体" w:eastAsia="宋体" w:cs="宋体"/>
          <w:b/>
          <w:color w:val="auto"/>
          <w:sz w:val="24"/>
          <w:szCs w:val="24"/>
          <w:highlight w:val="none"/>
        </w:rPr>
        <w:t>第六条</w:t>
      </w:r>
      <w:r>
        <w:rPr>
          <w:rFonts w:hint="eastAsia" w:ascii="宋体" w:hAnsi="宋体" w:cs="宋体"/>
          <w:b/>
          <w:color w:val="auto"/>
          <w:sz w:val="24"/>
          <w:szCs w:val="24"/>
          <w:highlight w:val="none"/>
          <w:lang w:val="en-US" w:eastAsia="zh-CN"/>
        </w:rPr>
        <w:t>:履约保证金</w:t>
      </w:r>
    </w:p>
    <w:p w14:paraId="495D06D0">
      <w:pPr>
        <w:spacing w:line="360" w:lineRule="auto"/>
        <w:ind w:firstLine="480" w:firstLineChars="200"/>
        <w:rPr>
          <w:rFonts w:hint="eastAsia" w:ascii="宋体" w:hAnsi="宋体" w:eastAsia="宋体" w:cs="宋体"/>
          <w:color w:val="auto"/>
          <w:highlight w:val="none"/>
        </w:rPr>
        <w:sectPr>
          <w:pgSz w:w="11907" w:h="16840"/>
          <w:pgMar w:top="1474" w:right="1814" w:bottom="1474" w:left="1814" w:header="851" w:footer="851" w:gutter="0"/>
          <w:cols w:space="720" w:num="1"/>
        </w:sectPr>
      </w:pPr>
      <w:r>
        <w:rPr>
          <w:rFonts w:hint="eastAsia" w:ascii="宋体" w:hAnsi="宋体" w:eastAsia="宋体" w:cs="宋体"/>
          <w:color w:val="auto"/>
          <w:sz w:val="24"/>
          <w:szCs w:val="24"/>
          <w:highlight w:val="none"/>
          <w:lang w:val="en-US" w:eastAsia="zh-CN"/>
        </w:rPr>
        <w:t>在合同签订后7日内由中标供应商按合同总金额的5%交至采购单位指定帐户（</w:t>
      </w:r>
      <w:r>
        <w:rPr>
          <w:rFonts w:hint="eastAsia" w:ascii="宋体" w:hAnsi="宋体" w:eastAsia="宋体" w:cs="宋体"/>
          <w:color w:val="auto"/>
          <w:sz w:val="24"/>
          <w:szCs w:val="24"/>
          <w:highlight w:val="none"/>
        </w:rPr>
        <w:t>供应商应当以支票、汇票、本票等非现金形式提交。</w:t>
      </w:r>
      <w:r>
        <w:rPr>
          <w:rFonts w:hint="eastAsia" w:ascii="宋体" w:hAnsi="宋体" w:eastAsia="宋体" w:cs="宋体"/>
          <w:color w:val="auto"/>
          <w:sz w:val="24"/>
          <w:szCs w:val="24"/>
          <w:highlight w:val="none"/>
          <w:lang w:val="en-US" w:eastAsia="zh-CN"/>
        </w:rPr>
        <w:t>）。项目验收合格且质保期满后经回访无质量问题由采购单位无息退还。因供应商所供商品质量或服务原因造成采购单位损失的，采购单位有权要求供应商以其履约保证金作出补偿。</w:t>
      </w:r>
    </w:p>
    <w:p w14:paraId="3B3FBD66">
      <w:pPr>
        <w:keepNext w:val="0"/>
        <w:keepLines w:val="0"/>
        <w:pageBreakBefore w:val="0"/>
        <w:kinsoku/>
        <w:wordWrap/>
        <w:overflowPunct/>
        <w:topLinePunct w:val="0"/>
        <w:autoSpaceDE w:val="0"/>
        <w:bidi w:val="0"/>
        <w:adjustRightInd w:val="0"/>
        <w:spacing w:line="440" w:lineRule="exact"/>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第七条：售后服务</w:t>
      </w:r>
    </w:p>
    <w:p w14:paraId="35183A0A">
      <w:pPr>
        <w:keepNext w:val="0"/>
        <w:keepLines w:val="0"/>
        <w:pageBreakBefore w:val="0"/>
        <w:kinsoku/>
        <w:wordWrap/>
        <w:overflowPunct/>
        <w:topLinePunct w:val="0"/>
        <w:autoSpaceDE w:val="0"/>
        <w:bidi w:val="0"/>
        <w:adjustRightInd w:val="0"/>
        <w:spacing w:line="440" w:lineRule="exact"/>
        <w:ind w:firstLine="501" w:firstLineChars="209"/>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rPr>
        <w:t>售后服务按不低于国家质量监督检验检疫总局和国家其他有关规定执行，国家没有规</w:t>
      </w:r>
      <w:r>
        <w:rPr>
          <w:rFonts w:hint="eastAsia" w:ascii="宋体" w:hAnsi="宋体" w:eastAsia="宋体" w:cs="宋体"/>
          <w:color w:val="auto"/>
          <w:sz w:val="24"/>
          <w:szCs w:val="24"/>
          <w:highlight w:val="none"/>
        </w:rPr>
        <w:t>定的按厂商规定执行。国家规定标准低于厂商标准的按厂商标准执行。</w:t>
      </w:r>
    </w:p>
    <w:p w14:paraId="00A206AA">
      <w:pPr>
        <w:keepNext w:val="0"/>
        <w:keepLines w:val="0"/>
        <w:pageBreakBefore w:val="0"/>
        <w:kinsoku/>
        <w:wordWrap/>
        <w:overflowPunct/>
        <w:topLinePunct w:val="0"/>
        <w:autoSpaceDE w:val="0"/>
        <w:bidi w:val="0"/>
        <w:adjustRightInd w:val="0"/>
        <w:spacing w:line="44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本项目所有设备的质保期为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年</w:t>
      </w:r>
      <w:r>
        <w:rPr>
          <w:rFonts w:hint="eastAsia" w:ascii="宋体" w:hAnsi="宋体" w:eastAsia="宋体" w:cs="宋体"/>
          <w:color w:val="000000" w:themeColor="text1"/>
          <w:kern w:val="0"/>
          <w:sz w:val="24"/>
          <w:highlight w:val="none"/>
          <w14:textFill>
            <w14:solidFill>
              <w14:schemeClr w14:val="tx1"/>
            </w14:solidFill>
          </w14:textFill>
        </w:rPr>
        <w:t>（规格参数内有注明的以规格参数要求</w:t>
      </w:r>
      <w:r>
        <w:rPr>
          <w:rFonts w:hint="eastAsia" w:ascii="宋体" w:hAnsi="宋体" w:cs="宋体"/>
          <w:color w:val="000000" w:themeColor="text1"/>
          <w:kern w:val="0"/>
          <w:sz w:val="24"/>
          <w:highlight w:val="none"/>
          <w:lang w:eastAsia="zh-CN"/>
          <w14:textFill>
            <w14:solidFill>
              <w14:schemeClr w14:val="tx1"/>
            </w14:solidFill>
          </w14:textFill>
        </w:rPr>
        <w:t>及质保承诺书</w:t>
      </w:r>
      <w:r>
        <w:rPr>
          <w:rFonts w:hint="eastAsia" w:ascii="宋体" w:hAnsi="宋体" w:eastAsia="宋体" w:cs="宋体"/>
          <w:color w:val="000000" w:themeColor="text1"/>
          <w:kern w:val="0"/>
          <w:sz w:val="24"/>
          <w:highlight w:val="none"/>
          <w14:textFill>
            <w14:solidFill>
              <w14:schemeClr w14:val="tx1"/>
            </w14:solidFill>
          </w14:textFill>
        </w:rPr>
        <w:t>为准）</w:t>
      </w:r>
      <w:r>
        <w:rPr>
          <w:rFonts w:hint="eastAsia" w:ascii="宋体" w:hAnsi="宋体" w:eastAsia="宋体" w:cs="宋体"/>
          <w:color w:val="auto"/>
          <w:kern w:val="0"/>
          <w:sz w:val="24"/>
          <w:highlight w:val="none"/>
        </w:rPr>
        <w:t>。合同标的保修期自标的验收合格并签字盖章后开始计算。合同标的出现故障的，乙方</w:t>
      </w:r>
      <w:r>
        <w:rPr>
          <w:rFonts w:hint="eastAsia" w:ascii="宋体" w:hAnsi="宋体" w:eastAsia="宋体" w:cs="宋体"/>
          <w:color w:val="auto"/>
          <w:sz w:val="24"/>
          <w:szCs w:val="24"/>
          <w:highlight w:val="none"/>
        </w:rPr>
        <w:t>在接到用户维修要求后供应商应承诺在</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小时内响应并提出解决方案，</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小时之内到现场对故障进行处理。维修过程中所需材料供应商在接到通知后应及时提供，最长不超过</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rPr>
        <w:t>小时必须送达采购单位。若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小时内无法修复的，应</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小时内提供相应备用设备并负责安装调试。</w:t>
      </w:r>
      <w:r>
        <w:rPr>
          <w:rFonts w:hint="eastAsia" w:ascii="宋体" w:hAnsi="宋体" w:eastAsia="宋体" w:cs="宋体"/>
          <w:color w:val="auto"/>
          <w:kern w:val="0"/>
          <w:sz w:val="24"/>
          <w:highlight w:val="none"/>
        </w:rPr>
        <w:t>保质期内因不能排除的故障而影响工作的情况每发生一次，其质保期相应延长60天，质保期内因产品本身缺陷造成各种故障应由</w:t>
      </w:r>
      <w:r>
        <w:rPr>
          <w:rFonts w:hint="eastAsia" w:ascii="宋体" w:hAnsi="宋体" w:eastAsia="宋体" w:cs="宋体"/>
          <w:color w:val="auto"/>
          <w:kern w:val="0"/>
          <w:sz w:val="24"/>
          <w:highlight w:val="none"/>
          <w:lang w:eastAsia="zh-CN"/>
        </w:rPr>
        <w:t>乙方</w:t>
      </w:r>
      <w:r>
        <w:rPr>
          <w:rFonts w:hint="eastAsia" w:ascii="宋体" w:hAnsi="宋体" w:eastAsia="宋体" w:cs="宋体"/>
          <w:color w:val="auto"/>
          <w:kern w:val="0"/>
          <w:sz w:val="24"/>
          <w:highlight w:val="none"/>
        </w:rPr>
        <w:t>免费技术服务和维修。</w:t>
      </w:r>
    </w:p>
    <w:p w14:paraId="73ABCB8C">
      <w:pPr>
        <w:keepNext w:val="0"/>
        <w:keepLines w:val="0"/>
        <w:pageBreakBefore w:val="0"/>
        <w:kinsoku/>
        <w:wordWrap/>
        <w:overflowPunct/>
        <w:topLinePunct w:val="0"/>
        <w:autoSpaceDE w:val="0"/>
        <w:bidi w:val="0"/>
        <w:adjustRightInd w:val="0"/>
        <w:spacing w:line="440" w:lineRule="exact"/>
        <w:ind w:firstLine="480"/>
        <w:jc w:val="left"/>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所有设备保修服务方式均为乙方上门保修，即由乙方派技术人员到甲方设备使用现场维修，由此产生的一切费用均由乙方承担。</w:t>
      </w:r>
    </w:p>
    <w:p w14:paraId="0DDBBC7D">
      <w:pPr>
        <w:keepNext w:val="0"/>
        <w:keepLines w:val="0"/>
        <w:pageBreakBefore w:val="0"/>
        <w:kinsoku/>
        <w:wordWrap/>
        <w:overflowPunct/>
        <w:topLinePunct w:val="0"/>
        <w:autoSpaceDE w:val="0"/>
        <w:bidi w:val="0"/>
        <w:adjustRightInd w:val="0"/>
        <w:spacing w:line="440" w:lineRule="exact"/>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乙方应保证提供本项目所有设备所需配件至少8年的备件和技术支持服务，如因生产厂商停产，可用同品牌更高型号的兼容设备代替，其价格参考中标价格。</w:t>
      </w:r>
    </w:p>
    <w:p w14:paraId="62B096E0">
      <w:pPr>
        <w:keepNext w:val="0"/>
        <w:keepLines w:val="0"/>
        <w:pageBreakBefore w:val="0"/>
        <w:kinsoku/>
        <w:wordWrap/>
        <w:overflowPunct/>
        <w:topLinePunct w:val="0"/>
        <w:autoSpaceDE w:val="0"/>
        <w:bidi w:val="0"/>
        <w:adjustRightInd w:val="0"/>
        <w:spacing w:line="440" w:lineRule="exact"/>
        <w:jc w:val="left"/>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b/>
          <w:color w:val="auto"/>
          <w:kern w:val="0"/>
          <w:sz w:val="24"/>
          <w:highlight w:val="none"/>
        </w:rPr>
        <w:t>第八条：</w:t>
      </w:r>
      <w:r>
        <w:rPr>
          <w:rFonts w:hint="eastAsia" w:ascii="宋体" w:hAnsi="宋体" w:eastAsia="宋体" w:cs="宋体"/>
          <w:b/>
          <w:color w:val="auto"/>
          <w:sz w:val="24"/>
          <w:highlight w:val="none"/>
        </w:rPr>
        <w:t>乙</w:t>
      </w:r>
      <w:r>
        <w:rPr>
          <w:rFonts w:hint="eastAsia" w:ascii="宋体" w:hAnsi="宋体" w:eastAsia="宋体" w:cs="宋体"/>
          <w:b/>
          <w:color w:val="auto"/>
          <w:kern w:val="0"/>
          <w:sz w:val="24"/>
          <w:highlight w:val="none"/>
        </w:rPr>
        <w:t>方承担合同标的供货、安装及交付前的一切费用(包括不可预见费用)和市场风险。</w:t>
      </w:r>
    </w:p>
    <w:p w14:paraId="4AE493FC">
      <w:pPr>
        <w:keepNext w:val="0"/>
        <w:keepLines w:val="0"/>
        <w:pageBreakBefore w:val="0"/>
        <w:kinsoku/>
        <w:wordWrap/>
        <w:overflowPunct/>
        <w:topLinePunct w:val="0"/>
        <w:autoSpaceDE w:val="0"/>
        <w:bidi w:val="0"/>
        <w:adjustRightInd w:val="0"/>
        <w:spacing w:line="440" w:lineRule="exact"/>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第九条：其他约定：</w:t>
      </w:r>
    </w:p>
    <w:p w14:paraId="49E13D4A">
      <w:pPr>
        <w:keepNext w:val="0"/>
        <w:keepLines w:val="0"/>
        <w:pageBreakBefore w:val="0"/>
        <w:kinsoku/>
        <w:wordWrap/>
        <w:overflowPunct/>
        <w:topLinePunct w:val="0"/>
        <w:autoSpaceDE w:val="0"/>
        <w:bidi w:val="0"/>
        <w:adjustRightInd w:val="0"/>
        <w:spacing w:line="440" w:lineRule="exact"/>
        <w:ind w:firstLine="482" w:firstLineChars="200"/>
        <w:jc w:val="left"/>
        <w:rPr>
          <w:rFonts w:hint="eastAsia" w:ascii="宋体" w:hAnsi="宋体" w:eastAsia="宋体" w:cs="宋体"/>
          <w:b/>
          <w:color w:val="auto"/>
          <w:kern w:val="0"/>
          <w:sz w:val="24"/>
          <w:highlight w:val="none"/>
          <w:u w:val="single"/>
        </w:rPr>
      </w:pPr>
      <w:r>
        <w:rPr>
          <w:rFonts w:hint="eastAsia" w:ascii="宋体" w:hAnsi="宋体" w:eastAsia="宋体" w:cs="宋体"/>
          <w:b/>
          <w:color w:val="auto"/>
          <w:kern w:val="0"/>
          <w:sz w:val="24"/>
          <w:highlight w:val="none"/>
          <w:u w:val="single"/>
        </w:rPr>
        <w:t xml:space="preserve"> 按招标文件要求及投标文件内容提供设备及服务。                         </w:t>
      </w:r>
    </w:p>
    <w:p w14:paraId="5B86A7B0">
      <w:pPr>
        <w:keepNext w:val="0"/>
        <w:keepLines w:val="0"/>
        <w:pageBreakBefore w:val="0"/>
        <w:kinsoku/>
        <w:wordWrap/>
        <w:overflowPunct/>
        <w:topLinePunct w:val="0"/>
        <w:bidi w:val="0"/>
        <w:spacing w:line="440" w:lineRule="exact"/>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b/>
          <w:color w:val="auto"/>
          <w:sz w:val="24"/>
          <w:highlight w:val="none"/>
        </w:rPr>
        <w:t>第十条  违约责任</w:t>
      </w:r>
    </w:p>
    <w:p w14:paraId="1917EC69">
      <w:pPr>
        <w:keepNext w:val="0"/>
        <w:keepLines w:val="0"/>
        <w:pageBreakBefore w:val="0"/>
        <w:kinsoku/>
        <w:wordWrap/>
        <w:overflowPunct/>
        <w:topLinePunct w:val="0"/>
        <w:autoSpaceDE w:val="0"/>
        <w:bidi w:val="0"/>
        <w:adjustRightInd w:val="0"/>
        <w:spacing w:line="44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由于乙方原因(除不可抗力外)不能按期交付合同标的，对超出交付期的每一天，乙方应按合同总价款的千分之三承担违约金，在合同货款支付时一次性扣除。若超出交付期十天(含十天)以上的，甲方有权终止合同，质量保证金不予退还。</w:t>
      </w:r>
    </w:p>
    <w:p w14:paraId="0ED776AA">
      <w:pPr>
        <w:keepNext w:val="0"/>
        <w:keepLines w:val="0"/>
        <w:pageBreakBefore w:val="0"/>
        <w:kinsoku/>
        <w:wordWrap/>
        <w:overflowPunct/>
        <w:topLinePunct w:val="0"/>
        <w:autoSpaceDE w:val="0"/>
        <w:bidi w:val="0"/>
        <w:adjustRightInd w:val="0"/>
        <w:spacing w:line="440" w:lineRule="exact"/>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乙方按合同要求将货物送达甲方后，超出付款期，甲方每逾一天，甲方应向乙方支付合同货物金额的千分之三的滞纳金。如遇特殊情况甲方要求推迟供货或验收的，必须事先征得乙方的同意，否则应承担由此给乙方造成的损失。</w:t>
      </w:r>
    </w:p>
    <w:p w14:paraId="18720C17">
      <w:pPr>
        <w:keepNext w:val="0"/>
        <w:keepLines w:val="0"/>
        <w:pageBreakBefore w:val="0"/>
        <w:kinsoku/>
        <w:wordWrap/>
        <w:overflowPunct/>
        <w:topLinePunct w:val="0"/>
        <w:autoSpaceDE w:val="0"/>
        <w:bidi w:val="0"/>
        <w:adjustRightInd w:val="0"/>
        <w:spacing w:line="440" w:lineRule="exact"/>
        <w:ind w:firstLine="504" w:firstLineChars="209"/>
        <w:jc w:val="left"/>
        <w:rPr>
          <w:rFonts w:hint="eastAsia" w:ascii="宋体" w:hAnsi="宋体" w:eastAsia="宋体" w:cs="宋体"/>
          <w:b/>
          <w:color w:val="auto"/>
          <w:kern w:val="0"/>
          <w:sz w:val="24"/>
          <w:highlight w:val="none"/>
        </w:rPr>
      </w:pPr>
    </w:p>
    <w:p w14:paraId="6C846C3C">
      <w:pPr>
        <w:keepNext w:val="0"/>
        <w:keepLines w:val="0"/>
        <w:pageBreakBefore w:val="0"/>
        <w:kinsoku/>
        <w:wordWrap/>
        <w:overflowPunct/>
        <w:topLinePunct w:val="0"/>
        <w:autoSpaceDE w:val="0"/>
        <w:bidi w:val="0"/>
        <w:adjustRightInd w:val="0"/>
        <w:spacing w:line="440" w:lineRule="exact"/>
        <w:ind w:firstLine="504" w:firstLineChars="209"/>
        <w:jc w:val="left"/>
        <w:rPr>
          <w:rFonts w:hint="eastAsia" w:ascii="宋体" w:hAnsi="宋体" w:eastAsia="宋体" w:cs="宋体"/>
          <w:b/>
          <w:color w:val="auto"/>
          <w:kern w:val="0"/>
          <w:sz w:val="24"/>
          <w:highlight w:val="none"/>
        </w:rPr>
      </w:pPr>
    </w:p>
    <w:p w14:paraId="423C6002">
      <w:pPr>
        <w:keepNext w:val="0"/>
        <w:keepLines w:val="0"/>
        <w:pageBreakBefore w:val="0"/>
        <w:kinsoku/>
        <w:wordWrap/>
        <w:overflowPunct/>
        <w:topLinePunct w:val="0"/>
        <w:autoSpaceDE w:val="0"/>
        <w:bidi w:val="0"/>
        <w:adjustRightInd w:val="0"/>
        <w:spacing w:line="440" w:lineRule="exact"/>
        <w:ind w:firstLine="504" w:firstLineChars="209"/>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第十一条：争议的解决</w:t>
      </w:r>
    </w:p>
    <w:p w14:paraId="27C51013">
      <w:pPr>
        <w:keepNext w:val="0"/>
        <w:keepLines w:val="0"/>
        <w:pageBreakBefore w:val="0"/>
        <w:kinsoku/>
        <w:wordWrap/>
        <w:overflowPunct/>
        <w:topLinePunct w:val="0"/>
        <w:autoSpaceDE w:val="0"/>
        <w:bidi w:val="0"/>
        <w:adjustRightInd w:val="0"/>
        <w:spacing w:line="440" w:lineRule="exact"/>
        <w:ind w:firstLine="501" w:firstLineChars="20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1．因质量问题发生争议的，由</w:t>
      </w:r>
      <w:r>
        <w:rPr>
          <w:rFonts w:hint="eastAsia" w:ascii="宋体" w:hAnsi="宋体" w:eastAsia="宋体" w:cs="宋体"/>
          <w:color w:val="auto"/>
          <w:sz w:val="24"/>
          <w:highlight w:val="none"/>
        </w:rPr>
        <w:t>甲</w:t>
      </w:r>
      <w:r>
        <w:rPr>
          <w:rFonts w:hint="eastAsia" w:ascii="宋体" w:hAnsi="宋体" w:eastAsia="宋体" w:cs="宋体"/>
          <w:color w:val="auto"/>
          <w:kern w:val="0"/>
          <w:sz w:val="24"/>
          <w:highlight w:val="none"/>
        </w:rPr>
        <w:t>方委托有关技术部门进行质量鉴定，该鉴定的结论</w:t>
      </w:r>
      <w:r>
        <w:rPr>
          <w:rFonts w:hint="eastAsia" w:ascii="宋体" w:hAnsi="宋体" w:eastAsia="宋体" w:cs="宋体"/>
          <w:color w:val="auto"/>
          <w:sz w:val="24"/>
          <w:highlight w:val="none"/>
        </w:rPr>
        <w:t>甲</w:t>
      </w:r>
      <w:r>
        <w:rPr>
          <w:rFonts w:hint="eastAsia" w:ascii="宋体" w:hAnsi="宋体" w:eastAsia="宋体" w:cs="宋体"/>
          <w:bCs/>
          <w:color w:val="auto"/>
          <w:kern w:val="0"/>
          <w:sz w:val="24"/>
          <w:highlight w:val="none"/>
        </w:rPr>
        <w:t>乙</w:t>
      </w:r>
      <w:r>
        <w:rPr>
          <w:rFonts w:hint="eastAsia" w:ascii="宋体" w:hAnsi="宋体" w:eastAsia="宋体" w:cs="宋体"/>
          <w:color w:val="auto"/>
          <w:kern w:val="0"/>
          <w:sz w:val="24"/>
          <w:highlight w:val="none"/>
        </w:rPr>
        <w:t>双方应当接受，各方均有权直接向对方索赔，并签订书面处理协议书，报相关部门备案。</w:t>
      </w:r>
    </w:p>
    <w:p w14:paraId="69CC37BE">
      <w:pPr>
        <w:keepNext w:val="0"/>
        <w:keepLines w:val="0"/>
        <w:pageBreakBefore w:val="0"/>
        <w:kinsoku/>
        <w:wordWrap/>
        <w:overflowPunct/>
        <w:topLinePunct w:val="0"/>
        <w:autoSpaceDE w:val="0"/>
        <w:bidi w:val="0"/>
        <w:adjustRightInd w:val="0"/>
        <w:spacing w:line="440" w:lineRule="exact"/>
        <w:ind w:firstLine="501" w:firstLineChars="209"/>
        <w:jc w:val="left"/>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rPr>
        <w:t>2．双方无法通过协商解决合同争议的，任何一方有权向建德市人民法院提出诉讼。</w:t>
      </w:r>
    </w:p>
    <w:p w14:paraId="63D2FAB4">
      <w:pPr>
        <w:keepNext w:val="0"/>
        <w:keepLines w:val="0"/>
        <w:pageBreakBefore w:val="0"/>
        <w:kinsoku/>
        <w:wordWrap/>
        <w:overflowPunct/>
        <w:topLinePunct w:val="0"/>
        <w:bidi w:val="0"/>
        <w:spacing w:line="440" w:lineRule="exact"/>
        <w:ind w:firstLine="6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第十二条：合同的生效</w:t>
      </w:r>
    </w:p>
    <w:p w14:paraId="1DF75B1A">
      <w:pPr>
        <w:keepNext w:val="0"/>
        <w:keepLines w:val="0"/>
        <w:pageBreakBefore w:val="0"/>
        <w:kinsoku/>
        <w:wordWrap/>
        <w:overflowPunct/>
        <w:topLinePunct w:val="0"/>
        <w:autoSpaceDE w:val="0"/>
        <w:bidi w:val="0"/>
        <w:adjustRightInd w:val="0"/>
        <w:spacing w:line="440" w:lineRule="exact"/>
        <w:ind w:firstLine="501" w:firstLineChars="20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1．本合同一式陆份，甲、乙双方各执二份，见证单位一份，</w:t>
      </w:r>
      <w:r>
        <w:rPr>
          <w:rFonts w:hint="eastAsia" w:ascii="宋体" w:hAnsi="宋体" w:eastAsia="宋体" w:cs="宋体"/>
          <w:color w:val="auto"/>
          <w:kern w:val="0"/>
          <w:sz w:val="24"/>
          <w:highlight w:val="none"/>
          <w:lang w:eastAsia="zh-CN"/>
        </w:rPr>
        <w:t>建德市财政局国有资产管理服务中心</w:t>
      </w:r>
      <w:r>
        <w:rPr>
          <w:rFonts w:hint="eastAsia" w:ascii="宋体" w:hAnsi="宋体" w:eastAsia="宋体" w:cs="宋体"/>
          <w:color w:val="auto"/>
          <w:kern w:val="0"/>
          <w:sz w:val="24"/>
          <w:highlight w:val="none"/>
        </w:rPr>
        <w:t>一份。</w:t>
      </w:r>
    </w:p>
    <w:p w14:paraId="5DE33A79">
      <w:pPr>
        <w:keepNext w:val="0"/>
        <w:keepLines w:val="0"/>
        <w:pageBreakBefore w:val="0"/>
        <w:kinsoku/>
        <w:wordWrap/>
        <w:overflowPunct/>
        <w:topLinePunct w:val="0"/>
        <w:autoSpaceDE w:val="0"/>
        <w:bidi w:val="0"/>
        <w:adjustRightInd w:val="0"/>
        <w:spacing w:line="440" w:lineRule="exact"/>
        <w:ind w:firstLine="501" w:firstLineChars="209"/>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2．本合同经</w:t>
      </w:r>
      <w:r>
        <w:rPr>
          <w:rFonts w:hint="eastAsia" w:ascii="宋体" w:hAnsi="宋体" w:eastAsia="宋体" w:cs="宋体"/>
          <w:color w:val="auto"/>
          <w:sz w:val="24"/>
          <w:highlight w:val="none"/>
        </w:rPr>
        <w:t>甲</w:t>
      </w:r>
      <w:r>
        <w:rPr>
          <w:rFonts w:hint="eastAsia" w:ascii="宋体" w:hAnsi="宋体" w:eastAsia="宋体" w:cs="宋体"/>
          <w:bCs/>
          <w:color w:val="auto"/>
          <w:kern w:val="0"/>
          <w:sz w:val="24"/>
          <w:highlight w:val="none"/>
        </w:rPr>
        <w:t>乙</w:t>
      </w:r>
      <w:r>
        <w:rPr>
          <w:rFonts w:hint="eastAsia" w:ascii="宋体" w:hAnsi="宋体" w:eastAsia="宋体" w:cs="宋体"/>
          <w:color w:val="auto"/>
          <w:kern w:val="0"/>
          <w:sz w:val="24"/>
          <w:highlight w:val="none"/>
        </w:rPr>
        <w:t>双方法定代表人或委托代理人签字并加盖公章经见证方见证后生效。</w:t>
      </w:r>
    </w:p>
    <w:p w14:paraId="3C64C048">
      <w:pPr>
        <w:pStyle w:val="33"/>
        <w:keepNext w:val="0"/>
        <w:keepLines w:val="0"/>
        <w:pageBreakBefore w:val="0"/>
        <w:kinsoku/>
        <w:wordWrap/>
        <w:overflowPunct/>
        <w:topLinePunct w:val="0"/>
        <w:bidi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3．本合同未尽事宜，经双方商议可续签补充协议。该补充协议与本合同具有相同法律效力，但该补充协议的内容不能实质性修改招标文件的主要条款。</w:t>
      </w:r>
    </w:p>
    <w:p w14:paraId="3DE18FC5">
      <w:pPr>
        <w:pStyle w:val="33"/>
        <w:keepNext w:val="0"/>
        <w:keepLines w:val="0"/>
        <w:pageBreakBefore w:val="0"/>
        <w:kinsoku/>
        <w:wordWrap/>
        <w:overflowPunct/>
        <w:topLinePunct w:val="0"/>
        <w:bidi w:val="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4．本合同未涉及的部分以招标文件（项目编号：</w:t>
      </w:r>
      <w:r>
        <w:rPr>
          <w:rFonts w:hint="eastAsia" w:hAnsi="宋体" w:cs="宋体"/>
          <w:color w:val="auto"/>
          <w:highlight w:val="none"/>
          <w:lang w:val="en-US" w:eastAsia="zh-CN"/>
        </w:rPr>
        <w:t xml:space="preserve">  </w:t>
      </w:r>
      <w:r>
        <w:rPr>
          <w:rFonts w:hint="eastAsia" w:ascii="宋体" w:hAnsi="宋体" w:eastAsia="宋体" w:cs="宋体"/>
          <w:color w:val="auto"/>
          <w:highlight w:val="none"/>
          <w:lang w:eastAsia="zh-CN"/>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sz w:val="24"/>
          <w:highlight w:val="none"/>
        </w:rPr>
        <w:t>）(包括补充更正，如有)为准，上述招标文件与乙方针对本项目投标文件及记录是本合同的附件，与本合同具有同等法律效力，但附件与主合同的规定不一致时，以主合同为准。</w:t>
      </w:r>
    </w:p>
    <w:p w14:paraId="3C1DE32D">
      <w:pPr>
        <w:pStyle w:val="33"/>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甲方（盖章）：                        乙方（盖章）：</w:t>
      </w:r>
    </w:p>
    <w:p w14:paraId="1CA8300E">
      <w:pPr>
        <w:pStyle w:val="33"/>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法定代表人或受委托人                  法定代表人或受委托人</w:t>
      </w:r>
    </w:p>
    <w:p w14:paraId="3B25E7FD">
      <w:pPr>
        <w:pStyle w:val="33"/>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（签字）                              （签字）</w:t>
      </w:r>
    </w:p>
    <w:p w14:paraId="6A43F041">
      <w:pPr>
        <w:pStyle w:val="33"/>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地址：                                地址：</w:t>
      </w:r>
    </w:p>
    <w:p w14:paraId="292E8742">
      <w:pPr>
        <w:pStyle w:val="33"/>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邮编：                                邮编：</w:t>
      </w:r>
    </w:p>
    <w:p w14:paraId="0D9D2B42">
      <w:pPr>
        <w:pStyle w:val="33"/>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                                电话：</w:t>
      </w:r>
    </w:p>
    <w:p w14:paraId="4C2F2D6B">
      <w:pPr>
        <w:pStyle w:val="33"/>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传真：                                传真：</w:t>
      </w:r>
    </w:p>
    <w:p w14:paraId="238F8FA6">
      <w:pPr>
        <w:pStyle w:val="33"/>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签约时间： </w:t>
      </w:r>
      <w:r>
        <w:rPr>
          <w:rFonts w:hint="eastAsia" w:hAnsi="宋体" w:cs="宋体"/>
          <w:color w:val="auto"/>
          <w:sz w:val="24"/>
          <w:highlight w:val="none"/>
          <w:lang w:val="en-US" w:eastAsia="zh-CN"/>
        </w:rPr>
        <w:t xml:space="preserve"> </w:t>
      </w:r>
      <w:r>
        <w:rPr>
          <w:rFonts w:hint="eastAsia" w:ascii="宋体" w:hAnsi="宋体" w:eastAsia="宋体" w:cs="宋体"/>
          <w:color w:val="auto"/>
          <w:sz w:val="24"/>
          <w:highlight w:val="none"/>
        </w:rPr>
        <w:t>年   月   日</w:t>
      </w:r>
    </w:p>
    <w:p w14:paraId="4B339300">
      <w:pPr>
        <w:pStyle w:val="33"/>
        <w:snapToGrid w:val="0"/>
        <w:spacing w:line="42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签约地点：</w:t>
      </w:r>
      <w:r>
        <w:rPr>
          <w:rFonts w:hint="eastAsia" w:hAnsi="宋体" w:cs="宋体"/>
          <w:color w:val="auto"/>
          <w:sz w:val="24"/>
          <w:highlight w:val="none"/>
          <w:lang w:val="en-US" w:eastAsia="zh-CN"/>
        </w:rPr>
        <w:t xml:space="preserve"> </w:t>
      </w:r>
    </w:p>
    <w:p w14:paraId="4FE7195E">
      <w:pPr>
        <w:pStyle w:val="33"/>
        <w:snapToGrid w:val="0"/>
        <w:spacing w:line="360" w:lineRule="auto"/>
        <w:ind w:firstLine="480" w:firstLineChars="200"/>
        <w:rPr>
          <w:rFonts w:hint="eastAsia" w:ascii="宋体" w:hAnsi="宋体" w:eastAsia="宋体" w:cs="宋体"/>
          <w:color w:val="auto"/>
          <w:sz w:val="24"/>
          <w:highlight w:val="none"/>
        </w:rPr>
      </w:pPr>
    </w:p>
    <w:p w14:paraId="6127D3C5">
      <w:pPr>
        <w:pStyle w:val="33"/>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见证单位（盖章）:</w:t>
      </w:r>
    </w:p>
    <w:p w14:paraId="30BEC5A0">
      <w:pPr>
        <w:pStyle w:val="33"/>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法定代表人或受委托人（签字或盖章）：</w:t>
      </w:r>
    </w:p>
    <w:p w14:paraId="2362515F">
      <w:pPr>
        <w:pStyle w:val="33"/>
        <w:snapToGrid w:val="0"/>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时间：</w:t>
      </w:r>
      <w:r>
        <w:rPr>
          <w:rFonts w:hint="eastAsia" w:hAnsi="宋体" w:cs="宋体"/>
          <w:color w:val="auto"/>
          <w:sz w:val="24"/>
          <w:highlight w:val="none"/>
          <w:lang w:val="en-US" w:eastAsia="zh-CN"/>
        </w:rPr>
        <w:t xml:space="preserve"> </w:t>
      </w:r>
      <w:r>
        <w:rPr>
          <w:rFonts w:hint="eastAsia" w:ascii="宋体" w:hAnsi="宋体" w:eastAsia="宋体" w:cs="宋体"/>
          <w:color w:val="auto"/>
          <w:sz w:val="24"/>
          <w:highlight w:val="none"/>
        </w:rPr>
        <w:t>年  月  日</w:t>
      </w:r>
    </w:p>
    <w:p w14:paraId="334995A0">
      <w:pPr>
        <w:pStyle w:val="33"/>
        <w:snapToGrid w:val="0"/>
        <w:spacing w:line="360" w:lineRule="auto"/>
        <w:ind w:left="180" w:hanging="158" w:hangingChars="75"/>
        <w:rPr>
          <w:rFonts w:hint="eastAsia" w:ascii="仿宋" w:hAnsi="仿宋" w:eastAsia="仿宋" w:cs="仿宋"/>
          <w:color w:val="auto"/>
          <w:sz w:val="24"/>
          <w:szCs w:val="24"/>
          <w:highlight w:val="none"/>
        </w:rPr>
      </w:pPr>
      <w:r>
        <w:rPr>
          <w:rFonts w:hint="eastAsia" w:ascii="宋体" w:hAnsi="宋体" w:eastAsia="宋体" w:cs="宋体"/>
          <w:b/>
          <w:color w:val="auto"/>
          <w:highlight w:val="none"/>
        </w:rPr>
        <w:t>（注：合同签订各方必须将资料填写完整，否则不予见证）</w:t>
      </w:r>
    </w:p>
    <w:p w14:paraId="324C1251">
      <w:pPr>
        <w:rPr>
          <w:rFonts w:hint="eastAsia" w:ascii="宋体" w:hAnsi="宋体" w:eastAsia="宋体" w:cs="宋体"/>
          <w:color w:val="auto"/>
          <w:sz w:val="24"/>
          <w:highlight w:val="none"/>
          <w:u w:val="single"/>
        </w:rPr>
      </w:pPr>
    </w:p>
    <w:p w14:paraId="58518336">
      <w:pPr>
        <w:spacing w:line="480" w:lineRule="auto"/>
        <w:jc w:val="center"/>
        <w:rPr>
          <w:rFonts w:hint="eastAsia" w:ascii="宋体" w:hAnsi="宋体" w:eastAsia="宋体" w:cs="宋体"/>
          <w:b/>
          <w:color w:val="auto"/>
          <w:sz w:val="28"/>
          <w:szCs w:val="28"/>
          <w:highlight w:val="none"/>
        </w:rPr>
      </w:pPr>
    </w:p>
    <w:p w14:paraId="7FA790E4">
      <w:pPr>
        <w:spacing w:line="480" w:lineRule="auto"/>
        <w:jc w:val="both"/>
        <w:rPr>
          <w:rFonts w:hint="eastAsia" w:ascii="宋体" w:hAnsi="宋体" w:eastAsia="宋体" w:cs="宋体"/>
          <w:b/>
          <w:color w:val="auto"/>
          <w:sz w:val="24"/>
          <w:highlight w:val="none"/>
        </w:rPr>
      </w:pPr>
    </w:p>
    <w:p w14:paraId="17BF3DE6">
      <w:pPr>
        <w:spacing w:line="360" w:lineRule="auto"/>
        <w:ind w:left="-420" w:leftChars="-200" w:right="-420" w:rightChars="-200" w:firstLine="480" w:firstLineChars="200"/>
        <w:rPr>
          <w:rFonts w:hint="eastAsia" w:ascii="宋体" w:hAnsi="宋体" w:eastAsia="宋体" w:cs="宋体"/>
          <w:color w:val="auto"/>
          <w:sz w:val="24"/>
          <w:highlight w:val="none"/>
        </w:rPr>
      </w:pPr>
    </w:p>
    <w:p w14:paraId="56BA8556">
      <w:pPr>
        <w:spacing w:line="360" w:lineRule="auto"/>
        <w:ind w:left="-420" w:leftChars="-200" w:right="-420" w:rightChars="-200"/>
        <w:rPr>
          <w:rFonts w:hint="eastAsia" w:ascii="宋体" w:hAnsi="宋体" w:eastAsia="宋体" w:cs="宋体"/>
          <w:color w:val="auto"/>
          <w:sz w:val="24"/>
          <w:highlight w:val="none"/>
        </w:rPr>
      </w:pPr>
    </w:p>
    <w:p w14:paraId="764A57AC">
      <w:pPr>
        <w:pStyle w:val="2"/>
        <w:rPr>
          <w:rFonts w:hint="eastAsia" w:ascii="宋体" w:hAnsi="宋体" w:eastAsia="宋体" w:cs="宋体"/>
          <w:color w:val="auto"/>
          <w:highlight w:val="none"/>
        </w:rPr>
      </w:pPr>
    </w:p>
    <w:p w14:paraId="4E44E30B">
      <w:pPr>
        <w:rPr>
          <w:rFonts w:hint="eastAsia" w:ascii="宋体" w:hAnsi="宋体" w:eastAsia="宋体" w:cs="宋体"/>
          <w:color w:val="auto"/>
          <w:highlight w:val="none"/>
        </w:rPr>
      </w:pPr>
    </w:p>
    <w:p w14:paraId="6915E545">
      <w:pPr>
        <w:spacing w:line="360" w:lineRule="auto"/>
        <w:ind w:left="720" w:firstLine="723" w:firstLineChars="200"/>
        <w:outlineLvl w:val="0"/>
        <w:rPr>
          <w:rFonts w:hint="eastAsia" w:ascii="宋体" w:hAnsi="宋体" w:eastAsia="宋体" w:cs="宋体"/>
          <w:b/>
          <w:color w:val="auto"/>
          <w:sz w:val="36"/>
          <w:szCs w:val="20"/>
          <w:highlight w:val="none"/>
        </w:rPr>
      </w:pPr>
    </w:p>
    <w:p w14:paraId="13BC2318">
      <w:pPr>
        <w:spacing w:line="360" w:lineRule="auto"/>
        <w:ind w:left="720" w:firstLine="1446" w:firstLineChars="400"/>
        <w:outlineLvl w:val="0"/>
        <w:rPr>
          <w:rFonts w:hint="eastAsia" w:ascii="宋体" w:hAnsi="宋体" w:eastAsia="宋体" w:cs="宋体"/>
          <w:b/>
          <w:color w:val="auto"/>
          <w:sz w:val="36"/>
          <w:szCs w:val="20"/>
          <w:highlight w:val="none"/>
        </w:rPr>
      </w:pPr>
    </w:p>
    <w:p w14:paraId="6D664213">
      <w:pPr>
        <w:spacing w:line="360" w:lineRule="auto"/>
        <w:jc w:val="center"/>
        <w:outlineLvl w:val="0"/>
        <w:rPr>
          <w:rFonts w:hint="eastAsia" w:ascii="宋体" w:hAnsi="宋体" w:eastAsia="宋体" w:cs="宋体"/>
          <w:b/>
          <w:color w:val="auto"/>
          <w:sz w:val="36"/>
          <w:szCs w:val="20"/>
          <w:highlight w:val="none"/>
        </w:rPr>
      </w:pPr>
    </w:p>
    <w:p w14:paraId="6508F097">
      <w:pPr>
        <w:spacing w:line="360" w:lineRule="auto"/>
        <w:jc w:val="center"/>
        <w:outlineLvl w:val="0"/>
        <w:rPr>
          <w:rFonts w:hint="eastAsia" w:ascii="宋体" w:hAnsi="宋体" w:eastAsia="宋体" w:cs="宋体"/>
          <w:b/>
          <w:color w:val="auto"/>
          <w:sz w:val="36"/>
          <w:szCs w:val="20"/>
          <w:highlight w:val="none"/>
        </w:rPr>
      </w:pPr>
    </w:p>
    <w:p w14:paraId="4ABA4A35">
      <w:pPr>
        <w:spacing w:line="360" w:lineRule="auto"/>
        <w:jc w:val="center"/>
        <w:outlineLvl w:val="0"/>
        <w:rPr>
          <w:rFonts w:hint="eastAsia" w:ascii="宋体" w:hAnsi="宋体" w:eastAsia="宋体" w:cs="宋体"/>
          <w:b/>
          <w:color w:val="auto"/>
          <w:sz w:val="36"/>
          <w:szCs w:val="20"/>
          <w:highlight w:val="none"/>
        </w:rPr>
      </w:pPr>
    </w:p>
    <w:p w14:paraId="75008971">
      <w:pPr>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46"/>
      <w:r>
        <w:rPr>
          <w:rFonts w:hint="eastAsia" w:ascii="宋体" w:hAnsi="宋体" w:eastAsia="宋体" w:cs="宋体"/>
          <w:b/>
          <w:color w:val="auto"/>
          <w:sz w:val="36"/>
          <w:szCs w:val="20"/>
          <w:highlight w:val="none"/>
        </w:rPr>
        <w:t xml:space="preserve"> </w:t>
      </w:r>
      <w:bookmarkEnd w:id="47"/>
      <w:r>
        <w:rPr>
          <w:rFonts w:hint="eastAsia" w:ascii="宋体" w:hAnsi="宋体" w:eastAsia="宋体" w:cs="宋体"/>
          <w:b/>
          <w:color w:val="auto"/>
          <w:sz w:val="36"/>
          <w:szCs w:val="20"/>
          <w:highlight w:val="none"/>
        </w:rPr>
        <w:t>应提交的有关格式范例</w:t>
      </w:r>
    </w:p>
    <w:p w14:paraId="16C8828F">
      <w:pPr>
        <w:spacing w:line="360" w:lineRule="auto"/>
        <w:jc w:val="center"/>
        <w:outlineLvl w:val="0"/>
        <w:rPr>
          <w:rFonts w:hint="eastAsia" w:ascii="宋体" w:hAnsi="宋体" w:eastAsia="宋体" w:cs="宋体"/>
          <w:b/>
          <w:color w:val="auto"/>
          <w:kern w:val="0"/>
          <w:sz w:val="36"/>
          <w:szCs w:val="36"/>
          <w:highlight w:val="none"/>
        </w:rPr>
      </w:pPr>
    </w:p>
    <w:p w14:paraId="55BECF4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28A2A001">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50912585">
      <w:pPr>
        <w:spacing w:line="360" w:lineRule="auto"/>
        <w:jc w:val="center"/>
        <w:outlineLvl w:val="0"/>
        <w:rPr>
          <w:rFonts w:hint="eastAsia" w:ascii="宋体" w:hAnsi="宋体" w:eastAsia="宋体" w:cs="宋体"/>
          <w:b/>
          <w:color w:val="auto"/>
          <w:kern w:val="0"/>
          <w:sz w:val="36"/>
          <w:szCs w:val="36"/>
          <w:highlight w:val="none"/>
        </w:rPr>
      </w:pPr>
    </w:p>
    <w:p w14:paraId="686FBE4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（1）符合参加采购活动应当具备的一般条件的承诺函……………（页码）</w:t>
      </w:r>
    </w:p>
    <w:p w14:paraId="482924DF">
      <w:pPr>
        <w:snapToGrid w:val="0"/>
        <w:spacing w:line="360" w:lineRule="auto"/>
        <w:rPr>
          <w:rFonts w:hint="eastAsia" w:ascii="宋体" w:hAnsi="宋体" w:eastAsia="宋体" w:cs="宋体"/>
          <w:color w:val="auto"/>
          <w:sz w:val="24"/>
          <w:highlight w:val="yellow"/>
          <w:lang w:val="en-US" w:eastAsia="zh-CN"/>
        </w:rPr>
      </w:pPr>
      <w:r>
        <w:rPr>
          <w:rFonts w:hint="eastAsia" w:ascii="宋体" w:hAnsi="宋体" w:eastAsia="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val="en-US" w:eastAsia="zh-CN"/>
        </w:rPr>
        <w:t>2</w:t>
      </w:r>
      <w:r>
        <w:rPr>
          <w:rFonts w:hint="eastAsia" w:ascii="宋体" w:hAnsi="宋体" w:eastAsia="宋体" w:cs="宋体"/>
          <w:snapToGrid w:val="0"/>
          <w:color w:val="auto"/>
          <w:kern w:val="28"/>
          <w:sz w:val="24"/>
          <w:szCs w:val="20"/>
          <w:highlight w:val="none"/>
        </w:rPr>
        <w:t>）联合协议</w:t>
      </w:r>
      <w:r>
        <w:rPr>
          <w:rFonts w:hint="eastAsia" w:ascii="宋体" w:hAnsi="宋体" w:eastAsia="宋体" w:cs="宋体"/>
          <w:color w:val="auto"/>
          <w:sz w:val="24"/>
          <w:highlight w:val="none"/>
        </w:rPr>
        <w:t>………………………………………………………………（页码）</w:t>
      </w:r>
    </w:p>
    <w:p w14:paraId="08D984C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）本项目的特定资格要求………………………………………………（页码）</w:t>
      </w:r>
    </w:p>
    <w:p w14:paraId="42DEFCE2">
      <w:pPr>
        <w:snapToGrid w:val="0"/>
        <w:spacing w:line="360" w:lineRule="auto"/>
        <w:ind w:firstLine="480" w:firstLineChars="200"/>
        <w:rPr>
          <w:rFonts w:hint="eastAsia" w:ascii="宋体" w:hAnsi="宋体" w:eastAsia="宋体" w:cs="宋体"/>
          <w:color w:val="auto"/>
          <w:sz w:val="24"/>
          <w:highlight w:val="none"/>
        </w:rPr>
      </w:pPr>
    </w:p>
    <w:p w14:paraId="746DFD6F">
      <w:pPr>
        <w:spacing w:line="360" w:lineRule="auto"/>
        <w:ind w:firstLine="480" w:firstLineChars="200"/>
        <w:rPr>
          <w:rFonts w:hint="eastAsia" w:ascii="宋体" w:hAnsi="宋体" w:eastAsia="宋体" w:cs="宋体"/>
          <w:color w:val="auto"/>
          <w:sz w:val="24"/>
          <w:highlight w:val="none"/>
        </w:rPr>
      </w:pPr>
    </w:p>
    <w:p w14:paraId="651A01C7">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符合参加采购活动应当具备的一般条件的承诺函</w:t>
      </w:r>
    </w:p>
    <w:p w14:paraId="246DD92C">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建德市长运物资有限公司、</w:t>
      </w:r>
      <w:r>
        <w:rPr>
          <w:rFonts w:hint="eastAsia" w:ascii="宋体" w:hAnsi="宋体" w:cs="宋体"/>
          <w:color w:val="auto"/>
          <w:sz w:val="24"/>
          <w:highlight w:val="none"/>
          <w:u w:val="single"/>
          <w:lang w:val="en-US" w:eastAsia="zh-CN"/>
        </w:rPr>
        <w:t>浙江新诚信工程咨询有限公司</w:t>
      </w:r>
      <w:r>
        <w:rPr>
          <w:rFonts w:hint="eastAsia" w:ascii="宋体" w:hAnsi="宋体" w:eastAsia="宋体" w:cs="宋体"/>
          <w:color w:val="auto"/>
          <w:sz w:val="24"/>
          <w:highlight w:val="none"/>
          <w:u w:val="single"/>
        </w:rPr>
        <w:t>：</w:t>
      </w:r>
    </w:p>
    <w:p w14:paraId="5786450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w:t>
      </w:r>
      <w:r>
        <w:rPr>
          <w:rFonts w:hint="eastAsia" w:ascii="宋体" w:hAnsi="宋体" w:cs="宋体"/>
          <w:color w:val="auto"/>
          <w:sz w:val="24"/>
          <w:highlight w:val="none"/>
          <w:lang w:eastAsia="zh-CN"/>
        </w:rPr>
        <w:t>建德市长运物资有限公司公路旅游型柴油空调客车采购项目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ZJXCX2025B-002</w:t>
      </w:r>
      <w:r>
        <w:rPr>
          <w:rFonts w:hint="eastAsia" w:ascii="宋体" w:hAnsi="宋体" w:eastAsia="宋体" w:cs="宋体"/>
          <w:color w:val="auto"/>
          <w:sz w:val="24"/>
          <w:highlight w:val="none"/>
        </w:rPr>
        <w:t>】采购活动，郑重承诺：</w:t>
      </w:r>
    </w:p>
    <w:p w14:paraId="34BBE391">
      <w:pPr>
        <w:keepNext w:val="0"/>
        <w:keepLines w:val="0"/>
        <w:widowControl w:val="0"/>
        <w:suppressLineNumbers w:val="0"/>
        <w:adjustRightInd w:val="0"/>
        <w:snapToGrid w:val="0"/>
        <w:spacing w:before="0" w:beforeAutospacing="0" w:after="0" w:afterAutospacing="0" w:line="360" w:lineRule="auto"/>
        <w:ind w:left="0" w:right="0" w:firstLine="360" w:firstLineChars="150"/>
        <w:jc w:val="both"/>
        <w:rPr>
          <w:rFonts w:hint="eastAsia" w:ascii="宋体" w:hAnsi="宋体" w:eastAsia="宋体" w:cs="宋体"/>
          <w:color w:val="auto"/>
          <w:sz w:val="24"/>
          <w:highlight w:val="green"/>
        </w:rPr>
      </w:pPr>
      <w:r>
        <w:rPr>
          <w:rFonts w:hint="eastAsia" w:ascii="宋体" w:hAnsi="宋体" w:eastAsia="宋体" w:cs="宋体"/>
          <w:color w:val="auto"/>
          <w:sz w:val="24"/>
          <w:highlight w:val="none"/>
        </w:rPr>
        <w:t>（一）</w:t>
      </w:r>
      <w:r>
        <w:rPr>
          <w:rFonts w:hint="eastAsia" w:ascii="宋体" w:hAnsi="宋体" w:eastAsia="宋体" w:cs="宋体"/>
          <w:kern w:val="2"/>
          <w:sz w:val="24"/>
          <w:szCs w:val="24"/>
          <w:highlight w:val="none"/>
          <w:lang w:val="en-US" w:eastAsia="zh-CN" w:bidi="ar"/>
        </w:rPr>
        <w:t>具</w:t>
      </w:r>
      <w:r>
        <w:rPr>
          <w:rFonts w:hint="eastAsia" w:ascii="宋体" w:hAnsi="宋体" w:eastAsia="宋体" w:cs="宋体"/>
          <w:kern w:val="2"/>
          <w:sz w:val="24"/>
          <w:szCs w:val="24"/>
          <w:lang w:val="en-US" w:eastAsia="zh-CN" w:bidi="ar"/>
        </w:rPr>
        <w:t>备《中华人民共和国政府采购法》第二十二条第一款规定的条件：</w:t>
      </w:r>
    </w:p>
    <w:p w14:paraId="075D0A7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0071C4B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6B263B2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42B89ED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4FDB59C4">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2D87733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3BCA0EB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、中国政府采购网（www.ccgp.gov.cn）列入失信被执行人、</w:t>
      </w:r>
      <w:r>
        <w:rPr>
          <w:rFonts w:hint="eastAsia" w:ascii="宋体" w:hAnsi="宋体" w:eastAsia="宋体" w:cs="宋体"/>
          <w:color w:val="auto"/>
          <w:sz w:val="24"/>
          <w:highlight w:val="none"/>
          <w:lang w:eastAsia="zh-CN"/>
        </w:rPr>
        <w:t>重大税收违法失信主体</w:t>
      </w:r>
      <w:r>
        <w:rPr>
          <w:rFonts w:hint="eastAsia" w:ascii="宋体" w:hAnsi="宋体" w:eastAsia="宋体" w:cs="宋体"/>
          <w:color w:val="auto"/>
          <w:sz w:val="24"/>
          <w:highlight w:val="none"/>
        </w:rPr>
        <w:t>、政府采购严重违法失信行为记录名单。</w:t>
      </w:r>
    </w:p>
    <w:p w14:paraId="00C5237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124B607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1、单位负责人为同一人或者存在直接控股、管理关系的不同供应商参加同一合同项下的采购活动的；</w:t>
      </w:r>
    </w:p>
    <w:p w14:paraId="2133F97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50E1F3AA">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16A98D99">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EAA33B6">
      <w:pPr>
        <w:snapToGrid w:val="0"/>
        <w:spacing w:line="360" w:lineRule="auto"/>
        <w:ind w:right="480"/>
        <w:jc w:val="center"/>
        <w:rPr>
          <w:rFonts w:hint="eastAsia" w:ascii="宋体" w:hAnsi="宋体" w:eastAsia="宋体" w:cs="宋体"/>
          <w:b/>
          <w:color w:val="auto"/>
          <w:kern w:val="0"/>
          <w:sz w:val="32"/>
          <w:szCs w:val="32"/>
          <w:highlight w:val="none"/>
        </w:rPr>
      </w:pPr>
    </w:p>
    <w:p w14:paraId="3C836A1E">
      <w:pPr>
        <w:snapToGrid w:val="0"/>
        <w:spacing w:line="360" w:lineRule="auto"/>
        <w:ind w:right="480"/>
        <w:jc w:val="center"/>
        <w:rPr>
          <w:rFonts w:hint="eastAsia" w:ascii="宋体" w:hAnsi="宋体" w:eastAsia="宋体" w:cs="宋体"/>
          <w:b/>
          <w:color w:val="auto"/>
          <w:kern w:val="0"/>
          <w:sz w:val="32"/>
          <w:szCs w:val="32"/>
          <w:highlight w:val="none"/>
        </w:rPr>
      </w:pPr>
    </w:p>
    <w:p w14:paraId="31FEB5A4">
      <w:pPr>
        <w:snapToGrid w:val="0"/>
        <w:spacing w:line="360" w:lineRule="auto"/>
        <w:ind w:right="480"/>
        <w:jc w:val="center"/>
        <w:rPr>
          <w:rFonts w:hint="eastAsia" w:ascii="宋体" w:hAnsi="宋体" w:eastAsia="宋体" w:cs="宋体"/>
          <w:b/>
          <w:color w:val="auto"/>
          <w:kern w:val="0"/>
          <w:sz w:val="32"/>
          <w:szCs w:val="32"/>
          <w:highlight w:val="none"/>
        </w:rPr>
      </w:pPr>
    </w:p>
    <w:p w14:paraId="3110F4D5">
      <w:pPr>
        <w:rPr>
          <w:rFonts w:hint="eastAsia" w:ascii="宋体" w:hAnsi="宋体" w:eastAsia="宋体" w:cs="宋体"/>
          <w:color w:val="auto"/>
          <w:highlight w:val="none"/>
        </w:rPr>
      </w:pPr>
    </w:p>
    <w:p w14:paraId="01CFE096">
      <w:pPr>
        <w:snapToGrid w:val="0"/>
        <w:spacing w:line="360" w:lineRule="auto"/>
        <w:ind w:right="480"/>
        <w:jc w:val="center"/>
        <w:rPr>
          <w:rFonts w:hint="eastAsia" w:ascii="宋体" w:hAnsi="宋体" w:eastAsia="宋体" w:cs="宋体"/>
          <w:b/>
          <w:color w:val="auto"/>
          <w:kern w:val="0"/>
          <w:sz w:val="32"/>
          <w:szCs w:val="32"/>
          <w:highlight w:val="none"/>
        </w:rPr>
      </w:pPr>
    </w:p>
    <w:p w14:paraId="79670785">
      <w:pPr>
        <w:snapToGrid w:val="0"/>
        <w:spacing w:line="360" w:lineRule="auto"/>
        <w:ind w:right="480"/>
        <w:jc w:val="center"/>
        <w:rPr>
          <w:rFonts w:hint="eastAsia" w:ascii="宋体" w:hAnsi="宋体" w:eastAsia="宋体" w:cs="宋体"/>
          <w:b/>
          <w:color w:val="auto"/>
          <w:kern w:val="0"/>
          <w:sz w:val="32"/>
          <w:szCs w:val="32"/>
          <w:highlight w:val="none"/>
        </w:rPr>
      </w:pPr>
    </w:p>
    <w:p w14:paraId="71D00F67">
      <w:pPr>
        <w:snapToGrid w:val="0"/>
        <w:spacing w:line="360" w:lineRule="auto"/>
        <w:ind w:right="480"/>
        <w:jc w:val="both"/>
        <w:rPr>
          <w:rFonts w:hint="eastAsia" w:ascii="宋体" w:hAnsi="宋体" w:eastAsia="宋体" w:cs="宋体"/>
          <w:b/>
          <w:color w:val="auto"/>
          <w:kern w:val="0"/>
          <w:sz w:val="32"/>
          <w:szCs w:val="32"/>
          <w:highlight w:val="none"/>
        </w:rPr>
      </w:pPr>
    </w:p>
    <w:p w14:paraId="09CAF068">
      <w:pPr>
        <w:widowControl/>
        <w:spacing w:line="360" w:lineRule="auto"/>
        <w:ind w:firstLine="643" w:firstLineChars="200"/>
        <w:jc w:val="center"/>
        <w:rPr>
          <w:rFonts w:hint="eastAsia" w:ascii="宋体" w:hAnsi="宋体" w:cs="宋体"/>
          <w:b/>
          <w:color w:val="auto"/>
          <w:kern w:val="0"/>
          <w:sz w:val="32"/>
          <w:szCs w:val="32"/>
          <w:highlight w:val="none"/>
          <w:lang w:val="en-US" w:eastAsia="zh-CN"/>
        </w:rPr>
      </w:pPr>
    </w:p>
    <w:p w14:paraId="5BCAEC34">
      <w:pPr>
        <w:widowControl/>
        <w:spacing w:line="360" w:lineRule="auto"/>
        <w:ind w:firstLine="643" w:firstLineChars="200"/>
        <w:jc w:val="center"/>
        <w:rPr>
          <w:rFonts w:hint="eastAsia" w:ascii="宋体" w:hAnsi="宋体" w:cs="宋体"/>
          <w:b/>
          <w:color w:val="auto"/>
          <w:kern w:val="0"/>
          <w:sz w:val="32"/>
          <w:szCs w:val="32"/>
          <w:highlight w:val="none"/>
          <w:lang w:val="en-US" w:eastAsia="zh-CN"/>
        </w:rPr>
      </w:pPr>
    </w:p>
    <w:p w14:paraId="5BF936B1">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、联合协议（如果有）</w:t>
      </w:r>
    </w:p>
    <w:p w14:paraId="04CEDF65">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w:t>
      </w:r>
      <w:r>
        <w:rPr>
          <w:rFonts w:hint="eastAsia" w:ascii="宋体" w:hAnsi="宋体" w:cs="宋体"/>
          <w:b/>
          <w:color w:val="auto"/>
          <w:sz w:val="24"/>
          <w:highlight w:val="none"/>
          <w:lang w:val="en-US" w:eastAsia="zh-CN"/>
        </w:rPr>
        <w:t>（附件5）</w:t>
      </w:r>
      <w:r>
        <w:rPr>
          <w:rFonts w:hint="eastAsia" w:ascii="宋体" w:hAnsi="宋体" w:eastAsia="宋体" w:cs="宋体"/>
          <w:b/>
          <w:color w:val="auto"/>
          <w:sz w:val="24"/>
          <w:highlight w:val="none"/>
        </w:rPr>
        <w:t>；本项目不接受联合体投标或者投标人不以联合体形式投标的，则不需要提供]</w:t>
      </w:r>
    </w:p>
    <w:p w14:paraId="389B7F0E">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cs="宋体"/>
          <w:b/>
          <w:color w:val="auto"/>
          <w:kern w:val="0"/>
          <w:sz w:val="32"/>
          <w:szCs w:val="32"/>
          <w:highlight w:val="none"/>
          <w:lang w:val="en-US" w:eastAsia="zh-CN"/>
        </w:rPr>
      </w:pPr>
    </w:p>
    <w:p w14:paraId="45C94C90">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cs="宋体"/>
          <w:b/>
          <w:color w:val="auto"/>
          <w:kern w:val="0"/>
          <w:sz w:val="32"/>
          <w:szCs w:val="32"/>
          <w:highlight w:val="none"/>
          <w:lang w:val="en-US" w:eastAsia="zh-CN"/>
        </w:rPr>
      </w:pPr>
    </w:p>
    <w:p w14:paraId="71FF434C">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cs="宋体"/>
          <w:b/>
          <w:color w:val="auto"/>
          <w:kern w:val="0"/>
          <w:sz w:val="32"/>
          <w:szCs w:val="32"/>
          <w:highlight w:val="none"/>
          <w:lang w:val="en-US" w:eastAsia="zh-CN"/>
        </w:rPr>
      </w:pPr>
    </w:p>
    <w:p w14:paraId="0B858F7E">
      <w:pPr>
        <w:keepNext w:val="0"/>
        <w:keepLines w:val="0"/>
        <w:widowControl w:val="0"/>
        <w:suppressLineNumbers w:val="0"/>
        <w:adjustRightInd w:val="0"/>
        <w:spacing w:before="0" w:beforeAutospacing="0" w:after="0" w:afterAutospacing="0" w:line="360" w:lineRule="auto"/>
        <w:ind w:left="0" w:right="0"/>
        <w:jc w:val="both"/>
        <w:rPr>
          <w:rFonts w:hint="eastAsia" w:ascii="宋体" w:hAnsi="宋体" w:cs="宋体"/>
          <w:b/>
          <w:color w:val="auto"/>
          <w:kern w:val="0"/>
          <w:sz w:val="32"/>
          <w:szCs w:val="32"/>
          <w:highlight w:val="none"/>
          <w:lang w:val="en-US" w:eastAsia="zh-CN"/>
        </w:rPr>
      </w:pPr>
    </w:p>
    <w:p w14:paraId="4683798E">
      <w:pPr>
        <w:keepNext w:val="0"/>
        <w:keepLines w:val="0"/>
        <w:widowControl w:val="0"/>
        <w:suppressLineNumbers w:val="0"/>
        <w:adjustRightInd w:val="0"/>
        <w:spacing w:before="0" w:beforeAutospacing="0" w:after="0" w:afterAutospacing="0" w:line="360" w:lineRule="auto"/>
        <w:ind w:left="0" w:right="0"/>
        <w:jc w:val="center"/>
        <w:rPr>
          <w:rFonts w:hint="eastAsia" w:ascii="宋体" w:hAnsi="宋体" w:eastAsia="宋体" w:cs="仿宋_GB2312"/>
          <w:b/>
          <w:bCs w:val="0"/>
          <w:sz w:val="32"/>
          <w:szCs w:val="32"/>
          <w:lang w:val="en-US"/>
        </w:rPr>
      </w:pPr>
      <w:r>
        <w:rPr>
          <w:rFonts w:hint="eastAsia" w:ascii="宋体" w:hAnsi="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w:t>
      </w:r>
      <w:r>
        <w:rPr>
          <w:rFonts w:hint="eastAsia" w:ascii="宋体" w:hAnsi="宋体" w:eastAsia="宋体" w:cs="仿宋_GB2312"/>
          <w:b/>
          <w:bCs w:val="0"/>
          <w:kern w:val="2"/>
          <w:sz w:val="32"/>
          <w:szCs w:val="32"/>
          <w:lang w:val="en-US" w:eastAsia="zh-CN" w:bidi="ar"/>
        </w:rPr>
        <w:t>符合特定资格条件要求的资质文件（复印件）</w:t>
      </w:r>
    </w:p>
    <w:p w14:paraId="4A3BF9F7">
      <w:pPr>
        <w:keepNext w:val="0"/>
        <w:keepLines w:val="0"/>
        <w:widowControl/>
        <w:suppressLineNumbers w:val="0"/>
        <w:adjustRightInd w:val="0"/>
        <w:spacing w:before="0" w:beforeAutospacing="0" w:after="0" w:afterAutospacing="0" w:line="360" w:lineRule="auto"/>
        <w:ind w:left="0" w:right="0" w:firstLine="480" w:firstLineChars="200"/>
        <w:jc w:val="left"/>
        <w:rPr>
          <w:rFonts w:hint="eastAsia" w:ascii="宋体" w:hAnsi="宋体" w:eastAsia="宋体" w:cs="仿宋_GB2312"/>
          <w:sz w:val="24"/>
          <w:szCs w:val="24"/>
          <w:lang w:val="en-US"/>
        </w:rPr>
      </w:pPr>
      <w:r>
        <w:rPr>
          <w:rFonts w:hint="eastAsia" w:ascii="宋体" w:hAnsi="宋体" w:eastAsia="宋体" w:cs="仿宋_GB2312"/>
          <w:kern w:val="2"/>
          <w:sz w:val="24"/>
          <w:szCs w:val="24"/>
          <w:lang w:val="en-US" w:eastAsia="zh-CN" w:bidi="ar"/>
        </w:rPr>
        <w:t>（由供应商根据“招标文件第一部分”中“合格的供应商应具备的特定资格要求”编制；如果本项目没有设置特定资格条件，则不需要提供）</w:t>
      </w:r>
    </w:p>
    <w:p w14:paraId="02D09E36">
      <w:pPr>
        <w:keepNext w:val="0"/>
        <w:keepLines w:val="0"/>
        <w:widowControl/>
        <w:suppressLineNumbers w:val="0"/>
        <w:adjustRightInd w:val="0"/>
        <w:spacing w:before="0" w:beforeAutospacing="0" w:after="0" w:afterAutospacing="0" w:line="360" w:lineRule="auto"/>
        <w:ind w:left="0" w:right="0" w:firstLine="480" w:firstLineChars="200"/>
        <w:jc w:val="left"/>
        <w:rPr>
          <w:rFonts w:hint="eastAsia" w:ascii="宋体" w:hAnsi="宋体" w:eastAsia="宋体" w:cs="仿宋_GB2312"/>
          <w:sz w:val="24"/>
          <w:szCs w:val="24"/>
          <w:lang w:val="en-US"/>
        </w:rPr>
      </w:pPr>
    </w:p>
    <w:p w14:paraId="5B4F0903">
      <w:pPr>
        <w:keepNext w:val="0"/>
        <w:keepLines w:val="0"/>
        <w:widowControl w:val="0"/>
        <w:suppressLineNumbers w:val="0"/>
        <w:adjustRightInd w:val="0"/>
        <w:snapToGrid w:val="0"/>
        <w:spacing w:before="0" w:beforeAutospacing="0" w:after="0" w:afterAutospacing="0" w:line="360" w:lineRule="auto"/>
        <w:ind w:right="0"/>
        <w:jc w:val="right"/>
        <w:rPr>
          <w:rFonts w:hint="eastAsia" w:ascii="宋体" w:hAnsi="宋体" w:eastAsia="宋体" w:cs="仿宋_GB2312"/>
          <w:kern w:val="0"/>
          <w:sz w:val="24"/>
          <w:szCs w:val="24"/>
          <w:lang w:val="en-US"/>
        </w:rPr>
      </w:pPr>
      <w:r>
        <w:rPr>
          <w:rFonts w:hint="eastAsia" w:ascii="宋体" w:hAnsi="宋体" w:eastAsia="宋体" w:cs="仿宋_GB2312"/>
          <w:kern w:val="0"/>
          <w:sz w:val="24"/>
          <w:szCs w:val="24"/>
          <w:lang w:val="zh-CN" w:eastAsia="zh-CN" w:bidi="ar"/>
        </w:rPr>
        <w:t>供应商名称(电子签名)：</w:t>
      </w:r>
    </w:p>
    <w:p w14:paraId="339E6FA7">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仿宋_GB2312"/>
          <w:kern w:val="0"/>
          <w:sz w:val="24"/>
          <w:szCs w:val="24"/>
          <w:lang w:val="zh-CN" w:eastAsia="zh-CN"/>
        </w:rPr>
      </w:pPr>
      <w:r>
        <w:rPr>
          <w:rFonts w:hint="eastAsia" w:ascii="宋体" w:hAnsi="宋体" w:eastAsia="宋体" w:cs="仿宋_GB2312"/>
          <w:kern w:val="0"/>
          <w:sz w:val="24"/>
          <w:szCs w:val="24"/>
          <w:lang w:val="zh-CN" w:eastAsia="zh-CN" w:bidi="ar"/>
        </w:rPr>
        <w:t xml:space="preserve">                                              签发日期：  年  月   日</w:t>
      </w:r>
    </w:p>
    <w:p w14:paraId="77173863">
      <w:pPr>
        <w:widowControl/>
        <w:spacing w:line="360" w:lineRule="auto"/>
        <w:ind w:left="150"/>
        <w:jc w:val="center"/>
        <w:rPr>
          <w:rFonts w:hint="eastAsia" w:ascii="宋体" w:hAnsi="宋体" w:eastAsia="宋体" w:cs="宋体"/>
          <w:b/>
          <w:color w:val="auto"/>
          <w:kern w:val="0"/>
          <w:sz w:val="32"/>
          <w:szCs w:val="32"/>
          <w:highlight w:val="none"/>
          <w:lang w:eastAsia="zh-CN"/>
        </w:rPr>
      </w:pPr>
    </w:p>
    <w:p w14:paraId="525E4813">
      <w:pPr>
        <w:widowControl/>
        <w:spacing w:line="360" w:lineRule="auto"/>
        <w:ind w:firstLine="482" w:firstLineChars="200"/>
        <w:jc w:val="left"/>
        <w:rPr>
          <w:rFonts w:hint="eastAsia" w:ascii="宋体" w:hAnsi="宋体" w:eastAsia="宋体" w:cs="宋体"/>
          <w:b/>
          <w:color w:val="auto"/>
          <w:sz w:val="24"/>
          <w:highlight w:val="none"/>
        </w:rPr>
      </w:pPr>
    </w:p>
    <w:p w14:paraId="03E7C247">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32813EA">
      <w:pPr>
        <w:spacing w:line="360" w:lineRule="auto"/>
        <w:ind w:right="420"/>
        <w:jc w:val="center"/>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35185425">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10D08E44">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（1）投标函</w:t>
      </w:r>
      <w:r>
        <w:rPr>
          <w:rFonts w:hint="eastAsia" w:ascii="宋体" w:hAnsi="宋体" w:eastAsia="宋体" w:cs="宋体"/>
          <w:color w:val="auto"/>
          <w:sz w:val="20"/>
          <w:szCs w:val="22"/>
          <w:highlight w:val="none"/>
        </w:rPr>
        <w:t>…………………………………………………………………………………（页码）</w:t>
      </w:r>
      <w:r>
        <w:rPr>
          <w:rFonts w:hint="eastAsia" w:ascii="宋体" w:hAnsi="宋体" w:eastAsia="宋体" w:cs="宋体"/>
          <w:color w:val="auto"/>
          <w:sz w:val="22"/>
          <w:szCs w:val="22"/>
          <w:highlight w:val="none"/>
        </w:rPr>
        <w:t>（2）授权委托书或法定代表人（单位负责人、自然人本人）身份证明</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0"/>
          <w:szCs w:val="22"/>
          <w:highlight w:val="none"/>
        </w:rPr>
        <w:t>………（页码）</w:t>
      </w:r>
    </w:p>
    <w:p w14:paraId="08275DEB">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（3）分包意向协议</w:t>
      </w:r>
      <w:r>
        <w:rPr>
          <w:rFonts w:hint="eastAsia" w:ascii="宋体" w:hAnsi="宋体" w:eastAsia="宋体" w:cs="宋体"/>
          <w:color w:val="auto"/>
          <w:sz w:val="20"/>
          <w:szCs w:val="22"/>
          <w:highlight w:val="none"/>
        </w:rPr>
        <w:t>…………………………………………………………………………（页码）</w:t>
      </w:r>
    </w:p>
    <w:p w14:paraId="5135C0D1">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（4）符合性审查资料</w:t>
      </w:r>
      <w:r>
        <w:rPr>
          <w:rFonts w:hint="eastAsia" w:ascii="宋体" w:hAnsi="宋体" w:eastAsia="宋体" w:cs="宋体"/>
          <w:color w:val="auto"/>
          <w:sz w:val="20"/>
          <w:szCs w:val="22"/>
          <w:highlight w:val="none"/>
        </w:rPr>
        <w:t>………………………………………………………………………（页码）</w:t>
      </w:r>
    </w:p>
    <w:p w14:paraId="3E0E7F80">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（5）评标标准相应的商务技术资料</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……………（页码）</w:t>
      </w:r>
      <w:r>
        <w:rPr>
          <w:rFonts w:hint="eastAsia" w:ascii="宋体" w:hAnsi="宋体" w:eastAsia="宋体" w:cs="宋体"/>
          <w:color w:val="auto"/>
          <w:sz w:val="22"/>
          <w:szCs w:val="22"/>
          <w:highlight w:val="none"/>
        </w:rPr>
        <w:t>（6）投标标的清单</w:t>
      </w:r>
      <w:r>
        <w:rPr>
          <w:rFonts w:hint="eastAsia" w:ascii="宋体" w:hAnsi="宋体" w:eastAsia="宋体" w:cs="宋体"/>
          <w:color w:val="auto"/>
          <w:sz w:val="20"/>
          <w:szCs w:val="22"/>
          <w:highlight w:val="none"/>
        </w:rPr>
        <w:t>…</w:t>
      </w:r>
      <w:r>
        <w:rPr>
          <w:rFonts w:hint="eastAsia" w:ascii="宋体" w:hAnsi="宋体" w:eastAsia="宋体" w:cs="宋体"/>
          <w:color w:val="auto"/>
          <w:sz w:val="20"/>
          <w:szCs w:val="22"/>
          <w:highlight w:val="none"/>
          <w:lang w:val="en-US" w:eastAsia="zh-CN"/>
        </w:rPr>
        <w:t xml:space="preserve"> </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w:t>
      </w:r>
      <w:r>
        <w:rPr>
          <w:rFonts w:hint="eastAsia" w:ascii="宋体" w:hAnsi="宋体" w:eastAsia="宋体" w:cs="宋体"/>
          <w:color w:val="auto"/>
          <w:sz w:val="22"/>
          <w:szCs w:val="22"/>
          <w:highlight w:val="none"/>
        </w:rPr>
        <w:t>…</w:t>
      </w:r>
      <w:r>
        <w:rPr>
          <w:rFonts w:hint="eastAsia" w:ascii="宋体" w:hAnsi="宋体" w:eastAsia="宋体" w:cs="宋体"/>
          <w:color w:val="auto"/>
          <w:sz w:val="20"/>
          <w:szCs w:val="22"/>
          <w:highlight w:val="none"/>
        </w:rPr>
        <w:t>…………………（页码）</w:t>
      </w:r>
    </w:p>
    <w:p w14:paraId="55226AAE">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rPr>
        <w:t>（7）商务技术偏离表</w:t>
      </w:r>
      <w:r>
        <w:rPr>
          <w:rFonts w:hint="eastAsia" w:ascii="宋体" w:hAnsi="宋体" w:eastAsia="宋体" w:cs="宋体"/>
          <w:color w:val="auto"/>
          <w:sz w:val="20"/>
          <w:szCs w:val="22"/>
          <w:highlight w:val="none"/>
        </w:rPr>
        <w:t>………………………………………………………………………（页码）</w:t>
      </w:r>
    </w:p>
    <w:p w14:paraId="681E4FA2">
      <w:pPr>
        <w:snapToGrid w:val="0"/>
        <w:spacing w:line="360" w:lineRule="auto"/>
        <w:jc w:val="left"/>
        <w:rPr>
          <w:rFonts w:hint="eastAsia" w:ascii="宋体" w:hAnsi="宋体" w:eastAsia="宋体" w:cs="宋体"/>
          <w:color w:val="auto"/>
          <w:sz w:val="20"/>
          <w:szCs w:val="22"/>
          <w:highlight w:val="none"/>
        </w:rPr>
      </w:pPr>
      <w:r>
        <w:rPr>
          <w:rFonts w:hint="eastAsia" w:ascii="宋体" w:hAnsi="宋体" w:eastAsia="宋体" w:cs="宋体"/>
          <w:color w:val="auto"/>
          <w:sz w:val="22"/>
          <w:szCs w:val="22"/>
          <w:highlight w:val="none"/>
          <w:lang w:val="zh-CN"/>
        </w:rPr>
        <w:t>（</w:t>
      </w:r>
      <w:r>
        <w:rPr>
          <w:rFonts w:hint="eastAsia" w:ascii="宋体" w:hAnsi="宋体" w:eastAsia="宋体" w:cs="宋体"/>
          <w:color w:val="auto"/>
          <w:sz w:val="22"/>
          <w:szCs w:val="22"/>
          <w:highlight w:val="none"/>
        </w:rPr>
        <w:t>8</w:t>
      </w:r>
      <w:r>
        <w:rPr>
          <w:rFonts w:hint="eastAsia" w:ascii="宋体" w:hAnsi="宋体" w:eastAsia="宋体" w:cs="宋体"/>
          <w:color w:val="auto"/>
          <w:sz w:val="22"/>
          <w:szCs w:val="22"/>
          <w:highlight w:val="none"/>
          <w:lang w:val="zh-CN"/>
        </w:rPr>
        <w:t>）采购供应商廉洁自律承诺书</w:t>
      </w:r>
      <w:r>
        <w:rPr>
          <w:rFonts w:hint="eastAsia" w:ascii="宋体" w:hAnsi="宋体" w:eastAsia="宋体" w:cs="宋体"/>
          <w:color w:val="auto"/>
          <w:sz w:val="22"/>
          <w:szCs w:val="22"/>
          <w:highlight w:val="none"/>
          <w:lang w:val="en-US" w:eastAsia="zh-CN"/>
        </w:rPr>
        <w:t xml:space="preserve"> </w:t>
      </w:r>
      <w:r>
        <w:rPr>
          <w:rFonts w:hint="eastAsia" w:ascii="宋体" w:hAnsi="宋体" w:eastAsia="宋体" w:cs="宋体"/>
          <w:color w:val="auto"/>
          <w:sz w:val="20"/>
          <w:szCs w:val="22"/>
          <w:highlight w:val="none"/>
        </w:rPr>
        <w:t>…………………………………………………（页码）</w:t>
      </w:r>
    </w:p>
    <w:p w14:paraId="08AB3AD4">
      <w:pPr>
        <w:snapToGrid w:val="0"/>
        <w:spacing w:line="360" w:lineRule="auto"/>
        <w:jc w:val="center"/>
        <w:rPr>
          <w:rFonts w:hint="eastAsia" w:ascii="宋体" w:hAnsi="宋体" w:eastAsia="宋体" w:cs="宋体"/>
          <w:b/>
          <w:color w:val="auto"/>
          <w:kern w:val="0"/>
          <w:sz w:val="32"/>
          <w:szCs w:val="32"/>
          <w:highlight w:val="none"/>
          <w:lang w:val="zh-CN"/>
        </w:rPr>
      </w:pPr>
    </w:p>
    <w:p w14:paraId="4E37DF50">
      <w:pPr>
        <w:snapToGrid w:val="0"/>
        <w:spacing w:line="360" w:lineRule="auto"/>
        <w:jc w:val="center"/>
        <w:rPr>
          <w:rFonts w:hint="eastAsia" w:ascii="宋体" w:hAnsi="宋体" w:eastAsia="宋体" w:cs="宋体"/>
          <w:b/>
          <w:color w:val="auto"/>
          <w:kern w:val="0"/>
          <w:sz w:val="32"/>
          <w:szCs w:val="32"/>
          <w:highlight w:val="none"/>
          <w:lang w:val="zh-CN"/>
        </w:rPr>
      </w:pPr>
    </w:p>
    <w:p w14:paraId="309AE7A8">
      <w:pPr>
        <w:snapToGrid w:val="0"/>
        <w:spacing w:line="360" w:lineRule="auto"/>
        <w:jc w:val="center"/>
        <w:rPr>
          <w:rFonts w:hint="eastAsia" w:ascii="宋体" w:hAnsi="宋体" w:eastAsia="宋体" w:cs="宋体"/>
          <w:b/>
          <w:color w:val="auto"/>
          <w:kern w:val="0"/>
          <w:sz w:val="32"/>
          <w:szCs w:val="32"/>
          <w:highlight w:val="none"/>
          <w:lang w:val="zh-CN"/>
        </w:rPr>
      </w:pPr>
    </w:p>
    <w:p w14:paraId="2C006D6A">
      <w:pPr>
        <w:snapToGrid w:val="0"/>
        <w:spacing w:line="360" w:lineRule="auto"/>
        <w:jc w:val="center"/>
        <w:rPr>
          <w:rFonts w:hint="eastAsia" w:ascii="宋体" w:hAnsi="宋体" w:eastAsia="宋体" w:cs="宋体"/>
          <w:b/>
          <w:color w:val="auto"/>
          <w:kern w:val="0"/>
          <w:sz w:val="32"/>
          <w:szCs w:val="32"/>
          <w:highlight w:val="none"/>
          <w:lang w:val="zh-CN"/>
        </w:rPr>
      </w:pPr>
    </w:p>
    <w:p w14:paraId="5A4E3EAC">
      <w:pPr>
        <w:snapToGrid w:val="0"/>
        <w:spacing w:line="360" w:lineRule="auto"/>
        <w:jc w:val="center"/>
        <w:rPr>
          <w:rFonts w:hint="eastAsia" w:ascii="宋体" w:hAnsi="宋体" w:eastAsia="宋体" w:cs="宋体"/>
          <w:b/>
          <w:color w:val="auto"/>
          <w:kern w:val="0"/>
          <w:sz w:val="32"/>
          <w:szCs w:val="32"/>
          <w:highlight w:val="none"/>
          <w:lang w:val="zh-CN"/>
        </w:rPr>
      </w:pPr>
    </w:p>
    <w:p w14:paraId="27312DB8">
      <w:pPr>
        <w:snapToGrid w:val="0"/>
        <w:spacing w:line="360" w:lineRule="auto"/>
        <w:jc w:val="center"/>
        <w:outlineLvl w:val="0"/>
        <w:rPr>
          <w:rFonts w:hint="eastAsia" w:ascii="宋体" w:hAnsi="宋体" w:eastAsia="宋体" w:cs="宋体"/>
          <w:b/>
          <w:color w:val="auto"/>
          <w:kern w:val="0"/>
          <w:sz w:val="32"/>
          <w:szCs w:val="32"/>
          <w:highlight w:val="none"/>
        </w:rPr>
      </w:pPr>
    </w:p>
    <w:p w14:paraId="4FFBFF35">
      <w:pPr>
        <w:snapToGrid w:val="0"/>
        <w:spacing w:line="360" w:lineRule="auto"/>
        <w:jc w:val="center"/>
        <w:outlineLvl w:val="0"/>
        <w:rPr>
          <w:rFonts w:hint="eastAsia" w:ascii="宋体" w:hAnsi="宋体" w:eastAsia="宋体" w:cs="宋体"/>
          <w:b/>
          <w:color w:val="auto"/>
          <w:kern w:val="0"/>
          <w:sz w:val="32"/>
          <w:szCs w:val="32"/>
          <w:highlight w:val="none"/>
        </w:rPr>
      </w:pPr>
    </w:p>
    <w:p w14:paraId="5DFA73D3">
      <w:pPr>
        <w:rPr>
          <w:rFonts w:hint="eastAsia" w:ascii="宋体" w:hAnsi="宋体" w:eastAsia="宋体" w:cs="宋体"/>
          <w:color w:val="auto"/>
          <w:highlight w:val="none"/>
        </w:rPr>
      </w:pPr>
    </w:p>
    <w:p w14:paraId="3F7CEB95">
      <w:pPr>
        <w:snapToGrid w:val="0"/>
        <w:spacing w:line="360" w:lineRule="auto"/>
        <w:jc w:val="center"/>
        <w:outlineLvl w:val="0"/>
        <w:rPr>
          <w:rFonts w:hint="eastAsia" w:ascii="宋体" w:hAnsi="宋体" w:eastAsia="宋体" w:cs="宋体"/>
          <w:b/>
          <w:color w:val="auto"/>
          <w:kern w:val="0"/>
          <w:sz w:val="32"/>
          <w:szCs w:val="32"/>
          <w:highlight w:val="none"/>
        </w:rPr>
      </w:pPr>
    </w:p>
    <w:p w14:paraId="760D8DA2">
      <w:pPr>
        <w:snapToGrid w:val="0"/>
        <w:spacing w:line="360" w:lineRule="auto"/>
        <w:jc w:val="center"/>
        <w:outlineLvl w:val="0"/>
        <w:rPr>
          <w:rFonts w:hint="eastAsia" w:ascii="宋体" w:hAnsi="宋体" w:eastAsia="宋体" w:cs="宋体"/>
          <w:b/>
          <w:color w:val="auto"/>
          <w:kern w:val="0"/>
          <w:sz w:val="32"/>
          <w:szCs w:val="32"/>
          <w:highlight w:val="none"/>
        </w:rPr>
      </w:pPr>
    </w:p>
    <w:p w14:paraId="458895A6">
      <w:pPr>
        <w:pStyle w:val="2"/>
        <w:rPr>
          <w:rFonts w:hint="eastAsia" w:ascii="宋体" w:hAnsi="宋体" w:eastAsia="宋体" w:cs="宋体"/>
          <w:color w:val="auto"/>
          <w:highlight w:val="none"/>
          <w:lang w:val="en-US"/>
        </w:rPr>
      </w:pPr>
    </w:p>
    <w:p w14:paraId="744D90BB">
      <w:pPr>
        <w:rPr>
          <w:rFonts w:hint="eastAsia" w:ascii="宋体" w:hAnsi="宋体" w:eastAsia="宋体" w:cs="宋体"/>
          <w:color w:val="auto"/>
          <w:highlight w:val="none"/>
        </w:rPr>
      </w:pPr>
    </w:p>
    <w:p w14:paraId="7E38E083">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4C891F43">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3C853AB9">
      <w:pPr>
        <w:snapToGrid w:val="0"/>
        <w:spacing w:line="360" w:lineRule="auto"/>
        <w:ind w:firstLine="3855" w:firstLineChars="1200"/>
        <w:outlineLvl w:val="0"/>
        <w:rPr>
          <w:rFonts w:hint="eastAsia" w:ascii="宋体" w:hAnsi="宋体" w:eastAsia="宋体" w:cs="宋体"/>
          <w:b/>
          <w:color w:val="auto"/>
          <w:kern w:val="0"/>
          <w:sz w:val="32"/>
          <w:szCs w:val="32"/>
          <w:highlight w:val="none"/>
        </w:rPr>
      </w:pPr>
    </w:p>
    <w:p w14:paraId="737B49B4">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59E6D72B">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7E301468">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建德市长运物资有限公司、</w:t>
      </w:r>
      <w:r>
        <w:rPr>
          <w:rFonts w:hint="eastAsia" w:ascii="宋体" w:hAnsi="宋体" w:cs="宋体"/>
          <w:color w:val="auto"/>
          <w:sz w:val="24"/>
          <w:highlight w:val="none"/>
          <w:u w:val="single"/>
          <w:lang w:val="en-US" w:eastAsia="zh-CN"/>
        </w:rPr>
        <w:t>浙江新诚信工程咨询有限公司</w:t>
      </w:r>
      <w:r>
        <w:rPr>
          <w:rFonts w:hint="eastAsia" w:ascii="宋体" w:hAnsi="宋体" w:eastAsia="宋体" w:cs="宋体"/>
          <w:color w:val="auto"/>
          <w:sz w:val="24"/>
          <w:highlight w:val="none"/>
          <w:u w:val="single"/>
        </w:rPr>
        <w:t>：</w:t>
      </w:r>
    </w:p>
    <w:p w14:paraId="1C51516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w:t>
      </w:r>
      <w:r>
        <w:rPr>
          <w:rFonts w:hint="eastAsia" w:ascii="宋体" w:hAnsi="宋体" w:cs="宋体"/>
          <w:color w:val="auto"/>
          <w:sz w:val="24"/>
          <w:highlight w:val="none"/>
          <w:lang w:eastAsia="zh-CN"/>
        </w:rPr>
        <w:t>建德市长运物资有限公司公路旅游型柴油空调客车采购项目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ZJXCX2025B-002</w:t>
      </w:r>
      <w:r>
        <w:rPr>
          <w:rFonts w:hint="eastAsia" w:ascii="宋体" w:hAnsi="宋体" w:eastAsia="宋体" w:cs="宋体"/>
          <w:color w:val="auto"/>
          <w:sz w:val="24"/>
          <w:highlight w:val="none"/>
        </w:rPr>
        <w:t>】招标的有关活动，并对此项目进行投标。为此：</w:t>
      </w:r>
    </w:p>
    <w:p w14:paraId="56D68C2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6D0F916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394D33B3">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6324503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65B9DD4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联合协议（如果有</w:t>
      </w:r>
      <w:r>
        <w:rPr>
          <w:rFonts w:hint="eastAsia" w:ascii="宋体" w:hAnsi="宋体" w:cs="宋体"/>
          <w:snapToGrid w:val="0"/>
          <w:color w:val="auto"/>
          <w:kern w:val="28"/>
          <w:sz w:val="24"/>
          <w:szCs w:val="20"/>
          <w:highlight w:val="none"/>
          <w:lang w:eastAsia="zh-CN"/>
        </w:rPr>
        <w:t>）</w:t>
      </w:r>
      <w:r>
        <w:rPr>
          <w:rFonts w:hint="eastAsia" w:ascii="宋体" w:hAnsi="宋体" w:eastAsia="宋体" w:cs="宋体"/>
          <w:snapToGrid w:val="0"/>
          <w:color w:val="auto"/>
          <w:kern w:val="28"/>
          <w:sz w:val="24"/>
          <w:szCs w:val="20"/>
          <w:highlight w:val="none"/>
        </w:rPr>
        <w:t>；</w:t>
      </w:r>
    </w:p>
    <w:p w14:paraId="011595D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1C2700C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3D288516">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7DFD143F">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2438A81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72908B93">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3AB6F6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000B1DF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167257F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6DBFFB98">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0DC2A27B">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采购供应商廉洁自律承诺书；</w:t>
      </w:r>
    </w:p>
    <w:p w14:paraId="208C65D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3F41E76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3A9BE48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3、我方承诺除商务技术偏离表列出的偏离外，我方响应招标文件的全部要求。</w:t>
      </w:r>
    </w:p>
    <w:p w14:paraId="25C2558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00F1A1A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3A1CEF1F">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591F7977">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552B09FA">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648D8556">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5、其他补充说明</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C5BBE20">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58193F8F">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06C837F0">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1BAF79FF">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EDA5C9B">
      <w:pPr>
        <w:snapToGrid w:val="0"/>
        <w:spacing w:line="360" w:lineRule="auto"/>
        <w:jc w:val="center"/>
        <w:rPr>
          <w:rFonts w:hint="eastAsia" w:ascii="宋体" w:hAnsi="宋体" w:eastAsia="宋体" w:cs="宋体"/>
          <w:b/>
          <w:color w:val="auto"/>
          <w:kern w:val="0"/>
          <w:sz w:val="32"/>
          <w:szCs w:val="32"/>
          <w:highlight w:val="none"/>
        </w:rPr>
      </w:pPr>
    </w:p>
    <w:p w14:paraId="1482C13C">
      <w:pPr>
        <w:snapToGrid w:val="0"/>
        <w:spacing w:line="360" w:lineRule="auto"/>
        <w:rPr>
          <w:rFonts w:hint="eastAsia" w:ascii="宋体" w:hAnsi="宋体" w:eastAsia="宋体" w:cs="宋体"/>
          <w:color w:val="auto"/>
          <w:sz w:val="24"/>
          <w:highlight w:val="none"/>
        </w:rPr>
      </w:pPr>
    </w:p>
    <w:p w14:paraId="0B5D1CA1">
      <w:pPr>
        <w:jc w:val="center"/>
        <w:rPr>
          <w:rFonts w:hint="eastAsia" w:ascii="宋体" w:hAnsi="宋体" w:eastAsia="宋体" w:cs="宋体"/>
          <w:b/>
          <w:color w:val="auto"/>
          <w:kern w:val="0"/>
          <w:sz w:val="32"/>
          <w:szCs w:val="32"/>
          <w:highlight w:val="none"/>
        </w:rPr>
      </w:pPr>
    </w:p>
    <w:p w14:paraId="684CBDCE">
      <w:pPr>
        <w:jc w:val="center"/>
        <w:rPr>
          <w:rFonts w:hint="eastAsia" w:ascii="宋体" w:hAnsi="宋体" w:eastAsia="宋体" w:cs="宋体"/>
          <w:b/>
          <w:color w:val="auto"/>
          <w:kern w:val="0"/>
          <w:sz w:val="32"/>
          <w:szCs w:val="32"/>
          <w:highlight w:val="none"/>
        </w:rPr>
      </w:pPr>
    </w:p>
    <w:p w14:paraId="763A1560">
      <w:pPr>
        <w:jc w:val="center"/>
        <w:rPr>
          <w:rFonts w:hint="eastAsia" w:ascii="宋体" w:hAnsi="宋体" w:eastAsia="宋体" w:cs="宋体"/>
          <w:b/>
          <w:color w:val="auto"/>
          <w:kern w:val="0"/>
          <w:sz w:val="32"/>
          <w:szCs w:val="32"/>
          <w:highlight w:val="none"/>
        </w:rPr>
      </w:pPr>
    </w:p>
    <w:p w14:paraId="4216630A">
      <w:pPr>
        <w:jc w:val="center"/>
        <w:rPr>
          <w:rFonts w:hint="eastAsia" w:ascii="宋体" w:hAnsi="宋体" w:eastAsia="宋体" w:cs="宋体"/>
          <w:b/>
          <w:color w:val="auto"/>
          <w:kern w:val="0"/>
          <w:sz w:val="32"/>
          <w:szCs w:val="32"/>
          <w:highlight w:val="none"/>
        </w:rPr>
      </w:pPr>
    </w:p>
    <w:p w14:paraId="51E57281">
      <w:pPr>
        <w:jc w:val="center"/>
        <w:rPr>
          <w:rFonts w:hint="eastAsia" w:ascii="宋体" w:hAnsi="宋体" w:eastAsia="宋体" w:cs="宋体"/>
          <w:b/>
          <w:color w:val="auto"/>
          <w:kern w:val="0"/>
          <w:sz w:val="32"/>
          <w:szCs w:val="32"/>
          <w:highlight w:val="none"/>
        </w:rPr>
      </w:pPr>
    </w:p>
    <w:p w14:paraId="0E32668C">
      <w:pPr>
        <w:jc w:val="center"/>
        <w:rPr>
          <w:rFonts w:hint="eastAsia" w:ascii="宋体" w:hAnsi="宋体" w:eastAsia="宋体" w:cs="宋体"/>
          <w:b/>
          <w:color w:val="auto"/>
          <w:kern w:val="0"/>
          <w:sz w:val="32"/>
          <w:szCs w:val="32"/>
          <w:highlight w:val="none"/>
        </w:rPr>
      </w:pPr>
    </w:p>
    <w:p w14:paraId="69D110DB">
      <w:pPr>
        <w:jc w:val="center"/>
        <w:rPr>
          <w:rFonts w:hint="eastAsia" w:ascii="宋体" w:hAnsi="宋体" w:eastAsia="宋体" w:cs="宋体"/>
          <w:b/>
          <w:color w:val="auto"/>
          <w:kern w:val="0"/>
          <w:sz w:val="32"/>
          <w:szCs w:val="32"/>
          <w:highlight w:val="none"/>
        </w:rPr>
      </w:pPr>
    </w:p>
    <w:p w14:paraId="0586BC57">
      <w:pPr>
        <w:jc w:val="center"/>
        <w:rPr>
          <w:rFonts w:hint="eastAsia" w:ascii="宋体" w:hAnsi="宋体" w:eastAsia="宋体" w:cs="宋体"/>
          <w:b/>
          <w:color w:val="auto"/>
          <w:kern w:val="0"/>
          <w:sz w:val="32"/>
          <w:szCs w:val="32"/>
          <w:highlight w:val="none"/>
        </w:rPr>
      </w:pPr>
    </w:p>
    <w:p w14:paraId="4A9203BD">
      <w:pPr>
        <w:jc w:val="center"/>
        <w:rPr>
          <w:rFonts w:hint="eastAsia" w:ascii="宋体" w:hAnsi="宋体" w:eastAsia="宋体" w:cs="宋体"/>
          <w:b/>
          <w:color w:val="auto"/>
          <w:kern w:val="0"/>
          <w:sz w:val="32"/>
          <w:szCs w:val="32"/>
          <w:highlight w:val="none"/>
        </w:rPr>
      </w:pPr>
    </w:p>
    <w:p w14:paraId="1860EA4E">
      <w:pPr>
        <w:jc w:val="center"/>
        <w:rPr>
          <w:rFonts w:hint="eastAsia" w:ascii="宋体" w:hAnsi="宋体" w:eastAsia="宋体" w:cs="宋体"/>
          <w:b/>
          <w:color w:val="auto"/>
          <w:kern w:val="0"/>
          <w:sz w:val="32"/>
          <w:szCs w:val="32"/>
          <w:highlight w:val="none"/>
        </w:rPr>
      </w:pPr>
    </w:p>
    <w:p w14:paraId="26C0BA53">
      <w:pPr>
        <w:jc w:val="center"/>
        <w:rPr>
          <w:rFonts w:hint="eastAsia" w:ascii="宋体" w:hAnsi="宋体" w:eastAsia="宋体" w:cs="宋体"/>
          <w:b/>
          <w:color w:val="auto"/>
          <w:kern w:val="0"/>
          <w:sz w:val="32"/>
          <w:szCs w:val="32"/>
          <w:highlight w:val="none"/>
        </w:rPr>
      </w:pPr>
    </w:p>
    <w:p w14:paraId="1B0474E9">
      <w:pPr>
        <w:jc w:val="center"/>
        <w:rPr>
          <w:rFonts w:hint="eastAsia" w:ascii="宋体" w:hAnsi="宋体" w:eastAsia="宋体" w:cs="宋体"/>
          <w:b/>
          <w:color w:val="auto"/>
          <w:kern w:val="0"/>
          <w:sz w:val="32"/>
          <w:szCs w:val="32"/>
          <w:highlight w:val="none"/>
        </w:rPr>
      </w:pPr>
    </w:p>
    <w:p w14:paraId="265FEDAC">
      <w:pPr>
        <w:jc w:val="center"/>
        <w:rPr>
          <w:rFonts w:hint="eastAsia" w:ascii="宋体" w:hAnsi="宋体" w:eastAsia="宋体" w:cs="宋体"/>
          <w:b/>
          <w:color w:val="auto"/>
          <w:kern w:val="0"/>
          <w:sz w:val="32"/>
          <w:szCs w:val="32"/>
          <w:highlight w:val="none"/>
        </w:rPr>
      </w:pPr>
    </w:p>
    <w:p w14:paraId="54198706">
      <w:pPr>
        <w:jc w:val="center"/>
        <w:rPr>
          <w:rFonts w:hint="eastAsia" w:ascii="宋体" w:hAnsi="宋体" w:eastAsia="宋体" w:cs="宋体"/>
          <w:b/>
          <w:color w:val="auto"/>
          <w:kern w:val="0"/>
          <w:sz w:val="32"/>
          <w:szCs w:val="32"/>
          <w:highlight w:val="none"/>
        </w:rPr>
      </w:pPr>
    </w:p>
    <w:p w14:paraId="7C1B87A3">
      <w:pPr>
        <w:jc w:val="center"/>
        <w:rPr>
          <w:rFonts w:hint="eastAsia" w:ascii="宋体" w:hAnsi="宋体" w:eastAsia="宋体" w:cs="宋体"/>
          <w:b/>
          <w:color w:val="auto"/>
          <w:kern w:val="0"/>
          <w:sz w:val="32"/>
          <w:szCs w:val="32"/>
          <w:highlight w:val="none"/>
        </w:rPr>
      </w:pPr>
    </w:p>
    <w:p w14:paraId="60BC9A60">
      <w:pPr>
        <w:jc w:val="center"/>
        <w:rPr>
          <w:rFonts w:hint="eastAsia" w:ascii="宋体" w:hAnsi="宋体" w:eastAsia="宋体" w:cs="宋体"/>
          <w:b/>
          <w:color w:val="auto"/>
          <w:kern w:val="0"/>
          <w:sz w:val="32"/>
          <w:szCs w:val="32"/>
          <w:highlight w:val="none"/>
        </w:rPr>
      </w:pPr>
    </w:p>
    <w:p w14:paraId="3CC4FE4A">
      <w:pPr>
        <w:jc w:val="center"/>
        <w:rPr>
          <w:rFonts w:hint="eastAsia" w:ascii="宋体" w:hAnsi="宋体" w:eastAsia="宋体" w:cs="宋体"/>
          <w:b/>
          <w:color w:val="auto"/>
          <w:kern w:val="0"/>
          <w:sz w:val="32"/>
          <w:szCs w:val="32"/>
          <w:highlight w:val="none"/>
        </w:rPr>
      </w:pPr>
    </w:p>
    <w:p w14:paraId="7C69CD9F">
      <w:pPr>
        <w:jc w:val="center"/>
        <w:rPr>
          <w:rFonts w:hint="eastAsia" w:ascii="宋体" w:hAnsi="宋体" w:eastAsia="宋体" w:cs="宋体"/>
          <w:b/>
          <w:color w:val="auto"/>
          <w:kern w:val="0"/>
          <w:sz w:val="32"/>
          <w:szCs w:val="32"/>
          <w:highlight w:val="none"/>
        </w:rPr>
      </w:pPr>
    </w:p>
    <w:p w14:paraId="410AB023">
      <w:pPr>
        <w:jc w:val="center"/>
        <w:rPr>
          <w:rFonts w:hint="eastAsia" w:ascii="宋体" w:hAnsi="宋体" w:eastAsia="宋体" w:cs="宋体"/>
          <w:b/>
          <w:color w:val="auto"/>
          <w:kern w:val="0"/>
          <w:sz w:val="32"/>
          <w:szCs w:val="32"/>
          <w:highlight w:val="none"/>
        </w:rPr>
      </w:pPr>
    </w:p>
    <w:p w14:paraId="04E3288D">
      <w:pPr>
        <w:jc w:val="center"/>
        <w:rPr>
          <w:rFonts w:hint="eastAsia" w:ascii="宋体" w:hAnsi="宋体" w:eastAsia="宋体" w:cs="宋体"/>
          <w:b/>
          <w:color w:val="auto"/>
          <w:kern w:val="0"/>
          <w:sz w:val="32"/>
          <w:szCs w:val="32"/>
          <w:highlight w:val="none"/>
        </w:rPr>
      </w:pPr>
    </w:p>
    <w:p w14:paraId="75D1DD46">
      <w:pPr>
        <w:jc w:val="both"/>
        <w:rPr>
          <w:rFonts w:hint="eastAsia" w:ascii="宋体" w:hAnsi="宋体" w:eastAsia="宋体" w:cs="宋体"/>
          <w:b/>
          <w:color w:val="auto"/>
          <w:kern w:val="0"/>
          <w:sz w:val="32"/>
          <w:szCs w:val="32"/>
          <w:highlight w:val="none"/>
        </w:rPr>
      </w:pPr>
    </w:p>
    <w:p w14:paraId="0C228BAD">
      <w:pPr>
        <w:jc w:val="center"/>
        <w:rPr>
          <w:rFonts w:hint="eastAsia" w:ascii="宋体" w:hAnsi="宋体" w:eastAsia="宋体" w:cs="宋体"/>
          <w:b/>
          <w:color w:val="auto"/>
          <w:kern w:val="0"/>
          <w:sz w:val="32"/>
          <w:szCs w:val="32"/>
          <w:highlight w:val="none"/>
        </w:rPr>
      </w:pPr>
    </w:p>
    <w:p w14:paraId="0055157E">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068885AC">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60E6926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73AA6562">
      <w:pPr>
        <w:snapToGrid w:val="0"/>
        <w:spacing w:line="360" w:lineRule="auto"/>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授权委托书（适用于非联合体投标）</w:t>
      </w:r>
    </w:p>
    <w:p w14:paraId="33CD56B9">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建德市长运物资有限公司、</w:t>
      </w:r>
      <w:r>
        <w:rPr>
          <w:rFonts w:hint="eastAsia" w:ascii="宋体" w:hAnsi="宋体" w:cs="宋体"/>
          <w:color w:val="auto"/>
          <w:sz w:val="24"/>
          <w:highlight w:val="none"/>
          <w:u w:val="single"/>
          <w:lang w:val="en-US" w:eastAsia="zh-CN"/>
        </w:rPr>
        <w:t>浙江新诚信工程咨询有限公司</w:t>
      </w:r>
      <w:r>
        <w:rPr>
          <w:rFonts w:hint="eastAsia" w:ascii="宋体" w:hAnsi="宋体" w:eastAsia="宋体" w:cs="宋体"/>
          <w:color w:val="auto"/>
          <w:sz w:val="24"/>
          <w:highlight w:val="none"/>
          <w:u w:val="single"/>
        </w:rPr>
        <w:t>：</w:t>
      </w:r>
    </w:p>
    <w:p w14:paraId="7A4F1D7B">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建德市长运物资有限公司公路旅游型柴油空调客车采购项目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ZJXCX2025B-002</w:t>
      </w:r>
      <w:r>
        <w:rPr>
          <w:rFonts w:hint="eastAsia" w:ascii="宋体" w:hAnsi="宋体" w:eastAsia="宋体" w:cs="宋体"/>
          <w:color w:val="auto"/>
          <w:sz w:val="24"/>
          <w:highlight w:val="none"/>
        </w:rPr>
        <w:t>】</w:t>
      </w:r>
      <w:r>
        <w:rPr>
          <w:rFonts w:hint="eastAsia" w:ascii="宋体" w:hAnsi="宋体" w:cs="宋体"/>
          <w:color w:val="auto"/>
          <w:kern w:val="0"/>
          <w:sz w:val="24"/>
          <w:highlight w:val="none"/>
          <w:lang w:val="zh-CN"/>
        </w:rPr>
        <w:t>采购</w:t>
      </w:r>
      <w:r>
        <w:rPr>
          <w:rFonts w:hint="eastAsia" w:ascii="宋体" w:hAnsi="宋体" w:eastAsia="宋体" w:cs="宋体"/>
          <w:color w:val="auto"/>
          <w:kern w:val="0"/>
          <w:sz w:val="24"/>
          <w:highlight w:val="none"/>
          <w:lang w:val="zh-CN"/>
        </w:rPr>
        <w:t>投标的一切事项，其法律后果由我方承担。</w:t>
      </w:r>
    </w:p>
    <w:p w14:paraId="38322DB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544CA27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03ACEBB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6BCE4587">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39D22480">
      <w:pPr>
        <w:snapToGrid w:val="0"/>
        <w:spacing w:line="360" w:lineRule="auto"/>
        <w:rPr>
          <w:rFonts w:hint="eastAsia" w:ascii="宋体" w:hAnsi="宋体" w:eastAsia="宋体" w:cs="宋体"/>
          <w:color w:val="auto"/>
          <w:sz w:val="24"/>
          <w:highlight w:val="none"/>
        </w:rPr>
      </w:pPr>
    </w:p>
    <w:p w14:paraId="36596095">
      <w:pPr>
        <w:pStyle w:val="80"/>
        <w:rPr>
          <w:rFonts w:hint="eastAsia" w:ascii="宋体" w:hAnsi="宋体" w:eastAsia="宋体" w:cs="宋体"/>
          <w:color w:val="auto"/>
          <w:sz w:val="24"/>
          <w:highlight w:val="none"/>
        </w:rPr>
      </w:pPr>
    </w:p>
    <w:p w14:paraId="7DA0CB90">
      <w:pPr>
        <w:rPr>
          <w:rFonts w:hint="eastAsia" w:ascii="宋体" w:hAnsi="宋体" w:eastAsia="宋体" w:cs="宋体"/>
          <w:color w:val="auto"/>
          <w:sz w:val="24"/>
          <w:highlight w:val="none"/>
        </w:rPr>
      </w:pPr>
    </w:p>
    <w:p w14:paraId="1523B398">
      <w:pPr>
        <w:pStyle w:val="80"/>
        <w:rPr>
          <w:rFonts w:hint="eastAsia" w:ascii="宋体" w:hAnsi="宋体" w:eastAsia="宋体" w:cs="宋体"/>
          <w:color w:val="auto"/>
          <w:sz w:val="24"/>
          <w:highlight w:val="none"/>
        </w:rPr>
      </w:pPr>
    </w:p>
    <w:p w14:paraId="011ABECC">
      <w:pPr>
        <w:rPr>
          <w:rFonts w:hint="eastAsia" w:ascii="宋体" w:hAnsi="宋体" w:eastAsia="宋体" w:cs="宋体"/>
          <w:color w:val="auto"/>
          <w:sz w:val="24"/>
          <w:highlight w:val="none"/>
        </w:rPr>
      </w:pPr>
    </w:p>
    <w:p w14:paraId="412FEE38">
      <w:pPr>
        <w:pStyle w:val="80"/>
        <w:rPr>
          <w:rFonts w:hint="eastAsia" w:ascii="宋体" w:hAnsi="宋体" w:eastAsia="宋体" w:cs="宋体"/>
          <w:color w:val="auto"/>
          <w:sz w:val="24"/>
          <w:highlight w:val="none"/>
        </w:rPr>
      </w:pPr>
    </w:p>
    <w:p w14:paraId="059FAF91">
      <w:pPr>
        <w:rPr>
          <w:rFonts w:hint="eastAsia" w:ascii="宋体" w:hAnsi="宋体" w:eastAsia="宋体" w:cs="宋体"/>
          <w:color w:val="auto"/>
          <w:sz w:val="24"/>
          <w:highlight w:val="none"/>
        </w:rPr>
      </w:pPr>
    </w:p>
    <w:p w14:paraId="22187F82">
      <w:pPr>
        <w:pStyle w:val="80"/>
        <w:rPr>
          <w:rFonts w:hint="eastAsia" w:ascii="宋体" w:hAnsi="宋体" w:eastAsia="宋体" w:cs="宋体"/>
          <w:color w:val="auto"/>
          <w:sz w:val="24"/>
          <w:highlight w:val="none"/>
        </w:rPr>
      </w:pPr>
    </w:p>
    <w:p w14:paraId="36C7C34D">
      <w:pPr>
        <w:rPr>
          <w:rFonts w:hint="eastAsia" w:ascii="宋体" w:hAnsi="宋体" w:eastAsia="宋体" w:cs="宋体"/>
          <w:color w:val="auto"/>
          <w:sz w:val="24"/>
          <w:highlight w:val="none"/>
        </w:rPr>
      </w:pPr>
    </w:p>
    <w:p w14:paraId="4E763257">
      <w:pPr>
        <w:pStyle w:val="80"/>
        <w:rPr>
          <w:rFonts w:hint="eastAsia" w:ascii="宋体" w:hAnsi="宋体" w:eastAsia="宋体" w:cs="宋体"/>
          <w:color w:val="auto"/>
          <w:sz w:val="24"/>
          <w:highlight w:val="none"/>
        </w:rPr>
      </w:pPr>
    </w:p>
    <w:p w14:paraId="1EB3FC95">
      <w:pPr>
        <w:rPr>
          <w:rFonts w:hint="eastAsia" w:ascii="宋体" w:hAnsi="宋体" w:eastAsia="宋体" w:cs="宋体"/>
          <w:color w:val="auto"/>
          <w:sz w:val="24"/>
          <w:highlight w:val="none"/>
        </w:rPr>
      </w:pPr>
    </w:p>
    <w:p w14:paraId="718F94E4">
      <w:pPr>
        <w:pStyle w:val="80"/>
        <w:rPr>
          <w:rFonts w:hint="eastAsia" w:ascii="宋体" w:hAnsi="宋体" w:eastAsia="宋体" w:cs="宋体"/>
          <w:color w:val="auto"/>
          <w:sz w:val="24"/>
          <w:highlight w:val="none"/>
        </w:rPr>
      </w:pPr>
    </w:p>
    <w:p w14:paraId="3A83F384">
      <w:pPr>
        <w:rPr>
          <w:rFonts w:hint="eastAsia" w:ascii="宋体" w:hAnsi="宋体" w:eastAsia="宋体" w:cs="宋体"/>
          <w:color w:val="auto"/>
          <w:sz w:val="24"/>
          <w:highlight w:val="none"/>
        </w:rPr>
      </w:pPr>
    </w:p>
    <w:p w14:paraId="14E81DBE">
      <w:pPr>
        <w:pStyle w:val="80"/>
        <w:rPr>
          <w:rFonts w:hint="eastAsia" w:ascii="宋体" w:hAnsi="宋体" w:eastAsia="宋体" w:cs="宋体"/>
          <w:color w:val="auto"/>
          <w:sz w:val="24"/>
          <w:highlight w:val="none"/>
        </w:rPr>
      </w:pPr>
    </w:p>
    <w:p w14:paraId="4D23A59A">
      <w:pPr>
        <w:rPr>
          <w:rFonts w:hint="eastAsia" w:ascii="宋体" w:hAnsi="宋体" w:eastAsia="宋体" w:cs="宋体"/>
          <w:color w:val="auto"/>
          <w:sz w:val="24"/>
          <w:highlight w:val="none"/>
        </w:rPr>
      </w:pPr>
    </w:p>
    <w:p w14:paraId="5475F270">
      <w:pPr>
        <w:pStyle w:val="80"/>
        <w:rPr>
          <w:rFonts w:hint="eastAsia" w:ascii="宋体" w:hAnsi="宋体" w:eastAsia="宋体" w:cs="宋体"/>
          <w:color w:val="auto"/>
          <w:sz w:val="24"/>
          <w:highlight w:val="none"/>
        </w:rPr>
      </w:pPr>
    </w:p>
    <w:p w14:paraId="238E41FD">
      <w:pPr>
        <w:rPr>
          <w:rFonts w:hint="eastAsia" w:ascii="宋体" w:hAnsi="宋体" w:eastAsia="宋体" w:cs="宋体"/>
          <w:color w:val="auto"/>
          <w:sz w:val="24"/>
          <w:highlight w:val="none"/>
        </w:rPr>
      </w:pPr>
    </w:p>
    <w:p w14:paraId="5EB3F6FE">
      <w:pPr>
        <w:pStyle w:val="80"/>
        <w:rPr>
          <w:rFonts w:hint="eastAsia" w:ascii="宋体" w:hAnsi="宋体" w:eastAsia="宋体" w:cs="宋体"/>
          <w:color w:val="auto"/>
          <w:highlight w:val="none"/>
        </w:rPr>
      </w:pPr>
    </w:p>
    <w:p w14:paraId="51755348">
      <w:pPr>
        <w:rPr>
          <w:rFonts w:hint="eastAsia" w:ascii="宋体" w:hAnsi="宋体" w:eastAsia="宋体" w:cs="宋体"/>
          <w:color w:val="auto"/>
          <w:highlight w:val="none"/>
        </w:rPr>
      </w:pPr>
    </w:p>
    <w:p w14:paraId="5AD3B2BF">
      <w:pPr>
        <w:snapToGrid w:val="0"/>
        <w:spacing w:line="360" w:lineRule="auto"/>
        <w:rPr>
          <w:rFonts w:hint="eastAsia" w:ascii="宋体" w:hAnsi="宋体" w:eastAsia="宋体" w:cs="宋体"/>
          <w:color w:val="auto"/>
          <w:sz w:val="24"/>
          <w:highlight w:val="none"/>
        </w:rPr>
      </w:pPr>
    </w:p>
    <w:p w14:paraId="36B6AAD6">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授权委托书（适用于联合体投标）</w:t>
      </w:r>
    </w:p>
    <w:p w14:paraId="21B4A20C">
      <w:pPr>
        <w:jc w:val="center"/>
        <w:rPr>
          <w:rFonts w:hint="eastAsia" w:ascii="宋体" w:hAnsi="宋体" w:eastAsia="宋体" w:cs="宋体"/>
          <w:b/>
          <w:color w:val="auto"/>
          <w:kern w:val="0"/>
          <w:sz w:val="32"/>
          <w:szCs w:val="32"/>
          <w:highlight w:val="none"/>
          <w:lang w:val="zh-CN"/>
        </w:rPr>
      </w:pPr>
    </w:p>
    <w:p w14:paraId="1D862343">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建德市长运物资有限公司、</w:t>
      </w:r>
      <w:r>
        <w:rPr>
          <w:rFonts w:hint="eastAsia" w:ascii="宋体" w:hAnsi="宋体" w:cs="宋体"/>
          <w:color w:val="auto"/>
          <w:sz w:val="24"/>
          <w:highlight w:val="none"/>
          <w:u w:val="single"/>
          <w:lang w:val="en-US" w:eastAsia="zh-CN"/>
        </w:rPr>
        <w:t>浙江新诚信工程咨询有限公司</w:t>
      </w:r>
      <w:r>
        <w:rPr>
          <w:rFonts w:hint="eastAsia" w:ascii="宋体" w:hAnsi="宋体" w:eastAsia="宋体" w:cs="宋体"/>
          <w:color w:val="auto"/>
          <w:sz w:val="24"/>
          <w:highlight w:val="none"/>
          <w:u w:val="single"/>
        </w:rPr>
        <w:t>：</w:t>
      </w:r>
    </w:p>
    <w:p w14:paraId="7F1B08BA">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cs="宋体"/>
          <w:color w:val="auto"/>
          <w:sz w:val="24"/>
          <w:highlight w:val="none"/>
          <w:lang w:eastAsia="zh-CN"/>
        </w:rPr>
        <w:t>建德市长运物资有限公司公路旅游型柴油空调客车采购项目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ZJXCX2025B-002</w:t>
      </w:r>
      <w:r>
        <w:rPr>
          <w:rFonts w:hint="eastAsia" w:ascii="宋体" w:hAnsi="宋体" w:eastAsia="宋体" w:cs="宋体"/>
          <w:color w:val="auto"/>
          <w:sz w:val="24"/>
          <w:highlight w:val="none"/>
        </w:rPr>
        <w:t>】</w:t>
      </w:r>
      <w:r>
        <w:rPr>
          <w:rFonts w:hint="eastAsia" w:ascii="宋体" w:hAnsi="宋体" w:cs="宋体"/>
          <w:color w:val="auto"/>
          <w:sz w:val="24"/>
          <w:highlight w:val="none"/>
          <w:lang w:eastAsia="zh-CN"/>
        </w:rPr>
        <w:t>采购</w:t>
      </w:r>
      <w:r>
        <w:rPr>
          <w:rFonts w:hint="eastAsia" w:ascii="宋体" w:hAnsi="宋体" w:eastAsia="宋体" w:cs="宋体"/>
          <w:color w:val="auto"/>
          <w:kern w:val="0"/>
          <w:sz w:val="24"/>
          <w:highlight w:val="none"/>
          <w:lang w:val="zh-CN"/>
        </w:rPr>
        <w:t>投标的一切事项，其法律后果由我方承担。</w:t>
      </w:r>
    </w:p>
    <w:p w14:paraId="0678C9A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35564201">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6AAB18B3">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0421E224">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74E3BA5A">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39EAD5E">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6DFF7700">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0C587316">
      <w:pPr>
        <w:pStyle w:val="15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D68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5953FB3C">
            <w:pPr>
              <w:pStyle w:val="150"/>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52376C73">
            <w:pPr>
              <w:pStyle w:val="150"/>
              <w:keepNext w:val="0"/>
              <w:keepLines w:val="0"/>
              <w:suppressLineNumbers w:val="0"/>
              <w:adjustRightInd w:val="0"/>
              <w:spacing w:before="0" w:beforeAutospacing="0" w:after="0" w:afterAutospacing="0" w:line="360" w:lineRule="auto"/>
              <w:ind w:left="0" w:right="0"/>
              <w:rPr>
                <w:rFonts w:hint="eastAsia" w:ascii="宋体" w:hAnsi="宋体" w:eastAsia="宋体" w:cs="宋体"/>
                <w:bCs/>
                <w:color w:val="auto"/>
                <w:sz w:val="24"/>
                <w:highlight w:val="none"/>
              </w:rPr>
            </w:pPr>
          </w:p>
        </w:tc>
      </w:tr>
    </w:tbl>
    <w:p w14:paraId="4F1750D2">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68F1726E">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 xml:space="preserve">：                              </w:t>
      </w:r>
    </w:p>
    <w:p w14:paraId="34CC5222">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2B0503EA">
      <w:pPr>
        <w:jc w:val="center"/>
        <w:rPr>
          <w:rFonts w:hint="eastAsia" w:ascii="宋体" w:hAnsi="宋体" w:eastAsia="宋体" w:cs="宋体"/>
          <w:b/>
          <w:color w:val="auto"/>
          <w:kern w:val="0"/>
          <w:sz w:val="32"/>
          <w:szCs w:val="32"/>
          <w:highlight w:val="none"/>
        </w:rPr>
      </w:pPr>
    </w:p>
    <w:p w14:paraId="2A3ABAF9">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77229256">
      <w:pPr>
        <w:widowControl/>
        <w:spacing w:line="360" w:lineRule="auto"/>
        <w:ind w:firstLine="120" w:firstLineChars="50"/>
        <w:jc w:val="left"/>
        <w:rPr>
          <w:rFonts w:hint="eastAsia" w:ascii="宋体" w:hAnsi="宋体" w:eastAsia="宋体" w:cs="宋体"/>
          <w:color w:val="auto"/>
          <w:sz w:val="24"/>
          <w:highlight w:val="none"/>
        </w:rPr>
      </w:pPr>
      <w:bookmarkStart w:id="48" w:name="_Hlk101169080"/>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w:t>
      </w:r>
      <w:r>
        <w:rPr>
          <w:rFonts w:hint="eastAsia" w:ascii="宋体" w:hAnsi="宋体" w:cs="宋体"/>
          <w:b/>
          <w:color w:val="auto"/>
          <w:sz w:val="24"/>
          <w:highlight w:val="none"/>
          <w:lang w:val="en-US" w:eastAsia="zh-CN"/>
        </w:rPr>
        <w:t>（附件6）</w:t>
      </w:r>
      <w:r>
        <w:rPr>
          <w:rFonts w:hint="eastAsia" w:ascii="宋体" w:hAnsi="宋体" w:eastAsia="宋体" w:cs="宋体"/>
          <w:b/>
          <w:color w:val="auto"/>
          <w:sz w:val="24"/>
          <w:highlight w:val="none"/>
        </w:rPr>
        <w:t>；采购人不同意分包或者投标人中标后不以分包方式履行合同的，则不需要提供。</w:t>
      </w:r>
      <w:r>
        <w:rPr>
          <w:rFonts w:hint="eastAsia" w:ascii="宋体" w:hAnsi="宋体" w:eastAsia="宋体" w:cs="宋体"/>
          <w:color w:val="auto"/>
          <w:sz w:val="24"/>
          <w:highlight w:val="none"/>
        </w:rPr>
        <w:t>]</w:t>
      </w:r>
    </w:p>
    <w:bookmarkEnd w:id="48"/>
    <w:p w14:paraId="5A51CD6E">
      <w:pPr>
        <w:snapToGrid w:val="0"/>
        <w:spacing w:line="360" w:lineRule="auto"/>
        <w:rPr>
          <w:rFonts w:hint="eastAsia" w:ascii="宋体" w:hAnsi="宋体" w:eastAsia="宋体" w:cs="宋体"/>
          <w:color w:val="auto"/>
          <w:kern w:val="0"/>
          <w:sz w:val="24"/>
          <w:highlight w:val="none"/>
        </w:rPr>
      </w:pPr>
    </w:p>
    <w:p w14:paraId="138F1BA6">
      <w:pPr>
        <w:jc w:val="center"/>
        <w:rPr>
          <w:rFonts w:hint="eastAsia" w:ascii="宋体" w:hAnsi="宋体" w:eastAsia="宋体" w:cs="宋体"/>
          <w:b/>
          <w:color w:val="auto"/>
          <w:kern w:val="0"/>
          <w:sz w:val="32"/>
          <w:szCs w:val="32"/>
          <w:highlight w:val="none"/>
        </w:rPr>
      </w:pPr>
    </w:p>
    <w:p w14:paraId="36E0F8A3">
      <w:pPr>
        <w:pStyle w:val="2"/>
        <w:rPr>
          <w:rFonts w:hint="eastAsia" w:ascii="宋体" w:hAnsi="宋体" w:eastAsia="宋体" w:cs="宋体"/>
          <w:color w:val="auto"/>
          <w:highlight w:val="none"/>
          <w:lang w:val="en-US"/>
        </w:rPr>
      </w:pPr>
    </w:p>
    <w:p w14:paraId="433CBEDA">
      <w:pPr>
        <w:rPr>
          <w:rFonts w:hint="eastAsia" w:ascii="宋体" w:hAnsi="宋体" w:eastAsia="宋体" w:cs="宋体"/>
          <w:color w:val="auto"/>
          <w:highlight w:val="none"/>
        </w:rPr>
      </w:pPr>
    </w:p>
    <w:p w14:paraId="1C43A62C">
      <w:pPr>
        <w:pStyle w:val="2"/>
        <w:rPr>
          <w:rFonts w:hint="eastAsia" w:ascii="宋体" w:hAnsi="宋体" w:eastAsia="宋体" w:cs="宋体"/>
          <w:color w:val="auto"/>
          <w:highlight w:val="none"/>
          <w:lang w:val="en-US"/>
        </w:rPr>
      </w:pPr>
    </w:p>
    <w:p w14:paraId="1F07EE4D">
      <w:pPr>
        <w:jc w:val="center"/>
        <w:rPr>
          <w:rFonts w:hint="eastAsia" w:ascii="宋体" w:hAnsi="宋体" w:eastAsia="宋体" w:cs="宋体"/>
          <w:b/>
          <w:color w:val="auto"/>
          <w:kern w:val="0"/>
          <w:sz w:val="32"/>
          <w:szCs w:val="32"/>
          <w:highlight w:val="none"/>
        </w:rPr>
      </w:pPr>
    </w:p>
    <w:p w14:paraId="0DFB836E">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4411293F">
      <w:pPr>
        <w:jc w:val="center"/>
        <w:rPr>
          <w:rFonts w:hint="eastAsia" w:ascii="宋体" w:hAnsi="宋体" w:eastAsia="宋体" w:cs="宋体"/>
          <w:b/>
          <w:color w:val="auto"/>
          <w:kern w:val="0"/>
          <w:sz w:val="32"/>
          <w:szCs w:val="32"/>
          <w:highlight w:val="none"/>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BBC3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7F67E0DE">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1461BE84">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198DAC0E">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62DFAFAC">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02BD9158">
            <w:pPr>
              <w:keepNext w:val="0"/>
              <w:keepLines w:val="0"/>
              <w:suppressLineNumbers w:val="0"/>
              <w:snapToGrid w:val="0"/>
              <w:spacing w:before="0" w:beforeAutospacing="0" w:after="0" w:afterAutospacing="0" w:line="240" w:lineRule="atLeast"/>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18E3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17469882">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3FBF9F7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433A94EB">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031381F8">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p>
          <w:p w14:paraId="7D8DD23E">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4867202A">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7E62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0F53266">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3FCDF8F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75307816">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32FF434C">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C1F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0DBD213A">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4991" w:type="dxa"/>
          </w:tcPr>
          <w:p w14:paraId="545C7CF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p>
          <w:p w14:paraId="0244FCF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投标文件满足招标文件</w:t>
            </w:r>
            <w:r>
              <w:rPr>
                <w:rFonts w:hint="eastAsia" w:ascii="宋体" w:hAnsi="宋体" w:cs="宋体"/>
                <w:color w:val="auto"/>
                <w:sz w:val="24"/>
                <w:highlight w:val="none"/>
                <w:lang w:eastAsia="zh-CN"/>
              </w:rPr>
              <w:t>的其他</w:t>
            </w:r>
            <w:r>
              <w:rPr>
                <w:rFonts w:hint="eastAsia" w:ascii="宋体" w:hAnsi="宋体" w:eastAsia="宋体" w:cs="宋体"/>
                <w:color w:val="auto"/>
                <w:sz w:val="24"/>
                <w:highlight w:val="none"/>
              </w:rPr>
              <w:t>实质性要求。</w:t>
            </w:r>
          </w:p>
        </w:tc>
        <w:tc>
          <w:tcPr>
            <w:tcW w:w="2551" w:type="dxa"/>
            <w:vAlign w:val="center"/>
          </w:tcPr>
          <w:p w14:paraId="07A5F7B7">
            <w:pPr>
              <w:keepNext w:val="0"/>
              <w:keepLines w:val="0"/>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招标文件其它实质性要求相应的材料（“▲” 系指实质性要求条款，招标文件</w:t>
            </w:r>
            <w:r>
              <w:rPr>
                <w:rFonts w:hint="eastAsia" w:ascii="宋体" w:hAnsi="宋体" w:cs="宋体"/>
                <w:color w:val="auto"/>
                <w:kern w:val="0"/>
                <w:sz w:val="24"/>
                <w:highlight w:val="none"/>
                <w:lang w:eastAsia="zh-CN"/>
              </w:rPr>
              <w:t>无其他</w:t>
            </w:r>
            <w:r>
              <w:rPr>
                <w:rFonts w:hint="eastAsia" w:ascii="宋体" w:hAnsi="宋体" w:eastAsia="宋体" w:cs="宋体"/>
                <w:color w:val="auto"/>
                <w:kern w:val="0"/>
                <w:sz w:val="24"/>
                <w:highlight w:val="none"/>
              </w:rPr>
              <w:t>实质性要求的，无需提供）</w:t>
            </w:r>
          </w:p>
        </w:tc>
        <w:tc>
          <w:tcPr>
            <w:tcW w:w="1418" w:type="dxa"/>
          </w:tcPr>
          <w:p w14:paraId="48A63D11">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bl>
    <w:p w14:paraId="370AA5CD">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A66D477">
      <w:pPr>
        <w:jc w:val="center"/>
        <w:rPr>
          <w:rFonts w:hint="eastAsia" w:ascii="宋体" w:hAnsi="宋体" w:eastAsia="宋体" w:cs="宋体"/>
          <w:b/>
          <w:color w:val="auto"/>
          <w:kern w:val="0"/>
          <w:sz w:val="32"/>
          <w:szCs w:val="32"/>
          <w:highlight w:val="none"/>
        </w:rPr>
      </w:pPr>
    </w:p>
    <w:p w14:paraId="6283A940">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243EDEE5">
      <w:pPr>
        <w:jc w:val="center"/>
        <w:rPr>
          <w:rFonts w:hint="eastAsia" w:ascii="宋体" w:hAnsi="宋体" w:eastAsia="宋体" w:cs="宋体"/>
          <w:b/>
          <w:color w:val="auto"/>
          <w:kern w:val="0"/>
          <w:sz w:val="32"/>
          <w:szCs w:val="32"/>
          <w:highlight w:val="none"/>
        </w:rPr>
      </w:pPr>
    </w:p>
    <w:p w14:paraId="6B0639AA">
      <w:pPr>
        <w:jc w:val="center"/>
        <w:rPr>
          <w:rFonts w:hint="eastAsia" w:ascii="宋体" w:hAnsi="宋体" w:eastAsia="宋体" w:cs="宋体"/>
          <w:b/>
          <w:color w:val="auto"/>
          <w:kern w:val="0"/>
          <w:sz w:val="32"/>
          <w:szCs w:val="32"/>
          <w:highlight w:val="none"/>
        </w:rPr>
      </w:pPr>
    </w:p>
    <w:p w14:paraId="49E55A51">
      <w:pPr>
        <w:jc w:val="center"/>
        <w:rPr>
          <w:rFonts w:hint="eastAsia" w:ascii="宋体" w:hAnsi="宋体" w:eastAsia="宋体" w:cs="宋体"/>
          <w:b/>
          <w:color w:val="auto"/>
          <w:kern w:val="0"/>
          <w:sz w:val="32"/>
          <w:szCs w:val="32"/>
          <w:highlight w:val="none"/>
        </w:rPr>
      </w:pPr>
    </w:p>
    <w:p w14:paraId="1EA7B180">
      <w:pPr>
        <w:jc w:val="center"/>
        <w:rPr>
          <w:rFonts w:hint="eastAsia" w:ascii="宋体" w:hAnsi="宋体" w:eastAsia="宋体" w:cs="宋体"/>
          <w:b/>
          <w:color w:val="auto"/>
          <w:kern w:val="0"/>
          <w:sz w:val="32"/>
          <w:szCs w:val="32"/>
          <w:highlight w:val="none"/>
        </w:rPr>
      </w:pPr>
    </w:p>
    <w:p w14:paraId="5B98D7E2">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1A52DB25">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21A78A23">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p w14:paraId="565904C1">
      <w:pPr>
        <w:jc w:val="center"/>
        <w:rPr>
          <w:rFonts w:hint="eastAsia" w:ascii="宋体" w:hAnsi="宋体" w:eastAsia="宋体" w:cs="宋体"/>
          <w:b/>
          <w:color w:val="auto"/>
          <w:kern w:val="0"/>
          <w:sz w:val="32"/>
          <w:szCs w:val="32"/>
          <w:highlight w:val="none"/>
        </w:rPr>
      </w:pPr>
    </w:p>
    <w:p w14:paraId="403D9E3D">
      <w:pPr>
        <w:jc w:val="center"/>
        <w:rPr>
          <w:rFonts w:hint="eastAsia" w:ascii="宋体" w:hAnsi="宋体" w:eastAsia="宋体" w:cs="宋体"/>
          <w:b/>
          <w:color w:val="auto"/>
          <w:kern w:val="0"/>
          <w:sz w:val="32"/>
          <w:szCs w:val="32"/>
          <w:highlight w:val="none"/>
        </w:rPr>
      </w:pPr>
    </w:p>
    <w:p w14:paraId="57AF4F8D">
      <w:pPr>
        <w:jc w:val="center"/>
        <w:rPr>
          <w:rFonts w:hint="eastAsia" w:ascii="宋体" w:hAnsi="宋体" w:eastAsia="宋体" w:cs="宋体"/>
          <w:b/>
          <w:color w:val="auto"/>
          <w:kern w:val="0"/>
          <w:sz w:val="32"/>
          <w:szCs w:val="32"/>
          <w:highlight w:val="none"/>
        </w:rPr>
      </w:pPr>
    </w:p>
    <w:p w14:paraId="4DB117A6">
      <w:pPr>
        <w:ind w:firstLine="2891" w:firstLineChars="90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302"/>
        <w:gridCol w:w="1059"/>
        <w:gridCol w:w="1198"/>
        <w:gridCol w:w="2641"/>
        <w:gridCol w:w="1591"/>
      </w:tblGrid>
      <w:tr w14:paraId="6D7F3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72C8EE9E">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766" w:type="pct"/>
            <w:tcBorders>
              <w:top w:val="single" w:color="auto" w:sz="4" w:space="0"/>
              <w:left w:val="single" w:color="auto" w:sz="4" w:space="0"/>
              <w:bottom w:val="single" w:color="auto" w:sz="4" w:space="0"/>
              <w:right w:val="single" w:color="auto" w:sz="4" w:space="0"/>
            </w:tcBorders>
            <w:vAlign w:val="center"/>
          </w:tcPr>
          <w:p w14:paraId="21280CCF">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623" w:type="pct"/>
            <w:tcBorders>
              <w:top w:val="single" w:color="auto" w:sz="4" w:space="0"/>
              <w:left w:val="single" w:color="auto" w:sz="4" w:space="0"/>
              <w:bottom w:val="single" w:color="auto" w:sz="4" w:space="0"/>
              <w:right w:val="single" w:color="auto" w:sz="4" w:space="0"/>
            </w:tcBorders>
          </w:tcPr>
          <w:p w14:paraId="530EE936">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p w14:paraId="3A3D8CBC">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705" w:type="pct"/>
            <w:tcBorders>
              <w:top w:val="single" w:color="auto" w:sz="4" w:space="0"/>
              <w:left w:val="single" w:color="auto" w:sz="4" w:space="0"/>
              <w:bottom w:val="single" w:color="auto" w:sz="4" w:space="0"/>
              <w:right w:val="single" w:color="auto" w:sz="4" w:space="0"/>
            </w:tcBorders>
            <w:vAlign w:val="center"/>
          </w:tcPr>
          <w:p w14:paraId="5484AE5B">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1554" w:type="pct"/>
            <w:tcBorders>
              <w:top w:val="single" w:color="auto" w:sz="4" w:space="0"/>
              <w:left w:val="single" w:color="auto" w:sz="4" w:space="0"/>
              <w:bottom w:val="single" w:color="auto" w:sz="4" w:space="0"/>
              <w:right w:val="single" w:color="auto" w:sz="4" w:space="0"/>
            </w:tcBorders>
            <w:vAlign w:val="center"/>
          </w:tcPr>
          <w:p w14:paraId="6470118E">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936" w:type="pct"/>
            <w:tcBorders>
              <w:top w:val="single" w:color="auto" w:sz="4" w:space="0"/>
              <w:left w:val="single" w:color="auto" w:sz="4" w:space="0"/>
              <w:bottom w:val="single" w:color="auto" w:sz="4" w:space="0"/>
              <w:right w:val="single" w:color="auto" w:sz="4" w:space="0"/>
            </w:tcBorders>
            <w:vAlign w:val="center"/>
          </w:tcPr>
          <w:p w14:paraId="5B789630">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44F0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574AEEA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766" w:type="pct"/>
            <w:tcBorders>
              <w:top w:val="single" w:color="auto" w:sz="4" w:space="0"/>
              <w:left w:val="single" w:color="auto" w:sz="4" w:space="0"/>
              <w:bottom w:val="single" w:color="auto" w:sz="4" w:space="0"/>
              <w:right w:val="single" w:color="auto" w:sz="4" w:space="0"/>
            </w:tcBorders>
            <w:vAlign w:val="center"/>
          </w:tcPr>
          <w:p w14:paraId="32DB157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198EBAB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24BB1BB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2A0B1BF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05D7B07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7B789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0694A50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766" w:type="pct"/>
            <w:tcBorders>
              <w:top w:val="single" w:color="auto" w:sz="4" w:space="0"/>
              <w:left w:val="single" w:color="auto" w:sz="4" w:space="0"/>
              <w:bottom w:val="single" w:color="auto" w:sz="4" w:space="0"/>
              <w:right w:val="single" w:color="auto" w:sz="4" w:space="0"/>
            </w:tcBorders>
            <w:vAlign w:val="center"/>
          </w:tcPr>
          <w:p w14:paraId="2A8A6A2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16FA971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625700C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286D2B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7A11BE0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7889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2" w:type="pct"/>
            <w:tcBorders>
              <w:top w:val="single" w:color="auto" w:sz="4" w:space="0"/>
              <w:left w:val="single" w:color="auto" w:sz="4" w:space="0"/>
              <w:bottom w:val="single" w:color="auto" w:sz="4" w:space="0"/>
              <w:right w:val="single" w:color="auto" w:sz="4" w:space="0"/>
            </w:tcBorders>
            <w:vAlign w:val="center"/>
          </w:tcPr>
          <w:p w14:paraId="4A76DBA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766" w:type="pct"/>
            <w:tcBorders>
              <w:top w:val="single" w:color="auto" w:sz="4" w:space="0"/>
              <w:left w:val="single" w:color="auto" w:sz="4" w:space="0"/>
              <w:bottom w:val="single" w:color="auto" w:sz="4" w:space="0"/>
              <w:right w:val="single" w:color="auto" w:sz="4" w:space="0"/>
            </w:tcBorders>
            <w:vAlign w:val="center"/>
          </w:tcPr>
          <w:p w14:paraId="13BD978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623" w:type="pct"/>
            <w:tcBorders>
              <w:top w:val="single" w:color="auto" w:sz="4" w:space="0"/>
              <w:left w:val="single" w:color="auto" w:sz="4" w:space="0"/>
              <w:bottom w:val="single" w:color="auto" w:sz="4" w:space="0"/>
              <w:right w:val="single" w:color="auto" w:sz="4" w:space="0"/>
            </w:tcBorders>
            <w:vAlign w:val="center"/>
          </w:tcPr>
          <w:p w14:paraId="65A44EE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705" w:type="pct"/>
            <w:tcBorders>
              <w:top w:val="single" w:color="auto" w:sz="4" w:space="0"/>
              <w:left w:val="single" w:color="auto" w:sz="4" w:space="0"/>
              <w:bottom w:val="single" w:color="auto" w:sz="4" w:space="0"/>
              <w:right w:val="single" w:color="auto" w:sz="4" w:space="0"/>
            </w:tcBorders>
            <w:vAlign w:val="center"/>
          </w:tcPr>
          <w:p w14:paraId="1627D95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1554" w:type="pct"/>
            <w:tcBorders>
              <w:top w:val="single" w:color="auto" w:sz="4" w:space="0"/>
              <w:left w:val="single" w:color="auto" w:sz="4" w:space="0"/>
              <w:bottom w:val="single" w:color="auto" w:sz="4" w:space="0"/>
              <w:right w:val="single" w:color="auto" w:sz="4" w:space="0"/>
            </w:tcBorders>
            <w:vAlign w:val="center"/>
          </w:tcPr>
          <w:p w14:paraId="7CFE31E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936" w:type="pct"/>
            <w:tcBorders>
              <w:top w:val="single" w:color="auto" w:sz="4" w:space="0"/>
              <w:left w:val="single" w:color="auto" w:sz="4" w:space="0"/>
              <w:bottom w:val="single" w:color="auto" w:sz="4" w:space="0"/>
              <w:right w:val="single" w:color="auto" w:sz="4" w:space="0"/>
            </w:tcBorders>
            <w:vAlign w:val="center"/>
          </w:tcPr>
          <w:p w14:paraId="2EF91BE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bl>
    <w:p w14:paraId="4E248E0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24FA3B58">
      <w:pPr>
        <w:jc w:val="center"/>
        <w:rPr>
          <w:rFonts w:hint="eastAsia" w:ascii="宋体" w:hAnsi="宋体" w:eastAsia="宋体" w:cs="宋体"/>
          <w:b/>
          <w:color w:val="auto"/>
          <w:kern w:val="0"/>
          <w:sz w:val="32"/>
          <w:szCs w:val="32"/>
          <w:highlight w:val="none"/>
        </w:rPr>
      </w:pPr>
    </w:p>
    <w:p w14:paraId="2B84C654">
      <w:pPr>
        <w:jc w:val="center"/>
        <w:rPr>
          <w:rFonts w:hint="eastAsia" w:ascii="宋体" w:hAnsi="宋体" w:eastAsia="宋体" w:cs="宋体"/>
          <w:b/>
          <w:color w:val="auto"/>
          <w:kern w:val="0"/>
          <w:sz w:val="32"/>
          <w:szCs w:val="32"/>
          <w:highlight w:val="none"/>
        </w:rPr>
      </w:pPr>
    </w:p>
    <w:p w14:paraId="6628F783">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3304"/>
        <w:gridCol w:w="3182"/>
        <w:gridCol w:w="1145"/>
      </w:tblGrid>
      <w:tr w14:paraId="414BB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1A76D7AD">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945" w:type="pct"/>
          </w:tcPr>
          <w:p w14:paraId="0A1E36A2">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1873" w:type="pct"/>
          </w:tcPr>
          <w:p w14:paraId="3B4FDB33">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674" w:type="pct"/>
          </w:tcPr>
          <w:p w14:paraId="31EF61BB">
            <w:pPr>
              <w:keepNext w:val="0"/>
              <w:keepLines w:val="0"/>
              <w:suppressLineNumbers w:val="0"/>
              <w:spacing w:before="0" w:beforeAutospacing="0" w:after="0" w:afterAutospacing="0"/>
              <w:ind w:left="0" w:right="0"/>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5C22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0FAB4979">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1945" w:type="pct"/>
          </w:tcPr>
          <w:p w14:paraId="42572AF9">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873" w:type="pct"/>
          </w:tcPr>
          <w:p w14:paraId="7E6AEA0C">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674" w:type="pct"/>
          </w:tcPr>
          <w:p w14:paraId="383C1503">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r w14:paraId="412C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75A6EA8E">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1945" w:type="pct"/>
          </w:tcPr>
          <w:p w14:paraId="16E458AC">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873" w:type="pct"/>
          </w:tcPr>
          <w:p w14:paraId="2AEECF63">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674" w:type="pct"/>
          </w:tcPr>
          <w:p w14:paraId="3D99D5AB">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r w14:paraId="0AE5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 w:type="pct"/>
          </w:tcPr>
          <w:p w14:paraId="1D033B60">
            <w:pPr>
              <w:keepNext w:val="0"/>
              <w:keepLines w:val="0"/>
              <w:suppressLineNumbers w:val="0"/>
              <w:spacing w:before="0" w:beforeAutospacing="0" w:after="0" w:afterAutospacing="0"/>
              <w:ind w:left="0" w:right="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1945" w:type="pct"/>
          </w:tcPr>
          <w:p w14:paraId="4AB7076C">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1873" w:type="pct"/>
          </w:tcPr>
          <w:p w14:paraId="2556C745">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c>
          <w:tcPr>
            <w:tcW w:w="674" w:type="pct"/>
          </w:tcPr>
          <w:p w14:paraId="7208B623">
            <w:pPr>
              <w:keepNext w:val="0"/>
              <w:keepLines w:val="0"/>
              <w:suppressLineNumbers w:val="0"/>
              <w:spacing w:before="0" w:beforeAutospacing="0" w:after="0" w:afterAutospacing="0"/>
              <w:ind w:left="0" w:right="0"/>
              <w:jc w:val="center"/>
              <w:rPr>
                <w:rFonts w:hint="eastAsia" w:ascii="宋体" w:hAnsi="宋体" w:eastAsia="宋体" w:cs="宋体"/>
                <w:b/>
                <w:color w:val="auto"/>
                <w:kern w:val="0"/>
                <w:sz w:val="32"/>
                <w:szCs w:val="32"/>
                <w:highlight w:val="none"/>
              </w:rPr>
            </w:pPr>
          </w:p>
        </w:tc>
      </w:tr>
    </w:tbl>
    <w:p w14:paraId="1DB59B47">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6D5FA40E">
      <w:pPr>
        <w:jc w:val="center"/>
        <w:rPr>
          <w:rFonts w:hint="eastAsia" w:ascii="宋体" w:hAnsi="宋体" w:eastAsia="宋体" w:cs="宋体"/>
          <w:b/>
          <w:color w:val="auto"/>
          <w:kern w:val="0"/>
          <w:sz w:val="32"/>
          <w:szCs w:val="32"/>
          <w:highlight w:val="none"/>
        </w:rPr>
      </w:pPr>
    </w:p>
    <w:p w14:paraId="6F4A483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46EB558">
      <w:pPr>
        <w:ind w:firstLine="1911" w:firstLineChars="595"/>
        <w:rPr>
          <w:rFonts w:hint="eastAsia" w:ascii="宋体" w:hAnsi="宋体" w:eastAsia="宋体" w:cs="宋体"/>
          <w:b/>
          <w:bCs/>
          <w:color w:val="auto"/>
          <w:sz w:val="32"/>
          <w:szCs w:val="32"/>
          <w:highlight w:val="none"/>
        </w:rPr>
      </w:pPr>
    </w:p>
    <w:p w14:paraId="5E196121">
      <w:pPr>
        <w:ind w:firstLine="1911" w:firstLineChars="595"/>
        <w:rPr>
          <w:rFonts w:hint="eastAsia" w:ascii="宋体" w:hAnsi="宋体" w:eastAsia="宋体" w:cs="宋体"/>
          <w:b/>
          <w:bCs/>
          <w:color w:val="auto"/>
          <w:sz w:val="32"/>
          <w:szCs w:val="32"/>
          <w:highlight w:val="none"/>
        </w:rPr>
      </w:pPr>
    </w:p>
    <w:p w14:paraId="6F43CAFA">
      <w:pPr>
        <w:ind w:firstLine="1911" w:firstLineChars="595"/>
        <w:rPr>
          <w:rFonts w:hint="eastAsia" w:ascii="宋体" w:hAnsi="宋体" w:eastAsia="宋体" w:cs="宋体"/>
          <w:b/>
          <w:bCs/>
          <w:color w:val="auto"/>
          <w:sz w:val="32"/>
          <w:szCs w:val="32"/>
          <w:highlight w:val="none"/>
        </w:rPr>
      </w:pPr>
    </w:p>
    <w:p w14:paraId="0CF05CAB">
      <w:pPr>
        <w:ind w:firstLine="1911" w:firstLineChars="595"/>
        <w:rPr>
          <w:rFonts w:hint="eastAsia" w:ascii="宋体" w:hAnsi="宋体" w:eastAsia="宋体" w:cs="宋体"/>
          <w:b/>
          <w:bCs/>
          <w:color w:val="auto"/>
          <w:sz w:val="32"/>
          <w:szCs w:val="32"/>
          <w:highlight w:val="none"/>
        </w:rPr>
      </w:pPr>
    </w:p>
    <w:p w14:paraId="26A42445">
      <w:pPr>
        <w:ind w:firstLine="1911" w:firstLineChars="595"/>
        <w:rPr>
          <w:rFonts w:hint="eastAsia" w:ascii="宋体" w:hAnsi="宋体" w:eastAsia="宋体" w:cs="宋体"/>
          <w:b/>
          <w:bCs/>
          <w:color w:val="auto"/>
          <w:sz w:val="32"/>
          <w:szCs w:val="32"/>
          <w:highlight w:val="none"/>
        </w:rPr>
      </w:pPr>
    </w:p>
    <w:p w14:paraId="21C9249F">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7EFC35CD">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cs="宋体"/>
          <w:b/>
          <w:color w:val="auto"/>
          <w:kern w:val="0"/>
          <w:sz w:val="32"/>
          <w:szCs w:val="32"/>
          <w:highlight w:val="none"/>
          <w:lang w:val="zh-CN"/>
        </w:rPr>
        <w:t>采购</w:t>
      </w:r>
      <w:r>
        <w:rPr>
          <w:rFonts w:hint="eastAsia" w:ascii="宋体" w:hAnsi="宋体" w:eastAsia="宋体" w:cs="宋体"/>
          <w:b/>
          <w:color w:val="auto"/>
          <w:kern w:val="0"/>
          <w:sz w:val="32"/>
          <w:szCs w:val="32"/>
          <w:highlight w:val="none"/>
          <w:lang w:val="zh-CN"/>
        </w:rPr>
        <w:t>供应商廉洁自律承诺书</w:t>
      </w:r>
    </w:p>
    <w:p w14:paraId="25D79D2A">
      <w:pPr>
        <w:jc w:val="both"/>
        <w:rPr>
          <w:rFonts w:hint="eastAsia" w:ascii="宋体" w:hAnsi="宋体" w:eastAsia="宋体" w:cs="宋体"/>
          <w:b/>
          <w:color w:val="auto"/>
          <w:kern w:val="0"/>
          <w:sz w:val="32"/>
          <w:szCs w:val="32"/>
          <w:highlight w:val="none"/>
          <w:lang w:val="zh-CN"/>
        </w:rPr>
      </w:pPr>
    </w:p>
    <w:p w14:paraId="6F8309C6">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建德市长运物资有限公司：</w:t>
      </w:r>
    </w:p>
    <w:p w14:paraId="7677C988">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5B4A4ED2">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79B892BF">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30CA061A">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24AFAA61">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23C6318F">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011EE214">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44ABC19D">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仿宋_GB2312"/>
          <w:sz w:val="24"/>
          <w:szCs w:val="24"/>
          <w:lang w:val="en-US" w:eastAsia="zh-CN" w:bidi="ar"/>
        </w:rPr>
        <w:t>六、</w:t>
      </w:r>
      <w:r>
        <w:rPr>
          <w:rFonts w:hint="eastAsia" w:ascii="宋体" w:hAnsi="宋体" w:eastAsia="宋体" w:cs="仿宋_GB2312"/>
          <w:sz w:val="24"/>
          <w:szCs w:val="24"/>
          <w:lang w:val="zh-CN" w:eastAsia="zh-CN" w:bidi="ar"/>
        </w:rPr>
        <w:t xml:space="preserve">严格遵守《中华人民共和国政府采购法》《中华人民共和国招标投标法》《中华人民共和国民法典》等法律法规，诚实守信，合法经营，坚决抵制各种违法违纪行为。 </w:t>
      </w: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3F0A781F">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778B964">
      <w:pPr>
        <w:autoSpaceDE w:val="0"/>
        <w:autoSpaceDN w:val="0"/>
        <w:spacing w:line="360" w:lineRule="auto"/>
        <w:ind w:left="2"/>
        <w:jc w:val="left"/>
        <w:rPr>
          <w:rFonts w:hint="eastAsia" w:ascii="宋体" w:hAnsi="宋体" w:eastAsia="宋体" w:cs="宋体"/>
          <w:color w:val="auto"/>
          <w:kern w:val="0"/>
          <w:sz w:val="24"/>
          <w:highlight w:val="none"/>
          <w:lang w:val="zh-CN"/>
        </w:rPr>
      </w:pPr>
    </w:p>
    <w:p w14:paraId="4963A9A7">
      <w:pPr>
        <w:autoSpaceDE w:val="0"/>
        <w:autoSpaceDN w:val="0"/>
        <w:spacing w:line="360" w:lineRule="auto"/>
        <w:ind w:left="2"/>
        <w:jc w:val="left"/>
        <w:rPr>
          <w:rFonts w:hint="eastAsia" w:ascii="宋体" w:hAnsi="宋体" w:eastAsia="宋体" w:cs="宋体"/>
          <w:color w:val="auto"/>
          <w:kern w:val="0"/>
          <w:sz w:val="24"/>
          <w:highlight w:val="none"/>
          <w:lang w:val="zh-CN"/>
        </w:rPr>
      </w:pPr>
    </w:p>
    <w:p w14:paraId="58025DCF">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6B7B4F68">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36D0C21E">
      <w:pPr>
        <w:spacing w:line="360" w:lineRule="auto"/>
        <w:jc w:val="center"/>
        <w:rPr>
          <w:rFonts w:hint="eastAsia" w:ascii="宋体" w:hAnsi="宋体" w:eastAsia="宋体" w:cs="宋体"/>
          <w:b/>
          <w:bCs/>
          <w:color w:val="auto"/>
          <w:sz w:val="24"/>
          <w:highlight w:val="none"/>
        </w:rPr>
      </w:pPr>
    </w:p>
    <w:p w14:paraId="6890D63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5735AAB2">
      <w:pPr>
        <w:spacing w:line="360" w:lineRule="auto"/>
        <w:jc w:val="center"/>
        <w:rPr>
          <w:rFonts w:hint="eastAsia" w:ascii="宋体" w:hAnsi="宋体" w:eastAsia="宋体" w:cs="宋体"/>
          <w:b/>
          <w:bCs/>
          <w:color w:val="auto"/>
          <w:sz w:val="24"/>
          <w:highlight w:val="none"/>
        </w:rPr>
        <w:sectPr>
          <w:headerReference r:id="rId9" w:type="first"/>
          <w:footerReference r:id="rId11" w:type="first"/>
          <w:headerReference r:id="rId8" w:type="default"/>
          <w:footerReference r:id="rId10" w:type="default"/>
          <w:pgSz w:w="11905" w:h="16838"/>
          <w:pgMar w:top="1474" w:right="1814" w:bottom="1474" w:left="1814" w:header="851" w:footer="850" w:gutter="0"/>
          <w:cols w:space="0" w:num="1"/>
          <w:rtlGutter w:val="0"/>
          <w:docGrid w:linePitch="312" w:charSpace="0"/>
        </w:sectPr>
      </w:pPr>
    </w:p>
    <w:p w14:paraId="76C13440">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54A98F33">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7F7CF25D">
      <w:pPr>
        <w:spacing w:line="360" w:lineRule="auto"/>
        <w:jc w:val="center"/>
        <w:outlineLvl w:val="0"/>
        <w:rPr>
          <w:rFonts w:hint="eastAsia" w:ascii="宋体" w:hAnsi="宋体" w:eastAsia="宋体" w:cs="宋体"/>
          <w:b/>
          <w:color w:val="auto"/>
          <w:kern w:val="0"/>
          <w:sz w:val="36"/>
          <w:szCs w:val="36"/>
          <w:highlight w:val="none"/>
        </w:rPr>
      </w:pPr>
    </w:p>
    <w:p w14:paraId="65542155">
      <w:pPr>
        <w:numPr>
          <w:ilvl w:val="0"/>
          <w:numId w:val="3"/>
        </w:numPr>
        <w:snapToGrid w:val="0"/>
        <w:spacing w:line="36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开标一览表（报价表）………………………………………………………（页码）</w:t>
      </w:r>
    </w:p>
    <w:p w14:paraId="1A91D53A">
      <w:pPr>
        <w:snapToGrid w:val="0"/>
        <w:spacing w:line="360" w:lineRule="auto"/>
        <w:rPr>
          <w:rFonts w:hint="eastAsia" w:ascii="宋体" w:hAnsi="宋体" w:eastAsia="宋体" w:cs="宋体"/>
          <w:color w:val="auto"/>
          <w:sz w:val="24"/>
          <w:highlight w:val="none"/>
        </w:rPr>
      </w:pPr>
    </w:p>
    <w:p w14:paraId="2BD11DE4">
      <w:pPr>
        <w:snapToGrid w:val="0"/>
        <w:spacing w:line="360" w:lineRule="auto"/>
        <w:ind w:right="480"/>
        <w:jc w:val="center"/>
        <w:rPr>
          <w:rFonts w:hint="eastAsia" w:ascii="宋体" w:hAnsi="宋体" w:eastAsia="宋体" w:cs="宋体"/>
          <w:b/>
          <w:color w:val="auto"/>
          <w:kern w:val="0"/>
          <w:sz w:val="32"/>
          <w:szCs w:val="32"/>
          <w:highlight w:val="none"/>
        </w:rPr>
      </w:pPr>
    </w:p>
    <w:p w14:paraId="59DAA865">
      <w:pPr>
        <w:snapToGrid w:val="0"/>
        <w:spacing w:line="360" w:lineRule="auto"/>
        <w:ind w:right="480"/>
        <w:jc w:val="center"/>
        <w:rPr>
          <w:rFonts w:hint="eastAsia" w:ascii="宋体" w:hAnsi="宋体" w:eastAsia="宋体" w:cs="宋体"/>
          <w:b/>
          <w:color w:val="auto"/>
          <w:kern w:val="0"/>
          <w:sz w:val="32"/>
          <w:szCs w:val="32"/>
          <w:highlight w:val="none"/>
        </w:rPr>
      </w:pPr>
    </w:p>
    <w:p w14:paraId="535092C9">
      <w:pPr>
        <w:snapToGrid w:val="0"/>
        <w:spacing w:line="360" w:lineRule="auto"/>
        <w:ind w:right="480"/>
        <w:jc w:val="center"/>
        <w:rPr>
          <w:rFonts w:hint="eastAsia" w:ascii="宋体" w:hAnsi="宋体" w:eastAsia="宋体" w:cs="宋体"/>
          <w:b/>
          <w:color w:val="auto"/>
          <w:kern w:val="0"/>
          <w:sz w:val="32"/>
          <w:szCs w:val="32"/>
          <w:highlight w:val="none"/>
        </w:rPr>
      </w:pPr>
    </w:p>
    <w:p w14:paraId="069682D8">
      <w:pPr>
        <w:snapToGrid w:val="0"/>
        <w:spacing w:line="360" w:lineRule="auto"/>
        <w:ind w:right="480"/>
        <w:jc w:val="center"/>
        <w:rPr>
          <w:rFonts w:hint="eastAsia" w:ascii="宋体" w:hAnsi="宋体" w:eastAsia="宋体" w:cs="宋体"/>
          <w:b/>
          <w:color w:val="auto"/>
          <w:kern w:val="0"/>
          <w:sz w:val="32"/>
          <w:szCs w:val="32"/>
          <w:highlight w:val="none"/>
        </w:rPr>
      </w:pPr>
    </w:p>
    <w:p w14:paraId="52034B9C">
      <w:pPr>
        <w:snapToGrid w:val="0"/>
        <w:spacing w:line="360" w:lineRule="auto"/>
        <w:ind w:right="480"/>
        <w:jc w:val="center"/>
        <w:rPr>
          <w:rFonts w:hint="eastAsia" w:ascii="宋体" w:hAnsi="宋体" w:eastAsia="宋体" w:cs="宋体"/>
          <w:b/>
          <w:color w:val="auto"/>
          <w:kern w:val="0"/>
          <w:sz w:val="32"/>
          <w:szCs w:val="32"/>
          <w:highlight w:val="none"/>
        </w:rPr>
      </w:pPr>
    </w:p>
    <w:p w14:paraId="43B630B9">
      <w:pPr>
        <w:snapToGrid w:val="0"/>
        <w:spacing w:line="360" w:lineRule="auto"/>
        <w:ind w:right="480"/>
        <w:jc w:val="center"/>
        <w:rPr>
          <w:rFonts w:hint="eastAsia" w:ascii="宋体" w:hAnsi="宋体" w:eastAsia="宋体" w:cs="宋体"/>
          <w:b/>
          <w:color w:val="auto"/>
          <w:kern w:val="0"/>
          <w:sz w:val="32"/>
          <w:szCs w:val="32"/>
          <w:highlight w:val="none"/>
        </w:rPr>
      </w:pPr>
    </w:p>
    <w:p w14:paraId="0BE79D65">
      <w:pPr>
        <w:snapToGrid w:val="0"/>
        <w:spacing w:line="360" w:lineRule="auto"/>
        <w:ind w:right="480"/>
        <w:jc w:val="center"/>
        <w:rPr>
          <w:rFonts w:hint="eastAsia" w:ascii="宋体" w:hAnsi="宋体" w:eastAsia="宋体" w:cs="宋体"/>
          <w:b/>
          <w:color w:val="auto"/>
          <w:kern w:val="0"/>
          <w:sz w:val="32"/>
          <w:szCs w:val="32"/>
          <w:highlight w:val="none"/>
        </w:rPr>
      </w:pPr>
    </w:p>
    <w:p w14:paraId="71E66209">
      <w:pPr>
        <w:snapToGrid w:val="0"/>
        <w:spacing w:line="360" w:lineRule="auto"/>
        <w:ind w:right="480"/>
        <w:jc w:val="center"/>
        <w:rPr>
          <w:rFonts w:hint="eastAsia" w:ascii="宋体" w:hAnsi="宋体" w:eastAsia="宋体" w:cs="宋体"/>
          <w:b/>
          <w:color w:val="auto"/>
          <w:kern w:val="0"/>
          <w:sz w:val="32"/>
          <w:szCs w:val="32"/>
          <w:highlight w:val="none"/>
        </w:rPr>
      </w:pPr>
    </w:p>
    <w:p w14:paraId="545E5BB2">
      <w:pPr>
        <w:snapToGrid w:val="0"/>
        <w:spacing w:line="360" w:lineRule="auto"/>
        <w:ind w:right="480"/>
        <w:jc w:val="center"/>
        <w:rPr>
          <w:rFonts w:hint="eastAsia" w:ascii="宋体" w:hAnsi="宋体" w:eastAsia="宋体" w:cs="宋体"/>
          <w:b/>
          <w:color w:val="auto"/>
          <w:kern w:val="0"/>
          <w:sz w:val="32"/>
          <w:szCs w:val="32"/>
          <w:highlight w:val="none"/>
        </w:rPr>
      </w:pPr>
    </w:p>
    <w:p w14:paraId="359A071D">
      <w:pPr>
        <w:snapToGrid w:val="0"/>
        <w:spacing w:line="360" w:lineRule="auto"/>
        <w:ind w:right="480"/>
        <w:jc w:val="center"/>
        <w:rPr>
          <w:rFonts w:hint="eastAsia" w:ascii="宋体" w:hAnsi="宋体" w:eastAsia="宋体" w:cs="宋体"/>
          <w:b/>
          <w:color w:val="auto"/>
          <w:kern w:val="0"/>
          <w:sz w:val="32"/>
          <w:szCs w:val="32"/>
          <w:highlight w:val="none"/>
        </w:rPr>
      </w:pPr>
    </w:p>
    <w:p w14:paraId="30D22202">
      <w:pPr>
        <w:snapToGrid w:val="0"/>
        <w:spacing w:line="360" w:lineRule="auto"/>
        <w:ind w:right="480"/>
        <w:jc w:val="center"/>
        <w:rPr>
          <w:rFonts w:hint="eastAsia" w:ascii="宋体" w:hAnsi="宋体" w:eastAsia="宋体" w:cs="宋体"/>
          <w:b/>
          <w:color w:val="auto"/>
          <w:kern w:val="0"/>
          <w:sz w:val="32"/>
          <w:szCs w:val="32"/>
          <w:highlight w:val="none"/>
        </w:rPr>
      </w:pPr>
    </w:p>
    <w:p w14:paraId="1BE99E83">
      <w:pPr>
        <w:snapToGrid w:val="0"/>
        <w:spacing w:line="360" w:lineRule="auto"/>
        <w:ind w:right="480"/>
        <w:jc w:val="center"/>
        <w:rPr>
          <w:rFonts w:hint="eastAsia" w:ascii="宋体" w:hAnsi="宋体" w:eastAsia="宋体" w:cs="宋体"/>
          <w:b/>
          <w:color w:val="auto"/>
          <w:kern w:val="0"/>
          <w:sz w:val="32"/>
          <w:szCs w:val="32"/>
          <w:highlight w:val="none"/>
        </w:rPr>
      </w:pPr>
    </w:p>
    <w:p w14:paraId="45496D57">
      <w:pPr>
        <w:snapToGrid w:val="0"/>
        <w:spacing w:line="360" w:lineRule="auto"/>
        <w:ind w:right="480"/>
        <w:jc w:val="center"/>
        <w:rPr>
          <w:rFonts w:hint="eastAsia" w:ascii="宋体" w:hAnsi="宋体" w:eastAsia="宋体" w:cs="宋体"/>
          <w:b/>
          <w:color w:val="auto"/>
          <w:kern w:val="0"/>
          <w:sz w:val="32"/>
          <w:szCs w:val="32"/>
          <w:highlight w:val="none"/>
        </w:rPr>
      </w:pPr>
    </w:p>
    <w:p w14:paraId="3CFD459E">
      <w:pPr>
        <w:snapToGrid w:val="0"/>
        <w:spacing w:line="360" w:lineRule="auto"/>
        <w:ind w:right="480"/>
        <w:jc w:val="center"/>
        <w:rPr>
          <w:rFonts w:hint="eastAsia" w:ascii="宋体" w:hAnsi="宋体" w:eastAsia="宋体" w:cs="宋体"/>
          <w:b/>
          <w:color w:val="auto"/>
          <w:kern w:val="0"/>
          <w:sz w:val="32"/>
          <w:szCs w:val="32"/>
          <w:highlight w:val="none"/>
        </w:rPr>
      </w:pPr>
    </w:p>
    <w:p w14:paraId="70D2F44C">
      <w:pPr>
        <w:snapToGrid w:val="0"/>
        <w:spacing w:line="360" w:lineRule="auto"/>
        <w:ind w:right="480"/>
        <w:jc w:val="center"/>
        <w:rPr>
          <w:rFonts w:hint="eastAsia" w:ascii="宋体" w:hAnsi="宋体" w:eastAsia="宋体" w:cs="宋体"/>
          <w:b/>
          <w:color w:val="auto"/>
          <w:kern w:val="0"/>
          <w:sz w:val="32"/>
          <w:szCs w:val="32"/>
          <w:highlight w:val="none"/>
        </w:rPr>
      </w:pPr>
    </w:p>
    <w:p w14:paraId="069BCEB6">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3" w:type="first"/>
          <w:footerReference r:id="rId15" w:type="first"/>
          <w:headerReference r:id="rId12" w:type="default"/>
          <w:footerReference r:id="rId14" w:type="default"/>
          <w:pgSz w:w="11905" w:h="16838"/>
          <w:pgMar w:top="1474" w:right="1814" w:bottom="1474" w:left="1814" w:header="851" w:footer="850" w:gutter="0"/>
          <w:cols w:space="0" w:num="1"/>
          <w:rtlGutter w:val="0"/>
          <w:docGrid w:linePitch="312" w:charSpace="0"/>
        </w:sectPr>
      </w:pPr>
    </w:p>
    <w:p w14:paraId="453BB123">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F457431">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建德市长运物资有限公司、</w:t>
      </w:r>
      <w:r>
        <w:rPr>
          <w:rFonts w:hint="eastAsia" w:ascii="宋体" w:hAnsi="宋体" w:cs="宋体"/>
          <w:color w:val="auto"/>
          <w:sz w:val="24"/>
          <w:highlight w:val="none"/>
          <w:u w:val="single"/>
          <w:lang w:val="en-US" w:eastAsia="zh-CN"/>
        </w:rPr>
        <w:t>浙江新诚信工程咨询有限公司</w:t>
      </w:r>
      <w:r>
        <w:rPr>
          <w:rFonts w:hint="eastAsia" w:ascii="宋体" w:hAnsi="宋体" w:eastAsia="宋体" w:cs="宋体"/>
          <w:color w:val="auto"/>
          <w:sz w:val="24"/>
          <w:highlight w:val="none"/>
          <w:u w:val="single"/>
        </w:rPr>
        <w:t>：</w:t>
      </w:r>
    </w:p>
    <w:p w14:paraId="728F07BD">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建德市长运物资有限公司公路旅游型柴油空调客车采购项目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ZJXCX2025B-002】</w:t>
      </w:r>
      <w:r>
        <w:rPr>
          <w:rFonts w:hint="eastAsia" w:ascii="宋体" w:hAnsi="宋体" w:eastAsia="宋体" w:cs="宋体"/>
          <w:color w:val="auto"/>
          <w:sz w:val="24"/>
          <w:highlight w:val="none"/>
        </w:rPr>
        <w:t>的实施</w:t>
      </w:r>
      <w:r>
        <w:rPr>
          <w:rFonts w:hint="eastAsia" w:ascii="宋体" w:hAnsi="宋体" w:eastAsia="宋体" w:cs="宋体"/>
          <w:color w:val="auto"/>
          <w:kern w:val="0"/>
          <w:sz w:val="24"/>
          <w:highlight w:val="none"/>
          <w:lang w:val="zh-CN"/>
        </w:rPr>
        <w:t>。</w:t>
      </w:r>
    </w:p>
    <w:p w14:paraId="54AC1DCD">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r>
        <w:rPr>
          <w:rFonts w:hint="eastAsia" w:ascii="宋体" w:hAnsi="宋体" w:cs="宋体"/>
          <w:b/>
          <w:color w:val="auto"/>
          <w:kern w:val="0"/>
          <w:sz w:val="24"/>
          <w:highlight w:val="none"/>
          <w:lang w:val="zh-CN"/>
        </w:rPr>
        <w:t>）</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98"/>
        <w:gridCol w:w="1903"/>
        <w:gridCol w:w="1180"/>
        <w:gridCol w:w="698"/>
        <w:gridCol w:w="698"/>
        <w:gridCol w:w="698"/>
        <w:gridCol w:w="1903"/>
      </w:tblGrid>
      <w:tr w14:paraId="506DE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0" w:type="auto"/>
            <w:vAlign w:val="center"/>
          </w:tcPr>
          <w:p w14:paraId="2BFDDACB">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0" w:type="auto"/>
            <w:vAlign w:val="center"/>
          </w:tcPr>
          <w:p w14:paraId="79949322">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0" w:type="auto"/>
          </w:tcPr>
          <w:p w14:paraId="35FB7463">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p w14:paraId="67C6706C">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0" w:type="auto"/>
            <w:vAlign w:val="center"/>
          </w:tcPr>
          <w:p w14:paraId="39F945BB">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0" w:type="auto"/>
            <w:vAlign w:val="center"/>
          </w:tcPr>
          <w:p w14:paraId="1970C84B">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0" w:type="auto"/>
            <w:vAlign w:val="center"/>
          </w:tcPr>
          <w:p w14:paraId="41EC4C54">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0" w:type="auto"/>
            <w:vAlign w:val="center"/>
          </w:tcPr>
          <w:p w14:paraId="2127C90B">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w:t>
            </w:r>
          </w:p>
        </w:tc>
        <w:tc>
          <w:tcPr>
            <w:tcW w:w="0" w:type="auto"/>
            <w:vAlign w:val="center"/>
          </w:tcPr>
          <w:p w14:paraId="3F111229">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p w14:paraId="40F9B7F9">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E5668A6">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p>
        </w:tc>
      </w:tr>
      <w:tr w14:paraId="08412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0" w:type="auto"/>
            <w:vAlign w:val="center"/>
          </w:tcPr>
          <w:p w14:paraId="1143ED3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0" w:type="auto"/>
            <w:vAlign w:val="center"/>
          </w:tcPr>
          <w:p w14:paraId="5FEF10D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0" w:type="auto"/>
            <w:vAlign w:val="center"/>
          </w:tcPr>
          <w:p w14:paraId="656487B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57CB4EE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34BD6181">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4749869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137ADD2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48DA180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1824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32EB23E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0" w:type="auto"/>
            <w:vAlign w:val="center"/>
          </w:tcPr>
          <w:p w14:paraId="01D1AD0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0" w:type="auto"/>
            <w:vAlign w:val="center"/>
          </w:tcPr>
          <w:p w14:paraId="04058E5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1D7F1FD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604272B2">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0038407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4B296C8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1FB2CF3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7C4B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6FDF11C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0" w:type="auto"/>
            <w:vAlign w:val="center"/>
          </w:tcPr>
          <w:p w14:paraId="14126BC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447FA800">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3347E893">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5B9F97D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69C21FB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01A8831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1800476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36DE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3885385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1721B25D">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4BBE248A">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51FB3099">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472F653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5B1FF4C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2A1CCB6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4657677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484D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0" w:type="auto"/>
            <w:vAlign w:val="center"/>
          </w:tcPr>
          <w:p w14:paraId="01394EA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50CE3B57">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68D1CEF8">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2A9E8296">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7929232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2B8DD8F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3A1DE61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c>
          <w:tcPr>
            <w:tcW w:w="0" w:type="auto"/>
            <w:vAlign w:val="center"/>
          </w:tcPr>
          <w:p w14:paraId="51A3826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039F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0" w:type="auto"/>
            <w:gridSpan w:val="4"/>
            <w:vAlign w:val="center"/>
          </w:tcPr>
          <w:p w14:paraId="2634EF90">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0" w:type="auto"/>
            <w:gridSpan w:val="4"/>
            <w:vAlign w:val="center"/>
          </w:tcPr>
          <w:p w14:paraId="39A09FF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r w14:paraId="3E663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0" w:type="auto"/>
            <w:gridSpan w:val="4"/>
            <w:vAlign w:val="center"/>
          </w:tcPr>
          <w:p w14:paraId="29A5D7E8">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0" w:type="auto"/>
            <w:gridSpan w:val="4"/>
            <w:vAlign w:val="center"/>
          </w:tcPr>
          <w:p w14:paraId="570D107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highlight w:val="none"/>
              </w:rPr>
            </w:pPr>
          </w:p>
        </w:tc>
      </w:tr>
    </w:tbl>
    <w:p w14:paraId="07F9B31B">
      <w:pPr>
        <w:snapToGrid w:val="0"/>
        <w:spacing w:line="360" w:lineRule="auto"/>
        <w:ind w:left="480"/>
        <w:rPr>
          <w:rFonts w:hint="eastAsia" w:ascii="宋体" w:hAnsi="宋体" w:eastAsia="宋体" w:cs="宋体"/>
          <w:color w:val="auto"/>
          <w:kern w:val="0"/>
          <w:sz w:val="24"/>
          <w:highlight w:val="none"/>
          <w:lang w:val="zh-CN"/>
        </w:rPr>
      </w:pPr>
      <w:r>
        <w:rPr>
          <w:rFonts w:hint="eastAsia" w:ascii="宋体" w:hAnsi="宋体" w:eastAsia="宋体" w:cs="宋体"/>
          <w:b/>
          <w:color w:val="auto"/>
          <w:kern w:val="0"/>
          <w:sz w:val="24"/>
          <w:highlight w:val="none"/>
          <w:lang w:val="zh-CN"/>
        </w:rPr>
        <w:t>注：</w:t>
      </w: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color w:val="auto"/>
          <w:kern w:val="0"/>
          <w:sz w:val="24"/>
          <w:highlight w:val="none"/>
          <w:lang w:val="zh-CN"/>
        </w:rPr>
        <w:t>。</w:t>
      </w:r>
    </w:p>
    <w:p w14:paraId="1A54A558">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不得出现“0元”“免费赠送”等形式的无偿报价，</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1DD037B8">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6AFCFF3D">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4774F15D">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790C7A57">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55B1DC4D">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0DE4C0F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0AE446CE">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57A93DF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728B924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F3F9CC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5218F473">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77CB0E0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0F1A948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70EA7F4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3EA6822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51E924FB">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04C40A9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5BE2B997">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40105B3D">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0856E24F">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3DDAD579">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0DEC99DB">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7C44667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E2F2F41">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4D4C732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6A99CBF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14:paraId="6BB1CF0F">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72281EEA">
      <w:pPr>
        <w:spacing w:line="360" w:lineRule="auto"/>
        <w:rPr>
          <w:rFonts w:hint="eastAsia" w:ascii="宋体" w:hAnsi="宋体" w:eastAsia="宋体" w:cs="宋体"/>
          <w:b/>
          <w:color w:val="auto"/>
          <w:sz w:val="24"/>
          <w:highlight w:val="none"/>
        </w:rPr>
      </w:pPr>
    </w:p>
    <w:p w14:paraId="71D872B1">
      <w:pPr>
        <w:spacing w:line="360" w:lineRule="auto"/>
        <w:rPr>
          <w:rFonts w:hint="eastAsia" w:ascii="宋体" w:hAnsi="宋体" w:eastAsia="宋体" w:cs="宋体"/>
          <w:b/>
          <w:color w:val="auto"/>
          <w:sz w:val="24"/>
          <w:highlight w:val="none"/>
        </w:rPr>
      </w:pPr>
    </w:p>
    <w:p w14:paraId="2B4BA31D">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4A121E9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151FBFE2">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5D2C7E2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6E3A205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7B9EA2E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F73482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553E0399">
      <w:pPr>
        <w:widowControl/>
        <w:spacing w:line="360" w:lineRule="auto"/>
        <w:ind w:firstLine="600" w:firstLineChars="200"/>
        <w:jc w:val="left"/>
        <w:rPr>
          <w:rFonts w:hint="eastAsia" w:ascii="宋体" w:hAnsi="宋体" w:eastAsia="宋体" w:cs="宋体"/>
          <w:color w:val="auto"/>
          <w:sz w:val="30"/>
          <w:szCs w:val="30"/>
          <w:highlight w:val="none"/>
        </w:rPr>
      </w:pPr>
    </w:p>
    <w:p w14:paraId="6AA00ADA">
      <w:pPr>
        <w:spacing w:line="360" w:lineRule="auto"/>
        <w:jc w:val="center"/>
        <w:rPr>
          <w:rFonts w:hint="eastAsia" w:ascii="宋体" w:hAnsi="宋体" w:eastAsia="宋体" w:cs="宋体"/>
          <w:b/>
          <w:color w:val="auto"/>
          <w:spacing w:val="6"/>
          <w:sz w:val="32"/>
          <w:szCs w:val="32"/>
          <w:highlight w:val="none"/>
        </w:rPr>
      </w:pPr>
    </w:p>
    <w:p w14:paraId="450F4B0D">
      <w:pPr>
        <w:spacing w:line="360" w:lineRule="auto"/>
        <w:jc w:val="center"/>
        <w:rPr>
          <w:rFonts w:hint="eastAsia" w:ascii="宋体" w:hAnsi="宋体" w:eastAsia="宋体" w:cs="宋体"/>
          <w:b/>
          <w:color w:val="auto"/>
          <w:spacing w:val="6"/>
          <w:sz w:val="32"/>
          <w:szCs w:val="32"/>
          <w:highlight w:val="none"/>
        </w:rPr>
      </w:pPr>
    </w:p>
    <w:p w14:paraId="58FBE0C9">
      <w:pPr>
        <w:spacing w:line="360" w:lineRule="auto"/>
        <w:jc w:val="center"/>
        <w:rPr>
          <w:rFonts w:hint="eastAsia" w:ascii="宋体" w:hAnsi="宋体" w:eastAsia="宋体" w:cs="宋体"/>
          <w:b/>
          <w:color w:val="auto"/>
          <w:spacing w:val="6"/>
          <w:sz w:val="32"/>
          <w:szCs w:val="32"/>
          <w:highlight w:val="none"/>
        </w:rPr>
      </w:pPr>
    </w:p>
    <w:p w14:paraId="3C32BD73">
      <w:pPr>
        <w:spacing w:line="360" w:lineRule="auto"/>
        <w:jc w:val="center"/>
        <w:rPr>
          <w:rFonts w:hint="eastAsia" w:ascii="宋体" w:hAnsi="宋体" w:eastAsia="宋体" w:cs="宋体"/>
          <w:b/>
          <w:color w:val="auto"/>
          <w:spacing w:val="6"/>
          <w:sz w:val="32"/>
          <w:szCs w:val="32"/>
          <w:highlight w:val="none"/>
        </w:rPr>
      </w:pPr>
    </w:p>
    <w:p w14:paraId="51BC1AB7">
      <w:pPr>
        <w:spacing w:line="360" w:lineRule="auto"/>
        <w:jc w:val="center"/>
        <w:rPr>
          <w:rFonts w:hint="eastAsia" w:ascii="宋体" w:hAnsi="宋体" w:eastAsia="宋体" w:cs="宋体"/>
          <w:b/>
          <w:color w:val="auto"/>
          <w:spacing w:val="6"/>
          <w:sz w:val="32"/>
          <w:szCs w:val="32"/>
          <w:highlight w:val="none"/>
        </w:rPr>
      </w:pPr>
    </w:p>
    <w:p w14:paraId="38B212FD">
      <w:pPr>
        <w:spacing w:line="360" w:lineRule="auto"/>
        <w:jc w:val="center"/>
        <w:rPr>
          <w:rFonts w:hint="eastAsia" w:ascii="宋体" w:hAnsi="宋体" w:eastAsia="宋体" w:cs="宋体"/>
          <w:b/>
          <w:color w:val="auto"/>
          <w:spacing w:val="6"/>
          <w:sz w:val="32"/>
          <w:szCs w:val="32"/>
          <w:highlight w:val="none"/>
        </w:rPr>
      </w:pPr>
    </w:p>
    <w:p w14:paraId="079839C3">
      <w:pPr>
        <w:spacing w:line="360" w:lineRule="auto"/>
        <w:jc w:val="center"/>
        <w:rPr>
          <w:rFonts w:hint="eastAsia" w:ascii="宋体" w:hAnsi="宋体" w:eastAsia="宋体" w:cs="宋体"/>
          <w:b/>
          <w:color w:val="auto"/>
          <w:spacing w:val="6"/>
          <w:sz w:val="32"/>
          <w:szCs w:val="32"/>
          <w:highlight w:val="none"/>
        </w:rPr>
      </w:pPr>
    </w:p>
    <w:p w14:paraId="020C3531">
      <w:pPr>
        <w:pStyle w:val="80"/>
        <w:rPr>
          <w:rFonts w:hint="eastAsia" w:ascii="宋体" w:hAnsi="宋体" w:eastAsia="宋体" w:cs="宋体"/>
          <w:b/>
          <w:color w:val="auto"/>
          <w:spacing w:val="6"/>
          <w:sz w:val="32"/>
          <w:szCs w:val="32"/>
          <w:highlight w:val="none"/>
        </w:rPr>
      </w:pPr>
    </w:p>
    <w:p w14:paraId="136FF3C3">
      <w:pPr>
        <w:rPr>
          <w:rFonts w:hint="eastAsia" w:ascii="宋体" w:hAnsi="宋体" w:eastAsia="宋体" w:cs="宋体"/>
          <w:color w:val="auto"/>
          <w:highlight w:val="none"/>
        </w:rPr>
      </w:pPr>
    </w:p>
    <w:p w14:paraId="58DD931F">
      <w:pPr>
        <w:spacing w:line="360" w:lineRule="auto"/>
        <w:jc w:val="center"/>
        <w:rPr>
          <w:rFonts w:hint="eastAsia" w:ascii="宋体" w:hAnsi="宋体" w:eastAsia="宋体" w:cs="宋体"/>
          <w:b/>
          <w:color w:val="auto"/>
          <w:spacing w:val="6"/>
          <w:sz w:val="32"/>
          <w:szCs w:val="32"/>
          <w:highlight w:val="none"/>
        </w:rPr>
      </w:pPr>
    </w:p>
    <w:p w14:paraId="6C85F840">
      <w:pPr>
        <w:spacing w:line="360" w:lineRule="auto"/>
        <w:jc w:val="left"/>
        <w:rPr>
          <w:rFonts w:hint="eastAsia" w:ascii="宋体" w:hAnsi="宋体" w:eastAsia="宋体" w:cs="宋体"/>
          <w:b/>
          <w:color w:val="auto"/>
          <w:spacing w:val="6"/>
          <w:sz w:val="32"/>
          <w:szCs w:val="32"/>
          <w:highlight w:val="none"/>
        </w:rPr>
      </w:pPr>
    </w:p>
    <w:p w14:paraId="08028D49">
      <w:pPr>
        <w:spacing w:line="360" w:lineRule="auto"/>
        <w:jc w:val="left"/>
        <w:rPr>
          <w:rFonts w:hint="eastAsia" w:ascii="宋体" w:hAnsi="宋体" w:eastAsia="宋体" w:cs="宋体"/>
          <w:b/>
          <w:color w:val="auto"/>
          <w:spacing w:val="6"/>
          <w:sz w:val="32"/>
          <w:szCs w:val="32"/>
          <w:highlight w:val="none"/>
        </w:rPr>
      </w:pPr>
    </w:p>
    <w:p w14:paraId="4C727723">
      <w:pPr>
        <w:spacing w:line="360" w:lineRule="auto"/>
        <w:jc w:val="left"/>
        <w:rPr>
          <w:rFonts w:hint="eastAsia" w:ascii="宋体" w:hAnsi="宋体" w:eastAsia="宋体" w:cs="宋体"/>
          <w:b/>
          <w:color w:val="auto"/>
          <w:spacing w:val="6"/>
          <w:sz w:val="32"/>
          <w:szCs w:val="32"/>
          <w:highlight w:val="none"/>
        </w:rPr>
      </w:pPr>
    </w:p>
    <w:p w14:paraId="26637898">
      <w:pPr>
        <w:spacing w:line="360" w:lineRule="auto"/>
        <w:jc w:val="left"/>
        <w:rPr>
          <w:rFonts w:hint="eastAsia" w:ascii="宋体" w:hAnsi="宋体" w:eastAsia="宋体" w:cs="宋体"/>
          <w:b/>
          <w:color w:val="auto"/>
          <w:spacing w:val="6"/>
          <w:sz w:val="32"/>
          <w:szCs w:val="32"/>
          <w:highlight w:val="none"/>
        </w:rPr>
      </w:pPr>
    </w:p>
    <w:p w14:paraId="4D985599">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06A765FA">
      <w:pPr>
        <w:spacing w:line="360" w:lineRule="auto"/>
        <w:jc w:val="center"/>
        <w:rPr>
          <w:rFonts w:hint="eastAsia" w:ascii="宋体" w:hAnsi="宋体" w:eastAsia="宋体" w:cs="宋体"/>
          <w:b/>
          <w:color w:val="auto"/>
          <w:sz w:val="24"/>
          <w:highlight w:val="none"/>
        </w:rPr>
      </w:pPr>
    </w:p>
    <w:p w14:paraId="7E15C80E">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0303623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42638C5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1D507CC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A622ECB">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4F6FA54">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09F2B6F7">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1B07CDB">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1F5A948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34E1252E">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3C0B1F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ECF86F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32B355D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28E0601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E2AFC4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FD15A00">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04893EB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22B3AC58">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7E74756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4A6128E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414A43D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7A1D59E4">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216D8B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067DA2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69309939">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23C81FA2">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55E439F1">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就质疑事项作出了答复/没有在法定期限内作出答复。</w:t>
      </w:r>
    </w:p>
    <w:p w14:paraId="064FABE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1AA9824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3C1B37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53AB9D9D">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4901DE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0C32445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1FF3C71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28C37575">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6E03020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0FBD49F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03886A13">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w:t>
      </w:r>
    </w:p>
    <w:p w14:paraId="45B2B9C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签字(签章</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 xml:space="preserve">：                   公章：                      </w:t>
      </w:r>
    </w:p>
    <w:p w14:paraId="7837800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398B8807">
      <w:pPr>
        <w:spacing w:line="360" w:lineRule="auto"/>
        <w:rPr>
          <w:rFonts w:hint="eastAsia" w:ascii="宋体" w:hAnsi="宋体" w:eastAsia="宋体" w:cs="宋体"/>
          <w:b/>
          <w:color w:val="auto"/>
          <w:sz w:val="24"/>
          <w:highlight w:val="none"/>
        </w:rPr>
      </w:pPr>
    </w:p>
    <w:p w14:paraId="5F3255E9">
      <w:pPr>
        <w:spacing w:line="360" w:lineRule="auto"/>
        <w:rPr>
          <w:rFonts w:hint="eastAsia" w:ascii="宋体" w:hAnsi="宋体" w:eastAsia="宋体" w:cs="宋体"/>
          <w:b/>
          <w:color w:val="auto"/>
          <w:sz w:val="24"/>
          <w:highlight w:val="none"/>
        </w:rPr>
      </w:pPr>
    </w:p>
    <w:p w14:paraId="05D557E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45BFE9D7">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45B294E2">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493071E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568C3BA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3938965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5B9DDB9F">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5B12D19E">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39E5340">
      <w:pPr>
        <w:spacing w:line="360" w:lineRule="auto"/>
        <w:rPr>
          <w:rFonts w:hint="eastAsia" w:ascii="宋体" w:hAnsi="宋体" w:eastAsia="宋体" w:cs="宋体"/>
          <w:b/>
          <w:color w:val="auto"/>
          <w:sz w:val="24"/>
          <w:highlight w:val="none"/>
        </w:rPr>
      </w:pPr>
    </w:p>
    <w:p w14:paraId="10C7A0AA">
      <w:pPr>
        <w:autoSpaceDE w:val="0"/>
        <w:autoSpaceDN w:val="0"/>
        <w:jc w:val="center"/>
        <w:rPr>
          <w:rFonts w:hint="eastAsia" w:ascii="宋体" w:hAnsi="宋体" w:eastAsia="宋体" w:cs="宋体"/>
          <w:b/>
          <w:color w:val="auto"/>
          <w:spacing w:val="6"/>
          <w:sz w:val="32"/>
          <w:szCs w:val="32"/>
          <w:highlight w:val="none"/>
        </w:rPr>
      </w:pPr>
    </w:p>
    <w:p w14:paraId="35783648">
      <w:pPr>
        <w:autoSpaceDE w:val="0"/>
        <w:autoSpaceDN w:val="0"/>
        <w:jc w:val="center"/>
        <w:rPr>
          <w:rFonts w:hint="eastAsia" w:ascii="宋体" w:hAnsi="宋体" w:eastAsia="宋体" w:cs="宋体"/>
          <w:b/>
          <w:color w:val="auto"/>
          <w:spacing w:val="6"/>
          <w:sz w:val="32"/>
          <w:szCs w:val="32"/>
          <w:highlight w:val="none"/>
        </w:rPr>
      </w:pPr>
    </w:p>
    <w:p w14:paraId="6904760E">
      <w:pPr>
        <w:autoSpaceDE w:val="0"/>
        <w:autoSpaceDN w:val="0"/>
        <w:jc w:val="center"/>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0E46866A">
      <w:pPr>
        <w:spacing w:line="360" w:lineRule="auto"/>
        <w:rPr>
          <w:rFonts w:hint="eastAsia" w:ascii="宋体" w:hAnsi="宋体" w:eastAsia="宋体" w:cs="宋体"/>
          <w:color w:val="auto"/>
          <w:sz w:val="24"/>
          <w:highlight w:val="none"/>
          <w:u w:val="single"/>
        </w:rPr>
      </w:pPr>
    </w:p>
    <w:p w14:paraId="3D0FC1EA">
      <w:pPr>
        <w:snapToGrid w:val="0"/>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建德市长运物资有限公司、</w:t>
      </w:r>
      <w:r>
        <w:rPr>
          <w:rFonts w:hint="eastAsia" w:ascii="宋体" w:hAnsi="宋体" w:cs="宋体"/>
          <w:color w:val="auto"/>
          <w:sz w:val="24"/>
          <w:highlight w:val="none"/>
          <w:u w:val="single"/>
          <w:lang w:val="en-US" w:eastAsia="zh-CN"/>
        </w:rPr>
        <w:t>浙江新诚信工程咨询有限公司</w:t>
      </w:r>
      <w:r>
        <w:rPr>
          <w:rFonts w:hint="eastAsia" w:ascii="宋体" w:hAnsi="宋体" w:eastAsia="宋体" w:cs="宋体"/>
          <w:color w:val="auto"/>
          <w:sz w:val="24"/>
          <w:highlight w:val="none"/>
          <w:u w:val="single"/>
        </w:rPr>
        <w:t>：</w:t>
      </w:r>
    </w:p>
    <w:p w14:paraId="0BCEAE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w:t>
      </w:r>
      <w:r>
        <w:rPr>
          <w:rFonts w:hint="eastAsia" w:ascii="宋体" w:hAnsi="宋体" w:cs="宋体"/>
          <w:color w:val="auto"/>
          <w:sz w:val="24"/>
          <w:highlight w:val="none"/>
          <w:lang w:eastAsia="zh-CN"/>
        </w:rPr>
        <w:t>建德市长运物资有限公司公路旅游型柴油空调客车采购项目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ZJXCX2025B-002】</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63E432E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344A7978">
      <w:pPr>
        <w:spacing w:line="360" w:lineRule="auto"/>
        <w:ind w:firstLine="494"/>
        <w:rPr>
          <w:rFonts w:hint="eastAsia" w:ascii="宋体" w:hAnsi="宋体" w:eastAsia="宋体" w:cs="宋体"/>
          <w:color w:val="auto"/>
          <w:sz w:val="24"/>
          <w:highlight w:val="none"/>
        </w:rPr>
      </w:pPr>
    </w:p>
    <w:p w14:paraId="08B1F847">
      <w:pPr>
        <w:spacing w:line="360" w:lineRule="auto"/>
        <w:ind w:firstLine="494"/>
        <w:rPr>
          <w:rFonts w:hint="eastAsia" w:ascii="宋体" w:hAnsi="宋体" w:eastAsia="宋体" w:cs="宋体"/>
          <w:color w:val="auto"/>
          <w:sz w:val="24"/>
          <w:highlight w:val="none"/>
        </w:rPr>
      </w:pPr>
    </w:p>
    <w:p w14:paraId="75503003">
      <w:pPr>
        <w:spacing w:line="360" w:lineRule="auto"/>
        <w:ind w:firstLine="494"/>
        <w:rPr>
          <w:rFonts w:hint="eastAsia" w:ascii="宋体" w:hAnsi="宋体" w:eastAsia="宋体" w:cs="宋体"/>
          <w:color w:val="auto"/>
          <w:sz w:val="24"/>
          <w:highlight w:val="none"/>
        </w:rPr>
      </w:pPr>
    </w:p>
    <w:p w14:paraId="6F8FA196">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3314C53E">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5A38277">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4F1C1E1D">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4F3A6B24">
      <w:pPr>
        <w:autoSpaceDE w:val="0"/>
        <w:autoSpaceDN w:val="0"/>
        <w:jc w:val="center"/>
        <w:rPr>
          <w:rFonts w:hint="eastAsia" w:ascii="宋体" w:hAnsi="宋体" w:eastAsia="宋体" w:cs="宋体"/>
          <w:b/>
          <w:color w:val="auto"/>
          <w:spacing w:val="6"/>
          <w:sz w:val="32"/>
          <w:szCs w:val="32"/>
          <w:highlight w:val="none"/>
        </w:rPr>
      </w:pPr>
    </w:p>
    <w:p w14:paraId="0A4A3EBC">
      <w:pPr>
        <w:autoSpaceDE w:val="0"/>
        <w:autoSpaceDN w:val="0"/>
        <w:jc w:val="center"/>
        <w:rPr>
          <w:rFonts w:hint="eastAsia" w:ascii="宋体" w:hAnsi="宋体" w:eastAsia="宋体" w:cs="宋体"/>
          <w:b/>
          <w:color w:val="auto"/>
          <w:spacing w:val="6"/>
          <w:sz w:val="32"/>
          <w:szCs w:val="32"/>
          <w:highlight w:val="none"/>
        </w:rPr>
      </w:pPr>
    </w:p>
    <w:p w14:paraId="58CD041D">
      <w:pPr>
        <w:autoSpaceDE w:val="0"/>
        <w:autoSpaceDN w:val="0"/>
        <w:jc w:val="center"/>
        <w:rPr>
          <w:rFonts w:hint="eastAsia" w:ascii="宋体" w:hAnsi="宋体" w:eastAsia="宋体" w:cs="宋体"/>
          <w:b/>
          <w:color w:val="auto"/>
          <w:spacing w:val="6"/>
          <w:sz w:val="32"/>
          <w:szCs w:val="32"/>
          <w:highlight w:val="none"/>
        </w:rPr>
      </w:pPr>
    </w:p>
    <w:p w14:paraId="38383BD7">
      <w:pPr>
        <w:autoSpaceDE w:val="0"/>
        <w:autoSpaceDN w:val="0"/>
        <w:jc w:val="center"/>
        <w:rPr>
          <w:rFonts w:hint="eastAsia" w:ascii="宋体" w:hAnsi="宋体" w:eastAsia="宋体" w:cs="宋体"/>
          <w:b/>
          <w:color w:val="auto"/>
          <w:spacing w:val="6"/>
          <w:sz w:val="32"/>
          <w:szCs w:val="32"/>
          <w:highlight w:val="none"/>
        </w:rPr>
      </w:pPr>
    </w:p>
    <w:p w14:paraId="2D6D9890">
      <w:pPr>
        <w:autoSpaceDE w:val="0"/>
        <w:autoSpaceDN w:val="0"/>
        <w:jc w:val="center"/>
        <w:rPr>
          <w:rFonts w:hint="eastAsia" w:ascii="宋体" w:hAnsi="宋体" w:eastAsia="宋体" w:cs="宋体"/>
          <w:b/>
          <w:color w:val="auto"/>
          <w:spacing w:val="6"/>
          <w:sz w:val="32"/>
          <w:szCs w:val="32"/>
          <w:highlight w:val="none"/>
        </w:rPr>
      </w:pPr>
    </w:p>
    <w:p w14:paraId="1B8ADB84">
      <w:pPr>
        <w:autoSpaceDE w:val="0"/>
        <w:autoSpaceDN w:val="0"/>
        <w:jc w:val="center"/>
        <w:rPr>
          <w:rFonts w:hint="eastAsia" w:ascii="宋体" w:hAnsi="宋体" w:eastAsia="宋体" w:cs="宋体"/>
          <w:b/>
          <w:color w:val="auto"/>
          <w:spacing w:val="6"/>
          <w:sz w:val="32"/>
          <w:szCs w:val="32"/>
          <w:highlight w:val="none"/>
        </w:rPr>
      </w:pPr>
    </w:p>
    <w:p w14:paraId="3B4C5DCC">
      <w:pPr>
        <w:autoSpaceDE w:val="0"/>
        <w:autoSpaceDN w:val="0"/>
        <w:jc w:val="center"/>
        <w:rPr>
          <w:rFonts w:hint="eastAsia" w:ascii="宋体" w:hAnsi="宋体" w:eastAsia="宋体" w:cs="宋体"/>
          <w:b/>
          <w:color w:val="auto"/>
          <w:spacing w:val="6"/>
          <w:sz w:val="32"/>
          <w:szCs w:val="32"/>
          <w:highlight w:val="none"/>
        </w:rPr>
      </w:pPr>
    </w:p>
    <w:p w14:paraId="2B13CACF">
      <w:pPr>
        <w:autoSpaceDE w:val="0"/>
        <w:autoSpaceDN w:val="0"/>
        <w:jc w:val="center"/>
        <w:rPr>
          <w:rFonts w:hint="eastAsia" w:ascii="宋体" w:hAnsi="宋体" w:eastAsia="宋体" w:cs="宋体"/>
          <w:b/>
          <w:color w:val="auto"/>
          <w:spacing w:val="6"/>
          <w:sz w:val="32"/>
          <w:szCs w:val="32"/>
          <w:highlight w:val="none"/>
        </w:rPr>
      </w:pPr>
    </w:p>
    <w:p w14:paraId="7BFA80F0">
      <w:pPr>
        <w:autoSpaceDE w:val="0"/>
        <w:autoSpaceDN w:val="0"/>
        <w:jc w:val="center"/>
        <w:rPr>
          <w:rFonts w:hint="eastAsia" w:ascii="宋体" w:hAnsi="宋体" w:eastAsia="宋体" w:cs="宋体"/>
          <w:b/>
          <w:color w:val="auto"/>
          <w:spacing w:val="6"/>
          <w:sz w:val="32"/>
          <w:szCs w:val="32"/>
          <w:highlight w:val="none"/>
        </w:rPr>
      </w:pPr>
    </w:p>
    <w:p w14:paraId="6E67993B">
      <w:pPr>
        <w:autoSpaceDE w:val="0"/>
        <w:autoSpaceDN w:val="0"/>
        <w:jc w:val="center"/>
        <w:rPr>
          <w:rFonts w:hint="eastAsia" w:ascii="宋体" w:hAnsi="宋体" w:eastAsia="宋体" w:cs="宋体"/>
          <w:b/>
          <w:color w:val="auto"/>
          <w:spacing w:val="6"/>
          <w:sz w:val="32"/>
          <w:szCs w:val="32"/>
          <w:highlight w:val="none"/>
        </w:rPr>
      </w:pPr>
    </w:p>
    <w:p w14:paraId="42D9DE48">
      <w:pPr>
        <w:autoSpaceDE w:val="0"/>
        <w:autoSpaceDN w:val="0"/>
        <w:jc w:val="center"/>
        <w:rPr>
          <w:rFonts w:hint="eastAsia" w:ascii="宋体" w:hAnsi="宋体" w:eastAsia="宋体" w:cs="宋体"/>
          <w:b/>
          <w:color w:val="auto"/>
          <w:spacing w:val="6"/>
          <w:sz w:val="32"/>
          <w:szCs w:val="32"/>
          <w:highlight w:val="none"/>
        </w:rPr>
      </w:pPr>
    </w:p>
    <w:p w14:paraId="2F411369">
      <w:pPr>
        <w:autoSpaceDE w:val="0"/>
        <w:autoSpaceDN w:val="0"/>
        <w:jc w:val="both"/>
        <w:rPr>
          <w:rFonts w:hint="eastAsia" w:ascii="宋体" w:hAnsi="宋体" w:eastAsia="宋体" w:cs="宋体"/>
          <w:b/>
          <w:color w:val="auto"/>
          <w:spacing w:val="6"/>
          <w:sz w:val="32"/>
          <w:szCs w:val="32"/>
          <w:highlight w:val="none"/>
        </w:rPr>
      </w:pPr>
    </w:p>
    <w:p w14:paraId="110C456B">
      <w:pPr>
        <w:autoSpaceDE w:val="0"/>
        <w:autoSpaceDN w:val="0"/>
        <w:jc w:val="center"/>
        <w:rPr>
          <w:rFonts w:hint="eastAsia" w:ascii="宋体" w:hAnsi="宋体" w:eastAsia="宋体" w:cs="宋体"/>
          <w:b/>
          <w:color w:val="auto"/>
          <w:spacing w:val="6"/>
          <w:sz w:val="32"/>
          <w:szCs w:val="32"/>
          <w:highlight w:val="none"/>
        </w:rPr>
      </w:pPr>
    </w:p>
    <w:p w14:paraId="42046D8C">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附件5：联合协议</w:t>
      </w:r>
    </w:p>
    <w:p w14:paraId="21F6174B">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7072E85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cs="宋体"/>
          <w:color w:val="auto"/>
          <w:sz w:val="24"/>
          <w:highlight w:val="none"/>
          <w:lang w:eastAsia="zh-CN"/>
        </w:rPr>
        <w:t>建德市长运物资有限公司公路旅游型柴油空调客车采购项目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ZJXCX2025B-002】</w:t>
      </w:r>
      <w:r>
        <w:rPr>
          <w:rFonts w:hint="eastAsia" w:ascii="宋体" w:hAnsi="宋体" w:eastAsia="宋体" w:cs="宋体"/>
          <w:color w:val="auto"/>
          <w:kern w:val="0"/>
          <w:sz w:val="24"/>
          <w:highlight w:val="none"/>
          <w:lang w:val="zh-CN"/>
        </w:rPr>
        <w:t xml:space="preserve">投标。 </w:t>
      </w:r>
    </w:p>
    <w:p w14:paraId="6243479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3A598E1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w:t>
      </w:r>
      <w:r>
        <w:rPr>
          <w:rFonts w:hint="eastAsia" w:ascii="宋体" w:hAnsi="宋体" w:cs="宋体"/>
          <w:color w:val="auto"/>
          <w:kern w:val="0"/>
          <w:sz w:val="24"/>
          <w:highlight w:val="none"/>
          <w:lang w:val="zh-CN"/>
        </w:rPr>
        <w:t>响应</w:t>
      </w:r>
      <w:r>
        <w:rPr>
          <w:rFonts w:hint="eastAsia" w:ascii="宋体" w:hAnsi="宋体" w:eastAsia="宋体" w:cs="宋体"/>
          <w:color w:val="auto"/>
          <w:kern w:val="0"/>
          <w:sz w:val="24"/>
          <w:highlight w:val="none"/>
          <w:lang w:val="zh-CN"/>
        </w:rPr>
        <w:t>等均对联合投标各方产生约束力。</w:t>
      </w:r>
    </w:p>
    <w:p w14:paraId="12DD997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75AE2F92">
      <w:pPr>
        <w:snapToGrid w:val="0"/>
        <w:spacing w:line="360" w:lineRule="auto"/>
        <w:ind w:firstLine="576"/>
        <w:rPr>
          <w:rFonts w:hint="eastAsia" w:ascii="宋体" w:hAnsi="宋体" w:eastAsia="宋体" w:cs="宋体"/>
          <w:color w:val="auto"/>
          <w:kern w:val="0"/>
          <w:sz w:val="24"/>
          <w:highlight w:val="none"/>
          <w:lang w:val="zh-CN"/>
        </w:rPr>
      </w:pPr>
      <w:bookmarkStart w:id="49" w:name="_Hlk101134295"/>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6504FAB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07E6BB5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bookmarkEnd w:id="49"/>
    <w:p w14:paraId="1E03A3C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eastAsia="宋体" w:cs="宋体"/>
          <w:color w:val="auto"/>
          <w:kern w:val="0"/>
          <w:sz w:val="24"/>
          <w:highlight w:val="none"/>
          <w:lang w:val="zh-CN"/>
        </w:rPr>
        <w:t>、如果中标，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49ED786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五</w:t>
      </w:r>
      <w:r>
        <w:rPr>
          <w:rFonts w:hint="eastAsia" w:ascii="宋体" w:hAnsi="宋体" w:eastAsia="宋体" w:cs="宋体"/>
          <w:color w:val="auto"/>
          <w:kern w:val="0"/>
          <w:sz w:val="24"/>
          <w:highlight w:val="none"/>
          <w:lang w:val="zh-CN"/>
        </w:rPr>
        <w:t>、有关本次联合投标的其他事宜：</w:t>
      </w:r>
    </w:p>
    <w:p w14:paraId="7705A87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w:t>
      </w:r>
      <w:r>
        <w:rPr>
          <w:rFonts w:hint="eastAsia" w:ascii="宋体" w:hAnsi="宋体" w:cs="宋体"/>
          <w:color w:val="auto"/>
          <w:kern w:val="0"/>
          <w:sz w:val="24"/>
          <w:highlight w:val="none"/>
          <w:lang w:val="zh-CN"/>
        </w:rPr>
        <w:t>采购</w:t>
      </w:r>
      <w:r>
        <w:rPr>
          <w:rFonts w:hint="eastAsia" w:ascii="宋体" w:hAnsi="宋体" w:eastAsia="宋体" w:cs="宋体"/>
          <w:color w:val="auto"/>
          <w:kern w:val="0"/>
          <w:sz w:val="24"/>
          <w:highlight w:val="none"/>
          <w:lang w:val="zh-CN"/>
        </w:rPr>
        <w:t>活动。</w:t>
      </w:r>
    </w:p>
    <w:p w14:paraId="487D222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5ED8552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062E0D2F">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27604F6E">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706BC9A3">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1E3A8A4C">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025461F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8C75E0C">
      <w:pPr>
        <w:snapToGrid w:val="0"/>
        <w:spacing w:line="360" w:lineRule="auto"/>
        <w:jc w:val="center"/>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附件6：分包意向协议</w:t>
      </w:r>
    </w:p>
    <w:p w14:paraId="2ED5334F">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54F7C16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cs="宋体"/>
          <w:color w:val="auto"/>
          <w:sz w:val="24"/>
          <w:highlight w:val="none"/>
          <w:lang w:eastAsia="zh-CN"/>
        </w:rPr>
        <w:t>建德市长运物资有限公司公路旅游型柴油空调客车采购项目</w:t>
      </w:r>
      <w:r>
        <w:rPr>
          <w:rFonts w:hint="eastAsia" w:ascii="宋体" w:hAnsi="宋体" w:eastAsia="宋体" w:cs="宋体"/>
          <w:color w:val="auto"/>
          <w:sz w:val="24"/>
          <w:highlight w:val="none"/>
        </w:rPr>
        <w:t>【招标编号：</w:t>
      </w:r>
      <w:r>
        <w:rPr>
          <w:rFonts w:hint="eastAsia" w:ascii="宋体" w:hAnsi="宋体" w:cs="宋体"/>
          <w:color w:val="auto"/>
          <w:sz w:val="24"/>
          <w:highlight w:val="none"/>
          <w:lang w:val="en-US" w:eastAsia="zh-CN"/>
        </w:rPr>
        <w:t>ZJXCX2025B-002】</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6EAF3DB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22652E2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48A67DD5">
      <w:pPr>
        <w:pStyle w:val="2"/>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3724D34">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eastAsia="宋体" w:cs="宋体"/>
          <w:color w:val="auto"/>
          <w:kern w:val="0"/>
          <w:sz w:val="24"/>
          <w:highlight w:val="none"/>
          <w:lang w:val="zh-CN"/>
        </w:rPr>
        <w:t>、分包工作履行期限、地点、方式</w:t>
      </w:r>
    </w:p>
    <w:p w14:paraId="7270C0EA">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189F631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三</w:t>
      </w:r>
      <w:r>
        <w:rPr>
          <w:rFonts w:hint="eastAsia" w:ascii="宋体" w:hAnsi="宋体" w:eastAsia="宋体" w:cs="宋体"/>
          <w:color w:val="auto"/>
          <w:kern w:val="0"/>
          <w:sz w:val="24"/>
          <w:highlight w:val="none"/>
          <w:lang w:val="zh-CN"/>
        </w:rPr>
        <w:t>、质量</w:t>
      </w:r>
    </w:p>
    <w:p w14:paraId="73B66D1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755BAC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四</w:t>
      </w:r>
      <w:r>
        <w:rPr>
          <w:rFonts w:hint="eastAsia" w:ascii="宋体" w:hAnsi="宋体" w:eastAsia="宋体" w:cs="宋体"/>
          <w:color w:val="auto"/>
          <w:kern w:val="0"/>
          <w:sz w:val="24"/>
          <w:highlight w:val="none"/>
          <w:lang w:val="zh-CN"/>
        </w:rPr>
        <w:t>、价款或者报酬</w:t>
      </w:r>
    </w:p>
    <w:p w14:paraId="6939B115">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3D572F0C">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五</w:t>
      </w:r>
      <w:r>
        <w:rPr>
          <w:rFonts w:hint="eastAsia" w:ascii="宋体" w:hAnsi="宋体" w:eastAsia="宋体" w:cs="宋体"/>
          <w:color w:val="auto"/>
          <w:kern w:val="0"/>
          <w:sz w:val="24"/>
          <w:highlight w:val="none"/>
          <w:lang w:val="zh-CN"/>
        </w:rPr>
        <w:t>、违约责任</w:t>
      </w:r>
    </w:p>
    <w:p w14:paraId="572EAA8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23AC87A">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cs="宋体"/>
          <w:color w:val="auto"/>
          <w:kern w:val="0"/>
          <w:sz w:val="24"/>
          <w:highlight w:val="none"/>
          <w:lang w:val="zh-CN"/>
        </w:rPr>
        <w:t>六</w:t>
      </w:r>
      <w:r>
        <w:rPr>
          <w:rFonts w:hint="eastAsia" w:ascii="宋体" w:hAnsi="宋体" w:eastAsia="宋体" w:cs="宋体"/>
          <w:color w:val="auto"/>
          <w:kern w:val="0"/>
          <w:sz w:val="24"/>
          <w:highlight w:val="none"/>
          <w:lang w:val="zh-CN"/>
        </w:rPr>
        <w:t>、争议解决的办法</w:t>
      </w:r>
    </w:p>
    <w:p w14:paraId="696FA83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16A93D2C">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4BDB83B5">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r>
        <w:rPr>
          <w:rFonts w:hint="eastAsia" w:ascii="宋体" w:hAnsi="宋体" w:cs="宋体"/>
          <w:color w:val="auto"/>
          <w:kern w:val="0"/>
          <w:sz w:val="24"/>
          <w:highlight w:val="none"/>
          <w:lang w:val="zh-CN"/>
        </w:rPr>
        <w:t>）</w:t>
      </w:r>
      <w:r>
        <w:rPr>
          <w:rFonts w:hint="eastAsia" w:ascii="宋体" w:hAnsi="宋体" w:eastAsia="宋体" w:cs="宋体"/>
          <w:color w:val="auto"/>
          <w:kern w:val="0"/>
          <w:sz w:val="24"/>
          <w:highlight w:val="none"/>
          <w:lang w:val="zh-CN"/>
        </w:rPr>
        <w:t>：</w:t>
      </w:r>
    </w:p>
    <w:p w14:paraId="5CB365B7">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29CD25FA">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520FA8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1C94C760">
      <w:pPr>
        <w:autoSpaceDE w:val="0"/>
        <w:autoSpaceDN w:val="0"/>
        <w:jc w:val="center"/>
        <w:rPr>
          <w:rFonts w:hint="eastAsia" w:ascii="宋体" w:hAnsi="宋体" w:eastAsia="宋体" w:cs="宋体"/>
          <w:b/>
          <w:color w:val="auto"/>
          <w:spacing w:val="6"/>
          <w:sz w:val="32"/>
          <w:szCs w:val="32"/>
          <w:highlight w:val="none"/>
        </w:rPr>
      </w:pPr>
    </w:p>
    <w:p w14:paraId="61D909C7">
      <w:pPr>
        <w:autoSpaceDE w:val="0"/>
        <w:autoSpaceDN w:val="0"/>
        <w:jc w:val="center"/>
        <w:rPr>
          <w:rFonts w:hint="eastAsia" w:ascii="宋体" w:hAnsi="宋体" w:eastAsia="宋体" w:cs="宋体"/>
          <w:b/>
          <w:color w:val="auto"/>
          <w:spacing w:val="6"/>
          <w:sz w:val="32"/>
          <w:szCs w:val="32"/>
          <w:highlight w:val="none"/>
        </w:rPr>
      </w:pPr>
    </w:p>
    <w:p w14:paraId="1B915BDD">
      <w:pPr>
        <w:autoSpaceDE w:val="0"/>
        <w:autoSpaceDN w:val="0"/>
        <w:jc w:val="center"/>
        <w:rPr>
          <w:rFonts w:hint="eastAsia" w:ascii="宋体" w:hAnsi="宋体" w:eastAsia="宋体" w:cs="宋体"/>
          <w:b/>
          <w:color w:val="auto"/>
          <w:spacing w:val="6"/>
          <w:sz w:val="32"/>
          <w:szCs w:val="32"/>
          <w:highlight w:val="none"/>
        </w:rPr>
      </w:pPr>
    </w:p>
    <w:p w14:paraId="3706471E">
      <w:pPr>
        <w:autoSpaceDE w:val="0"/>
        <w:autoSpaceDN w:val="0"/>
        <w:jc w:val="center"/>
        <w:rPr>
          <w:rFonts w:hint="eastAsia" w:ascii="宋体" w:hAnsi="宋体" w:eastAsia="宋体" w:cs="宋体"/>
          <w:b/>
          <w:color w:val="auto"/>
          <w:spacing w:val="6"/>
          <w:sz w:val="32"/>
          <w:szCs w:val="32"/>
          <w:highlight w:val="none"/>
        </w:rPr>
      </w:pPr>
    </w:p>
    <w:p w14:paraId="2B6BA0DE">
      <w:pPr>
        <w:autoSpaceDE w:val="0"/>
        <w:autoSpaceDN w:val="0"/>
        <w:jc w:val="center"/>
        <w:rPr>
          <w:rFonts w:hint="eastAsia" w:ascii="宋体" w:hAnsi="宋体" w:eastAsia="宋体" w:cs="宋体"/>
          <w:b/>
          <w:color w:val="auto"/>
          <w:spacing w:val="6"/>
          <w:sz w:val="32"/>
          <w:szCs w:val="32"/>
          <w:highlight w:val="none"/>
        </w:rPr>
      </w:pPr>
    </w:p>
    <w:sectPr>
      <w:headerReference r:id="rId17" w:type="first"/>
      <w:footerReference r:id="rId20" w:type="first"/>
      <w:headerReference r:id="rId16" w:type="default"/>
      <w:footerReference r:id="rId18" w:type="default"/>
      <w:footerReference r:id="rId19" w:type="even"/>
      <w:pgSz w:w="11905" w:h="16838"/>
      <w:pgMar w:top="1474" w:right="1814" w:bottom="1474" w:left="1814"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Vrinda"/>
    <w:panose1 w:val="020B0500000000000000"/>
    <w:charset w:val="00"/>
    <w:family w:val="swiss"/>
    <w:pitch w:val="default"/>
    <w:sig w:usb0="00000000"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Arial Unicode MS"/>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1"/>
    <w:family w:val="roman"/>
    <w:pitch w:val="default"/>
    <w:sig w:usb0="00100003"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Arial Unicode MS"/>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46F4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86480">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0" w:name="_Toc91899912"/>
    <w:bookmarkStart w:id="51" w:name="_Toc164085800"/>
    <w:bookmarkStart w:id="52" w:name="_Toc36110187"/>
    <w:bookmarkStart w:id="53" w:name="_Toc131845147"/>
    <w:r>
      <w:rPr>
        <w:rFonts w:hint="eastAsia" w:ascii="仿宋_GB2312" w:eastAsia="仿宋_GB2312"/>
        <w:kern w:val="0"/>
        <w:szCs w:val="21"/>
      </w:rPr>
      <w:t xml:space="preserve"> 页</w:t>
    </w:r>
    <w:bookmarkEnd w:id="50"/>
    <w:bookmarkEnd w:id="51"/>
    <w:bookmarkEnd w:id="52"/>
    <w:bookmarkEnd w:id="5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BA1FB">
    <w:pPr>
      <w:pStyle w:val="41"/>
      <w:framePr w:wrap="around" w:vAnchor="text" w:hAnchor="margin" w:xAlign="right" w:y="1"/>
      <w:rPr>
        <w:rStyle w:val="73"/>
      </w:rPr>
    </w:pPr>
    <w:r>
      <w:fldChar w:fldCharType="begin"/>
    </w:r>
    <w:r>
      <w:rPr>
        <w:rStyle w:val="73"/>
      </w:rPr>
      <w:instrText xml:space="preserve">PAGE  </w:instrText>
    </w:r>
    <w:r>
      <w:fldChar w:fldCharType="end"/>
    </w:r>
  </w:p>
  <w:p w14:paraId="1A151264">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6D52B">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AEBC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65BD0A5">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FED7A">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59BE95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2AA7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772B00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9834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80319FC">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8FC3F">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9BEDC">
    <w:pPr>
      <w:pStyle w:val="41"/>
      <w:framePr w:wrap="around" w:vAnchor="text" w:hAnchor="margin" w:xAlign="right" w:y="1"/>
      <w:rPr>
        <w:rStyle w:val="73"/>
      </w:rPr>
    </w:pPr>
    <w:r>
      <w:fldChar w:fldCharType="begin"/>
    </w:r>
    <w:r>
      <w:rPr>
        <w:rStyle w:val="73"/>
      </w:rPr>
      <w:instrText xml:space="preserve">PAGE  </w:instrText>
    </w:r>
    <w:r>
      <w:fldChar w:fldCharType="end"/>
    </w:r>
  </w:p>
  <w:p w14:paraId="0BC10A0E">
    <w:pPr>
      <w:pStyle w:val="4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406C8">
    <w:pPr>
      <w:pStyle w:val="42"/>
      <w:pBdr>
        <w:bottom w:val="single" w:color="auto" w:sz="6" w:space="4"/>
      </w:pBdr>
      <w:jc w:val="right"/>
    </w:pPr>
    <w:r>
      <w:t></w:t>
    </w:r>
    <w:r>
      <w:rPr>
        <w:rFonts w:hint="eastAsia"/>
      </w:rPr>
      <w:t xml:space="preserve">             </w:t>
    </w:r>
  </w:p>
  <w:p w14:paraId="4BCAD6BB">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DA85A">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建德市非</w:t>
    </w:r>
    <w:r>
      <w:rPr>
        <w:lang w:val="zh-CN"/>
      </w:rPr>
      <w:t>政府采购</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970B4">
    <w:pPr>
      <w:pStyle w:val="42"/>
      <w:rPr>
        <w:rFonts w:ascii="仿宋_GB2312" w:eastAsia="仿宋_GB2312"/>
        <w:b/>
        <w:i/>
        <w:u w:val="single"/>
      </w:rPr>
    </w:pPr>
    <w:r>
      <w:t></w:t>
    </w:r>
    <w:r>
      <w:rPr>
        <w:rFonts w:hint="eastAsia"/>
      </w:rPr>
      <w:t xml:space="preserve">                                                </w:t>
    </w:r>
    <w:r>
      <w:t xml:space="preserve"> 杭州市政府采购公开招标文件</w:t>
    </w:r>
  </w:p>
  <w:p w14:paraId="17D52D39">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EA793">
    <w:pPr>
      <w:pStyle w:val="42"/>
      <w:jc w:val="right"/>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D677D">
    <w:pPr>
      <w:pStyle w:val="42"/>
      <w:jc w:val="right"/>
      <w:rPr>
        <w:rFonts w:ascii="仿宋_GB2312" w:eastAsia="仿宋_GB2312"/>
        <w:b/>
        <w:i/>
        <w:u w:val="single"/>
      </w:rPr>
    </w:pPr>
    <w:r>
      <w:rPr>
        <w:rFonts w:hint="eastAsia"/>
      </w:rPr>
      <w:t xml:space="preserve">                                  </w:t>
    </w:r>
    <w:r>
      <w:t>杭州市政府采购公开招标文件</w:t>
    </w:r>
  </w:p>
  <w:p w14:paraId="2C7D87D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00AAB">
    <w:pPr>
      <w:pStyle w:val="42"/>
      <w:jc w:val="right"/>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DCD52">
    <w:pPr>
      <w:pStyle w:val="42"/>
      <w:jc w:val="right"/>
      <w:rPr>
        <w:rFonts w:ascii="仿宋_GB2312" w:eastAsia="仿宋_GB2312"/>
        <w:b/>
        <w:i/>
        <w:iCs/>
        <w:u w:val="single"/>
      </w:rPr>
    </w:pP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20A583">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5E282"/>
    <w:multiLevelType w:val="singleLevel"/>
    <w:tmpl w:val="A2D5E282"/>
    <w:lvl w:ilvl="0" w:tentative="0">
      <w:start w:val="1"/>
      <w:numFmt w:val="decimal"/>
      <w:suff w:val="nothing"/>
      <w:lvlText w:val="（%1）"/>
      <w:lvlJc w:val="left"/>
    </w:lvl>
  </w:abstractNum>
  <w:abstractNum w:abstractNumId="1">
    <w:nsid w:val="F9D91313"/>
    <w:multiLevelType w:val="singleLevel"/>
    <w:tmpl w:val="F9D91313"/>
    <w:lvl w:ilvl="0" w:tentative="0">
      <w:start w:val="4"/>
      <w:numFmt w:val="chineseCounting"/>
      <w:suff w:val="space"/>
      <w:lvlText w:val="第%1部分"/>
      <w:lvlJc w:val="left"/>
      <w:rPr>
        <w:rFonts w:hint="eastAsia"/>
      </w:rPr>
    </w:lvl>
  </w:abstractNum>
  <w:abstractNum w:abstractNumId="2">
    <w:nsid w:val="6D4758AF"/>
    <w:multiLevelType w:val="singleLevel"/>
    <w:tmpl w:val="6D4758AF"/>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YTBhNzliZDIyYWMxMmYwODNlMGZiZDRiZWM5Yz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9A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904"/>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07852"/>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4A62"/>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8A4"/>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39F2"/>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A0E"/>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05D"/>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242"/>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999"/>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06D"/>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0871D6"/>
    <w:rsid w:val="011F6449"/>
    <w:rsid w:val="01236AFB"/>
    <w:rsid w:val="018B1565"/>
    <w:rsid w:val="0196797C"/>
    <w:rsid w:val="019F7441"/>
    <w:rsid w:val="01B37585"/>
    <w:rsid w:val="01C86BAE"/>
    <w:rsid w:val="01D55165"/>
    <w:rsid w:val="01D85524"/>
    <w:rsid w:val="01D96D82"/>
    <w:rsid w:val="01DF6BF8"/>
    <w:rsid w:val="01E40F01"/>
    <w:rsid w:val="01EC2C57"/>
    <w:rsid w:val="02134C06"/>
    <w:rsid w:val="022856D8"/>
    <w:rsid w:val="02557C87"/>
    <w:rsid w:val="025C672E"/>
    <w:rsid w:val="025F0711"/>
    <w:rsid w:val="026B2E25"/>
    <w:rsid w:val="026C4FD1"/>
    <w:rsid w:val="02824D4D"/>
    <w:rsid w:val="028F0098"/>
    <w:rsid w:val="02985DC6"/>
    <w:rsid w:val="029C4435"/>
    <w:rsid w:val="02B604C5"/>
    <w:rsid w:val="02B640B5"/>
    <w:rsid w:val="02B87C8B"/>
    <w:rsid w:val="02BF3353"/>
    <w:rsid w:val="02DC4B10"/>
    <w:rsid w:val="02DD76CE"/>
    <w:rsid w:val="02F36323"/>
    <w:rsid w:val="02F41BAB"/>
    <w:rsid w:val="02F5619C"/>
    <w:rsid w:val="0326446A"/>
    <w:rsid w:val="0328539C"/>
    <w:rsid w:val="032D5555"/>
    <w:rsid w:val="032F7747"/>
    <w:rsid w:val="033702A9"/>
    <w:rsid w:val="035E0C59"/>
    <w:rsid w:val="036634D2"/>
    <w:rsid w:val="03B629A7"/>
    <w:rsid w:val="03DD35E4"/>
    <w:rsid w:val="03DF01D1"/>
    <w:rsid w:val="03E017D2"/>
    <w:rsid w:val="03F1578E"/>
    <w:rsid w:val="04076900"/>
    <w:rsid w:val="041A5A3B"/>
    <w:rsid w:val="042311BA"/>
    <w:rsid w:val="042B157A"/>
    <w:rsid w:val="044742D6"/>
    <w:rsid w:val="046517CD"/>
    <w:rsid w:val="047010F6"/>
    <w:rsid w:val="048E56D2"/>
    <w:rsid w:val="048F763B"/>
    <w:rsid w:val="049F330E"/>
    <w:rsid w:val="04A83984"/>
    <w:rsid w:val="04AA775C"/>
    <w:rsid w:val="04AF1889"/>
    <w:rsid w:val="04E06764"/>
    <w:rsid w:val="04E33C83"/>
    <w:rsid w:val="04E70360"/>
    <w:rsid w:val="04EC2DD7"/>
    <w:rsid w:val="04F66F48"/>
    <w:rsid w:val="04FE0667"/>
    <w:rsid w:val="050D65F7"/>
    <w:rsid w:val="0510168A"/>
    <w:rsid w:val="05251E14"/>
    <w:rsid w:val="0530758E"/>
    <w:rsid w:val="054E09BE"/>
    <w:rsid w:val="05585425"/>
    <w:rsid w:val="05607F4A"/>
    <w:rsid w:val="05A16594"/>
    <w:rsid w:val="05A7762D"/>
    <w:rsid w:val="05B71827"/>
    <w:rsid w:val="05C60BF6"/>
    <w:rsid w:val="05D473D2"/>
    <w:rsid w:val="05DE61E6"/>
    <w:rsid w:val="060519C4"/>
    <w:rsid w:val="060E5941"/>
    <w:rsid w:val="060F48B5"/>
    <w:rsid w:val="06110FAF"/>
    <w:rsid w:val="06357182"/>
    <w:rsid w:val="06400C4E"/>
    <w:rsid w:val="064249C6"/>
    <w:rsid w:val="06493CA7"/>
    <w:rsid w:val="065A6178"/>
    <w:rsid w:val="066F1CF3"/>
    <w:rsid w:val="067E2606"/>
    <w:rsid w:val="067E6234"/>
    <w:rsid w:val="067F48CF"/>
    <w:rsid w:val="06930BB8"/>
    <w:rsid w:val="069D1231"/>
    <w:rsid w:val="06B50CF4"/>
    <w:rsid w:val="06B84C89"/>
    <w:rsid w:val="06BB2083"/>
    <w:rsid w:val="06CA3990"/>
    <w:rsid w:val="06CB2732"/>
    <w:rsid w:val="06DF3FC3"/>
    <w:rsid w:val="071023CF"/>
    <w:rsid w:val="07155AFD"/>
    <w:rsid w:val="07245D42"/>
    <w:rsid w:val="07264C62"/>
    <w:rsid w:val="074B23B8"/>
    <w:rsid w:val="076621A7"/>
    <w:rsid w:val="0779354C"/>
    <w:rsid w:val="0783652C"/>
    <w:rsid w:val="07952E86"/>
    <w:rsid w:val="07B6268B"/>
    <w:rsid w:val="08061376"/>
    <w:rsid w:val="08235F22"/>
    <w:rsid w:val="08332819"/>
    <w:rsid w:val="0834033F"/>
    <w:rsid w:val="08452D77"/>
    <w:rsid w:val="086401F8"/>
    <w:rsid w:val="0870456A"/>
    <w:rsid w:val="08751CAA"/>
    <w:rsid w:val="087C3D79"/>
    <w:rsid w:val="087E4C40"/>
    <w:rsid w:val="088F370D"/>
    <w:rsid w:val="08901A19"/>
    <w:rsid w:val="08983078"/>
    <w:rsid w:val="08A31753"/>
    <w:rsid w:val="08A871D0"/>
    <w:rsid w:val="08C90A87"/>
    <w:rsid w:val="08D66AD6"/>
    <w:rsid w:val="08DA33A3"/>
    <w:rsid w:val="08E80F13"/>
    <w:rsid w:val="09076C6C"/>
    <w:rsid w:val="09335624"/>
    <w:rsid w:val="0944690F"/>
    <w:rsid w:val="09535675"/>
    <w:rsid w:val="095F057D"/>
    <w:rsid w:val="095F346D"/>
    <w:rsid w:val="09642282"/>
    <w:rsid w:val="096D1D5A"/>
    <w:rsid w:val="097266A2"/>
    <w:rsid w:val="09733572"/>
    <w:rsid w:val="09772C16"/>
    <w:rsid w:val="098353B5"/>
    <w:rsid w:val="0997284E"/>
    <w:rsid w:val="09A46ABD"/>
    <w:rsid w:val="09A92330"/>
    <w:rsid w:val="09B06B87"/>
    <w:rsid w:val="09BF7CFD"/>
    <w:rsid w:val="09C13146"/>
    <w:rsid w:val="09DA2234"/>
    <w:rsid w:val="09E04166"/>
    <w:rsid w:val="09F77876"/>
    <w:rsid w:val="0A1C0718"/>
    <w:rsid w:val="0A2A02F6"/>
    <w:rsid w:val="0A3D724D"/>
    <w:rsid w:val="0A3E7710"/>
    <w:rsid w:val="0A5B7E63"/>
    <w:rsid w:val="0A5C592B"/>
    <w:rsid w:val="0A794B51"/>
    <w:rsid w:val="0A7C5E93"/>
    <w:rsid w:val="0AA374A5"/>
    <w:rsid w:val="0AA87EEE"/>
    <w:rsid w:val="0AAB7649"/>
    <w:rsid w:val="0ABC5606"/>
    <w:rsid w:val="0AC46297"/>
    <w:rsid w:val="0AC566BE"/>
    <w:rsid w:val="0AD1117E"/>
    <w:rsid w:val="0B03428F"/>
    <w:rsid w:val="0B051958"/>
    <w:rsid w:val="0B30404E"/>
    <w:rsid w:val="0B4C6C14"/>
    <w:rsid w:val="0B4E0E79"/>
    <w:rsid w:val="0B547599"/>
    <w:rsid w:val="0B5E376C"/>
    <w:rsid w:val="0B631A88"/>
    <w:rsid w:val="0B683D45"/>
    <w:rsid w:val="0B7F3F11"/>
    <w:rsid w:val="0B884417"/>
    <w:rsid w:val="0B9176F8"/>
    <w:rsid w:val="0B920249"/>
    <w:rsid w:val="0BCF2858"/>
    <w:rsid w:val="0BF41E46"/>
    <w:rsid w:val="0BF6188C"/>
    <w:rsid w:val="0BF73C91"/>
    <w:rsid w:val="0C13107F"/>
    <w:rsid w:val="0C170175"/>
    <w:rsid w:val="0C3010E8"/>
    <w:rsid w:val="0C5456E2"/>
    <w:rsid w:val="0C566AD6"/>
    <w:rsid w:val="0C571A41"/>
    <w:rsid w:val="0C5C1171"/>
    <w:rsid w:val="0C5E1CBC"/>
    <w:rsid w:val="0C615B50"/>
    <w:rsid w:val="0C8445DA"/>
    <w:rsid w:val="0C87121B"/>
    <w:rsid w:val="0C937D2A"/>
    <w:rsid w:val="0C9E19D5"/>
    <w:rsid w:val="0CB20747"/>
    <w:rsid w:val="0CC007F7"/>
    <w:rsid w:val="0CC617AC"/>
    <w:rsid w:val="0CD161B4"/>
    <w:rsid w:val="0CE618DF"/>
    <w:rsid w:val="0CFE707A"/>
    <w:rsid w:val="0D063BDA"/>
    <w:rsid w:val="0D08375F"/>
    <w:rsid w:val="0D184CFB"/>
    <w:rsid w:val="0D4A7419"/>
    <w:rsid w:val="0D556D8D"/>
    <w:rsid w:val="0D5C24F8"/>
    <w:rsid w:val="0D7816AE"/>
    <w:rsid w:val="0D7E7B62"/>
    <w:rsid w:val="0D827401"/>
    <w:rsid w:val="0D84094E"/>
    <w:rsid w:val="0D8A00E9"/>
    <w:rsid w:val="0D8D589E"/>
    <w:rsid w:val="0DA01C73"/>
    <w:rsid w:val="0DAE46EF"/>
    <w:rsid w:val="0DC569D5"/>
    <w:rsid w:val="0DD63300"/>
    <w:rsid w:val="0DE335FC"/>
    <w:rsid w:val="0DF50604"/>
    <w:rsid w:val="0DF702FE"/>
    <w:rsid w:val="0E060E51"/>
    <w:rsid w:val="0E2350DD"/>
    <w:rsid w:val="0E5604B2"/>
    <w:rsid w:val="0E5719EA"/>
    <w:rsid w:val="0E6A2710"/>
    <w:rsid w:val="0E6D5D79"/>
    <w:rsid w:val="0E9D0089"/>
    <w:rsid w:val="0EB77646"/>
    <w:rsid w:val="0EB803EE"/>
    <w:rsid w:val="0EC10F7D"/>
    <w:rsid w:val="0EC266A4"/>
    <w:rsid w:val="0EE16A55"/>
    <w:rsid w:val="0EEA79A9"/>
    <w:rsid w:val="0EF716A8"/>
    <w:rsid w:val="0EF94D4B"/>
    <w:rsid w:val="0F00500D"/>
    <w:rsid w:val="0F14747F"/>
    <w:rsid w:val="0F2E3EDD"/>
    <w:rsid w:val="0F4958DC"/>
    <w:rsid w:val="0F515DF7"/>
    <w:rsid w:val="0F517A28"/>
    <w:rsid w:val="0F5573DD"/>
    <w:rsid w:val="0F596BA8"/>
    <w:rsid w:val="0F6248D2"/>
    <w:rsid w:val="0F693536"/>
    <w:rsid w:val="0F7B0511"/>
    <w:rsid w:val="0F7B76D9"/>
    <w:rsid w:val="0F816ACD"/>
    <w:rsid w:val="0F9832DB"/>
    <w:rsid w:val="0FBF3FD2"/>
    <w:rsid w:val="0FBF7FF3"/>
    <w:rsid w:val="0FC71A98"/>
    <w:rsid w:val="0FD0094D"/>
    <w:rsid w:val="0FE425F6"/>
    <w:rsid w:val="0FEA3728"/>
    <w:rsid w:val="10436BDA"/>
    <w:rsid w:val="10646583"/>
    <w:rsid w:val="107A6525"/>
    <w:rsid w:val="107D4B15"/>
    <w:rsid w:val="10831E63"/>
    <w:rsid w:val="108A3C80"/>
    <w:rsid w:val="109E4479"/>
    <w:rsid w:val="10BD6F35"/>
    <w:rsid w:val="10C06328"/>
    <w:rsid w:val="10C26171"/>
    <w:rsid w:val="10D52B69"/>
    <w:rsid w:val="10F33360"/>
    <w:rsid w:val="10FC16EA"/>
    <w:rsid w:val="110F1D40"/>
    <w:rsid w:val="11266F33"/>
    <w:rsid w:val="11531A90"/>
    <w:rsid w:val="117A285D"/>
    <w:rsid w:val="118963A1"/>
    <w:rsid w:val="11B65FE3"/>
    <w:rsid w:val="11BD6E3E"/>
    <w:rsid w:val="11C6522A"/>
    <w:rsid w:val="11DF131B"/>
    <w:rsid w:val="11E104CC"/>
    <w:rsid w:val="11E20309"/>
    <w:rsid w:val="12255233"/>
    <w:rsid w:val="12530213"/>
    <w:rsid w:val="12592091"/>
    <w:rsid w:val="125E4936"/>
    <w:rsid w:val="127723A9"/>
    <w:rsid w:val="12862074"/>
    <w:rsid w:val="12883966"/>
    <w:rsid w:val="129E45B4"/>
    <w:rsid w:val="12AE1052"/>
    <w:rsid w:val="12C73B30"/>
    <w:rsid w:val="12D4505D"/>
    <w:rsid w:val="12D81596"/>
    <w:rsid w:val="12EE2DDC"/>
    <w:rsid w:val="12F81A6B"/>
    <w:rsid w:val="13072A44"/>
    <w:rsid w:val="13421B62"/>
    <w:rsid w:val="135B443E"/>
    <w:rsid w:val="135E44C2"/>
    <w:rsid w:val="135F4BE2"/>
    <w:rsid w:val="13807C8B"/>
    <w:rsid w:val="13915917"/>
    <w:rsid w:val="139231D1"/>
    <w:rsid w:val="13972AF8"/>
    <w:rsid w:val="139B1A0A"/>
    <w:rsid w:val="139D25C7"/>
    <w:rsid w:val="13BF3CE4"/>
    <w:rsid w:val="13C411CB"/>
    <w:rsid w:val="13EE6E5B"/>
    <w:rsid w:val="141008D8"/>
    <w:rsid w:val="14125FE6"/>
    <w:rsid w:val="14150A44"/>
    <w:rsid w:val="146D271E"/>
    <w:rsid w:val="14830706"/>
    <w:rsid w:val="14886F07"/>
    <w:rsid w:val="148D4BF9"/>
    <w:rsid w:val="14982588"/>
    <w:rsid w:val="149A5AD9"/>
    <w:rsid w:val="149E54BE"/>
    <w:rsid w:val="14A01236"/>
    <w:rsid w:val="14A7619D"/>
    <w:rsid w:val="15033A47"/>
    <w:rsid w:val="150536C3"/>
    <w:rsid w:val="150C1963"/>
    <w:rsid w:val="151447A0"/>
    <w:rsid w:val="15145780"/>
    <w:rsid w:val="152359C3"/>
    <w:rsid w:val="154A6454"/>
    <w:rsid w:val="15590EE8"/>
    <w:rsid w:val="156355DF"/>
    <w:rsid w:val="156649BE"/>
    <w:rsid w:val="15762120"/>
    <w:rsid w:val="157F6731"/>
    <w:rsid w:val="15836462"/>
    <w:rsid w:val="15A37C46"/>
    <w:rsid w:val="15A530EA"/>
    <w:rsid w:val="15E3263E"/>
    <w:rsid w:val="15EC4728"/>
    <w:rsid w:val="1644684C"/>
    <w:rsid w:val="16453908"/>
    <w:rsid w:val="16535D4D"/>
    <w:rsid w:val="16646293"/>
    <w:rsid w:val="166565F0"/>
    <w:rsid w:val="16796A28"/>
    <w:rsid w:val="167F185F"/>
    <w:rsid w:val="16A8729C"/>
    <w:rsid w:val="16B33777"/>
    <w:rsid w:val="16BC70A7"/>
    <w:rsid w:val="16C6339E"/>
    <w:rsid w:val="16EA1D6E"/>
    <w:rsid w:val="172F2D79"/>
    <w:rsid w:val="173B3498"/>
    <w:rsid w:val="17557BEF"/>
    <w:rsid w:val="175E709B"/>
    <w:rsid w:val="177B0C05"/>
    <w:rsid w:val="17914E66"/>
    <w:rsid w:val="17987CD2"/>
    <w:rsid w:val="17AA569F"/>
    <w:rsid w:val="17D349C1"/>
    <w:rsid w:val="17D34DF7"/>
    <w:rsid w:val="17D80170"/>
    <w:rsid w:val="17F760BD"/>
    <w:rsid w:val="181E0BA3"/>
    <w:rsid w:val="18244F26"/>
    <w:rsid w:val="1829217E"/>
    <w:rsid w:val="1830729E"/>
    <w:rsid w:val="1870062C"/>
    <w:rsid w:val="187B2A53"/>
    <w:rsid w:val="18817102"/>
    <w:rsid w:val="18830A15"/>
    <w:rsid w:val="18852B28"/>
    <w:rsid w:val="188B5321"/>
    <w:rsid w:val="18A74A4F"/>
    <w:rsid w:val="18DC0363"/>
    <w:rsid w:val="18DC5894"/>
    <w:rsid w:val="18E1003E"/>
    <w:rsid w:val="19433422"/>
    <w:rsid w:val="19932372"/>
    <w:rsid w:val="19946D55"/>
    <w:rsid w:val="19A20DD5"/>
    <w:rsid w:val="19A215AC"/>
    <w:rsid w:val="19A228E7"/>
    <w:rsid w:val="19A52E4A"/>
    <w:rsid w:val="19AE03F1"/>
    <w:rsid w:val="19B05E2A"/>
    <w:rsid w:val="19F71DF3"/>
    <w:rsid w:val="1A071A03"/>
    <w:rsid w:val="1A11007A"/>
    <w:rsid w:val="1A11084C"/>
    <w:rsid w:val="1A1A3838"/>
    <w:rsid w:val="1A1A60DF"/>
    <w:rsid w:val="1A1C3241"/>
    <w:rsid w:val="1A1F16AE"/>
    <w:rsid w:val="1A332FCB"/>
    <w:rsid w:val="1A352420"/>
    <w:rsid w:val="1A376963"/>
    <w:rsid w:val="1A3A17E5"/>
    <w:rsid w:val="1A3B5C77"/>
    <w:rsid w:val="1A472154"/>
    <w:rsid w:val="1A6B2A23"/>
    <w:rsid w:val="1A890B80"/>
    <w:rsid w:val="1A984BAD"/>
    <w:rsid w:val="1AA36EB0"/>
    <w:rsid w:val="1AB47FAD"/>
    <w:rsid w:val="1AB8220E"/>
    <w:rsid w:val="1ACC48EB"/>
    <w:rsid w:val="1ACF5914"/>
    <w:rsid w:val="1AE314C2"/>
    <w:rsid w:val="1AE4166C"/>
    <w:rsid w:val="1AF06CFB"/>
    <w:rsid w:val="1AF11B8D"/>
    <w:rsid w:val="1AF916A0"/>
    <w:rsid w:val="1AFD0A64"/>
    <w:rsid w:val="1AFD1CF3"/>
    <w:rsid w:val="1B0442B2"/>
    <w:rsid w:val="1B11359C"/>
    <w:rsid w:val="1B2A271F"/>
    <w:rsid w:val="1B2D1349"/>
    <w:rsid w:val="1B530544"/>
    <w:rsid w:val="1B713184"/>
    <w:rsid w:val="1B9206DD"/>
    <w:rsid w:val="1BA209CF"/>
    <w:rsid w:val="1BB4777D"/>
    <w:rsid w:val="1BBA3A2F"/>
    <w:rsid w:val="1BC13A2E"/>
    <w:rsid w:val="1BC2714F"/>
    <w:rsid w:val="1BD13E7A"/>
    <w:rsid w:val="1BD75AB8"/>
    <w:rsid w:val="1BD81872"/>
    <w:rsid w:val="1BE96EEF"/>
    <w:rsid w:val="1C0361B1"/>
    <w:rsid w:val="1C0459C2"/>
    <w:rsid w:val="1C1B3B4A"/>
    <w:rsid w:val="1C204A0A"/>
    <w:rsid w:val="1C88086E"/>
    <w:rsid w:val="1C9F1DD3"/>
    <w:rsid w:val="1CCD2057"/>
    <w:rsid w:val="1CE51334"/>
    <w:rsid w:val="1CEC2B3E"/>
    <w:rsid w:val="1CF279B4"/>
    <w:rsid w:val="1CFF214E"/>
    <w:rsid w:val="1D0139E2"/>
    <w:rsid w:val="1D266CE1"/>
    <w:rsid w:val="1D383886"/>
    <w:rsid w:val="1D3958E6"/>
    <w:rsid w:val="1D3963AF"/>
    <w:rsid w:val="1D3F35B6"/>
    <w:rsid w:val="1D4F1A4B"/>
    <w:rsid w:val="1D6A673C"/>
    <w:rsid w:val="1D9247AE"/>
    <w:rsid w:val="1DA82F09"/>
    <w:rsid w:val="1DB567EC"/>
    <w:rsid w:val="1DBF2E6B"/>
    <w:rsid w:val="1DC15D79"/>
    <w:rsid w:val="1DD77306"/>
    <w:rsid w:val="1DF51A98"/>
    <w:rsid w:val="1DF63C75"/>
    <w:rsid w:val="1E051CD9"/>
    <w:rsid w:val="1E15149D"/>
    <w:rsid w:val="1E1E141D"/>
    <w:rsid w:val="1E382E0D"/>
    <w:rsid w:val="1E3D060F"/>
    <w:rsid w:val="1E3F7D2E"/>
    <w:rsid w:val="1E4134E4"/>
    <w:rsid w:val="1E5062B3"/>
    <w:rsid w:val="1E523514"/>
    <w:rsid w:val="1E714A66"/>
    <w:rsid w:val="1E802593"/>
    <w:rsid w:val="1E8B6156"/>
    <w:rsid w:val="1E901D5C"/>
    <w:rsid w:val="1EA703CC"/>
    <w:rsid w:val="1EB51D82"/>
    <w:rsid w:val="1EB7330C"/>
    <w:rsid w:val="1ED2301D"/>
    <w:rsid w:val="1F02489B"/>
    <w:rsid w:val="1F031D48"/>
    <w:rsid w:val="1F0A0FF3"/>
    <w:rsid w:val="1F0C571A"/>
    <w:rsid w:val="1F3F1511"/>
    <w:rsid w:val="1F454277"/>
    <w:rsid w:val="1F472D5E"/>
    <w:rsid w:val="1F5771FF"/>
    <w:rsid w:val="1F675F89"/>
    <w:rsid w:val="1F751511"/>
    <w:rsid w:val="1F7A31F0"/>
    <w:rsid w:val="1F7C3B44"/>
    <w:rsid w:val="1F941997"/>
    <w:rsid w:val="1F9961B3"/>
    <w:rsid w:val="1FA0658E"/>
    <w:rsid w:val="1FD52574"/>
    <w:rsid w:val="1FE61346"/>
    <w:rsid w:val="1FE868A9"/>
    <w:rsid w:val="1FEB5DD4"/>
    <w:rsid w:val="20034907"/>
    <w:rsid w:val="201227DB"/>
    <w:rsid w:val="20173E4B"/>
    <w:rsid w:val="202417A3"/>
    <w:rsid w:val="202A4011"/>
    <w:rsid w:val="204E48BC"/>
    <w:rsid w:val="20547378"/>
    <w:rsid w:val="2059673D"/>
    <w:rsid w:val="20765541"/>
    <w:rsid w:val="20773208"/>
    <w:rsid w:val="208921B3"/>
    <w:rsid w:val="208C0B17"/>
    <w:rsid w:val="20973DEB"/>
    <w:rsid w:val="20B26522"/>
    <w:rsid w:val="20B44310"/>
    <w:rsid w:val="20B6593D"/>
    <w:rsid w:val="20C41A43"/>
    <w:rsid w:val="210668C5"/>
    <w:rsid w:val="211116EB"/>
    <w:rsid w:val="212C3D17"/>
    <w:rsid w:val="213B5E42"/>
    <w:rsid w:val="216133FC"/>
    <w:rsid w:val="21D56769"/>
    <w:rsid w:val="21E52EF3"/>
    <w:rsid w:val="21F80DD9"/>
    <w:rsid w:val="21F973F1"/>
    <w:rsid w:val="21FB5D7B"/>
    <w:rsid w:val="22015E94"/>
    <w:rsid w:val="220B1C3D"/>
    <w:rsid w:val="221D1D20"/>
    <w:rsid w:val="22334A87"/>
    <w:rsid w:val="2234120F"/>
    <w:rsid w:val="22484CBB"/>
    <w:rsid w:val="226B2757"/>
    <w:rsid w:val="22987080"/>
    <w:rsid w:val="229879F0"/>
    <w:rsid w:val="22AB375D"/>
    <w:rsid w:val="22AC4529"/>
    <w:rsid w:val="22BE6801"/>
    <w:rsid w:val="22CC769A"/>
    <w:rsid w:val="22E449E3"/>
    <w:rsid w:val="22E57DB1"/>
    <w:rsid w:val="22F15F51"/>
    <w:rsid w:val="231F7242"/>
    <w:rsid w:val="23305E7B"/>
    <w:rsid w:val="233500BF"/>
    <w:rsid w:val="23377FF7"/>
    <w:rsid w:val="233A0AA7"/>
    <w:rsid w:val="235963F1"/>
    <w:rsid w:val="236B425F"/>
    <w:rsid w:val="236E0751"/>
    <w:rsid w:val="23810484"/>
    <w:rsid w:val="23836192"/>
    <w:rsid w:val="23901F29"/>
    <w:rsid w:val="23906919"/>
    <w:rsid w:val="239C0061"/>
    <w:rsid w:val="23A45F21"/>
    <w:rsid w:val="23B908A4"/>
    <w:rsid w:val="23C94F25"/>
    <w:rsid w:val="23D41AC5"/>
    <w:rsid w:val="23E95BEF"/>
    <w:rsid w:val="23F64F4C"/>
    <w:rsid w:val="23FD0064"/>
    <w:rsid w:val="24212865"/>
    <w:rsid w:val="242A6ACA"/>
    <w:rsid w:val="242F26B6"/>
    <w:rsid w:val="24354C79"/>
    <w:rsid w:val="243948BB"/>
    <w:rsid w:val="24422DFE"/>
    <w:rsid w:val="2448014D"/>
    <w:rsid w:val="245375B0"/>
    <w:rsid w:val="24544288"/>
    <w:rsid w:val="245D3851"/>
    <w:rsid w:val="24627D04"/>
    <w:rsid w:val="24642C0A"/>
    <w:rsid w:val="24AB32DF"/>
    <w:rsid w:val="24B22173"/>
    <w:rsid w:val="24B6415E"/>
    <w:rsid w:val="24B95AD9"/>
    <w:rsid w:val="24BE24DA"/>
    <w:rsid w:val="24CF5825"/>
    <w:rsid w:val="24D663E6"/>
    <w:rsid w:val="24D77F2B"/>
    <w:rsid w:val="24D92557"/>
    <w:rsid w:val="24EC7B7F"/>
    <w:rsid w:val="25317C88"/>
    <w:rsid w:val="258521D7"/>
    <w:rsid w:val="258B00E2"/>
    <w:rsid w:val="25910F48"/>
    <w:rsid w:val="25A917A6"/>
    <w:rsid w:val="25BE27CC"/>
    <w:rsid w:val="25F74A5C"/>
    <w:rsid w:val="25FA3833"/>
    <w:rsid w:val="26152DFC"/>
    <w:rsid w:val="2628662C"/>
    <w:rsid w:val="262D45DE"/>
    <w:rsid w:val="26443D59"/>
    <w:rsid w:val="264F2AD0"/>
    <w:rsid w:val="2653592E"/>
    <w:rsid w:val="26871DC8"/>
    <w:rsid w:val="269D1654"/>
    <w:rsid w:val="26A53EF9"/>
    <w:rsid w:val="26A60202"/>
    <w:rsid w:val="26A94201"/>
    <w:rsid w:val="26AC274F"/>
    <w:rsid w:val="26C14114"/>
    <w:rsid w:val="26D331E5"/>
    <w:rsid w:val="26DD00C8"/>
    <w:rsid w:val="27044A29"/>
    <w:rsid w:val="271D34C8"/>
    <w:rsid w:val="275859A0"/>
    <w:rsid w:val="275B723E"/>
    <w:rsid w:val="276142BF"/>
    <w:rsid w:val="276A4BA9"/>
    <w:rsid w:val="27783712"/>
    <w:rsid w:val="277F5944"/>
    <w:rsid w:val="27820FA4"/>
    <w:rsid w:val="278D41FD"/>
    <w:rsid w:val="27907362"/>
    <w:rsid w:val="27AA40BC"/>
    <w:rsid w:val="27CB43C4"/>
    <w:rsid w:val="27D019DA"/>
    <w:rsid w:val="27FA27FC"/>
    <w:rsid w:val="282C255A"/>
    <w:rsid w:val="283104DE"/>
    <w:rsid w:val="28333E1D"/>
    <w:rsid w:val="283350DF"/>
    <w:rsid w:val="2838132E"/>
    <w:rsid w:val="283C0E1E"/>
    <w:rsid w:val="28446343"/>
    <w:rsid w:val="28454BD6"/>
    <w:rsid w:val="28455253"/>
    <w:rsid w:val="28456613"/>
    <w:rsid w:val="28551971"/>
    <w:rsid w:val="285B1C53"/>
    <w:rsid w:val="287A5637"/>
    <w:rsid w:val="289F7086"/>
    <w:rsid w:val="28B27332"/>
    <w:rsid w:val="28C32028"/>
    <w:rsid w:val="28C70CDE"/>
    <w:rsid w:val="28CC490F"/>
    <w:rsid w:val="28DE40AA"/>
    <w:rsid w:val="28F11C08"/>
    <w:rsid w:val="29024D9D"/>
    <w:rsid w:val="291B6C85"/>
    <w:rsid w:val="29316E30"/>
    <w:rsid w:val="29345E77"/>
    <w:rsid w:val="294C65AD"/>
    <w:rsid w:val="295B69D2"/>
    <w:rsid w:val="296543A4"/>
    <w:rsid w:val="29783D35"/>
    <w:rsid w:val="297A5D79"/>
    <w:rsid w:val="29806583"/>
    <w:rsid w:val="298B3C4C"/>
    <w:rsid w:val="298C7B83"/>
    <w:rsid w:val="299A22A0"/>
    <w:rsid w:val="299D58EC"/>
    <w:rsid w:val="29C66159"/>
    <w:rsid w:val="29C9048F"/>
    <w:rsid w:val="29DB4666"/>
    <w:rsid w:val="29E43918"/>
    <w:rsid w:val="29F26D24"/>
    <w:rsid w:val="2A15033F"/>
    <w:rsid w:val="2A1662C1"/>
    <w:rsid w:val="2A1C7367"/>
    <w:rsid w:val="2A2815FA"/>
    <w:rsid w:val="2A332A5B"/>
    <w:rsid w:val="2A426494"/>
    <w:rsid w:val="2A554419"/>
    <w:rsid w:val="2A5A558B"/>
    <w:rsid w:val="2A626559"/>
    <w:rsid w:val="2A6D6092"/>
    <w:rsid w:val="2A7D76B4"/>
    <w:rsid w:val="2AA075F4"/>
    <w:rsid w:val="2AA13507"/>
    <w:rsid w:val="2AA1765E"/>
    <w:rsid w:val="2AAE4EDE"/>
    <w:rsid w:val="2ADB626D"/>
    <w:rsid w:val="2AEA324F"/>
    <w:rsid w:val="2AEF78BB"/>
    <w:rsid w:val="2AFC73CD"/>
    <w:rsid w:val="2B0674C1"/>
    <w:rsid w:val="2B1971F4"/>
    <w:rsid w:val="2B437463"/>
    <w:rsid w:val="2B512E32"/>
    <w:rsid w:val="2B703976"/>
    <w:rsid w:val="2B7807EE"/>
    <w:rsid w:val="2BA50BF7"/>
    <w:rsid w:val="2BBF00EC"/>
    <w:rsid w:val="2BC37CFD"/>
    <w:rsid w:val="2BC74EA2"/>
    <w:rsid w:val="2BD5237F"/>
    <w:rsid w:val="2BD63337"/>
    <w:rsid w:val="2BDD3B36"/>
    <w:rsid w:val="2BE536CE"/>
    <w:rsid w:val="2BE758D9"/>
    <w:rsid w:val="2BF346BB"/>
    <w:rsid w:val="2C02201D"/>
    <w:rsid w:val="2C09049E"/>
    <w:rsid w:val="2C0A653C"/>
    <w:rsid w:val="2C174AF9"/>
    <w:rsid w:val="2C191F85"/>
    <w:rsid w:val="2C1D2D14"/>
    <w:rsid w:val="2C5524AE"/>
    <w:rsid w:val="2CBC739B"/>
    <w:rsid w:val="2CC338BC"/>
    <w:rsid w:val="2CD258AD"/>
    <w:rsid w:val="2CE82D6F"/>
    <w:rsid w:val="2D1A3236"/>
    <w:rsid w:val="2D2F71A3"/>
    <w:rsid w:val="2D343236"/>
    <w:rsid w:val="2D375814"/>
    <w:rsid w:val="2D52151C"/>
    <w:rsid w:val="2D575011"/>
    <w:rsid w:val="2D7B1018"/>
    <w:rsid w:val="2D7C0EAC"/>
    <w:rsid w:val="2D872B3B"/>
    <w:rsid w:val="2DA27975"/>
    <w:rsid w:val="2DAF5F38"/>
    <w:rsid w:val="2DD15014"/>
    <w:rsid w:val="2DD24266"/>
    <w:rsid w:val="2DD7176A"/>
    <w:rsid w:val="2DF24997"/>
    <w:rsid w:val="2DF72DE4"/>
    <w:rsid w:val="2E0054CD"/>
    <w:rsid w:val="2E0220AF"/>
    <w:rsid w:val="2E093550"/>
    <w:rsid w:val="2E14000D"/>
    <w:rsid w:val="2E183793"/>
    <w:rsid w:val="2E3F7A9E"/>
    <w:rsid w:val="2E4B082A"/>
    <w:rsid w:val="2E4D4C86"/>
    <w:rsid w:val="2E556795"/>
    <w:rsid w:val="2E5D459D"/>
    <w:rsid w:val="2E5D4E86"/>
    <w:rsid w:val="2E5D790B"/>
    <w:rsid w:val="2E6206A8"/>
    <w:rsid w:val="2E8B0409"/>
    <w:rsid w:val="2E9A3C18"/>
    <w:rsid w:val="2EAC422C"/>
    <w:rsid w:val="2EB536D8"/>
    <w:rsid w:val="2EBB0FEE"/>
    <w:rsid w:val="2EC60F6B"/>
    <w:rsid w:val="2EC63002"/>
    <w:rsid w:val="2ECB2EFB"/>
    <w:rsid w:val="2ED1039E"/>
    <w:rsid w:val="2F0A6B38"/>
    <w:rsid w:val="2F326AD7"/>
    <w:rsid w:val="2F937F7F"/>
    <w:rsid w:val="2F946CCB"/>
    <w:rsid w:val="2FA3158A"/>
    <w:rsid w:val="2FA433C5"/>
    <w:rsid w:val="2FBF55B6"/>
    <w:rsid w:val="2FD25781"/>
    <w:rsid w:val="2FD71E49"/>
    <w:rsid w:val="2FDC745C"/>
    <w:rsid w:val="2FF05432"/>
    <w:rsid w:val="2FFD7934"/>
    <w:rsid w:val="30171547"/>
    <w:rsid w:val="302477D8"/>
    <w:rsid w:val="305308D8"/>
    <w:rsid w:val="306233EC"/>
    <w:rsid w:val="306F0EA2"/>
    <w:rsid w:val="30733ACD"/>
    <w:rsid w:val="308C3862"/>
    <w:rsid w:val="309379D8"/>
    <w:rsid w:val="30A06F5B"/>
    <w:rsid w:val="30A270F7"/>
    <w:rsid w:val="30BC2C37"/>
    <w:rsid w:val="30DF1478"/>
    <w:rsid w:val="30EC586F"/>
    <w:rsid w:val="30F57DBC"/>
    <w:rsid w:val="30FD4BD0"/>
    <w:rsid w:val="311327DC"/>
    <w:rsid w:val="31430D08"/>
    <w:rsid w:val="317624B4"/>
    <w:rsid w:val="317C6EE4"/>
    <w:rsid w:val="319C6071"/>
    <w:rsid w:val="31AC537E"/>
    <w:rsid w:val="31AD7299"/>
    <w:rsid w:val="31D125D7"/>
    <w:rsid w:val="31D95F77"/>
    <w:rsid w:val="31E3679B"/>
    <w:rsid w:val="31E732FD"/>
    <w:rsid w:val="31EB6578"/>
    <w:rsid w:val="31FB4EB6"/>
    <w:rsid w:val="32266F65"/>
    <w:rsid w:val="32290665"/>
    <w:rsid w:val="322E475E"/>
    <w:rsid w:val="32495441"/>
    <w:rsid w:val="32517576"/>
    <w:rsid w:val="32534AFB"/>
    <w:rsid w:val="3276294B"/>
    <w:rsid w:val="327F6A81"/>
    <w:rsid w:val="32827CEF"/>
    <w:rsid w:val="328718AD"/>
    <w:rsid w:val="32BE5C2C"/>
    <w:rsid w:val="32D57EA5"/>
    <w:rsid w:val="32FB6478"/>
    <w:rsid w:val="32FD564D"/>
    <w:rsid w:val="332378F3"/>
    <w:rsid w:val="33263B3F"/>
    <w:rsid w:val="332801C0"/>
    <w:rsid w:val="333948D8"/>
    <w:rsid w:val="33513762"/>
    <w:rsid w:val="336963EB"/>
    <w:rsid w:val="336C0182"/>
    <w:rsid w:val="337F3437"/>
    <w:rsid w:val="3381276E"/>
    <w:rsid w:val="33816EEB"/>
    <w:rsid w:val="338813BB"/>
    <w:rsid w:val="33BC2E13"/>
    <w:rsid w:val="33C543BD"/>
    <w:rsid w:val="33C93758"/>
    <w:rsid w:val="33D31EF5"/>
    <w:rsid w:val="33EB55CD"/>
    <w:rsid w:val="33EC4C02"/>
    <w:rsid w:val="340D2360"/>
    <w:rsid w:val="3410665D"/>
    <w:rsid w:val="34211214"/>
    <w:rsid w:val="342C61EA"/>
    <w:rsid w:val="342E63AB"/>
    <w:rsid w:val="3442156A"/>
    <w:rsid w:val="34675474"/>
    <w:rsid w:val="347D25A2"/>
    <w:rsid w:val="348B7FB5"/>
    <w:rsid w:val="34950E68"/>
    <w:rsid w:val="34984B38"/>
    <w:rsid w:val="34986E94"/>
    <w:rsid w:val="34A94D49"/>
    <w:rsid w:val="34AF62C9"/>
    <w:rsid w:val="34B00BC9"/>
    <w:rsid w:val="34CB4388"/>
    <w:rsid w:val="34FA6E12"/>
    <w:rsid w:val="354D7158"/>
    <w:rsid w:val="356B2D42"/>
    <w:rsid w:val="357070B5"/>
    <w:rsid w:val="35777939"/>
    <w:rsid w:val="358D5588"/>
    <w:rsid w:val="358D6543"/>
    <w:rsid w:val="35973796"/>
    <w:rsid w:val="35C1713F"/>
    <w:rsid w:val="35D46361"/>
    <w:rsid w:val="3620093B"/>
    <w:rsid w:val="3637277E"/>
    <w:rsid w:val="363A3B40"/>
    <w:rsid w:val="365302AE"/>
    <w:rsid w:val="36607A0A"/>
    <w:rsid w:val="366E227C"/>
    <w:rsid w:val="366F2E0D"/>
    <w:rsid w:val="367B6A5C"/>
    <w:rsid w:val="36A74ADA"/>
    <w:rsid w:val="36AD60D5"/>
    <w:rsid w:val="36B224F9"/>
    <w:rsid w:val="36BE19DF"/>
    <w:rsid w:val="36DB7A54"/>
    <w:rsid w:val="36EC0CC9"/>
    <w:rsid w:val="36ED12B4"/>
    <w:rsid w:val="372B49E6"/>
    <w:rsid w:val="372E6486"/>
    <w:rsid w:val="37357164"/>
    <w:rsid w:val="373F410B"/>
    <w:rsid w:val="37577E04"/>
    <w:rsid w:val="379A346B"/>
    <w:rsid w:val="37CF580A"/>
    <w:rsid w:val="37EE7094"/>
    <w:rsid w:val="37EF1A09"/>
    <w:rsid w:val="380D2735"/>
    <w:rsid w:val="380F20AB"/>
    <w:rsid w:val="38251997"/>
    <w:rsid w:val="38296C89"/>
    <w:rsid w:val="383002EB"/>
    <w:rsid w:val="385373AF"/>
    <w:rsid w:val="38586797"/>
    <w:rsid w:val="385D15DF"/>
    <w:rsid w:val="387E2D8D"/>
    <w:rsid w:val="38A01F72"/>
    <w:rsid w:val="38AC78FA"/>
    <w:rsid w:val="38BC0149"/>
    <w:rsid w:val="38C04328"/>
    <w:rsid w:val="38CC7CCD"/>
    <w:rsid w:val="38D87D1C"/>
    <w:rsid w:val="38E17D08"/>
    <w:rsid w:val="38F97391"/>
    <w:rsid w:val="38FD0499"/>
    <w:rsid w:val="38FE7A29"/>
    <w:rsid w:val="394B77AC"/>
    <w:rsid w:val="39555F8E"/>
    <w:rsid w:val="39636459"/>
    <w:rsid w:val="396B7F6C"/>
    <w:rsid w:val="39706B79"/>
    <w:rsid w:val="3980268B"/>
    <w:rsid w:val="39B263C8"/>
    <w:rsid w:val="39B417A9"/>
    <w:rsid w:val="39C62C3D"/>
    <w:rsid w:val="39F279C8"/>
    <w:rsid w:val="39F60B9B"/>
    <w:rsid w:val="39FC5695"/>
    <w:rsid w:val="3A006D8E"/>
    <w:rsid w:val="3A0D1CE6"/>
    <w:rsid w:val="3A1E0667"/>
    <w:rsid w:val="3A3651E5"/>
    <w:rsid w:val="3A3E7718"/>
    <w:rsid w:val="3A4B6C9E"/>
    <w:rsid w:val="3A6B3438"/>
    <w:rsid w:val="3A744481"/>
    <w:rsid w:val="3A8C5CE4"/>
    <w:rsid w:val="3A8C7BEF"/>
    <w:rsid w:val="3A906246"/>
    <w:rsid w:val="3AA27206"/>
    <w:rsid w:val="3B1C22BD"/>
    <w:rsid w:val="3B2349B7"/>
    <w:rsid w:val="3B266A1C"/>
    <w:rsid w:val="3B433AD3"/>
    <w:rsid w:val="3B5B5607"/>
    <w:rsid w:val="3B60677A"/>
    <w:rsid w:val="3B616CFF"/>
    <w:rsid w:val="3B6259F6"/>
    <w:rsid w:val="3B976654"/>
    <w:rsid w:val="3BC01EFC"/>
    <w:rsid w:val="3BCA786A"/>
    <w:rsid w:val="3BCE740A"/>
    <w:rsid w:val="3BD31E2F"/>
    <w:rsid w:val="3BD41F3D"/>
    <w:rsid w:val="3BE75ACE"/>
    <w:rsid w:val="3BF15831"/>
    <w:rsid w:val="3C09008A"/>
    <w:rsid w:val="3C0E61D6"/>
    <w:rsid w:val="3C105946"/>
    <w:rsid w:val="3C255BE7"/>
    <w:rsid w:val="3C261771"/>
    <w:rsid w:val="3C471448"/>
    <w:rsid w:val="3C5F759A"/>
    <w:rsid w:val="3C6C525A"/>
    <w:rsid w:val="3C97225D"/>
    <w:rsid w:val="3C9C5ED7"/>
    <w:rsid w:val="3C9D3E41"/>
    <w:rsid w:val="3CC01BC6"/>
    <w:rsid w:val="3CCE23CB"/>
    <w:rsid w:val="3CD17D17"/>
    <w:rsid w:val="3CF03B2D"/>
    <w:rsid w:val="3CF647B9"/>
    <w:rsid w:val="3D066478"/>
    <w:rsid w:val="3D384C7A"/>
    <w:rsid w:val="3D3B56F0"/>
    <w:rsid w:val="3D3C7F39"/>
    <w:rsid w:val="3D440F09"/>
    <w:rsid w:val="3D4504A0"/>
    <w:rsid w:val="3D5F6B21"/>
    <w:rsid w:val="3D6E6391"/>
    <w:rsid w:val="3D8734BB"/>
    <w:rsid w:val="3D9902F3"/>
    <w:rsid w:val="3D9A11D4"/>
    <w:rsid w:val="3DA16D89"/>
    <w:rsid w:val="3DA364BE"/>
    <w:rsid w:val="3DA91E2A"/>
    <w:rsid w:val="3DE041CB"/>
    <w:rsid w:val="3DF26781"/>
    <w:rsid w:val="3E0D48F6"/>
    <w:rsid w:val="3E1868B4"/>
    <w:rsid w:val="3E2E064A"/>
    <w:rsid w:val="3E2E11CF"/>
    <w:rsid w:val="3E367B2B"/>
    <w:rsid w:val="3E377251"/>
    <w:rsid w:val="3E38578C"/>
    <w:rsid w:val="3E421F1A"/>
    <w:rsid w:val="3E42664B"/>
    <w:rsid w:val="3E5A7334"/>
    <w:rsid w:val="3E665081"/>
    <w:rsid w:val="3E744BC7"/>
    <w:rsid w:val="3E7720F3"/>
    <w:rsid w:val="3E7B5D6B"/>
    <w:rsid w:val="3E800582"/>
    <w:rsid w:val="3E843E66"/>
    <w:rsid w:val="3E852940"/>
    <w:rsid w:val="3E8F51FE"/>
    <w:rsid w:val="3E8F6B39"/>
    <w:rsid w:val="3E926F87"/>
    <w:rsid w:val="3E9A59DE"/>
    <w:rsid w:val="3EA6485A"/>
    <w:rsid w:val="3EAD0503"/>
    <w:rsid w:val="3EAF4836"/>
    <w:rsid w:val="3EBB76E9"/>
    <w:rsid w:val="3EC33DFA"/>
    <w:rsid w:val="3EDB6D7D"/>
    <w:rsid w:val="3EE576C2"/>
    <w:rsid w:val="3EE946F5"/>
    <w:rsid w:val="3EEB5665"/>
    <w:rsid w:val="3EED6041"/>
    <w:rsid w:val="3EEE6411"/>
    <w:rsid w:val="3F050055"/>
    <w:rsid w:val="3F060E16"/>
    <w:rsid w:val="3F1778C8"/>
    <w:rsid w:val="3F1D1096"/>
    <w:rsid w:val="3F2F0234"/>
    <w:rsid w:val="3F3B19D7"/>
    <w:rsid w:val="3F6363FE"/>
    <w:rsid w:val="3F72393E"/>
    <w:rsid w:val="3F756B8F"/>
    <w:rsid w:val="3F7E18C4"/>
    <w:rsid w:val="3F95482B"/>
    <w:rsid w:val="3FE74635"/>
    <w:rsid w:val="3FF81180"/>
    <w:rsid w:val="3FF86C89"/>
    <w:rsid w:val="400E0F9A"/>
    <w:rsid w:val="4019356B"/>
    <w:rsid w:val="40234380"/>
    <w:rsid w:val="40353AA6"/>
    <w:rsid w:val="403E6DF1"/>
    <w:rsid w:val="40582B17"/>
    <w:rsid w:val="40592157"/>
    <w:rsid w:val="406E1CAE"/>
    <w:rsid w:val="409C7B23"/>
    <w:rsid w:val="40A0133A"/>
    <w:rsid w:val="40A84E4B"/>
    <w:rsid w:val="40AC0BA9"/>
    <w:rsid w:val="40C31A53"/>
    <w:rsid w:val="40D916DC"/>
    <w:rsid w:val="40DF1C9F"/>
    <w:rsid w:val="40ED0AAF"/>
    <w:rsid w:val="40FF545D"/>
    <w:rsid w:val="410067C8"/>
    <w:rsid w:val="41384420"/>
    <w:rsid w:val="41391F47"/>
    <w:rsid w:val="413E3B11"/>
    <w:rsid w:val="41693699"/>
    <w:rsid w:val="417B0CA4"/>
    <w:rsid w:val="417C5ABA"/>
    <w:rsid w:val="418B713B"/>
    <w:rsid w:val="418F0D2A"/>
    <w:rsid w:val="41A35612"/>
    <w:rsid w:val="41A53138"/>
    <w:rsid w:val="41B617E9"/>
    <w:rsid w:val="41BD747A"/>
    <w:rsid w:val="41C52353"/>
    <w:rsid w:val="41D01505"/>
    <w:rsid w:val="41EA4FEF"/>
    <w:rsid w:val="421E3EFC"/>
    <w:rsid w:val="42383E55"/>
    <w:rsid w:val="42474939"/>
    <w:rsid w:val="424C3C57"/>
    <w:rsid w:val="42613FF3"/>
    <w:rsid w:val="42660D96"/>
    <w:rsid w:val="42733236"/>
    <w:rsid w:val="428667D2"/>
    <w:rsid w:val="42CB766D"/>
    <w:rsid w:val="42CD1CE0"/>
    <w:rsid w:val="42D208FA"/>
    <w:rsid w:val="42E1381E"/>
    <w:rsid w:val="42E13849"/>
    <w:rsid w:val="42ED6459"/>
    <w:rsid w:val="42FE58DD"/>
    <w:rsid w:val="430828BF"/>
    <w:rsid w:val="430F7403"/>
    <w:rsid w:val="43174B3D"/>
    <w:rsid w:val="43401821"/>
    <w:rsid w:val="434B790E"/>
    <w:rsid w:val="4360274F"/>
    <w:rsid w:val="43657023"/>
    <w:rsid w:val="43670011"/>
    <w:rsid w:val="436A53CA"/>
    <w:rsid w:val="43977AB6"/>
    <w:rsid w:val="43A3342B"/>
    <w:rsid w:val="43BB30E7"/>
    <w:rsid w:val="43BE56FA"/>
    <w:rsid w:val="43C77C27"/>
    <w:rsid w:val="43DE09EE"/>
    <w:rsid w:val="43E65C0C"/>
    <w:rsid w:val="43E758B2"/>
    <w:rsid w:val="44002FAD"/>
    <w:rsid w:val="44474412"/>
    <w:rsid w:val="448B5125"/>
    <w:rsid w:val="449101DD"/>
    <w:rsid w:val="44986F84"/>
    <w:rsid w:val="44A61C97"/>
    <w:rsid w:val="44AF4BBA"/>
    <w:rsid w:val="44D836DF"/>
    <w:rsid w:val="44DC3DAF"/>
    <w:rsid w:val="44DE1391"/>
    <w:rsid w:val="44F9110D"/>
    <w:rsid w:val="44FB175E"/>
    <w:rsid w:val="450A0068"/>
    <w:rsid w:val="451B225C"/>
    <w:rsid w:val="452410C9"/>
    <w:rsid w:val="452B429C"/>
    <w:rsid w:val="45317DFB"/>
    <w:rsid w:val="456D3CE4"/>
    <w:rsid w:val="4571731D"/>
    <w:rsid w:val="45723ADA"/>
    <w:rsid w:val="4579042C"/>
    <w:rsid w:val="457F0571"/>
    <w:rsid w:val="45851176"/>
    <w:rsid w:val="4585575A"/>
    <w:rsid w:val="45BA06EF"/>
    <w:rsid w:val="45C63B94"/>
    <w:rsid w:val="45F778D3"/>
    <w:rsid w:val="45FF11DB"/>
    <w:rsid w:val="460A2D4E"/>
    <w:rsid w:val="460E7DA5"/>
    <w:rsid w:val="461801CE"/>
    <w:rsid w:val="46345F7C"/>
    <w:rsid w:val="46422483"/>
    <w:rsid w:val="46454953"/>
    <w:rsid w:val="4659254A"/>
    <w:rsid w:val="465B0637"/>
    <w:rsid w:val="465E3F0D"/>
    <w:rsid w:val="466A16E6"/>
    <w:rsid w:val="466E6ED7"/>
    <w:rsid w:val="46780E1B"/>
    <w:rsid w:val="46826C09"/>
    <w:rsid w:val="46893F2B"/>
    <w:rsid w:val="46AC4F69"/>
    <w:rsid w:val="46AF182F"/>
    <w:rsid w:val="46BC33FE"/>
    <w:rsid w:val="46C4686E"/>
    <w:rsid w:val="46CD560B"/>
    <w:rsid w:val="46DE0C49"/>
    <w:rsid w:val="46EA7DE1"/>
    <w:rsid w:val="46FC37FA"/>
    <w:rsid w:val="47060B1D"/>
    <w:rsid w:val="471056F7"/>
    <w:rsid w:val="471C3BAA"/>
    <w:rsid w:val="47280A93"/>
    <w:rsid w:val="4743523B"/>
    <w:rsid w:val="47645ACA"/>
    <w:rsid w:val="47717B3F"/>
    <w:rsid w:val="477B778F"/>
    <w:rsid w:val="477C493B"/>
    <w:rsid w:val="47814868"/>
    <w:rsid w:val="478203EC"/>
    <w:rsid w:val="47B025FA"/>
    <w:rsid w:val="47D1458C"/>
    <w:rsid w:val="4809698F"/>
    <w:rsid w:val="4811697D"/>
    <w:rsid w:val="48315726"/>
    <w:rsid w:val="483C6D09"/>
    <w:rsid w:val="48497FAC"/>
    <w:rsid w:val="487A3E25"/>
    <w:rsid w:val="487F7124"/>
    <w:rsid w:val="488022AC"/>
    <w:rsid w:val="488B5503"/>
    <w:rsid w:val="48920E74"/>
    <w:rsid w:val="48937E21"/>
    <w:rsid w:val="489A0361"/>
    <w:rsid w:val="48B94FF3"/>
    <w:rsid w:val="48D771FB"/>
    <w:rsid w:val="48DA400F"/>
    <w:rsid w:val="48DD7331"/>
    <w:rsid w:val="48E37AAB"/>
    <w:rsid w:val="48FD4B4C"/>
    <w:rsid w:val="490A68E0"/>
    <w:rsid w:val="491055FE"/>
    <w:rsid w:val="495F5B3E"/>
    <w:rsid w:val="496D45F2"/>
    <w:rsid w:val="496F77D7"/>
    <w:rsid w:val="497654FD"/>
    <w:rsid w:val="498019BD"/>
    <w:rsid w:val="49B4076A"/>
    <w:rsid w:val="49B64211"/>
    <w:rsid w:val="49C03205"/>
    <w:rsid w:val="49EC0ADD"/>
    <w:rsid w:val="49F6167F"/>
    <w:rsid w:val="4A064FA0"/>
    <w:rsid w:val="4A16615C"/>
    <w:rsid w:val="4A370CCC"/>
    <w:rsid w:val="4A4424D7"/>
    <w:rsid w:val="4A5F4890"/>
    <w:rsid w:val="4A6718D3"/>
    <w:rsid w:val="4AB82D0F"/>
    <w:rsid w:val="4AE666C6"/>
    <w:rsid w:val="4AE922E8"/>
    <w:rsid w:val="4AEB7664"/>
    <w:rsid w:val="4AEC1C9E"/>
    <w:rsid w:val="4AFD7C19"/>
    <w:rsid w:val="4B0567D1"/>
    <w:rsid w:val="4B09298A"/>
    <w:rsid w:val="4B182BCD"/>
    <w:rsid w:val="4B1D01E3"/>
    <w:rsid w:val="4B236AAE"/>
    <w:rsid w:val="4B707271"/>
    <w:rsid w:val="4B771FE9"/>
    <w:rsid w:val="4B9739F7"/>
    <w:rsid w:val="4BA16D51"/>
    <w:rsid w:val="4BBA6964"/>
    <w:rsid w:val="4BE558F8"/>
    <w:rsid w:val="4BE62CCB"/>
    <w:rsid w:val="4BEE2503"/>
    <w:rsid w:val="4C1C2DEF"/>
    <w:rsid w:val="4C245A30"/>
    <w:rsid w:val="4C295851"/>
    <w:rsid w:val="4C4F0870"/>
    <w:rsid w:val="4C6360CA"/>
    <w:rsid w:val="4C6A2D93"/>
    <w:rsid w:val="4C7B6C84"/>
    <w:rsid w:val="4C7D7706"/>
    <w:rsid w:val="4C87271B"/>
    <w:rsid w:val="4C8E4C41"/>
    <w:rsid w:val="4C8F39C7"/>
    <w:rsid w:val="4C940979"/>
    <w:rsid w:val="4C9A69DF"/>
    <w:rsid w:val="4CB61B48"/>
    <w:rsid w:val="4CB65388"/>
    <w:rsid w:val="4CB6685F"/>
    <w:rsid w:val="4CC367FE"/>
    <w:rsid w:val="4CE17569"/>
    <w:rsid w:val="4CE26857"/>
    <w:rsid w:val="4CE27936"/>
    <w:rsid w:val="4CE46B2E"/>
    <w:rsid w:val="4CEA0599"/>
    <w:rsid w:val="4D0700A1"/>
    <w:rsid w:val="4D077F3C"/>
    <w:rsid w:val="4D0C6761"/>
    <w:rsid w:val="4D123355"/>
    <w:rsid w:val="4D1639B1"/>
    <w:rsid w:val="4D2A3B31"/>
    <w:rsid w:val="4D312C52"/>
    <w:rsid w:val="4D4C506C"/>
    <w:rsid w:val="4D5331F8"/>
    <w:rsid w:val="4D6D5452"/>
    <w:rsid w:val="4D872151"/>
    <w:rsid w:val="4D87534F"/>
    <w:rsid w:val="4D8C33FE"/>
    <w:rsid w:val="4D905305"/>
    <w:rsid w:val="4D964A72"/>
    <w:rsid w:val="4D992B4B"/>
    <w:rsid w:val="4D9C1254"/>
    <w:rsid w:val="4DA047FA"/>
    <w:rsid w:val="4DB10DD3"/>
    <w:rsid w:val="4DC34CC0"/>
    <w:rsid w:val="4DD81946"/>
    <w:rsid w:val="4E0655E0"/>
    <w:rsid w:val="4E0F65F6"/>
    <w:rsid w:val="4E13385C"/>
    <w:rsid w:val="4E1E0531"/>
    <w:rsid w:val="4E3B42D2"/>
    <w:rsid w:val="4E793892"/>
    <w:rsid w:val="4E800872"/>
    <w:rsid w:val="4EB42276"/>
    <w:rsid w:val="4EB62E28"/>
    <w:rsid w:val="4EBE3A8B"/>
    <w:rsid w:val="4EC569ED"/>
    <w:rsid w:val="4ED50EA1"/>
    <w:rsid w:val="4EEC050C"/>
    <w:rsid w:val="4F104EC3"/>
    <w:rsid w:val="4F277882"/>
    <w:rsid w:val="4F423034"/>
    <w:rsid w:val="4F47354A"/>
    <w:rsid w:val="4F7D74A2"/>
    <w:rsid w:val="4F911C54"/>
    <w:rsid w:val="4F984E57"/>
    <w:rsid w:val="4FC83B4F"/>
    <w:rsid w:val="4FDC5FC3"/>
    <w:rsid w:val="4FE625E0"/>
    <w:rsid w:val="4FF736F9"/>
    <w:rsid w:val="501716A5"/>
    <w:rsid w:val="501C0736"/>
    <w:rsid w:val="501C796A"/>
    <w:rsid w:val="5021480F"/>
    <w:rsid w:val="502D2C76"/>
    <w:rsid w:val="50361381"/>
    <w:rsid w:val="503D071F"/>
    <w:rsid w:val="503F0BFC"/>
    <w:rsid w:val="50493828"/>
    <w:rsid w:val="505F0FDC"/>
    <w:rsid w:val="50812371"/>
    <w:rsid w:val="50856A77"/>
    <w:rsid w:val="50962ECB"/>
    <w:rsid w:val="509C4C8B"/>
    <w:rsid w:val="509D1A2B"/>
    <w:rsid w:val="509F443B"/>
    <w:rsid w:val="50A42E38"/>
    <w:rsid w:val="50A4577F"/>
    <w:rsid w:val="50B415EA"/>
    <w:rsid w:val="50B73D1F"/>
    <w:rsid w:val="50BD5BC9"/>
    <w:rsid w:val="50BE7671"/>
    <w:rsid w:val="50C11EEE"/>
    <w:rsid w:val="50C6560A"/>
    <w:rsid w:val="50E70472"/>
    <w:rsid w:val="50E97CFC"/>
    <w:rsid w:val="50F1639A"/>
    <w:rsid w:val="50FA4028"/>
    <w:rsid w:val="50FE0AB7"/>
    <w:rsid w:val="510D65B7"/>
    <w:rsid w:val="511157AB"/>
    <w:rsid w:val="514069D9"/>
    <w:rsid w:val="5142540C"/>
    <w:rsid w:val="51620350"/>
    <w:rsid w:val="51644DBE"/>
    <w:rsid w:val="51711289"/>
    <w:rsid w:val="517A5731"/>
    <w:rsid w:val="518832C8"/>
    <w:rsid w:val="51926C40"/>
    <w:rsid w:val="51945803"/>
    <w:rsid w:val="51980BB2"/>
    <w:rsid w:val="519D3C50"/>
    <w:rsid w:val="51A0432A"/>
    <w:rsid w:val="51A86090"/>
    <w:rsid w:val="51B7396D"/>
    <w:rsid w:val="52263E21"/>
    <w:rsid w:val="522A1187"/>
    <w:rsid w:val="522E4CC3"/>
    <w:rsid w:val="5234518C"/>
    <w:rsid w:val="523C53F3"/>
    <w:rsid w:val="5244713B"/>
    <w:rsid w:val="525768A4"/>
    <w:rsid w:val="525C7843"/>
    <w:rsid w:val="52615633"/>
    <w:rsid w:val="52675D5E"/>
    <w:rsid w:val="526F4DE4"/>
    <w:rsid w:val="527728CF"/>
    <w:rsid w:val="52911BE2"/>
    <w:rsid w:val="52977FD4"/>
    <w:rsid w:val="529D0E34"/>
    <w:rsid w:val="52A25790"/>
    <w:rsid w:val="52A96B6F"/>
    <w:rsid w:val="52B45975"/>
    <w:rsid w:val="52CA1B96"/>
    <w:rsid w:val="52D94AA4"/>
    <w:rsid w:val="52EA3A62"/>
    <w:rsid w:val="52F50BB8"/>
    <w:rsid w:val="53097272"/>
    <w:rsid w:val="53191BD8"/>
    <w:rsid w:val="532707B4"/>
    <w:rsid w:val="534B3E88"/>
    <w:rsid w:val="53544462"/>
    <w:rsid w:val="538D45EC"/>
    <w:rsid w:val="5397158E"/>
    <w:rsid w:val="53993DEB"/>
    <w:rsid w:val="53A07E2B"/>
    <w:rsid w:val="53BF452D"/>
    <w:rsid w:val="53C0391E"/>
    <w:rsid w:val="53D55AFF"/>
    <w:rsid w:val="53F561A1"/>
    <w:rsid w:val="54013861"/>
    <w:rsid w:val="542B2E51"/>
    <w:rsid w:val="54375430"/>
    <w:rsid w:val="54487265"/>
    <w:rsid w:val="544D6070"/>
    <w:rsid w:val="54605E1E"/>
    <w:rsid w:val="546B498A"/>
    <w:rsid w:val="5480281E"/>
    <w:rsid w:val="54AB56D0"/>
    <w:rsid w:val="54B3506A"/>
    <w:rsid w:val="54C833B7"/>
    <w:rsid w:val="54CA0D16"/>
    <w:rsid w:val="54CC5154"/>
    <w:rsid w:val="54DD4057"/>
    <w:rsid w:val="54E7490F"/>
    <w:rsid w:val="550764A4"/>
    <w:rsid w:val="550B2BF6"/>
    <w:rsid w:val="551A685B"/>
    <w:rsid w:val="551C775D"/>
    <w:rsid w:val="55214EB5"/>
    <w:rsid w:val="553377F5"/>
    <w:rsid w:val="55364EFD"/>
    <w:rsid w:val="555D4828"/>
    <w:rsid w:val="557A0749"/>
    <w:rsid w:val="557A4C8B"/>
    <w:rsid w:val="55886BA1"/>
    <w:rsid w:val="558931E1"/>
    <w:rsid w:val="55923347"/>
    <w:rsid w:val="55925180"/>
    <w:rsid w:val="55983B1B"/>
    <w:rsid w:val="55A8376B"/>
    <w:rsid w:val="55DC29B6"/>
    <w:rsid w:val="55DD4241"/>
    <w:rsid w:val="55E276DA"/>
    <w:rsid w:val="55F73DD4"/>
    <w:rsid w:val="560F4F39"/>
    <w:rsid w:val="5632768A"/>
    <w:rsid w:val="56487BCA"/>
    <w:rsid w:val="564F3968"/>
    <w:rsid w:val="565C5AA9"/>
    <w:rsid w:val="56616827"/>
    <w:rsid w:val="566B6D1E"/>
    <w:rsid w:val="568455BA"/>
    <w:rsid w:val="568702DB"/>
    <w:rsid w:val="56A2193A"/>
    <w:rsid w:val="56BD6237"/>
    <w:rsid w:val="56BF36D8"/>
    <w:rsid w:val="56E66275"/>
    <w:rsid w:val="57032A2C"/>
    <w:rsid w:val="5705494D"/>
    <w:rsid w:val="570F5219"/>
    <w:rsid w:val="57136C40"/>
    <w:rsid w:val="57337211"/>
    <w:rsid w:val="575D12B5"/>
    <w:rsid w:val="57610A87"/>
    <w:rsid w:val="576862D5"/>
    <w:rsid w:val="57695284"/>
    <w:rsid w:val="57783371"/>
    <w:rsid w:val="577B1140"/>
    <w:rsid w:val="577B7F21"/>
    <w:rsid w:val="577F181B"/>
    <w:rsid w:val="57921984"/>
    <w:rsid w:val="579737F0"/>
    <w:rsid w:val="57982C27"/>
    <w:rsid w:val="579932E7"/>
    <w:rsid w:val="57AB7B30"/>
    <w:rsid w:val="57AF5251"/>
    <w:rsid w:val="57B26373"/>
    <w:rsid w:val="57B60A02"/>
    <w:rsid w:val="57B63F04"/>
    <w:rsid w:val="57CD20C2"/>
    <w:rsid w:val="57D675AB"/>
    <w:rsid w:val="57D73717"/>
    <w:rsid w:val="57D95FDD"/>
    <w:rsid w:val="57FF48DC"/>
    <w:rsid w:val="580F7106"/>
    <w:rsid w:val="58226260"/>
    <w:rsid w:val="583077A8"/>
    <w:rsid w:val="5837110E"/>
    <w:rsid w:val="58514199"/>
    <w:rsid w:val="587324F6"/>
    <w:rsid w:val="587358E6"/>
    <w:rsid w:val="58847591"/>
    <w:rsid w:val="588751FD"/>
    <w:rsid w:val="58917D2F"/>
    <w:rsid w:val="5894085C"/>
    <w:rsid w:val="589B34B2"/>
    <w:rsid w:val="58AE4F0C"/>
    <w:rsid w:val="58B85899"/>
    <w:rsid w:val="58C26FB9"/>
    <w:rsid w:val="58D97E3F"/>
    <w:rsid w:val="58DFB7BE"/>
    <w:rsid w:val="58E2735A"/>
    <w:rsid w:val="58E351BA"/>
    <w:rsid w:val="58E363A9"/>
    <w:rsid w:val="59166304"/>
    <w:rsid w:val="591F52DC"/>
    <w:rsid w:val="595E1678"/>
    <w:rsid w:val="596D5BD4"/>
    <w:rsid w:val="59750523"/>
    <w:rsid w:val="59756D76"/>
    <w:rsid w:val="597610C2"/>
    <w:rsid w:val="597E3DD8"/>
    <w:rsid w:val="59975605"/>
    <w:rsid w:val="59DA4BE8"/>
    <w:rsid w:val="59DC6549"/>
    <w:rsid w:val="59DE4FE1"/>
    <w:rsid w:val="59F80043"/>
    <w:rsid w:val="5A09252F"/>
    <w:rsid w:val="5A0B2778"/>
    <w:rsid w:val="5A144CFE"/>
    <w:rsid w:val="5A2A7C7B"/>
    <w:rsid w:val="5A324732"/>
    <w:rsid w:val="5A3E2560"/>
    <w:rsid w:val="5A53777D"/>
    <w:rsid w:val="5A5415CC"/>
    <w:rsid w:val="5A5D3B6E"/>
    <w:rsid w:val="5A634CDE"/>
    <w:rsid w:val="5A637A76"/>
    <w:rsid w:val="5A6D33BA"/>
    <w:rsid w:val="5A6F4AB9"/>
    <w:rsid w:val="5A792B1F"/>
    <w:rsid w:val="5A7E70E6"/>
    <w:rsid w:val="5A874767"/>
    <w:rsid w:val="5AA85BE2"/>
    <w:rsid w:val="5AAD6F28"/>
    <w:rsid w:val="5AAF6DFC"/>
    <w:rsid w:val="5AB741B0"/>
    <w:rsid w:val="5AD23FCE"/>
    <w:rsid w:val="5AD63A24"/>
    <w:rsid w:val="5AF310B4"/>
    <w:rsid w:val="5B2116D9"/>
    <w:rsid w:val="5B2E1A1D"/>
    <w:rsid w:val="5B386973"/>
    <w:rsid w:val="5B3F4CBF"/>
    <w:rsid w:val="5B4B3510"/>
    <w:rsid w:val="5B4C27FD"/>
    <w:rsid w:val="5B843A1C"/>
    <w:rsid w:val="5B873E3F"/>
    <w:rsid w:val="5B90055D"/>
    <w:rsid w:val="5C0004B4"/>
    <w:rsid w:val="5C02690E"/>
    <w:rsid w:val="5C1271C4"/>
    <w:rsid w:val="5C196DA7"/>
    <w:rsid w:val="5C2A048C"/>
    <w:rsid w:val="5C7F0CFE"/>
    <w:rsid w:val="5C80234E"/>
    <w:rsid w:val="5C8A680C"/>
    <w:rsid w:val="5C8D1BE7"/>
    <w:rsid w:val="5C9F03FC"/>
    <w:rsid w:val="5CB07DD9"/>
    <w:rsid w:val="5CF26D5D"/>
    <w:rsid w:val="5CFB2822"/>
    <w:rsid w:val="5D0C4701"/>
    <w:rsid w:val="5D0F0395"/>
    <w:rsid w:val="5D1340B8"/>
    <w:rsid w:val="5D221076"/>
    <w:rsid w:val="5D296EBB"/>
    <w:rsid w:val="5D346CFF"/>
    <w:rsid w:val="5D384E12"/>
    <w:rsid w:val="5D397964"/>
    <w:rsid w:val="5D3B58B9"/>
    <w:rsid w:val="5D5A391C"/>
    <w:rsid w:val="5D5F10C0"/>
    <w:rsid w:val="5D7134BD"/>
    <w:rsid w:val="5D852344"/>
    <w:rsid w:val="5D891B7B"/>
    <w:rsid w:val="5DAD38EE"/>
    <w:rsid w:val="5DBD2A96"/>
    <w:rsid w:val="5DC505E5"/>
    <w:rsid w:val="5DD72166"/>
    <w:rsid w:val="5E006862"/>
    <w:rsid w:val="5E0207B9"/>
    <w:rsid w:val="5E1834A1"/>
    <w:rsid w:val="5E227B93"/>
    <w:rsid w:val="5E261785"/>
    <w:rsid w:val="5E2D24BD"/>
    <w:rsid w:val="5E337FF2"/>
    <w:rsid w:val="5E415A77"/>
    <w:rsid w:val="5E4A7017"/>
    <w:rsid w:val="5E552BBA"/>
    <w:rsid w:val="5E611C10"/>
    <w:rsid w:val="5E7A0F3F"/>
    <w:rsid w:val="5EB57407"/>
    <w:rsid w:val="5EFC7377"/>
    <w:rsid w:val="5F003B12"/>
    <w:rsid w:val="5F06174D"/>
    <w:rsid w:val="5F192F04"/>
    <w:rsid w:val="5F247292"/>
    <w:rsid w:val="5F286F77"/>
    <w:rsid w:val="5F37766E"/>
    <w:rsid w:val="5F3A3602"/>
    <w:rsid w:val="5F3D3EB1"/>
    <w:rsid w:val="5F45733B"/>
    <w:rsid w:val="5F6277C6"/>
    <w:rsid w:val="5F6D0B1D"/>
    <w:rsid w:val="5F773417"/>
    <w:rsid w:val="5F8A3F77"/>
    <w:rsid w:val="5F8D0B82"/>
    <w:rsid w:val="5FA42567"/>
    <w:rsid w:val="5FC02406"/>
    <w:rsid w:val="5FCC5339"/>
    <w:rsid w:val="5FE34A5B"/>
    <w:rsid w:val="5FFE1E36"/>
    <w:rsid w:val="600862CC"/>
    <w:rsid w:val="600A4D82"/>
    <w:rsid w:val="600C654D"/>
    <w:rsid w:val="60114DD6"/>
    <w:rsid w:val="60206DA2"/>
    <w:rsid w:val="60232584"/>
    <w:rsid w:val="60401F8B"/>
    <w:rsid w:val="604A1623"/>
    <w:rsid w:val="605D7816"/>
    <w:rsid w:val="605E50CE"/>
    <w:rsid w:val="605E77BD"/>
    <w:rsid w:val="6065645C"/>
    <w:rsid w:val="606D6287"/>
    <w:rsid w:val="607330CE"/>
    <w:rsid w:val="607B5C80"/>
    <w:rsid w:val="60825176"/>
    <w:rsid w:val="609F2AC4"/>
    <w:rsid w:val="60A32AE1"/>
    <w:rsid w:val="60A54FD3"/>
    <w:rsid w:val="60C05441"/>
    <w:rsid w:val="60D80176"/>
    <w:rsid w:val="60E76E71"/>
    <w:rsid w:val="60F31CBA"/>
    <w:rsid w:val="60FA2EE8"/>
    <w:rsid w:val="61054A27"/>
    <w:rsid w:val="610A52BC"/>
    <w:rsid w:val="611D2366"/>
    <w:rsid w:val="6121125D"/>
    <w:rsid w:val="61330309"/>
    <w:rsid w:val="6138071B"/>
    <w:rsid w:val="61421856"/>
    <w:rsid w:val="615207C8"/>
    <w:rsid w:val="615227C4"/>
    <w:rsid w:val="61654E3F"/>
    <w:rsid w:val="61722BDF"/>
    <w:rsid w:val="617410CB"/>
    <w:rsid w:val="6182292A"/>
    <w:rsid w:val="61827926"/>
    <w:rsid w:val="618C17C7"/>
    <w:rsid w:val="61942060"/>
    <w:rsid w:val="619F7F92"/>
    <w:rsid w:val="61B02548"/>
    <w:rsid w:val="61B37CD9"/>
    <w:rsid w:val="61B72CE8"/>
    <w:rsid w:val="61F94C26"/>
    <w:rsid w:val="62000E56"/>
    <w:rsid w:val="620E40BA"/>
    <w:rsid w:val="6213563A"/>
    <w:rsid w:val="622240E6"/>
    <w:rsid w:val="62282C9B"/>
    <w:rsid w:val="623A0EAA"/>
    <w:rsid w:val="6249085B"/>
    <w:rsid w:val="624F3E49"/>
    <w:rsid w:val="62632286"/>
    <w:rsid w:val="62885958"/>
    <w:rsid w:val="629F6831"/>
    <w:rsid w:val="62AE3B94"/>
    <w:rsid w:val="62DB3DBE"/>
    <w:rsid w:val="62DB47B4"/>
    <w:rsid w:val="62E70783"/>
    <w:rsid w:val="62F40B65"/>
    <w:rsid w:val="62FC2CFE"/>
    <w:rsid w:val="630040E0"/>
    <w:rsid w:val="63024505"/>
    <w:rsid w:val="63027A37"/>
    <w:rsid w:val="630628CB"/>
    <w:rsid w:val="6343709C"/>
    <w:rsid w:val="635600A5"/>
    <w:rsid w:val="635B1DB5"/>
    <w:rsid w:val="63652B9B"/>
    <w:rsid w:val="63711FED"/>
    <w:rsid w:val="63755A13"/>
    <w:rsid w:val="63880DDC"/>
    <w:rsid w:val="638D750D"/>
    <w:rsid w:val="63AC6CC0"/>
    <w:rsid w:val="63B07EEF"/>
    <w:rsid w:val="63BA10DD"/>
    <w:rsid w:val="63DD0B1A"/>
    <w:rsid w:val="63E43B3C"/>
    <w:rsid w:val="63E902B0"/>
    <w:rsid w:val="63ED479F"/>
    <w:rsid w:val="63ED595E"/>
    <w:rsid w:val="64033FC2"/>
    <w:rsid w:val="64055776"/>
    <w:rsid w:val="64240056"/>
    <w:rsid w:val="642F26E9"/>
    <w:rsid w:val="643E143A"/>
    <w:rsid w:val="64491666"/>
    <w:rsid w:val="64495FE5"/>
    <w:rsid w:val="647D5D78"/>
    <w:rsid w:val="648B6EEF"/>
    <w:rsid w:val="648E281E"/>
    <w:rsid w:val="64C158BF"/>
    <w:rsid w:val="64CE2EAA"/>
    <w:rsid w:val="64E35BA2"/>
    <w:rsid w:val="64EF325A"/>
    <w:rsid w:val="64F90675"/>
    <w:rsid w:val="65202952"/>
    <w:rsid w:val="6534606B"/>
    <w:rsid w:val="653C3090"/>
    <w:rsid w:val="65417171"/>
    <w:rsid w:val="65854376"/>
    <w:rsid w:val="658767BE"/>
    <w:rsid w:val="65892531"/>
    <w:rsid w:val="65901886"/>
    <w:rsid w:val="65995BCE"/>
    <w:rsid w:val="659D6878"/>
    <w:rsid w:val="65A44FD7"/>
    <w:rsid w:val="65AC59B4"/>
    <w:rsid w:val="65D606DA"/>
    <w:rsid w:val="66195831"/>
    <w:rsid w:val="661C2A8A"/>
    <w:rsid w:val="661D1A42"/>
    <w:rsid w:val="661F70AE"/>
    <w:rsid w:val="66286A3B"/>
    <w:rsid w:val="662E75B1"/>
    <w:rsid w:val="66342C2E"/>
    <w:rsid w:val="663E784C"/>
    <w:rsid w:val="663F4950"/>
    <w:rsid w:val="668B6A45"/>
    <w:rsid w:val="668F4233"/>
    <w:rsid w:val="66901724"/>
    <w:rsid w:val="66C814F3"/>
    <w:rsid w:val="66D24120"/>
    <w:rsid w:val="66EF1F08"/>
    <w:rsid w:val="671140AF"/>
    <w:rsid w:val="672F3F24"/>
    <w:rsid w:val="67311C4A"/>
    <w:rsid w:val="673E055F"/>
    <w:rsid w:val="673E6C62"/>
    <w:rsid w:val="67551CE3"/>
    <w:rsid w:val="676236F6"/>
    <w:rsid w:val="6777446E"/>
    <w:rsid w:val="67780F59"/>
    <w:rsid w:val="67A22552"/>
    <w:rsid w:val="67B22DCC"/>
    <w:rsid w:val="67BE7144"/>
    <w:rsid w:val="67BE71AA"/>
    <w:rsid w:val="67D0065F"/>
    <w:rsid w:val="67D85D3D"/>
    <w:rsid w:val="67D90273"/>
    <w:rsid w:val="67DE5875"/>
    <w:rsid w:val="67E5244D"/>
    <w:rsid w:val="67E55852"/>
    <w:rsid w:val="67EB1AB4"/>
    <w:rsid w:val="67FA1285"/>
    <w:rsid w:val="680E73DA"/>
    <w:rsid w:val="681A7646"/>
    <w:rsid w:val="684150B9"/>
    <w:rsid w:val="68551F4F"/>
    <w:rsid w:val="68574602"/>
    <w:rsid w:val="68690E91"/>
    <w:rsid w:val="687C10C9"/>
    <w:rsid w:val="68840C16"/>
    <w:rsid w:val="68876EFB"/>
    <w:rsid w:val="68884654"/>
    <w:rsid w:val="689B6EBF"/>
    <w:rsid w:val="689F444F"/>
    <w:rsid w:val="68A33FC6"/>
    <w:rsid w:val="68B16022"/>
    <w:rsid w:val="68B82B11"/>
    <w:rsid w:val="68B96DBB"/>
    <w:rsid w:val="68CA2805"/>
    <w:rsid w:val="68E02B24"/>
    <w:rsid w:val="68E937A3"/>
    <w:rsid w:val="691E0EE4"/>
    <w:rsid w:val="6937148E"/>
    <w:rsid w:val="693764BC"/>
    <w:rsid w:val="693E15D3"/>
    <w:rsid w:val="69401815"/>
    <w:rsid w:val="69484F69"/>
    <w:rsid w:val="69627681"/>
    <w:rsid w:val="69674FF3"/>
    <w:rsid w:val="69720C67"/>
    <w:rsid w:val="6977531D"/>
    <w:rsid w:val="69790883"/>
    <w:rsid w:val="698D4023"/>
    <w:rsid w:val="699B59ED"/>
    <w:rsid w:val="69BB6DF8"/>
    <w:rsid w:val="69C40F37"/>
    <w:rsid w:val="69CC2BFF"/>
    <w:rsid w:val="69E30726"/>
    <w:rsid w:val="69EF33C0"/>
    <w:rsid w:val="69FD55B8"/>
    <w:rsid w:val="6A0B1C62"/>
    <w:rsid w:val="6A0C16F7"/>
    <w:rsid w:val="6A130CD7"/>
    <w:rsid w:val="6A2406C8"/>
    <w:rsid w:val="6A442509"/>
    <w:rsid w:val="6A634570"/>
    <w:rsid w:val="6A7554EE"/>
    <w:rsid w:val="6A7D43A3"/>
    <w:rsid w:val="6AA933EA"/>
    <w:rsid w:val="6AC271BE"/>
    <w:rsid w:val="6ACE3875"/>
    <w:rsid w:val="6AD77F57"/>
    <w:rsid w:val="6ADB605C"/>
    <w:rsid w:val="6ADE0BD1"/>
    <w:rsid w:val="6AE96859"/>
    <w:rsid w:val="6AED777A"/>
    <w:rsid w:val="6B147746"/>
    <w:rsid w:val="6B1B3BF9"/>
    <w:rsid w:val="6B2021C6"/>
    <w:rsid w:val="6B24787C"/>
    <w:rsid w:val="6B3D3BD5"/>
    <w:rsid w:val="6B3D3FDE"/>
    <w:rsid w:val="6B573233"/>
    <w:rsid w:val="6B5B46E4"/>
    <w:rsid w:val="6B5B6274"/>
    <w:rsid w:val="6B635123"/>
    <w:rsid w:val="6B935D53"/>
    <w:rsid w:val="6BA0301F"/>
    <w:rsid w:val="6BA73DCD"/>
    <w:rsid w:val="6BBE4C73"/>
    <w:rsid w:val="6BCD06D0"/>
    <w:rsid w:val="6BFD579B"/>
    <w:rsid w:val="6C08629F"/>
    <w:rsid w:val="6C196F71"/>
    <w:rsid w:val="6C1B3E73"/>
    <w:rsid w:val="6C2246DA"/>
    <w:rsid w:val="6C226FCB"/>
    <w:rsid w:val="6C2A5301"/>
    <w:rsid w:val="6C31226F"/>
    <w:rsid w:val="6C452A9D"/>
    <w:rsid w:val="6C552F0B"/>
    <w:rsid w:val="6C74077D"/>
    <w:rsid w:val="6C8C67B7"/>
    <w:rsid w:val="6C9C3206"/>
    <w:rsid w:val="6C9D744C"/>
    <w:rsid w:val="6CA34196"/>
    <w:rsid w:val="6CBD10F1"/>
    <w:rsid w:val="6CD231EE"/>
    <w:rsid w:val="6CE378F6"/>
    <w:rsid w:val="6CFC34E0"/>
    <w:rsid w:val="6D161F81"/>
    <w:rsid w:val="6D167928"/>
    <w:rsid w:val="6D1A6A3D"/>
    <w:rsid w:val="6D252683"/>
    <w:rsid w:val="6D26299B"/>
    <w:rsid w:val="6D3344AA"/>
    <w:rsid w:val="6D3E42BD"/>
    <w:rsid w:val="6D4772EC"/>
    <w:rsid w:val="6D9078AF"/>
    <w:rsid w:val="6D91263F"/>
    <w:rsid w:val="6DA64BBC"/>
    <w:rsid w:val="6DAA3FEF"/>
    <w:rsid w:val="6DC0172B"/>
    <w:rsid w:val="6DCB690C"/>
    <w:rsid w:val="6DCE2DC4"/>
    <w:rsid w:val="6DCE3AA5"/>
    <w:rsid w:val="6DD41A5B"/>
    <w:rsid w:val="6DF43C2E"/>
    <w:rsid w:val="6DF51CA3"/>
    <w:rsid w:val="6E020BA6"/>
    <w:rsid w:val="6E174662"/>
    <w:rsid w:val="6E335A77"/>
    <w:rsid w:val="6E775E47"/>
    <w:rsid w:val="6E804461"/>
    <w:rsid w:val="6E8335BD"/>
    <w:rsid w:val="6E8E12EF"/>
    <w:rsid w:val="6E8E4DD0"/>
    <w:rsid w:val="6E972936"/>
    <w:rsid w:val="6EAA39A2"/>
    <w:rsid w:val="6ED446C5"/>
    <w:rsid w:val="6F045092"/>
    <w:rsid w:val="6F2531F7"/>
    <w:rsid w:val="6F2A7D94"/>
    <w:rsid w:val="6F3D07AE"/>
    <w:rsid w:val="6F6563A0"/>
    <w:rsid w:val="6F81463D"/>
    <w:rsid w:val="6F8331F1"/>
    <w:rsid w:val="6F8A5317"/>
    <w:rsid w:val="6F926644"/>
    <w:rsid w:val="6F9C52CB"/>
    <w:rsid w:val="6FAE1A09"/>
    <w:rsid w:val="6FBE238B"/>
    <w:rsid w:val="6FC5234C"/>
    <w:rsid w:val="6FD75BF8"/>
    <w:rsid w:val="6FDD4B42"/>
    <w:rsid w:val="70294DB1"/>
    <w:rsid w:val="7054787E"/>
    <w:rsid w:val="707723D0"/>
    <w:rsid w:val="708A4432"/>
    <w:rsid w:val="70AF5725"/>
    <w:rsid w:val="70B50C6B"/>
    <w:rsid w:val="70CF2615"/>
    <w:rsid w:val="70D82475"/>
    <w:rsid w:val="70DF1913"/>
    <w:rsid w:val="70EE5FFA"/>
    <w:rsid w:val="70F5661B"/>
    <w:rsid w:val="70FF43CD"/>
    <w:rsid w:val="710F3025"/>
    <w:rsid w:val="711B7CC6"/>
    <w:rsid w:val="71360107"/>
    <w:rsid w:val="7137174F"/>
    <w:rsid w:val="713B688E"/>
    <w:rsid w:val="71594881"/>
    <w:rsid w:val="716D0ABF"/>
    <w:rsid w:val="71946BA2"/>
    <w:rsid w:val="71D43752"/>
    <w:rsid w:val="71F1796A"/>
    <w:rsid w:val="72154626"/>
    <w:rsid w:val="72180A57"/>
    <w:rsid w:val="721A78F0"/>
    <w:rsid w:val="72262B5D"/>
    <w:rsid w:val="72283FF7"/>
    <w:rsid w:val="722E7212"/>
    <w:rsid w:val="723A0474"/>
    <w:rsid w:val="72522CC7"/>
    <w:rsid w:val="7257024F"/>
    <w:rsid w:val="725923E4"/>
    <w:rsid w:val="72734A09"/>
    <w:rsid w:val="72864BF7"/>
    <w:rsid w:val="729023FC"/>
    <w:rsid w:val="729F75AC"/>
    <w:rsid w:val="72A367A4"/>
    <w:rsid w:val="72F23E71"/>
    <w:rsid w:val="73221F8B"/>
    <w:rsid w:val="732950C8"/>
    <w:rsid w:val="73463ECB"/>
    <w:rsid w:val="737547B1"/>
    <w:rsid w:val="73C0646E"/>
    <w:rsid w:val="73CA0659"/>
    <w:rsid w:val="73CE18B4"/>
    <w:rsid w:val="742222F5"/>
    <w:rsid w:val="742B35F1"/>
    <w:rsid w:val="743C4652"/>
    <w:rsid w:val="743D6C54"/>
    <w:rsid w:val="74476126"/>
    <w:rsid w:val="74706664"/>
    <w:rsid w:val="747F3682"/>
    <w:rsid w:val="748F3516"/>
    <w:rsid w:val="749C4185"/>
    <w:rsid w:val="74A0760B"/>
    <w:rsid w:val="74A53C41"/>
    <w:rsid w:val="74B23D8F"/>
    <w:rsid w:val="74B575A8"/>
    <w:rsid w:val="74BD6CB3"/>
    <w:rsid w:val="74CE1D48"/>
    <w:rsid w:val="74D86DBA"/>
    <w:rsid w:val="74F506C7"/>
    <w:rsid w:val="75067759"/>
    <w:rsid w:val="751752C5"/>
    <w:rsid w:val="75241F9B"/>
    <w:rsid w:val="752A5B82"/>
    <w:rsid w:val="752E6DCD"/>
    <w:rsid w:val="752F02A1"/>
    <w:rsid w:val="753344AB"/>
    <w:rsid w:val="753D4E5A"/>
    <w:rsid w:val="7551380D"/>
    <w:rsid w:val="75600BE5"/>
    <w:rsid w:val="7564475C"/>
    <w:rsid w:val="75825AC6"/>
    <w:rsid w:val="7583797F"/>
    <w:rsid w:val="758608CE"/>
    <w:rsid w:val="75AE5430"/>
    <w:rsid w:val="75CB6372"/>
    <w:rsid w:val="75D20F1D"/>
    <w:rsid w:val="75DA2C18"/>
    <w:rsid w:val="75E02BD6"/>
    <w:rsid w:val="75E0564B"/>
    <w:rsid w:val="75F54412"/>
    <w:rsid w:val="76080F69"/>
    <w:rsid w:val="76086611"/>
    <w:rsid w:val="760C32EE"/>
    <w:rsid w:val="761D08E0"/>
    <w:rsid w:val="761D65A2"/>
    <w:rsid w:val="762322A2"/>
    <w:rsid w:val="764B75F0"/>
    <w:rsid w:val="765D347C"/>
    <w:rsid w:val="76683AF9"/>
    <w:rsid w:val="76826699"/>
    <w:rsid w:val="768833D7"/>
    <w:rsid w:val="7695568D"/>
    <w:rsid w:val="76C87133"/>
    <w:rsid w:val="76CD08D5"/>
    <w:rsid w:val="76DB4B92"/>
    <w:rsid w:val="77052AA4"/>
    <w:rsid w:val="77136511"/>
    <w:rsid w:val="772B1C5E"/>
    <w:rsid w:val="77340A39"/>
    <w:rsid w:val="77351FD0"/>
    <w:rsid w:val="77472422"/>
    <w:rsid w:val="777F31F2"/>
    <w:rsid w:val="7785391A"/>
    <w:rsid w:val="77945088"/>
    <w:rsid w:val="77A80CB1"/>
    <w:rsid w:val="77D1700D"/>
    <w:rsid w:val="77EC04CC"/>
    <w:rsid w:val="78056103"/>
    <w:rsid w:val="782347DB"/>
    <w:rsid w:val="7823599A"/>
    <w:rsid w:val="782729C5"/>
    <w:rsid w:val="78376D36"/>
    <w:rsid w:val="785901FD"/>
    <w:rsid w:val="78727511"/>
    <w:rsid w:val="78731750"/>
    <w:rsid w:val="78775729"/>
    <w:rsid w:val="78A06008"/>
    <w:rsid w:val="78A314FC"/>
    <w:rsid w:val="78A42DB0"/>
    <w:rsid w:val="78A656AB"/>
    <w:rsid w:val="78B2245C"/>
    <w:rsid w:val="78C134BB"/>
    <w:rsid w:val="78CF22B3"/>
    <w:rsid w:val="78E172CC"/>
    <w:rsid w:val="78EA1D1F"/>
    <w:rsid w:val="79033B9C"/>
    <w:rsid w:val="7904172F"/>
    <w:rsid w:val="790F7E27"/>
    <w:rsid w:val="792678F9"/>
    <w:rsid w:val="792A231A"/>
    <w:rsid w:val="79316829"/>
    <w:rsid w:val="793B7903"/>
    <w:rsid w:val="79534C4C"/>
    <w:rsid w:val="797E66A9"/>
    <w:rsid w:val="79814830"/>
    <w:rsid w:val="798518A4"/>
    <w:rsid w:val="79957FC1"/>
    <w:rsid w:val="799E3870"/>
    <w:rsid w:val="79A97383"/>
    <w:rsid w:val="79B5042F"/>
    <w:rsid w:val="79B565E2"/>
    <w:rsid w:val="79C86838"/>
    <w:rsid w:val="79E27E8B"/>
    <w:rsid w:val="79E44E4D"/>
    <w:rsid w:val="79F10EE3"/>
    <w:rsid w:val="79F850CE"/>
    <w:rsid w:val="79FD443C"/>
    <w:rsid w:val="7A1D1975"/>
    <w:rsid w:val="7A3C008C"/>
    <w:rsid w:val="7A3E5150"/>
    <w:rsid w:val="7A4670D6"/>
    <w:rsid w:val="7A534B63"/>
    <w:rsid w:val="7A5E7D4D"/>
    <w:rsid w:val="7A615382"/>
    <w:rsid w:val="7A67303B"/>
    <w:rsid w:val="7A907FCF"/>
    <w:rsid w:val="7AAB1D04"/>
    <w:rsid w:val="7ABA4368"/>
    <w:rsid w:val="7ABB35A9"/>
    <w:rsid w:val="7AD038B6"/>
    <w:rsid w:val="7AD05746"/>
    <w:rsid w:val="7B1032F0"/>
    <w:rsid w:val="7B257FFD"/>
    <w:rsid w:val="7B343476"/>
    <w:rsid w:val="7B4927AB"/>
    <w:rsid w:val="7B5A1B28"/>
    <w:rsid w:val="7B5A2978"/>
    <w:rsid w:val="7B5A7E4C"/>
    <w:rsid w:val="7B667AF9"/>
    <w:rsid w:val="7B70223A"/>
    <w:rsid w:val="7B7468F8"/>
    <w:rsid w:val="7B803CF3"/>
    <w:rsid w:val="7B845E33"/>
    <w:rsid w:val="7B922569"/>
    <w:rsid w:val="7BEE0103"/>
    <w:rsid w:val="7BF2233F"/>
    <w:rsid w:val="7C0A0FE4"/>
    <w:rsid w:val="7C1F0B6F"/>
    <w:rsid w:val="7C254906"/>
    <w:rsid w:val="7C2634EC"/>
    <w:rsid w:val="7C444476"/>
    <w:rsid w:val="7C4613A4"/>
    <w:rsid w:val="7C590818"/>
    <w:rsid w:val="7C7C10F6"/>
    <w:rsid w:val="7C7C6DB0"/>
    <w:rsid w:val="7C835849"/>
    <w:rsid w:val="7C853BEA"/>
    <w:rsid w:val="7C881368"/>
    <w:rsid w:val="7C9107CA"/>
    <w:rsid w:val="7CA518D8"/>
    <w:rsid w:val="7CC34C7A"/>
    <w:rsid w:val="7CC3658D"/>
    <w:rsid w:val="7CE27788"/>
    <w:rsid w:val="7D0C32F1"/>
    <w:rsid w:val="7D0F408D"/>
    <w:rsid w:val="7D112351"/>
    <w:rsid w:val="7D1E30DE"/>
    <w:rsid w:val="7D2A3A55"/>
    <w:rsid w:val="7D491C6C"/>
    <w:rsid w:val="7D4E2E80"/>
    <w:rsid w:val="7D5429C0"/>
    <w:rsid w:val="7D697134"/>
    <w:rsid w:val="7D6E6D43"/>
    <w:rsid w:val="7D83129F"/>
    <w:rsid w:val="7D892787"/>
    <w:rsid w:val="7D9C5E3A"/>
    <w:rsid w:val="7DB57A34"/>
    <w:rsid w:val="7DBF4025"/>
    <w:rsid w:val="7DD00F61"/>
    <w:rsid w:val="7DE42AC4"/>
    <w:rsid w:val="7DE60973"/>
    <w:rsid w:val="7DEF0916"/>
    <w:rsid w:val="7E086B4E"/>
    <w:rsid w:val="7E1C603C"/>
    <w:rsid w:val="7E1E5218"/>
    <w:rsid w:val="7E2442BD"/>
    <w:rsid w:val="7E25566B"/>
    <w:rsid w:val="7E8D0C00"/>
    <w:rsid w:val="7E957AB5"/>
    <w:rsid w:val="7E9A4E1F"/>
    <w:rsid w:val="7EA7723A"/>
    <w:rsid w:val="7EAB10E4"/>
    <w:rsid w:val="7EAF501B"/>
    <w:rsid w:val="7EDE28A7"/>
    <w:rsid w:val="7EE36A72"/>
    <w:rsid w:val="7EE50A3C"/>
    <w:rsid w:val="7EEF4B39"/>
    <w:rsid w:val="7EF56FBB"/>
    <w:rsid w:val="7EFE1AFE"/>
    <w:rsid w:val="7F0768EB"/>
    <w:rsid w:val="7F143BEC"/>
    <w:rsid w:val="7F18149D"/>
    <w:rsid w:val="7F2F0755"/>
    <w:rsid w:val="7F431716"/>
    <w:rsid w:val="7F4B5A22"/>
    <w:rsid w:val="7F5C371A"/>
    <w:rsid w:val="7F671451"/>
    <w:rsid w:val="7F715AF2"/>
    <w:rsid w:val="7F886E69"/>
    <w:rsid w:val="7F97027D"/>
    <w:rsid w:val="7FF43E95"/>
    <w:rsid w:val="BB7FA927"/>
    <w:rsid w:val="CDDFC4BE"/>
    <w:rsid w:val="DEFF8383"/>
    <w:rsid w:val="EE77AFA3"/>
    <w:rsid w:val="F5FFD31F"/>
    <w:rsid w:val="FDDD20E1"/>
    <w:rsid w:val="FFBBAC7B"/>
    <w:rsid w:val="FFCF1770"/>
    <w:rsid w:val="FFFA5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unhideWhenUsed/>
    <w:qFormat/>
    <w:uiPriority w:val="1"/>
  </w:style>
  <w:style w:type="table" w:default="1" w:styleId="63">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3"/>
    <w:autoRedefine/>
    <w:qFormat/>
    <w:uiPriority w:val="0"/>
    <w:pPr>
      <w:shd w:val="clear" w:color="auto" w:fill="000080"/>
    </w:pPr>
  </w:style>
  <w:style w:type="paragraph" w:styleId="19">
    <w:name w:val="annotation text"/>
    <w:basedOn w:val="1"/>
    <w:link w:val="345"/>
    <w:autoRedefine/>
    <w:qFormat/>
    <w:uiPriority w:val="99"/>
    <w:pPr>
      <w:jc w:val="left"/>
    </w:pPr>
  </w:style>
  <w:style w:type="paragraph" w:styleId="20">
    <w:name w:val="Salutation"/>
    <w:basedOn w:val="1"/>
    <w:next w:val="1"/>
    <w:link w:val="299"/>
    <w:autoRedefine/>
    <w:qFormat/>
    <w:uiPriority w:val="0"/>
    <w:rPr>
      <w:rFonts w:ascii="仿宋_GB2312" w:eastAsia="仿宋_GB2312"/>
      <w:sz w:val="28"/>
      <w:szCs w:val="20"/>
    </w:rPr>
  </w:style>
  <w:style w:type="paragraph" w:styleId="21">
    <w:name w:val="Body Text 3"/>
    <w:basedOn w:val="1"/>
    <w:link w:val="33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6"/>
    <w:autoRedefine/>
    <w:qFormat/>
    <w:uiPriority w:val="0"/>
    <w:pPr>
      <w:spacing w:line="480" w:lineRule="exact"/>
      <w:ind w:firstLine="480" w:firstLineChars="200"/>
    </w:pPr>
    <w:rPr>
      <w:rFonts w:ascii="宋体" w:hAnsi="宋体"/>
      <w:sz w:val="24"/>
    </w:rPr>
  </w:style>
  <w:style w:type="paragraph" w:styleId="25">
    <w:name w:val="envelope return"/>
    <w:basedOn w:val="1"/>
    <w:autoRedefine/>
    <w:qFormat/>
    <w:uiPriority w:val="0"/>
    <w:pPr>
      <w:widowControl w:val="0"/>
      <w:snapToGrid w:val="0"/>
      <w:jc w:val="both"/>
    </w:pPr>
    <w:rPr>
      <w:rFonts w:hint="eastAsia" w:ascii="Arial" w:hAnsi="Arial" w:eastAsia="宋体" w:cs="Arial"/>
      <w:kern w:val="2"/>
      <w:sz w:val="21"/>
      <w:lang w:val="en-US" w:eastAsia="zh-CN" w:bidi="ar-SA"/>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34"/>
    <w:link w:val="126"/>
    <w:autoRedefine/>
    <w:qFormat/>
    <w:uiPriority w:val="0"/>
    <w:rPr>
      <w:rFonts w:ascii="宋体" w:hAnsi="Courier New" w:cs="Arial"/>
      <w:snapToGrid w:val="0"/>
      <w:szCs w:val="21"/>
    </w:rPr>
  </w:style>
  <w:style w:type="paragraph" w:styleId="34">
    <w:name w:val="toc 1"/>
    <w:basedOn w:val="1"/>
    <w:next w:val="1"/>
    <w:autoRedefine/>
    <w:qFormat/>
    <w:uiPriority w:val="0"/>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2"/>
    <w:autoRedefine/>
    <w:qFormat/>
    <w:uiPriority w:val="0"/>
    <w:pPr>
      <w:ind w:left="100" w:leftChars="2500"/>
    </w:pPr>
    <w:rPr>
      <w:rFonts w:ascii="宋体"/>
      <w:sz w:val="24"/>
      <w:szCs w:val="21"/>
      <w:lang w:val="zh-CN"/>
    </w:rPr>
  </w:style>
  <w:style w:type="paragraph" w:styleId="38">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1"/>
    <w:autoRedefine/>
    <w:qFormat/>
    <w:uiPriority w:val="0"/>
    <w:rPr>
      <w:lang w:val="zh-CN"/>
    </w:rPr>
  </w:style>
  <w:style w:type="paragraph" w:styleId="40">
    <w:name w:val="Balloon Text"/>
    <w:basedOn w:val="1"/>
    <w:link w:val="189"/>
    <w:autoRedefine/>
    <w:qFormat/>
    <w:uiPriority w:val="0"/>
    <w:rPr>
      <w:sz w:val="18"/>
      <w:szCs w:val="18"/>
    </w:rPr>
  </w:style>
  <w:style w:type="paragraph" w:styleId="41">
    <w:name w:val="footer"/>
    <w:basedOn w:val="1"/>
    <w:link w:val="384"/>
    <w:autoRedefine/>
    <w:qFormat/>
    <w:uiPriority w:val="99"/>
    <w:pPr>
      <w:tabs>
        <w:tab w:val="center" w:pos="4153"/>
        <w:tab w:val="right" w:pos="8306"/>
      </w:tabs>
      <w:snapToGrid w:val="0"/>
      <w:jc w:val="left"/>
    </w:pPr>
    <w:rPr>
      <w:sz w:val="18"/>
      <w:szCs w:val="18"/>
    </w:rPr>
  </w:style>
  <w:style w:type="paragraph" w:styleId="42">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6"/>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3"/>
    <w:autoRedefine/>
    <w:qFormat/>
    <w:uiPriority w:val="0"/>
    <w:pPr>
      <w:spacing w:after="120" w:line="480" w:lineRule="auto"/>
    </w:pPr>
  </w:style>
  <w:style w:type="paragraph" w:styleId="57">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7"/>
    <w:autoRedefine/>
    <w:qFormat/>
    <w:uiPriority w:val="0"/>
    <w:rPr>
      <w:b/>
      <w:bCs/>
    </w:rPr>
  </w:style>
  <w:style w:type="paragraph" w:styleId="61">
    <w:name w:val="Body Text First Indent"/>
    <w:basedOn w:val="23"/>
    <w:next w:val="51"/>
    <w:link w:val="322"/>
    <w:autoRedefine/>
    <w:qFormat/>
    <w:uiPriority w:val="0"/>
    <w:pPr>
      <w:ind w:firstLine="420"/>
    </w:pPr>
    <w:rPr>
      <w:rFonts w:hAnsi="Calibri" w:cs="Times New Roman"/>
      <w:snapToGrid/>
      <w:szCs w:val="20"/>
    </w:rPr>
  </w:style>
  <w:style w:type="paragraph" w:styleId="62">
    <w:name w:val="Body Text First Indent 2"/>
    <w:basedOn w:val="24"/>
    <w:next w:val="1"/>
    <w:link w:val="122"/>
    <w:autoRedefine/>
    <w:qFormat/>
    <w:uiPriority w:val="0"/>
    <w:pPr>
      <w:adjustRightInd/>
      <w:spacing w:after="120" w:line="240" w:lineRule="auto"/>
      <w:ind w:left="420" w:leftChars="200" w:firstLine="210"/>
    </w:pPr>
    <w:rPr>
      <w:sz w:val="21"/>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basedOn w:val="70"/>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首行缩进"/>
    <w:basedOn w:val="1"/>
    <w:next w:val="1"/>
    <w:autoRedefine/>
    <w:qFormat/>
    <w:uiPriority w:val="0"/>
    <w:pPr>
      <w:spacing w:line="360" w:lineRule="auto"/>
      <w:ind w:firstLine="480" w:firstLineChars="200"/>
    </w:pPr>
    <w:rPr>
      <w:rFonts w:ascii="宋体"/>
      <w:sz w:val="24"/>
      <w:szCs w:val="20"/>
    </w:rPr>
  </w:style>
  <w:style w:type="paragraph" w:customStyle="1" w:styleId="81">
    <w:name w:val="xl53"/>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lang w:val="en-US" w:eastAsia="zh-CN" w:bidi="ar-SA"/>
    </w:rPr>
  </w:style>
  <w:style w:type="paragraph" w:customStyle="1" w:styleId="8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Char1"/>
    <w:link w:val="60"/>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首行缩进 2 Char"/>
    <w:link w:val="62"/>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0"/>
    <w:autoRedefine/>
    <w:qFormat/>
    <w:uiPriority w:val="0"/>
    <w:rPr>
      <w:rFonts w:ascii="Arial" w:hAnsi="Arial" w:eastAsia="黑体" w:cs="Arial"/>
      <w:snapToGrid w:val="0"/>
      <w:kern w:val="0"/>
      <w:szCs w:val="21"/>
    </w:rPr>
  </w:style>
  <w:style w:type="character" w:customStyle="1" w:styleId="126">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Char"/>
    <w:link w:val="47"/>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basedOn w:val="70"/>
    <w:autoRedefine/>
    <w:qFormat/>
    <w:uiPriority w:val="0"/>
    <w:rPr>
      <w:rFonts w:hint="eastAsia" w:ascii="仿宋_GB2312" w:eastAsia="仿宋_GB2312" w:cs="仿宋_GB2312"/>
      <w:color w:val="000000"/>
      <w:sz w:val="22"/>
      <w:szCs w:val="22"/>
      <w:u w:val="none"/>
    </w:rPr>
  </w:style>
  <w:style w:type="character" w:customStyle="1" w:styleId="148">
    <w:name w:val="标题 6 Char"/>
    <w:link w:val="8"/>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2"/>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Char"/>
    <w:link w:val="37"/>
    <w:autoRedefine/>
    <w:qFormat/>
    <w:uiPriority w:val="0"/>
    <w:rPr>
      <w:rFonts w:ascii="宋体"/>
      <w:kern w:val="2"/>
      <w:sz w:val="24"/>
      <w:szCs w:val="21"/>
      <w:lang w:val="zh-CN"/>
    </w:rPr>
  </w:style>
  <w:style w:type="character" w:customStyle="1" w:styleId="183">
    <w:name w:val="标题 9 Char"/>
    <w:link w:val="11"/>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0"/>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Char"/>
    <w:link w:val="40"/>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Char1"/>
    <w:link w:val="18"/>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0"/>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Char"/>
    <w:link w:val="30"/>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6"/>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Char"/>
    <w:link w:val="16"/>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4"/>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59"/>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0"/>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7"/>
    <w:autoRedefine/>
    <w:qFormat/>
    <w:uiPriority w:val="0"/>
    <w:rPr>
      <w:rFonts w:ascii="黑体" w:hAnsi="Courier New" w:eastAsia="黑体"/>
    </w:rPr>
  </w:style>
  <w:style w:type="character" w:customStyle="1" w:styleId="303">
    <w:name w:val="正文文本 2 Char1"/>
    <w:link w:val="56"/>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9"/>
    <w:autoRedefine/>
    <w:qFormat/>
    <w:uiPriority w:val="0"/>
    <w:rPr>
      <w:b/>
      <w:bCs/>
      <w:kern w:val="2"/>
      <w:sz w:val="24"/>
      <w:szCs w:val="24"/>
    </w:rPr>
  </w:style>
  <w:style w:type="character" w:customStyle="1" w:styleId="309">
    <w:name w:val="正文文本缩进 2 Char"/>
    <w:link w:val="38"/>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0"/>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61"/>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1"/>
    <w:autoRedefine/>
    <w:qFormat/>
    <w:uiPriority w:val="0"/>
    <w:rPr>
      <w:kern w:val="2"/>
      <w:sz w:val="21"/>
    </w:rPr>
  </w:style>
  <w:style w:type="character" w:customStyle="1" w:styleId="332">
    <w:name w:val="font31"/>
    <w:basedOn w:val="70"/>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19"/>
    <w:autoRedefine/>
    <w:qFormat/>
    <w:uiPriority w:val="0"/>
    <w:rPr>
      <w:kern w:val="2"/>
      <w:sz w:val="21"/>
      <w:szCs w:val="24"/>
    </w:rPr>
  </w:style>
  <w:style w:type="character" w:customStyle="1" w:styleId="346">
    <w:name w:val="签名 Char"/>
    <w:link w:val="43"/>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basedOn w:val="70"/>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3"/>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1"/>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2"/>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2"/>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2"/>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4"/>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4"/>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2"/>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2"/>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36"/>
    <w:next w:val="236"/>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36"/>
    <w:next w:val="236"/>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2"/>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6"/>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2"/>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2"/>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2"/>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2"/>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2级标题"/>
    <w:basedOn w:val="673"/>
    <w:autoRedefine/>
    <w:qFormat/>
    <w:uiPriority w:val="0"/>
    <w:pPr>
      <w:jc w:val="left"/>
      <w:outlineLvl w:val="1"/>
    </w:pPr>
    <w:rPr>
      <w:rFonts w:ascii="Times New Roman" w:hAnsi="Times New Roman" w:eastAsia="仿宋"/>
      <w:sz w:val="30"/>
    </w:rPr>
  </w:style>
  <w:style w:type="paragraph" w:customStyle="1" w:styleId="67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autoRedefine/>
    <w:qFormat/>
    <w:uiPriority w:val="0"/>
    <w:pPr>
      <w:tabs>
        <w:tab w:val="left" w:pos="840"/>
      </w:tabs>
      <w:adjustRightInd/>
      <w:ind w:left="840" w:hanging="420"/>
    </w:pPr>
  </w:style>
  <w:style w:type="paragraph" w:customStyle="1" w:styleId="67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autoRedefine/>
    <w:qFormat/>
    <w:uiPriority w:val="0"/>
    <w:pPr>
      <w:tabs>
        <w:tab w:val="left" w:pos="2100"/>
      </w:tabs>
      <w:adjustRightInd/>
      <w:ind w:left="2100" w:hanging="420"/>
    </w:pPr>
    <w:rPr>
      <w:lang w:val="en-US"/>
    </w:rPr>
  </w:style>
  <w:style w:type="paragraph" w:customStyle="1" w:styleId="68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autoRedefine/>
    <w:qFormat/>
    <w:uiPriority w:val="6"/>
    <w:pPr>
      <w:spacing w:line="360" w:lineRule="auto"/>
    </w:pPr>
    <w:rPr>
      <w:szCs w:val="20"/>
    </w:rPr>
  </w:style>
  <w:style w:type="paragraph" w:customStyle="1" w:styleId="69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autoRedefine/>
    <w:qFormat/>
    <w:uiPriority w:val="0"/>
    <w:pPr>
      <w:adjustRightInd/>
      <w:spacing w:line="360" w:lineRule="auto"/>
      <w:jc w:val="center"/>
    </w:pPr>
    <w:rPr>
      <w:sz w:val="24"/>
    </w:rPr>
  </w:style>
  <w:style w:type="paragraph" w:customStyle="1" w:styleId="70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autoRedefine/>
    <w:qFormat/>
    <w:uiPriority w:val="6"/>
    <w:rPr>
      <w:rFonts w:ascii="仿宋_GB2312" w:eastAsia="仿宋_GB2312"/>
      <w:b/>
      <w:sz w:val="32"/>
      <w:szCs w:val="32"/>
    </w:rPr>
  </w:style>
  <w:style w:type="paragraph" w:customStyle="1" w:styleId="702">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autoRedefine/>
    <w:qFormat/>
    <w:uiPriority w:val="0"/>
    <w:pPr>
      <w:widowControl/>
      <w:adjustRightInd/>
      <w:spacing w:after="160" w:line="240" w:lineRule="exact"/>
      <w:jc w:val="left"/>
    </w:pPr>
    <w:rPr>
      <w:szCs w:val="20"/>
    </w:rPr>
  </w:style>
  <w:style w:type="paragraph" w:customStyle="1" w:styleId="705">
    <w:name w:val="Char Char1121"/>
    <w:basedOn w:val="1"/>
    <w:autoRedefine/>
    <w:qFormat/>
    <w:uiPriority w:val="0"/>
    <w:pPr>
      <w:spacing w:line="360" w:lineRule="auto"/>
    </w:pPr>
    <w:rPr>
      <w:szCs w:val="20"/>
    </w:rPr>
  </w:style>
  <w:style w:type="paragraph" w:customStyle="1" w:styleId="706">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autoRedefine/>
    <w:qFormat/>
    <w:uiPriority w:val="0"/>
    <w:rPr>
      <w:rFonts w:ascii="Times New Roman" w:hAnsi="Times New Roman" w:eastAsia="宋体" w:cs="Times New Roman"/>
      <w:lang w:val="en-US" w:eastAsia="en-US" w:bidi="ar-SA"/>
    </w:rPr>
  </w:style>
  <w:style w:type="paragraph" w:customStyle="1" w:styleId="709">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3">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autoRedefine/>
    <w:qFormat/>
    <w:uiPriority w:val="0"/>
    <w:pPr>
      <w:suppressAutoHyphens/>
      <w:adjustRightInd/>
      <w:ind w:firstLine="420"/>
    </w:pPr>
    <w:rPr>
      <w:kern w:val="1"/>
      <w:szCs w:val="20"/>
    </w:rPr>
  </w:style>
  <w:style w:type="paragraph" w:customStyle="1" w:styleId="717">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autoRedefine/>
    <w:qFormat/>
    <w:uiPriority w:val="0"/>
    <w:pPr>
      <w:adjustRightInd/>
      <w:spacing w:line="400" w:lineRule="exact"/>
      <w:ind w:firstLine="200" w:firstLineChars="200"/>
    </w:pPr>
    <w:rPr>
      <w:rFonts w:ascii="Arial" w:hAnsi="Arial"/>
    </w:rPr>
  </w:style>
  <w:style w:type="paragraph" w:customStyle="1" w:styleId="720">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autoRedefine/>
    <w:qFormat/>
    <w:uiPriority w:val="0"/>
    <w:pPr>
      <w:spacing w:after="120" w:line="480" w:lineRule="auto"/>
      <w:ind w:left="420" w:leftChars="200"/>
    </w:pPr>
    <w:rPr>
      <w:sz w:val="24"/>
      <w:szCs w:val="20"/>
    </w:rPr>
  </w:style>
  <w:style w:type="paragraph" w:customStyle="1" w:styleId="723">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autoRedefine/>
    <w:qFormat/>
    <w:uiPriority w:val="0"/>
    <w:rPr>
      <w:rFonts w:ascii="仿宋_GB2312" w:eastAsia="仿宋_GB2312"/>
      <w:b/>
      <w:sz w:val="32"/>
      <w:szCs w:val="20"/>
    </w:rPr>
  </w:style>
  <w:style w:type="paragraph" w:customStyle="1" w:styleId="732">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autoRedefine/>
    <w:qFormat/>
    <w:uiPriority w:val="0"/>
    <w:rPr>
      <w:rFonts w:ascii="仿宋_GB2312" w:eastAsia="仿宋_GB2312"/>
      <w:b/>
      <w:sz w:val="32"/>
      <w:szCs w:val="32"/>
    </w:rPr>
  </w:style>
  <w:style w:type="paragraph" w:customStyle="1" w:styleId="736">
    <w:name w:val="Char3 Char Char Char1"/>
    <w:basedOn w:val="1"/>
    <w:autoRedefine/>
    <w:qFormat/>
    <w:uiPriority w:val="6"/>
    <w:pPr>
      <w:widowControl/>
      <w:adjustRightInd/>
      <w:spacing w:after="160" w:line="240" w:lineRule="exact"/>
      <w:jc w:val="left"/>
    </w:pPr>
    <w:rPr>
      <w:szCs w:val="20"/>
    </w:rPr>
  </w:style>
  <w:style w:type="paragraph" w:customStyle="1" w:styleId="737">
    <w:name w:val="Char1 Char Char Char21"/>
    <w:basedOn w:val="1"/>
    <w:autoRedefine/>
    <w:qFormat/>
    <w:uiPriority w:val="0"/>
    <w:rPr>
      <w:rFonts w:ascii="Tahoma" w:hAnsi="Tahoma"/>
      <w:sz w:val="24"/>
      <w:szCs w:val="20"/>
    </w:rPr>
  </w:style>
  <w:style w:type="paragraph" w:customStyle="1" w:styleId="738">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autoRedefine/>
    <w:qFormat/>
    <w:uiPriority w:val="0"/>
    <w:pPr>
      <w:spacing w:line="360" w:lineRule="auto"/>
      <w:ind w:firstLine="200" w:firstLineChars="200"/>
    </w:pPr>
    <w:rPr>
      <w:sz w:val="24"/>
    </w:rPr>
  </w:style>
  <w:style w:type="paragraph" w:customStyle="1" w:styleId="740">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autoRedefine/>
    <w:qFormat/>
    <w:uiPriority w:val="0"/>
    <w:pPr>
      <w:adjustRightInd/>
      <w:ind w:firstLine="200" w:firstLineChars="200"/>
    </w:pPr>
    <w:rPr>
      <w:rFonts w:ascii="Tahoma" w:hAnsi="Tahoma"/>
      <w:sz w:val="24"/>
      <w:szCs w:val="20"/>
    </w:rPr>
  </w:style>
  <w:style w:type="paragraph" w:customStyle="1" w:styleId="746">
    <w:name w:val="_标题2"/>
    <w:basedOn w:val="713"/>
    <w:next w:val="713"/>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autoRedefine/>
    <w:qFormat/>
    <w:uiPriority w:val="0"/>
    <w:pPr>
      <w:adjustRightInd/>
      <w:spacing w:line="360" w:lineRule="auto"/>
    </w:pPr>
    <w:rPr>
      <w:rFonts w:ascii="宋体" w:hAnsi="宋体"/>
      <w:szCs w:val="20"/>
    </w:rPr>
  </w:style>
  <w:style w:type="paragraph" w:customStyle="1" w:styleId="752">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autoRedefine/>
    <w:qFormat/>
    <w:uiPriority w:val="0"/>
    <w:pPr>
      <w:adjustRightInd/>
    </w:pPr>
    <w:rPr>
      <w:rFonts w:ascii="Tahoma" w:hAnsi="Tahoma"/>
      <w:sz w:val="24"/>
    </w:rPr>
  </w:style>
  <w:style w:type="paragraph" w:customStyle="1" w:styleId="754">
    <w:name w:val="Char Char Char Char11"/>
    <w:basedOn w:val="1"/>
    <w:autoRedefine/>
    <w:qFormat/>
    <w:uiPriority w:val="0"/>
    <w:rPr>
      <w:rFonts w:ascii="Tahoma" w:hAnsi="Tahoma"/>
      <w:sz w:val="24"/>
      <w:szCs w:val="20"/>
    </w:rPr>
  </w:style>
  <w:style w:type="paragraph" w:customStyle="1" w:styleId="755">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autoRedefine/>
    <w:qFormat/>
    <w:uiPriority w:val="0"/>
    <w:rPr>
      <w:rFonts w:ascii="Tahoma" w:hAnsi="Tahoma"/>
      <w:sz w:val="24"/>
      <w:szCs w:val="20"/>
    </w:rPr>
  </w:style>
  <w:style w:type="paragraph" w:customStyle="1" w:styleId="757">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autoRedefine/>
    <w:qFormat/>
    <w:uiPriority w:val="0"/>
    <w:pPr>
      <w:adjustRightInd/>
    </w:pPr>
    <w:rPr>
      <w:szCs w:val="20"/>
    </w:rPr>
  </w:style>
  <w:style w:type="paragraph" w:customStyle="1" w:styleId="759">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autoRedefine/>
    <w:qFormat/>
    <w:uiPriority w:val="34"/>
    <w:pPr>
      <w:adjustRightInd/>
      <w:ind w:firstLine="420" w:firstLineChars="200"/>
    </w:pPr>
    <w:rPr>
      <w:rFonts w:eastAsia="仿宋_GB2312"/>
      <w:sz w:val="28"/>
    </w:rPr>
  </w:style>
  <w:style w:type="paragraph" w:customStyle="1" w:styleId="76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autoRedefine/>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autoRedefine/>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70">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autoRedefine/>
    <w:qFormat/>
    <w:uiPriority w:val="0"/>
    <w:rPr>
      <w:rFonts w:ascii="宋体" w:hAnsi="Times New Roman" w:eastAsia="宋体" w:cs="Times New Roman"/>
      <w:kern w:val="2"/>
      <w:lang w:val="en-US" w:eastAsia="zh-CN" w:bidi="ar-SA"/>
    </w:rPr>
  </w:style>
  <w:style w:type="paragraph" w:customStyle="1" w:styleId="772">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autoRedefine/>
    <w:qFormat/>
    <w:uiPriority w:val="0"/>
    <w:pPr>
      <w:tabs>
        <w:tab w:val="left" w:pos="360"/>
      </w:tabs>
    </w:pPr>
    <w:rPr>
      <w:sz w:val="24"/>
      <w:szCs w:val="20"/>
    </w:rPr>
  </w:style>
  <w:style w:type="paragraph" w:customStyle="1" w:styleId="776">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autoRedefine/>
    <w:qFormat/>
    <w:uiPriority w:val="0"/>
    <w:pPr>
      <w:widowControl/>
      <w:adjustRightInd/>
    </w:pPr>
    <w:rPr>
      <w:kern w:val="0"/>
      <w:szCs w:val="21"/>
    </w:rPr>
  </w:style>
  <w:style w:type="paragraph" w:customStyle="1" w:styleId="785">
    <w:name w:val="Char6"/>
    <w:basedOn w:val="1"/>
    <w:autoRedefine/>
    <w:qFormat/>
    <w:uiPriority w:val="0"/>
    <w:rPr>
      <w:rFonts w:ascii="仿宋_GB2312" w:eastAsia="仿宋_GB2312"/>
      <w:b/>
      <w:sz w:val="32"/>
      <w:szCs w:val="32"/>
    </w:rPr>
  </w:style>
  <w:style w:type="paragraph" w:customStyle="1" w:styleId="786">
    <w:name w:val="Char111"/>
    <w:basedOn w:val="1"/>
    <w:autoRedefine/>
    <w:qFormat/>
    <w:uiPriority w:val="0"/>
    <w:rPr>
      <w:rFonts w:ascii="仿宋_GB2312" w:eastAsia="仿宋_GB2312"/>
      <w:b/>
      <w:sz w:val="32"/>
      <w:szCs w:val="32"/>
    </w:rPr>
  </w:style>
  <w:style w:type="paragraph" w:customStyle="1" w:styleId="787">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788">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autoRedefine/>
    <w:qFormat/>
    <w:uiPriority w:val="0"/>
    <w:pPr>
      <w:adjustRightInd/>
      <w:ind w:firstLine="200" w:firstLineChars="200"/>
    </w:pPr>
    <w:rPr>
      <w:rFonts w:ascii="Tahoma" w:hAnsi="Tahoma"/>
      <w:sz w:val="24"/>
      <w:szCs w:val="20"/>
    </w:rPr>
  </w:style>
  <w:style w:type="paragraph" w:customStyle="1" w:styleId="791">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autoRedefine/>
    <w:qFormat/>
    <w:uiPriority w:val="0"/>
    <w:rPr>
      <w:rFonts w:ascii="仿宋_GB2312" w:eastAsia="仿宋_GB2312"/>
      <w:b/>
      <w:sz w:val="32"/>
      <w:szCs w:val="32"/>
    </w:rPr>
  </w:style>
  <w:style w:type="paragraph" w:customStyle="1" w:styleId="794">
    <w:name w:val="五级条标题"/>
    <w:basedOn w:val="795"/>
    <w:next w:val="641"/>
    <w:autoRedefine/>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6"/>
    <w:next w:val="641"/>
    <w:autoRedefine/>
    <w:qFormat/>
    <w:uiPriority w:val="0"/>
    <w:pPr>
      <w:tabs>
        <w:tab w:val="left" w:pos="2940"/>
        <w:tab w:val="clear" w:pos="2520"/>
      </w:tabs>
      <w:ind w:left="2940"/>
      <w:outlineLvl w:val="5"/>
    </w:pPr>
  </w:style>
  <w:style w:type="paragraph" w:customStyle="1" w:styleId="796">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autoRedefine/>
    <w:qFormat/>
    <w:uiPriority w:val="0"/>
    <w:rPr>
      <w:rFonts w:ascii="仿宋_GB2312" w:eastAsia="仿宋_GB2312"/>
      <w:b/>
      <w:sz w:val="32"/>
      <w:szCs w:val="32"/>
    </w:rPr>
  </w:style>
  <w:style w:type="paragraph" w:customStyle="1" w:styleId="798">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5"/>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50"/>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2"/>
    <w:next w:val="1"/>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2"/>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9"/>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9"/>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3"/>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4"/>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3"/>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9"/>
    <w:autoRedefine/>
    <w:qFormat/>
    <w:uiPriority w:val="0"/>
    <w:rPr>
      <w:kern w:val="2"/>
      <w:sz w:val="21"/>
      <w:szCs w:val="24"/>
      <w:lang w:val="zh-CN"/>
    </w:rPr>
  </w:style>
  <w:style w:type="character" w:customStyle="1" w:styleId="932">
    <w:name w:val="无间隔 Char"/>
    <w:link w:val="484"/>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9"/>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2"/>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965">
    <w:name w:val="NormalCharacter"/>
    <w:link w:val="966"/>
    <w:autoRedefine/>
    <w:qFormat/>
    <w:uiPriority w:val="0"/>
    <w:rPr>
      <w:rFonts w:ascii="Calibri"/>
      <w:szCs w:val="22"/>
    </w:rPr>
  </w:style>
  <w:style w:type="paragraph" w:customStyle="1" w:styleId="966">
    <w:name w:val="UserStyle_127"/>
    <w:basedOn w:val="1"/>
    <w:link w:val="965"/>
    <w:qFormat/>
    <w:uiPriority w:val="0"/>
    <w:pPr>
      <w:spacing w:after="160" w:line="240" w:lineRule="exact"/>
      <w:jc w:val="left"/>
    </w:pPr>
    <w:rPr>
      <w:rFonts w:ascii="Calibri"/>
      <w:szCs w:val="22"/>
    </w:rPr>
  </w:style>
  <w:style w:type="paragraph" w:customStyle="1" w:styleId="967">
    <w:name w:val="￥正文"/>
    <w:basedOn w:val="1"/>
    <w:autoRedefine/>
    <w:qFormat/>
    <w:uiPriority w:val="0"/>
    <w:pPr>
      <w:spacing w:line="360" w:lineRule="auto"/>
      <w:ind w:firstLine="200" w:firstLineChars="200"/>
    </w:pPr>
    <w:rPr>
      <w:rFonts w:ascii="宋体" w:hAnsi="宋体" w:eastAsia="仿宋" w:cs="Arial"/>
      <w:sz w:val="32"/>
      <w:szCs w:val="22"/>
    </w:rPr>
  </w:style>
  <w:style w:type="paragraph" w:customStyle="1" w:styleId="968">
    <w:name w:val="Basistekst Batenburg"/>
    <w:basedOn w:val="969"/>
    <w:autoRedefine/>
    <w:qFormat/>
    <w:uiPriority w:val="0"/>
  </w:style>
  <w:style w:type="paragraph" w:customStyle="1" w:styleId="969">
    <w:name w:val="Zsysbasis Batenburg"/>
    <w:next w:val="968"/>
    <w:autoRedefine/>
    <w:qFormat/>
    <w:uiPriority w:val="0"/>
    <w:pPr>
      <w:spacing w:line="300" w:lineRule="atLeast"/>
    </w:pPr>
    <w:rPr>
      <w:rFonts w:ascii="Calibri" w:hAnsi="Calibri" w:eastAsia="宋体" w:cs="Times New Roman"/>
      <w:sz w:val="22"/>
      <w:szCs w:val="18"/>
      <w:lang w:val="en-US" w:eastAsia="zh-CN" w:bidi="ar-SA"/>
    </w:rPr>
  </w:style>
  <w:style w:type="paragraph" w:customStyle="1" w:styleId="970">
    <w:name w:val="BodyText1I2"/>
    <w:basedOn w:val="1"/>
    <w:autoRedefine/>
    <w:qFormat/>
    <w:uiPriority w:val="0"/>
    <w:pPr>
      <w:adjustRightInd/>
      <w:spacing w:line="360" w:lineRule="auto"/>
      <w:ind w:firstLine="420"/>
      <w:jc w:val="left"/>
    </w:pPr>
    <w:rPr>
      <w:rFonts w:ascii="宋体" w:hAnsi="宋体" w:cs="宋体"/>
      <w:szCs w:val="21"/>
    </w:rPr>
  </w:style>
  <w:style w:type="paragraph" w:customStyle="1" w:styleId="971">
    <w:name w:val="msonospacing"/>
    <w:basedOn w:val="1"/>
    <w:autoRedefine/>
    <w:qFormat/>
    <w:uiPriority w:val="0"/>
    <w:rPr>
      <w:szCs w:val="22"/>
    </w:rPr>
  </w:style>
  <w:style w:type="paragraph" w:customStyle="1" w:styleId="972">
    <w:name w:val="_Style 10"/>
    <w:basedOn w:val="1"/>
    <w:autoRedefine/>
    <w:qFormat/>
    <w:uiPriority w:val="0"/>
    <w:rPr>
      <w:rFonts w:ascii="仿宋_GB2312" w:eastAsia="仿宋_GB2312"/>
      <w:b/>
      <w:sz w:val="32"/>
      <w:szCs w:val="32"/>
    </w:rPr>
  </w:style>
  <w:style w:type="character" w:customStyle="1" w:styleId="973">
    <w:name w:val="font121"/>
    <w:basedOn w:val="70"/>
    <w:autoRedefine/>
    <w:qFormat/>
    <w:uiPriority w:val="0"/>
    <w:rPr>
      <w:rFonts w:hint="eastAsia" w:ascii="宋体" w:hAnsi="宋体" w:eastAsia="宋体" w:cs="宋体"/>
      <w:color w:val="000000"/>
      <w:sz w:val="21"/>
      <w:szCs w:val="21"/>
      <w:u w:val="none"/>
    </w:rPr>
  </w:style>
  <w:style w:type="character" w:customStyle="1" w:styleId="974">
    <w:name w:val="font131"/>
    <w:basedOn w:val="70"/>
    <w:autoRedefine/>
    <w:qFormat/>
    <w:uiPriority w:val="0"/>
    <w:rPr>
      <w:rFonts w:hint="eastAsia" w:ascii="宋体" w:hAnsi="宋体" w:eastAsia="宋体" w:cs="宋体"/>
      <w:color w:val="000000"/>
      <w:sz w:val="20"/>
      <w:szCs w:val="20"/>
      <w:u w:val="single"/>
    </w:rPr>
  </w:style>
  <w:style w:type="character" w:customStyle="1" w:styleId="975">
    <w:name w:val="font141"/>
    <w:basedOn w:val="70"/>
    <w:autoRedefine/>
    <w:qFormat/>
    <w:uiPriority w:val="0"/>
    <w:rPr>
      <w:rFonts w:hint="eastAsia" w:ascii="宋体" w:hAnsi="宋体" w:eastAsia="宋体" w:cs="宋体"/>
      <w:i/>
      <w:iCs/>
      <w:color w:val="000000"/>
      <w:sz w:val="20"/>
      <w:szCs w:val="20"/>
      <w:u w:val="none"/>
    </w:rPr>
  </w:style>
  <w:style w:type="character" w:customStyle="1" w:styleId="976">
    <w:name w:val="font151"/>
    <w:basedOn w:val="70"/>
    <w:autoRedefine/>
    <w:qFormat/>
    <w:uiPriority w:val="0"/>
    <w:rPr>
      <w:rFonts w:hint="eastAsia" w:ascii="宋体" w:hAnsi="宋体" w:eastAsia="宋体" w:cs="宋体"/>
      <w:color w:val="000000"/>
      <w:sz w:val="20"/>
      <w:szCs w:val="20"/>
      <w:u w:val="none"/>
      <w:vertAlign w:val="superscript"/>
    </w:rPr>
  </w:style>
  <w:style w:type="character" w:customStyle="1" w:styleId="977">
    <w:name w:val="font161"/>
    <w:basedOn w:val="70"/>
    <w:autoRedefine/>
    <w:qFormat/>
    <w:uiPriority w:val="0"/>
    <w:rPr>
      <w:rFonts w:hint="eastAsia" w:ascii="宋体" w:hAnsi="宋体" w:eastAsia="宋体" w:cs="宋体"/>
      <w:color w:val="000000"/>
      <w:sz w:val="18"/>
      <w:szCs w:val="18"/>
      <w:u w:val="none"/>
    </w:rPr>
  </w:style>
  <w:style w:type="character" w:customStyle="1" w:styleId="978">
    <w:name w:val="font112"/>
    <w:basedOn w:val="70"/>
    <w:autoRedefine/>
    <w:qFormat/>
    <w:uiPriority w:val="0"/>
    <w:rPr>
      <w:rFonts w:hint="eastAsia" w:ascii="宋体" w:hAnsi="宋体" w:eastAsia="宋体" w:cs="宋体"/>
      <w:color w:val="000000"/>
      <w:sz w:val="21"/>
      <w:szCs w:val="21"/>
      <w:u w:val="none"/>
    </w:rPr>
  </w:style>
  <w:style w:type="paragraph" w:customStyle="1" w:styleId="979">
    <w:name w:val="List2"/>
    <w:basedOn w:val="1"/>
    <w:autoRedefine/>
    <w:qFormat/>
    <w:uiPriority w:val="0"/>
    <w:pPr>
      <w:ind w:left="100" w:leftChars="200" w:hanging="200" w:hangingChars="200"/>
      <w:contextualSpacing/>
      <w:jc w:val="both"/>
      <w:textAlignment w:val="baseline"/>
    </w:pPr>
    <w:rPr>
      <w:kern w:val="2"/>
      <w:sz w:val="21"/>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18519</Words>
  <Characters>20538</Characters>
  <Lines>279</Lines>
  <Paragraphs>78</Paragraphs>
  <TotalTime>8</TotalTime>
  <ScaleCrop>false</ScaleCrop>
  <LinksUpToDate>false</LinksUpToDate>
  <CharactersWithSpaces>20980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浙江新诚信工程咨询有限公司</cp:lastModifiedBy>
  <cp:lastPrinted>2023-11-13T09:31:00Z</cp:lastPrinted>
  <dcterms:modified xsi:type="dcterms:W3CDTF">2025-03-07T02:53:30Z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72799EEC49D34B639A392BC97591ADCB_13</vt:lpwstr>
  </property>
  <property fmtid="{D5CDD505-2E9C-101B-9397-08002B2CF9AE}" pid="5" name="KSOTemplateDocerSaveRecord">
    <vt:lpwstr>eyJoZGlkIjoiMWRjYTQ0OGVhNGM5MjdiMDMyNWI3NzQ2N2VjMmU5OGUifQ==</vt:lpwstr>
  </property>
</Properties>
</file>