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jc w:val="center"/>
        <w:rPr>
          <w:rFonts w:hint="eastAsia" w:ascii="宋体" w:hAnsi="宋体" w:eastAsia="宋体" w:cs="宋体"/>
          <w:b/>
          <w:bCs/>
          <w:color w:val="auto"/>
          <w:sz w:val="48"/>
          <w:szCs w:val="48"/>
          <w:highlight w:val="none"/>
        </w:rPr>
      </w:pPr>
    </w:p>
    <w:p>
      <w:pPr>
        <w:adjustRightInd/>
        <w:spacing w:line="360" w:lineRule="auto"/>
        <w:jc w:val="center"/>
        <w:rPr>
          <w:rFonts w:hint="eastAsia" w:ascii="宋体" w:hAnsi="宋体" w:eastAsia="宋体" w:cs="宋体"/>
          <w:b/>
          <w:bCs/>
          <w:color w:val="auto"/>
          <w:sz w:val="48"/>
          <w:szCs w:val="48"/>
          <w:highlight w:val="none"/>
        </w:rPr>
      </w:pPr>
      <w:r>
        <w:rPr>
          <w:rFonts w:hint="eastAsia" w:ascii="宋体" w:hAnsi="宋体" w:cs="宋体"/>
          <w:b/>
          <w:bCs/>
          <w:color w:val="auto"/>
          <w:sz w:val="48"/>
          <w:szCs w:val="48"/>
          <w:highlight w:val="none"/>
          <w:lang w:val="en-US" w:eastAsia="zh-CN"/>
        </w:rPr>
        <w:t>路桥工程公司食堂用品（固定品类）年度采购项目</w:t>
      </w:r>
    </w:p>
    <w:p>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交易文件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（电子交易标）</w:t>
      </w:r>
    </w:p>
    <w:p>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LQGC2024-GK-XCY1027</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杭州萧山路桥工程有限公司</w:t>
      </w:r>
    </w:p>
    <w:p>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浙江省建设工程设备招标有限公司</w:t>
      </w:r>
    </w:p>
    <w:p>
      <w:pPr>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十一</w:t>
      </w:r>
      <w:r>
        <w:rPr>
          <w:rFonts w:hint="eastAsia" w:ascii="宋体" w:hAnsi="宋体" w:cs="宋体"/>
          <w:b/>
          <w:color w:val="auto"/>
          <w:sz w:val="32"/>
          <w:szCs w:val="32"/>
          <w:highlight w:val="none"/>
        </w:rPr>
        <w:t>月</w:t>
      </w:r>
    </w:p>
    <w:p>
      <w:pPr>
        <w:pStyle w:val="61"/>
        <w:rPr>
          <w:color w:val="auto"/>
          <w:highlight w:val="none"/>
        </w:rPr>
      </w:pP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交易公告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bCs/>
          <w:color w:val="auto"/>
          <w:kern w:val="0"/>
          <w:sz w:val="24"/>
          <w:highlight w:val="none"/>
          <w:u w:val="single"/>
          <w:lang w:val="en-US" w:eastAsia="zh-CN"/>
        </w:rPr>
        <w:t>路桥工程公司食堂用品（固定品类）年度采购项目</w:t>
      </w:r>
      <w:r>
        <w:rPr>
          <w:rFonts w:hint="eastAsia" w:ascii="宋体" w:hAnsi="宋体" w:cs="宋体"/>
          <w:color w:val="auto"/>
          <w:sz w:val="24"/>
          <w:highlight w:val="none"/>
        </w:rPr>
        <w:t>的潜在供应商应在</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乐采云(萧采云)平台（https://xsnbsc.lecaiyun.com/）（下载）交易文件，并于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递交（上传）响应文件。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u w:val="none"/>
          <w:lang w:val="en-US" w:eastAsia="zh-CN"/>
        </w:rPr>
        <w:t>LQGC2024-GK-XCY1027</w:t>
      </w:r>
    </w:p>
    <w:p>
      <w:pPr>
        <w:spacing w:line="360" w:lineRule="auto"/>
        <w:ind w:firstLine="480"/>
        <w:rPr>
          <w:rFonts w:hint="eastAsia" w:ascii="宋体" w:hAnsi="宋体" w:cs="宋体"/>
          <w:bCs/>
          <w:color w:val="auto"/>
          <w:kern w:val="0"/>
          <w:sz w:val="24"/>
          <w:highlight w:val="none"/>
          <w:u w:val="none"/>
          <w:lang w:val="en-US" w:eastAsia="zh-CN"/>
        </w:rPr>
      </w:pPr>
      <w:r>
        <w:rPr>
          <w:rFonts w:hint="eastAsia" w:ascii="宋体" w:hAnsi="宋体" w:cs="宋体"/>
          <w:b/>
          <w:color w:val="auto"/>
          <w:sz w:val="24"/>
          <w:highlight w:val="none"/>
        </w:rPr>
        <w:t>项目名称：</w:t>
      </w:r>
      <w:r>
        <w:rPr>
          <w:rFonts w:hint="eastAsia" w:ascii="宋体" w:hAnsi="宋体" w:cs="宋体"/>
          <w:bCs/>
          <w:color w:val="auto"/>
          <w:kern w:val="0"/>
          <w:sz w:val="24"/>
          <w:highlight w:val="none"/>
          <w:u w:val="none"/>
          <w:lang w:val="en-US" w:eastAsia="zh-CN"/>
        </w:rPr>
        <w:t>路桥工程公司食堂用品（固定品类）年度采购项目</w:t>
      </w:r>
    </w:p>
    <w:p>
      <w:pPr>
        <w:spacing w:line="360" w:lineRule="auto"/>
        <w:ind w:firstLine="480"/>
        <w:rPr>
          <w:rFonts w:hint="default" w:ascii="宋体" w:hAnsi="宋体" w:eastAsia="宋体" w:cs="宋体"/>
          <w:b w:val="0"/>
          <w:bCs/>
          <w:color w:val="auto"/>
          <w:sz w:val="24"/>
          <w:highlight w:val="none"/>
          <w:shd w:val="clear" w:color="auto" w:fill="auto"/>
          <w:lang w:val="en-US" w:eastAsia="zh-CN"/>
        </w:rPr>
      </w:pPr>
      <w:r>
        <w:rPr>
          <w:rFonts w:hint="eastAsia" w:ascii="宋体" w:hAnsi="宋体" w:cs="宋体"/>
          <w:b/>
          <w:color w:val="auto"/>
          <w:sz w:val="24"/>
          <w:highlight w:val="none"/>
        </w:rPr>
        <w:t>预算金额：</w:t>
      </w:r>
      <w:r>
        <w:rPr>
          <w:rFonts w:hint="eastAsia" w:ascii="宋体" w:hAnsi="宋体" w:cs="宋体"/>
          <w:bCs/>
          <w:color w:val="auto"/>
          <w:kern w:val="0"/>
          <w:sz w:val="24"/>
          <w:highlight w:val="none"/>
          <w:u w:val="none"/>
          <w:lang w:val="en-US" w:eastAsia="zh-CN"/>
        </w:rPr>
        <w:t>149980</w:t>
      </w:r>
      <w:r>
        <w:rPr>
          <w:rFonts w:hint="eastAsia" w:ascii="宋体" w:hAnsi="宋体" w:eastAsia="宋体" w:cs="宋体"/>
          <w:bCs/>
          <w:color w:val="auto"/>
          <w:kern w:val="0"/>
          <w:sz w:val="24"/>
          <w:highlight w:val="none"/>
          <w:u w:val="none"/>
          <w:lang w:val="en-US" w:eastAsia="zh-CN"/>
        </w:rPr>
        <w:t>元</w:t>
      </w:r>
    </w:p>
    <w:p>
      <w:pPr>
        <w:spacing w:line="360" w:lineRule="auto"/>
        <w:ind w:firstLine="480"/>
        <w:rPr>
          <w:rFonts w:ascii="宋体" w:hAnsi="宋体" w:cs="宋体"/>
          <w:b w:val="0"/>
          <w:bCs/>
          <w:color w:val="auto"/>
          <w:sz w:val="24"/>
          <w:highlight w:val="none"/>
        </w:rPr>
      </w:pPr>
      <w:r>
        <w:rPr>
          <w:rFonts w:hint="eastAsia" w:ascii="宋体" w:hAnsi="宋体" w:cs="宋体"/>
          <w:b/>
          <w:color w:val="auto"/>
          <w:sz w:val="24"/>
          <w:highlight w:val="none"/>
        </w:rPr>
        <w:t>最高限价：</w:t>
      </w:r>
      <w:r>
        <w:rPr>
          <w:rFonts w:hint="eastAsia" w:ascii="宋体" w:hAnsi="宋体" w:cs="宋体"/>
          <w:bCs/>
          <w:color w:val="auto"/>
          <w:kern w:val="0"/>
          <w:sz w:val="24"/>
          <w:highlight w:val="none"/>
          <w:u w:val="none"/>
          <w:lang w:val="en-US" w:eastAsia="zh-CN"/>
        </w:rPr>
        <w:t>149980</w:t>
      </w:r>
      <w:r>
        <w:rPr>
          <w:rFonts w:hint="eastAsia" w:ascii="宋体" w:hAnsi="宋体" w:eastAsia="宋体" w:cs="宋体"/>
          <w:bCs/>
          <w:color w:val="auto"/>
          <w:kern w:val="0"/>
          <w:sz w:val="24"/>
          <w:highlight w:val="none"/>
          <w:u w:val="none"/>
          <w:lang w:val="en-US" w:eastAsia="zh-CN"/>
        </w:rPr>
        <w:t>元</w:t>
      </w:r>
    </w:p>
    <w:p>
      <w:pPr>
        <w:pStyle w:val="2"/>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pPr>
        <w:spacing w:line="360" w:lineRule="auto"/>
        <w:ind w:firstLine="480"/>
        <w:rPr>
          <w:rFonts w:hint="eastAsia" w:hAnsi="宋体" w:eastAsia="宋体" w:cs="宋体"/>
          <w:color w:val="auto"/>
          <w:sz w:val="24"/>
          <w:highlight w:val="none"/>
          <w:lang w:eastAsia="zh-CN"/>
        </w:rPr>
      </w:pPr>
      <w:r>
        <w:rPr>
          <w:rFonts w:hint="eastAsia" w:hAnsi="宋体" w:cs="宋体"/>
          <w:color w:val="auto"/>
          <w:sz w:val="24"/>
          <w:highlight w:val="none"/>
        </w:rPr>
        <w:t>标项名称</w:t>
      </w:r>
      <w:r>
        <w:rPr>
          <w:rFonts w:hint="eastAsia" w:hAnsi="宋体" w:cs="宋体"/>
          <w:color w:val="auto"/>
          <w:sz w:val="24"/>
          <w:szCs w:val="28"/>
          <w:highlight w:val="none"/>
        </w:rPr>
        <w:t>：</w:t>
      </w:r>
      <w:r>
        <w:rPr>
          <w:rFonts w:hint="eastAsia" w:ascii="宋体" w:hAnsi="宋体" w:cs="宋体"/>
          <w:bCs/>
          <w:color w:val="auto"/>
          <w:kern w:val="0"/>
          <w:sz w:val="24"/>
          <w:highlight w:val="none"/>
          <w:u w:val="none"/>
          <w:lang w:val="en-US" w:eastAsia="zh-CN"/>
        </w:rPr>
        <w:t>路桥工程公司食堂用品（固定品类）年度采购项目</w:t>
      </w:r>
    </w:p>
    <w:p>
      <w:pPr>
        <w:pStyle w:val="2"/>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数量: 1  </w:t>
      </w:r>
    </w:p>
    <w:p>
      <w:pPr>
        <w:spacing w:line="360" w:lineRule="auto"/>
        <w:ind w:firstLine="480"/>
        <w:rPr>
          <w:rFonts w:ascii="宋体" w:hAnsi="宋体" w:cs="宋体"/>
          <w:b w:val="0"/>
          <w:bCs/>
          <w:color w:val="auto"/>
          <w:sz w:val="24"/>
          <w:highlight w:val="none"/>
        </w:rPr>
      </w:pPr>
      <w:r>
        <w:rPr>
          <w:rFonts w:hint="eastAsia" w:ascii="宋体" w:hAnsi="宋体" w:cs="宋体"/>
          <w:color w:val="auto"/>
          <w:sz w:val="24"/>
          <w:highlight w:val="none"/>
        </w:rPr>
        <w:t>预算金额</w:t>
      </w:r>
      <w:r>
        <w:rPr>
          <w:rFonts w:hint="eastAsia" w:ascii="宋体" w:hAnsi="宋体" w:cs="宋体"/>
          <w:color w:val="auto"/>
          <w:sz w:val="24"/>
          <w:szCs w:val="28"/>
          <w:highlight w:val="none"/>
        </w:rPr>
        <w:t>：</w:t>
      </w:r>
      <w:r>
        <w:rPr>
          <w:rFonts w:hint="eastAsia" w:ascii="宋体" w:hAnsi="宋体" w:cs="宋体"/>
          <w:bCs/>
          <w:color w:val="auto"/>
          <w:kern w:val="0"/>
          <w:sz w:val="24"/>
          <w:highlight w:val="none"/>
          <w:u w:val="none"/>
          <w:lang w:val="en-US" w:eastAsia="zh-CN"/>
        </w:rPr>
        <w:t>149980</w:t>
      </w:r>
      <w:r>
        <w:rPr>
          <w:rFonts w:hint="eastAsia" w:ascii="宋体" w:hAnsi="宋体" w:eastAsia="宋体" w:cs="宋体"/>
          <w:bCs/>
          <w:color w:val="auto"/>
          <w:kern w:val="0"/>
          <w:sz w:val="24"/>
          <w:highlight w:val="none"/>
          <w:u w:val="none"/>
          <w:lang w:val="en-US" w:eastAsia="zh-CN"/>
        </w:rPr>
        <w:t>元</w:t>
      </w:r>
    </w:p>
    <w:p>
      <w:pPr>
        <w:spacing w:line="360" w:lineRule="auto"/>
        <w:ind w:left="420" w:leftChars="200"/>
        <w:jc w:val="left"/>
        <w:rPr>
          <w:rFonts w:hAnsi="宋体" w:cs="宋体"/>
          <w:color w:val="auto"/>
          <w:sz w:val="24"/>
          <w:highlight w:val="none"/>
        </w:rPr>
      </w:pPr>
      <w:r>
        <w:rPr>
          <w:rFonts w:hint="eastAsia" w:hAnsi="宋体" w:cs="宋体"/>
          <w:color w:val="auto"/>
          <w:sz w:val="24"/>
          <w:highlight w:val="none"/>
        </w:rPr>
        <w:t>简要规格描述或项目基本概况介绍、用途：</w:t>
      </w:r>
      <w:r>
        <w:rPr>
          <w:rFonts w:hint="eastAsia" w:hAnsi="宋体"/>
          <w:color w:val="auto"/>
          <w:sz w:val="24"/>
          <w:szCs w:val="28"/>
          <w:highlight w:val="none"/>
        </w:rPr>
        <w:t>详见交易文件</w:t>
      </w:r>
    </w:p>
    <w:p>
      <w:pPr>
        <w:pStyle w:val="2"/>
        <w:spacing w:line="360" w:lineRule="auto"/>
        <w:ind w:firstLine="480"/>
        <w:rPr>
          <w:rFonts w:hAnsi="宋体" w:cs="宋体"/>
          <w:bCs/>
          <w:snapToGrid/>
          <w:color w:val="auto"/>
          <w:kern w:val="2"/>
          <w:sz w:val="24"/>
          <w:szCs w:val="24"/>
          <w:highlight w:val="none"/>
        </w:rPr>
      </w:pPr>
      <w:r>
        <w:rPr>
          <w:rFonts w:hint="eastAsia" w:hAnsi="宋体" w:cs="宋体"/>
          <w:color w:val="auto"/>
          <w:sz w:val="24"/>
          <w:highlight w:val="none"/>
        </w:rPr>
        <w:t>备注：</w:t>
      </w:r>
    </w:p>
    <w:p>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hAnsi="宋体"/>
          <w:color w:val="auto"/>
          <w:szCs w:val="28"/>
          <w:highlight w:val="none"/>
        </w:rPr>
        <w:t>详见交易文件</w:t>
      </w:r>
    </w:p>
    <w:p>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 xml:space="preserve">本项目接受联合体交易：（ ）是；（√）否 </w:t>
      </w:r>
      <w:r>
        <w:rPr>
          <w:rFonts w:hint="eastAsia" w:ascii="宋体"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1、具有独立承担民事责任的能力；</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2、具有良好的商业信誉和健全的财务会计制度；</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3、具有履行合同所必需的设备和专业技术能力；</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4、有依法缴纳税收和社会保障资金的良好记录；</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5、参加交易活动前三年内，在经营活动中没有重大违法记录；</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6、法律、行政法规规定的其他条件；</w:t>
      </w:r>
    </w:p>
    <w:p>
      <w:pPr>
        <w:spacing w:line="420" w:lineRule="exact"/>
        <w:ind w:right="-71" w:rightChars="-34" w:firstLine="314" w:firstLineChars="131"/>
        <w:rPr>
          <w:rFonts w:hint="eastAsia" w:ascii="宋体" w:hAnsi="宋体" w:eastAsia="宋体" w:cs="宋体"/>
          <w:color w:val="auto"/>
          <w:kern w:val="0"/>
          <w:sz w:val="24"/>
          <w:szCs w:val="22"/>
          <w:highlight w:val="none"/>
          <w:lang w:eastAsia="zh-CN"/>
        </w:rPr>
      </w:pPr>
      <w:r>
        <w:rPr>
          <w:rFonts w:hint="eastAsia" w:ascii="宋体" w:hAnsi="宋体" w:eastAsia="宋体" w:cs="宋体"/>
          <w:color w:val="auto"/>
          <w:kern w:val="0"/>
          <w:sz w:val="24"/>
          <w:szCs w:val="22"/>
          <w:highlight w:val="none"/>
        </w:rPr>
        <w:t>7、未被“信用中国”（www.creditchina.gov.cn）、中国政府采购网（www.ccgp.gov.cn）列入失信被执行人、重大税收违法案件当事人名单、政府采购严重违法失信行为记录名单</w:t>
      </w:r>
      <w:r>
        <w:rPr>
          <w:rFonts w:hint="eastAsia" w:ascii="宋体" w:hAnsi="宋体" w:cs="宋体"/>
          <w:color w:val="auto"/>
          <w:kern w:val="0"/>
          <w:sz w:val="24"/>
          <w:szCs w:val="22"/>
          <w:highlight w:val="none"/>
          <w:lang w:eastAsia="zh-CN"/>
        </w:rPr>
        <w:t>；</w:t>
      </w:r>
    </w:p>
    <w:p>
      <w:pPr>
        <w:spacing w:line="420" w:lineRule="exact"/>
        <w:ind w:left="-315" w:leftChars="-150" w:right="-71" w:rightChars="-34" w:firstLine="628" w:firstLineChars="262"/>
        <w:rPr>
          <w:rFonts w:hint="eastAsia" w:ascii="宋体" w:hAnsi="宋体" w:eastAsia="宋体" w:cs="宋体"/>
          <w:color w:val="auto"/>
          <w:kern w:val="0"/>
          <w:sz w:val="24"/>
          <w:szCs w:val="22"/>
          <w:highlight w:val="none"/>
          <w:lang w:val="en-US"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eastAsia="宋体" w:cs="宋体"/>
          <w:color w:val="auto"/>
          <w:kern w:val="0"/>
          <w:sz w:val="24"/>
          <w:szCs w:val="22"/>
          <w:highlight w:val="none"/>
        </w:rPr>
        <w:t>本项目的特定资格要求：</w:t>
      </w:r>
      <w:r>
        <w:rPr>
          <w:rFonts w:hint="eastAsia" w:ascii="宋体" w:hAnsi="宋体" w:cs="宋体"/>
          <w:color w:val="auto"/>
          <w:kern w:val="0"/>
          <w:sz w:val="24"/>
          <w:szCs w:val="22"/>
          <w:highlight w:val="none"/>
          <w:lang w:val="en-US" w:eastAsia="zh-CN"/>
        </w:rPr>
        <w:t>无</w:t>
      </w:r>
      <w:r>
        <w:rPr>
          <w:rFonts w:hint="eastAsia" w:ascii="宋体" w:hAnsi="宋体" w:eastAsia="宋体" w:cs="宋体"/>
          <w:color w:val="auto"/>
          <w:kern w:val="0"/>
          <w:sz w:val="24"/>
          <w:szCs w:val="22"/>
          <w:highlight w:val="none"/>
        </w:rPr>
        <w:t>；</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、本项目不接受联合体参与（潜在供应商能独立完成本项目）。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三、获取交易文件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rPr>
        <w:t>交易地点（网址）：</w:t>
      </w:r>
      <w:r>
        <w:rPr>
          <w:rFonts w:hint="eastAsia" w:ascii="宋体" w:hAnsi="宋体" w:eastAsia="宋体" w:cs="宋体"/>
          <w:color w:val="auto"/>
          <w:sz w:val="24"/>
          <w:highlight w:val="none"/>
        </w:rPr>
        <w:t>乐采云(萧采云)平台（https://xsnbsc.lecaiyun.com/）</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交易地点（网址）：</w:t>
      </w:r>
      <w:r>
        <w:rPr>
          <w:rFonts w:hint="eastAsia" w:ascii="宋体" w:hAnsi="宋体" w:eastAsia="宋体" w:cs="宋体"/>
          <w:color w:val="auto"/>
          <w:sz w:val="24"/>
          <w:highlight w:val="none"/>
        </w:rPr>
        <w:t>乐采云(萧采云)平台（https://xsnbsc.lecaiyun.com/）</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1.供应商认为交易文件使自己的权益受到损害的，可以自获取交易文件之日或者交易文件公告期限届满之日（公告期限届满后获取交易文件的，以公告期限届满之日为准）起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autoSpaceDE/>
        <w:autoSpaceDN/>
        <w:bidi w:val="0"/>
        <w:adjustRightInd w:val="0"/>
        <w:snapToGrid/>
        <w:spacing w:line="420" w:lineRule="exact"/>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ascii="宋体" w:hAnsi="宋体" w:cs="宋体"/>
          <w:color w:val="auto"/>
          <w:sz w:val="24"/>
          <w:szCs w:val="28"/>
          <w:highlight w:val="none"/>
        </w:rPr>
      </w:pPr>
      <w:r>
        <w:rPr>
          <w:rFonts w:hint="eastAsia" w:ascii="宋体" w:hAnsi="宋体" w:cs="宋体"/>
          <w:color w:val="auto"/>
          <w:sz w:val="24"/>
          <w:szCs w:val="28"/>
          <w:highlight w:val="none"/>
        </w:rPr>
        <w:t>1.采购人信息</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Arial"/>
          <w:color w:val="auto"/>
          <w:kern w:val="0"/>
          <w:sz w:val="24"/>
          <w:highlight w:val="none"/>
          <w:lang w:eastAsia="zh-CN"/>
        </w:rPr>
      </w:pPr>
      <w:r>
        <w:rPr>
          <w:rFonts w:hint="eastAsia" w:ascii="宋体" w:hAnsi="宋体" w:cs="宋体"/>
          <w:color w:val="auto"/>
          <w:sz w:val="24"/>
          <w:szCs w:val="28"/>
          <w:highlight w:val="none"/>
        </w:rPr>
        <w:t>名 称：</w:t>
      </w:r>
      <w:r>
        <w:rPr>
          <w:rFonts w:hint="eastAsia" w:ascii="宋体" w:hAnsi="宋体" w:cs="Arial"/>
          <w:color w:val="auto"/>
          <w:kern w:val="0"/>
          <w:sz w:val="24"/>
          <w:highlight w:val="none"/>
          <w:lang w:eastAsia="zh-CN"/>
        </w:rPr>
        <w:t>杭州萧山路桥工程有限公司</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Arial"/>
          <w:color w:val="auto"/>
          <w:kern w:val="0"/>
          <w:sz w:val="24"/>
          <w:highlight w:val="none"/>
        </w:rPr>
      </w:pPr>
      <w:r>
        <w:rPr>
          <w:rFonts w:hint="eastAsia" w:ascii="宋体" w:hAnsi="宋体" w:cs="宋体"/>
          <w:color w:val="auto"/>
          <w:sz w:val="24"/>
          <w:szCs w:val="28"/>
          <w:highlight w:val="none"/>
        </w:rPr>
        <w:t>地址</w:t>
      </w:r>
      <w:r>
        <w:rPr>
          <w:rFonts w:hint="eastAsia" w:ascii="宋体" w:hAnsi="宋体" w:eastAsia="宋体" w:cs="Arial"/>
          <w:color w:val="auto"/>
          <w:kern w:val="0"/>
          <w:sz w:val="24"/>
          <w:highlight w:val="none"/>
        </w:rPr>
        <w:t>：</w:t>
      </w:r>
      <w:r>
        <w:rPr>
          <w:rFonts w:hint="eastAsia" w:ascii="宋体" w:hAnsi="宋体" w:eastAsia="宋体" w:cs="宋体"/>
          <w:bCs/>
          <w:color w:val="auto"/>
          <w:sz w:val="24"/>
          <w:highlight w:val="none"/>
        </w:rPr>
        <w:t>萧山区风情大道木尖山隧道北口东侧100米</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项目联系人（询问）：</w:t>
      </w:r>
      <w:r>
        <w:rPr>
          <w:rFonts w:hint="eastAsia" w:ascii="宋体" w:hAnsi="宋体" w:cs="宋体"/>
          <w:bCs/>
          <w:color w:val="auto"/>
          <w:sz w:val="24"/>
          <w:highlight w:val="none"/>
          <w:lang w:val="en-US" w:eastAsia="zh-CN"/>
        </w:rPr>
        <w:t>郭佳羽</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项目联系方式（询问）：</w:t>
      </w:r>
      <w:r>
        <w:rPr>
          <w:rFonts w:hint="eastAsia" w:ascii="宋体" w:hAnsi="宋体" w:cs="宋体"/>
          <w:bCs/>
          <w:color w:val="auto"/>
          <w:sz w:val="24"/>
          <w:highlight w:val="none"/>
          <w:lang w:val="en-US" w:eastAsia="zh-CN"/>
        </w:rPr>
        <w:t>0571-83697226</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cs="宋体"/>
          <w:color w:val="auto"/>
          <w:sz w:val="24"/>
          <w:szCs w:val="28"/>
          <w:highlight w:val="none"/>
        </w:rPr>
      </w:pPr>
      <w:bookmarkStart w:id="11" w:name="_Toc28359009"/>
      <w:bookmarkStart w:id="12" w:name="_Toc28359086"/>
      <w:r>
        <w:rPr>
          <w:rFonts w:hint="eastAsia" w:ascii="宋体" w:hAnsi="宋体" w:cs="宋体"/>
          <w:color w:val="auto"/>
          <w:sz w:val="24"/>
          <w:szCs w:val="28"/>
          <w:highlight w:val="none"/>
        </w:rPr>
        <w:t>2.采购代理机构信息</w:t>
      </w:r>
      <w:bookmarkEnd w:id="11"/>
      <w:bookmarkEnd w:id="12"/>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浙江省建设工程设备招标有限公司</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地址：</w:t>
      </w:r>
      <w:r>
        <w:rPr>
          <w:rFonts w:hint="eastAsia" w:ascii="宋体" w:hAnsi="宋体" w:eastAsia="宋体" w:cs="宋体"/>
          <w:color w:val="auto"/>
          <w:sz w:val="24"/>
          <w:szCs w:val="28"/>
          <w:highlight w:val="none"/>
          <w:lang w:eastAsia="zh-CN"/>
        </w:rPr>
        <w:t>杭州市江干区环站东路97号云峰大厦1幢</w:t>
      </w:r>
      <w:r>
        <w:rPr>
          <w:rFonts w:hint="eastAsia" w:ascii="宋体" w:hAnsi="宋体" w:cs="宋体"/>
          <w:color w:val="auto"/>
          <w:sz w:val="24"/>
          <w:szCs w:val="28"/>
          <w:highlight w:val="none"/>
          <w:lang w:val="en-US" w:eastAsia="zh-CN"/>
        </w:rPr>
        <w:t>13楼</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szCs w:val="28"/>
          <w:highlight w:val="none"/>
          <w:lang w:eastAsia="zh-CN"/>
        </w:rPr>
        <w:t>童桦栋</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项目联系方式（询问）：</w:t>
      </w:r>
      <w:r>
        <w:rPr>
          <w:rFonts w:hint="eastAsia" w:ascii="宋体" w:hAnsi="宋体" w:eastAsia="宋体" w:cs="宋体"/>
          <w:color w:val="auto"/>
          <w:sz w:val="24"/>
          <w:szCs w:val="28"/>
          <w:highlight w:val="none"/>
          <w:lang w:eastAsia="zh-CN"/>
        </w:rPr>
        <w:t>17857571599</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质疑联系人：</w:t>
      </w:r>
      <w:r>
        <w:rPr>
          <w:rFonts w:hint="eastAsia" w:ascii="宋体" w:hAnsi="宋体" w:eastAsia="宋体" w:cs="宋体"/>
          <w:color w:val="auto"/>
          <w:sz w:val="24"/>
          <w:szCs w:val="28"/>
          <w:highlight w:val="none"/>
          <w:lang w:val="en-US" w:eastAsia="zh-CN"/>
        </w:rPr>
        <w:t>李佳虹</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质疑联系方式：</w:t>
      </w:r>
      <w:r>
        <w:rPr>
          <w:rFonts w:hint="eastAsia" w:ascii="宋体" w:hAnsi="宋体" w:eastAsia="宋体" w:cs="宋体"/>
          <w:color w:val="auto"/>
          <w:sz w:val="24"/>
          <w:szCs w:val="28"/>
          <w:highlight w:val="none"/>
          <w:lang w:val="en-US" w:eastAsia="zh-CN"/>
        </w:rPr>
        <w:t>15988861129</w:t>
      </w:r>
    </w:p>
    <w:p>
      <w:pPr>
        <w:keepNext w:val="0"/>
        <w:keepLines w:val="0"/>
        <w:pageBreakBefore w:val="0"/>
        <w:kinsoku/>
        <w:wordWrap/>
        <w:overflowPunct/>
        <w:topLinePunct w:val="0"/>
        <w:autoSpaceDE/>
        <w:autoSpaceDN/>
        <w:bidi w:val="0"/>
        <w:adjustRightInd w:val="0"/>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autoSpaceDE/>
        <w:autoSpaceDN/>
        <w:bidi w:val="0"/>
        <w:adjustRightInd w:val="0"/>
        <w:snapToGrid/>
        <w:spacing w:line="420" w:lineRule="exact"/>
        <w:ind w:firstLine="480" w:firstLineChars="200"/>
        <w:textAlignment w:val="auto"/>
        <w:rPr>
          <w:rFonts w:hAnsi="宋体" w:cs="宋体"/>
          <w:color w:val="auto"/>
          <w:sz w:val="24"/>
          <w:szCs w:val="24"/>
          <w:highlight w:val="none"/>
        </w:rPr>
      </w:pPr>
      <w:r>
        <w:rPr>
          <w:rFonts w:hint="eastAsia" w:ascii="宋体" w:hAnsi="宋体" w:cs="宋体"/>
          <w:color w:val="auto"/>
          <w:sz w:val="24"/>
          <w:highlight w:val="none"/>
        </w:rPr>
        <w:t>CA问题联系电话（人工）：汇信CA 400-888-4636；天谷CA 400-087-8198。</w:t>
      </w:r>
      <w:r>
        <w:rPr>
          <w:rFonts w:hint="eastAsia" w:hAnsi="宋体" w:cs="宋体"/>
          <w:color w:val="auto"/>
          <w:sz w:val="24"/>
          <w:highlight w:val="none"/>
        </w:rPr>
        <w:t xml:space="preserve">                           </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w:t>
      </w:r>
      <w:bookmarkEnd w:id="9"/>
      <w:r>
        <w:rPr>
          <w:rFonts w:hint="eastAsia" w:ascii="宋体" w:hAnsi="宋体" w:cs="宋体"/>
          <w:b/>
          <w:color w:val="auto"/>
          <w:sz w:val="36"/>
          <w:szCs w:val="20"/>
          <w:highlight w:val="none"/>
        </w:rPr>
        <w:t>供应商须知</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sz w:val="24"/>
                <w:highlight w:val="none"/>
              </w:rPr>
            </w:pPr>
            <w:r>
              <w:rPr>
                <w:rFonts w:hint="eastAsia" w:ascii="宋体" w:hAnsi="宋体" w:cs="宋体"/>
                <w:color w:val="auto"/>
                <w:kern w:val="0"/>
                <w:sz w:val="24"/>
                <w:highlight w:val="none"/>
              </w:rPr>
              <w:t>( √ )</w:t>
            </w:r>
            <w:r>
              <w:rPr>
                <w:rFonts w:hint="eastAsia" w:ascii="宋体" w:hAnsi="宋体" w:cs="宋体"/>
                <w:color w:val="auto"/>
                <w:kern w:val="0"/>
                <w:sz w:val="24"/>
                <w:highlight w:val="none"/>
                <w:lang w:val="en-US" w:eastAsia="zh-CN"/>
              </w:rPr>
              <w:t>A货物</w:t>
            </w:r>
            <w:r>
              <w:rPr>
                <w:rFonts w:hint="eastAsia" w:ascii="宋体" w:hAnsi="宋体" w:cs="宋体"/>
                <w:color w:val="auto"/>
                <w:kern w:val="0"/>
                <w:sz w:val="24"/>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bCs/>
                <w:color w:val="auto"/>
                <w:kern w:val="0"/>
                <w:sz w:val="24"/>
                <w:highlight w:val="none"/>
                <w:u w:val="single"/>
                <w:lang w:val="en-US" w:eastAsia="zh-CN"/>
              </w:rPr>
              <w:t>路桥工程公司食堂用品（固定品类）年度采购项目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w:t>
            </w:r>
            <w:r>
              <w:rPr>
                <w:rFonts w:hint="eastAsia" w:ascii="宋体" w:hAnsi="宋体" w:cs="宋体"/>
                <w:color w:val="auto"/>
                <w:kern w:val="0"/>
                <w:sz w:val="24"/>
                <w:highlight w:val="none"/>
              </w:rPr>
              <w:t>行业；</w:t>
            </w:r>
          </w:p>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t>行业划分标准：</w:t>
            </w:r>
          </w:p>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highlight w:val="none"/>
              </w:rPr>
            </w:pPr>
            <w:r>
              <w:rPr>
                <w:rFonts w:hint="eastAsia" w:ascii="宋体" w:hAnsi="宋体" w:cs="宋体"/>
                <w:color w:val="auto"/>
                <w:kern w:val="0"/>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交易前答疑会或现场考察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sz w:val="24"/>
                <w:szCs w:val="20"/>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b/>
                <w:color w:val="auto"/>
                <w:sz w:val="24"/>
                <w:highlight w:val="none"/>
              </w:rPr>
            </w:pPr>
            <w:r>
              <w:rPr>
                <w:rFonts w:hint="eastAsia" w:ascii="宋体" w:hAnsi="宋体" w:cs="宋体"/>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宋体" w:cs="宋体"/>
                <w:b/>
                <w:color w:val="auto"/>
                <w:kern w:val="0"/>
                <w:sz w:val="24"/>
                <w:highlight w:val="none"/>
                <w:lang w:val="zh-CN"/>
              </w:rPr>
            </w:pPr>
            <w:r>
              <w:rPr>
                <w:rFonts w:hint="eastAsia" w:ascii="宋体" w:hAnsi="宋体" w:cs="宋体"/>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1" w:hRule="atLeast"/>
          <w:tblHeader/>
        </w:trPr>
        <w:tc>
          <w:tcPr>
            <w:tcW w:w="629" w:type="dxa"/>
            <w:tcBorders>
              <w:top w:val="single" w:color="auto" w:sz="4" w:space="0"/>
              <w:left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（1）资格证明文件：根据交易文件</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提供。</w:t>
            </w:r>
          </w:p>
          <w:p>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供应商未提供有效的资格证明文件的，视为供应商不具备交易文件中规定的资格要求，交易无效。</w:t>
            </w:r>
          </w:p>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snapToGrid w:val="0"/>
                <w:color w:val="auto"/>
                <w:kern w:val="0"/>
                <w:szCs w:val="21"/>
                <w:highlight w:val="none"/>
              </w:rPr>
            </w:pPr>
            <w:r>
              <w:rPr>
                <w:rFonts w:hint="eastAsia" w:ascii="宋体" w:hAnsi="宋体" w:cs="宋体"/>
                <w:color w:val="auto"/>
                <w:sz w:val="24"/>
                <w:highlight w:val="none"/>
              </w:rPr>
              <w:t>（2）资信证明文件：根据交易文件</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。响应文件中价格全部采用人民币报价。交易文件未列明，而供应商认为必需的费用也需列入报价。</w:t>
            </w:r>
          </w:p>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响应报价出现下列情形的，交易无效：</w:t>
            </w:r>
          </w:p>
          <w:p>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响应文件出现不是唯一的、有选择性响应报价的；</w:t>
            </w:r>
          </w:p>
          <w:p>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响应报价超过交易文件中规定的预算金额或者最高限价的；</w:t>
            </w:r>
          </w:p>
          <w:p>
            <w:pPr>
              <w:keepNext w:val="0"/>
              <w:keepLines w:val="0"/>
              <w:pageBreakBefore w:val="0"/>
              <w:kinsoku/>
              <w:wordWrap/>
              <w:overflowPunct/>
              <w:topLinePunct w:val="0"/>
              <w:autoSpaceDE/>
              <w:autoSpaceDN/>
              <w:bidi w:val="0"/>
              <w:adjustRightInd w:val="0"/>
              <w:spacing w:line="360" w:lineRule="exact"/>
              <w:ind w:firstLine="480" w:firstLineChars="200"/>
              <w:textAlignment w:val="auto"/>
              <w:rPr>
                <w:color w:val="auto"/>
                <w:highlight w:val="none"/>
              </w:rPr>
            </w:pPr>
            <w:r>
              <w:rPr>
                <w:rFonts w:hint="eastAsia" w:ascii="宋体" w:hAnsi="宋体" w:cs="宋体"/>
                <w:bCs/>
                <w:color w:val="auto"/>
                <w:kern w:val="0"/>
                <w:sz w:val="24"/>
                <w:highlight w:val="none"/>
              </w:rPr>
              <w:t>报价明显低于其他通过符合性审查供应商的报价，有可能影响</w:t>
            </w:r>
            <w:r>
              <w:rPr>
                <w:rFonts w:hint="eastAsia" w:ascii="宋体" w:hAnsi="宋体" w:cs="宋体"/>
                <w:bCs/>
                <w:color w:val="auto"/>
                <w:kern w:val="0"/>
                <w:sz w:val="24"/>
                <w:highlight w:val="none"/>
                <w:lang w:val="en-US" w:eastAsia="zh-CN"/>
              </w:rPr>
              <w:t>服务质量</w:t>
            </w:r>
            <w:r>
              <w:rPr>
                <w:rFonts w:hint="eastAsia" w:ascii="宋体" w:hAnsi="宋体" w:cs="宋体"/>
                <w:bCs/>
                <w:color w:val="auto"/>
                <w:kern w:val="0"/>
                <w:sz w:val="24"/>
                <w:highlight w:val="none"/>
              </w:rPr>
              <w:t>或者不能诚信履约的，未能按要求提供书面说明或者提交相关证明材料证明其报价合理性的；</w:t>
            </w:r>
          </w:p>
          <w:p>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ascii="宋体" w:hAnsi="宋体" w:cs="宋体"/>
                <w:bCs/>
                <w:color w:val="auto"/>
                <w:highlight w:val="none"/>
              </w:rPr>
            </w:pPr>
            <w:r>
              <w:rPr>
                <w:rFonts w:hint="eastAsia" w:ascii="宋体" w:hAnsi="宋体" w:cs="宋体"/>
                <w:bCs/>
                <w:color w:val="auto"/>
                <w:kern w:val="0"/>
                <w:sz w:val="24"/>
                <w:highlight w:val="none"/>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keepNext w:val="0"/>
              <w:keepLines w:val="0"/>
              <w:pageBreakBefore w:val="0"/>
              <w:kinsoku/>
              <w:wordWrap/>
              <w:overflowPunct/>
              <w:topLinePunct w:val="0"/>
              <w:autoSpaceDE/>
              <w:autoSpaceDN/>
              <w:bidi w:val="0"/>
              <w:adjustRightInd w:val="0"/>
              <w:spacing w:line="360" w:lineRule="exact"/>
              <w:ind w:hanging="4"/>
              <w:textAlignment w:val="auto"/>
              <w:rPr>
                <w:rFonts w:hAnsi="宋体" w:cs="宋体"/>
                <w:color w:val="auto"/>
                <w:kern w:val="28"/>
                <w:sz w:val="24"/>
                <w:highlight w:val="none"/>
              </w:rPr>
            </w:pPr>
            <w:r>
              <w:rPr>
                <w:rFonts w:hint="eastAsia" w:hAnsi="宋体" w:cs="宋体"/>
                <w:color w:val="auto"/>
                <w:kern w:val="28"/>
                <w:sz w:val="24"/>
                <w:szCs w:val="24"/>
                <w:highlight w:val="none"/>
              </w:rPr>
              <w:t>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keepNext w:val="0"/>
              <w:keepLines w:val="0"/>
              <w:pageBreakBefore w:val="0"/>
              <w:kinsoku/>
              <w:wordWrap/>
              <w:overflowPunct/>
              <w:topLinePunct w:val="0"/>
              <w:autoSpaceDE/>
              <w:autoSpaceDN/>
              <w:bidi w:val="0"/>
              <w:adjustRightInd w:val="0"/>
              <w:spacing w:line="360" w:lineRule="exact"/>
              <w:ind w:hanging="4"/>
              <w:textAlignment w:val="auto"/>
              <w:rPr>
                <w:rFonts w:hint="default" w:hAnsi="宋体" w:eastAsia="宋体" w:cs="宋体"/>
                <w:b/>
                <w:color w:val="auto"/>
                <w:sz w:val="24"/>
                <w:szCs w:val="24"/>
                <w:highlight w:val="none"/>
                <w:lang w:val="en-US" w:eastAsia="zh-CN"/>
              </w:rPr>
            </w:pPr>
            <w:r>
              <w:rPr>
                <w:rFonts w:hint="eastAsia" w:ascii="宋体" w:hAnsi="宋体" w:eastAsia="宋体" w:cs="宋体"/>
                <w:b w:val="0"/>
                <w:bCs/>
                <w:color w:val="auto"/>
                <w:kern w:val="0"/>
                <w:sz w:val="24"/>
                <w:highlight w:val="none"/>
              </w:rPr>
              <w:t>本次代理服务费用由</w:t>
            </w:r>
            <w:r>
              <w:rPr>
                <w:rFonts w:hint="eastAsia" w:hAnsi="宋体" w:cs="宋体"/>
                <w:b w:val="0"/>
                <w:bCs/>
                <w:color w:val="auto"/>
                <w:kern w:val="0"/>
                <w:sz w:val="24"/>
                <w:highlight w:val="none"/>
                <w:lang w:eastAsia="zh-CN"/>
              </w:rPr>
              <w:t>成交</w:t>
            </w:r>
            <w:r>
              <w:rPr>
                <w:rFonts w:hint="eastAsia" w:ascii="宋体" w:hAnsi="宋体" w:eastAsia="宋体" w:cs="宋体"/>
                <w:b w:val="0"/>
                <w:bCs/>
                <w:color w:val="auto"/>
                <w:kern w:val="0"/>
                <w:sz w:val="24"/>
                <w:highlight w:val="none"/>
              </w:rPr>
              <w:t>人向代理机构支付，代理服务费</w:t>
            </w:r>
            <w:r>
              <w:rPr>
                <w:rFonts w:hint="eastAsia" w:hAnsi="宋体" w:cs="宋体"/>
                <w:b w:val="0"/>
                <w:bCs/>
                <w:color w:val="auto"/>
                <w:kern w:val="0"/>
                <w:sz w:val="24"/>
                <w:highlight w:val="none"/>
                <w:lang w:eastAsia="zh-CN"/>
              </w:rPr>
              <w:t>共计</w:t>
            </w:r>
            <w:r>
              <w:rPr>
                <w:rFonts w:hint="eastAsia" w:hAnsi="宋体" w:cs="宋体"/>
                <w:b w:val="0"/>
                <w:bCs/>
                <w:color w:val="auto"/>
                <w:kern w:val="0"/>
                <w:sz w:val="24"/>
                <w:highlight w:val="none"/>
                <w:lang w:val="en-US" w:eastAsia="zh-CN"/>
              </w:rPr>
              <w:t>4</w:t>
            </w:r>
            <w:r>
              <w:rPr>
                <w:rFonts w:hint="eastAsia" w:hAnsi="宋体" w:cs="宋体"/>
                <w:color w:val="auto"/>
                <w:sz w:val="24"/>
                <w:highlight w:val="none"/>
                <w:lang w:val="en-US" w:eastAsia="zh-CN"/>
              </w:rPr>
              <w:t>000元</w:t>
            </w:r>
            <w:r>
              <w:rPr>
                <w:rFonts w:hint="eastAsia" w:ascii="宋体" w:hAnsi="宋体" w:eastAsia="宋体" w:cs="宋体"/>
                <w:b w:val="0"/>
                <w:bCs/>
                <w:color w:val="auto"/>
                <w:kern w:val="0"/>
                <w:sz w:val="24"/>
                <w:highlight w:val="none"/>
                <w:lang w:val="en-US" w:eastAsia="zh-CN"/>
              </w:rPr>
              <w:t>，</w:t>
            </w:r>
            <w:r>
              <w:rPr>
                <w:rFonts w:hint="eastAsia" w:hAnsi="宋体" w:cs="宋体"/>
                <w:b w:val="0"/>
                <w:bCs/>
                <w:color w:val="auto"/>
                <w:kern w:val="0"/>
                <w:sz w:val="24"/>
                <w:highlight w:val="none"/>
                <w:lang w:val="en-US" w:eastAsia="zh-CN"/>
              </w:rPr>
              <w:t>费用</w:t>
            </w:r>
            <w:r>
              <w:rPr>
                <w:rFonts w:hint="eastAsia" w:ascii="宋体" w:hAnsi="宋体" w:eastAsia="宋体" w:cs="宋体"/>
                <w:b w:val="0"/>
                <w:bCs/>
                <w:color w:val="auto"/>
                <w:kern w:val="0"/>
                <w:sz w:val="24"/>
                <w:highlight w:val="none"/>
                <w:lang w:val="en-US" w:eastAsia="zh-CN"/>
              </w:rPr>
              <w:t>在领取成交通知书时一次性付清。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Cs/>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p>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keepNext w:val="0"/>
              <w:keepLines w:val="0"/>
              <w:pageBreakBefore w:val="0"/>
              <w:kinsoku/>
              <w:wordWrap/>
              <w:overflowPunct/>
              <w:topLinePunct w:val="0"/>
              <w:autoSpaceDE/>
              <w:autoSpaceDN/>
              <w:bidi w:val="0"/>
              <w:adjustRightInd w:val="0"/>
              <w:spacing w:line="360" w:lineRule="exact"/>
              <w:ind w:hanging="4"/>
              <w:textAlignment w:val="auto"/>
              <w:rPr>
                <w:rFonts w:hAnsi="宋体" w:cs="宋体"/>
                <w:color w:val="auto"/>
                <w:sz w:val="24"/>
                <w:highlight w:val="none"/>
              </w:rPr>
            </w:pPr>
            <w:r>
              <w:rPr>
                <w:rFonts w:hint="eastAsia" w:hAnsi="宋体" w:cs="宋体"/>
                <w:color w:val="auto"/>
                <w:sz w:val="24"/>
                <w:highlight w:val="none"/>
              </w:rPr>
              <w:t>履约保证金：收取</w:t>
            </w:r>
            <w:r>
              <w:rPr>
                <w:rFonts w:hint="eastAsia" w:hAnsi="宋体" w:cs="宋体"/>
                <w:color w:val="auto"/>
                <w:sz w:val="24"/>
                <w:highlight w:val="none"/>
                <w:lang w:val="en-US" w:eastAsia="zh-CN"/>
              </w:rPr>
              <w:t>1</w:t>
            </w:r>
            <w:r>
              <w:rPr>
                <w:rFonts w:hint="eastAsia" w:hAnsi="宋体" w:cs="宋体"/>
                <w:color w:val="auto"/>
                <w:sz w:val="24"/>
                <w:highlight w:val="none"/>
              </w:rPr>
              <w:t>%，合同签订后支付，履约完成后无息退还。</w:t>
            </w:r>
          </w:p>
          <w:p>
            <w:pPr>
              <w:pStyle w:val="2"/>
              <w:keepNext w:val="0"/>
              <w:keepLines w:val="0"/>
              <w:pageBreakBefore w:val="0"/>
              <w:kinsoku/>
              <w:wordWrap/>
              <w:overflowPunct/>
              <w:topLinePunct w:val="0"/>
              <w:autoSpaceDE/>
              <w:autoSpaceDN/>
              <w:bidi w:val="0"/>
              <w:adjustRightInd w:val="0"/>
              <w:spacing w:line="360" w:lineRule="exact"/>
              <w:ind w:firstLine="0"/>
              <w:textAlignment w:val="auto"/>
              <w:rPr>
                <w:rFonts w:hAnsi="宋体" w:cs="宋体"/>
                <w:color w:val="auto"/>
                <w:sz w:val="24"/>
                <w:highlight w:val="none"/>
              </w:rPr>
            </w:pPr>
            <w:r>
              <w:rPr>
                <w:rFonts w:hint="eastAsia" w:hAnsi="宋体" w:cs="宋体"/>
                <w:color w:val="auto"/>
                <w:sz w:val="24"/>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bCs/>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资格审查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keepNext w:val="0"/>
              <w:keepLines w:val="0"/>
              <w:pageBreakBefore w:val="0"/>
              <w:kinsoku/>
              <w:wordWrap/>
              <w:overflowPunct/>
              <w:topLinePunct w:val="0"/>
              <w:autoSpaceDE/>
              <w:autoSpaceDN/>
              <w:bidi w:val="0"/>
              <w:adjustRightInd w:val="0"/>
              <w:spacing w:line="360" w:lineRule="exact"/>
              <w:ind w:hanging="4"/>
              <w:textAlignment w:val="auto"/>
              <w:rPr>
                <w:rFonts w:hAnsi="宋体" w:cs="宋体"/>
                <w:color w:val="auto"/>
                <w:sz w:val="24"/>
                <w:highlight w:val="none"/>
              </w:rPr>
            </w:pPr>
            <w:r>
              <w:rPr>
                <w:rFonts w:hint="eastAsia" w:hAnsi="宋体" w:cs="宋体"/>
                <w:color w:val="auto"/>
                <w:sz w:val="24"/>
                <w:highlight w:val="none"/>
              </w:rPr>
              <w:t>本项目由采购人进行资格文件。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ind w:hanging="4"/>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采购人、采购机构质疑接收人、联系方式：详见公告</w:t>
            </w:r>
          </w:p>
          <w:p>
            <w:pPr>
              <w:pStyle w:val="35"/>
              <w:spacing w:line="360" w:lineRule="auto"/>
              <w:ind w:hanging="4"/>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线上提交质疑方式：乐采云(萧采云)线上质疑路径：项目采购-询问质疑投诉-质疑列表。请使用ca签章在每一页质疑文件中加盖电子公章，上传完整附件。</w:t>
            </w:r>
          </w:p>
          <w:p>
            <w:pPr>
              <w:pStyle w:val="35"/>
              <w:spacing w:line="360" w:lineRule="auto"/>
              <w:ind w:hanging="4"/>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本项目涉及资格条件、采购需求、评分办法及采购过程中有关现场考察或开标前答疑会等事项由采购人进行答复。</w:t>
            </w:r>
          </w:p>
          <w:p>
            <w:pPr>
              <w:pStyle w:val="35"/>
              <w:keepNext w:val="0"/>
              <w:keepLines w:val="0"/>
              <w:pageBreakBefore w:val="0"/>
              <w:kinsoku/>
              <w:wordWrap/>
              <w:overflowPunct/>
              <w:topLinePunct w:val="0"/>
              <w:autoSpaceDE/>
              <w:autoSpaceDN/>
              <w:bidi w:val="0"/>
              <w:adjustRightInd w:val="0"/>
              <w:spacing w:line="360" w:lineRule="exact"/>
              <w:ind w:hanging="4"/>
              <w:textAlignment w:val="auto"/>
              <w:rPr>
                <w:rFonts w:hAnsi="宋体" w:cs="宋体"/>
                <w:color w:val="auto"/>
                <w:sz w:val="24"/>
                <w:highlight w:val="none"/>
              </w:rPr>
            </w:pPr>
            <w:r>
              <w:rPr>
                <w:rFonts w:hint="eastAsia" w:ascii="宋体" w:hAnsi="宋体" w:eastAsia="宋体" w:cs="宋体"/>
                <w:snapToGrid/>
                <w:kern w:val="0"/>
                <w:sz w:val="24"/>
                <w:szCs w:val="24"/>
                <w:highlight w:val="none"/>
                <w:lang w:val="en-US" w:eastAsia="zh-CN" w:bidi="ar-SA"/>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10"/>
    <w:p>
      <w:pPr>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本交易文件适用于该项目的交易、资格审查及信用信息查询、评审、定标、合同、验收等行为（法律、法规另有规定的，从其规定）。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“采购人”系指交易公告中载明的本项目的采购人。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“采购机构”系指交易公告中载明的本项目的采购机构。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“供应商”系指是指响应交易、参加交易竞争的法人、其他组织或者自然人。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 询问、质疑、投诉</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3.2供应商质疑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3.2</w:t>
      </w:r>
      <w:r>
        <w:rPr>
          <w:rFonts w:hint="eastAsia" w:hAnsi="宋体" w:cs="宋体"/>
          <w:color w:val="auto"/>
          <w:sz w:val="24"/>
          <w:highlight w:val="none"/>
        </w:rPr>
        <w:t>.1提出质疑的供应商应当是参与所质疑项目采购活动的供应商。潜在供应商已依法获取其可质疑的交易文件的，可以对该文件提出质疑。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3.2</w:t>
      </w:r>
      <w:r>
        <w:rPr>
          <w:rFonts w:hint="eastAsia" w:hAnsi="宋体" w:cs="宋体"/>
          <w:color w:val="auto"/>
          <w:sz w:val="24"/>
          <w:highlight w:val="none"/>
        </w:rPr>
        <w:t>.2供应商认为交易文件、采购过程和成交结果使自己的权益受到损害的，可以在知道或者应知其权益受到损害之日起</w:t>
      </w:r>
      <w:r>
        <w:rPr>
          <w:rFonts w:hint="eastAsia" w:hAnsi="宋体" w:cs="宋体"/>
          <w:color w:val="auto"/>
          <w:sz w:val="24"/>
          <w:highlight w:val="none"/>
          <w:lang w:val="en-US" w:eastAsia="zh-CN"/>
        </w:rPr>
        <w:t>3日</w:t>
      </w:r>
      <w:r>
        <w:rPr>
          <w:rFonts w:hint="eastAsia" w:hAnsi="宋体" w:cs="宋体"/>
          <w:color w:val="auto"/>
          <w:sz w:val="24"/>
          <w:highlight w:val="none"/>
        </w:rPr>
        <w:t>内，以书面形式向采购人或者采购机构提出质疑，否则，采购人或者采购机构不予受理：</w:t>
      </w:r>
    </w:p>
    <w:p>
      <w:pPr>
        <w:pStyle w:val="2"/>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3.2.2.1对交易文件提出质疑的，质疑期限为供应商获得交易文件之日或者交易文件公告期限届满之日起计算。</w:t>
      </w:r>
    </w:p>
    <w:p>
      <w:pPr>
        <w:pStyle w:val="35"/>
        <w:spacing w:line="360" w:lineRule="auto"/>
        <w:ind w:firstLine="480" w:firstLineChars="200"/>
        <w:rPr>
          <w:rFonts w:hAnsi="宋体" w:cs="宋体"/>
          <w:color w:val="auto"/>
          <w:sz w:val="24"/>
          <w:highlight w:val="none"/>
        </w:rPr>
      </w:pPr>
      <w:r>
        <w:rPr>
          <w:rFonts w:hint="eastAsia" w:hAnsi="宋体" w:cs="宋体"/>
          <w:color w:val="auto"/>
          <w:sz w:val="24"/>
          <w:highlight w:val="none"/>
        </w:rPr>
        <w:t>3.2.2.2对采购过程提出质疑的，质疑期限为各采购程序环节结束之日起计算。对同一采购程序环节的质疑，供应商须一次性提出。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s="宋体"/>
          <w:color w:val="auto"/>
          <w:sz w:val="24"/>
          <w:highlight w:val="none"/>
        </w:rPr>
      </w:pPr>
      <w:r>
        <w:rPr>
          <w:rFonts w:hint="eastAsia" w:hAnsi="宋体" w:cs="宋体"/>
          <w:color w:val="auto"/>
          <w:sz w:val="24"/>
          <w:highlight w:val="none"/>
        </w:rPr>
        <w:t>3.2.2.3对采购结果提出质疑的，质疑期限自采购结果公告期限届满之日起计算。</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3.2.3</w:t>
      </w:r>
      <w:r>
        <w:rPr>
          <w:rFonts w:hint="eastAsia" w:hAnsi="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3.2.3.1供应商的姓名或者名称、地址、邮编、联系人及联系电话；</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3.2.3.2质疑项目的名称、编号；</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3.2.3.3具体、明确的质疑事项和与质疑事项相关的请求；</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3.2.3.4事实依据；</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3.2.3.5必要的法律依据；</w:t>
      </w:r>
    </w:p>
    <w:p>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3.2.3.6提出质疑的日期。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3.2</w:t>
      </w:r>
      <w:r>
        <w:rPr>
          <w:rFonts w:hint="eastAsia"/>
          <w:color w:val="auto"/>
          <w:highlight w:val="none"/>
        </w:rPr>
        <w:t>.4采购人或者采购机构应当在收到供应商的书面质疑后</w:t>
      </w:r>
      <w:r>
        <w:rPr>
          <w:rFonts w:hint="eastAsia"/>
          <w:color w:val="auto"/>
          <w:highlight w:val="none"/>
          <w:lang w:val="en-US" w:eastAsia="zh-CN"/>
        </w:rPr>
        <w:t>3日</w:t>
      </w:r>
      <w:r>
        <w:rPr>
          <w:rFonts w:hint="eastAsia"/>
          <w:color w:val="auto"/>
          <w:highlight w:val="none"/>
        </w:rPr>
        <w:t>内作出答复，并以书面形式通知质疑供应商和其他与质疑处理结果有利害关系的采购当事人，但答复的内</w:t>
      </w:r>
      <w:r>
        <w:rPr>
          <w:rFonts w:hint="eastAsia"/>
          <w:color w:val="auto"/>
          <w:highlight w:val="none"/>
          <w:lang w:val="en-US" w:eastAsia="zh-CN"/>
        </w:rPr>
        <w:t xml:space="preserve"> </w:t>
      </w:r>
      <w:r>
        <w:rPr>
          <w:rFonts w:hint="eastAsia"/>
          <w:color w:val="auto"/>
          <w:highlight w:val="none"/>
        </w:rPr>
        <w:t>容不得涉及商业秘密。</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3.2</w:t>
      </w:r>
      <w:r>
        <w:rPr>
          <w:rFonts w:hint="eastAsia"/>
          <w:color w:val="auto"/>
          <w:highlight w:val="none"/>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3.3供应商投诉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3.3.1质疑供应商对采购人、采购机构的答复不满意或者采购人、采购机构未在规定的时间内作出答复的，可以在答复期满后十五个工作日内向同级采购监督管理部门提出投诉。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3.3.3供应商投诉应当有明确的请求和必要的证明材料。</w:t>
      </w:r>
    </w:p>
    <w:p>
      <w:pPr>
        <w:pStyle w:val="13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二、交易文件的构成、澄清、修改</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4．交易文件的构成</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4.1交易文件包括下列文件及附件：</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4.1.2供应商须知；</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4.1.3采购需求；</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4.1.4评标办法；</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澄清或者修改的内容为交易文件的组成部分</w:t>
      </w:r>
      <w:r>
        <w:rPr>
          <w:rFonts w:hint="eastAsia" w:ascii="宋体" w:hAnsi="宋体" w:cs="宋体"/>
          <w:color w:val="auto"/>
          <w:sz w:val="24"/>
          <w:highlight w:val="none"/>
        </w:rPr>
        <w:t>。</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5.交易文件的澄清、修改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5.1已获取交易文件的潜在供应商，若有问题需要澄清，应于交易截止时间前，以书面形式向采购机构提出。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三、交易</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6.交易文件的获取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详见交易公告中获取交易文件的时间期限、地点、方式及交易文件售价。</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采购人组织潜在供应商现场考察或者召开交易前答疑会的，潜在供应商按第二部分供应商须知前附表的规定参加现场考察或者交易前答疑会。</w:t>
      </w:r>
    </w:p>
    <w:p>
      <w:pPr>
        <w:pStyle w:val="35"/>
        <w:spacing w:line="360" w:lineRule="auto"/>
        <w:rPr>
          <w:rFonts w:hint="eastAsia" w:hAnsi="宋体" w:eastAsia="宋体" w:cs="宋体"/>
          <w:b/>
          <w:color w:val="auto"/>
          <w:szCs w:val="24"/>
          <w:highlight w:val="none"/>
          <w:lang w:val="en-US" w:eastAsia="zh-CN"/>
        </w:rPr>
      </w:pPr>
      <w:r>
        <w:rPr>
          <w:rFonts w:hint="eastAsia" w:hAnsi="宋体" w:cs="宋体"/>
          <w:b/>
          <w:color w:val="auto"/>
          <w:kern w:val="28"/>
          <w:sz w:val="24"/>
          <w:szCs w:val="24"/>
          <w:highlight w:val="none"/>
        </w:rPr>
        <w:t>8.交易保证金</w:t>
      </w:r>
      <w:r>
        <w:rPr>
          <w:rFonts w:hint="eastAsia" w:hAnsi="宋体" w:cs="宋体"/>
          <w:b/>
          <w:color w:val="auto"/>
          <w:kern w:val="28"/>
          <w:sz w:val="24"/>
          <w:szCs w:val="24"/>
          <w:highlight w:val="none"/>
          <w:lang w:val="en-US" w:eastAsia="zh-CN"/>
        </w:rPr>
        <w:t>:</w:t>
      </w:r>
    </w:p>
    <w:p>
      <w:pPr>
        <w:spacing w:line="360" w:lineRule="auto"/>
        <w:ind w:left="481" w:leftChars="229" w:firstLine="60" w:firstLineChars="25"/>
        <w:rPr>
          <w:rFonts w:hint="eastAsia" w:ascii="宋体" w:hAnsi="宋体" w:eastAsia="宋体"/>
          <w:b/>
          <w:bCs/>
          <w:color w:val="auto"/>
          <w:sz w:val="24"/>
          <w:highlight w:val="none"/>
          <w:lang w:eastAsia="zh-CN"/>
        </w:rPr>
      </w:pPr>
      <w:r>
        <w:rPr>
          <w:rFonts w:hint="eastAsia" w:ascii="宋体" w:hAnsi="宋体" w:cs="宋体"/>
          <w:b/>
          <w:bCs/>
          <w:snapToGrid w:val="0"/>
          <w:color w:val="auto"/>
          <w:sz w:val="24"/>
          <w:highlight w:val="none"/>
        </w:rPr>
        <w:t>本项目交易保证金</w:t>
      </w:r>
      <w:bookmarkStart w:id="15" w:name="_Hlk520233919"/>
      <w:r>
        <w:rPr>
          <w:rFonts w:hint="eastAsia" w:ascii="宋体" w:hAnsi="宋体" w:cs="宋体"/>
          <w:b/>
          <w:bCs/>
          <w:snapToGrid w:val="0"/>
          <w:color w:val="auto"/>
          <w:sz w:val="24"/>
          <w:highlight w:val="none"/>
          <w:lang w:eastAsia="zh-CN"/>
        </w:rPr>
        <w:t>不收取。</w:t>
      </w:r>
    </w:p>
    <w:bookmarkEnd w:id="15"/>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9. 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10.</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10.2.1响应函；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360" w:lineRule="auto"/>
        <w:ind w:firstLine="960" w:firstLineChars="400"/>
        <w:rPr>
          <w:color w:val="auto"/>
          <w:highlight w:val="none"/>
        </w:rPr>
      </w:pPr>
      <w:r>
        <w:rPr>
          <w:rFonts w:hint="eastAsia" w:ascii="宋体" w:hAnsi="宋体" w:cs="宋体"/>
          <w:color w:val="auto"/>
          <w:sz w:val="24"/>
          <w:highlight w:val="none"/>
        </w:rPr>
        <w:t>10.2.3符合性审查资料；</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10.2.4交易标的清单；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10.2.5商务技术偏离表；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10.2.6</w:t>
      </w: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10.2.7项目实施计划：详细的项目组织实施方案（工作时间进度表、工作程序或步骤、管理和协调方法等）；</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eastAsia="zh-CN"/>
        </w:rPr>
        <w:t>供应商需要说明的其它文件和资料。</w:t>
      </w:r>
      <w:r>
        <w:rPr>
          <w:rFonts w:hint="eastAsia" w:ascii="宋体" w:hAnsi="宋体" w:eastAsia="宋体" w:cs="宋体"/>
          <w:color w:val="auto"/>
          <w:sz w:val="24"/>
          <w:highlight w:val="none"/>
          <w:lang w:val="zh-CN"/>
        </w:rPr>
        <w:t xml:space="preserve"> </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10.</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响应文件含有采购人不能接受的附加条件的，交易无效；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供应商提供虚假材料交易的，交易无效。</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12.响应文件的签署、盖章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12.1响应文件按照交易文件第六部分格式要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▲供应商的响应文件未按照交易文件要求签署、盖章的，其交易无效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12.2为确保网上操作合法、有效和安全，供应商应当在交易截止时间前完成在“政府采购云平台”的身份认证，确保在电子交易（投标）过程中能够对相关数据电文进行加密和使用电子签名。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13.3交易文件对响应文件签署、盖章的要求适用于电子签名。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13. 响应文件的提交、补充、修改、撤回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13.2电子交易平台收到响应文件，将妥善保存并即时向供应商发出确认回执通知。在交易截止时间前，除供应商补充、修改或者撤回响应文件外，任何单位和个人不得解密或提取响应文件。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13.3采购人、采购机构可以视情况延长响应文件提交的截止时间。在上述情况下，采购机构与供应商以前在交易截止期方面的全部权利、责任和义务，将适用于延长至新的交易截止期。</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14.备份响应文件</w:t>
      </w:r>
    </w:p>
    <w:p>
      <w:pPr>
        <w:pStyle w:val="35"/>
        <w:spacing w:line="360" w:lineRule="auto"/>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有交易文件第四部分</w:t>
      </w:r>
      <w:r>
        <w:rPr>
          <w:rFonts w:hint="eastAsia" w:cs="宋体"/>
          <w:color w:val="auto"/>
          <w:highlight w:val="none"/>
        </w:rPr>
        <w:t>4.2规定</w:t>
      </w:r>
      <w:r>
        <w:rPr>
          <w:rFonts w:hint="eastAsia" w:cs="宋体"/>
          <w:color w:val="auto"/>
          <w:szCs w:val="21"/>
          <w:highlight w:val="none"/>
        </w:rPr>
        <w:t>的情形之一的，交易无效：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诺的交易有效期少于交易文件中载明的交易有效期的，交易无效。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16.2响应文件合格投递后，自</w:t>
      </w:r>
      <w:r>
        <w:rPr>
          <w:rFonts w:hint="eastAsia" w:cs="宋体"/>
          <w:color w:val="auto"/>
          <w:szCs w:val="21"/>
          <w:highlight w:val="none"/>
        </w:rPr>
        <w:t>交易</w:t>
      </w:r>
      <w:r>
        <w:rPr>
          <w:rFonts w:hint="eastAsia" w:ascii="宋体" w:hAnsi="宋体" w:cs="宋体"/>
          <w:color w:val="auto"/>
          <w:highlight w:val="none"/>
        </w:rPr>
        <w:t>截止日期起，在</w:t>
      </w:r>
      <w:r>
        <w:rPr>
          <w:rFonts w:hint="eastAsia" w:cs="宋体"/>
          <w:color w:val="auto"/>
          <w:szCs w:val="21"/>
          <w:highlight w:val="none"/>
        </w:rPr>
        <w:t>交易</w:t>
      </w:r>
      <w:r>
        <w:rPr>
          <w:rFonts w:hint="eastAsia" w:ascii="宋体" w:hAnsi="宋体" w:cs="宋体"/>
          <w:color w:val="auto"/>
          <w:highlight w:val="none"/>
        </w:rPr>
        <w:t>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16.3在原定</w:t>
      </w:r>
      <w:r>
        <w:rPr>
          <w:rFonts w:hint="eastAsia" w:cs="宋体"/>
          <w:color w:val="auto"/>
          <w:szCs w:val="21"/>
          <w:highlight w:val="none"/>
        </w:rPr>
        <w:t>交易</w:t>
      </w:r>
      <w:r>
        <w:rPr>
          <w:rFonts w:hint="eastAsia" w:ascii="宋体" w:hAnsi="宋体" w:cs="宋体"/>
          <w:color w:val="auto"/>
          <w:highlight w:val="none"/>
        </w:rPr>
        <w:t>有效期满之前，如果出现特殊情况，采购机构可以以书面形式通知供应商延长</w:t>
      </w:r>
      <w:r>
        <w:rPr>
          <w:rFonts w:hint="eastAsia" w:cs="宋体"/>
          <w:color w:val="auto"/>
          <w:szCs w:val="21"/>
          <w:highlight w:val="none"/>
        </w:rPr>
        <w:t>交易</w:t>
      </w:r>
      <w:r>
        <w:rPr>
          <w:rFonts w:hint="eastAsia" w:ascii="宋体" w:hAnsi="宋体" w:cs="宋体"/>
          <w:color w:val="auto"/>
          <w:highlight w:val="none"/>
        </w:rPr>
        <w:t>有效期。供应商同意延长的，不得要求或被允许修改其响应文件，供应商拒绝延长的，其</w:t>
      </w:r>
      <w:r>
        <w:rPr>
          <w:rFonts w:hint="eastAsia" w:cs="宋体"/>
          <w:color w:val="auto"/>
          <w:szCs w:val="21"/>
          <w:highlight w:val="none"/>
        </w:rPr>
        <w:t>交易</w:t>
      </w:r>
      <w:r>
        <w:rPr>
          <w:rFonts w:hint="eastAsia" w:ascii="宋体" w:hAnsi="宋体" w:cs="宋体"/>
          <w:color w:val="auto"/>
          <w:highlight w:val="none"/>
        </w:rPr>
        <w:t>无效。</w:t>
      </w:r>
    </w:p>
    <w:p>
      <w:pPr>
        <w:pStyle w:val="131"/>
        <w:spacing w:before="0"/>
        <w:ind w:firstLine="643"/>
        <w:rPr>
          <w:rFonts w:ascii="宋体" w:hAnsi="宋体" w:cs="宋体"/>
          <w:b/>
          <w:color w:val="auto"/>
          <w:sz w:val="32"/>
          <w:highlight w:val="none"/>
        </w:rPr>
      </w:pPr>
    </w:p>
    <w:p>
      <w:pPr>
        <w:pStyle w:val="13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17.交易</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17.1采购机构按照交易文件规定的时间通过电子交易平台组织交易，所有供应商均应当准时在线参加。供应商不足3家的，不得交易。</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17.2交易时，电子交易平台按交易时间自动提取所有响应文件。采购机构依托电子交易平台发起开始解密指令，供应商按照平台提示和交易文件的规定在半小时内完成在线解密。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17.3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18、资格审查</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18.1</w:t>
      </w:r>
      <w:r>
        <w:rPr>
          <w:rFonts w:hint="eastAsia" w:cs="宋体"/>
          <w:color w:val="auto"/>
          <w:szCs w:val="21"/>
          <w:highlight w:val="none"/>
        </w:rPr>
        <w:t>交易</w:t>
      </w:r>
      <w:r>
        <w:rPr>
          <w:rFonts w:hint="eastAsia" w:ascii="宋体" w:hAnsi="宋体" w:cs="宋体"/>
          <w:color w:val="auto"/>
          <w:kern w:val="0"/>
          <w:szCs w:val="24"/>
          <w:highlight w:val="none"/>
        </w:rPr>
        <w:t>后，采购人或采购机构将依法对供应商的资格进行审查。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采购人或采购机构依据法律法规和交易文件的规定，对供应商的基本资格条件、特定资格条件进行审查。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18.3供应商未按照交易文件要求提供与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供应商不具备交易文件中规定的资格要求，其响应无效。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4对未通过资格审查的供应商，采购人或采购机构告知其未通过的原因。</w:t>
      </w:r>
    </w:p>
    <w:p>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5合格供应商不足3家的，不再评标。</w:t>
      </w:r>
    </w:p>
    <w:p>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19</w:t>
      </w:r>
      <w:r>
        <w:rPr>
          <w:rFonts w:hint="eastAsia" w:ascii="宋体" w:hAnsi="宋体" w:eastAsia="宋体" w:cs="宋体"/>
          <w:b/>
          <w:color w:val="auto"/>
          <w:szCs w:val="24"/>
          <w:highlight w:val="none"/>
        </w:rPr>
        <w:t>、信用信息查询</w:t>
      </w:r>
    </w:p>
    <w:p>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.1信用信息查询渠道及截止时间：采购机构将通过“信用中国”网站(www.creditchina.gov.cn)、中国政府采购网(www.ccgp.gov.cn)渠道查询</w:t>
      </w:r>
      <w:r>
        <w:rPr>
          <w:rFonts w:hint="eastAsia" w:ascii="宋体" w:hAnsi="宋体" w:eastAsia="宋体" w:cs="宋体"/>
          <w:color w:val="auto"/>
          <w:kern w:val="0"/>
          <w:szCs w:val="24"/>
          <w:highlight w:val="none"/>
          <w:lang w:val="en-US" w:eastAsia="zh-CN"/>
        </w:rPr>
        <w:t>供应商交易</w:t>
      </w:r>
      <w:r>
        <w:rPr>
          <w:rFonts w:hint="eastAsia" w:ascii="宋体" w:hAnsi="宋体" w:eastAsia="宋体" w:cs="宋体"/>
          <w:color w:val="auto"/>
          <w:kern w:val="0"/>
          <w:szCs w:val="24"/>
          <w:highlight w:val="none"/>
        </w:rPr>
        <w:t>截止时间当天的信用记录。</w:t>
      </w:r>
    </w:p>
    <w:p>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.2信用信息查询记录和证据留存的具体方式：现场查询的</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的信用记录、查询结果经确认后将与</w:t>
      </w:r>
      <w:r>
        <w:rPr>
          <w:rFonts w:hint="eastAsia" w:ascii="宋体" w:hAnsi="宋体" w:eastAsia="宋体" w:cs="宋体"/>
          <w:color w:val="auto"/>
          <w:kern w:val="0"/>
          <w:szCs w:val="24"/>
          <w:highlight w:val="none"/>
          <w:lang w:val="en-US" w:eastAsia="zh-CN"/>
        </w:rPr>
        <w:t>交易</w:t>
      </w:r>
      <w:r>
        <w:rPr>
          <w:rFonts w:hint="eastAsia" w:ascii="宋体" w:hAnsi="宋体" w:eastAsia="宋体" w:cs="宋体"/>
          <w:color w:val="auto"/>
          <w:kern w:val="0"/>
          <w:szCs w:val="24"/>
          <w:highlight w:val="none"/>
        </w:rPr>
        <w:t>文件一起存档。</w:t>
      </w:r>
    </w:p>
    <w:p>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.3信用信息的使用规则：经查询列入失信被执行人名单、重大税收违法案件当事人名单、政府采购严重违法失信行为记录名单的</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将被拒绝参与采购活动。</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lang w:val="en-US" w:eastAsia="zh-CN"/>
        </w:rPr>
        <w:t>20</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color w:val="auto"/>
          <w:sz w:val="24"/>
          <w:highlight w:val="none"/>
        </w:rPr>
        <w:t>详见交易文件第四部分评标办法。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1</w:t>
      </w:r>
      <w:r>
        <w:rPr>
          <w:rFonts w:hint="eastAsia" w:cs="宋体"/>
          <w:b/>
          <w:color w:val="auto"/>
          <w:highlight w:val="none"/>
        </w:rPr>
        <w:t>. 确定成交供应商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采购人将自收到评审报告之日起5个工作日内通过电子交易平台在评审报告推荐的成交候选人中按顺序确定成交供应商。</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 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.1自成交人确定之日起2个工作日内，采购机构通过电子交易平台向成交人发出成交通知书，同时编制发布采购结果公告。采购机构也可以以纸质形式进行成交通知。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.2成交结果公告内容包括采购人及其委托的采购机构的名称、地址、联系方式，项目名称和项目编号，成交人名称、地址和成交金额，主要成交标的的名称、规格型号、数量、单价、服务要求。</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采购人与成交人应当在成交通知书发出之日起三十日内，按照交易文件确定的事项签订采购合同。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.2成交人按规定的日期、时间、地点，由法定代表人或其授权代表与采购人代表签订合同。如成交人为联合体的，由联合体成员各方法定代表人或其授权代表与采购人代表签订合同。</w:t>
      </w:r>
    </w:p>
    <w:p>
      <w:pPr>
        <w:pStyle w:val="131"/>
        <w:snapToGrid w:val="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.3如签订合同并生效后，供应商无故拒绝或延期，除按照合同条款处理外，列入不良行为记录一次，并给予通报。</w:t>
      </w:r>
      <w:r>
        <w:rPr>
          <w:rFonts w:hint="eastAsia" w:ascii="宋体" w:hAnsi="宋体" w:cs="宋体"/>
          <w:color w:val="auto"/>
          <w:highlight w:val="none"/>
          <w:lang w:val="en-US" w:eastAsia="zh-CN"/>
        </w:rPr>
        <w:t xml:space="preserve">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.4成交供应商拒绝与采购人签订合同的，采购人可以按照评审报告推荐的成交或者成交候选人名单排序，确定下一候选人为成交供应商，也可以重新开展采购活动。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.5采购合同由采购人与成交供应商根据交易文件、响应文件等内容签订。</w:t>
      </w:r>
    </w:p>
    <w:p>
      <w:pPr>
        <w:pStyle w:val="2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履约保证金</w:t>
      </w:r>
    </w:p>
    <w:p>
      <w:pPr>
        <w:tabs>
          <w:tab w:val="left" w:pos="0"/>
        </w:tabs>
        <w:spacing w:line="360" w:lineRule="auto"/>
        <w:ind w:firstLine="482"/>
        <w:rPr>
          <w:rFonts w:ascii="宋体" w:hAnsi="宋体" w:cs="宋体"/>
          <w:b/>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%。鼓励和支持供应商以银行、保险公司出具的保函形式提供履约保证金。</w:t>
      </w:r>
      <w:r>
        <w:rPr>
          <w:rFonts w:hint="eastAsia" w:ascii="宋体" w:hAnsi="宋体" w:cs="宋体"/>
          <w:b/>
          <w:color w:val="auto"/>
          <w:sz w:val="24"/>
          <w:highlight w:val="none"/>
        </w:rPr>
        <w:t>采购人不得拒收履约保函，项目验收结束后应及时退还。</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color w:val="auto"/>
          <w:kern w:val="0"/>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.验收：</w:t>
      </w:r>
      <w:r>
        <w:rPr>
          <w:rFonts w:hint="eastAsia" w:cs="宋体"/>
          <w:color w:val="auto"/>
          <w:kern w:val="0"/>
          <w:highlight w:val="none"/>
        </w:rPr>
        <w:t>采购人应当组织对供应商履约的验收。</w:t>
      </w:r>
    </w:p>
    <w:bookmarkEnd w:id="13"/>
    <w:bookmarkEnd w:id="14"/>
    <w:bookmarkEnd w:id="16"/>
    <w:p>
      <w:pPr>
        <w:spacing w:line="360" w:lineRule="auto"/>
        <w:jc w:val="center"/>
        <w:outlineLvl w:val="0"/>
        <w:rPr>
          <w:rFonts w:ascii="宋体" w:hAnsi="宋体" w:cs="宋体"/>
          <w:b/>
          <w:color w:val="auto"/>
          <w:sz w:val="13"/>
          <w:szCs w:val="13"/>
          <w:highlight w:val="none"/>
        </w:rPr>
      </w:pPr>
      <w:bookmarkStart w:id="17" w:name="第四部分"/>
    </w:p>
    <w:p>
      <w:pPr>
        <w:spacing w:line="360" w:lineRule="auto"/>
        <w:jc w:val="center"/>
        <w:outlineLvl w:val="0"/>
        <w:rPr>
          <w:rFonts w:ascii="宋体" w:hAnsi="宋体" w:cs="宋体"/>
          <w:b/>
          <w:color w:val="auto"/>
          <w:sz w:val="36"/>
          <w:szCs w:val="36"/>
          <w:highlight w:val="none"/>
        </w:rPr>
      </w:pPr>
    </w:p>
    <w:p>
      <w:pPr>
        <w:rPr>
          <w:color w:val="auto"/>
        </w:rPr>
      </w:pPr>
      <w:r>
        <w:rPr>
          <w:color w:val="auto"/>
        </w:rPr>
        <w:br w:type="page"/>
      </w:r>
    </w:p>
    <w:p>
      <w:pPr>
        <w:pStyle w:val="131"/>
        <w:snapToGrid w:val="0"/>
        <w:spacing w:before="0"/>
        <w:ind w:firstLine="480"/>
        <w:rPr>
          <w:color w:val="auto"/>
        </w:rPr>
      </w:pP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pPr>
        <w:snapToGrid w:val="0"/>
        <w:rPr>
          <w:rFonts w:hint="eastAsia"/>
          <w:color w:val="auto"/>
        </w:rPr>
      </w:pPr>
    </w:p>
    <w:p>
      <w:pPr>
        <w:snapToGrid w:val="0"/>
        <w:jc w:val="left"/>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属于实质性要求条款的，请用符号“▲”标明，否则属于非实质性要求。</w:t>
      </w:r>
    </w:p>
    <w:p>
      <w:pPr>
        <w:snapToGrid w:val="0"/>
        <w:jc w:val="left"/>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“★”系产品采购项目中单一产品或核心产品。</w:t>
      </w:r>
    </w:p>
    <w:p>
      <w:pPr>
        <w:spacing w:line="360" w:lineRule="auto"/>
        <w:jc w:val="center"/>
        <w:rPr>
          <w:rFonts w:ascii="宋体"/>
          <w:b/>
          <w:color w:val="auto"/>
          <w:sz w:val="24"/>
          <w:highlight w:val="none"/>
        </w:rPr>
      </w:pPr>
      <w:r>
        <w:rPr>
          <w:rFonts w:hint="eastAsia" w:ascii="宋体" w:hAnsi="宋体"/>
          <w:b/>
          <w:color w:val="auto"/>
          <w:sz w:val="24"/>
          <w:highlight w:val="none"/>
        </w:rPr>
        <w:t>一、</w:t>
      </w:r>
      <w:r>
        <w:rPr>
          <w:rFonts w:hint="eastAsia" w:ascii="宋体" w:hAnsi="宋体"/>
          <w:b/>
          <w:color w:val="auto"/>
          <w:sz w:val="24"/>
          <w:highlight w:val="none"/>
          <w:lang w:eastAsia="zh-CN"/>
        </w:rPr>
        <w:t>交易</w:t>
      </w:r>
      <w:r>
        <w:rPr>
          <w:rFonts w:hint="eastAsia" w:ascii="宋体" w:hAnsi="宋体"/>
          <w:b/>
          <w:color w:val="auto"/>
          <w:sz w:val="24"/>
          <w:highlight w:val="none"/>
        </w:rPr>
        <w:t>一览表</w:t>
      </w:r>
    </w:p>
    <w:p>
      <w:pPr>
        <w:ind w:firstLine="590" w:firstLineChars="245"/>
        <w:rPr>
          <w:rFonts w:hint="default" w:ascii="宋体" w:hAnsi="宋体" w:eastAsia="宋体"/>
          <w:b/>
          <w:color w:val="auto"/>
          <w:sz w:val="24"/>
          <w:highlight w:val="none"/>
          <w:lang w:val="en-US" w:eastAsia="zh-CN"/>
        </w:rPr>
      </w:pPr>
      <w:r>
        <w:rPr>
          <w:rFonts w:hint="eastAsia" w:ascii="宋体" w:hAnsi="宋体"/>
          <w:b/>
          <w:color w:val="auto"/>
          <w:sz w:val="24"/>
          <w:highlight w:val="none"/>
        </w:rPr>
        <w:t>标项：一</w:t>
      </w:r>
      <w:r>
        <w:rPr>
          <w:rFonts w:hint="eastAsia" w:ascii="宋体" w:hAnsi="宋体"/>
          <w:b/>
          <w:color w:val="auto"/>
          <w:sz w:val="24"/>
          <w:highlight w:val="none"/>
          <w:lang w:val="en-US" w:eastAsia="zh-CN"/>
        </w:rPr>
        <w:t xml:space="preserve">                                              单位：元</w:t>
      </w:r>
    </w:p>
    <w:tbl>
      <w:tblPr>
        <w:tblStyle w:val="64"/>
        <w:tblW w:w="9506"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77"/>
        <w:gridCol w:w="1543"/>
        <w:gridCol w:w="2300"/>
        <w:gridCol w:w="1086"/>
        <w:gridCol w:w="1042"/>
        <w:gridCol w:w="1329"/>
        <w:gridCol w:w="1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4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29"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单价最高限价</w:t>
            </w:r>
          </w:p>
        </w:tc>
        <w:tc>
          <w:tcPr>
            <w:tcW w:w="1329"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大米</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不少于25kg/袋</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400</w:t>
            </w:r>
          </w:p>
        </w:tc>
        <w:tc>
          <w:tcPr>
            <w:tcW w:w="13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145</w:t>
            </w:r>
          </w:p>
        </w:tc>
        <w:tc>
          <w:tcPr>
            <w:tcW w:w="1329"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数量暂定，按实结算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4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不少于5L/瓶</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410</w:t>
            </w:r>
          </w:p>
        </w:tc>
        <w:tc>
          <w:tcPr>
            <w:tcW w:w="13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150</w:t>
            </w:r>
          </w:p>
        </w:tc>
        <w:tc>
          <w:tcPr>
            <w:tcW w:w="1329"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鸡精</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不少于1000g/袋</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170</w:t>
            </w:r>
          </w:p>
        </w:tc>
        <w:tc>
          <w:tcPr>
            <w:tcW w:w="13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34</w:t>
            </w:r>
          </w:p>
        </w:tc>
        <w:tc>
          <w:tcPr>
            <w:tcW w:w="1329"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味精</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不少于1000g/袋</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170</w:t>
            </w:r>
          </w:p>
        </w:tc>
        <w:tc>
          <w:tcPr>
            <w:tcW w:w="13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20</w:t>
            </w:r>
          </w:p>
        </w:tc>
        <w:tc>
          <w:tcPr>
            <w:tcW w:w="1329"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生抽</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不少于1L/瓶</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240</w:t>
            </w:r>
          </w:p>
        </w:tc>
        <w:tc>
          <w:tcPr>
            <w:tcW w:w="13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22</w:t>
            </w:r>
          </w:p>
        </w:tc>
        <w:tc>
          <w:tcPr>
            <w:tcW w:w="1329"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老抽</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不少于1.8L/瓶</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210</w:t>
            </w:r>
          </w:p>
        </w:tc>
        <w:tc>
          <w:tcPr>
            <w:tcW w:w="13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22</w:t>
            </w:r>
          </w:p>
        </w:tc>
        <w:tc>
          <w:tcPr>
            <w:tcW w:w="1329"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不少于500ML/瓶</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190</w:t>
            </w:r>
          </w:p>
        </w:tc>
        <w:tc>
          <w:tcPr>
            <w:tcW w:w="13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w:t>
            </w:r>
          </w:p>
        </w:tc>
        <w:tc>
          <w:tcPr>
            <w:tcW w:w="1329"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料酒</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不少于2L/瓶</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160</w:t>
            </w:r>
          </w:p>
        </w:tc>
        <w:tc>
          <w:tcPr>
            <w:tcW w:w="13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20</w:t>
            </w:r>
          </w:p>
        </w:tc>
        <w:tc>
          <w:tcPr>
            <w:tcW w:w="1329"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蚝油</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不少于700g/瓶</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170</w:t>
            </w:r>
          </w:p>
        </w:tc>
        <w:tc>
          <w:tcPr>
            <w:tcW w:w="13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1329"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腐乳</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不少于300g/瓶</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270</w:t>
            </w:r>
          </w:p>
        </w:tc>
        <w:tc>
          <w:tcPr>
            <w:tcW w:w="13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w:t>
            </w:r>
          </w:p>
        </w:tc>
        <w:tc>
          <w:tcPr>
            <w:tcW w:w="1329"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不少于300g/袋</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3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3.5</w:t>
            </w:r>
          </w:p>
        </w:tc>
        <w:tc>
          <w:tcPr>
            <w:tcW w:w="1329"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autoSpaceDE w:val="0"/>
        <w:autoSpaceDN w:val="0"/>
        <w:spacing w:after="120" w:afterLines="50" w:line="300" w:lineRule="exact"/>
        <w:jc w:val="center"/>
        <w:rPr>
          <w:rFonts w:hint="eastAsia" w:ascii="宋体" w:hAnsi="宋体"/>
          <w:b/>
          <w:color w:val="auto"/>
          <w:sz w:val="18"/>
          <w:szCs w:val="18"/>
          <w:highlight w:val="none"/>
        </w:rPr>
      </w:pPr>
    </w:p>
    <w:p>
      <w:pPr>
        <w:autoSpaceDE w:val="0"/>
        <w:autoSpaceDN w:val="0"/>
        <w:spacing w:after="120" w:afterLines="50" w:line="440" w:lineRule="exact"/>
        <w:jc w:val="center"/>
        <w:rPr>
          <w:rFonts w:hint="eastAsia" w:ascii="宋体" w:hAnsi="宋体"/>
          <w:b/>
          <w:color w:val="auto"/>
          <w:sz w:val="28"/>
          <w:szCs w:val="28"/>
          <w:highlight w:val="none"/>
        </w:rPr>
      </w:pPr>
    </w:p>
    <w:p>
      <w:pPr>
        <w:autoSpaceDE w:val="0"/>
        <w:autoSpaceDN w:val="0"/>
        <w:spacing w:after="120" w:afterLines="50" w:line="44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二、</w:t>
      </w:r>
      <w:r>
        <w:rPr>
          <w:rFonts w:hint="eastAsia" w:ascii="宋体" w:hAnsi="宋体"/>
          <w:b/>
          <w:color w:val="auto"/>
          <w:sz w:val="28"/>
          <w:szCs w:val="28"/>
          <w:highlight w:val="none"/>
          <w:lang w:eastAsia="zh-CN"/>
        </w:rPr>
        <w:t>交易</w:t>
      </w:r>
      <w:r>
        <w:rPr>
          <w:rFonts w:hint="eastAsia" w:ascii="宋体" w:hAnsi="宋体"/>
          <w:b/>
          <w:color w:val="auto"/>
          <w:sz w:val="28"/>
          <w:szCs w:val="28"/>
          <w:highlight w:val="none"/>
        </w:rPr>
        <w:t>需求</w:t>
      </w:r>
    </w:p>
    <w:p>
      <w:pPr>
        <w:pStyle w:val="23"/>
        <w:pageBreakBefore w:val="0"/>
        <w:kinsoku/>
        <w:wordWrap/>
        <w:overflowPunct/>
        <w:topLinePunct w:val="0"/>
        <w:bidi w:val="0"/>
        <w:spacing w:line="360" w:lineRule="auto"/>
        <w:ind w:firstLine="0" w:firstLineChars="0"/>
        <w:rPr>
          <w:rFonts w:hint="default" w:ascii="宋体" w:hAnsi="宋体" w:eastAsia="宋体" w:cs="宋体"/>
          <w:color w:val="auto"/>
          <w:sz w:val="28"/>
          <w:szCs w:val="28"/>
          <w:highlight w:val="none"/>
          <w:lang w:val="en-US" w:eastAsia="zh-CN"/>
        </w:rPr>
      </w:pPr>
      <w:r>
        <w:rPr>
          <w:rFonts w:hint="eastAsia" w:ascii="宋体" w:hAnsi="宋体" w:cs="仿宋"/>
          <w:b/>
          <w:bCs/>
          <w:color w:val="auto"/>
          <w:sz w:val="28"/>
          <w:szCs w:val="28"/>
          <w:highlight w:val="none"/>
        </w:rPr>
        <w:t>（一）技术需求</w:t>
      </w:r>
      <w:r>
        <w:rPr>
          <w:rFonts w:hint="eastAsia" w:ascii="宋体" w:hAnsi="宋体" w:cs="仿宋"/>
          <w:b/>
          <w:bCs/>
          <w:color w:val="auto"/>
          <w:sz w:val="28"/>
          <w:szCs w:val="28"/>
          <w:highlight w:val="none"/>
        </w:rPr>
        <w:br w:type="textWrapping"/>
      </w:r>
      <w:r>
        <w:rPr>
          <w:rFonts w:hint="eastAsia" w:hAnsi="宋体" w:cs="仿宋"/>
          <w:b/>
          <w:bCs/>
          <w:color w:val="auto"/>
          <w:sz w:val="28"/>
          <w:szCs w:val="28"/>
          <w:highlight w:val="none"/>
          <w:lang w:val="en-US" w:eastAsia="zh-CN"/>
        </w:rPr>
        <w:t>1、食堂用品(固定品类) 如下：</w:t>
      </w:r>
    </w:p>
    <w:tbl>
      <w:tblPr>
        <w:tblStyle w:val="64"/>
        <w:tblW w:w="8717"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77"/>
        <w:gridCol w:w="1543"/>
        <w:gridCol w:w="2300"/>
        <w:gridCol w:w="1086"/>
        <w:gridCol w:w="1042"/>
        <w:gridCol w:w="1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18" w:name="5.项目软硬件配置清单"/>
            <w:bookmarkEnd w:id="18"/>
            <w:bookmarkStart w:id="19" w:name="3.5宣传推广服务"/>
            <w:bookmarkEnd w:id="19"/>
            <w:bookmarkStart w:id="20" w:name="4.云资源清单"/>
            <w:bookmarkEnd w:id="20"/>
            <w:bookmarkStart w:id="21" w:name="1.项目背景"/>
            <w:bookmarkEnd w:id="21"/>
            <w:bookmarkStart w:id="22" w:name="3.4宣传视频"/>
            <w:bookmarkEnd w:id="22"/>
            <w:r>
              <w:rPr>
                <w:rFonts w:hint="eastAsia" w:ascii="宋体" w:hAnsi="宋体" w:eastAsia="宋体" w:cs="宋体"/>
                <w:i w:val="0"/>
                <w:iCs w:val="0"/>
                <w:color w:val="000000"/>
                <w:kern w:val="0"/>
                <w:sz w:val="24"/>
                <w:szCs w:val="24"/>
                <w:u w:val="none"/>
                <w:lang w:val="en-US" w:eastAsia="zh-CN" w:bidi="ar"/>
              </w:rPr>
              <w:t>序号</w:t>
            </w:r>
          </w:p>
        </w:tc>
        <w:tc>
          <w:tcPr>
            <w:tcW w:w="154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86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参考品牌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大米</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不少于25kg/袋</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袋</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400</w:t>
            </w:r>
          </w:p>
        </w:tc>
        <w:tc>
          <w:tcPr>
            <w:tcW w:w="18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福临门、十月稻田、柴火大院或相当于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4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不少于5L/瓶</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2"/>
                <w:szCs w:val="22"/>
                <w:u w:val="none"/>
                <w:lang w:val="en-US" w:eastAsia="zh-CN" w:bidi="ar"/>
              </w:rPr>
              <w:t>410</w:t>
            </w:r>
          </w:p>
        </w:tc>
        <w:tc>
          <w:tcPr>
            <w:tcW w:w="18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鲁花、胡姬花、长寿花或相当于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鸡精</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不少于1000g/袋</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袋</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170</w:t>
            </w:r>
          </w:p>
        </w:tc>
        <w:tc>
          <w:tcPr>
            <w:tcW w:w="18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太太乐、厨邦、莲花或相当于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味精</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不少于1000g/袋</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袋</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170</w:t>
            </w:r>
          </w:p>
        </w:tc>
        <w:tc>
          <w:tcPr>
            <w:tcW w:w="18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莲花、西湖、太太乐或相当于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生抽</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不少于1L/瓶</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240</w:t>
            </w:r>
          </w:p>
        </w:tc>
        <w:tc>
          <w:tcPr>
            <w:tcW w:w="18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厨邦、李锦记、千禾或相当于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老抽</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不少于1.8L/瓶</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210</w:t>
            </w:r>
          </w:p>
        </w:tc>
        <w:tc>
          <w:tcPr>
            <w:tcW w:w="18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厨邦、李锦记、千禾或相当于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不少于500ML/瓶</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190</w:t>
            </w:r>
          </w:p>
        </w:tc>
        <w:tc>
          <w:tcPr>
            <w:tcW w:w="18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恒顺、李锦记、双鱼或相当于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料酒</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不少于2L/瓶</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160</w:t>
            </w:r>
          </w:p>
        </w:tc>
        <w:tc>
          <w:tcPr>
            <w:tcW w:w="18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会稽山、千禾、厨邦或相当于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蚝油</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不少于700g/瓶</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170</w:t>
            </w:r>
          </w:p>
        </w:tc>
        <w:tc>
          <w:tcPr>
            <w:tcW w:w="18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海天、千禾、厨邦或相当于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腐乳</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不少于300g/瓶</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270</w:t>
            </w:r>
          </w:p>
        </w:tc>
        <w:tc>
          <w:tcPr>
            <w:tcW w:w="18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莲丰、三和四美、咸亨或相当于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8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w:t>
            </w:r>
          </w:p>
        </w:tc>
        <w:tc>
          <w:tcPr>
            <w:tcW w:w="23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不少于300g/袋</w:t>
            </w:r>
          </w:p>
        </w:tc>
        <w:tc>
          <w:tcPr>
            <w:tcW w:w="10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袋</w:t>
            </w:r>
          </w:p>
        </w:tc>
        <w:tc>
          <w:tcPr>
            <w:tcW w:w="10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86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中盐、雪涛、雪天或相当于</w:t>
            </w:r>
          </w:p>
        </w:tc>
      </w:tr>
    </w:tbl>
    <w:p>
      <w:pPr>
        <w:pStyle w:val="61"/>
        <w:jc w:val="both"/>
        <w:rPr>
          <w:color w:val="auto"/>
        </w:rPr>
      </w:pPr>
    </w:p>
    <w:p>
      <w:pPr>
        <w:spacing w:line="360" w:lineRule="auto"/>
        <w:rPr>
          <w:rFonts w:hint="eastAsia" w:ascii="宋体" w:hAnsi="Courier New"/>
          <w:b/>
          <w:color w:val="auto"/>
          <w:sz w:val="24"/>
          <w:highlight w:val="none"/>
        </w:rPr>
      </w:pPr>
      <w:r>
        <w:rPr>
          <w:rFonts w:hint="eastAsia" w:ascii="宋体" w:hAnsi="宋体" w:cs="宋体"/>
          <w:color w:val="auto"/>
          <w:sz w:val="24"/>
          <w:szCs w:val="24"/>
          <w:highlight w:val="none"/>
          <w:lang w:eastAsia="zh-CN"/>
        </w:rPr>
        <w:t>注：</w:t>
      </w:r>
      <w:r>
        <w:rPr>
          <w:rFonts w:hint="eastAsia" w:ascii="宋体" w:hAnsi="Courier New"/>
          <w:b/>
          <w:color w:val="auto"/>
          <w:sz w:val="24"/>
          <w:highlight w:val="none"/>
        </w:rPr>
        <w:t xml:space="preserve"> </w:t>
      </w:r>
    </w:p>
    <w:p>
      <w:pPr>
        <w:spacing w:line="360" w:lineRule="auto"/>
        <w:ind w:firstLine="482" w:firstLineChars="200"/>
        <w:rPr>
          <w:rFonts w:hint="eastAsia" w:ascii="宋体" w:hAnsi="Courier New"/>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r>
        <w:rPr>
          <w:rFonts w:hint="eastAsia" w:ascii="宋体" w:hAnsi="Courier New"/>
          <w:b/>
          <w:color w:val="auto"/>
          <w:sz w:val="24"/>
          <w:highlight w:val="none"/>
        </w:rPr>
        <w:t>清单数量为</w:t>
      </w:r>
      <w:r>
        <w:rPr>
          <w:rFonts w:hint="eastAsia" w:ascii="宋体" w:hAnsi="Courier New"/>
          <w:b/>
          <w:color w:val="auto"/>
          <w:sz w:val="24"/>
          <w:highlight w:val="none"/>
          <w:lang w:eastAsia="zh-CN"/>
        </w:rPr>
        <w:t>采购人</w:t>
      </w:r>
      <w:r>
        <w:rPr>
          <w:rFonts w:hint="eastAsia" w:ascii="宋体" w:hAnsi="Courier New"/>
          <w:b/>
          <w:color w:val="auto"/>
          <w:sz w:val="24"/>
          <w:highlight w:val="none"/>
        </w:rPr>
        <w:t>暂定数量，最终费用按实际配送的数量（经</w:t>
      </w:r>
      <w:r>
        <w:rPr>
          <w:rFonts w:hint="eastAsia" w:ascii="宋体" w:hAnsi="Courier New"/>
          <w:b/>
          <w:color w:val="auto"/>
          <w:sz w:val="24"/>
          <w:highlight w:val="none"/>
          <w:lang w:eastAsia="zh-CN"/>
        </w:rPr>
        <w:t>采购人</w:t>
      </w:r>
      <w:r>
        <w:rPr>
          <w:rFonts w:hint="eastAsia" w:ascii="宋体" w:hAnsi="Courier New"/>
          <w:b/>
          <w:color w:val="auto"/>
          <w:sz w:val="24"/>
          <w:highlight w:val="none"/>
        </w:rPr>
        <w:t>认可后）与交易单价（单价不作调整）的乘积计算，供应商应自行承担报价风险。</w:t>
      </w:r>
    </w:p>
    <w:p>
      <w:pPr>
        <w:spacing w:line="360" w:lineRule="auto"/>
        <w:ind w:firstLine="482" w:firstLineChars="200"/>
        <w:rPr>
          <w:rFonts w:hint="eastAsia" w:ascii="宋体" w:hAnsi="Courier New"/>
          <w:b/>
          <w:color w:val="auto"/>
          <w:sz w:val="24"/>
          <w:highlight w:val="none"/>
          <w:lang w:val="en-US" w:eastAsia="zh-CN"/>
        </w:rPr>
      </w:pPr>
      <w:r>
        <w:rPr>
          <w:rFonts w:hint="eastAsia" w:ascii="宋体" w:hAnsi="Courier New"/>
          <w:b/>
          <w:color w:val="auto"/>
          <w:sz w:val="24"/>
          <w:highlight w:val="none"/>
          <w:lang w:eastAsia="zh-CN"/>
        </w:rPr>
        <w:t>（</w:t>
      </w:r>
      <w:r>
        <w:rPr>
          <w:rFonts w:hint="eastAsia" w:ascii="宋体" w:hAnsi="Courier New"/>
          <w:b/>
          <w:color w:val="auto"/>
          <w:sz w:val="24"/>
          <w:highlight w:val="none"/>
          <w:lang w:val="en-US" w:eastAsia="zh-CN"/>
        </w:rPr>
        <w:t>2</w:t>
      </w:r>
      <w:r>
        <w:rPr>
          <w:rFonts w:hint="eastAsia" w:ascii="宋体" w:hAnsi="Courier New"/>
          <w:b/>
          <w:color w:val="auto"/>
          <w:sz w:val="24"/>
          <w:highlight w:val="none"/>
          <w:lang w:eastAsia="zh-CN"/>
        </w:rPr>
        <w:t>）</w:t>
      </w:r>
      <w:r>
        <w:rPr>
          <w:rFonts w:hint="eastAsia" w:ascii="宋体" w:hAnsi="Courier New"/>
          <w:b/>
          <w:color w:val="auto"/>
          <w:sz w:val="24"/>
          <w:highlight w:val="none"/>
          <w:lang w:val="en-US" w:eastAsia="zh-CN"/>
        </w:rPr>
        <w:t>清单中“不少于”字样，包含本身。</w:t>
      </w:r>
    </w:p>
    <w:p>
      <w:pPr>
        <w:spacing w:line="360" w:lineRule="auto"/>
        <w:ind w:firstLine="482" w:firstLineChars="200"/>
        <w:rPr>
          <w:rFonts w:hint="eastAsia" w:ascii="宋体" w:hAnsi="Courier New"/>
          <w:b/>
          <w:color w:val="auto"/>
          <w:sz w:val="24"/>
          <w:highlight w:val="none"/>
          <w:lang w:val="en-US" w:eastAsia="zh-CN"/>
        </w:rPr>
      </w:pPr>
      <w:r>
        <w:rPr>
          <w:rFonts w:hint="eastAsia" w:ascii="宋体" w:hAnsi="Courier New"/>
          <w:b/>
          <w:color w:val="auto"/>
          <w:sz w:val="24"/>
          <w:highlight w:val="none"/>
          <w:lang w:val="en-US" w:eastAsia="zh-CN"/>
        </w:rPr>
        <w:t>（3）除交易文件标注的参考品牌外，欢迎其它能满足本项目参数规格且与所注品牌相当的产品参与。</w:t>
      </w:r>
    </w:p>
    <w:p>
      <w:pPr>
        <w:spacing w:line="360" w:lineRule="auto"/>
        <w:ind w:firstLine="482" w:firstLineChars="200"/>
        <w:rPr>
          <w:rFonts w:hint="eastAsia"/>
          <w:color w:val="auto"/>
          <w:highlight w:val="none"/>
        </w:rPr>
      </w:pPr>
      <w:r>
        <w:rPr>
          <w:rFonts w:hint="eastAsia" w:ascii="宋体" w:hAnsi="Courier New"/>
          <w:b/>
          <w:color w:val="auto"/>
          <w:sz w:val="24"/>
          <w:highlight w:val="none"/>
          <w:lang w:val="en-US" w:eastAsia="zh-CN"/>
        </w:rPr>
        <w:t>（4）成交供应商所提供的货物、服务须与响应文件中承诺一致，不得以次充好、偷工减料。</w:t>
      </w:r>
      <w:r>
        <w:rPr>
          <w:rFonts w:ascii="宋体" w:hAnsi="Courier New"/>
          <w:b/>
          <w:color w:val="auto"/>
          <w:sz w:val="24"/>
          <w:highlight w:val="none"/>
        </w:rPr>
        <w:t xml:space="preserve"> </w:t>
      </w:r>
    </w:p>
    <w:p>
      <w:pPr>
        <w:pStyle w:val="3"/>
        <w:keepNext/>
        <w:keepLines/>
        <w:pageBreakBefore w:val="0"/>
        <w:widowControl w:val="0"/>
        <w:numPr>
          <w:ilvl w:val="0"/>
          <w:numId w:val="0"/>
        </w:numPr>
        <w:kinsoku/>
        <w:wordWrap/>
        <w:overflowPunct/>
        <w:topLinePunct w:val="0"/>
        <w:autoSpaceDE/>
        <w:autoSpaceDN/>
        <w:bidi w:val="0"/>
        <w:adjustRightInd w:val="0"/>
        <w:snapToGrid/>
        <w:spacing w:before="0" w:after="0" w:line="480" w:lineRule="auto"/>
        <w:ind w:left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（二）商务需求</w:t>
      </w:r>
    </w:p>
    <w:p>
      <w:pPr>
        <w:spacing w:line="360" w:lineRule="auto"/>
        <w:ind w:firstLine="480" w:firstLineChars="200"/>
        <w:rPr>
          <w:rFonts w:ascii="宋体"/>
          <w:color w:val="auto"/>
          <w:sz w:val="24"/>
          <w:highlight w:val="none"/>
        </w:rPr>
      </w:pPr>
      <w:bookmarkStart w:id="23" w:name="_Toc310522576"/>
      <w:r>
        <w:rPr>
          <w:rFonts w:ascii="宋体" w:hAnsi="宋体"/>
          <w:color w:val="auto"/>
          <w:sz w:val="24"/>
          <w:highlight w:val="none"/>
        </w:rPr>
        <w:t>2.1</w:t>
      </w:r>
      <w:r>
        <w:rPr>
          <w:rFonts w:hint="eastAsia" w:ascii="宋体" w:hAnsi="宋体"/>
          <w:color w:val="auto"/>
          <w:sz w:val="24"/>
          <w:highlight w:val="none"/>
        </w:rPr>
        <w:t>交货（服务）时间及地点</w:t>
      </w:r>
    </w:p>
    <w:p>
      <w:pPr>
        <w:spacing w:line="360" w:lineRule="auto"/>
        <w:ind w:firstLine="480" w:firstLineChars="200"/>
        <w:rPr>
          <w:rFonts w:hint="eastAsia" w:ascii="宋体" w:hAnsi="宋体"/>
          <w:color w:val="auto"/>
          <w:sz w:val="24"/>
          <w:highlight w:val="none"/>
        </w:rPr>
      </w:pPr>
      <w:r>
        <w:rPr>
          <w:rFonts w:hint="eastAsia" w:ascii="宋体" w:hAnsi="宋体" w:eastAsia="宋体" w:cs="宋体"/>
          <w:color w:val="auto"/>
          <w:kern w:val="0"/>
          <w:sz w:val="24"/>
          <w:highlight w:val="none"/>
          <w:lang w:val="zh-CN"/>
        </w:rPr>
        <w:t>▲</w:t>
      </w:r>
      <w:r>
        <w:rPr>
          <w:rFonts w:ascii="宋体" w:hAnsi="宋体"/>
          <w:color w:val="auto"/>
          <w:sz w:val="24"/>
          <w:highlight w:val="none"/>
        </w:rPr>
        <w:t>(1)</w:t>
      </w:r>
      <w:r>
        <w:rPr>
          <w:rFonts w:hint="eastAsia" w:ascii="宋体" w:hAnsi="宋体"/>
          <w:color w:val="auto"/>
          <w:sz w:val="24"/>
          <w:highlight w:val="none"/>
        </w:rPr>
        <w:t>供货（服务）期为：</w:t>
      </w:r>
      <w:r>
        <w:rPr>
          <w:rFonts w:hint="eastAsia" w:ascii="宋体" w:hAnsi="宋体"/>
          <w:b/>
          <w:bCs/>
          <w:color w:val="auto"/>
          <w:sz w:val="24"/>
          <w:highlight w:val="none"/>
          <w:lang w:val="en-US" w:eastAsia="zh-CN"/>
        </w:rPr>
        <w:t>每批订单发起后三天内供货</w:t>
      </w:r>
      <w:r>
        <w:rPr>
          <w:rFonts w:hint="eastAsia" w:ascii="宋体" w:hAnsi="宋体"/>
          <w:color w:val="auto"/>
          <w:sz w:val="24"/>
          <w:highlight w:val="none"/>
        </w:rPr>
        <w:t>。配送地址：1、浦阳镇骨干林道项目部：浦阳镇东思线与新宾路交叉口北60米；2、所前镇拌和中心：所前镇联东路与袄所线交叉路口往东南约80米；3、五联设施班：新塘街道五联村陈瑞路529号（超限运输检测站旁，太平洋钢结构对面）；4、靖江街道东片项目部：靖江街道靖江殿路32号；5、蜀山街道行政：蜀山街道风情大道木尖山隧道北口东侧100米处。                                                                 注：以上每处都需送货上门。发票每处每月分别开票，需附送货清单。到货含税价。具体以</w:t>
      </w:r>
      <w:r>
        <w:rPr>
          <w:rFonts w:hint="eastAsia" w:ascii="宋体" w:hAnsi="宋体"/>
          <w:color w:val="auto"/>
          <w:sz w:val="24"/>
          <w:highlight w:val="none"/>
          <w:lang w:eastAsia="zh-CN"/>
        </w:rPr>
        <w:t>采购</w:t>
      </w:r>
      <w:r>
        <w:rPr>
          <w:rFonts w:hint="eastAsia" w:ascii="宋体" w:hAnsi="宋体"/>
          <w:color w:val="auto"/>
          <w:sz w:val="24"/>
          <w:highlight w:val="none"/>
        </w:rPr>
        <w:t>人实际通知为准。</w:t>
      </w:r>
    </w:p>
    <w:p>
      <w:pPr>
        <w:pStyle w:val="4"/>
        <w:tabs>
          <w:tab w:val="clear" w:pos="432"/>
        </w:tabs>
        <w:ind w:left="0" w:leftChars="0" w:hanging="432" w:firstLineChars="0"/>
        <w:rPr>
          <w:rFonts w:hint="eastAsia" w:eastAsia="仿宋_GB2312"/>
          <w:color w:val="auto"/>
          <w:lang w:eastAsia="zh-CN"/>
        </w:rPr>
      </w:pPr>
      <w:r>
        <w:rPr>
          <w:rFonts w:hint="eastAsia" w:ascii="宋体" w:hAnsi="宋体"/>
          <w:color w:val="auto"/>
          <w:sz w:val="24"/>
          <w:highlight w:val="none"/>
          <w:lang w:val="en-US" w:eastAsia="zh-CN"/>
        </w:rPr>
        <w:t xml:space="preserve">  </w:t>
      </w:r>
      <w:r>
        <w:rPr>
          <w:rFonts w:hint="eastAsia" w:ascii="宋体" w:hAnsi="宋体" w:eastAsia="宋体" w:cs="Times New Roman"/>
          <w:b w:val="0"/>
          <w:bCs w:val="0"/>
          <w:color w:val="auto"/>
          <w:kern w:val="2"/>
          <w:sz w:val="24"/>
          <w:szCs w:val="24"/>
          <w:highlight w:val="none"/>
          <w:lang w:val="en-US" w:eastAsia="zh-CN" w:bidi="ar-SA"/>
        </w:rPr>
        <w:t xml:space="preserve">      </w:t>
      </w:r>
      <w:r>
        <w:rPr>
          <w:rFonts w:hint="eastAsia" w:ascii="宋体" w:hAnsi="宋体" w:eastAsia="宋体" w:cs="宋体"/>
          <w:color w:val="auto"/>
          <w:kern w:val="0"/>
          <w:sz w:val="24"/>
          <w:highlight w:val="none"/>
          <w:lang w:val="zh-CN"/>
        </w:rPr>
        <w:t>▲</w:t>
      </w:r>
      <w:r>
        <w:rPr>
          <w:rFonts w:hint="eastAsia" w:ascii="宋体" w:hAnsi="宋体" w:eastAsia="宋体" w:cs="Times New Roman"/>
          <w:b w:val="0"/>
          <w:bCs w:val="0"/>
          <w:color w:val="auto"/>
          <w:kern w:val="2"/>
          <w:sz w:val="24"/>
          <w:szCs w:val="24"/>
          <w:highlight w:val="none"/>
          <w:lang w:val="en-US" w:eastAsia="zh-CN" w:bidi="ar-SA"/>
        </w:rPr>
        <w:t>（2）服务期要求：合同签订之日起1年，实施“双控原则”，即合同数量和合同有效期（一年）双向控制，其中任意一项指标达到合同，即合同终止。</w:t>
      </w:r>
    </w:p>
    <w:p>
      <w:pPr>
        <w:snapToGrid w:val="0"/>
        <w:spacing w:line="360" w:lineRule="auto"/>
        <w:ind w:firstLine="472" w:firstLineChars="196"/>
        <w:jc w:val="left"/>
        <w:rPr>
          <w:rFonts w:asci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w:t>
      </w:r>
      <w:r>
        <w:rPr>
          <w:rFonts w:hint="eastAsia" w:ascii="宋体" w:hAnsi="宋体"/>
          <w:b/>
          <w:color w:val="auto"/>
          <w:sz w:val="24"/>
          <w:highlight w:val="none"/>
        </w:rPr>
        <w:t>付款方式</w:t>
      </w:r>
    </w:p>
    <w:p>
      <w:pPr>
        <w:keepNext w:val="0"/>
        <w:keepLines w:val="0"/>
        <w:pageBreakBefore w:val="0"/>
        <w:widowControl w:val="0"/>
        <w:kinsoku/>
        <w:wordWrap/>
        <w:overflowPunct/>
        <w:topLinePunct w:val="0"/>
        <w:autoSpaceDE/>
        <w:autoSpaceDN/>
        <w:bidi w:val="0"/>
        <w:adjustRightInd w:val="0"/>
        <w:snapToGrid/>
        <w:spacing w:line="400" w:lineRule="exact"/>
        <w:ind w:firstLine="482"/>
        <w:textAlignment w:val="auto"/>
        <w:rPr>
          <w:color w:val="auto"/>
        </w:rPr>
      </w:pPr>
      <w:r>
        <w:rPr>
          <w:rFonts w:hint="eastAsia" w:ascii="宋体" w:hAnsi="宋体" w:cs="宋体"/>
          <w:b/>
          <w:bCs/>
          <w:color w:val="auto"/>
          <w:sz w:val="24"/>
          <w:szCs w:val="24"/>
          <w:highlight w:val="none"/>
          <w:lang w:val="en-US" w:eastAsia="zh-CN"/>
        </w:rPr>
        <w:t>按批次支付</w:t>
      </w:r>
      <w:r>
        <w:rPr>
          <w:rFonts w:hint="eastAsia" w:ascii="宋体" w:hAnsi="宋体" w:eastAsia="宋体" w:cs="宋体"/>
          <w:b/>
          <w:bCs/>
          <w:color w:val="auto"/>
          <w:sz w:val="24"/>
          <w:szCs w:val="24"/>
          <w:highlight w:val="none"/>
          <w:lang w:val="en-US" w:eastAsia="zh-CN"/>
        </w:rPr>
        <w:t>，采购人验收合格后</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lang w:val="en-US" w:eastAsia="zh-CN"/>
        </w:rPr>
        <w:t>日内一次性付清，</w:t>
      </w:r>
      <w:r>
        <w:rPr>
          <w:rFonts w:hint="eastAsia" w:ascii="宋体" w:hAnsi="宋体" w:cs="宋体"/>
          <w:b/>
          <w:bCs/>
          <w:color w:val="auto"/>
          <w:sz w:val="24"/>
          <w:szCs w:val="24"/>
          <w:highlight w:val="none"/>
          <w:lang w:val="en-US" w:eastAsia="zh-CN"/>
        </w:rPr>
        <w:t>每批</w:t>
      </w:r>
      <w:r>
        <w:rPr>
          <w:rFonts w:hint="eastAsia" w:ascii="宋体" w:hAnsi="宋体" w:eastAsia="宋体" w:cs="宋体"/>
          <w:b/>
          <w:bCs/>
          <w:color w:val="auto"/>
          <w:sz w:val="24"/>
          <w:szCs w:val="24"/>
          <w:highlight w:val="none"/>
          <w:lang w:val="en-US" w:eastAsia="zh-CN"/>
        </w:rPr>
        <w:t>按照实际配送数量*响应单价，按实结算，具体在合同中明确。</w:t>
      </w:r>
      <w:bookmarkEnd w:id="23"/>
      <w:bookmarkStart w:id="24" w:name="_Toc310782778"/>
      <w:bookmarkEnd w:id="24"/>
      <w:bookmarkStart w:id="25" w:name="_Toc310443605"/>
      <w:bookmarkEnd w:id="25"/>
      <w:bookmarkStart w:id="26" w:name="_Toc40893860"/>
      <w:bookmarkEnd w:id="26"/>
      <w:bookmarkStart w:id="27" w:name="_Toc40893862"/>
      <w:bookmarkEnd w:id="27"/>
      <w:bookmarkStart w:id="28" w:name="_Toc471471971"/>
      <w:bookmarkEnd w:id="28"/>
      <w:bookmarkStart w:id="29" w:name="_Toc456339246"/>
      <w:bookmarkEnd w:id="29"/>
      <w:bookmarkStart w:id="30" w:name="_Toc359011859"/>
      <w:bookmarkEnd w:id="30"/>
      <w:bookmarkStart w:id="31" w:name="_Toc13021"/>
      <w:bookmarkEnd w:id="31"/>
      <w:bookmarkStart w:id="32" w:name="_Toc354344586"/>
      <w:bookmarkEnd w:id="32"/>
      <w:bookmarkStart w:id="33" w:name="_Toc309222184"/>
      <w:bookmarkEnd w:id="33"/>
      <w:bookmarkStart w:id="34" w:name="_Toc355460780"/>
      <w:bookmarkEnd w:id="34"/>
      <w:bookmarkStart w:id="35" w:name="_Toc448429858"/>
      <w:bookmarkEnd w:id="35"/>
      <w:bookmarkStart w:id="36" w:name="_Toc448429856"/>
      <w:bookmarkEnd w:id="36"/>
      <w:bookmarkStart w:id="37" w:name="_Toc483036495"/>
      <w:bookmarkEnd w:id="37"/>
      <w:bookmarkStart w:id="38" w:name="_Toc310624257"/>
      <w:bookmarkEnd w:id="38"/>
      <w:bookmarkStart w:id="39" w:name="_Toc310522583"/>
      <w:bookmarkEnd w:id="39"/>
      <w:bookmarkStart w:id="40" w:name="_Toc310424142"/>
      <w:bookmarkEnd w:id="40"/>
      <w:bookmarkStart w:id="41" w:name="_Toc456339248"/>
      <w:bookmarkEnd w:id="41"/>
      <w:bookmarkStart w:id="42" w:name="_Toc359011861"/>
      <w:bookmarkEnd w:id="42"/>
    </w:p>
    <w:p>
      <w:pPr>
        <w:pStyle w:val="131"/>
        <w:adjustRightInd w:val="0"/>
        <w:snapToGrid w:val="0"/>
        <w:spacing w:after="0"/>
        <w:ind w:firstLine="240" w:firstLineChars="100"/>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▲3、报价：</w:t>
      </w:r>
    </w:p>
    <w:p>
      <w:pPr>
        <w:spacing w:after="0" w:line="360" w:lineRule="auto"/>
        <w:ind w:firstLine="480" w:firstLineChars="200"/>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（1）本项目按折扣率（非下浮率）形式报价，最高折扣率是100%，超过最高折扣率作无效响应标处理。</w:t>
      </w:r>
    </w:p>
    <w:p>
      <w:pPr>
        <w:spacing w:after="0" w:line="360" w:lineRule="auto"/>
        <w:ind w:firstLine="480" w:firstLineChars="200"/>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供应商根据自身能力报出货物的折扣b%（注：b值至多精确到小数点后两位）。货物金额＝b%×单价最高限价。</w:t>
      </w:r>
    </w:p>
    <w:p>
      <w:pPr>
        <w:ind w:firstLine="480" w:firstLineChars="200"/>
        <w:rPr>
          <w:rFonts w:hint="eastAsia" w:ascii="宋体" w:hAnsi="宋体" w:cs="宋体"/>
          <w:b/>
          <w:color w:val="auto"/>
          <w:sz w:val="36"/>
          <w:szCs w:val="36"/>
          <w:highlight w:val="none"/>
        </w:rPr>
      </w:pPr>
      <w:r>
        <w:rPr>
          <w:rFonts w:hint="eastAsia" w:ascii="宋体" w:hAnsi="宋体" w:eastAsia="宋体" w:cs="Times New Roman"/>
          <w:b w:val="0"/>
          <w:bCs w:val="0"/>
          <w:color w:val="auto"/>
          <w:kern w:val="2"/>
          <w:sz w:val="24"/>
          <w:szCs w:val="24"/>
          <w:highlight w:val="none"/>
          <w:lang w:val="en-US" w:eastAsia="zh-CN" w:bidi="ar-SA"/>
        </w:rPr>
        <w:t>（2）本项目最高折扣：100%。</w:t>
      </w:r>
      <w:r>
        <w:rPr>
          <w:rFonts w:hint="eastAsia" w:ascii="宋体" w:hAnsi="宋体" w:cs="宋体"/>
          <w:b/>
          <w:color w:val="auto"/>
          <w:sz w:val="36"/>
          <w:szCs w:val="36"/>
          <w:highlight w:val="none"/>
        </w:rPr>
        <w:br w:type="page"/>
      </w:r>
    </w:p>
    <w:p>
      <w:pPr>
        <w:numPr>
          <w:ilvl w:val="0"/>
          <w:numId w:val="1"/>
        </w:numPr>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bookmarkStart w:id="43" w:name="_Toc184308055"/>
      <w:bookmarkEnd w:id="43"/>
      <w:bookmarkStart w:id="44" w:name="_Toc184313267"/>
      <w:bookmarkEnd w:id="44"/>
      <w:bookmarkStart w:id="45" w:name="_Toc184308050"/>
      <w:bookmarkEnd w:id="45"/>
      <w:bookmarkStart w:id="46" w:name="_Toc184312075"/>
      <w:bookmarkEnd w:id="46"/>
      <w:bookmarkStart w:id="47" w:name="_Toc184312085"/>
      <w:bookmarkEnd w:id="47"/>
      <w:bookmarkStart w:id="48" w:name="_Toc184308072"/>
      <w:bookmarkEnd w:id="48"/>
      <w:bookmarkStart w:id="49" w:name="_Toc184314431"/>
      <w:bookmarkEnd w:id="49"/>
      <w:bookmarkStart w:id="50" w:name="_Toc184313297"/>
      <w:bookmarkEnd w:id="50"/>
      <w:bookmarkStart w:id="51" w:name="_Toc184308081"/>
      <w:bookmarkEnd w:id="51"/>
      <w:bookmarkStart w:id="52" w:name="_Toc184314428"/>
      <w:bookmarkEnd w:id="52"/>
      <w:bookmarkStart w:id="53" w:name="_Toc184308101"/>
      <w:bookmarkEnd w:id="53"/>
      <w:bookmarkStart w:id="54" w:name="_Toc184308102"/>
      <w:bookmarkEnd w:id="54"/>
      <w:bookmarkStart w:id="55" w:name="_Toc184308052"/>
      <w:bookmarkEnd w:id="55"/>
      <w:bookmarkStart w:id="56" w:name="_Toc184312115"/>
      <w:bookmarkEnd w:id="56"/>
      <w:bookmarkStart w:id="57" w:name="_Toc184314430"/>
      <w:bookmarkEnd w:id="57"/>
      <w:bookmarkStart w:id="58" w:name="_Toc184308044"/>
      <w:bookmarkEnd w:id="58"/>
      <w:bookmarkStart w:id="59" w:name="_Toc184312099"/>
      <w:bookmarkEnd w:id="59"/>
      <w:bookmarkStart w:id="60" w:name="_Toc184313243"/>
      <w:bookmarkEnd w:id="60"/>
      <w:bookmarkStart w:id="61" w:name="_Toc184310281"/>
      <w:bookmarkEnd w:id="61"/>
      <w:bookmarkStart w:id="62" w:name="_Toc184312084"/>
      <w:bookmarkEnd w:id="62"/>
      <w:bookmarkStart w:id="63" w:name="_Toc184308095"/>
      <w:bookmarkEnd w:id="63"/>
      <w:bookmarkStart w:id="64" w:name="_Toc184310276"/>
      <w:bookmarkEnd w:id="64"/>
      <w:bookmarkStart w:id="65" w:name="_Toc184308108"/>
      <w:bookmarkEnd w:id="65"/>
      <w:bookmarkStart w:id="66" w:name="_Toc184313251"/>
      <w:bookmarkEnd w:id="66"/>
      <w:bookmarkStart w:id="67" w:name="_Toc184312092"/>
      <w:bookmarkEnd w:id="67"/>
      <w:bookmarkStart w:id="68" w:name="_Toc184314456"/>
      <w:bookmarkEnd w:id="68"/>
      <w:bookmarkStart w:id="69" w:name="_Toc184312134"/>
      <w:bookmarkEnd w:id="69"/>
      <w:bookmarkStart w:id="70" w:name="_Toc184308048"/>
      <w:bookmarkEnd w:id="70"/>
      <w:bookmarkStart w:id="71" w:name="_Toc184308066"/>
      <w:bookmarkEnd w:id="71"/>
      <w:bookmarkStart w:id="72" w:name="_Toc184308091"/>
      <w:bookmarkEnd w:id="72"/>
      <w:bookmarkStart w:id="73" w:name="_Toc184313249"/>
      <w:bookmarkEnd w:id="73"/>
      <w:bookmarkStart w:id="74" w:name="_Toc184312086"/>
      <w:bookmarkEnd w:id="74"/>
      <w:bookmarkStart w:id="75" w:name="_Toc184308082"/>
      <w:bookmarkEnd w:id="75"/>
      <w:bookmarkStart w:id="76" w:name="_Toc184312088"/>
      <w:bookmarkEnd w:id="76"/>
      <w:bookmarkStart w:id="77" w:name="_Toc184308067"/>
      <w:bookmarkEnd w:id="77"/>
      <w:bookmarkStart w:id="78" w:name="_Toc184310296"/>
      <w:bookmarkEnd w:id="78"/>
      <w:bookmarkStart w:id="79" w:name="_Toc184314413"/>
      <w:bookmarkEnd w:id="79"/>
      <w:bookmarkStart w:id="80" w:name="_Toc184314460"/>
      <w:bookmarkEnd w:id="80"/>
      <w:bookmarkStart w:id="81" w:name="_Toc184313294"/>
      <w:bookmarkEnd w:id="81"/>
      <w:bookmarkStart w:id="82" w:name="_Toc184314420"/>
      <w:bookmarkEnd w:id="82"/>
      <w:bookmarkStart w:id="83" w:name="_Toc184313259"/>
      <w:bookmarkEnd w:id="83"/>
      <w:bookmarkStart w:id="84" w:name="_Toc184308090"/>
      <w:bookmarkEnd w:id="84"/>
      <w:bookmarkStart w:id="85" w:name="_Toc184308046"/>
      <w:bookmarkEnd w:id="85"/>
      <w:bookmarkStart w:id="86" w:name="_Toc184313289"/>
      <w:bookmarkEnd w:id="86"/>
      <w:bookmarkStart w:id="87" w:name="_Toc184314473"/>
      <w:bookmarkEnd w:id="87"/>
      <w:bookmarkStart w:id="88" w:name="_Toc184310331"/>
      <w:bookmarkEnd w:id="88"/>
      <w:bookmarkStart w:id="89" w:name="_Toc184313262"/>
      <w:bookmarkEnd w:id="89"/>
      <w:bookmarkStart w:id="90" w:name="_Toc184308073"/>
      <w:bookmarkEnd w:id="90"/>
      <w:bookmarkStart w:id="91" w:name="_Toc184312097"/>
      <w:bookmarkEnd w:id="91"/>
      <w:bookmarkStart w:id="92" w:name="_Toc184314447"/>
      <w:bookmarkEnd w:id="92"/>
      <w:bookmarkStart w:id="93" w:name="_Toc184314461"/>
      <w:bookmarkEnd w:id="93"/>
      <w:bookmarkStart w:id="94" w:name="_Toc184310339"/>
      <w:bookmarkEnd w:id="94"/>
      <w:bookmarkStart w:id="95" w:name="_Toc184313286"/>
      <w:bookmarkEnd w:id="95"/>
      <w:bookmarkStart w:id="96" w:name="_Toc184310327"/>
      <w:bookmarkEnd w:id="96"/>
      <w:bookmarkStart w:id="97" w:name="_Toc184314424"/>
      <w:bookmarkEnd w:id="97"/>
      <w:bookmarkStart w:id="98" w:name="_Toc184314470"/>
      <w:bookmarkEnd w:id="98"/>
      <w:bookmarkStart w:id="99" w:name="_Toc184308047"/>
      <w:bookmarkEnd w:id="99"/>
      <w:bookmarkStart w:id="100" w:name="_Toc184312126"/>
      <w:bookmarkEnd w:id="100"/>
      <w:bookmarkStart w:id="101" w:name="_Toc184310277"/>
      <w:bookmarkEnd w:id="101"/>
      <w:bookmarkStart w:id="102" w:name="_Toc184308103"/>
      <w:bookmarkEnd w:id="102"/>
      <w:bookmarkStart w:id="103" w:name="_Toc184310341"/>
      <w:bookmarkEnd w:id="103"/>
      <w:bookmarkStart w:id="104" w:name="_Toc184313256"/>
      <w:bookmarkEnd w:id="104"/>
      <w:bookmarkStart w:id="105" w:name="_Toc184313245"/>
      <w:bookmarkEnd w:id="105"/>
      <w:bookmarkStart w:id="106" w:name="_Toc184312116"/>
      <w:bookmarkEnd w:id="106"/>
      <w:bookmarkStart w:id="107" w:name="_Toc184312138"/>
      <w:bookmarkEnd w:id="107"/>
      <w:bookmarkStart w:id="108" w:name="_Toc184312091"/>
      <w:bookmarkEnd w:id="108"/>
      <w:bookmarkStart w:id="109" w:name="_Toc184313279"/>
      <w:bookmarkEnd w:id="109"/>
      <w:bookmarkStart w:id="110" w:name="_Toc184310340"/>
      <w:bookmarkEnd w:id="110"/>
      <w:bookmarkStart w:id="111" w:name="_Toc184308089"/>
      <w:bookmarkEnd w:id="111"/>
      <w:bookmarkStart w:id="112" w:name="_Toc184313310"/>
      <w:bookmarkEnd w:id="112"/>
      <w:bookmarkStart w:id="113" w:name="_Toc184310323"/>
      <w:bookmarkEnd w:id="113"/>
      <w:bookmarkStart w:id="114" w:name="_Toc184313308"/>
      <w:bookmarkEnd w:id="114"/>
      <w:bookmarkStart w:id="115" w:name="_Toc184314436"/>
      <w:bookmarkEnd w:id="115"/>
      <w:bookmarkStart w:id="116" w:name="_Toc184308045"/>
      <w:bookmarkEnd w:id="116"/>
      <w:bookmarkStart w:id="117" w:name="_Toc184314465"/>
      <w:bookmarkEnd w:id="117"/>
      <w:bookmarkStart w:id="118" w:name="_Toc184310334"/>
      <w:bookmarkEnd w:id="118"/>
      <w:bookmarkStart w:id="119" w:name="_Toc184312072"/>
      <w:bookmarkEnd w:id="119"/>
      <w:bookmarkStart w:id="120" w:name="_Toc184310292"/>
      <w:bookmarkEnd w:id="120"/>
      <w:bookmarkStart w:id="121" w:name="_Toc184312071"/>
      <w:bookmarkEnd w:id="121"/>
      <w:bookmarkStart w:id="122" w:name="_Toc184314455"/>
      <w:bookmarkEnd w:id="122"/>
      <w:bookmarkStart w:id="123" w:name="_Toc184308097"/>
      <w:bookmarkEnd w:id="123"/>
      <w:bookmarkStart w:id="124" w:name="_Toc184313250"/>
      <w:bookmarkEnd w:id="124"/>
      <w:bookmarkStart w:id="125" w:name="_Toc184308094"/>
      <w:bookmarkEnd w:id="125"/>
      <w:bookmarkStart w:id="126" w:name="_Toc184308043"/>
      <w:bookmarkEnd w:id="126"/>
      <w:bookmarkStart w:id="127" w:name="_Toc184308037"/>
      <w:bookmarkEnd w:id="127"/>
      <w:bookmarkStart w:id="128" w:name="_Toc184308085"/>
      <w:bookmarkEnd w:id="128"/>
      <w:bookmarkStart w:id="129" w:name="_Toc184310321"/>
      <w:bookmarkEnd w:id="129"/>
      <w:bookmarkStart w:id="130" w:name="_Toc184314445"/>
      <w:bookmarkEnd w:id="130"/>
      <w:bookmarkStart w:id="131" w:name="_Toc184314444"/>
      <w:bookmarkEnd w:id="131"/>
      <w:bookmarkStart w:id="132" w:name="_Toc184308039"/>
      <w:bookmarkEnd w:id="132"/>
      <w:bookmarkStart w:id="133" w:name="_Toc184313242"/>
      <w:bookmarkEnd w:id="133"/>
      <w:bookmarkStart w:id="134" w:name="_Toc184310297"/>
      <w:bookmarkEnd w:id="134"/>
      <w:bookmarkStart w:id="135" w:name="_Toc184310280"/>
      <w:bookmarkEnd w:id="135"/>
      <w:bookmarkStart w:id="136" w:name="_Toc184312094"/>
      <w:bookmarkEnd w:id="136"/>
      <w:bookmarkStart w:id="137" w:name="_Toc184310343"/>
      <w:bookmarkEnd w:id="137"/>
      <w:bookmarkStart w:id="138" w:name="_Toc184313271"/>
      <w:bookmarkEnd w:id="138"/>
      <w:bookmarkStart w:id="139" w:name="_Toc184310294"/>
      <w:bookmarkEnd w:id="139"/>
      <w:bookmarkStart w:id="140" w:name="_Toc184313304"/>
      <w:bookmarkEnd w:id="140"/>
      <w:bookmarkStart w:id="141" w:name="_Toc184312124"/>
      <w:bookmarkEnd w:id="141"/>
      <w:bookmarkStart w:id="142" w:name="_Toc184310284"/>
      <w:bookmarkEnd w:id="142"/>
      <w:bookmarkStart w:id="143" w:name="_Toc184314411"/>
      <w:bookmarkEnd w:id="143"/>
      <w:bookmarkStart w:id="144" w:name="_Toc184313293"/>
      <w:bookmarkEnd w:id="144"/>
      <w:bookmarkStart w:id="145" w:name="_Toc184312128"/>
      <w:bookmarkEnd w:id="145"/>
      <w:bookmarkStart w:id="146" w:name="_Toc184308069"/>
      <w:bookmarkEnd w:id="146"/>
      <w:bookmarkStart w:id="147" w:name="_Toc184313264"/>
      <w:bookmarkEnd w:id="147"/>
      <w:bookmarkStart w:id="148" w:name="_Toc184314474"/>
      <w:bookmarkEnd w:id="148"/>
      <w:bookmarkStart w:id="149" w:name="_Toc184310286"/>
      <w:bookmarkEnd w:id="149"/>
      <w:bookmarkStart w:id="150" w:name="_Toc184308099"/>
      <w:bookmarkEnd w:id="150"/>
      <w:bookmarkStart w:id="151" w:name="_Toc184314412"/>
      <w:bookmarkEnd w:id="151"/>
      <w:bookmarkStart w:id="152" w:name="_Toc184310304"/>
      <w:bookmarkEnd w:id="152"/>
      <w:bookmarkStart w:id="153" w:name="_Toc184314421"/>
      <w:bookmarkEnd w:id="153"/>
      <w:bookmarkStart w:id="154" w:name="_Toc184312112"/>
      <w:bookmarkEnd w:id="154"/>
      <w:bookmarkStart w:id="155" w:name="_Toc184312096"/>
      <w:bookmarkEnd w:id="155"/>
      <w:bookmarkStart w:id="156" w:name="_Toc184308083"/>
      <w:bookmarkEnd w:id="156"/>
      <w:bookmarkStart w:id="157" w:name="_Toc184313275"/>
      <w:bookmarkEnd w:id="157"/>
      <w:bookmarkStart w:id="158" w:name="_Toc184312113"/>
      <w:bookmarkEnd w:id="158"/>
      <w:bookmarkStart w:id="159" w:name="_Toc184313260"/>
      <w:bookmarkEnd w:id="159"/>
      <w:bookmarkStart w:id="160" w:name="_Toc184312117"/>
      <w:bookmarkEnd w:id="160"/>
      <w:bookmarkStart w:id="161" w:name="_Toc184310329"/>
      <w:bookmarkEnd w:id="161"/>
      <w:bookmarkStart w:id="162" w:name="_Toc184308058"/>
      <w:bookmarkEnd w:id="162"/>
      <w:bookmarkStart w:id="163" w:name="_Toc184308100"/>
      <w:bookmarkEnd w:id="163"/>
      <w:bookmarkStart w:id="164" w:name="_Toc184314435"/>
      <w:bookmarkEnd w:id="164"/>
      <w:bookmarkStart w:id="165" w:name="_Toc184308076"/>
      <w:bookmarkEnd w:id="165"/>
      <w:bookmarkStart w:id="166" w:name="_Toc184308056"/>
      <w:bookmarkEnd w:id="166"/>
      <w:bookmarkStart w:id="167" w:name="_Toc184314450"/>
      <w:bookmarkEnd w:id="167"/>
      <w:bookmarkStart w:id="168" w:name="_Toc184314471"/>
      <w:bookmarkEnd w:id="168"/>
      <w:bookmarkStart w:id="169" w:name="_Toc184313298"/>
      <w:bookmarkEnd w:id="169"/>
      <w:bookmarkStart w:id="170" w:name="_Toc184308105"/>
      <w:bookmarkEnd w:id="170"/>
      <w:bookmarkStart w:id="171" w:name="_Toc184312132"/>
      <w:bookmarkEnd w:id="171"/>
      <w:bookmarkStart w:id="172" w:name="_Toc184308093"/>
      <w:bookmarkEnd w:id="172"/>
      <w:bookmarkStart w:id="173" w:name="_Toc184314429"/>
      <w:bookmarkEnd w:id="173"/>
      <w:bookmarkStart w:id="174" w:name="_Toc184312111"/>
      <w:bookmarkEnd w:id="174"/>
      <w:bookmarkStart w:id="175" w:name="_Toc184314467"/>
      <w:bookmarkEnd w:id="175"/>
      <w:bookmarkStart w:id="176" w:name="_Toc184310305"/>
      <w:bookmarkEnd w:id="176"/>
      <w:bookmarkStart w:id="177" w:name="_Toc184314449"/>
      <w:bookmarkEnd w:id="177"/>
      <w:bookmarkStart w:id="178" w:name="_Toc184314478"/>
      <w:bookmarkEnd w:id="178"/>
      <w:bookmarkStart w:id="179" w:name="_Toc184312120"/>
      <w:bookmarkEnd w:id="179"/>
      <w:bookmarkStart w:id="180" w:name="_Toc184314482"/>
      <w:bookmarkEnd w:id="180"/>
      <w:bookmarkStart w:id="181" w:name="_Toc184313266"/>
      <w:bookmarkEnd w:id="181"/>
      <w:bookmarkStart w:id="182" w:name="_Toc184310328"/>
      <w:bookmarkEnd w:id="182"/>
      <w:bookmarkStart w:id="183" w:name="_Toc184310310"/>
      <w:bookmarkEnd w:id="183"/>
      <w:bookmarkStart w:id="184" w:name="_Toc184310283"/>
      <w:bookmarkEnd w:id="184"/>
      <w:bookmarkStart w:id="185" w:name="_Toc184310273"/>
      <w:bookmarkEnd w:id="185"/>
      <w:bookmarkStart w:id="186" w:name="_Toc184310278"/>
      <w:bookmarkEnd w:id="186"/>
      <w:bookmarkStart w:id="187" w:name="_Toc184312082"/>
      <w:bookmarkEnd w:id="187"/>
      <w:bookmarkStart w:id="188" w:name="_Toc184310326"/>
      <w:bookmarkEnd w:id="188"/>
      <w:bookmarkStart w:id="189" w:name="_Toc184313288"/>
      <w:bookmarkEnd w:id="189"/>
      <w:bookmarkStart w:id="190" w:name="_Toc184312076"/>
      <w:bookmarkEnd w:id="190"/>
      <w:bookmarkStart w:id="191" w:name="_Toc184310324"/>
      <w:bookmarkEnd w:id="191"/>
      <w:bookmarkStart w:id="192" w:name="_Toc184310311"/>
      <w:bookmarkEnd w:id="192"/>
      <w:bookmarkStart w:id="193" w:name="_Toc184312109"/>
      <w:bookmarkEnd w:id="193"/>
      <w:bookmarkStart w:id="194" w:name="_Toc184308068"/>
      <w:bookmarkEnd w:id="194"/>
      <w:bookmarkStart w:id="195" w:name="_Toc184310344"/>
      <w:bookmarkEnd w:id="195"/>
      <w:bookmarkStart w:id="196" w:name="_Toc184308065"/>
      <w:bookmarkEnd w:id="196"/>
      <w:bookmarkStart w:id="197" w:name="_Toc184310330"/>
      <w:bookmarkEnd w:id="197"/>
      <w:bookmarkStart w:id="198" w:name="_Toc184314462"/>
      <w:bookmarkEnd w:id="198"/>
      <w:bookmarkStart w:id="199" w:name="_Toc184308060"/>
      <w:bookmarkEnd w:id="199"/>
      <w:bookmarkStart w:id="200" w:name="_Toc184313238"/>
      <w:bookmarkEnd w:id="200"/>
      <w:bookmarkStart w:id="201" w:name="_Toc184310285"/>
      <w:bookmarkEnd w:id="201"/>
      <w:bookmarkStart w:id="202" w:name="_Toc184314443"/>
      <w:bookmarkEnd w:id="202"/>
      <w:bookmarkStart w:id="203" w:name="_Toc184310318"/>
      <w:bookmarkEnd w:id="203"/>
      <w:bookmarkStart w:id="204" w:name="_Toc184308107"/>
      <w:bookmarkEnd w:id="204"/>
      <w:bookmarkStart w:id="205" w:name="_Toc184314466"/>
      <w:bookmarkEnd w:id="205"/>
      <w:bookmarkStart w:id="206" w:name="_Toc184312078"/>
      <w:bookmarkEnd w:id="206"/>
      <w:bookmarkStart w:id="207" w:name="_Toc184313263"/>
      <w:bookmarkEnd w:id="207"/>
      <w:bookmarkStart w:id="208" w:name="_Toc184308077"/>
      <w:bookmarkEnd w:id="208"/>
      <w:bookmarkStart w:id="209" w:name="_Toc184314457"/>
      <w:bookmarkEnd w:id="209"/>
      <w:bookmarkStart w:id="210" w:name="_Toc184314479"/>
      <w:bookmarkEnd w:id="210"/>
      <w:bookmarkStart w:id="211" w:name="_Toc184313265"/>
      <w:bookmarkEnd w:id="211"/>
      <w:bookmarkStart w:id="212" w:name="_Toc184312095"/>
      <w:bookmarkEnd w:id="212"/>
      <w:bookmarkStart w:id="213" w:name="_Toc184312130"/>
      <w:bookmarkEnd w:id="213"/>
      <w:bookmarkStart w:id="214" w:name="_Toc184312100"/>
      <w:bookmarkEnd w:id="214"/>
      <w:bookmarkStart w:id="215" w:name="_Toc184308040"/>
      <w:bookmarkEnd w:id="215"/>
      <w:bookmarkStart w:id="216" w:name="_Toc184313285"/>
      <w:bookmarkEnd w:id="216"/>
      <w:bookmarkStart w:id="217" w:name="_Toc184314463"/>
      <w:bookmarkEnd w:id="217"/>
      <w:bookmarkStart w:id="218" w:name="_Toc184310315"/>
      <w:bookmarkEnd w:id="218"/>
      <w:bookmarkStart w:id="219" w:name="_Toc184310312"/>
      <w:bookmarkEnd w:id="219"/>
      <w:bookmarkStart w:id="220" w:name="_Toc184313241"/>
      <w:bookmarkEnd w:id="220"/>
      <w:bookmarkStart w:id="221" w:name="_Toc184314446"/>
      <w:bookmarkEnd w:id="221"/>
      <w:bookmarkStart w:id="222" w:name="_Toc184313268"/>
      <w:bookmarkEnd w:id="222"/>
      <w:bookmarkStart w:id="223" w:name="_Toc184308054"/>
      <w:bookmarkEnd w:id="223"/>
      <w:bookmarkStart w:id="224" w:name="_Toc184314433"/>
      <w:bookmarkEnd w:id="224"/>
      <w:bookmarkStart w:id="225" w:name="_Toc184312087"/>
      <w:bookmarkEnd w:id="225"/>
      <w:bookmarkStart w:id="226" w:name="_Toc184310301"/>
      <w:bookmarkEnd w:id="226"/>
      <w:bookmarkStart w:id="227" w:name="_Toc184314459"/>
      <w:bookmarkEnd w:id="227"/>
      <w:bookmarkStart w:id="228" w:name="_Toc184308079"/>
      <w:bookmarkEnd w:id="228"/>
      <w:bookmarkStart w:id="229" w:name="_Toc184308087"/>
      <w:bookmarkEnd w:id="229"/>
      <w:bookmarkStart w:id="230" w:name="_Toc184313244"/>
      <w:bookmarkEnd w:id="230"/>
      <w:bookmarkStart w:id="231" w:name="_Toc184314439"/>
      <w:bookmarkEnd w:id="231"/>
      <w:bookmarkStart w:id="232" w:name="_Toc184310291"/>
      <w:bookmarkEnd w:id="232"/>
      <w:bookmarkStart w:id="233" w:name="_Toc184314451"/>
      <w:bookmarkEnd w:id="233"/>
      <w:bookmarkStart w:id="234" w:name="_Toc184312105"/>
      <w:bookmarkEnd w:id="234"/>
      <w:bookmarkStart w:id="235" w:name="_Toc184312135"/>
      <w:bookmarkEnd w:id="235"/>
      <w:bookmarkStart w:id="236" w:name="_Toc184312089"/>
      <w:bookmarkEnd w:id="236"/>
      <w:bookmarkStart w:id="237" w:name="_Toc184314432"/>
      <w:bookmarkEnd w:id="237"/>
      <w:bookmarkStart w:id="238" w:name="_Toc184313239"/>
      <w:bookmarkEnd w:id="238"/>
      <w:bookmarkStart w:id="239" w:name="_Toc184310337"/>
      <w:bookmarkEnd w:id="239"/>
      <w:bookmarkStart w:id="240" w:name="_Toc184310307"/>
      <w:bookmarkEnd w:id="240"/>
      <w:bookmarkStart w:id="241" w:name="_Toc184313280"/>
      <w:bookmarkEnd w:id="241"/>
      <w:bookmarkStart w:id="242" w:name="_Toc184308086"/>
      <w:bookmarkEnd w:id="242"/>
      <w:bookmarkStart w:id="243" w:name="_Toc184312098"/>
      <w:bookmarkEnd w:id="243"/>
      <w:bookmarkStart w:id="244" w:name="_Toc184310288"/>
      <w:bookmarkEnd w:id="244"/>
      <w:bookmarkStart w:id="245" w:name="_Toc184308098"/>
      <w:bookmarkEnd w:id="245"/>
      <w:bookmarkStart w:id="246" w:name="_Toc184312077"/>
      <w:bookmarkEnd w:id="246"/>
      <w:bookmarkStart w:id="247" w:name="_Toc184313258"/>
      <w:bookmarkEnd w:id="247"/>
      <w:bookmarkStart w:id="248" w:name="_Toc184313284"/>
      <w:bookmarkEnd w:id="248"/>
      <w:bookmarkStart w:id="249" w:name="_Toc184312107"/>
      <w:bookmarkEnd w:id="249"/>
      <w:bookmarkStart w:id="250" w:name="_Toc184308051"/>
      <w:bookmarkEnd w:id="250"/>
      <w:bookmarkStart w:id="251" w:name="_Toc184308078"/>
      <w:bookmarkEnd w:id="251"/>
      <w:bookmarkStart w:id="252" w:name="_Toc184313257"/>
      <w:bookmarkEnd w:id="252"/>
      <w:bookmarkStart w:id="253" w:name="_Toc184313282"/>
      <w:bookmarkEnd w:id="253"/>
      <w:bookmarkStart w:id="254" w:name="_Toc184313272"/>
      <w:bookmarkEnd w:id="254"/>
      <w:bookmarkStart w:id="255" w:name="_Toc184313261"/>
      <w:bookmarkEnd w:id="255"/>
      <w:bookmarkStart w:id="256" w:name="_Toc184312119"/>
      <w:bookmarkEnd w:id="256"/>
      <w:bookmarkStart w:id="257" w:name="_Toc184313290"/>
      <w:bookmarkEnd w:id="257"/>
      <w:bookmarkStart w:id="258" w:name="_Toc184313292"/>
      <w:bookmarkEnd w:id="258"/>
      <w:bookmarkStart w:id="259" w:name="_Toc184313296"/>
      <w:bookmarkEnd w:id="259"/>
      <w:bookmarkStart w:id="260" w:name="_Toc184308059"/>
      <w:bookmarkEnd w:id="260"/>
      <w:bookmarkStart w:id="261" w:name="_Toc184313281"/>
      <w:bookmarkEnd w:id="261"/>
      <w:bookmarkStart w:id="262" w:name="_Toc184310290"/>
      <w:bookmarkEnd w:id="262"/>
      <w:bookmarkStart w:id="263" w:name="_Toc184312102"/>
      <w:bookmarkEnd w:id="263"/>
      <w:bookmarkStart w:id="264" w:name="_Toc184308041"/>
      <w:bookmarkEnd w:id="264"/>
      <w:bookmarkStart w:id="265" w:name="_Toc184314422"/>
      <w:bookmarkEnd w:id="265"/>
      <w:bookmarkStart w:id="266" w:name="_Toc184310302"/>
      <w:bookmarkEnd w:id="266"/>
      <w:bookmarkStart w:id="267" w:name="_Toc184314434"/>
      <w:bookmarkEnd w:id="267"/>
      <w:bookmarkStart w:id="268" w:name="_Toc184310309"/>
      <w:bookmarkEnd w:id="268"/>
      <w:bookmarkStart w:id="269" w:name="_Toc184313295"/>
      <w:bookmarkEnd w:id="269"/>
      <w:bookmarkStart w:id="270" w:name="_Toc184314440"/>
      <w:bookmarkEnd w:id="270"/>
      <w:bookmarkStart w:id="271" w:name="_Toc184314476"/>
      <w:bookmarkEnd w:id="271"/>
      <w:bookmarkStart w:id="272" w:name="_Toc184313277"/>
      <w:bookmarkEnd w:id="272"/>
      <w:bookmarkStart w:id="273" w:name="_Toc184313287"/>
      <w:bookmarkEnd w:id="273"/>
      <w:bookmarkStart w:id="274" w:name="_Toc184310313"/>
      <w:bookmarkEnd w:id="274"/>
      <w:bookmarkStart w:id="275" w:name="_Toc184308080"/>
      <w:bookmarkEnd w:id="275"/>
      <w:bookmarkStart w:id="276" w:name="_Toc184313269"/>
      <w:bookmarkEnd w:id="276"/>
      <w:bookmarkStart w:id="277" w:name="_Toc184314423"/>
      <w:bookmarkEnd w:id="277"/>
      <w:bookmarkStart w:id="278" w:name="_Toc184310306"/>
      <w:bookmarkEnd w:id="278"/>
      <w:bookmarkStart w:id="279" w:name="_Toc184314481"/>
      <w:bookmarkEnd w:id="279"/>
      <w:bookmarkStart w:id="280" w:name="_Toc184310299"/>
      <w:bookmarkEnd w:id="280"/>
      <w:bookmarkStart w:id="281" w:name="_Toc184308063"/>
      <w:bookmarkEnd w:id="281"/>
      <w:bookmarkStart w:id="282" w:name="_Toc184314448"/>
      <w:bookmarkEnd w:id="282"/>
      <w:bookmarkStart w:id="283" w:name="_Toc184313252"/>
      <w:bookmarkEnd w:id="283"/>
      <w:bookmarkStart w:id="284" w:name="_Toc184310333"/>
      <w:bookmarkEnd w:id="284"/>
      <w:bookmarkStart w:id="285" w:name="_Toc184312139"/>
      <w:bookmarkEnd w:id="285"/>
      <w:bookmarkStart w:id="286" w:name="_Toc184314464"/>
      <w:bookmarkEnd w:id="286"/>
      <w:bookmarkStart w:id="287" w:name="_Toc184310287"/>
      <w:bookmarkEnd w:id="287"/>
      <w:bookmarkStart w:id="288" w:name="_Toc184312108"/>
      <w:bookmarkEnd w:id="288"/>
      <w:bookmarkStart w:id="289" w:name="_Toc184314472"/>
      <w:bookmarkEnd w:id="289"/>
      <w:bookmarkStart w:id="290" w:name="_Toc184313303"/>
      <w:bookmarkEnd w:id="290"/>
      <w:bookmarkStart w:id="291" w:name="_Toc184308053"/>
      <w:bookmarkEnd w:id="291"/>
      <w:bookmarkStart w:id="292" w:name="_Toc184308070"/>
      <w:bookmarkEnd w:id="292"/>
      <w:bookmarkStart w:id="293" w:name="_Toc184313305"/>
      <w:bookmarkEnd w:id="293"/>
      <w:bookmarkStart w:id="294" w:name="_Toc184314425"/>
      <w:bookmarkEnd w:id="294"/>
      <w:bookmarkStart w:id="295" w:name="_Toc184310289"/>
      <w:bookmarkEnd w:id="295"/>
      <w:bookmarkStart w:id="296" w:name="_Toc184314426"/>
      <w:bookmarkEnd w:id="296"/>
      <w:bookmarkStart w:id="297" w:name="_Toc184313255"/>
      <w:bookmarkEnd w:id="297"/>
      <w:bookmarkStart w:id="298" w:name="_Toc184312080"/>
      <w:bookmarkEnd w:id="298"/>
      <w:bookmarkStart w:id="299" w:name="_Toc184314480"/>
      <w:bookmarkEnd w:id="299"/>
      <w:bookmarkStart w:id="300" w:name="_Toc184312129"/>
      <w:bookmarkEnd w:id="300"/>
      <w:bookmarkStart w:id="301" w:name="_Toc184313274"/>
      <w:bookmarkEnd w:id="301"/>
      <w:bookmarkStart w:id="302" w:name="_Toc184312110"/>
      <w:bookmarkEnd w:id="302"/>
      <w:bookmarkStart w:id="303" w:name="_Toc184308036"/>
      <w:bookmarkEnd w:id="303"/>
      <w:bookmarkStart w:id="304" w:name="_Toc184312068"/>
      <w:bookmarkEnd w:id="304"/>
      <w:bookmarkStart w:id="305" w:name="_Toc184310274"/>
      <w:bookmarkEnd w:id="305"/>
      <w:bookmarkStart w:id="306" w:name="_Toc184310332"/>
      <w:bookmarkEnd w:id="306"/>
      <w:bookmarkStart w:id="307" w:name="_Toc184312123"/>
      <w:bookmarkEnd w:id="307"/>
      <w:bookmarkStart w:id="308" w:name="_Toc184310298"/>
      <w:bookmarkEnd w:id="308"/>
      <w:bookmarkStart w:id="309" w:name="_Toc184314442"/>
      <w:bookmarkEnd w:id="309"/>
      <w:bookmarkStart w:id="310" w:name="_Toc184314417"/>
      <w:bookmarkEnd w:id="310"/>
      <w:bookmarkStart w:id="311" w:name="_Toc184312101"/>
      <w:bookmarkEnd w:id="311"/>
      <w:bookmarkStart w:id="312" w:name="_Toc184314453"/>
      <w:bookmarkEnd w:id="312"/>
      <w:bookmarkStart w:id="313" w:name="_Toc184313283"/>
      <w:bookmarkEnd w:id="313"/>
      <w:bookmarkStart w:id="314" w:name="_Toc184310336"/>
      <w:bookmarkEnd w:id="314"/>
      <w:bookmarkStart w:id="315" w:name="_Toc184312090"/>
      <w:bookmarkEnd w:id="315"/>
      <w:bookmarkStart w:id="316" w:name="_Toc184313291"/>
      <w:bookmarkEnd w:id="316"/>
      <w:bookmarkStart w:id="317" w:name="_Toc184314437"/>
      <w:bookmarkEnd w:id="317"/>
      <w:bookmarkStart w:id="318" w:name="_Toc184312083"/>
      <w:bookmarkEnd w:id="318"/>
      <w:bookmarkStart w:id="319" w:name="_Toc184313276"/>
      <w:bookmarkEnd w:id="319"/>
      <w:bookmarkStart w:id="320" w:name="_Toc184312133"/>
      <w:bookmarkEnd w:id="320"/>
      <w:bookmarkStart w:id="321" w:name="_Toc184314410"/>
      <w:bookmarkEnd w:id="321"/>
      <w:bookmarkStart w:id="322" w:name="_Toc184312069"/>
      <w:bookmarkEnd w:id="322"/>
      <w:bookmarkStart w:id="323" w:name="_Toc184313254"/>
      <w:bookmarkEnd w:id="323"/>
      <w:bookmarkStart w:id="324" w:name="_Toc184310317"/>
      <w:bookmarkEnd w:id="324"/>
      <w:bookmarkStart w:id="325" w:name="_Toc184313302"/>
      <w:bookmarkEnd w:id="325"/>
      <w:bookmarkStart w:id="326" w:name="_Toc184313248"/>
      <w:bookmarkEnd w:id="326"/>
      <w:bookmarkStart w:id="327" w:name="_Toc184310300"/>
      <w:bookmarkEnd w:id="327"/>
      <w:bookmarkStart w:id="328" w:name="_Toc184313278"/>
      <w:bookmarkEnd w:id="328"/>
      <w:bookmarkStart w:id="329" w:name="_Toc184310295"/>
      <w:bookmarkEnd w:id="329"/>
      <w:bookmarkStart w:id="330" w:name="_Toc184312070"/>
      <w:bookmarkEnd w:id="330"/>
      <w:bookmarkStart w:id="331" w:name="_Toc184310308"/>
      <w:bookmarkEnd w:id="331"/>
      <w:bookmarkStart w:id="332" w:name="_Toc184310293"/>
      <w:bookmarkEnd w:id="332"/>
      <w:bookmarkStart w:id="333" w:name="_Toc184312127"/>
      <w:bookmarkEnd w:id="333"/>
      <w:bookmarkStart w:id="334" w:name="_Toc184313246"/>
      <w:bookmarkEnd w:id="334"/>
      <w:bookmarkStart w:id="335" w:name="_Toc184312114"/>
      <w:bookmarkEnd w:id="335"/>
      <w:bookmarkStart w:id="336" w:name="_Toc184314441"/>
      <w:bookmarkEnd w:id="336"/>
      <w:bookmarkStart w:id="337" w:name="_Toc184313270"/>
      <w:bookmarkEnd w:id="337"/>
      <w:bookmarkStart w:id="338" w:name="_Toc184310316"/>
      <w:bookmarkEnd w:id="338"/>
      <w:bookmarkStart w:id="339" w:name="_Toc184314475"/>
      <w:bookmarkEnd w:id="339"/>
      <w:bookmarkStart w:id="340" w:name="_Toc184313240"/>
      <w:bookmarkEnd w:id="340"/>
      <w:bookmarkStart w:id="341" w:name="_Toc184314458"/>
      <w:bookmarkEnd w:id="341"/>
      <w:bookmarkStart w:id="342" w:name="_Toc184312118"/>
      <w:bookmarkEnd w:id="342"/>
      <w:bookmarkStart w:id="343" w:name="_Toc184308061"/>
      <w:bookmarkEnd w:id="343"/>
      <w:bookmarkStart w:id="344" w:name="_Toc184312122"/>
      <w:bookmarkEnd w:id="344"/>
      <w:bookmarkStart w:id="345" w:name="_Toc184313306"/>
      <w:bookmarkEnd w:id="345"/>
      <w:bookmarkStart w:id="346" w:name="_Toc184308075"/>
      <w:bookmarkEnd w:id="346"/>
      <w:bookmarkStart w:id="347" w:name="_Toc184312121"/>
      <w:bookmarkEnd w:id="347"/>
      <w:bookmarkStart w:id="348" w:name="_Toc184310320"/>
      <w:bookmarkEnd w:id="348"/>
      <w:bookmarkStart w:id="349" w:name="_Toc184308062"/>
      <w:bookmarkEnd w:id="349"/>
      <w:bookmarkStart w:id="350" w:name="_Toc184308074"/>
      <w:bookmarkEnd w:id="350"/>
      <w:bookmarkStart w:id="351" w:name="_Toc184308104"/>
      <w:bookmarkEnd w:id="351"/>
      <w:bookmarkStart w:id="352" w:name="_Toc184313309"/>
      <w:bookmarkEnd w:id="352"/>
      <w:bookmarkStart w:id="353" w:name="_Toc184314469"/>
      <w:bookmarkEnd w:id="353"/>
      <w:bookmarkStart w:id="354" w:name="_Toc184308084"/>
      <w:bookmarkEnd w:id="354"/>
      <w:bookmarkStart w:id="355" w:name="_Toc184313300"/>
      <w:bookmarkEnd w:id="355"/>
      <w:bookmarkStart w:id="356" w:name="_Toc184310335"/>
      <w:bookmarkEnd w:id="356"/>
      <w:bookmarkStart w:id="357" w:name="_Toc184308057"/>
      <w:bookmarkEnd w:id="357"/>
      <w:bookmarkStart w:id="358" w:name="_Toc184314438"/>
      <w:bookmarkEnd w:id="358"/>
      <w:bookmarkStart w:id="359" w:name="_Toc184310279"/>
      <w:bookmarkEnd w:id="359"/>
      <w:bookmarkStart w:id="360" w:name="_Toc184313299"/>
      <w:bookmarkEnd w:id="360"/>
      <w:bookmarkStart w:id="361" w:name="_Toc184308071"/>
      <w:bookmarkEnd w:id="361"/>
      <w:bookmarkStart w:id="362" w:name="_Toc184308064"/>
      <w:bookmarkEnd w:id="362"/>
      <w:bookmarkStart w:id="363" w:name="_Toc184314454"/>
      <w:bookmarkEnd w:id="363"/>
      <w:bookmarkStart w:id="364" w:name="_Toc184308049"/>
      <w:bookmarkEnd w:id="364"/>
      <w:bookmarkStart w:id="365" w:name="_Toc184310303"/>
      <w:bookmarkEnd w:id="365"/>
      <w:bookmarkStart w:id="366" w:name="_Toc184314452"/>
      <w:bookmarkEnd w:id="366"/>
      <w:bookmarkStart w:id="367" w:name="_Toc184312103"/>
      <w:bookmarkEnd w:id="367"/>
      <w:bookmarkStart w:id="368" w:name="_Toc184310272"/>
      <w:bookmarkEnd w:id="368"/>
      <w:bookmarkStart w:id="369" w:name="_Toc184314415"/>
      <w:bookmarkEnd w:id="369"/>
      <w:bookmarkStart w:id="370" w:name="_Toc184312067"/>
      <w:bookmarkEnd w:id="370"/>
      <w:bookmarkStart w:id="371" w:name="_Toc184314427"/>
      <w:bookmarkEnd w:id="371"/>
      <w:bookmarkStart w:id="372" w:name="_Toc184312074"/>
      <w:bookmarkEnd w:id="372"/>
      <w:bookmarkStart w:id="373" w:name="_Toc184312131"/>
      <w:bookmarkEnd w:id="373"/>
      <w:bookmarkStart w:id="374" w:name="_Toc184314418"/>
      <w:bookmarkEnd w:id="374"/>
      <w:bookmarkStart w:id="375" w:name="_Toc184313307"/>
      <w:bookmarkEnd w:id="375"/>
      <w:bookmarkStart w:id="376" w:name="_Toc184310342"/>
      <w:bookmarkEnd w:id="376"/>
      <w:bookmarkStart w:id="377" w:name="_Toc184310325"/>
      <w:bookmarkEnd w:id="377"/>
      <w:bookmarkStart w:id="378" w:name="_Toc184312136"/>
      <w:bookmarkEnd w:id="378"/>
      <w:bookmarkStart w:id="379" w:name="_Toc184310338"/>
      <w:bookmarkEnd w:id="379"/>
      <w:bookmarkStart w:id="380" w:name="_Toc184313273"/>
      <w:bookmarkEnd w:id="380"/>
      <w:bookmarkStart w:id="381" w:name="_Toc184308106"/>
      <w:bookmarkEnd w:id="381"/>
      <w:bookmarkStart w:id="382" w:name="_Toc184310322"/>
      <w:bookmarkEnd w:id="382"/>
      <w:bookmarkStart w:id="383" w:name="_Toc184308096"/>
      <w:bookmarkEnd w:id="383"/>
      <w:bookmarkStart w:id="384" w:name="_Toc184312106"/>
      <w:bookmarkEnd w:id="384"/>
      <w:bookmarkStart w:id="385" w:name="_Toc184310314"/>
      <w:bookmarkEnd w:id="385"/>
      <w:bookmarkStart w:id="386" w:name="_Toc184312081"/>
      <w:bookmarkEnd w:id="386"/>
      <w:bookmarkStart w:id="387" w:name="_Toc184312079"/>
      <w:bookmarkEnd w:id="387"/>
      <w:bookmarkStart w:id="388" w:name="_Toc184314419"/>
      <w:bookmarkEnd w:id="388"/>
      <w:bookmarkStart w:id="389" w:name="_Toc184310275"/>
      <w:bookmarkEnd w:id="389"/>
      <w:bookmarkStart w:id="390" w:name="_Toc184313301"/>
      <w:bookmarkEnd w:id="390"/>
      <w:bookmarkStart w:id="391" w:name="_Toc184310319"/>
      <w:bookmarkEnd w:id="391"/>
      <w:bookmarkStart w:id="392" w:name="_Toc184308042"/>
      <w:bookmarkEnd w:id="392"/>
      <w:bookmarkStart w:id="393" w:name="_Toc184310282"/>
      <w:bookmarkEnd w:id="393"/>
      <w:bookmarkStart w:id="394" w:name="_Toc184312093"/>
      <w:bookmarkEnd w:id="394"/>
      <w:bookmarkStart w:id="395" w:name="_Toc184312125"/>
      <w:bookmarkEnd w:id="395"/>
      <w:bookmarkStart w:id="396" w:name="_Toc184313247"/>
      <w:bookmarkEnd w:id="396"/>
      <w:bookmarkStart w:id="397" w:name="_Toc184308038"/>
      <w:bookmarkEnd w:id="397"/>
      <w:bookmarkStart w:id="398" w:name="_Toc184308092"/>
      <w:bookmarkEnd w:id="398"/>
      <w:bookmarkStart w:id="399" w:name="_Toc184312137"/>
      <w:bookmarkEnd w:id="399"/>
      <w:bookmarkStart w:id="400" w:name="_Toc184314477"/>
      <w:bookmarkEnd w:id="400"/>
      <w:bookmarkStart w:id="401" w:name="_Toc184314414"/>
      <w:bookmarkEnd w:id="401"/>
      <w:bookmarkStart w:id="402" w:name="_Toc184313253"/>
      <w:bookmarkEnd w:id="402"/>
      <w:bookmarkStart w:id="403" w:name="_Toc184314416"/>
      <w:bookmarkEnd w:id="403"/>
      <w:bookmarkStart w:id="404" w:name="_Toc184312104"/>
      <w:bookmarkEnd w:id="404"/>
      <w:bookmarkStart w:id="405" w:name="_Toc184308088"/>
      <w:bookmarkEnd w:id="405"/>
      <w:bookmarkStart w:id="406" w:name="_Toc184314468"/>
      <w:bookmarkEnd w:id="406"/>
      <w:bookmarkStart w:id="407" w:name="_Toc184312073"/>
      <w:bookmarkEnd w:id="407"/>
      <w:r>
        <w:rPr>
          <w:rFonts w:hint="eastAsia" w:ascii="宋体" w:hAnsi="宋体" w:cs="宋体"/>
          <w:b/>
          <w:color w:val="auto"/>
          <w:sz w:val="36"/>
          <w:szCs w:val="36"/>
          <w:highlight w:val="none"/>
        </w:rPr>
        <w:t>评标办法</w:t>
      </w:r>
    </w:p>
    <w:p>
      <w:pPr>
        <w:pStyle w:val="4"/>
        <w:jc w:val="center"/>
        <w:rPr>
          <w:color w:val="auto"/>
        </w:rPr>
      </w:pPr>
      <w:r>
        <w:rPr>
          <w:rFonts w:hint="eastAsia"/>
          <w:color w:val="auto"/>
        </w:rPr>
        <w:t>评审办法前附表</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商务技术分（</w:t>
      </w:r>
      <w:r>
        <w:rPr>
          <w:rFonts w:hint="eastAsia" w:ascii="宋体" w:hAnsi="宋体" w:cs="宋体"/>
          <w:b/>
          <w:color w:val="auto"/>
          <w:sz w:val="24"/>
          <w:szCs w:val="24"/>
          <w:lang w:val="en-US" w:eastAsia="zh-CN"/>
        </w:rPr>
        <w:t>70</w:t>
      </w:r>
      <w:r>
        <w:rPr>
          <w:rFonts w:hint="eastAsia" w:ascii="宋体" w:hAnsi="宋体" w:eastAsia="宋体" w:cs="宋体"/>
          <w:b/>
          <w:color w:val="auto"/>
          <w:sz w:val="24"/>
          <w:szCs w:val="24"/>
        </w:rPr>
        <w:t>分）</w:t>
      </w:r>
    </w:p>
    <w:p>
      <w:pPr>
        <w:pStyle w:val="23"/>
        <w:rPr>
          <w:rFonts w:hint="eastAsia"/>
          <w:color w:val="auto"/>
        </w:rPr>
      </w:pPr>
    </w:p>
    <w:tbl>
      <w:tblPr>
        <w:tblStyle w:val="64"/>
        <w:tblW w:w="932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36"/>
        <w:gridCol w:w="576"/>
        <w:gridCol w:w="5954"/>
        <w:gridCol w:w="982"/>
        <w:gridCol w:w="97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836" w:type="dxa"/>
            <w:noWrap w:val="0"/>
            <w:vAlign w:val="center"/>
          </w:tcPr>
          <w:p>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530" w:type="dxa"/>
            <w:gridSpan w:val="2"/>
            <w:noWrap w:val="0"/>
            <w:vAlign w:val="center"/>
          </w:tcPr>
          <w:p>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评分内容和标准</w:t>
            </w:r>
          </w:p>
        </w:tc>
        <w:tc>
          <w:tcPr>
            <w:tcW w:w="982" w:type="dxa"/>
            <w:noWrap w:val="0"/>
            <w:vAlign w:val="center"/>
          </w:tcPr>
          <w:p>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分值区间</w:t>
            </w:r>
          </w:p>
        </w:tc>
        <w:tc>
          <w:tcPr>
            <w:tcW w:w="972" w:type="dxa"/>
            <w:noWrap w:val="0"/>
            <w:vAlign w:val="top"/>
          </w:tcPr>
          <w:p>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主观客观分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836" w:type="dxa"/>
            <w:vMerge w:val="restart"/>
            <w:shd w:val="clear" w:color="auto" w:fill="auto"/>
            <w:noWrap w:val="0"/>
            <w:vAlign w:val="center"/>
          </w:tcPr>
          <w:p>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商</w:t>
            </w:r>
          </w:p>
          <w:p>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务</w:t>
            </w:r>
          </w:p>
          <w:p>
            <w:pPr>
              <w:spacing w:after="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资</w:t>
            </w:r>
          </w:p>
          <w:p>
            <w:pPr>
              <w:spacing w:after="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信</w:t>
            </w:r>
          </w:p>
          <w:p>
            <w:pPr>
              <w:spacing w:after="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p>
            <w:pPr>
              <w:spacing w:after="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val="en-US" w:eastAsia="zh-CN"/>
              </w:rPr>
              <w:t>分</w:t>
            </w:r>
          </w:p>
          <w:p>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576" w:type="dxa"/>
            <w:shd w:val="clear" w:color="auto" w:fill="auto"/>
            <w:noWrap w:val="0"/>
            <w:vAlign w:val="center"/>
          </w:tcPr>
          <w:p>
            <w:pPr>
              <w:spacing w:after="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p>
        </w:tc>
        <w:tc>
          <w:tcPr>
            <w:tcW w:w="5954" w:type="dxa"/>
            <w:shd w:val="clear" w:color="000000" w:fill="FFFFFF"/>
            <w:noWrap w:val="0"/>
            <w:vAlign w:val="center"/>
          </w:tcPr>
          <w:p>
            <w:pPr>
              <w:spacing w:after="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1日</w:t>
            </w:r>
            <w:r>
              <w:rPr>
                <w:rFonts w:hint="eastAsia" w:ascii="宋体" w:hAnsi="宋体" w:eastAsia="宋体" w:cs="宋体"/>
                <w:color w:val="auto"/>
                <w:sz w:val="24"/>
                <w:szCs w:val="24"/>
              </w:rPr>
              <w:t>起至今具有类似项目业绩的合同，每提供一个得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 xml:space="preserve">分，最高得 </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分，不提供不得分。</w:t>
            </w:r>
            <w:r>
              <w:rPr>
                <w:rFonts w:hint="eastAsia" w:ascii="宋体" w:hAnsi="宋体" w:eastAsia="宋体" w:cs="宋体"/>
                <w:color w:val="auto"/>
                <w:sz w:val="24"/>
                <w:szCs w:val="24"/>
                <w:lang w:eastAsia="zh-CN"/>
              </w:rPr>
              <w:t>（提供合同复印件并加盖单位公章）</w:t>
            </w:r>
          </w:p>
        </w:tc>
        <w:tc>
          <w:tcPr>
            <w:tcW w:w="982" w:type="dxa"/>
            <w:shd w:val="clear" w:color="000000" w:fill="FFFFFF"/>
            <w:noWrap w:val="0"/>
            <w:vAlign w:val="center"/>
          </w:tcPr>
          <w:p>
            <w:pPr>
              <w:spacing w:after="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p>
        </w:tc>
        <w:tc>
          <w:tcPr>
            <w:tcW w:w="972" w:type="dxa"/>
            <w:shd w:val="clear" w:color="000000" w:fill="FFFFFF"/>
            <w:noWrap w:val="0"/>
            <w:vAlign w:val="center"/>
          </w:tcPr>
          <w:p>
            <w:pPr>
              <w:spacing w:after="0"/>
              <w:jc w:val="both"/>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continue"/>
            <w:noWrap w:val="0"/>
            <w:vAlign w:val="center"/>
          </w:tcPr>
          <w:p>
            <w:pPr>
              <w:spacing w:after="0"/>
              <w:jc w:val="both"/>
              <w:rPr>
                <w:rFonts w:hint="eastAsia" w:ascii="宋体" w:hAnsi="宋体" w:eastAsia="宋体" w:cs="宋体"/>
                <w:color w:val="auto"/>
                <w:sz w:val="24"/>
                <w:szCs w:val="24"/>
              </w:rPr>
            </w:pPr>
          </w:p>
        </w:tc>
        <w:tc>
          <w:tcPr>
            <w:tcW w:w="576" w:type="dxa"/>
            <w:tcBorders>
              <w:top w:val="single" w:color="auto" w:sz="4" w:space="0"/>
              <w:bottom w:val="single" w:color="auto" w:sz="4" w:space="0"/>
            </w:tcBorders>
            <w:noWrap w:val="0"/>
            <w:vAlign w:val="center"/>
          </w:tcPr>
          <w:p>
            <w:pPr>
              <w:spacing w:after="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5954" w:type="dxa"/>
            <w:tcBorders>
              <w:top w:val="single" w:color="auto" w:sz="4" w:space="0"/>
              <w:bottom w:val="single" w:color="auto" w:sz="4" w:space="0"/>
            </w:tcBorders>
            <w:noWrap w:val="0"/>
            <w:vAlign w:val="center"/>
          </w:tcPr>
          <w:p>
            <w:pPr>
              <w:spacing w:after="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具有质量保证体系认证、环境管理体系认证、职业健康安全体系认证</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供应链安全管理体系认证</w:t>
            </w:r>
            <w:r>
              <w:rPr>
                <w:rFonts w:hint="eastAsia" w:ascii="宋体" w:hAnsi="宋体" w:eastAsia="宋体" w:cs="宋体"/>
                <w:color w:val="auto"/>
                <w:sz w:val="24"/>
                <w:szCs w:val="24"/>
                <w:lang w:eastAsia="zh-CN"/>
              </w:rPr>
              <w:t>、</w:t>
            </w:r>
            <w:r>
              <w:rPr>
                <w:rFonts w:hint="eastAsia" w:ascii="宋体" w:hAnsi="宋体" w:cs="宋体"/>
                <w:color w:val="auto"/>
                <w:sz w:val="24"/>
                <w:szCs w:val="24"/>
                <w:highlight w:val="none"/>
                <w:lang w:val="en-US" w:eastAsia="zh-CN"/>
              </w:rPr>
              <w:t>售后服务认证</w:t>
            </w:r>
            <w:r>
              <w:rPr>
                <w:rFonts w:hint="eastAsia" w:ascii="宋体" w:hAnsi="宋体" w:eastAsia="宋体" w:cs="宋体"/>
                <w:color w:val="auto"/>
                <w:sz w:val="24"/>
                <w:szCs w:val="24"/>
              </w:rPr>
              <w:t>的，每个得1分，最高得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分。（须在认证有效期内，提供证书复印件加盖公章）</w:t>
            </w:r>
          </w:p>
        </w:tc>
        <w:tc>
          <w:tcPr>
            <w:tcW w:w="982" w:type="dxa"/>
            <w:tcBorders>
              <w:top w:val="single" w:color="auto" w:sz="4" w:space="0"/>
              <w:bottom w:val="single" w:color="auto" w:sz="4" w:space="0"/>
            </w:tcBorders>
            <w:noWrap w:val="0"/>
            <w:vAlign w:val="center"/>
          </w:tcPr>
          <w:p>
            <w:pPr>
              <w:spacing w:after="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5</w:t>
            </w:r>
          </w:p>
        </w:tc>
        <w:tc>
          <w:tcPr>
            <w:tcW w:w="972" w:type="dxa"/>
            <w:tcBorders>
              <w:top w:val="single" w:color="auto" w:sz="4" w:space="0"/>
              <w:bottom w:val="single" w:color="auto" w:sz="4" w:space="0"/>
            </w:tcBorders>
            <w:noWrap w:val="0"/>
            <w:vAlign w:val="center"/>
          </w:tcPr>
          <w:p>
            <w:pPr>
              <w:spacing w:after="0"/>
              <w:jc w:val="both"/>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836" w:type="dxa"/>
            <w:vMerge w:val="continue"/>
            <w:noWrap w:val="0"/>
            <w:vAlign w:val="center"/>
          </w:tcPr>
          <w:p>
            <w:pPr>
              <w:spacing w:after="0"/>
              <w:jc w:val="both"/>
              <w:rPr>
                <w:rFonts w:hint="eastAsia" w:ascii="宋体" w:hAnsi="宋体" w:eastAsia="宋体" w:cs="宋体"/>
                <w:color w:val="auto"/>
                <w:sz w:val="24"/>
                <w:szCs w:val="24"/>
              </w:rPr>
            </w:pPr>
          </w:p>
        </w:tc>
        <w:tc>
          <w:tcPr>
            <w:tcW w:w="576" w:type="dxa"/>
            <w:tcBorders>
              <w:top w:val="single" w:color="auto" w:sz="4" w:space="0"/>
              <w:bottom w:val="single" w:color="auto" w:sz="4" w:space="0"/>
            </w:tcBorders>
            <w:noWrap w:val="0"/>
            <w:vAlign w:val="center"/>
          </w:tcPr>
          <w:p>
            <w:pPr>
              <w:spacing w:after="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3</w:t>
            </w:r>
          </w:p>
        </w:tc>
        <w:tc>
          <w:tcPr>
            <w:tcW w:w="595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供应商具有食品卫生许可证或食品经营许可证的，得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分，没有不得分。</w:t>
            </w:r>
            <w:r>
              <w:rPr>
                <w:rFonts w:hint="eastAsia" w:ascii="宋体" w:hAnsi="宋体" w:eastAsia="宋体" w:cs="宋体"/>
                <w:color w:val="auto"/>
                <w:sz w:val="24"/>
                <w:szCs w:val="24"/>
              </w:rPr>
              <w:t>（须在有效期内，提供复印件加盖公章）</w:t>
            </w:r>
          </w:p>
        </w:tc>
        <w:tc>
          <w:tcPr>
            <w:tcW w:w="982" w:type="dxa"/>
            <w:tcBorders>
              <w:top w:val="single" w:color="auto" w:sz="4" w:space="0"/>
              <w:bottom w:val="single" w:color="auto" w:sz="4" w:space="0"/>
            </w:tcBorders>
            <w:noWrap w:val="0"/>
            <w:vAlign w:val="center"/>
          </w:tcPr>
          <w:p>
            <w:pPr>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0-1</w:t>
            </w:r>
          </w:p>
        </w:tc>
        <w:tc>
          <w:tcPr>
            <w:tcW w:w="972" w:type="dxa"/>
            <w:tcBorders>
              <w:top w:val="single" w:color="auto" w:sz="4" w:space="0"/>
              <w:bottom w:val="single" w:color="auto" w:sz="4" w:space="0"/>
            </w:tcBorders>
            <w:noWrap w:val="0"/>
            <w:vAlign w:val="center"/>
          </w:tcPr>
          <w:p>
            <w:pPr>
              <w:spacing w:after="0"/>
              <w:jc w:val="both"/>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continue"/>
            <w:noWrap w:val="0"/>
            <w:vAlign w:val="center"/>
          </w:tcPr>
          <w:p>
            <w:pPr>
              <w:spacing w:after="0"/>
              <w:jc w:val="both"/>
              <w:rPr>
                <w:rFonts w:hint="eastAsia" w:ascii="宋体" w:hAnsi="宋体" w:eastAsia="宋体" w:cs="宋体"/>
                <w:color w:val="auto"/>
                <w:sz w:val="24"/>
                <w:szCs w:val="24"/>
              </w:rPr>
            </w:pPr>
          </w:p>
        </w:tc>
        <w:tc>
          <w:tcPr>
            <w:tcW w:w="576" w:type="dxa"/>
            <w:tcBorders>
              <w:top w:val="single" w:color="auto" w:sz="4" w:space="0"/>
              <w:bottom w:val="single" w:color="auto" w:sz="4" w:space="0"/>
            </w:tcBorders>
            <w:noWrap w:val="0"/>
            <w:vAlign w:val="center"/>
          </w:tcPr>
          <w:p>
            <w:pPr>
              <w:spacing w:after="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w:t>
            </w:r>
          </w:p>
        </w:tc>
        <w:tc>
          <w:tcPr>
            <w:tcW w:w="595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经营场地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设施设备情况：</w:t>
            </w:r>
          </w:p>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场地</w:t>
            </w:r>
            <w:r>
              <w:rPr>
                <w:rFonts w:hint="eastAsia" w:ascii="宋体" w:hAnsi="宋体" w:eastAsia="宋体" w:cs="宋体"/>
                <w:color w:val="auto"/>
                <w:sz w:val="24"/>
                <w:szCs w:val="24"/>
                <w:highlight w:val="none"/>
                <w:lang w:eastAsia="zh-CN"/>
              </w:rPr>
              <w:t>：自有或租赁仓库</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面积大于200㎡的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。证明材料：仓库所有权证明资料或租赁合同。证明材料：仓库所有权证明资料或租赁合同。</w:t>
            </w:r>
          </w:p>
        </w:tc>
        <w:tc>
          <w:tcPr>
            <w:tcW w:w="982" w:type="dxa"/>
            <w:tcBorders>
              <w:top w:val="single" w:color="auto" w:sz="4" w:space="0"/>
              <w:bottom w:val="single" w:color="auto" w:sz="4" w:space="0"/>
            </w:tcBorders>
            <w:noWrap w:val="0"/>
            <w:vAlign w:val="center"/>
          </w:tcPr>
          <w:p>
            <w:pPr>
              <w:spacing w:after="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2</w:t>
            </w:r>
          </w:p>
        </w:tc>
        <w:tc>
          <w:tcPr>
            <w:tcW w:w="972" w:type="dxa"/>
            <w:tcBorders>
              <w:top w:val="single" w:color="auto" w:sz="4" w:space="0"/>
              <w:bottom w:val="single" w:color="auto" w:sz="4" w:space="0"/>
            </w:tcBorders>
            <w:noWrap w:val="0"/>
            <w:vAlign w:val="center"/>
          </w:tcPr>
          <w:p>
            <w:pPr>
              <w:spacing w:after="0"/>
              <w:jc w:val="both"/>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continue"/>
            <w:noWrap w:val="0"/>
            <w:vAlign w:val="center"/>
          </w:tcPr>
          <w:p>
            <w:pPr>
              <w:spacing w:after="0"/>
              <w:jc w:val="both"/>
              <w:rPr>
                <w:rFonts w:hint="eastAsia" w:ascii="宋体" w:hAnsi="宋体" w:eastAsia="宋体" w:cs="宋体"/>
                <w:color w:val="auto"/>
                <w:sz w:val="24"/>
                <w:szCs w:val="24"/>
              </w:rPr>
            </w:pPr>
          </w:p>
        </w:tc>
        <w:tc>
          <w:tcPr>
            <w:tcW w:w="576" w:type="dxa"/>
            <w:tcBorders>
              <w:top w:val="single" w:color="auto" w:sz="4" w:space="0"/>
              <w:bottom w:val="single" w:color="auto" w:sz="4" w:space="0"/>
            </w:tcBorders>
            <w:noWrap w:val="0"/>
            <w:vAlign w:val="center"/>
          </w:tcPr>
          <w:p>
            <w:pPr>
              <w:spacing w:after="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w:t>
            </w:r>
          </w:p>
        </w:tc>
        <w:tc>
          <w:tcPr>
            <w:tcW w:w="5954" w:type="dxa"/>
            <w:tcBorders>
              <w:top w:val="single" w:color="auto" w:sz="4" w:space="0"/>
              <w:bottom w:val="single" w:color="auto" w:sz="4" w:space="0"/>
            </w:tcBorders>
            <w:noWrap w:val="0"/>
            <w:vAlign w:val="center"/>
          </w:tcPr>
          <w:p>
            <w:pPr>
              <w:spacing w:after="0"/>
              <w:jc w:val="both"/>
              <w:rPr>
                <w:rFonts w:hint="eastAsia" w:ascii="宋体" w:hAnsi="宋体" w:eastAsia="宋体" w:cs="宋体"/>
                <w:color w:val="auto"/>
                <w:sz w:val="24"/>
                <w:szCs w:val="24"/>
                <w:highlight w:val="none"/>
              </w:rPr>
            </w:pPr>
            <w:r>
              <w:rPr>
                <w:rFonts w:hint="eastAsia" w:ascii="宋体" w:hAnsi="宋体" w:cs="宋体"/>
                <w:color w:val="auto"/>
                <w:sz w:val="24"/>
                <w:highlight w:val="none"/>
              </w:rPr>
              <w:t>供应商</w:t>
            </w:r>
            <w:r>
              <w:rPr>
                <w:rFonts w:hint="eastAsia" w:ascii="宋体" w:hAnsi="宋体" w:eastAsia="宋体" w:cs="宋体"/>
                <w:color w:val="auto"/>
                <w:sz w:val="24"/>
                <w:szCs w:val="24"/>
                <w:highlight w:val="none"/>
                <w:lang w:eastAsia="zh-CN"/>
              </w:rPr>
              <w:t>购买并在有效期内的“食品安全责任险” 累计赔偿限额</w:t>
            </w:r>
            <w:r>
              <w:rPr>
                <w:rFonts w:hint="eastAsia" w:ascii="宋体" w:hAnsi="宋体" w:cs="宋体"/>
                <w:color w:val="auto"/>
                <w:sz w:val="24"/>
                <w:szCs w:val="24"/>
                <w:highlight w:val="none"/>
                <w:lang w:val="en-US" w:eastAsia="zh-CN"/>
              </w:rPr>
              <w:t>3000</w:t>
            </w:r>
            <w:r>
              <w:rPr>
                <w:rFonts w:hint="eastAsia" w:ascii="宋体" w:hAnsi="宋体" w:eastAsia="宋体" w:cs="宋体"/>
                <w:color w:val="auto"/>
                <w:sz w:val="24"/>
                <w:szCs w:val="24"/>
                <w:highlight w:val="none"/>
                <w:lang w:eastAsia="zh-CN"/>
              </w:rPr>
              <w:t>万元及以上的得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分；累计赔偿限额</w:t>
            </w:r>
            <w:r>
              <w:rPr>
                <w:rFonts w:hint="eastAsia" w:ascii="宋体" w:hAnsi="宋体" w:eastAsia="宋体" w:cs="宋体"/>
                <w:color w:val="auto"/>
                <w:sz w:val="24"/>
                <w:szCs w:val="24"/>
                <w:highlight w:val="none"/>
                <w:lang w:val="en-US" w:eastAsia="zh-CN"/>
              </w:rPr>
              <w:t>1000</w:t>
            </w:r>
            <w:r>
              <w:rPr>
                <w:rFonts w:hint="eastAsia" w:ascii="宋体" w:hAnsi="宋体" w:eastAsia="宋体" w:cs="宋体"/>
                <w:color w:val="auto"/>
                <w:sz w:val="24"/>
                <w:szCs w:val="24"/>
                <w:highlight w:val="none"/>
                <w:lang w:eastAsia="zh-CN"/>
              </w:rPr>
              <w:t>（含）-</w:t>
            </w:r>
            <w:r>
              <w:rPr>
                <w:rFonts w:hint="eastAsia" w:ascii="宋体" w:hAnsi="宋体" w:cs="宋体"/>
                <w:color w:val="auto"/>
                <w:sz w:val="24"/>
                <w:szCs w:val="24"/>
                <w:highlight w:val="none"/>
                <w:lang w:val="en-US" w:eastAsia="zh-CN"/>
              </w:rPr>
              <w:t>3000</w:t>
            </w:r>
            <w:r>
              <w:rPr>
                <w:rFonts w:hint="eastAsia" w:ascii="宋体" w:hAnsi="宋体" w:eastAsia="宋体" w:cs="宋体"/>
                <w:color w:val="auto"/>
                <w:sz w:val="24"/>
                <w:szCs w:val="24"/>
                <w:highlight w:val="none"/>
                <w:lang w:eastAsia="zh-CN"/>
              </w:rPr>
              <w:t>万元（不含）的得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分；累计赔偿限额1000万元以下不得分。（</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文件中提供有效保单复印件并加盖投标人公章。）</w:t>
            </w:r>
          </w:p>
        </w:tc>
        <w:tc>
          <w:tcPr>
            <w:tcW w:w="982" w:type="dxa"/>
            <w:tcBorders>
              <w:top w:val="single" w:color="auto" w:sz="4" w:space="0"/>
              <w:bottom w:val="single" w:color="auto" w:sz="4" w:space="0"/>
            </w:tcBorders>
            <w:noWrap w:val="0"/>
            <w:vAlign w:val="center"/>
          </w:tcPr>
          <w:p>
            <w:pPr>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0-2</w:t>
            </w:r>
          </w:p>
        </w:tc>
        <w:tc>
          <w:tcPr>
            <w:tcW w:w="972" w:type="dxa"/>
            <w:tcBorders>
              <w:top w:val="single" w:color="auto" w:sz="4" w:space="0"/>
              <w:bottom w:val="single" w:color="auto" w:sz="4" w:space="0"/>
            </w:tcBorders>
            <w:noWrap w:val="0"/>
            <w:vAlign w:val="center"/>
          </w:tcPr>
          <w:p>
            <w:pPr>
              <w:spacing w:after="0"/>
              <w:jc w:val="both"/>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continue"/>
            <w:noWrap w:val="0"/>
            <w:vAlign w:val="center"/>
          </w:tcPr>
          <w:p>
            <w:pPr>
              <w:spacing w:after="0"/>
              <w:jc w:val="both"/>
              <w:rPr>
                <w:rFonts w:hint="eastAsia" w:ascii="宋体" w:hAnsi="宋体" w:eastAsia="宋体" w:cs="宋体"/>
                <w:color w:val="auto"/>
                <w:sz w:val="24"/>
                <w:szCs w:val="24"/>
              </w:rPr>
            </w:pPr>
          </w:p>
        </w:tc>
        <w:tc>
          <w:tcPr>
            <w:tcW w:w="576" w:type="dxa"/>
            <w:tcBorders>
              <w:top w:val="single" w:color="auto" w:sz="4" w:space="0"/>
              <w:bottom w:val="single" w:color="auto" w:sz="4" w:space="0"/>
            </w:tcBorders>
            <w:noWrap w:val="0"/>
            <w:vAlign w:val="center"/>
          </w:tcPr>
          <w:p>
            <w:pPr>
              <w:spacing w:after="0"/>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p>
        </w:tc>
        <w:tc>
          <w:tcPr>
            <w:tcW w:w="5954" w:type="dxa"/>
            <w:tcBorders>
              <w:top w:val="single" w:color="auto" w:sz="4" w:space="0"/>
              <w:bottom w:val="single" w:color="auto" w:sz="4" w:space="0"/>
            </w:tcBorders>
            <w:noWrap w:val="0"/>
            <w:vAlign w:val="center"/>
          </w:tcPr>
          <w:p>
            <w:pPr>
              <w:spacing w:after="0"/>
              <w:jc w:val="both"/>
              <w:rPr>
                <w:rFonts w:hint="eastAsia" w:ascii="宋体" w:hAnsi="宋体" w:eastAsia="宋体" w:cs="宋体"/>
                <w:color w:val="auto"/>
                <w:sz w:val="24"/>
                <w:szCs w:val="24"/>
                <w:lang w:eastAsia="zh-CN"/>
              </w:rPr>
            </w:pPr>
            <w:r>
              <w:rPr>
                <w:rFonts w:hint="eastAsia" w:ascii="宋体" w:hAnsi="宋体" w:cs="宋体"/>
                <w:color w:val="auto"/>
                <w:sz w:val="24"/>
                <w:szCs w:val="24"/>
                <w:highlight w:val="none"/>
                <w:lang w:val="en-US" w:eastAsia="zh-CN"/>
              </w:rPr>
              <w:t>具有独立检测室及检验设备得1分，有专业检测员证书的，每提供一个人员得一分，最高得2分。本项目共计3分。</w:t>
            </w:r>
            <w:r>
              <w:rPr>
                <w:rFonts w:hint="eastAsia" w:ascii="宋体" w:hAnsi="宋体" w:eastAsia="宋体" w:cs="宋体"/>
                <w:color w:val="auto"/>
                <w:sz w:val="24"/>
                <w:szCs w:val="24"/>
                <w:highlight w:val="none"/>
                <w:lang w:eastAsia="zh-CN"/>
              </w:rPr>
              <w:t>证明材料：</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文件中提供</w:t>
            </w:r>
            <w:r>
              <w:rPr>
                <w:rFonts w:hint="eastAsia" w:ascii="宋体" w:hAnsi="宋体" w:cs="宋体"/>
                <w:color w:val="auto"/>
                <w:sz w:val="24"/>
                <w:szCs w:val="24"/>
                <w:highlight w:val="none"/>
                <w:lang w:val="en-US" w:eastAsia="zh-CN"/>
              </w:rPr>
              <w:t>检测室照片、设备发票、人员证书及近3个月本单位社保证明材料</w:t>
            </w:r>
            <w:r>
              <w:rPr>
                <w:rFonts w:hint="eastAsia" w:ascii="宋体" w:hAnsi="宋体" w:eastAsia="宋体" w:cs="宋体"/>
                <w:color w:val="auto"/>
                <w:sz w:val="24"/>
                <w:szCs w:val="24"/>
                <w:highlight w:val="none"/>
              </w:rPr>
              <w:t>并加盖公章</w:t>
            </w:r>
            <w:r>
              <w:rPr>
                <w:rFonts w:hint="eastAsia" w:ascii="宋体" w:hAnsi="宋体" w:cs="宋体"/>
                <w:color w:val="auto"/>
                <w:sz w:val="24"/>
                <w:szCs w:val="24"/>
                <w:highlight w:val="none"/>
                <w:lang w:eastAsia="zh-CN"/>
              </w:rPr>
              <w:t>。</w:t>
            </w:r>
          </w:p>
        </w:tc>
        <w:tc>
          <w:tcPr>
            <w:tcW w:w="982" w:type="dxa"/>
            <w:tcBorders>
              <w:top w:val="single" w:color="auto" w:sz="4" w:space="0"/>
              <w:bottom w:val="single" w:color="auto" w:sz="4" w:space="0"/>
            </w:tcBorders>
            <w:noWrap w:val="0"/>
            <w:vAlign w:val="center"/>
          </w:tcPr>
          <w:p>
            <w:pPr>
              <w:spacing w:after="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3</w:t>
            </w:r>
          </w:p>
        </w:tc>
        <w:tc>
          <w:tcPr>
            <w:tcW w:w="972" w:type="dxa"/>
            <w:tcBorders>
              <w:top w:val="single" w:color="auto" w:sz="4" w:space="0"/>
              <w:bottom w:val="single" w:color="auto" w:sz="4" w:space="0"/>
            </w:tcBorders>
            <w:noWrap w:val="0"/>
            <w:vAlign w:val="center"/>
          </w:tcPr>
          <w:p>
            <w:pPr>
              <w:spacing w:after="0"/>
              <w:jc w:val="both"/>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restart"/>
            <w:noWrap w:val="0"/>
            <w:vAlign w:val="center"/>
          </w:tcPr>
          <w:p>
            <w:pPr>
              <w:spacing w:after="0"/>
              <w:jc w:val="center"/>
              <w:rPr>
                <w:rFonts w:hint="eastAsia" w:ascii="宋体" w:hAnsi="宋体" w:eastAsia="宋体" w:cs="宋体"/>
                <w:color w:val="auto"/>
                <w:sz w:val="24"/>
                <w:szCs w:val="24"/>
                <w:lang w:val="en-US" w:eastAsia="zh-CN"/>
              </w:rPr>
            </w:pPr>
          </w:p>
          <w:p>
            <w:pPr>
              <w:spacing w:after="0"/>
              <w:jc w:val="center"/>
              <w:rPr>
                <w:rFonts w:hint="eastAsia" w:ascii="宋体" w:hAnsi="宋体" w:eastAsia="宋体" w:cs="宋体"/>
                <w:color w:val="auto"/>
                <w:sz w:val="24"/>
                <w:szCs w:val="24"/>
                <w:lang w:val="en-US" w:eastAsia="zh-CN"/>
              </w:rPr>
            </w:pPr>
          </w:p>
          <w:p>
            <w:pPr>
              <w:spacing w:after="0"/>
              <w:jc w:val="center"/>
              <w:rPr>
                <w:rFonts w:hint="eastAsia" w:ascii="宋体" w:hAnsi="宋体" w:eastAsia="宋体" w:cs="宋体"/>
                <w:color w:val="auto"/>
                <w:sz w:val="24"/>
                <w:szCs w:val="24"/>
                <w:lang w:val="en-US" w:eastAsia="zh-CN"/>
              </w:rPr>
            </w:pPr>
          </w:p>
          <w:p>
            <w:pPr>
              <w:spacing w:after="0"/>
              <w:jc w:val="center"/>
              <w:rPr>
                <w:rFonts w:hint="eastAsia" w:ascii="宋体" w:hAnsi="宋体" w:eastAsia="宋体" w:cs="宋体"/>
                <w:color w:val="auto"/>
                <w:sz w:val="24"/>
                <w:szCs w:val="24"/>
                <w:lang w:val="en-US" w:eastAsia="zh-CN"/>
              </w:rPr>
            </w:pPr>
          </w:p>
          <w:p>
            <w:pPr>
              <w:spacing w:after="0"/>
              <w:jc w:val="center"/>
              <w:rPr>
                <w:rFonts w:hint="eastAsia" w:ascii="宋体" w:hAnsi="宋体" w:eastAsia="宋体" w:cs="宋体"/>
                <w:color w:val="auto"/>
                <w:sz w:val="24"/>
                <w:szCs w:val="24"/>
                <w:lang w:val="en-US" w:eastAsia="zh-CN"/>
              </w:rPr>
            </w:pPr>
          </w:p>
          <w:p>
            <w:pPr>
              <w:spacing w:after="0"/>
              <w:jc w:val="center"/>
              <w:rPr>
                <w:rFonts w:hint="eastAsia" w:ascii="宋体" w:hAnsi="宋体" w:eastAsia="宋体" w:cs="宋体"/>
                <w:color w:val="auto"/>
                <w:sz w:val="24"/>
                <w:szCs w:val="24"/>
                <w:lang w:val="en-US" w:eastAsia="zh-CN"/>
              </w:rPr>
            </w:pPr>
          </w:p>
          <w:p>
            <w:pPr>
              <w:spacing w:after="0"/>
              <w:jc w:val="center"/>
              <w:rPr>
                <w:rFonts w:hint="eastAsia" w:ascii="宋体" w:hAnsi="宋体" w:eastAsia="宋体" w:cs="宋体"/>
                <w:color w:val="auto"/>
                <w:sz w:val="24"/>
                <w:szCs w:val="24"/>
                <w:lang w:val="en-US" w:eastAsia="zh-CN"/>
              </w:rPr>
            </w:pPr>
          </w:p>
          <w:p>
            <w:pPr>
              <w:spacing w:after="0"/>
              <w:jc w:val="center"/>
              <w:rPr>
                <w:rFonts w:hint="eastAsia" w:ascii="宋体" w:hAnsi="宋体" w:eastAsia="宋体" w:cs="宋体"/>
                <w:color w:val="auto"/>
                <w:sz w:val="24"/>
                <w:szCs w:val="24"/>
                <w:lang w:val="en-US" w:eastAsia="zh-CN"/>
              </w:rPr>
            </w:pPr>
          </w:p>
          <w:p>
            <w:pPr>
              <w:spacing w:after="0"/>
              <w:jc w:val="center"/>
              <w:rPr>
                <w:rFonts w:hint="eastAsia" w:ascii="宋体" w:hAnsi="宋体" w:eastAsia="宋体" w:cs="宋体"/>
                <w:color w:val="auto"/>
                <w:sz w:val="24"/>
                <w:szCs w:val="24"/>
                <w:lang w:val="en-US" w:eastAsia="zh-CN"/>
              </w:rPr>
            </w:pPr>
          </w:p>
          <w:p>
            <w:pPr>
              <w:pStyle w:val="5"/>
              <w:rPr>
                <w:rFonts w:hint="eastAsia"/>
                <w:color w:val="auto"/>
                <w:lang w:val="en-US" w:eastAsia="zh-CN"/>
              </w:rPr>
            </w:pPr>
          </w:p>
          <w:p>
            <w:pPr>
              <w:spacing w:after="0"/>
              <w:jc w:val="center"/>
              <w:rPr>
                <w:rFonts w:hint="eastAsia" w:ascii="宋体" w:hAnsi="宋体" w:eastAsia="宋体" w:cs="宋体"/>
                <w:color w:val="auto"/>
                <w:sz w:val="24"/>
                <w:szCs w:val="24"/>
                <w:lang w:val="en-US" w:eastAsia="zh-CN"/>
              </w:rPr>
            </w:pPr>
          </w:p>
          <w:p>
            <w:pPr>
              <w:spacing w:after="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w:t>
            </w:r>
          </w:p>
          <w:p>
            <w:pPr>
              <w:spacing w:after="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术</w:t>
            </w:r>
          </w:p>
          <w:p>
            <w:pPr>
              <w:spacing w:after="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54</w:t>
            </w:r>
            <w:r>
              <w:rPr>
                <w:rFonts w:hint="eastAsia" w:ascii="宋体" w:hAnsi="宋体" w:eastAsia="宋体" w:cs="宋体"/>
                <w:color w:val="auto"/>
                <w:sz w:val="24"/>
                <w:szCs w:val="24"/>
                <w:lang w:val="en-US" w:eastAsia="zh-CN"/>
              </w:rPr>
              <w:t>分</w:t>
            </w:r>
          </w:p>
          <w:p>
            <w:pPr>
              <w:spacing w:after="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576" w:type="dxa"/>
            <w:tcBorders>
              <w:top w:val="single" w:color="auto" w:sz="4" w:space="0"/>
              <w:bottom w:val="single" w:color="auto" w:sz="4" w:space="0"/>
            </w:tcBorders>
            <w:noWrap w:val="0"/>
            <w:vAlign w:val="center"/>
          </w:tcPr>
          <w:p>
            <w:pPr>
              <w:spacing w:after="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7</w:t>
            </w:r>
          </w:p>
        </w:tc>
        <w:tc>
          <w:tcPr>
            <w:tcW w:w="595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整体服务方案：供应商的整体方案能够完全响应</w:t>
            </w:r>
            <w:r>
              <w:rPr>
                <w:rFonts w:hint="eastAsia" w:ascii="宋体" w:hAnsi="宋体" w:cs="宋体"/>
                <w:color w:val="auto"/>
                <w:sz w:val="24"/>
                <w:szCs w:val="24"/>
                <w:highlight w:val="none"/>
                <w:lang w:val="en-US" w:eastAsia="zh-CN"/>
              </w:rPr>
              <w:t>交易</w:t>
            </w:r>
            <w:r>
              <w:rPr>
                <w:rFonts w:hint="eastAsia" w:ascii="宋体" w:hAnsi="宋体" w:eastAsia="宋体" w:cs="宋体"/>
                <w:color w:val="auto"/>
                <w:sz w:val="24"/>
                <w:szCs w:val="24"/>
                <w:highlight w:val="none"/>
                <w:lang w:val="en-US" w:eastAsia="zh-CN"/>
              </w:rPr>
              <w:t>文件要求，方案可行性，可操作性强，以及其他有利于</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的条件进行的，得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分；方案可行性、可操作性一般的，得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分；方案不可行，无可操作性的，得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982" w:type="dxa"/>
            <w:tcBorders>
              <w:top w:val="single" w:color="auto" w:sz="4" w:space="0"/>
              <w:bottom w:val="single" w:color="auto" w:sz="4" w:space="0"/>
            </w:tcBorders>
            <w:noWrap w:val="0"/>
            <w:vAlign w:val="top"/>
          </w:tcPr>
          <w:p>
            <w:pPr>
              <w:spacing w:after="0"/>
              <w:jc w:val="center"/>
              <w:rPr>
                <w:rFonts w:hint="eastAsia" w:ascii="宋体" w:hAnsi="宋体" w:eastAsia="宋体" w:cs="宋体"/>
                <w:color w:val="auto"/>
                <w:sz w:val="24"/>
                <w:szCs w:val="24"/>
              </w:rPr>
            </w:pPr>
          </w:p>
          <w:p>
            <w:pPr>
              <w:spacing w:after="0"/>
              <w:jc w:val="center"/>
              <w:rPr>
                <w:rFonts w:hint="eastAsia" w:ascii="宋体" w:hAnsi="宋体" w:cs="宋体"/>
                <w:color w:val="auto"/>
                <w:sz w:val="24"/>
                <w:szCs w:val="24"/>
                <w:lang w:val="en-US" w:eastAsia="zh-CN"/>
              </w:rPr>
            </w:pPr>
          </w:p>
          <w:p>
            <w:pPr>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0-9</w:t>
            </w:r>
          </w:p>
        </w:tc>
        <w:tc>
          <w:tcPr>
            <w:tcW w:w="972" w:type="dxa"/>
            <w:tcBorders>
              <w:top w:val="single" w:color="auto" w:sz="4" w:space="0"/>
              <w:bottom w:val="single" w:color="auto" w:sz="4" w:space="0"/>
            </w:tcBorders>
            <w:noWrap w:val="0"/>
            <w:vAlign w:val="center"/>
          </w:tcPr>
          <w:p>
            <w:pPr>
              <w:spacing w:after="0"/>
              <w:jc w:val="both"/>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836" w:type="dxa"/>
            <w:vMerge w:val="continue"/>
            <w:noWrap w:val="0"/>
            <w:vAlign w:val="center"/>
          </w:tcPr>
          <w:p>
            <w:pPr>
              <w:spacing w:after="0"/>
              <w:jc w:val="both"/>
              <w:rPr>
                <w:rFonts w:hint="eastAsia" w:ascii="宋体" w:hAnsi="宋体" w:eastAsia="宋体" w:cs="宋体"/>
                <w:color w:val="auto"/>
                <w:sz w:val="24"/>
                <w:szCs w:val="24"/>
              </w:rPr>
            </w:pPr>
          </w:p>
        </w:tc>
        <w:tc>
          <w:tcPr>
            <w:tcW w:w="576" w:type="dxa"/>
            <w:tcBorders>
              <w:top w:val="single" w:color="auto" w:sz="4" w:space="0"/>
              <w:bottom w:val="single" w:color="auto" w:sz="4" w:space="0"/>
            </w:tcBorders>
            <w:noWrap w:val="0"/>
            <w:vAlign w:val="center"/>
          </w:tcPr>
          <w:p>
            <w:pPr>
              <w:spacing w:after="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8</w:t>
            </w:r>
          </w:p>
        </w:tc>
        <w:tc>
          <w:tcPr>
            <w:tcW w:w="595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w:t>
            </w:r>
          </w:p>
          <w:p>
            <w:pPr>
              <w:keepNext w:val="0"/>
              <w:keepLines w:val="0"/>
              <w:pageBreakBefore w:val="0"/>
              <w:kinsoku/>
              <w:wordWrap/>
              <w:overflowPunct/>
              <w:topLinePunct w:val="0"/>
              <w:autoSpaceDE/>
              <w:autoSpaceDN/>
              <w:bidi w:val="0"/>
              <w:spacing w:line="29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供应商承诺补货、退货、换货</w:t>
            </w:r>
            <w:r>
              <w:rPr>
                <w:rFonts w:hint="eastAsia" w:ascii="宋体" w:hAnsi="宋体" w:cs="宋体"/>
                <w:color w:val="auto"/>
                <w:sz w:val="24"/>
                <w:szCs w:val="24"/>
                <w:highlight w:val="none"/>
                <w:lang w:val="en-US" w:eastAsia="zh-CN"/>
              </w:rPr>
              <w:t>整体方案及时间综合打分，合理优秀得2.5-4分，良好得1-2.5分，一般得0-1分，不提供不得分。</w:t>
            </w:r>
          </w:p>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2.承诺所供商品剩余质保期大于总质保期的5%得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分，否则不得分，提供承诺函，格式自拟。</w:t>
            </w:r>
          </w:p>
        </w:tc>
        <w:tc>
          <w:tcPr>
            <w:tcW w:w="982" w:type="dxa"/>
            <w:tcBorders>
              <w:top w:val="single" w:color="auto" w:sz="4" w:space="0"/>
              <w:bottom w:val="single" w:color="auto" w:sz="4" w:space="0"/>
            </w:tcBorders>
            <w:noWrap w:val="0"/>
            <w:vAlign w:val="center"/>
          </w:tcPr>
          <w:p>
            <w:pPr>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8</w:t>
            </w:r>
          </w:p>
        </w:tc>
        <w:tc>
          <w:tcPr>
            <w:tcW w:w="972" w:type="dxa"/>
            <w:tcBorders>
              <w:top w:val="single" w:color="auto" w:sz="4" w:space="0"/>
              <w:bottom w:val="single" w:color="auto" w:sz="4" w:space="0"/>
            </w:tcBorders>
            <w:noWrap w:val="0"/>
            <w:vAlign w:val="center"/>
          </w:tcPr>
          <w:p>
            <w:pPr>
              <w:spacing w:after="0"/>
              <w:jc w:val="both"/>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836" w:type="dxa"/>
            <w:vMerge w:val="continue"/>
            <w:noWrap w:val="0"/>
            <w:vAlign w:val="center"/>
          </w:tcPr>
          <w:p>
            <w:pPr>
              <w:spacing w:after="0"/>
              <w:jc w:val="both"/>
              <w:rPr>
                <w:rFonts w:hint="eastAsia" w:ascii="宋体" w:hAnsi="宋体" w:eastAsia="宋体" w:cs="宋体"/>
                <w:color w:val="auto"/>
                <w:sz w:val="24"/>
                <w:szCs w:val="24"/>
              </w:rPr>
            </w:pPr>
          </w:p>
        </w:tc>
        <w:tc>
          <w:tcPr>
            <w:tcW w:w="576" w:type="dxa"/>
            <w:tcBorders>
              <w:top w:val="single" w:color="auto" w:sz="4" w:space="0"/>
              <w:bottom w:val="single" w:color="auto" w:sz="4" w:space="0"/>
            </w:tcBorders>
            <w:noWrap w:val="0"/>
            <w:vAlign w:val="center"/>
          </w:tcPr>
          <w:p>
            <w:pPr>
              <w:spacing w:after="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9</w:t>
            </w:r>
          </w:p>
        </w:tc>
        <w:tc>
          <w:tcPr>
            <w:tcW w:w="595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配送实施方案：</w:t>
            </w:r>
          </w:p>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总体部署（0-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分）方案合理优秀得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分;一般得1-</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供货措施（0-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分）方案合理优秀得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分;一般得</w:t>
            </w:r>
            <w:r>
              <w:rPr>
                <w:rFonts w:hint="eastAsia" w:ascii="宋体" w:hAnsi="宋体" w:cs="宋体"/>
                <w:color w:val="auto"/>
                <w:sz w:val="24"/>
                <w:szCs w:val="24"/>
                <w:highlight w:val="none"/>
                <w:lang w:val="en-US" w:eastAsia="zh-CN"/>
              </w:rPr>
              <w:t>1-1.9</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运输方案（0-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分）方案合理优秀得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分;一般得</w:t>
            </w:r>
            <w:r>
              <w:rPr>
                <w:rFonts w:hint="eastAsia" w:ascii="宋体" w:hAnsi="宋体" w:cs="宋体"/>
                <w:color w:val="auto"/>
                <w:sz w:val="24"/>
                <w:szCs w:val="24"/>
                <w:highlight w:val="none"/>
                <w:lang w:val="en-US" w:eastAsia="zh-CN"/>
              </w:rPr>
              <w:t>1-1.9</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现场管理计划（0-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分）方案合理优秀得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分;一般得</w:t>
            </w:r>
            <w:r>
              <w:rPr>
                <w:rFonts w:hint="eastAsia" w:ascii="宋体" w:hAnsi="宋体" w:cs="宋体"/>
                <w:color w:val="auto"/>
                <w:sz w:val="24"/>
                <w:szCs w:val="24"/>
                <w:highlight w:val="none"/>
                <w:lang w:val="en-US" w:eastAsia="zh-CN"/>
              </w:rPr>
              <w:t>1-1.9</w:t>
            </w:r>
            <w:r>
              <w:rPr>
                <w:rFonts w:hint="eastAsia" w:ascii="宋体" w:hAnsi="宋体" w:eastAsia="宋体" w:cs="宋体"/>
                <w:color w:val="auto"/>
                <w:sz w:val="24"/>
                <w:szCs w:val="24"/>
                <w:highlight w:val="none"/>
              </w:rPr>
              <w:t>分；</w:t>
            </w:r>
          </w:p>
        </w:tc>
        <w:tc>
          <w:tcPr>
            <w:tcW w:w="982" w:type="dxa"/>
            <w:tcBorders>
              <w:top w:val="single" w:color="auto" w:sz="4" w:space="0"/>
              <w:bottom w:val="single" w:color="auto" w:sz="4" w:space="0"/>
            </w:tcBorders>
            <w:noWrap w:val="0"/>
            <w:vAlign w:val="center"/>
          </w:tcPr>
          <w:p>
            <w:pPr>
              <w:spacing w:after="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p>
        </w:tc>
        <w:tc>
          <w:tcPr>
            <w:tcW w:w="972" w:type="dxa"/>
            <w:tcBorders>
              <w:top w:val="single" w:color="auto" w:sz="4" w:space="0"/>
              <w:bottom w:val="single" w:color="auto" w:sz="4" w:space="0"/>
            </w:tcBorders>
            <w:noWrap w:val="0"/>
            <w:vAlign w:val="center"/>
          </w:tcPr>
          <w:p>
            <w:pPr>
              <w:spacing w:after="0"/>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主</w:t>
            </w:r>
            <w:r>
              <w:rPr>
                <w:rFonts w:hint="eastAsia" w:ascii="宋体" w:hAnsi="宋体" w:eastAsia="宋体" w:cs="宋体"/>
                <w:color w:val="auto"/>
                <w:sz w:val="24"/>
                <w:szCs w:val="24"/>
              </w:rPr>
              <w:t>观分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36" w:type="dxa"/>
            <w:vMerge w:val="continue"/>
            <w:noWrap w:val="0"/>
            <w:vAlign w:val="center"/>
          </w:tcPr>
          <w:p>
            <w:pPr>
              <w:spacing w:after="0"/>
              <w:jc w:val="both"/>
              <w:rPr>
                <w:rFonts w:hint="eastAsia" w:ascii="宋体" w:hAnsi="宋体" w:eastAsia="宋体" w:cs="宋体"/>
                <w:color w:val="auto"/>
                <w:sz w:val="24"/>
                <w:szCs w:val="24"/>
              </w:rPr>
            </w:pPr>
          </w:p>
        </w:tc>
        <w:tc>
          <w:tcPr>
            <w:tcW w:w="576" w:type="dxa"/>
            <w:tcBorders>
              <w:top w:val="single" w:color="auto" w:sz="4" w:space="0"/>
              <w:bottom w:val="single" w:color="auto" w:sz="4" w:space="0"/>
            </w:tcBorders>
            <w:noWrap w:val="0"/>
            <w:vAlign w:val="center"/>
          </w:tcPr>
          <w:p>
            <w:pPr>
              <w:spacing w:after="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10</w:t>
            </w:r>
          </w:p>
        </w:tc>
        <w:tc>
          <w:tcPr>
            <w:tcW w:w="595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应急实施方案：</w:t>
            </w:r>
          </w:p>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针对应急</w:t>
            </w:r>
            <w:r>
              <w:rPr>
                <w:rFonts w:hint="eastAsia" w:ascii="宋体" w:hAnsi="宋体" w:eastAsia="宋体" w:cs="宋体"/>
                <w:color w:val="auto"/>
                <w:sz w:val="24"/>
                <w:szCs w:val="24"/>
                <w:highlight w:val="none"/>
                <w:lang w:eastAsia="zh-CN"/>
              </w:rPr>
              <w:t>突发</w:t>
            </w:r>
            <w:r>
              <w:rPr>
                <w:rFonts w:hint="eastAsia" w:ascii="宋体" w:hAnsi="宋体" w:eastAsia="宋体" w:cs="宋体"/>
                <w:color w:val="auto"/>
                <w:sz w:val="24"/>
                <w:szCs w:val="24"/>
                <w:highlight w:val="none"/>
              </w:rPr>
              <w:t>事件的响应时间、调配人数与处理方案的合理性等综合打分，合理得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分，一般可行得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分，欠缺得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82" w:type="dxa"/>
            <w:tcBorders>
              <w:top w:val="single" w:color="auto" w:sz="4" w:space="0"/>
              <w:bottom w:val="single" w:color="auto" w:sz="4" w:space="0"/>
            </w:tcBorders>
            <w:noWrap w:val="0"/>
            <w:vAlign w:val="center"/>
          </w:tcPr>
          <w:p>
            <w:pPr>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0-9</w:t>
            </w:r>
          </w:p>
        </w:tc>
        <w:tc>
          <w:tcPr>
            <w:tcW w:w="972" w:type="dxa"/>
            <w:tcBorders>
              <w:top w:val="single" w:color="auto" w:sz="4" w:space="0"/>
              <w:bottom w:val="single" w:color="auto" w:sz="4" w:space="0"/>
            </w:tcBorders>
            <w:noWrap w:val="0"/>
            <w:vAlign w:val="center"/>
          </w:tcPr>
          <w:p>
            <w:pPr>
              <w:spacing w:after="0"/>
              <w:jc w:val="both"/>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836" w:type="dxa"/>
            <w:vMerge w:val="continue"/>
            <w:noWrap w:val="0"/>
            <w:vAlign w:val="center"/>
          </w:tcPr>
          <w:p>
            <w:pPr>
              <w:spacing w:after="0"/>
              <w:jc w:val="both"/>
              <w:rPr>
                <w:rFonts w:hint="eastAsia" w:ascii="宋体" w:hAnsi="宋体" w:eastAsia="宋体" w:cs="宋体"/>
                <w:color w:val="auto"/>
                <w:sz w:val="24"/>
                <w:szCs w:val="24"/>
              </w:rPr>
            </w:pPr>
          </w:p>
        </w:tc>
        <w:tc>
          <w:tcPr>
            <w:tcW w:w="576" w:type="dxa"/>
            <w:tcBorders>
              <w:top w:val="single" w:color="auto" w:sz="4" w:space="0"/>
              <w:bottom w:val="single" w:color="auto" w:sz="4" w:space="0"/>
            </w:tcBorders>
            <w:noWrap w:val="0"/>
            <w:vAlign w:val="center"/>
          </w:tcPr>
          <w:p>
            <w:pPr>
              <w:spacing w:after="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11</w:t>
            </w:r>
          </w:p>
        </w:tc>
        <w:tc>
          <w:tcPr>
            <w:tcW w:w="595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合理化建议系统完整、科学严谨；合理化建议针对性、可操作性</w:t>
            </w:r>
            <w:r>
              <w:rPr>
                <w:rFonts w:hint="eastAsia" w:ascii="宋体" w:hAnsi="宋体" w:eastAsia="宋体" w:cs="宋体"/>
                <w:color w:val="auto"/>
                <w:sz w:val="24"/>
                <w:szCs w:val="24"/>
                <w:highlight w:val="none"/>
                <w:lang w:eastAsia="zh-CN"/>
              </w:rPr>
              <w:t>强的，得</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分；合理化建议不太完整，有偏差，建议针对性、可操作性不强的，得1-1.9分；无合理化建议的，得0-0.9分</w:t>
            </w:r>
            <w:r>
              <w:rPr>
                <w:rFonts w:hint="eastAsia" w:ascii="宋体" w:hAnsi="宋体" w:eastAsia="宋体" w:cs="宋体"/>
                <w:color w:val="auto"/>
                <w:sz w:val="24"/>
                <w:szCs w:val="24"/>
                <w:highlight w:val="none"/>
              </w:rPr>
              <w:t>。</w:t>
            </w:r>
          </w:p>
        </w:tc>
        <w:tc>
          <w:tcPr>
            <w:tcW w:w="982" w:type="dxa"/>
            <w:tcBorders>
              <w:top w:val="single" w:color="auto" w:sz="4" w:space="0"/>
              <w:bottom w:val="single" w:color="auto" w:sz="4" w:space="0"/>
            </w:tcBorders>
            <w:noWrap w:val="0"/>
            <w:vAlign w:val="center"/>
          </w:tcPr>
          <w:p>
            <w:pPr>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0-8</w:t>
            </w:r>
          </w:p>
        </w:tc>
        <w:tc>
          <w:tcPr>
            <w:tcW w:w="972" w:type="dxa"/>
            <w:tcBorders>
              <w:top w:val="single" w:color="auto" w:sz="4" w:space="0"/>
              <w:bottom w:val="single" w:color="auto" w:sz="4" w:space="0"/>
            </w:tcBorders>
            <w:noWrap w:val="0"/>
            <w:vAlign w:val="center"/>
          </w:tcPr>
          <w:p>
            <w:pPr>
              <w:spacing w:after="0"/>
              <w:jc w:val="both"/>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836" w:type="dxa"/>
            <w:vMerge w:val="continue"/>
            <w:noWrap w:val="0"/>
            <w:vAlign w:val="center"/>
          </w:tcPr>
          <w:p>
            <w:pPr>
              <w:spacing w:after="0"/>
              <w:jc w:val="both"/>
              <w:rPr>
                <w:rFonts w:hint="eastAsia" w:ascii="宋体" w:hAnsi="宋体" w:eastAsia="宋体" w:cs="宋体"/>
                <w:color w:val="auto"/>
                <w:sz w:val="24"/>
                <w:szCs w:val="24"/>
              </w:rPr>
            </w:pPr>
          </w:p>
        </w:tc>
        <w:tc>
          <w:tcPr>
            <w:tcW w:w="576" w:type="dxa"/>
            <w:tcBorders>
              <w:top w:val="single" w:color="auto" w:sz="4" w:space="0"/>
              <w:bottom w:val="single" w:color="auto" w:sz="4" w:space="0"/>
            </w:tcBorders>
            <w:noWrap w:val="0"/>
            <w:vAlign w:val="center"/>
          </w:tcPr>
          <w:p>
            <w:pPr>
              <w:spacing w:after="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12</w:t>
            </w:r>
          </w:p>
        </w:tc>
        <w:tc>
          <w:tcPr>
            <w:tcW w:w="595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货物渠道</w:t>
            </w:r>
            <w:r>
              <w:rPr>
                <w:rFonts w:hint="eastAsia" w:ascii="宋体" w:hAnsi="宋体" w:eastAsia="宋体" w:cs="宋体"/>
                <w:color w:val="auto"/>
                <w:sz w:val="24"/>
                <w:szCs w:val="24"/>
                <w:highlight w:val="none"/>
                <w:lang w:eastAsia="zh-CN"/>
              </w:rPr>
              <w:t>：</w:t>
            </w:r>
          </w:p>
          <w:p>
            <w:pPr>
              <w:spacing w:after="0"/>
              <w:jc w:val="both"/>
              <w:rPr>
                <w:rFonts w:hint="eastAsia" w:ascii="宋体" w:hAnsi="宋体" w:cs="宋体"/>
                <w:color w:val="auto"/>
                <w:sz w:val="24"/>
                <w:szCs w:val="24"/>
                <w:highlight w:val="yellow"/>
                <w:lang w:val="en-US" w:eastAsia="zh-CN"/>
              </w:rPr>
            </w:pPr>
            <w:r>
              <w:rPr>
                <w:rFonts w:hint="eastAsia" w:ascii="宋体" w:hAnsi="宋体" w:eastAsia="宋体" w:cs="宋体"/>
                <w:color w:val="auto"/>
                <w:sz w:val="24"/>
                <w:szCs w:val="24"/>
                <w:highlight w:val="none"/>
                <w:lang w:eastAsia="zh-CN"/>
              </w:rPr>
              <w:t>所供货物的具有</w:t>
            </w:r>
            <w:r>
              <w:rPr>
                <w:rFonts w:hint="eastAsia" w:ascii="宋体" w:hAnsi="宋体" w:eastAsia="宋体" w:cs="宋体"/>
                <w:color w:val="auto"/>
                <w:sz w:val="24"/>
                <w:szCs w:val="24"/>
                <w:highlight w:val="none"/>
              </w:rPr>
              <w:t>进货渠道，追溯及索证</w:t>
            </w:r>
            <w:r>
              <w:rPr>
                <w:rFonts w:hint="eastAsia" w:ascii="宋体" w:hAnsi="宋体" w:eastAsia="宋体" w:cs="宋体"/>
                <w:color w:val="auto"/>
                <w:sz w:val="24"/>
                <w:szCs w:val="24"/>
                <w:highlight w:val="none"/>
                <w:lang w:eastAsia="zh-CN"/>
              </w:rPr>
              <w:t>证明的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每个</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。证明材料：</w:t>
            </w:r>
            <w:r>
              <w:rPr>
                <w:rFonts w:hint="eastAsia" w:ascii="宋体" w:hAnsi="宋体" w:eastAsia="宋体" w:cs="宋体"/>
                <w:color w:val="auto"/>
                <w:sz w:val="24"/>
                <w:szCs w:val="24"/>
                <w:highlight w:val="none"/>
              </w:rPr>
              <w:t>提供与上级供应商的合同，扫描件加盖公章，否则不得分。</w:t>
            </w:r>
          </w:p>
        </w:tc>
        <w:tc>
          <w:tcPr>
            <w:tcW w:w="982" w:type="dxa"/>
            <w:tcBorders>
              <w:top w:val="single" w:color="auto" w:sz="4" w:space="0"/>
              <w:bottom w:val="single" w:color="auto" w:sz="4" w:space="0"/>
            </w:tcBorders>
            <w:noWrap w:val="0"/>
            <w:vAlign w:val="center"/>
          </w:tcPr>
          <w:p>
            <w:pPr>
              <w:spacing w:after="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0-1.5</w:t>
            </w:r>
          </w:p>
        </w:tc>
        <w:tc>
          <w:tcPr>
            <w:tcW w:w="972" w:type="dxa"/>
            <w:tcBorders>
              <w:top w:val="single" w:color="auto" w:sz="4" w:space="0"/>
              <w:bottom w:val="single" w:color="auto" w:sz="4" w:space="0"/>
            </w:tcBorders>
            <w:noWrap w:val="0"/>
            <w:vAlign w:val="center"/>
          </w:tcPr>
          <w:p>
            <w:pPr>
              <w:spacing w:after="0"/>
              <w:jc w:val="both"/>
              <w:rPr>
                <w:rFonts w:hint="eastAsia" w:ascii="宋体" w:hAnsi="宋体" w:cs="宋体"/>
                <w:color w:val="auto"/>
                <w:sz w:val="24"/>
                <w:szCs w:val="24"/>
                <w:lang w:val="en-US" w:eastAsia="zh-CN"/>
              </w:rPr>
            </w:pPr>
            <w:r>
              <w:rPr>
                <w:rFonts w:hint="eastAsia" w:ascii="宋体" w:hAnsi="宋体" w:eastAsia="宋体" w:cs="宋体"/>
                <w:color w:val="auto"/>
                <w:sz w:val="24"/>
                <w:szCs w:val="24"/>
              </w:rPr>
              <w:t>客观分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836" w:type="dxa"/>
            <w:vMerge w:val="continue"/>
            <w:noWrap w:val="0"/>
            <w:vAlign w:val="center"/>
          </w:tcPr>
          <w:p>
            <w:pPr>
              <w:spacing w:after="0"/>
              <w:jc w:val="both"/>
              <w:rPr>
                <w:rFonts w:hint="eastAsia" w:ascii="宋体" w:hAnsi="宋体" w:eastAsia="宋体" w:cs="宋体"/>
                <w:color w:val="auto"/>
                <w:sz w:val="24"/>
                <w:szCs w:val="24"/>
              </w:rPr>
            </w:pPr>
          </w:p>
        </w:tc>
        <w:tc>
          <w:tcPr>
            <w:tcW w:w="576" w:type="dxa"/>
            <w:tcBorders>
              <w:top w:val="single" w:color="auto" w:sz="4" w:space="0"/>
              <w:bottom w:val="single" w:color="auto" w:sz="4" w:space="0"/>
            </w:tcBorders>
            <w:noWrap w:val="0"/>
            <w:vAlign w:val="center"/>
          </w:tcPr>
          <w:p>
            <w:pPr>
              <w:spacing w:after="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13</w:t>
            </w:r>
          </w:p>
        </w:tc>
        <w:tc>
          <w:tcPr>
            <w:tcW w:w="595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满意度评价：</w:t>
            </w:r>
          </w:p>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月1日以来具有类似项目供货服务业主单位评价的，且评价为满意或90分及以上的，每个得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分，最多得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eastAsia="zh-CN"/>
              </w:rPr>
              <w:t>证明材料：合同及业主盖章的评价意见表复印件加盖公章，时间以评价意见表落款时间为准，同一业主不重复得分。</w:t>
            </w:r>
          </w:p>
        </w:tc>
        <w:tc>
          <w:tcPr>
            <w:tcW w:w="982" w:type="dxa"/>
            <w:tcBorders>
              <w:top w:val="single" w:color="auto" w:sz="4" w:space="0"/>
              <w:bottom w:val="single" w:color="auto" w:sz="4" w:space="0"/>
            </w:tcBorders>
            <w:noWrap w:val="0"/>
            <w:vAlign w:val="center"/>
          </w:tcPr>
          <w:p>
            <w:pPr>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0-1.5</w:t>
            </w:r>
          </w:p>
        </w:tc>
        <w:tc>
          <w:tcPr>
            <w:tcW w:w="972" w:type="dxa"/>
            <w:tcBorders>
              <w:top w:val="single" w:color="auto" w:sz="4" w:space="0"/>
              <w:bottom w:val="single" w:color="auto" w:sz="4" w:space="0"/>
            </w:tcBorders>
            <w:noWrap w:val="0"/>
            <w:vAlign w:val="center"/>
          </w:tcPr>
          <w:p>
            <w:pPr>
              <w:spacing w:after="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客</w:t>
            </w:r>
            <w:r>
              <w:rPr>
                <w:rFonts w:hint="eastAsia" w:ascii="宋体" w:hAnsi="宋体" w:eastAsia="宋体" w:cs="宋体"/>
                <w:color w:val="auto"/>
                <w:sz w:val="24"/>
                <w:szCs w:val="24"/>
              </w:rPr>
              <w:t>观分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836" w:type="dxa"/>
            <w:vMerge w:val="continue"/>
            <w:noWrap w:val="0"/>
            <w:vAlign w:val="center"/>
          </w:tcPr>
          <w:p>
            <w:pPr>
              <w:spacing w:after="0"/>
              <w:jc w:val="both"/>
              <w:rPr>
                <w:rFonts w:hint="eastAsia" w:ascii="宋体" w:hAnsi="宋体" w:eastAsia="宋体" w:cs="宋体"/>
                <w:color w:val="auto"/>
                <w:sz w:val="24"/>
                <w:szCs w:val="24"/>
              </w:rPr>
            </w:pPr>
          </w:p>
        </w:tc>
        <w:tc>
          <w:tcPr>
            <w:tcW w:w="576" w:type="dxa"/>
            <w:tcBorders>
              <w:top w:val="single" w:color="auto" w:sz="4" w:space="0"/>
              <w:bottom w:val="single" w:color="auto" w:sz="4" w:space="0"/>
            </w:tcBorders>
            <w:noWrap w:val="0"/>
            <w:vAlign w:val="center"/>
          </w:tcPr>
          <w:p>
            <w:pPr>
              <w:spacing w:after="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14</w:t>
            </w:r>
          </w:p>
        </w:tc>
        <w:tc>
          <w:tcPr>
            <w:tcW w:w="595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line="29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具有产品质量情况的保证措施的，</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根据产品质保期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可实现程度</w:t>
            </w:r>
            <w:r>
              <w:rPr>
                <w:rFonts w:hint="eastAsia" w:ascii="宋体" w:hAnsi="宋体" w:eastAsia="宋体" w:cs="宋体"/>
                <w:color w:val="auto"/>
                <w:sz w:val="24"/>
                <w:szCs w:val="24"/>
                <w:highlight w:val="none"/>
                <w:lang w:eastAsia="zh-CN"/>
              </w:rPr>
              <w:t>强</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产品质量情况的保证措施的，</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根据产品质保期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可实现程度</w:t>
            </w:r>
            <w:r>
              <w:rPr>
                <w:rFonts w:hint="eastAsia" w:ascii="宋体" w:hAnsi="宋体" w:eastAsia="宋体" w:cs="宋体"/>
                <w:color w:val="auto"/>
                <w:sz w:val="24"/>
                <w:szCs w:val="24"/>
                <w:highlight w:val="none"/>
                <w:lang w:eastAsia="zh-CN"/>
              </w:rPr>
              <w:t>较强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2-3.9分；无</w:t>
            </w:r>
            <w:r>
              <w:rPr>
                <w:rFonts w:hint="eastAsia" w:ascii="宋体" w:hAnsi="宋体" w:eastAsia="宋体" w:cs="宋体"/>
                <w:color w:val="auto"/>
                <w:sz w:val="24"/>
                <w:szCs w:val="24"/>
                <w:highlight w:val="none"/>
              </w:rPr>
              <w:t>产品质量情况的保证措施的，</w:t>
            </w:r>
            <w:r>
              <w:rPr>
                <w:rFonts w:hint="eastAsia" w:ascii="宋体" w:hAnsi="宋体" w:eastAsia="宋体" w:cs="宋体"/>
                <w:color w:val="auto"/>
                <w:sz w:val="24"/>
                <w:szCs w:val="24"/>
                <w:highlight w:val="none"/>
                <w:lang w:eastAsia="zh-CN"/>
              </w:rPr>
              <w:t>且无</w:t>
            </w:r>
            <w:r>
              <w:rPr>
                <w:rFonts w:hint="eastAsia" w:ascii="宋体" w:hAnsi="宋体" w:eastAsia="宋体" w:cs="宋体"/>
                <w:color w:val="auto"/>
                <w:sz w:val="24"/>
                <w:szCs w:val="24"/>
                <w:highlight w:val="none"/>
              </w:rPr>
              <w:t>根据产品质保期</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可实现程度的</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-1.9分。</w:t>
            </w:r>
          </w:p>
        </w:tc>
        <w:tc>
          <w:tcPr>
            <w:tcW w:w="982" w:type="dxa"/>
            <w:tcBorders>
              <w:top w:val="single" w:color="auto" w:sz="4" w:space="0"/>
              <w:bottom w:val="single" w:color="auto" w:sz="4" w:space="0"/>
            </w:tcBorders>
            <w:noWrap w:val="0"/>
            <w:vAlign w:val="center"/>
          </w:tcPr>
          <w:p>
            <w:pPr>
              <w:spacing w:after="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8</w:t>
            </w:r>
          </w:p>
        </w:tc>
        <w:tc>
          <w:tcPr>
            <w:tcW w:w="972" w:type="dxa"/>
            <w:tcBorders>
              <w:top w:val="single" w:color="auto" w:sz="4" w:space="0"/>
              <w:bottom w:val="single" w:color="auto" w:sz="4" w:space="0"/>
            </w:tcBorders>
            <w:noWrap w:val="0"/>
            <w:vAlign w:val="center"/>
          </w:tcPr>
          <w:p>
            <w:pPr>
              <w:spacing w:after="0"/>
              <w:jc w:val="both"/>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bl>
    <w:p>
      <w:pPr>
        <w:spacing w:after="0"/>
        <w:rPr>
          <w:rFonts w:hint="eastAsia"/>
          <w:b/>
          <w:color w:val="auto"/>
        </w:rPr>
      </w:pPr>
    </w:p>
    <w:p>
      <w:pPr>
        <w:spacing w:after="0"/>
        <w:rPr>
          <w:rFonts w:hint="eastAsia"/>
          <w:b/>
          <w:color w:val="auto"/>
        </w:rPr>
      </w:pPr>
    </w:p>
    <w:p>
      <w:pPr>
        <w:spacing w:after="0"/>
        <w:rPr>
          <w:rFonts w:hint="eastAsia" w:ascii="宋体" w:hAnsi="宋体" w:eastAsia="宋体" w:cs="宋体"/>
          <w:b/>
          <w:color w:val="auto"/>
          <w:sz w:val="24"/>
          <w:szCs w:val="24"/>
        </w:rPr>
      </w:pPr>
      <w:r>
        <w:rPr>
          <w:rFonts w:hint="eastAsia" w:ascii="宋体" w:hAnsi="宋体" w:eastAsia="宋体" w:cs="宋体"/>
          <w:b/>
          <w:color w:val="auto"/>
          <w:sz w:val="24"/>
          <w:szCs w:val="24"/>
        </w:rPr>
        <w:t>价格分（</w:t>
      </w:r>
      <w:r>
        <w:rPr>
          <w:rFonts w:hint="eastAsia" w:ascii="宋体" w:hAnsi="宋体" w:cs="宋体"/>
          <w:b/>
          <w:color w:val="auto"/>
          <w:sz w:val="24"/>
          <w:szCs w:val="24"/>
          <w:lang w:val="en-US" w:eastAsia="zh-CN"/>
        </w:rPr>
        <w:t>3</w:t>
      </w:r>
      <w:r>
        <w:rPr>
          <w:rFonts w:hint="eastAsia" w:ascii="宋体" w:hAnsi="宋体" w:eastAsia="宋体" w:cs="宋体"/>
          <w:b/>
          <w:color w:val="auto"/>
          <w:sz w:val="24"/>
          <w:szCs w:val="24"/>
        </w:rPr>
        <w:t>0分）</w:t>
      </w:r>
    </w:p>
    <w:tbl>
      <w:tblPr>
        <w:tblStyle w:val="64"/>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112"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720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2112"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w:t>
            </w:r>
          </w:p>
        </w:tc>
        <w:tc>
          <w:tcPr>
            <w:tcW w:w="72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最低有效</w:t>
            </w:r>
            <w:r>
              <w:rPr>
                <w:rFonts w:hint="eastAsia" w:ascii="宋体" w:hAnsi="宋体" w:eastAsia="宋体" w:cs="宋体"/>
                <w:sz w:val="24"/>
                <w:szCs w:val="24"/>
                <w:lang w:val="en-US" w:eastAsia="zh-CN"/>
              </w:rPr>
              <w:t>响应</w:t>
            </w:r>
            <w:r>
              <w:rPr>
                <w:rFonts w:hint="eastAsia" w:ascii="宋体" w:hAnsi="宋体" w:eastAsia="宋体" w:cs="宋体"/>
                <w:sz w:val="24"/>
                <w:szCs w:val="24"/>
              </w:rPr>
              <w:t>价格为评</w:t>
            </w:r>
            <w:r>
              <w:rPr>
                <w:rFonts w:hint="eastAsia" w:ascii="宋体" w:hAnsi="宋体" w:eastAsia="宋体" w:cs="宋体"/>
                <w:sz w:val="24"/>
                <w:szCs w:val="24"/>
                <w:lang w:val="en-US" w:eastAsia="zh-CN"/>
              </w:rPr>
              <w:t>审</w:t>
            </w:r>
            <w:r>
              <w:rPr>
                <w:rFonts w:hint="eastAsia" w:ascii="宋体" w:hAnsi="宋体" w:eastAsia="宋体" w:cs="宋体"/>
                <w:sz w:val="24"/>
                <w:szCs w:val="24"/>
              </w:rPr>
              <w:t>基准价</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报价得分=(评标基准价／</w:t>
            </w:r>
            <w:r>
              <w:rPr>
                <w:rFonts w:hint="eastAsia" w:ascii="宋体" w:hAnsi="宋体" w:eastAsia="宋体" w:cs="宋体"/>
                <w:sz w:val="24"/>
                <w:szCs w:val="24"/>
                <w:lang w:val="en-US" w:eastAsia="zh-CN"/>
              </w:rPr>
              <w:t>响应</w:t>
            </w:r>
            <w:r>
              <w:rPr>
                <w:rFonts w:hint="eastAsia" w:ascii="宋体" w:hAnsi="宋体" w:eastAsia="宋体" w:cs="宋体"/>
                <w:sz w:val="24"/>
                <w:szCs w:val="24"/>
              </w:rPr>
              <w:t>报价)×价格权值×100</w:t>
            </w:r>
          </w:p>
          <w:p>
            <w:pPr>
              <w:autoSpaceDE w:val="0"/>
              <w:autoSpaceDN w:val="0"/>
              <w:rPr>
                <w:rFonts w:hint="eastAsia" w:ascii="宋体" w:hAnsi="宋体" w:eastAsia="宋体" w:cs="宋体"/>
                <w:color w:val="auto"/>
                <w:sz w:val="24"/>
                <w:highlight w:val="none"/>
              </w:rPr>
            </w:pPr>
            <w:r>
              <w:rPr>
                <w:rFonts w:hint="eastAsia" w:ascii="宋体" w:hAnsi="宋体" w:eastAsia="宋体" w:cs="宋体"/>
                <w:sz w:val="24"/>
                <w:szCs w:val="24"/>
              </w:rPr>
              <w:t>（计算得分保留小数点后2位）</w:t>
            </w:r>
          </w:p>
        </w:tc>
      </w:tr>
    </w:tbl>
    <w:p>
      <w:pPr>
        <w:snapToGrid w:val="0"/>
        <w:spacing w:line="360" w:lineRule="auto"/>
        <w:rPr>
          <w:rFonts w:hint="eastAsia" w:ascii="宋体" w:hAnsi="宋体" w:eastAsia="宋体" w:cs="宋体"/>
          <w:highlight w:val="none"/>
        </w:rPr>
      </w:pP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color w:val="auto"/>
        </w:rPr>
      </w:pPr>
      <w:r>
        <w:rPr>
          <w:rFonts w:hint="eastAsia" w:ascii="宋体" w:hAnsi="宋体" w:eastAsia="宋体" w:cs="宋体"/>
          <w:sz w:val="24"/>
          <w:szCs w:val="24"/>
        </w:rPr>
        <w:t>例如：各供应商响应报价为：90%、91%、92%</w:t>
      </w:r>
      <w:r>
        <w:rPr>
          <w:rFonts w:hint="eastAsia" w:ascii="宋体" w:hAnsi="宋体" w:eastAsia="宋体" w:cs="宋体"/>
          <w:sz w:val="24"/>
          <w:szCs w:val="24"/>
          <w:lang w:val="en-US" w:eastAsia="zh-CN"/>
        </w:rPr>
        <w:t>...</w:t>
      </w:r>
      <w:r>
        <w:rPr>
          <w:rFonts w:hint="eastAsia" w:ascii="宋体" w:hAnsi="宋体" w:eastAsia="宋体" w:cs="宋体"/>
          <w:sz w:val="24"/>
          <w:szCs w:val="24"/>
        </w:rPr>
        <w:t>95%时，则90%为评审基准价。</w:t>
      </w:r>
    </w:p>
    <w:p>
      <w:pPr>
        <w:spacing w:line="480" w:lineRule="exact"/>
        <w:rPr>
          <w:rFonts w:hint="eastAsia" w:ascii="宋体" w:hAnsi="宋体" w:eastAsia="宋体" w:cs="宋体"/>
          <w:b/>
          <w:color w:val="auto"/>
          <w:sz w:val="24"/>
          <w:szCs w:val="24"/>
        </w:rPr>
      </w:pPr>
      <w:r>
        <w:rPr>
          <w:rFonts w:hint="eastAsia" w:cs="仿宋_GB2312"/>
          <w:b/>
          <w:color w:val="auto"/>
          <w:sz w:val="24"/>
          <w:szCs w:val="24"/>
        </w:rPr>
        <w:t>备注：</w:t>
      </w:r>
      <w:r>
        <w:rPr>
          <w:rFonts w:hint="eastAsia" w:ascii="宋体" w:hAnsi="宋体" w:eastAsia="宋体" w:cs="宋体"/>
          <w:color w:val="auto"/>
          <w:sz w:val="24"/>
          <w:szCs w:val="24"/>
        </w:rPr>
        <w:t>1、评分条款中涉及的业绩、荣誉、人员、社保等分公司均有效。</w:t>
      </w:r>
    </w:p>
    <w:p>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3、供应商编制响应文件（商务技术文件部分）时，建议按此目录（序号和内容）提供评审标准相应的商务技术资料。 </w:t>
      </w:r>
    </w:p>
    <w:p>
      <w:pPr>
        <w:rPr>
          <w:color w:val="auto"/>
        </w:rPr>
      </w:pPr>
      <w:r>
        <w:rPr>
          <w:color w:val="auto"/>
        </w:rPr>
        <w:br w:type="page"/>
      </w:r>
    </w:p>
    <w:p>
      <w:pPr>
        <w:pStyle w:val="24"/>
        <w:rPr>
          <w:color w:val="auto"/>
        </w:rPr>
      </w:pPr>
    </w:p>
    <w:bookmarkEnd w:id="17"/>
    <w:p>
      <w:pPr>
        <w:pStyle w:val="4"/>
        <w:jc w:val="center"/>
        <w:rPr>
          <w:rFonts w:hint="eastAsia" w:ascii="宋体" w:hAnsi="宋体" w:eastAsia="宋体" w:cs="宋体"/>
          <w:color w:val="auto"/>
          <w:sz w:val="24"/>
          <w:szCs w:val="24"/>
        </w:rPr>
      </w:pPr>
      <w:bookmarkStart w:id="408" w:name="第五部分"/>
      <w:bookmarkStart w:id="409" w:name="_Toc86217003"/>
      <w:r>
        <w:rPr>
          <w:rFonts w:hint="eastAsia" w:ascii="宋体" w:hAnsi="宋体" w:eastAsia="宋体" w:cs="宋体"/>
          <w:color w:val="auto"/>
          <w:sz w:val="24"/>
          <w:szCs w:val="24"/>
        </w:rPr>
        <w:t>一、评审方法</w:t>
      </w:r>
    </w:p>
    <w:p>
      <w:pPr>
        <w:spacing w:line="360" w:lineRule="auto"/>
        <w:ind w:firstLine="472" w:firstLineChars="196"/>
        <w:rPr>
          <w:rFonts w:hint="eastAsia" w:ascii="宋体" w:hAnsi="宋体" w:eastAsia="宋体" w:cs="宋体"/>
          <w:color w:val="auto"/>
          <w:sz w:val="24"/>
          <w:szCs w:val="24"/>
        </w:rPr>
      </w:pPr>
      <w:r>
        <w:rPr>
          <w:rStyle w:val="966"/>
          <w:rFonts w:hint="eastAsia" w:ascii="宋体" w:hAnsi="宋体" w:eastAsia="宋体" w:cs="宋体"/>
          <w:color w:val="auto"/>
          <w:sz w:val="24"/>
          <w:szCs w:val="24"/>
        </w:rPr>
        <w:t>1.本项目采用综合评估法。</w:t>
      </w:r>
      <w:r>
        <w:rPr>
          <w:rFonts w:hint="eastAsia" w:ascii="宋体" w:hAnsi="宋体" w:eastAsia="宋体" w:cs="宋体"/>
          <w:color w:val="auto"/>
          <w:sz w:val="24"/>
          <w:szCs w:val="24"/>
        </w:rPr>
        <w:t>综合评估法，是指响应文件满足交易文件全部实质性要求，且按照评审因素的量化指标评审得分最高的供应商为成交候选人的评审方法。</w:t>
      </w:r>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t>二、评审标准</w:t>
      </w:r>
    </w:p>
    <w:p>
      <w:pPr>
        <w:spacing w:line="360" w:lineRule="auto"/>
        <w:ind w:firstLine="472" w:firstLineChars="196"/>
        <w:rPr>
          <w:rFonts w:hint="eastAsia" w:ascii="宋体" w:hAnsi="宋体" w:eastAsia="宋体" w:cs="宋体"/>
          <w:b/>
          <w:color w:val="auto"/>
          <w:sz w:val="24"/>
          <w:szCs w:val="24"/>
        </w:rPr>
      </w:pPr>
      <w:r>
        <w:rPr>
          <w:rStyle w:val="966"/>
          <w:rFonts w:hint="eastAsia" w:ascii="宋体" w:hAnsi="宋体" w:eastAsia="宋体" w:cs="宋体"/>
          <w:color w:val="auto"/>
          <w:sz w:val="24"/>
          <w:szCs w:val="24"/>
        </w:rPr>
        <w:t>2. 评审标准：</w:t>
      </w:r>
      <w:r>
        <w:rPr>
          <w:rFonts w:hint="eastAsia" w:ascii="宋体" w:hAnsi="宋体" w:eastAsia="宋体" w:cs="宋体"/>
          <w:color w:val="auto"/>
          <w:sz w:val="24"/>
          <w:szCs w:val="24"/>
        </w:rPr>
        <w:t>见评审办法前附表。</w:t>
      </w:r>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t>三、评审程序</w:t>
      </w:r>
    </w:p>
    <w:p>
      <w:pPr>
        <w:spacing w:line="360" w:lineRule="auto"/>
        <w:ind w:firstLine="472" w:firstLineChars="196"/>
        <w:rPr>
          <w:rFonts w:hint="eastAsia" w:ascii="宋体" w:hAnsi="宋体" w:eastAsia="宋体" w:cs="宋体"/>
          <w:color w:val="auto"/>
          <w:sz w:val="24"/>
          <w:szCs w:val="24"/>
        </w:rPr>
      </w:pPr>
      <w:r>
        <w:rPr>
          <w:rStyle w:val="966"/>
          <w:rFonts w:hint="eastAsia" w:ascii="宋体" w:hAnsi="宋体" w:eastAsia="宋体" w:cs="宋体"/>
          <w:color w:val="auto"/>
          <w:sz w:val="24"/>
          <w:szCs w:val="24"/>
        </w:rPr>
        <w:t>3.1符合性审查。</w:t>
      </w:r>
      <w:r>
        <w:rPr>
          <w:rFonts w:hint="eastAsia" w:ascii="宋体" w:hAnsi="宋体" w:eastAsia="宋体" w:cs="宋体"/>
          <w:color w:val="auto"/>
          <w:sz w:val="24"/>
          <w:szCs w:val="24"/>
        </w:rPr>
        <w:t>评审委员会应当对符合资格的供应商的响应文件进行符合性审查，以确定其是否满足交易文件的实质性要求。不满足交易文件的实质性要求的，响应无效。</w:t>
      </w:r>
    </w:p>
    <w:p>
      <w:pPr>
        <w:spacing w:line="360" w:lineRule="auto"/>
        <w:ind w:firstLine="472" w:firstLineChars="196"/>
        <w:rPr>
          <w:rFonts w:hint="eastAsia" w:ascii="宋体" w:hAnsi="宋体" w:eastAsia="宋体" w:cs="宋体"/>
          <w:color w:val="auto"/>
          <w:sz w:val="24"/>
          <w:szCs w:val="24"/>
        </w:rPr>
      </w:pPr>
      <w:r>
        <w:rPr>
          <w:rStyle w:val="966"/>
          <w:rFonts w:hint="eastAsia" w:ascii="宋体" w:hAnsi="宋体" w:eastAsia="宋体" w:cs="宋体"/>
          <w:color w:val="auto"/>
          <w:sz w:val="24"/>
          <w:szCs w:val="24"/>
        </w:rPr>
        <w:t>3.2 比较与评价。</w:t>
      </w:r>
      <w:r>
        <w:rPr>
          <w:rFonts w:hint="eastAsia" w:ascii="宋体" w:hAnsi="宋体" w:eastAsia="宋体" w:cs="宋体"/>
          <w:color w:val="auto"/>
          <w:sz w:val="24"/>
          <w:szCs w:val="24"/>
        </w:rPr>
        <w:t>评审委员会应当按照交易文件中规定的评审方法和标准，对符合性审查合格的响应文件进行商务和技术评估，综合比较与评价。</w:t>
      </w:r>
    </w:p>
    <w:p>
      <w:pPr>
        <w:spacing w:line="360" w:lineRule="auto"/>
        <w:ind w:firstLine="472" w:firstLineChars="196"/>
        <w:rPr>
          <w:rFonts w:hint="eastAsia" w:ascii="宋体" w:hAnsi="宋体" w:eastAsia="宋体" w:cs="宋体"/>
          <w:color w:val="auto"/>
          <w:sz w:val="24"/>
          <w:szCs w:val="24"/>
        </w:rPr>
      </w:pPr>
      <w:r>
        <w:rPr>
          <w:rStyle w:val="966"/>
          <w:rFonts w:hint="eastAsia" w:ascii="宋体" w:hAnsi="宋体" w:eastAsia="宋体" w:cs="宋体"/>
          <w:color w:val="auto"/>
          <w:sz w:val="24"/>
          <w:szCs w:val="24"/>
        </w:rPr>
        <w:t>3.3汇总商务技术得分。</w:t>
      </w:r>
      <w:r>
        <w:rPr>
          <w:rFonts w:hint="eastAsia" w:ascii="宋体" w:hAnsi="宋体" w:eastAsia="宋体" w:cs="宋体"/>
          <w:color w:val="auto"/>
          <w:sz w:val="24"/>
          <w:szCs w:val="24"/>
        </w:rPr>
        <w:t>评审委员会各成员应当独立对每个供应商的商务和技术文件进行评价，并汇总商务技术得分情况。</w:t>
      </w:r>
    </w:p>
    <w:p>
      <w:pPr>
        <w:pStyle w:val="5"/>
        <w:ind w:left="888" w:leftChars="260" w:hanging="342" w:hangingChars="142"/>
        <w:rPr>
          <w:rFonts w:hint="eastAsia" w:ascii="宋体" w:hAnsi="宋体" w:eastAsia="宋体" w:cs="宋体"/>
          <w:color w:val="auto"/>
          <w:sz w:val="24"/>
          <w:szCs w:val="24"/>
        </w:rPr>
      </w:pPr>
      <w:r>
        <w:rPr>
          <w:rFonts w:hint="eastAsia" w:ascii="宋体" w:hAnsi="宋体" w:eastAsia="宋体" w:cs="宋体"/>
          <w:color w:val="auto"/>
          <w:sz w:val="24"/>
          <w:szCs w:val="24"/>
        </w:rPr>
        <w:t>3.4报价评审。</w:t>
      </w:r>
    </w:p>
    <w:p>
      <w:pPr>
        <w:pStyle w:val="131"/>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3.4.1响应文件报价出现前后不一致的，按照下列规定修正：</w:t>
      </w:r>
    </w:p>
    <w:p>
      <w:pPr>
        <w:pStyle w:val="131"/>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3.4.1.1响应文件中交易一览表(报价表)内容与响应文件中相应内容不一致的，以交易一览表(报价表)为准;</w:t>
      </w:r>
    </w:p>
    <w:p>
      <w:pPr>
        <w:pStyle w:val="131"/>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3.4.1.2大写金额和小写金额不一致的，以大写金额为准;</w:t>
      </w:r>
    </w:p>
    <w:p>
      <w:pPr>
        <w:pStyle w:val="131"/>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3.4.1.3单价金额小数点或者百分比有明显错位的，以交易一览表的总价为准，并修改单价;</w:t>
      </w:r>
    </w:p>
    <w:p>
      <w:pPr>
        <w:pStyle w:val="131"/>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3.4.1.4总价金额与按单价汇总金额不一致的，以单价金额计算结果为准。</w:t>
      </w:r>
    </w:p>
    <w:p>
      <w:pPr>
        <w:pStyle w:val="131"/>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3.4.1.5同时出现两种以上不一致的，按照3.4.1规定的顺序修正。修正后的报价按照财政部第87号令 《政府采购货物和服务招标投标管理办法》第五十一条第二款的规定经供应商确认后产生约束力。</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3.4.2响应文件出现不是唯一的、有选择性响应报价的，响应无效。</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3.4.3响应报价超过交易文件中规定的预算金额或者最高限价的，响应无效。</w:t>
      </w:r>
    </w:p>
    <w:p>
      <w:pPr>
        <w:pStyle w:val="131"/>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3.4.4评审委员会认为供应商的报价明显低于其他通过符合性审查供应商的报价，有可能影响</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rPr>
        <w:t>质量或者不能诚信履约的，应当要求其在合理的时间内提供书面说明，必要时提交相关证明材料;供应商不能证明其报价合理性的，评审委员会应当将其作为无效响应处理。</w:t>
      </w:r>
    </w:p>
    <w:p>
      <w:pPr>
        <w:spacing w:line="360" w:lineRule="auto"/>
        <w:ind w:firstLine="482" w:firstLineChars="200"/>
        <w:rPr>
          <w:rFonts w:hint="eastAsia" w:ascii="宋体" w:hAnsi="宋体" w:eastAsia="宋体" w:cs="宋体"/>
          <w:color w:val="auto"/>
          <w:sz w:val="24"/>
          <w:szCs w:val="24"/>
        </w:rPr>
      </w:pPr>
      <w:r>
        <w:rPr>
          <w:rStyle w:val="966"/>
          <w:rFonts w:hint="eastAsia" w:ascii="宋体" w:hAnsi="宋体" w:eastAsia="宋体" w:cs="宋体"/>
          <w:color w:val="auto"/>
          <w:sz w:val="24"/>
          <w:szCs w:val="24"/>
        </w:rPr>
        <w:t>3.5排序与推荐。</w:t>
      </w:r>
      <w:r>
        <w:rPr>
          <w:rFonts w:hint="eastAsia" w:ascii="宋体" w:hAnsi="宋体" w:eastAsia="宋体" w:cs="宋体"/>
          <w:color w:val="auto"/>
          <w:sz w:val="24"/>
          <w:szCs w:val="24"/>
        </w:rPr>
        <w:t>采用综合评估法的，评审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pPr>
        <w:spacing w:line="360" w:lineRule="auto"/>
        <w:ind w:firstLine="482" w:firstLineChars="200"/>
        <w:rPr>
          <w:rFonts w:hint="eastAsia" w:ascii="宋体" w:hAnsi="宋体" w:eastAsia="宋体" w:cs="宋体"/>
          <w:b/>
          <w:color w:val="auto"/>
          <w:sz w:val="24"/>
          <w:szCs w:val="24"/>
        </w:rPr>
      </w:pPr>
    </w:p>
    <w:p>
      <w:pPr>
        <w:spacing w:line="360" w:lineRule="auto"/>
        <w:ind w:firstLine="472" w:firstLineChars="196"/>
        <w:rPr>
          <w:rFonts w:hint="eastAsia" w:ascii="宋体" w:hAnsi="宋体" w:eastAsia="宋体" w:cs="宋体"/>
          <w:color w:val="auto"/>
          <w:sz w:val="24"/>
          <w:szCs w:val="24"/>
        </w:rPr>
      </w:pPr>
      <w:r>
        <w:rPr>
          <w:rStyle w:val="966"/>
          <w:rFonts w:hint="eastAsia" w:ascii="宋体" w:hAnsi="宋体" w:eastAsia="宋体" w:cs="宋体"/>
          <w:color w:val="auto"/>
          <w:sz w:val="24"/>
          <w:szCs w:val="24"/>
        </w:rPr>
        <w:t>3.6编写评审报告。</w:t>
      </w:r>
      <w:r>
        <w:rPr>
          <w:rFonts w:hint="eastAsia" w:ascii="宋体" w:hAnsi="宋体" w:eastAsia="宋体" w:cs="宋体"/>
          <w:color w:val="auto"/>
          <w:sz w:val="24"/>
          <w:szCs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t>四、评审中的其他事项</w:t>
      </w:r>
    </w:p>
    <w:p>
      <w:pPr>
        <w:pStyle w:val="131"/>
        <w:ind w:firstLine="482" w:firstLineChars="200"/>
        <w:rPr>
          <w:rFonts w:hint="eastAsia" w:ascii="宋体" w:hAnsi="宋体" w:eastAsia="宋体" w:cs="宋体"/>
          <w:color w:val="auto"/>
          <w:sz w:val="24"/>
          <w:szCs w:val="24"/>
        </w:rPr>
      </w:pPr>
      <w:r>
        <w:rPr>
          <w:rStyle w:val="966"/>
          <w:rFonts w:hint="eastAsia" w:ascii="宋体" w:hAnsi="宋体" w:eastAsia="宋体" w:cs="宋体"/>
          <w:color w:val="auto"/>
          <w:sz w:val="24"/>
          <w:szCs w:val="24"/>
        </w:rPr>
        <w:t>4.1供应商澄清、说明或者补正。</w:t>
      </w:r>
      <w:r>
        <w:rPr>
          <w:rFonts w:hint="eastAsia" w:ascii="宋体" w:hAnsi="宋体" w:eastAsia="宋体" w:cs="宋体"/>
          <w:color w:val="auto"/>
          <w:sz w:val="24"/>
          <w:szCs w:val="24"/>
        </w:rPr>
        <w:t>对于响应文件中含义不明确、同类问题表述不一致或者有明显文字和计算错误的内容需要供应商作出必要的澄清、说明或者补正的，评审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6"/>
        <w:spacing w:line="360" w:lineRule="auto"/>
        <w:ind w:left="954" w:leftChars="226" w:hanging="479" w:firstLineChars="0"/>
        <w:rPr>
          <w:rFonts w:hint="eastAsia" w:ascii="宋体" w:hAnsi="宋体" w:eastAsia="宋体" w:cs="宋体"/>
          <w:color w:val="auto"/>
          <w:sz w:val="24"/>
          <w:szCs w:val="24"/>
        </w:rPr>
      </w:pPr>
      <w:r>
        <w:rPr>
          <w:rStyle w:val="966"/>
          <w:rFonts w:hint="eastAsia" w:ascii="宋体" w:hAnsi="宋体" w:eastAsia="宋体" w:cs="宋体"/>
          <w:color w:val="auto"/>
          <w:sz w:val="24"/>
          <w:szCs w:val="24"/>
        </w:rPr>
        <w:t>4.2响应无效。</w:t>
      </w:r>
      <w:r>
        <w:rPr>
          <w:rFonts w:hint="eastAsia" w:ascii="宋体" w:hAnsi="宋体" w:eastAsia="宋体" w:cs="宋体"/>
          <w:color w:val="auto"/>
          <w:sz w:val="24"/>
          <w:szCs w:val="24"/>
        </w:rPr>
        <w:t>有下列情形之一的，响应无效：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4.2.1供应商不具备交易文件中规定的资格要求的（供应商未提供有效的资格文件的，视为供应商不具备交易文件中规定的资格要求）；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4.2.2响应文件未按照交易文件要求签署、盖章的；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4.2.3响应文件含有采购人不能接受的附加条件的；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4.2.4响应文件中承诺的响应有效期少于交易文件中载明的响应有效期的；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4.2.5响应文件出现不是唯一的、有选择性响应报价的；</w:t>
      </w:r>
    </w:p>
    <w:p>
      <w:pPr>
        <w:snapToGrid w:val="0"/>
        <w:spacing w:line="360" w:lineRule="auto"/>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 xml:space="preserve">   4.2.6响应报价超过交易文件中规定的预算金额或者最高限价的;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4.2.7报价明显低于其他通过符合性审查供应商的报价，有可能影响</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rPr>
        <w:t>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4.2.8供应商对根据修正原则修正后的报价不确认的;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4.2.9供应商提供虚假材料响应的；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4.2.10供应商有恶意串通、妨碍其他供应商的竞争行为、损害采购人或者其他供应商的合法权益情形的；</w:t>
      </w:r>
    </w:p>
    <w:p>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4.2.11供应商仅提交备份响应文件，未在电子交易平台传输递交响应文件的，响应无效；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4.2.12响应文件不满足交易文件的其它实质性要求的；</w:t>
      </w:r>
    </w:p>
    <w:p>
      <w:pPr>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4.2.13 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color w:val="auto"/>
          <w:sz w:val="24"/>
          <w:szCs w:val="24"/>
        </w:rPr>
      </w:pPr>
      <w:r>
        <w:rPr>
          <w:rStyle w:val="966"/>
          <w:rFonts w:hint="eastAsia" w:ascii="宋体" w:hAnsi="宋体" w:eastAsia="宋体" w:cs="宋体"/>
          <w:color w:val="auto"/>
          <w:sz w:val="24"/>
          <w:szCs w:val="24"/>
        </w:rPr>
        <w:t>5.废标。</w:t>
      </w:r>
      <w:r>
        <w:rPr>
          <w:rFonts w:hint="eastAsia" w:ascii="宋体" w:hAnsi="宋体" w:eastAsia="宋体" w:cs="宋体"/>
          <w:color w:val="auto"/>
          <w:sz w:val="24"/>
          <w:szCs w:val="24"/>
        </w:rPr>
        <w:t>根据相关规定，在采购中，出现下列情形之一的，应予废标：</w:t>
      </w:r>
    </w:p>
    <w:p>
      <w:pPr>
        <w:pStyle w:val="26"/>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5.1符合专业条件的供应商或者对交易文件作实质响应的供应商不足3家的；</w:t>
      </w:r>
    </w:p>
    <w:p>
      <w:pPr>
        <w:pStyle w:val="26"/>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5.2出现影响采购公正的违法、违规行为的；</w:t>
      </w:r>
    </w:p>
    <w:p>
      <w:pPr>
        <w:pStyle w:val="26"/>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5.3供应商的报价均超过了采购预算，采购人不能支付的；</w:t>
      </w:r>
    </w:p>
    <w:p>
      <w:pPr>
        <w:pStyle w:val="26"/>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5.4因重大变故，采购任务取消的。</w:t>
      </w:r>
    </w:p>
    <w:p>
      <w:pPr>
        <w:pStyle w:val="26"/>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废标后，采购机构应当将废标理由通知所有供应商。</w:t>
      </w:r>
    </w:p>
    <w:p>
      <w:pPr>
        <w:pStyle w:val="26"/>
        <w:snapToGrid w:val="0"/>
        <w:spacing w:line="360" w:lineRule="auto"/>
        <w:ind w:firstLine="590" w:firstLineChars="245"/>
        <w:rPr>
          <w:rFonts w:hint="eastAsia" w:ascii="宋体" w:hAnsi="宋体" w:eastAsia="宋体" w:cs="宋体"/>
          <w:color w:val="auto"/>
          <w:sz w:val="24"/>
          <w:szCs w:val="24"/>
        </w:rPr>
      </w:pPr>
      <w:r>
        <w:rPr>
          <w:rStyle w:val="966"/>
          <w:rFonts w:hint="eastAsia" w:ascii="宋体" w:hAnsi="宋体" w:eastAsia="宋体" w:cs="宋体"/>
          <w:color w:val="auto"/>
          <w:sz w:val="24"/>
          <w:szCs w:val="24"/>
        </w:rPr>
        <w:t>6.修改交易文件，重新组织采购活动。</w:t>
      </w:r>
      <w:r>
        <w:rPr>
          <w:rFonts w:hint="eastAsia" w:ascii="宋体" w:hAnsi="宋体" w:eastAsia="宋体" w:cs="宋体"/>
          <w:color w:val="auto"/>
          <w:sz w:val="24"/>
          <w:szCs w:val="24"/>
        </w:rPr>
        <w:t>评审委员会发现交易文件存在歧义、重大缺陷导致评审工作无法进行，或者交易文件内容违反国家有关强制性规定的，将停止评审工作，并与采购人、采购机构沟通并作书面记录。采购人、采购机构确认后，将修改交易文件，重新组织采购活动。</w:t>
      </w:r>
    </w:p>
    <w:p>
      <w:pPr>
        <w:pStyle w:val="26"/>
        <w:snapToGrid w:val="0"/>
        <w:spacing w:line="360" w:lineRule="auto"/>
        <w:ind w:firstLine="590" w:firstLineChars="245"/>
        <w:rPr>
          <w:rFonts w:hint="eastAsia" w:ascii="宋体" w:hAnsi="宋体" w:eastAsia="宋体" w:cs="宋体"/>
          <w:color w:val="auto"/>
          <w:sz w:val="24"/>
          <w:szCs w:val="24"/>
        </w:rPr>
      </w:pPr>
      <w:r>
        <w:rPr>
          <w:rStyle w:val="966"/>
          <w:rFonts w:hint="eastAsia" w:ascii="宋体" w:hAnsi="宋体" w:eastAsia="宋体" w:cs="宋体"/>
          <w:color w:val="auto"/>
          <w:sz w:val="24"/>
          <w:szCs w:val="24"/>
        </w:rPr>
        <w:t>7.重新开展采购。</w:t>
      </w:r>
      <w:r>
        <w:rPr>
          <w:rFonts w:hint="eastAsia" w:ascii="宋体" w:hAnsi="宋体" w:eastAsia="宋体" w:cs="宋体"/>
          <w:color w:val="auto"/>
          <w:sz w:val="24"/>
          <w:szCs w:val="24"/>
        </w:rPr>
        <w:t>有违法行为，影响或者可能影响成交、成交结果的，依照下列规定处理：</w:t>
      </w:r>
    </w:p>
    <w:p>
      <w:pPr>
        <w:pStyle w:val="26"/>
        <w:snapToGrid w:val="0"/>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7.1未确定成交或者成交人的，终止本次采购活动，重新开展采购活动。</w:t>
      </w:r>
    </w:p>
    <w:p>
      <w:pPr>
        <w:pStyle w:val="26"/>
        <w:snapToGrid w:val="0"/>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7.2已确定成交或者成交人但尚未签订采购合同的，成交或者成交结果无效，从合格的成交或者成交候选人中另行确定成交或者成交人；没有合格的成交或者成交候选人的，重新开展采购活动。</w:t>
      </w:r>
    </w:p>
    <w:p>
      <w:pPr>
        <w:pStyle w:val="26"/>
        <w:snapToGrid w:val="0"/>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7.3采购合同已签订但尚未履行的，撤销合同，从合格的成交或者成交候选人中另行确定成交或者成交人；没有合格的成交或者成交候选人的，重新开展采购活动。</w:t>
      </w:r>
    </w:p>
    <w:p>
      <w:pPr>
        <w:pStyle w:val="26"/>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7.4采购合同已经履行，给采购人、供应商造成损失的，由责任人承担赔偿责任。</w:t>
      </w:r>
    </w:p>
    <w:p>
      <w:pPr>
        <w:pStyle w:val="26"/>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7.5采购当事人有其他违反政府采购法</w:t>
      </w:r>
      <w:r>
        <w:rPr>
          <w:rFonts w:hint="eastAsia" w:ascii="宋体" w:hAnsi="宋体" w:eastAsia="宋体" w:cs="宋体"/>
          <w:color w:val="auto"/>
          <w:kern w:val="0"/>
          <w:sz w:val="24"/>
          <w:szCs w:val="24"/>
        </w:rPr>
        <w:t>或者政府采购法实施条例等法律法规规定</w:t>
      </w:r>
      <w:r>
        <w:rPr>
          <w:rFonts w:hint="eastAsia" w:ascii="宋体" w:hAnsi="宋体" w:eastAsia="宋体" w:cs="宋体"/>
          <w:color w:val="auto"/>
          <w:sz w:val="24"/>
          <w:szCs w:val="24"/>
        </w:rPr>
        <w:t>的行为，经改正后仍然影响或者可能影响成交、成交结果或者依法被认定为成交、成交无效的，依照7.1-7.4规定处理。</w:t>
      </w:r>
    </w:p>
    <w:p>
      <w:pPr>
        <w:rPr>
          <w:rFonts w:ascii="宋体" w:hAnsi="宋体" w:cs="宋体"/>
          <w:b/>
          <w:color w:val="auto"/>
          <w:sz w:val="36"/>
          <w:szCs w:val="36"/>
          <w:highlight w:val="none"/>
        </w:rPr>
      </w:pPr>
      <w:r>
        <w:rPr>
          <w:rFonts w:ascii="宋体" w:hAnsi="宋体" w:cs="宋体"/>
          <w:b/>
          <w:color w:val="auto"/>
          <w:sz w:val="36"/>
          <w:szCs w:val="36"/>
          <w:highlight w:val="none"/>
        </w:rPr>
        <w:br w:type="page"/>
      </w:r>
    </w:p>
    <w:p>
      <w:pPr>
        <w:pStyle w:val="23"/>
        <w:rPr>
          <w:color w:val="auto"/>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第五部分</w:t>
      </w:r>
      <w:bookmarkEnd w:id="408"/>
      <w:r>
        <w:rPr>
          <w:rFonts w:hint="eastAsia" w:ascii="宋体" w:hAnsi="宋体" w:cs="宋体"/>
          <w:b/>
          <w:color w:val="auto"/>
          <w:sz w:val="36"/>
          <w:szCs w:val="20"/>
          <w:highlight w:val="none"/>
        </w:rPr>
        <w:t xml:space="preserve"> </w:t>
      </w:r>
      <w:bookmarkEnd w:id="409"/>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（项目名称）【交易编号：（采购编号）】</w:t>
      </w:r>
      <w:r>
        <w:rPr>
          <w:rFonts w:hint="eastAsia" w:ascii="宋体" w:hAnsi="宋体" w:cs="宋体"/>
          <w:color w:val="auto"/>
          <w:sz w:val="24"/>
          <w:highlight w:val="none"/>
        </w:rPr>
        <w:t>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6、具有法律、行政法规规定的其他条件</w:t>
      </w:r>
      <w:r>
        <w:rPr>
          <w:rFonts w:hint="eastAsia" w:ascii="宋体" w:hAnsi="宋体" w:cs="宋体"/>
          <w:color w:val="auto"/>
          <w:sz w:val="24"/>
          <w:highlight w:val="none"/>
          <w:lang w:eastAsia="zh-CN"/>
        </w:rPr>
        <w:t>；</w:t>
      </w:r>
    </w:p>
    <w:p>
      <w:pPr>
        <w:snapToGrid w:val="0"/>
        <w:spacing w:line="360" w:lineRule="auto"/>
        <w:ind w:firstLine="480" w:firstLineChars="20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7、未被“信用中国”（www.creditchina.gov.cn）、中国政府采购网（www.ccgp.gov.cn）列入失信被执行人、重大税收违法案件当事人名单、政府采购严重违法失信行为记录名单。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、本项目不接受联合体参与（潜在供应商能独立完成本项目）。</w:t>
      </w:r>
    </w:p>
    <w:p>
      <w:pPr>
        <w:snapToGrid w:val="0"/>
        <w:spacing w:line="360" w:lineRule="auto"/>
        <w:ind w:firstLine="480" w:firstLineChars="200"/>
        <w:rPr>
          <w:rFonts w:ascii="宋体" w:hAnsi="宋体" w:cs="宋体"/>
          <w:color w:val="auto"/>
          <w:sz w:val="24"/>
          <w:highlight w:val="none"/>
        </w:rPr>
      </w:pPr>
    </w:p>
    <w:p>
      <w:pPr>
        <w:pStyle w:val="81"/>
        <w:rPr>
          <w:rFonts w:cs="宋体"/>
          <w:color w:val="auto"/>
          <w:highlight w:val="none"/>
        </w:rPr>
      </w:pPr>
    </w:p>
    <w:p>
      <w:pPr>
        <w:pStyle w:val="81"/>
        <w:rPr>
          <w:rFonts w:cs="宋体"/>
          <w:color w:val="auto"/>
          <w:highlight w:val="none"/>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0"/>
          <w:numId w:val="0"/>
        </w:numPr>
        <w:snapToGrid w:val="0"/>
        <w:spacing w:line="360" w:lineRule="auto"/>
        <w:ind w:left="420" w:leftChars="200"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）响应函…………………………………………………………………………（页码）</w:t>
      </w:r>
    </w:p>
    <w:p>
      <w:pPr>
        <w:numPr>
          <w:ilvl w:val="0"/>
          <w:numId w:val="0"/>
        </w:numPr>
        <w:snapToGrid w:val="0"/>
        <w:spacing w:line="360" w:lineRule="auto"/>
        <w:ind w:left="420" w:leftChars="200"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（2）授权委托书或法定代表人（单位负责人、自然人本人）身份证明………（页码）</w:t>
      </w:r>
    </w:p>
    <w:p>
      <w:pPr>
        <w:numPr>
          <w:ilvl w:val="0"/>
          <w:numId w:val="0"/>
        </w:numPr>
        <w:snapToGrid w:val="0"/>
        <w:spacing w:line="360" w:lineRule="auto"/>
        <w:ind w:left="420" w:leftChars="200"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（3）符合性审查资料………………………………………………………………（页码）</w:t>
      </w:r>
    </w:p>
    <w:p>
      <w:pPr>
        <w:snapToGrid w:val="0"/>
        <w:spacing w:line="360" w:lineRule="auto"/>
        <w:ind w:left="0" w:leftChars="0" w:firstLine="420" w:firstLineChars="175"/>
        <w:jc w:val="both"/>
        <w:rPr>
          <w:rFonts w:hint="eastAsia" w:eastAsia="宋体"/>
          <w:color w:val="auto"/>
          <w:sz w:val="24"/>
          <w:szCs w:val="24"/>
          <w:highlight w:val="none"/>
          <w:lang w:val="en-US" w:eastAsia="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交易标的清单…………………………………………………………………（页码）</w:t>
      </w:r>
    </w:p>
    <w:p>
      <w:pPr>
        <w:snapToGrid w:val="0"/>
        <w:spacing w:line="360" w:lineRule="auto"/>
        <w:ind w:left="0" w:leftChars="0" w:firstLine="420" w:firstLineChars="175"/>
        <w:jc w:val="both"/>
        <w:rPr>
          <w:rFonts w:ascii="宋体" w:hAnsi="宋体" w:cs="宋体"/>
          <w:color w:val="auto"/>
          <w:sz w:val="24"/>
          <w:szCs w:val="24"/>
          <w:highlight w:val="none"/>
        </w:rPr>
      </w:pPr>
      <w:r>
        <w:rPr>
          <w:rFonts w:hint="eastAsia" w:ascii="宋体" w:hAnsi="宋体" w:cs="宋体"/>
          <w:color w:val="auto"/>
          <w:sz w:val="24"/>
          <w:szCs w:val="24"/>
          <w:highlight w:val="none"/>
        </w:rPr>
        <w:t>（5）商务技术偏离表………………………………………………………………（页码）</w:t>
      </w:r>
    </w:p>
    <w:p>
      <w:pPr>
        <w:snapToGrid w:val="0"/>
        <w:spacing w:line="360" w:lineRule="auto"/>
        <w:ind w:left="0" w:leftChars="0" w:firstLine="420" w:firstLineChars="175"/>
        <w:jc w:val="both"/>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采购供应商廉洁自律承诺书</w:t>
      </w:r>
      <w:r>
        <w:rPr>
          <w:rFonts w:hint="eastAsia" w:ascii="宋体" w:hAnsi="宋体" w:cs="宋体"/>
          <w:color w:val="auto"/>
          <w:sz w:val="24"/>
          <w:szCs w:val="24"/>
          <w:highlight w:val="none"/>
        </w:rPr>
        <w:t>…………………………………………………（页码）</w:t>
      </w:r>
    </w:p>
    <w:p>
      <w:pPr>
        <w:snapToGrid w:val="0"/>
        <w:spacing w:line="360" w:lineRule="auto"/>
        <w:ind w:left="0" w:leftChars="0" w:firstLine="420" w:firstLineChars="175"/>
        <w:jc w:val="both"/>
        <w:rPr>
          <w:rFonts w:ascii="宋体" w:hAnsi="宋体" w:cs="宋体"/>
          <w:color w:val="auto"/>
          <w:sz w:val="24"/>
          <w:highlight w:val="none"/>
        </w:rPr>
      </w:pPr>
      <w:r>
        <w:rPr>
          <w:rFonts w:hint="eastAsia" w:ascii="宋体" w:hAnsi="宋体" w:cs="宋体"/>
          <w:color w:val="auto"/>
          <w:sz w:val="24"/>
          <w:szCs w:val="24"/>
          <w:highlight w:val="none"/>
        </w:rPr>
        <w:t>（7）</w:t>
      </w:r>
      <w:r>
        <w:rPr>
          <w:rFonts w:hint="eastAsia" w:ascii="宋体" w:hAnsi="宋体" w:eastAsia="宋体" w:cs="宋体"/>
          <w:color w:val="auto"/>
          <w:sz w:val="24"/>
          <w:highlight w:val="none"/>
          <w:lang w:val="zh-CN"/>
        </w:rPr>
        <w:t>项目实施计划：详细的项目组织实施方案（工作时间进度表、工作程序或步骤、管理和协调方法等）</w:t>
      </w:r>
      <w:r>
        <w:rPr>
          <w:rFonts w:hint="eastAsia" w:ascii="宋体" w:hAnsi="宋体" w:cs="宋体"/>
          <w:color w:val="auto"/>
          <w:sz w:val="24"/>
          <w:szCs w:val="24"/>
          <w:highlight w:val="none"/>
        </w:rPr>
        <w:t>…………………………………………………………………（页码）</w:t>
      </w:r>
    </w:p>
    <w:p>
      <w:pPr>
        <w:snapToGrid w:val="0"/>
        <w:spacing w:line="360" w:lineRule="auto"/>
        <w:ind w:left="0" w:leftChars="0" w:firstLine="420" w:firstLineChars="175"/>
        <w:rPr>
          <w:rFonts w:hint="eastAsia" w:ascii="宋体" w:hAnsi="宋体" w:eastAsia="宋体" w:cs="宋体"/>
          <w:color w:val="auto"/>
          <w:sz w:val="24"/>
          <w:highlight w:val="none"/>
          <w:lang w:val="zh-CN"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eastAsia="宋体" w:cs="宋体"/>
          <w:color w:val="auto"/>
          <w:sz w:val="24"/>
          <w:highlight w:val="none"/>
          <w:lang w:val="zh-CN" w:eastAsia="zh-CN"/>
        </w:rPr>
        <w:t>供应商需要说明的其它文件和资料</w:t>
      </w:r>
      <w:r>
        <w:rPr>
          <w:rFonts w:hint="eastAsia" w:ascii="宋体" w:hAnsi="宋体" w:cs="宋体"/>
          <w:color w:val="auto"/>
          <w:sz w:val="24"/>
          <w:szCs w:val="24"/>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24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pPr>
        <w:snapToGrid w:val="0"/>
        <w:spacing w:line="400" w:lineRule="exact"/>
        <w:rPr>
          <w:rFonts w:ascii="宋体" w:hAnsi="宋体" w:cs="宋体"/>
          <w:color w:val="auto"/>
          <w:sz w:val="24"/>
          <w:highlight w:val="none"/>
          <w:u w:val="single"/>
        </w:rPr>
      </w:pPr>
      <w:r>
        <w:rPr>
          <w:rFonts w:hint="eastAsia" w:ascii="宋体" w:hAnsi="宋体" w:cs="宋体"/>
          <w:color w:val="auto"/>
          <w:sz w:val="24"/>
          <w:highlight w:val="none"/>
          <w:u w:val="single"/>
        </w:rPr>
        <w:t>（采购人）、（采购代理机构）：</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（项目名称）【交易编号：（采购编号）】</w:t>
      </w:r>
      <w:r>
        <w:rPr>
          <w:rFonts w:hint="eastAsia" w:ascii="宋体" w:hAnsi="宋体" w:cs="宋体"/>
          <w:color w:val="auto"/>
          <w:sz w:val="24"/>
          <w:highlight w:val="none"/>
        </w:rPr>
        <w:t>交易的有关活动，并对此项目进行交易。为此：</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pPr>
        <w:snapToGrid w:val="0"/>
        <w:spacing w:line="40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2.2.3符合性审查资料；</w:t>
      </w:r>
    </w:p>
    <w:p>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交易标的清单；</w:t>
      </w:r>
    </w:p>
    <w:p>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2.2.5商务技术偏离表；</w:t>
      </w:r>
    </w:p>
    <w:p>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w:t>
      </w:r>
      <w:r>
        <w:rPr>
          <w:rFonts w:hint="eastAsia" w:ascii="宋体" w:hAnsi="宋体" w:eastAsia="宋体" w:cs="宋体"/>
          <w:color w:val="auto"/>
          <w:sz w:val="24"/>
          <w:highlight w:val="none"/>
          <w:lang w:val="zh-CN"/>
        </w:rPr>
        <w:t>采购供应商廉洁自律承诺书；</w:t>
      </w:r>
    </w:p>
    <w:p>
      <w:pPr>
        <w:snapToGrid w:val="0"/>
        <w:spacing w:line="400" w:lineRule="exact"/>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项目实施计划：详细的项目组织实施方案（工作时间进度表、工作程序或步骤、管理和协调方法等）；</w:t>
      </w:r>
    </w:p>
    <w:p>
      <w:pPr>
        <w:snapToGrid w:val="0"/>
        <w:spacing w:line="400" w:lineRule="exact"/>
        <w:ind w:left="420" w:leftChars="200" w:firstLine="480" w:firstLineChars="200"/>
        <w:rPr>
          <w:color w:val="auto"/>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zh-CN" w:eastAsia="zh-CN"/>
        </w:rPr>
        <w:t>供应商需要说明的其它文件和资料。</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3、我方承诺除商务技术偏离表列出的偏离外，我方响应交易文件的全部要求。</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4.3按照交易文件要求提交履约保证金； </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0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w:t>
      </w:r>
      <w:r>
        <w:rPr>
          <w:rFonts w:hint="eastAsia" w:ascii="宋体" w:hAnsi="宋体" w:cs="宋体"/>
          <w:b/>
          <w:color w:val="auto"/>
          <w:w w:val="80"/>
          <w:kern w:val="0"/>
          <w:sz w:val="32"/>
          <w:szCs w:val="32"/>
          <w:highlight w:val="none"/>
          <w:lang w:val="zh-CN"/>
        </w:rPr>
        <w:t>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3833" w:firstLineChars="1193"/>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（项目名称）【交易编号：（采购编号）】</w:t>
      </w:r>
      <w:r>
        <w:rPr>
          <w:rFonts w:hint="eastAsia" w:ascii="宋体" w:hAnsi="宋体" w:cs="宋体"/>
          <w:color w:val="auto"/>
          <w:kern w:val="0"/>
          <w:sz w:val="24"/>
          <w:highlight w:val="none"/>
          <w:lang w:val="zh-CN"/>
        </w:rPr>
        <w:t>采购交易的一切事项，其法律后果由我方承担。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pacing w:line="360" w:lineRule="auto"/>
        <w:ind w:right="420"/>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65"/>
        <w:gridCol w:w="34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065"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477"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065" w:type="dxa"/>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响应文件按照交易文件要求签署、盖章。</w:t>
            </w:r>
          </w:p>
        </w:tc>
        <w:tc>
          <w:tcPr>
            <w:tcW w:w="34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见响应文件</w:t>
            </w:r>
          </w:p>
          <w:p>
            <w:pPr>
              <w:spacing w:line="240" w:lineRule="auto"/>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065" w:type="dxa"/>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响应文件中承诺的交易有效期不少于交易文件中载明的交易有效期。</w:t>
            </w:r>
          </w:p>
        </w:tc>
        <w:tc>
          <w:tcPr>
            <w:tcW w:w="34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pPr>
              <w:spacing w:line="240" w:lineRule="auto"/>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065" w:type="dxa"/>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响应文件满足交易文件的其它实质性要求。</w:t>
            </w:r>
          </w:p>
        </w:tc>
        <w:tc>
          <w:tcPr>
            <w:tcW w:w="3477"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pPr>
              <w:spacing w:line="240" w:lineRule="auto"/>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left="0" w:leftChars="0" w:firstLine="0" w:firstLineChars="0"/>
        <w:jc w:val="center"/>
        <w:rPr>
          <w:rFonts w:hint="eastAsia" w:ascii="宋体" w:hAnsi="宋体" w:cs="宋体"/>
          <w:b/>
          <w:color w:val="auto"/>
          <w:kern w:val="0"/>
          <w:sz w:val="32"/>
          <w:szCs w:val="32"/>
          <w:highlight w:val="none"/>
          <w:lang w:val="en-US" w:eastAsia="zh-CN"/>
        </w:rPr>
      </w:pPr>
    </w:p>
    <w:p>
      <w:pPr>
        <w:ind w:left="0" w:leftChars="0" w:firstLine="0" w:firstLineChars="0"/>
        <w:jc w:val="center"/>
        <w:rPr>
          <w:rFonts w:hint="eastAsia" w:ascii="宋体" w:hAnsi="宋体" w:cs="宋体"/>
          <w:b/>
          <w:color w:val="auto"/>
          <w:kern w:val="0"/>
          <w:sz w:val="32"/>
          <w:szCs w:val="32"/>
          <w:highlight w:val="none"/>
          <w:lang w:val="en-US" w:eastAsia="zh-CN"/>
        </w:rPr>
      </w:pPr>
    </w:p>
    <w:p>
      <w:pPr>
        <w:ind w:left="0" w:leftChars="0"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、交易标的清单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交易文件章节及具体内容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供应商保证：除商务技术偏离表列出的偏离外，供应商响应交易文件的全部要求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u w:val="singl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u w:val="singl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项目交易要求参加交易。在这次交易过程中和成交后，我们将严格遵守国家法律法规要求，并郑重承诺：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有权立即取消我单位交易、成交或在建项目的建设资格，有权拒绝我单位在一定时期内进入你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bCs/>
          <w:color w:val="auto"/>
          <w:sz w:val="24"/>
          <w:highlight w:val="none"/>
        </w:rPr>
      </w:pPr>
      <w:r>
        <w:rPr>
          <w:rFonts w:ascii="宋体" w:hAnsi="宋体" w:cs="宋体"/>
          <w:b/>
          <w:bCs/>
          <w:color w:val="auto"/>
          <w:sz w:val="24"/>
          <w:highlight w:val="none"/>
        </w:rPr>
        <w:br w:type="page"/>
      </w:r>
    </w:p>
    <w:p>
      <w:pPr>
        <w:rPr>
          <w:rFonts w:ascii="宋体" w:hAnsi="宋体" w:cs="宋体"/>
          <w:b/>
          <w:bCs/>
          <w:color w:val="auto"/>
          <w:sz w:val="24"/>
          <w:highlight w:val="none"/>
        </w:rPr>
      </w:pPr>
    </w:p>
    <w:p>
      <w:pPr>
        <w:rPr>
          <w:rFonts w:ascii="宋体" w:hAnsi="宋体" w:cs="宋体"/>
          <w:b/>
          <w:bCs/>
          <w:color w:val="auto"/>
          <w:sz w:val="24"/>
          <w:highlight w:val="none"/>
        </w:rPr>
      </w:pPr>
    </w:p>
    <w:p>
      <w:pPr>
        <w:numPr>
          <w:ilvl w:val="0"/>
          <w:numId w:val="0"/>
        </w:numPr>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en-US" w:eastAsia="zh-CN"/>
        </w:rPr>
        <w:t>七、</w:t>
      </w:r>
      <w:r>
        <w:rPr>
          <w:rFonts w:hint="eastAsia" w:ascii="宋体" w:hAnsi="宋体" w:eastAsia="宋体" w:cs="宋体"/>
          <w:b/>
          <w:bCs/>
          <w:color w:val="auto"/>
          <w:sz w:val="30"/>
          <w:szCs w:val="30"/>
          <w:highlight w:val="none"/>
          <w:lang w:val="zh-CN"/>
        </w:rPr>
        <w:t>项目实施计划：详细的项目组织实施方案（工作时间进度表、工作程序或步骤、管理和协调方法等）；</w:t>
      </w: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numPr>
          <w:ilvl w:val="0"/>
          <w:numId w:val="0"/>
        </w:numPr>
        <w:jc w:val="center"/>
        <w:rPr>
          <w:rFonts w:hint="eastAsia"/>
          <w:b/>
          <w:bCs/>
          <w:color w:val="auto"/>
          <w:sz w:val="30"/>
          <w:szCs w:val="30"/>
          <w:highlight w:val="none"/>
          <w:lang w:val="zh-CN"/>
        </w:rPr>
      </w:pPr>
    </w:p>
    <w:p>
      <w:pPr>
        <w:numPr>
          <w:ilvl w:val="0"/>
          <w:numId w:val="0"/>
        </w:numPr>
        <w:snapToGrid w:val="0"/>
        <w:spacing w:line="400" w:lineRule="exact"/>
        <w:ind w:leftChars="0"/>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en-US" w:eastAsia="zh-CN"/>
        </w:rPr>
        <w:t>八、</w:t>
      </w:r>
      <w:r>
        <w:rPr>
          <w:rFonts w:hint="eastAsia" w:ascii="宋体" w:hAnsi="宋体" w:eastAsia="宋体" w:cs="宋体"/>
          <w:b/>
          <w:bCs/>
          <w:color w:val="auto"/>
          <w:sz w:val="30"/>
          <w:szCs w:val="30"/>
          <w:highlight w:val="none"/>
          <w:lang w:val="zh-CN"/>
        </w:rPr>
        <w:t>服务、技术支持承诺；</w:t>
      </w: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numPr>
          <w:ilvl w:val="0"/>
          <w:numId w:val="0"/>
        </w:numPr>
        <w:ind w:leftChars="0"/>
        <w:jc w:val="center"/>
        <w:rPr>
          <w:rFonts w:hint="eastAsia"/>
          <w:b/>
          <w:bCs/>
          <w:color w:val="auto"/>
          <w:sz w:val="30"/>
          <w:szCs w:val="30"/>
          <w:highlight w:val="none"/>
          <w:lang w:val="zh-CN"/>
        </w:rPr>
      </w:pPr>
    </w:p>
    <w:p>
      <w:pPr>
        <w:snapToGrid w:val="0"/>
        <w:spacing w:line="400" w:lineRule="exact"/>
        <w:ind w:left="0" w:leftChars="0" w:firstLine="0" w:firstLineChars="0"/>
        <w:jc w:val="center"/>
        <w:rPr>
          <w:b/>
          <w:bCs/>
          <w:color w:val="auto"/>
          <w:sz w:val="30"/>
          <w:szCs w:val="30"/>
          <w:highlight w:val="none"/>
        </w:rPr>
      </w:pPr>
      <w:r>
        <w:rPr>
          <w:rFonts w:hint="eastAsia" w:ascii="宋体" w:hAnsi="宋体" w:eastAsia="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lang w:val="zh-CN" w:eastAsia="zh-CN"/>
        </w:rPr>
        <w:t>供应商需要说明的其它文件和资料。</w:t>
      </w:r>
    </w:p>
    <w:p>
      <w:pPr>
        <w:pStyle w:val="81"/>
        <w:ind w:left="0" w:leftChars="0" w:firstLine="0" w:firstLineChars="0"/>
        <w:jc w:val="center"/>
        <w:rPr>
          <w:b/>
          <w:bCs/>
          <w:color w:val="auto"/>
          <w:sz w:val="30"/>
          <w:szCs w:val="30"/>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（1）交易一览表（报价表）………………………………………………………（页码）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3"/>
        <w:keepNext w:val="0"/>
        <w:pageBreakBefore w:val="0"/>
        <w:tabs>
          <w:tab w:val="clear" w:pos="720"/>
        </w:tabs>
        <w:snapToGrid w:val="0"/>
        <w:spacing w:before="120" w:after="120" w:line="240" w:lineRule="auto"/>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pPr>
        <w:spacing w:line="360" w:lineRule="exact"/>
        <w:rPr>
          <w:color w:val="auto"/>
        </w:rPr>
      </w:pPr>
      <w:r>
        <w:rPr>
          <w:rFonts w:hint="eastAsia"/>
          <w:color w:val="auto"/>
        </w:rPr>
        <w:t>（采购人）、（采购代理机构）</w:t>
      </w:r>
      <w:r>
        <w:rPr>
          <w:rFonts w:hint="eastAsia"/>
          <w:color w:val="auto"/>
          <w:lang w:val="zh-CN"/>
        </w:rPr>
        <w:t>：</w:t>
      </w:r>
    </w:p>
    <w:p>
      <w:pPr>
        <w:spacing w:line="360" w:lineRule="exact"/>
        <w:rPr>
          <w:color w:val="auto"/>
          <w:lang w:val="zh-CN"/>
        </w:rPr>
      </w:pPr>
      <w:r>
        <w:rPr>
          <w:rFonts w:hint="eastAsia"/>
          <w:color w:val="auto"/>
          <w:lang w:val="zh-CN"/>
        </w:rPr>
        <w:t>按你方交易文件要求，我们，本响应文件签字方，谨此向你方发出要约如下：如你方接受本响应，我方承诺按照如下交易一览表（报价表）的价格完成</w:t>
      </w:r>
      <w:r>
        <w:rPr>
          <w:rFonts w:hint="eastAsia"/>
          <w:color w:val="auto"/>
        </w:rPr>
        <w:t>（项目名称）</w:t>
      </w:r>
      <w:r>
        <w:rPr>
          <w:rFonts w:hint="eastAsia"/>
          <w:color w:val="auto"/>
          <w:lang w:val="zh-CN"/>
        </w:rPr>
        <w:t>【</w:t>
      </w:r>
      <w:r>
        <w:rPr>
          <w:rFonts w:hint="eastAsia"/>
          <w:color w:val="auto"/>
        </w:rPr>
        <w:t>项目</w:t>
      </w:r>
      <w:r>
        <w:rPr>
          <w:rFonts w:hint="eastAsia"/>
          <w:color w:val="auto"/>
          <w:lang w:val="zh-CN"/>
        </w:rPr>
        <w:t>编号：</w:t>
      </w:r>
      <w:r>
        <w:rPr>
          <w:rFonts w:hint="eastAsia"/>
          <w:color w:val="auto"/>
        </w:rPr>
        <w:t>（采购编号）】的实施</w:t>
      </w:r>
      <w:r>
        <w:rPr>
          <w:rFonts w:hint="eastAsia"/>
          <w:color w:val="auto"/>
          <w:lang w:val="zh-CN"/>
        </w:rPr>
        <w:t>。</w:t>
      </w:r>
    </w:p>
    <w:p>
      <w:pPr>
        <w:spacing w:line="400" w:lineRule="exact"/>
        <w:jc w:val="center"/>
        <w:rPr>
          <w:b/>
          <w:color w:val="auto"/>
          <w:lang w:val="zh-CN"/>
        </w:rPr>
      </w:pPr>
      <w:r>
        <w:rPr>
          <w:rFonts w:hint="eastAsia"/>
          <w:b/>
          <w:color w:val="auto"/>
          <w:lang w:val="zh-CN"/>
        </w:rPr>
        <w:t>交易一览表（报价表）</w:t>
      </w:r>
      <w:r>
        <w:rPr>
          <w:b/>
          <w:color w:val="auto"/>
          <w:lang w:val="zh-CN"/>
        </w:rPr>
        <w:t xml:space="preserve">(单位均为人民币元) </w:t>
      </w:r>
    </w:p>
    <w:tbl>
      <w:tblPr>
        <w:tblStyle w:val="64"/>
        <w:tblW w:w="13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1"/>
        <w:gridCol w:w="1476"/>
        <w:gridCol w:w="2473"/>
        <w:gridCol w:w="1369"/>
        <w:gridCol w:w="1341"/>
        <w:gridCol w:w="1558"/>
        <w:gridCol w:w="1301"/>
        <w:gridCol w:w="1447"/>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351" w:type="dxa"/>
            <w:shd w:val="clear" w:color="auto" w:fill="FFFFFF"/>
            <w:tcMar>
              <w:top w:w="10" w:type="dxa"/>
              <w:left w:w="10" w:type="dxa"/>
              <w:right w:w="10" w:type="dxa"/>
            </w:tcMar>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Cs/>
                <w:color w:val="auto"/>
                <w:kern w:val="0"/>
                <w:sz w:val="24"/>
                <w:szCs w:val="24"/>
              </w:rPr>
              <w:t>序号</w:t>
            </w:r>
          </w:p>
        </w:tc>
        <w:tc>
          <w:tcPr>
            <w:tcW w:w="1476" w:type="dxa"/>
            <w:shd w:val="clear" w:color="auto" w:fill="FFFFFF"/>
            <w:tcMar>
              <w:top w:w="10" w:type="dxa"/>
              <w:left w:w="10" w:type="dxa"/>
              <w:right w:w="10" w:type="dxa"/>
            </w:tcMar>
            <w:vAlign w:val="center"/>
          </w:tcPr>
          <w:p>
            <w:pPr>
              <w:widowControl/>
              <w:jc w:val="center"/>
              <w:textAlignment w:val="center"/>
              <w:rPr>
                <w:rFonts w:hint="eastAsia" w:ascii="宋体" w:hAnsi="宋体" w:eastAsia="宋体" w:cs="宋体"/>
                <w:b/>
                <w:color w:val="auto"/>
                <w:sz w:val="24"/>
                <w:szCs w:val="24"/>
                <w:lang w:eastAsia="zh-CN"/>
              </w:rPr>
            </w:pPr>
            <w:r>
              <w:rPr>
                <w:rFonts w:hint="eastAsia" w:ascii="宋体" w:hAnsi="宋体" w:eastAsia="宋体" w:cs="宋体"/>
                <w:bCs/>
                <w:color w:val="auto"/>
                <w:kern w:val="0"/>
                <w:sz w:val="24"/>
                <w:szCs w:val="24"/>
                <w:lang w:val="en-US" w:eastAsia="zh-CN"/>
              </w:rPr>
              <w:t>名称</w:t>
            </w:r>
          </w:p>
        </w:tc>
        <w:tc>
          <w:tcPr>
            <w:tcW w:w="2473" w:type="dxa"/>
            <w:shd w:val="clear" w:color="auto" w:fill="FFFFFF"/>
            <w:tcMar>
              <w:top w:w="10" w:type="dxa"/>
              <w:left w:w="10" w:type="dxa"/>
              <w:right w:w="10" w:type="dxa"/>
            </w:tcMar>
            <w:vAlign w:val="center"/>
          </w:tcPr>
          <w:p>
            <w:pPr>
              <w:pStyle w:val="61"/>
              <w:rPr>
                <w:rFonts w:hint="eastAsia" w:ascii="宋体" w:hAnsi="宋体" w:eastAsia="宋体" w:cs="宋体"/>
                <w:b/>
                <w:color w:val="auto"/>
                <w:sz w:val="24"/>
                <w:szCs w:val="24"/>
              </w:rPr>
            </w:pPr>
            <w:r>
              <w:rPr>
                <w:rFonts w:hint="eastAsia" w:ascii="宋体" w:hAnsi="宋体" w:eastAsia="宋体" w:cs="宋体"/>
                <w:b w:val="0"/>
                <w:bCs/>
                <w:i w:val="0"/>
                <w:iCs w:val="0"/>
                <w:color w:val="auto"/>
                <w:kern w:val="0"/>
                <w:sz w:val="24"/>
                <w:szCs w:val="24"/>
                <w:highlight w:val="none"/>
                <w:u w:val="none"/>
                <w:lang w:val="en-US" w:eastAsia="zh-CN" w:bidi="ar"/>
              </w:rPr>
              <w:t>参数规格</w:t>
            </w:r>
          </w:p>
        </w:tc>
        <w:tc>
          <w:tcPr>
            <w:tcW w:w="1369"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color w:val="auto"/>
                <w:sz w:val="24"/>
                <w:szCs w:val="24"/>
              </w:rPr>
            </w:pPr>
            <w:r>
              <w:rPr>
                <w:rFonts w:hint="eastAsia" w:ascii="宋体" w:hAnsi="宋体" w:eastAsia="宋体" w:cs="宋体"/>
                <w:b w:val="0"/>
                <w:bCs/>
                <w:i w:val="0"/>
                <w:iCs w:val="0"/>
                <w:color w:val="auto"/>
                <w:kern w:val="0"/>
                <w:sz w:val="24"/>
                <w:szCs w:val="24"/>
                <w:highlight w:val="none"/>
                <w:u w:val="none"/>
                <w:lang w:val="en-US" w:eastAsia="zh-CN" w:bidi="ar"/>
              </w:rPr>
              <w:t>数量</w:t>
            </w:r>
          </w:p>
        </w:tc>
        <w:tc>
          <w:tcPr>
            <w:tcW w:w="1341"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color w:val="auto"/>
                <w:sz w:val="24"/>
                <w:szCs w:val="24"/>
              </w:rPr>
            </w:pPr>
            <w:r>
              <w:rPr>
                <w:rFonts w:hint="eastAsia" w:ascii="宋体" w:hAnsi="宋体" w:cs="宋体"/>
                <w:b w:val="0"/>
                <w:bCs/>
                <w:i w:val="0"/>
                <w:iCs w:val="0"/>
                <w:color w:val="auto"/>
                <w:kern w:val="0"/>
                <w:sz w:val="24"/>
                <w:szCs w:val="24"/>
                <w:highlight w:val="none"/>
                <w:u w:val="none"/>
                <w:lang w:val="en-US" w:eastAsia="zh-CN" w:bidi="ar"/>
              </w:rPr>
              <w:t>单位</w:t>
            </w:r>
          </w:p>
        </w:tc>
        <w:tc>
          <w:tcPr>
            <w:tcW w:w="1558"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响应报价</w:t>
            </w:r>
          </w:p>
          <w:p>
            <w:pPr>
              <w:keepNext w:val="0"/>
              <w:keepLines w:val="0"/>
              <w:widowControl/>
              <w:suppressLineNumbers w:val="0"/>
              <w:jc w:val="center"/>
              <w:textAlignment w:val="center"/>
              <w:rPr>
                <w:rFonts w:hint="eastAsia" w:ascii="宋体" w:hAnsi="宋体" w:eastAsia="宋体" w:cs="宋体"/>
                <w:bCs/>
                <w:color w:val="auto"/>
                <w:kern w:val="0"/>
                <w:sz w:val="24"/>
                <w:szCs w:val="24"/>
                <w:lang w:eastAsia="zh-CN"/>
              </w:rPr>
            </w:pPr>
            <w:r>
              <w:rPr>
                <w:rFonts w:hint="eastAsia" w:ascii="宋体" w:hAnsi="宋体" w:eastAsia="宋体" w:cs="宋体"/>
                <w:b w:val="0"/>
                <w:bCs/>
                <w:i w:val="0"/>
                <w:iCs w:val="0"/>
                <w:color w:val="auto"/>
                <w:kern w:val="0"/>
                <w:sz w:val="24"/>
                <w:szCs w:val="24"/>
                <w:highlight w:val="none"/>
                <w:u w:val="none"/>
                <w:lang w:val="en-US" w:eastAsia="zh-CN" w:bidi="ar"/>
              </w:rPr>
              <w:t>（折扣率%）</w:t>
            </w:r>
          </w:p>
        </w:tc>
        <w:tc>
          <w:tcPr>
            <w:tcW w:w="1301" w:type="dxa"/>
            <w:shd w:val="clear" w:color="auto" w:fill="FFFFFF"/>
            <w:tcMar>
              <w:top w:w="10" w:type="dxa"/>
              <w:left w:w="10" w:type="dxa"/>
              <w:right w:w="10" w:type="dxa"/>
            </w:tcMar>
            <w:vAlign w:val="center"/>
          </w:tcPr>
          <w:p>
            <w:pPr>
              <w:widowControl/>
              <w:jc w:val="center"/>
              <w:textAlignment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单价</w:t>
            </w:r>
          </w:p>
        </w:tc>
        <w:tc>
          <w:tcPr>
            <w:tcW w:w="1447" w:type="dxa"/>
            <w:shd w:val="clear" w:color="auto" w:fill="FFFFFF"/>
            <w:tcMar>
              <w:top w:w="10" w:type="dxa"/>
              <w:left w:w="10" w:type="dxa"/>
              <w:right w:w="10" w:type="dxa"/>
            </w:tcMar>
            <w:vAlign w:val="center"/>
          </w:tcPr>
          <w:p>
            <w:pPr>
              <w:widowControl/>
              <w:jc w:val="center"/>
              <w:textAlignment w:val="center"/>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val="en-US" w:eastAsia="zh-CN"/>
              </w:rPr>
              <w:t>品牌</w:t>
            </w:r>
          </w:p>
        </w:tc>
        <w:tc>
          <w:tcPr>
            <w:tcW w:w="1224" w:type="dxa"/>
            <w:shd w:val="clear" w:color="auto" w:fill="FFFFFF"/>
            <w:tcMar>
              <w:top w:w="10" w:type="dxa"/>
              <w:left w:w="10" w:type="dxa"/>
              <w:right w:w="10" w:type="dxa"/>
            </w:tcMar>
            <w:vAlign w:val="center"/>
          </w:tcPr>
          <w:p>
            <w:pPr>
              <w:widowControl/>
              <w:jc w:val="center"/>
              <w:textAlignment w:val="center"/>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351" w:type="dxa"/>
            <w:shd w:val="clear" w:color="auto" w:fill="FFFFFF"/>
            <w:tcMar>
              <w:top w:w="10" w:type="dxa"/>
              <w:left w:w="10" w:type="dxa"/>
              <w:right w:w="10" w:type="dxa"/>
            </w:tcMar>
            <w:vAlign w:val="center"/>
          </w:tcPr>
          <w:p>
            <w:pPr>
              <w:jc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rPr>
              <w:t>1</w:t>
            </w:r>
          </w:p>
        </w:tc>
        <w:tc>
          <w:tcPr>
            <w:tcW w:w="1476"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4"/>
                <w:szCs w:val="24"/>
              </w:rPr>
            </w:pPr>
            <w:r>
              <w:rPr>
                <w:rFonts w:hint="eastAsia" w:ascii="宋体" w:hAnsi="宋体" w:eastAsia="宋体" w:cs="宋体"/>
                <w:i w:val="0"/>
                <w:iCs w:val="0"/>
                <w:color w:val="000000"/>
                <w:kern w:val="0"/>
                <w:sz w:val="24"/>
                <w:szCs w:val="24"/>
                <w:u w:val="none"/>
                <w:lang w:val="en-US" w:eastAsia="zh-CN" w:bidi="ar"/>
              </w:rPr>
              <w:t>大米</w:t>
            </w:r>
          </w:p>
        </w:tc>
        <w:tc>
          <w:tcPr>
            <w:tcW w:w="2473"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4"/>
                <w:szCs w:val="24"/>
              </w:rPr>
            </w:pPr>
            <w:r>
              <w:rPr>
                <w:rFonts w:hint="eastAsia" w:ascii="宋体" w:hAnsi="宋体" w:eastAsia="宋体" w:cs="宋体"/>
                <w:i w:val="0"/>
                <w:iCs w:val="0"/>
                <w:color w:val="000000"/>
                <w:kern w:val="0"/>
                <w:sz w:val="24"/>
                <w:szCs w:val="24"/>
                <w:u w:val="none"/>
                <w:lang w:val="en-US" w:eastAsia="zh-CN" w:bidi="ar"/>
              </w:rPr>
              <w:t>不少于25kg/袋</w:t>
            </w:r>
          </w:p>
        </w:tc>
        <w:tc>
          <w:tcPr>
            <w:tcW w:w="1369"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4"/>
                <w:szCs w:val="24"/>
                <w:lang w:eastAsia="zh-CN"/>
              </w:rPr>
            </w:pPr>
            <w:r>
              <w:rPr>
                <w:rFonts w:hint="eastAsia" w:ascii="宋体" w:hAnsi="宋体" w:eastAsia="宋体" w:cs="宋体"/>
                <w:i w:val="0"/>
                <w:iCs w:val="0"/>
                <w:color w:val="000000"/>
                <w:kern w:val="0"/>
                <w:sz w:val="24"/>
                <w:szCs w:val="24"/>
                <w:u w:val="none"/>
                <w:lang w:val="en-US" w:eastAsia="zh-CN" w:bidi="ar"/>
              </w:rPr>
              <w:t>400</w:t>
            </w:r>
          </w:p>
        </w:tc>
        <w:tc>
          <w:tcPr>
            <w:tcW w:w="1341" w:type="dxa"/>
            <w:shd w:val="clear" w:color="auto" w:fill="FFFFFF"/>
            <w:tcMar>
              <w:top w:w="10" w:type="dxa"/>
              <w:left w:w="10" w:type="dxa"/>
              <w:right w:w="10" w:type="dxa"/>
            </w:tcMar>
            <w:vAlign w:val="center"/>
          </w:tcPr>
          <w:p>
            <w:pPr>
              <w:jc w:val="center"/>
              <w:rPr>
                <w:rFonts w:hint="eastAsia" w:ascii="宋体" w:hAnsi="宋体" w:eastAsia="宋体" w:cs="宋体"/>
                <w:bCs/>
                <w:color w:val="auto"/>
                <w:kern w:val="0"/>
                <w:sz w:val="24"/>
                <w:szCs w:val="24"/>
                <w:lang w:val="en-US" w:eastAsia="zh-CN"/>
              </w:rPr>
            </w:pPr>
            <w:r>
              <w:rPr>
                <w:rFonts w:hint="eastAsia" w:ascii="宋体" w:hAnsi="宋体"/>
                <w:color w:val="auto"/>
                <w:sz w:val="24"/>
                <w:szCs w:val="24"/>
                <w:highlight w:val="none"/>
                <w:lang w:val="en-US" w:eastAsia="zh-CN"/>
              </w:rPr>
              <w:t>袋</w:t>
            </w:r>
          </w:p>
        </w:tc>
        <w:tc>
          <w:tcPr>
            <w:tcW w:w="1558" w:type="dxa"/>
            <w:vMerge w:val="restart"/>
            <w:shd w:val="clear" w:color="auto" w:fill="FFFFFF"/>
            <w:tcMar>
              <w:top w:w="10" w:type="dxa"/>
              <w:left w:w="10" w:type="dxa"/>
              <w:right w:w="10" w:type="dxa"/>
            </w:tcMar>
            <w:vAlign w:val="center"/>
          </w:tcPr>
          <w:p>
            <w:pPr>
              <w:widowControl/>
              <w:jc w:val="center"/>
              <w:textAlignment w:val="center"/>
              <w:rPr>
                <w:rFonts w:hint="eastAsia" w:ascii="宋体" w:hAnsi="宋体" w:eastAsia="宋体" w:cs="宋体"/>
                <w:bCs/>
                <w:color w:val="auto"/>
                <w:kern w:val="0"/>
                <w:sz w:val="24"/>
                <w:szCs w:val="24"/>
              </w:rPr>
            </w:pPr>
          </w:p>
        </w:tc>
        <w:tc>
          <w:tcPr>
            <w:tcW w:w="1301" w:type="dxa"/>
            <w:shd w:val="clear" w:color="auto" w:fill="FFFFFF"/>
            <w:tcMar>
              <w:top w:w="10" w:type="dxa"/>
              <w:left w:w="10" w:type="dxa"/>
              <w:right w:w="10" w:type="dxa"/>
            </w:tcMar>
            <w:vAlign w:val="center"/>
          </w:tcPr>
          <w:p>
            <w:pPr>
              <w:widowControl/>
              <w:jc w:val="center"/>
              <w:textAlignment w:val="center"/>
              <w:rPr>
                <w:rFonts w:hint="eastAsia" w:ascii="宋体" w:hAnsi="宋体" w:eastAsia="宋体" w:cs="宋体"/>
                <w:bCs/>
                <w:color w:val="auto"/>
                <w:kern w:val="0"/>
                <w:sz w:val="24"/>
                <w:szCs w:val="24"/>
              </w:rPr>
            </w:pPr>
          </w:p>
        </w:tc>
        <w:tc>
          <w:tcPr>
            <w:tcW w:w="1447" w:type="dxa"/>
            <w:shd w:val="clear" w:color="auto" w:fill="FFFFFF"/>
            <w:tcMar>
              <w:top w:w="10" w:type="dxa"/>
              <w:left w:w="10" w:type="dxa"/>
              <w:right w:w="10" w:type="dxa"/>
            </w:tcMar>
            <w:vAlign w:val="center"/>
          </w:tcPr>
          <w:p>
            <w:pPr>
              <w:widowControl/>
              <w:jc w:val="center"/>
              <w:textAlignment w:val="center"/>
              <w:rPr>
                <w:rFonts w:hint="eastAsia" w:ascii="宋体" w:hAnsi="宋体" w:eastAsia="宋体" w:cs="宋体"/>
                <w:bCs/>
                <w:color w:val="auto"/>
                <w:kern w:val="0"/>
                <w:sz w:val="24"/>
                <w:szCs w:val="24"/>
              </w:rPr>
            </w:pPr>
          </w:p>
        </w:tc>
        <w:tc>
          <w:tcPr>
            <w:tcW w:w="1224" w:type="dxa"/>
            <w:shd w:val="clear" w:color="auto" w:fill="FFFFFF"/>
            <w:tcMar>
              <w:top w:w="10" w:type="dxa"/>
              <w:left w:w="10" w:type="dxa"/>
              <w:right w:w="10" w:type="dxa"/>
            </w:tcMar>
            <w:vAlign w:val="center"/>
          </w:tcPr>
          <w:p>
            <w:pPr>
              <w:widowControl/>
              <w:jc w:val="center"/>
              <w:textAlignment w:val="center"/>
              <w:rPr>
                <w:rFonts w:hint="eastAsia" w:ascii="宋体" w:hAnsi="宋体" w:eastAsia="宋体" w:cs="宋体"/>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351"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76"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color w:val="auto"/>
                <w:sz w:val="24"/>
                <w:szCs w:val="24"/>
              </w:rPr>
            </w:pPr>
            <w:r>
              <w:rPr>
                <w:rFonts w:hint="eastAsia" w:ascii="宋体" w:hAnsi="宋体" w:eastAsia="宋体" w:cs="宋体"/>
                <w:i w:val="0"/>
                <w:iCs w:val="0"/>
                <w:color w:val="000000"/>
                <w:kern w:val="0"/>
                <w:sz w:val="24"/>
                <w:szCs w:val="24"/>
                <w:u w:val="none"/>
                <w:lang w:val="en-US" w:eastAsia="zh-CN" w:bidi="ar"/>
              </w:rPr>
              <w:t>食用油</w:t>
            </w:r>
          </w:p>
        </w:tc>
        <w:tc>
          <w:tcPr>
            <w:tcW w:w="2473"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不少于5L/瓶</w:t>
            </w:r>
          </w:p>
        </w:tc>
        <w:tc>
          <w:tcPr>
            <w:tcW w:w="1369"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000000"/>
                <w:kern w:val="0"/>
                <w:sz w:val="24"/>
                <w:szCs w:val="24"/>
                <w:u w:val="none"/>
                <w:lang w:val="en-US" w:eastAsia="zh-CN" w:bidi="ar"/>
              </w:rPr>
              <w:t>410</w:t>
            </w:r>
          </w:p>
        </w:tc>
        <w:tc>
          <w:tcPr>
            <w:tcW w:w="1341"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lang w:val="en-US" w:eastAsia="zh-CN"/>
              </w:rPr>
            </w:pPr>
            <w:r>
              <w:rPr>
                <w:rFonts w:hint="eastAsia" w:ascii="宋体" w:hAnsi="宋体"/>
                <w:color w:val="auto"/>
                <w:sz w:val="24"/>
                <w:szCs w:val="24"/>
                <w:highlight w:val="none"/>
                <w:lang w:val="en-US" w:eastAsia="zh-CN"/>
              </w:rPr>
              <w:t>瓶</w:t>
            </w:r>
          </w:p>
        </w:tc>
        <w:tc>
          <w:tcPr>
            <w:tcW w:w="1558" w:type="dxa"/>
            <w:vMerge w:val="continue"/>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301"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447"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224"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351"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476"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color w:val="auto"/>
                <w:sz w:val="24"/>
                <w:szCs w:val="24"/>
              </w:rPr>
            </w:pPr>
            <w:r>
              <w:rPr>
                <w:rFonts w:hint="eastAsia" w:ascii="宋体" w:hAnsi="宋体" w:eastAsia="宋体" w:cs="宋体"/>
                <w:i w:val="0"/>
                <w:iCs w:val="0"/>
                <w:color w:val="000000"/>
                <w:kern w:val="0"/>
                <w:sz w:val="24"/>
                <w:szCs w:val="24"/>
                <w:u w:val="none"/>
                <w:lang w:val="en-US" w:eastAsia="zh-CN" w:bidi="ar"/>
              </w:rPr>
              <w:t>鸡精</w:t>
            </w:r>
          </w:p>
        </w:tc>
        <w:tc>
          <w:tcPr>
            <w:tcW w:w="2473"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不少于1000g/袋</w:t>
            </w:r>
          </w:p>
        </w:tc>
        <w:tc>
          <w:tcPr>
            <w:tcW w:w="1369"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170</w:t>
            </w:r>
          </w:p>
        </w:tc>
        <w:tc>
          <w:tcPr>
            <w:tcW w:w="1341"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r>
              <w:rPr>
                <w:rFonts w:hint="eastAsia" w:ascii="宋体" w:hAnsi="宋体"/>
                <w:color w:val="auto"/>
                <w:sz w:val="24"/>
                <w:szCs w:val="24"/>
                <w:highlight w:val="none"/>
                <w:lang w:val="en-US" w:eastAsia="zh-CN"/>
              </w:rPr>
              <w:t>袋</w:t>
            </w:r>
          </w:p>
        </w:tc>
        <w:tc>
          <w:tcPr>
            <w:tcW w:w="1558" w:type="dxa"/>
            <w:vMerge w:val="continue"/>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301"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447"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224"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351"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76"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color w:val="auto"/>
                <w:sz w:val="24"/>
                <w:szCs w:val="24"/>
              </w:rPr>
            </w:pPr>
            <w:r>
              <w:rPr>
                <w:rFonts w:hint="eastAsia" w:ascii="宋体" w:hAnsi="宋体" w:eastAsia="宋体" w:cs="宋体"/>
                <w:i w:val="0"/>
                <w:iCs w:val="0"/>
                <w:color w:val="000000"/>
                <w:kern w:val="0"/>
                <w:sz w:val="24"/>
                <w:szCs w:val="24"/>
                <w:u w:val="none"/>
                <w:lang w:val="en-US" w:eastAsia="zh-CN" w:bidi="ar"/>
              </w:rPr>
              <w:t>味精</w:t>
            </w:r>
          </w:p>
        </w:tc>
        <w:tc>
          <w:tcPr>
            <w:tcW w:w="2473"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不少于1000g/袋</w:t>
            </w:r>
          </w:p>
        </w:tc>
        <w:tc>
          <w:tcPr>
            <w:tcW w:w="1369"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170</w:t>
            </w:r>
          </w:p>
        </w:tc>
        <w:tc>
          <w:tcPr>
            <w:tcW w:w="1341"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r>
              <w:rPr>
                <w:rFonts w:hint="eastAsia" w:ascii="宋体" w:hAnsi="宋体"/>
                <w:color w:val="auto"/>
                <w:sz w:val="24"/>
                <w:szCs w:val="24"/>
                <w:highlight w:val="none"/>
                <w:lang w:val="en-US" w:eastAsia="zh-CN"/>
              </w:rPr>
              <w:t>袋</w:t>
            </w:r>
          </w:p>
        </w:tc>
        <w:tc>
          <w:tcPr>
            <w:tcW w:w="1558" w:type="dxa"/>
            <w:vMerge w:val="continue"/>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301"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447"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224"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351"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76"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color w:val="auto"/>
                <w:sz w:val="24"/>
                <w:szCs w:val="24"/>
              </w:rPr>
            </w:pPr>
            <w:r>
              <w:rPr>
                <w:rFonts w:hint="eastAsia" w:ascii="宋体" w:hAnsi="宋体" w:eastAsia="宋体" w:cs="宋体"/>
                <w:i w:val="0"/>
                <w:iCs w:val="0"/>
                <w:color w:val="000000"/>
                <w:kern w:val="0"/>
                <w:sz w:val="24"/>
                <w:szCs w:val="24"/>
                <w:u w:val="none"/>
                <w:lang w:val="en-US" w:eastAsia="zh-CN" w:bidi="ar"/>
              </w:rPr>
              <w:t>生抽</w:t>
            </w:r>
            <w:bookmarkStart w:id="414" w:name="_GoBack"/>
            <w:bookmarkEnd w:id="414"/>
          </w:p>
        </w:tc>
        <w:tc>
          <w:tcPr>
            <w:tcW w:w="2473"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不少于1L/瓶</w:t>
            </w:r>
          </w:p>
        </w:tc>
        <w:tc>
          <w:tcPr>
            <w:tcW w:w="1369"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240</w:t>
            </w:r>
          </w:p>
        </w:tc>
        <w:tc>
          <w:tcPr>
            <w:tcW w:w="1341"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r>
              <w:rPr>
                <w:rFonts w:hint="eastAsia" w:ascii="宋体" w:hAnsi="宋体"/>
                <w:color w:val="auto"/>
                <w:sz w:val="24"/>
                <w:szCs w:val="24"/>
                <w:highlight w:val="none"/>
                <w:lang w:val="en-US" w:eastAsia="zh-CN"/>
              </w:rPr>
              <w:t>瓶</w:t>
            </w:r>
          </w:p>
        </w:tc>
        <w:tc>
          <w:tcPr>
            <w:tcW w:w="1558" w:type="dxa"/>
            <w:vMerge w:val="continue"/>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301"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447"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224"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351" w:type="dxa"/>
            <w:shd w:val="clear" w:color="auto" w:fill="FFFFFF"/>
            <w:tcMar>
              <w:top w:w="10" w:type="dxa"/>
              <w:left w:w="10" w:type="dxa"/>
              <w:right w:w="10" w:type="dxa"/>
            </w:tcMar>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476"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老抽</w:t>
            </w:r>
          </w:p>
        </w:tc>
        <w:tc>
          <w:tcPr>
            <w:tcW w:w="2473"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不少于1.8L/瓶</w:t>
            </w:r>
          </w:p>
        </w:tc>
        <w:tc>
          <w:tcPr>
            <w:tcW w:w="1369"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210</w:t>
            </w:r>
          </w:p>
        </w:tc>
        <w:tc>
          <w:tcPr>
            <w:tcW w:w="1341"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瓶</w:t>
            </w:r>
          </w:p>
        </w:tc>
        <w:tc>
          <w:tcPr>
            <w:tcW w:w="1558" w:type="dxa"/>
            <w:vMerge w:val="continue"/>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301"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447"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224"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351" w:type="dxa"/>
            <w:shd w:val="clear" w:color="auto" w:fill="FFFFFF"/>
            <w:tcMar>
              <w:top w:w="10" w:type="dxa"/>
              <w:left w:w="10" w:type="dxa"/>
              <w:right w:w="10" w:type="dxa"/>
            </w:tcMar>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1476"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醋</w:t>
            </w:r>
          </w:p>
        </w:tc>
        <w:tc>
          <w:tcPr>
            <w:tcW w:w="2473"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不少于500ML/瓶</w:t>
            </w:r>
          </w:p>
        </w:tc>
        <w:tc>
          <w:tcPr>
            <w:tcW w:w="1369"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190</w:t>
            </w:r>
          </w:p>
        </w:tc>
        <w:tc>
          <w:tcPr>
            <w:tcW w:w="1341"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瓶</w:t>
            </w:r>
          </w:p>
        </w:tc>
        <w:tc>
          <w:tcPr>
            <w:tcW w:w="1558" w:type="dxa"/>
            <w:vMerge w:val="continue"/>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301"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447"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224"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351" w:type="dxa"/>
            <w:shd w:val="clear" w:color="auto" w:fill="FFFFFF"/>
            <w:tcMar>
              <w:top w:w="10" w:type="dxa"/>
              <w:left w:w="10" w:type="dxa"/>
              <w:right w:w="10" w:type="dxa"/>
            </w:tcMar>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1476"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料酒</w:t>
            </w:r>
          </w:p>
        </w:tc>
        <w:tc>
          <w:tcPr>
            <w:tcW w:w="2473"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不少于2L/瓶</w:t>
            </w:r>
          </w:p>
        </w:tc>
        <w:tc>
          <w:tcPr>
            <w:tcW w:w="1369"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160</w:t>
            </w:r>
          </w:p>
        </w:tc>
        <w:tc>
          <w:tcPr>
            <w:tcW w:w="1341"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瓶</w:t>
            </w:r>
          </w:p>
        </w:tc>
        <w:tc>
          <w:tcPr>
            <w:tcW w:w="1558" w:type="dxa"/>
            <w:vMerge w:val="continue"/>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301"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447"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224"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351" w:type="dxa"/>
            <w:shd w:val="clear" w:color="auto" w:fill="FFFFFF"/>
            <w:tcMar>
              <w:top w:w="10" w:type="dxa"/>
              <w:left w:w="10" w:type="dxa"/>
              <w:right w:w="10" w:type="dxa"/>
            </w:tcMar>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1476"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蚝油</w:t>
            </w:r>
          </w:p>
        </w:tc>
        <w:tc>
          <w:tcPr>
            <w:tcW w:w="2473"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不少于700g/瓶</w:t>
            </w:r>
          </w:p>
        </w:tc>
        <w:tc>
          <w:tcPr>
            <w:tcW w:w="1369"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170</w:t>
            </w:r>
          </w:p>
        </w:tc>
        <w:tc>
          <w:tcPr>
            <w:tcW w:w="1341"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瓶</w:t>
            </w:r>
          </w:p>
        </w:tc>
        <w:tc>
          <w:tcPr>
            <w:tcW w:w="1558" w:type="dxa"/>
            <w:vMerge w:val="continue"/>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301"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447"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224"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351" w:type="dxa"/>
            <w:shd w:val="clear" w:color="auto" w:fill="FFFFFF"/>
            <w:tcMar>
              <w:top w:w="10" w:type="dxa"/>
              <w:left w:w="10" w:type="dxa"/>
              <w:right w:w="10" w:type="dxa"/>
            </w:tcMar>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476"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腐乳</w:t>
            </w:r>
          </w:p>
        </w:tc>
        <w:tc>
          <w:tcPr>
            <w:tcW w:w="2473"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不少于300g/瓶</w:t>
            </w:r>
          </w:p>
        </w:tc>
        <w:tc>
          <w:tcPr>
            <w:tcW w:w="1369"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270</w:t>
            </w:r>
          </w:p>
        </w:tc>
        <w:tc>
          <w:tcPr>
            <w:tcW w:w="1341"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瓶</w:t>
            </w:r>
          </w:p>
        </w:tc>
        <w:tc>
          <w:tcPr>
            <w:tcW w:w="1558" w:type="dxa"/>
            <w:vMerge w:val="continue"/>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301"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447"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224"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351" w:type="dxa"/>
            <w:shd w:val="clear" w:color="auto" w:fill="FFFFFF"/>
            <w:tcMar>
              <w:top w:w="10" w:type="dxa"/>
              <w:left w:w="10" w:type="dxa"/>
              <w:right w:w="10" w:type="dxa"/>
            </w:tcMar>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1476"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color w:val="auto"/>
                <w:sz w:val="24"/>
                <w:szCs w:val="24"/>
              </w:rPr>
            </w:pPr>
            <w:r>
              <w:rPr>
                <w:rFonts w:hint="eastAsia" w:ascii="宋体" w:hAnsi="宋体" w:eastAsia="宋体" w:cs="宋体"/>
                <w:i w:val="0"/>
                <w:iCs w:val="0"/>
                <w:color w:val="000000"/>
                <w:kern w:val="0"/>
                <w:sz w:val="24"/>
                <w:szCs w:val="24"/>
                <w:u w:val="none"/>
                <w:lang w:val="en-US" w:eastAsia="zh-CN" w:bidi="ar"/>
              </w:rPr>
              <w:t>盐</w:t>
            </w:r>
          </w:p>
        </w:tc>
        <w:tc>
          <w:tcPr>
            <w:tcW w:w="2473"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不少于300g/袋</w:t>
            </w:r>
          </w:p>
        </w:tc>
        <w:tc>
          <w:tcPr>
            <w:tcW w:w="1369"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880</w:t>
            </w:r>
          </w:p>
        </w:tc>
        <w:tc>
          <w:tcPr>
            <w:tcW w:w="1341" w:type="dxa"/>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color w:val="auto"/>
                <w:sz w:val="24"/>
                <w:szCs w:val="24"/>
                <w:highlight w:val="none"/>
                <w:lang w:val="en-US" w:eastAsia="zh-CN"/>
              </w:rPr>
              <w:t>袋</w:t>
            </w:r>
          </w:p>
        </w:tc>
        <w:tc>
          <w:tcPr>
            <w:tcW w:w="1558" w:type="dxa"/>
            <w:vMerge w:val="continue"/>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301"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447"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c>
          <w:tcPr>
            <w:tcW w:w="1224" w:type="dxa"/>
            <w:shd w:val="clear" w:color="auto" w:fill="FFFFFF"/>
            <w:tcMar>
              <w:top w:w="10" w:type="dxa"/>
              <w:left w:w="10" w:type="dxa"/>
              <w:right w:w="10" w:type="dxa"/>
            </w:tcMar>
            <w:vAlign w:val="center"/>
          </w:tcPr>
          <w:p>
            <w:pPr>
              <w:jc w:val="center"/>
              <w:rPr>
                <w:rFonts w:hint="eastAsia" w:ascii="宋体" w:hAnsi="宋体" w:eastAsia="宋体" w:cs="宋体"/>
                <w:color w:val="auto"/>
                <w:sz w:val="24"/>
                <w:szCs w:val="24"/>
              </w:rPr>
            </w:pPr>
          </w:p>
        </w:tc>
      </w:tr>
    </w:tbl>
    <w:p>
      <w:pPr>
        <w:snapToGrid w:val="0"/>
        <w:spacing w:line="360" w:lineRule="auto"/>
        <w:ind w:left="48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keepNext w:val="0"/>
        <w:keepLines w:val="0"/>
        <w:pageBreakBefore w:val="0"/>
        <w:widowControl w:val="0"/>
        <w:kinsoku/>
        <w:wordWrap/>
        <w:overflowPunct/>
        <w:topLinePunct w:val="0"/>
        <w:autoSpaceDE/>
        <w:autoSpaceDN/>
        <w:bidi w:val="0"/>
        <w:adjustRightInd w:val="0"/>
        <w:spacing w:line="400" w:lineRule="exact"/>
        <w:ind w:left="-2" w:leftChars="-1"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响应文件含有采购人不能接受的附加条件的，交易无效</w:t>
      </w:r>
      <w:r>
        <w:rPr>
          <w:rFonts w:hint="eastAsia" w:ascii="宋体" w:hAnsi="宋体" w:cs="宋体"/>
          <w:b/>
          <w:color w:val="auto"/>
          <w:kern w:val="0"/>
          <w:sz w:val="24"/>
          <w:highlight w:val="none"/>
          <w:lang w:val="zh-CN"/>
        </w:rPr>
        <w:t>；采购内容未包含在《交易一览表（报价表）》名称栏中，供应商不能作出合理解释的，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响应文件含有采购人不能接受的附加条件的，交易无效。</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eastAsia="宋体" w:cs="宋体"/>
          <w:color w:val="auto"/>
          <w:kern w:val="2"/>
          <w:sz w:val="32"/>
          <w:szCs w:val="32"/>
          <w:highlight w:val="none"/>
        </w:rPr>
      </w:pPr>
      <w:r>
        <w:rPr>
          <w:rFonts w:hint="eastAsia" w:ascii="宋体" w:hAnsi="宋体" w:cs="宋体"/>
          <w:color w:val="auto"/>
          <w:kern w:val="0"/>
          <w:sz w:val="24"/>
          <w:highlight w:val="none"/>
          <w:lang w:val="zh-CN"/>
        </w:rPr>
        <w:t>4、特别提示：采购机构将对项目名称和项目编号，成交供应商名称、地址和成交金额，主要成交标的的名称、规格型号、数量、单价、服务要求等予以公示。</w:t>
      </w: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（项目名称）项目【交易编号：（采购编号）】</w:t>
      </w:r>
      <w:r>
        <w:rPr>
          <w:rFonts w:hint="eastAsia" w:ascii="宋体" w:hAnsi="宋体" w:cs="宋体"/>
          <w:bCs/>
          <w:color w:val="auto"/>
          <w:sz w:val="24"/>
          <w:highlight w:val="none"/>
        </w:rPr>
        <w:t>交易活动中作如下说明：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响应单位（法定名称章）：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响应单位法定名称章（印模）                响应单位“XX专用章”（印模）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410" w:name="_Toc36110187"/>
    <w:bookmarkStart w:id="411" w:name="_Toc131845147"/>
    <w:bookmarkStart w:id="412" w:name="_Toc164085800"/>
    <w:bookmarkStart w:id="413" w:name="_Toc91899912"/>
    <w:r>
      <w:rPr>
        <w:rFonts w:hint="eastAsia" w:ascii="仿宋_GB2312" w:eastAsia="仿宋_GB2312"/>
        <w:kern w:val="0"/>
        <w:szCs w:val="21"/>
      </w:rPr>
      <w:t xml:space="preserve"> 页</w:t>
    </w:r>
    <w:bookmarkEnd w:id="410"/>
    <w:bookmarkEnd w:id="411"/>
    <w:bookmarkEnd w:id="412"/>
    <w:bookmarkEnd w:id="41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w:t>
    </w:r>
    <w:r>
      <w:rPr>
        <w:rFonts w:hint="eastAsia"/>
      </w:rPr>
      <w:t xml:space="preserve">                                                 交易</w:t>
    </w:r>
    <w:r>
      <w:t>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jc w:val="right"/>
    </w:pPr>
    <w:r>
      <w:rPr>
        <w:rFonts w:hint="eastAsia"/>
      </w:rPr>
      <w:t xml:space="preserve">                                                                  交易</w:t>
    </w:r>
    <w: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交易</w:t>
    </w:r>
    <w:r>
      <w:t>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交易</w:t>
    </w:r>
    <w: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w:t>
    </w:r>
    <w:r>
      <w:rPr>
        <w:rFonts w:hint="eastAsia"/>
      </w:rPr>
      <w:t>交易</w:t>
    </w:r>
    <w: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交易</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845D7E"/>
    <w:multiLevelType w:val="singleLevel"/>
    <w:tmpl w:val="7A845D7E"/>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MWNkNjEwZjU1NmVkODk3MzNkNmZmMGRkZjMxNjkifQ=="/>
    <w:docVar w:name="KSO_WPS_MARK_KEY" w:val="673b35e1-f555-4fe8-9c7e-89cf2facf9c5"/>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0E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6F4"/>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EB0"/>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934"/>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3837"/>
    <w:rsid w:val="010651D9"/>
    <w:rsid w:val="0117101D"/>
    <w:rsid w:val="011F6449"/>
    <w:rsid w:val="01236AFB"/>
    <w:rsid w:val="019F7441"/>
    <w:rsid w:val="01B37585"/>
    <w:rsid w:val="01D55165"/>
    <w:rsid w:val="01DF6BF8"/>
    <w:rsid w:val="01EC2C57"/>
    <w:rsid w:val="025F0711"/>
    <w:rsid w:val="026B2E25"/>
    <w:rsid w:val="02824D4D"/>
    <w:rsid w:val="02BC038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DD04AE"/>
    <w:rsid w:val="04F66F48"/>
    <w:rsid w:val="051E28A6"/>
    <w:rsid w:val="05251E14"/>
    <w:rsid w:val="05413450"/>
    <w:rsid w:val="05507636"/>
    <w:rsid w:val="05770BD6"/>
    <w:rsid w:val="05A16594"/>
    <w:rsid w:val="05A7762D"/>
    <w:rsid w:val="05C04DC2"/>
    <w:rsid w:val="05D96713"/>
    <w:rsid w:val="060E5941"/>
    <w:rsid w:val="06110FAF"/>
    <w:rsid w:val="06493CA7"/>
    <w:rsid w:val="065A6178"/>
    <w:rsid w:val="066F1CF3"/>
    <w:rsid w:val="06930BB8"/>
    <w:rsid w:val="06F83D29"/>
    <w:rsid w:val="07245D42"/>
    <w:rsid w:val="07264C62"/>
    <w:rsid w:val="0779354C"/>
    <w:rsid w:val="07E63242"/>
    <w:rsid w:val="08061376"/>
    <w:rsid w:val="08452D77"/>
    <w:rsid w:val="086401F8"/>
    <w:rsid w:val="08751CAA"/>
    <w:rsid w:val="087E4C40"/>
    <w:rsid w:val="08A871D0"/>
    <w:rsid w:val="08C35CB1"/>
    <w:rsid w:val="08D66AD6"/>
    <w:rsid w:val="08DA33A3"/>
    <w:rsid w:val="08E80F13"/>
    <w:rsid w:val="08F26823"/>
    <w:rsid w:val="09153353"/>
    <w:rsid w:val="09335624"/>
    <w:rsid w:val="0944690F"/>
    <w:rsid w:val="09535675"/>
    <w:rsid w:val="095F057D"/>
    <w:rsid w:val="09642282"/>
    <w:rsid w:val="09685EB4"/>
    <w:rsid w:val="09733572"/>
    <w:rsid w:val="09772C16"/>
    <w:rsid w:val="098353B5"/>
    <w:rsid w:val="09A92330"/>
    <w:rsid w:val="09B06B87"/>
    <w:rsid w:val="09C13146"/>
    <w:rsid w:val="09E04166"/>
    <w:rsid w:val="0A1C0718"/>
    <w:rsid w:val="0A3E7710"/>
    <w:rsid w:val="0A5B7E63"/>
    <w:rsid w:val="0AA374A5"/>
    <w:rsid w:val="0AAB7649"/>
    <w:rsid w:val="0ABC5606"/>
    <w:rsid w:val="0B17507F"/>
    <w:rsid w:val="0B30404E"/>
    <w:rsid w:val="0B454519"/>
    <w:rsid w:val="0B4C6C14"/>
    <w:rsid w:val="0B631A88"/>
    <w:rsid w:val="0B683D45"/>
    <w:rsid w:val="0B7F3F11"/>
    <w:rsid w:val="0B884417"/>
    <w:rsid w:val="0BA6080C"/>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7D3BA8"/>
    <w:rsid w:val="0D827401"/>
    <w:rsid w:val="0D84094E"/>
    <w:rsid w:val="0D8A00E9"/>
    <w:rsid w:val="0D8D589E"/>
    <w:rsid w:val="0DA01C73"/>
    <w:rsid w:val="0DD63300"/>
    <w:rsid w:val="0DF50604"/>
    <w:rsid w:val="0DF702FE"/>
    <w:rsid w:val="0E060E51"/>
    <w:rsid w:val="0E195121"/>
    <w:rsid w:val="0E5604B2"/>
    <w:rsid w:val="0E57603F"/>
    <w:rsid w:val="0E6D5D79"/>
    <w:rsid w:val="0E9D0089"/>
    <w:rsid w:val="0EB803EE"/>
    <w:rsid w:val="0ED0786A"/>
    <w:rsid w:val="0EF94D4B"/>
    <w:rsid w:val="0F4958DC"/>
    <w:rsid w:val="0F515DF7"/>
    <w:rsid w:val="0F596BA8"/>
    <w:rsid w:val="0F6248D2"/>
    <w:rsid w:val="0F6708AA"/>
    <w:rsid w:val="0F693536"/>
    <w:rsid w:val="0F7B0511"/>
    <w:rsid w:val="0F7B76D9"/>
    <w:rsid w:val="0F816ACD"/>
    <w:rsid w:val="0F8C408F"/>
    <w:rsid w:val="0F9832DB"/>
    <w:rsid w:val="0FBF3FD2"/>
    <w:rsid w:val="0FBF7FF3"/>
    <w:rsid w:val="0FE167E2"/>
    <w:rsid w:val="10646583"/>
    <w:rsid w:val="107D4B15"/>
    <w:rsid w:val="10843E56"/>
    <w:rsid w:val="108A3C80"/>
    <w:rsid w:val="10C26171"/>
    <w:rsid w:val="10F33360"/>
    <w:rsid w:val="10FB7989"/>
    <w:rsid w:val="10FC16EA"/>
    <w:rsid w:val="110F1D40"/>
    <w:rsid w:val="11266F33"/>
    <w:rsid w:val="118963A1"/>
    <w:rsid w:val="11C6522A"/>
    <w:rsid w:val="11E104CC"/>
    <w:rsid w:val="11E20309"/>
    <w:rsid w:val="120D2FE7"/>
    <w:rsid w:val="12255233"/>
    <w:rsid w:val="12530213"/>
    <w:rsid w:val="12585FE1"/>
    <w:rsid w:val="127723A9"/>
    <w:rsid w:val="12862074"/>
    <w:rsid w:val="12883966"/>
    <w:rsid w:val="129E45B4"/>
    <w:rsid w:val="12D21374"/>
    <w:rsid w:val="12D81596"/>
    <w:rsid w:val="13072A44"/>
    <w:rsid w:val="131A1B7F"/>
    <w:rsid w:val="133861D0"/>
    <w:rsid w:val="135F4BE2"/>
    <w:rsid w:val="139B1A0A"/>
    <w:rsid w:val="139D25C7"/>
    <w:rsid w:val="13BF3CE4"/>
    <w:rsid w:val="141008D8"/>
    <w:rsid w:val="14125FE6"/>
    <w:rsid w:val="14500381"/>
    <w:rsid w:val="146D271E"/>
    <w:rsid w:val="14982588"/>
    <w:rsid w:val="149A5AD9"/>
    <w:rsid w:val="14A7619D"/>
    <w:rsid w:val="150536C3"/>
    <w:rsid w:val="150C1963"/>
    <w:rsid w:val="151447A0"/>
    <w:rsid w:val="154A6454"/>
    <w:rsid w:val="15762120"/>
    <w:rsid w:val="157B13B4"/>
    <w:rsid w:val="157C6CAA"/>
    <w:rsid w:val="167A6D83"/>
    <w:rsid w:val="16A8729C"/>
    <w:rsid w:val="16B33777"/>
    <w:rsid w:val="16BC70A7"/>
    <w:rsid w:val="16C6339E"/>
    <w:rsid w:val="16FE2244"/>
    <w:rsid w:val="172F2D79"/>
    <w:rsid w:val="17557BEF"/>
    <w:rsid w:val="177E33A3"/>
    <w:rsid w:val="17D349C1"/>
    <w:rsid w:val="1830729E"/>
    <w:rsid w:val="1870062C"/>
    <w:rsid w:val="18817102"/>
    <w:rsid w:val="18830A15"/>
    <w:rsid w:val="18852B28"/>
    <w:rsid w:val="188B5321"/>
    <w:rsid w:val="18EA25F2"/>
    <w:rsid w:val="19932372"/>
    <w:rsid w:val="19A20DD5"/>
    <w:rsid w:val="19AE03F1"/>
    <w:rsid w:val="1A071A03"/>
    <w:rsid w:val="1A1F16AE"/>
    <w:rsid w:val="1A3B5C77"/>
    <w:rsid w:val="1A514D80"/>
    <w:rsid w:val="1A683B9F"/>
    <w:rsid w:val="1A984BAD"/>
    <w:rsid w:val="1A9B70A3"/>
    <w:rsid w:val="1AB8220E"/>
    <w:rsid w:val="1AE4166C"/>
    <w:rsid w:val="1AF06CFB"/>
    <w:rsid w:val="1AF11B8D"/>
    <w:rsid w:val="1B005BC3"/>
    <w:rsid w:val="1B11359C"/>
    <w:rsid w:val="1B1D66C9"/>
    <w:rsid w:val="1B2A271F"/>
    <w:rsid w:val="1B474A7D"/>
    <w:rsid w:val="1B530544"/>
    <w:rsid w:val="1B713184"/>
    <w:rsid w:val="1BA209CF"/>
    <w:rsid w:val="1BB4777D"/>
    <w:rsid w:val="1BC85686"/>
    <w:rsid w:val="1BD75AB8"/>
    <w:rsid w:val="1BE22A26"/>
    <w:rsid w:val="1C0459C2"/>
    <w:rsid w:val="1C1B3B4A"/>
    <w:rsid w:val="1C88086E"/>
    <w:rsid w:val="1C935430"/>
    <w:rsid w:val="1D266CE1"/>
    <w:rsid w:val="1D3963AF"/>
    <w:rsid w:val="1D677DFC"/>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58377E"/>
    <w:rsid w:val="208921B3"/>
    <w:rsid w:val="20973DEB"/>
    <w:rsid w:val="20B26522"/>
    <w:rsid w:val="20B44310"/>
    <w:rsid w:val="20BE410C"/>
    <w:rsid w:val="211116EB"/>
    <w:rsid w:val="213C573C"/>
    <w:rsid w:val="216133FC"/>
    <w:rsid w:val="21D56769"/>
    <w:rsid w:val="21E52EF3"/>
    <w:rsid w:val="21FB5D7B"/>
    <w:rsid w:val="220B1C3D"/>
    <w:rsid w:val="221D1D20"/>
    <w:rsid w:val="22334A87"/>
    <w:rsid w:val="22BE6801"/>
    <w:rsid w:val="2331637C"/>
    <w:rsid w:val="233500BF"/>
    <w:rsid w:val="23377FF7"/>
    <w:rsid w:val="234A63B7"/>
    <w:rsid w:val="236B425F"/>
    <w:rsid w:val="23836192"/>
    <w:rsid w:val="23877F67"/>
    <w:rsid w:val="23901F29"/>
    <w:rsid w:val="239C0061"/>
    <w:rsid w:val="23B908A4"/>
    <w:rsid w:val="23E95BEF"/>
    <w:rsid w:val="23FD0064"/>
    <w:rsid w:val="245375B0"/>
    <w:rsid w:val="24642C0A"/>
    <w:rsid w:val="249307DC"/>
    <w:rsid w:val="24B22173"/>
    <w:rsid w:val="24B77ED6"/>
    <w:rsid w:val="24B95AD9"/>
    <w:rsid w:val="24BE24DA"/>
    <w:rsid w:val="24CF5825"/>
    <w:rsid w:val="24D663E6"/>
    <w:rsid w:val="24D77F2B"/>
    <w:rsid w:val="253E4BFC"/>
    <w:rsid w:val="258B00E2"/>
    <w:rsid w:val="25A917A6"/>
    <w:rsid w:val="25BE27CC"/>
    <w:rsid w:val="25F74A5C"/>
    <w:rsid w:val="2628662C"/>
    <w:rsid w:val="262D45DE"/>
    <w:rsid w:val="2664229F"/>
    <w:rsid w:val="26871DC8"/>
    <w:rsid w:val="26A53EF9"/>
    <w:rsid w:val="26A94201"/>
    <w:rsid w:val="26AC274F"/>
    <w:rsid w:val="26F50582"/>
    <w:rsid w:val="27044A29"/>
    <w:rsid w:val="271D34C8"/>
    <w:rsid w:val="272C1181"/>
    <w:rsid w:val="276142BF"/>
    <w:rsid w:val="27783712"/>
    <w:rsid w:val="27806CA5"/>
    <w:rsid w:val="27907362"/>
    <w:rsid w:val="27B9282C"/>
    <w:rsid w:val="27BB37C2"/>
    <w:rsid w:val="28333E1D"/>
    <w:rsid w:val="283875D4"/>
    <w:rsid w:val="28454BD6"/>
    <w:rsid w:val="28455253"/>
    <w:rsid w:val="28551971"/>
    <w:rsid w:val="285B1C53"/>
    <w:rsid w:val="289F7086"/>
    <w:rsid w:val="28C32028"/>
    <w:rsid w:val="28CA039F"/>
    <w:rsid w:val="28CC490F"/>
    <w:rsid w:val="28DE40AA"/>
    <w:rsid w:val="29327F11"/>
    <w:rsid w:val="29345E77"/>
    <w:rsid w:val="294C65AD"/>
    <w:rsid w:val="29806583"/>
    <w:rsid w:val="298B3C4C"/>
    <w:rsid w:val="29F26D24"/>
    <w:rsid w:val="2A15033F"/>
    <w:rsid w:val="2A1662C1"/>
    <w:rsid w:val="2A1C7367"/>
    <w:rsid w:val="2A2815FA"/>
    <w:rsid w:val="2A427FDC"/>
    <w:rsid w:val="2A6D6092"/>
    <w:rsid w:val="2A7D76B4"/>
    <w:rsid w:val="2AEA0E2F"/>
    <w:rsid w:val="2B437463"/>
    <w:rsid w:val="2B7807EE"/>
    <w:rsid w:val="2BA50BF7"/>
    <w:rsid w:val="2BBF00EC"/>
    <w:rsid w:val="2BC37CFD"/>
    <w:rsid w:val="2BD5237F"/>
    <w:rsid w:val="2BE536CE"/>
    <w:rsid w:val="2BE758D9"/>
    <w:rsid w:val="2BF316C6"/>
    <w:rsid w:val="2C09049E"/>
    <w:rsid w:val="2C0A653C"/>
    <w:rsid w:val="2C191F85"/>
    <w:rsid w:val="2CE530FB"/>
    <w:rsid w:val="2CE82D6F"/>
    <w:rsid w:val="2D343236"/>
    <w:rsid w:val="2DB863FC"/>
    <w:rsid w:val="2DD15014"/>
    <w:rsid w:val="2DF72DE4"/>
    <w:rsid w:val="2E0220AF"/>
    <w:rsid w:val="2E165C6D"/>
    <w:rsid w:val="2E4B082A"/>
    <w:rsid w:val="2E5D4E86"/>
    <w:rsid w:val="2E5D790B"/>
    <w:rsid w:val="2E7C4AFF"/>
    <w:rsid w:val="2E9A3C18"/>
    <w:rsid w:val="2EBB0FEE"/>
    <w:rsid w:val="2EC63002"/>
    <w:rsid w:val="2EE86D06"/>
    <w:rsid w:val="2EF75808"/>
    <w:rsid w:val="2F0A6B38"/>
    <w:rsid w:val="2F38015C"/>
    <w:rsid w:val="2F946CCB"/>
    <w:rsid w:val="2FD25781"/>
    <w:rsid w:val="2FFD7934"/>
    <w:rsid w:val="301E5A67"/>
    <w:rsid w:val="30733ACD"/>
    <w:rsid w:val="308C3862"/>
    <w:rsid w:val="309379D8"/>
    <w:rsid w:val="30A270F7"/>
    <w:rsid w:val="30AE2056"/>
    <w:rsid w:val="30DF1478"/>
    <w:rsid w:val="30EC586F"/>
    <w:rsid w:val="316B1DFC"/>
    <w:rsid w:val="319C6071"/>
    <w:rsid w:val="31AC537E"/>
    <w:rsid w:val="31B1570E"/>
    <w:rsid w:val="31E3679B"/>
    <w:rsid w:val="31E732FD"/>
    <w:rsid w:val="324E1A61"/>
    <w:rsid w:val="32517576"/>
    <w:rsid w:val="32A64673"/>
    <w:rsid w:val="32BE5C2C"/>
    <w:rsid w:val="32CE25F0"/>
    <w:rsid w:val="32FB6478"/>
    <w:rsid w:val="33263B3F"/>
    <w:rsid w:val="33324454"/>
    <w:rsid w:val="336963EB"/>
    <w:rsid w:val="33816EEB"/>
    <w:rsid w:val="33EB55CD"/>
    <w:rsid w:val="33EC4C02"/>
    <w:rsid w:val="340D2360"/>
    <w:rsid w:val="3410665D"/>
    <w:rsid w:val="34211214"/>
    <w:rsid w:val="342E63AB"/>
    <w:rsid w:val="34950E68"/>
    <w:rsid w:val="34986E94"/>
    <w:rsid w:val="34AF62C9"/>
    <w:rsid w:val="34CB4388"/>
    <w:rsid w:val="34FA6E12"/>
    <w:rsid w:val="35133E3C"/>
    <w:rsid w:val="354D7158"/>
    <w:rsid w:val="358D5588"/>
    <w:rsid w:val="35A30811"/>
    <w:rsid w:val="363A3B40"/>
    <w:rsid w:val="363B50D7"/>
    <w:rsid w:val="363D22C9"/>
    <w:rsid w:val="365302AE"/>
    <w:rsid w:val="36607A0A"/>
    <w:rsid w:val="366E227C"/>
    <w:rsid w:val="366F2E0D"/>
    <w:rsid w:val="367B6A5C"/>
    <w:rsid w:val="36A74ADA"/>
    <w:rsid w:val="36AD3567"/>
    <w:rsid w:val="36AD60D5"/>
    <w:rsid w:val="36B224F9"/>
    <w:rsid w:val="36B442B5"/>
    <w:rsid w:val="36EC0CC9"/>
    <w:rsid w:val="373F410B"/>
    <w:rsid w:val="37EE7094"/>
    <w:rsid w:val="38296C89"/>
    <w:rsid w:val="383002EB"/>
    <w:rsid w:val="38434BA9"/>
    <w:rsid w:val="38586797"/>
    <w:rsid w:val="38BC0149"/>
    <w:rsid w:val="38C45639"/>
    <w:rsid w:val="38D87D1C"/>
    <w:rsid w:val="39152FAE"/>
    <w:rsid w:val="394C4699"/>
    <w:rsid w:val="39636459"/>
    <w:rsid w:val="396B7F6C"/>
    <w:rsid w:val="39B417A9"/>
    <w:rsid w:val="39FC5695"/>
    <w:rsid w:val="3A006D8E"/>
    <w:rsid w:val="3A0E2F1E"/>
    <w:rsid w:val="3A3651E5"/>
    <w:rsid w:val="3A744481"/>
    <w:rsid w:val="3A8C7BEF"/>
    <w:rsid w:val="3A906246"/>
    <w:rsid w:val="3B2349B7"/>
    <w:rsid w:val="3B556B75"/>
    <w:rsid w:val="3B616CFF"/>
    <w:rsid w:val="3B6259F6"/>
    <w:rsid w:val="3B976654"/>
    <w:rsid w:val="3BC01EFC"/>
    <w:rsid w:val="3BCA786A"/>
    <w:rsid w:val="3BD31E2F"/>
    <w:rsid w:val="3BDE7FDA"/>
    <w:rsid w:val="3BF15831"/>
    <w:rsid w:val="3C105946"/>
    <w:rsid w:val="3C471448"/>
    <w:rsid w:val="3C5F759A"/>
    <w:rsid w:val="3C6C525A"/>
    <w:rsid w:val="3CCE23CB"/>
    <w:rsid w:val="3CD17D17"/>
    <w:rsid w:val="3D3C7F39"/>
    <w:rsid w:val="3D440F09"/>
    <w:rsid w:val="3D4504A0"/>
    <w:rsid w:val="3D8734BB"/>
    <w:rsid w:val="3D9A11D4"/>
    <w:rsid w:val="3DA16D89"/>
    <w:rsid w:val="3DA364BE"/>
    <w:rsid w:val="3DC84103"/>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40B42"/>
    <w:rsid w:val="3F756B8F"/>
    <w:rsid w:val="3F95482B"/>
    <w:rsid w:val="4019356B"/>
    <w:rsid w:val="40532E94"/>
    <w:rsid w:val="40592157"/>
    <w:rsid w:val="406E1CAE"/>
    <w:rsid w:val="40A0133A"/>
    <w:rsid w:val="40A54C55"/>
    <w:rsid w:val="40B25CC9"/>
    <w:rsid w:val="40C31A53"/>
    <w:rsid w:val="40FF545D"/>
    <w:rsid w:val="410067C8"/>
    <w:rsid w:val="418558A1"/>
    <w:rsid w:val="418F0D2A"/>
    <w:rsid w:val="41B75561"/>
    <w:rsid w:val="41BE7578"/>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22C6F"/>
    <w:rsid w:val="44002FAD"/>
    <w:rsid w:val="4430589B"/>
    <w:rsid w:val="4456696C"/>
    <w:rsid w:val="445F3A72"/>
    <w:rsid w:val="449101DD"/>
    <w:rsid w:val="449502E4"/>
    <w:rsid w:val="449D00C3"/>
    <w:rsid w:val="44DE1391"/>
    <w:rsid w:val="451B225C"/>
    <w:rsid w:val="452410C9"/>
    <w:rsid w:val="45317DFB"/>
    <w:rsid w:val="456D3CE4"/>
    <w:rsid w:val="4579042C"/>
    <w:rsid w:val="457F0571"/>
    <w:rsid w:val="45851176"/>
    <w:rsid w:val="45C63B94"/>
    <w:rsid w:val="45FD067A"/>
    <w:rsid w:val="460E7DA5"/>
    <w:rsid w:val="46422483"/>
    <w:rsid w:val="4659254A"/>
    <w:rsid w:val="465B0637"/>
    <w:rsid w:val="465E3F0D"/>
    <w:rsid w:val="466A16E6"/>
    <w:rsid w:val="4670384E"/>
    <w:rsid w:val="46835024"/>
    <w:rsid w:val="46893F2B"/>
    <w:rsid w:val="46BC6FEE"/>
    <w:rsid w:val="46C4686E"/>
    <w:rsid w:val="477B778F"/>
    <w:rsid w:val="478203EC"/>
    <w:rsid w:val="47B025FA"/>
    <w:rsid w:val="4809698F"/>
    <w:rsid w:val="4811697D"/>
    <w:rsid w:val="484D0981"/>
    <w:rsid w:val="485D09A9"/>
    <w:rsid w:val="487A3E25"/>
    <w:rsid w:val="487B233C"/>
    <w:rsid w:val="487F5FB0"/>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44553C"/>
    <w:rsid w:val="4B707271"/>
    <w:rsid w:val="4B9739F7"/>
    <w:rsid w:val="4BEE2503"/>
    <w:rsid w:val="4BF14FF4"/>
    <w:rsid w:val="4C245A30"/>
    <w:rsid w:val="4C676029"/>
    <w:rsid w:val="4C7105EB"/>
    <w:rsid w:val="4CB6685F"/>
    <w:rsid w:val="4CC367FE"/>
    <w:rsid w:val="4D077F3C"/>
    <w:rsid w:val="4D123355"/>
    <w:rsid w:val="4D2A3B31"/>
    <w:rsid w:val="4D312C52"/>
    <w:rsid w:val="4D905305"/>
    <w:rsid w:val="4D964A72"/>
    <w:rsid w:val="4D9C1254"/>
    <w:rsid w:val="4E50554E"/>
    <w:rsid w:val="4E793892"/>
    <w:rsid w:val="4E800872"/>
    <w:rsid w:val="4EC569ED"/>
    <w:rsid w:val="4ED50EA1"/>
    <w:rsid w:val="4EEC050C"/>
    <w:rsid w:val="4F10346B"/>
    <w:rsid w:val="4F104EC3"/>
    <w:rsid w:val="4F47354A"/>
    <w:rsid w:val="4F911C54"/>
    <w:rsid w:val="4FE625E0"/>
    <w:rsid w:val="5021480F"/>
    <w:rsid w:val="507B5B3A"/>
    <w:rsid w:val="509176A9"/>
    <w:rsid w:val="50962ECB"/>
    <w:rsid w:val="509F3B0A"/>
    <w:rsid w:val="50A42E38"/>
    <w:rsid w:val="50A4577F"/>
    <w:rsid w:val="50B73D1F"/>
    <w:rsid w:val="50BD5BC9"/>
    <w:rsid w:val="50C11EEE"/>
    <w:rsid w:val="50E97CFC"/>
    <w:rsid w:val="50FA4028"/>
    <w:rsid w:val="510D65B7"/>
    <w:rsid w:val="511157AB"/>
    <w:rsid w:val="5139359C"/>
    <w:rsid w:val="5142540C"/>
    <w:rsid w:val="515A0A64"/>
    <w:rsid w:val="518832C8"/>
    <w:rsid w:val="51A0432A"/>
    <w:rsid w:val="51A86090"/>
    <w:rsid w:val="51B7396D"/>
    <w:rsid w:val="51E00C7B"/>
    <w:rsid w:val="522E4CC3"/>
    <w:rsid w:val="5244713B"/>
    <w:rsid w:val="52615633"/>
    <w:rsid w:val="52977FD4"/>
    <w:rsid w:val="52993584"/>
    <w:rsid w:val="52A25790"/>
    <w:rsid w:val="52A96B6F"/>
    <w:rsid w:val="52B45975"/>
    <w:rsid w:val="52D94AA4"/>
    <w:rsid w:val="52DC16C8"/>
    <w:rsid w:val="52E340AB"/>
    <w:rsid w:val="52EA3A62"/>
    <w:rsid w:val="52F50BB8"/>
    <w:rsid w:val="53097272"/>
    <w:rsid w:val="53544462"/>
    <w:rsid w:val="5397158E"/>
    <w:rsid w:val="54013861"/>
    <w:rsid w:val="54487265"/>
    <w:rsid w:val="544D6070"/>
    <w:rsid w:val="545A1CB8"/>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6356D29"/>
    <w:rsid w:val="564B0E73"/>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2751E"/>
    <w:rsid w:val="595C23EF"/>
    <w:rsid w:val="595E1678"/>
    <w:rsid w:val="59643FFD"/>
    <w:rsid w:val="596D5BD4"/>
    <w:rsid w:val="597E3DD8"/>
    <w:rsid w:val="59F80043"/>
    <w:rsid w:val="59FD0AEE"/>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A190B"/>
    <w:rsid w:val="5D0C4701"/>
    <w:rsid w:val="5D0F0395"/>
    <w:rsid w:val="5D221076"/>
    <w:rsid w:val="5D397964"/>
    <w:rsid w:val="5D5A391C"/>
    <w:rsid w:val="5D5F10C0"/>
    <w:rsid w:val="5D891B7B"/>
    <w:rsid w:val="5DAD38EE"/>
    <w:rsid w:val="5E006862"/>
    <w:rsid w:val="5E0207B9"/>
    <w:rsid w:val="5E1834A1"/>
    <w:rsid w:val="5E261785"/>
    <w:rsid w:val="5E4A7017"/>
    <w:rsid w:val="5E501C5A"/>
    <w:rsid w:val="5E552BBA"/>
    <w:rsid w:val="5E611C10"/>
    <w:rsid w:val="5E7A0F3F"/>
    <w:rsid w:val="5EFC7377"/>
    <w:rsid w:val="5F012A1A"/>
    <w:rsid w:val="5F06174D"/>
    <w:rsid w:val="5F3A3602"/>
    <w:rsid w:val="5F45733B"/>
    <w:rsid w:val="5F6277C6"/>
    <w:rsid w:val="5F6D0B1D"/>
    <w:rsid w:val="5F8D0B82"/>
    <w:rsid w:val="5FA143E0"/>
    <w:rsid w:val="5FCC5339"/>
    <w:rsid w:val="5FE34A5B"/>
    <w:rsid w:val="5FFE1E36"/>
    <w:rsid w:val="60232584"/>
    <w:rsid w:val="605864BB"/>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27F1E"/>
    <w:rsid w:val="62244584"/>
    <w:rsid w:val="624F3E49"/>
    <w:rsid w:val="62632286"/>
    <w:rsid w:val="62885958"/>
    <w:rsid w:val="62F40B65"/>
    <w:rsid w:val="62FC2CFE"/>
    <w:rsid w:val="63024505"/>
    <w:rsid w:val="63594A6E"/>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551A38"/>
    <w:rsid w:val="668B6A45"/>
    <w:rsid w:val="672F3F24"/>
    <w:rsid w:val="67387BD6"/>
    <w:rsid w:val="673B02FF"/>
    <w:rsid w:val="673E055F"/>
    <w:rsid w:val="67551CE3"/>
    <w:rsid w:val="67A22552"/>
    <w:rsid w:val="67B22DCC"/>
    <w:rsid w:val="67BE71AA"/>
    <w:rsid w:val="67D90273"/>
    <w:rsid w:val="67DE5875"/>
    <w:rsid w:val="67E55852"/>
    <w:rsid w:val="67EB1AB4"/>
    <w:rsid w:val="67F77937"/>
    <w:rsid w:val="67FA1285"/>
    <w:rsid w:val="681A0702"/>
    <w:rsid w:val="685217B3"/>
    <w:rsid w:val="68551F4F"/>
    <w:rsid w:val="687C10C9"/>
    <w:rsid w:val="68840C16"/>
    <w:rsid w:val="68876EFB"/>
    <w:rsid w:val="68884654"/>
    <w:rsid w:val="689F444F"/>
    <w:rsid w:val="68B96DBB"/>
    <w:rsid w:val="68CA2805"/>
    <w:rsid w:val="68E937A3"/>
    <w:rsid w:val="693E15D3"/>
    <w:rsid w:val="69627681"/>
    <w:rsid w:val="6977531D"/>
    <w:rsid w:val="69A45D50"/>
    <w:rsid w:val="69CC2BFF"/>
    <w:rsid w:val="69FD55B8"/>
    <w:rsid w:val="6A0B1C62"/>
    <w:rsid w:val="6A2406C8"/>
    <w:rsid w:val="6A8F2B46"/>
    <w:rsid w:val="6A9C2BA0"/>
    <w:rsid w:val="6A9F005D"/>
    <w:rsid w:val="6ADE0BD1"/>
    <w:rsid w:val="6AE96859"/>
    <w:rsid w:val="6B147746"/>
    <w:rsid w:val="6B24787C"/>
    <w:rsid w:val="6B533A81"/>
    <w:rsid w:val="6B573233"/>
    <w:rsid w:val="6B5B6274"/>
    <w:rsid w:val="6B897905"/>
    <w:rsid w:val="6B935D53"/>
    <w:rsid w:val="6C196F71"/>
    <w:rsid w:val="6C226FCB"/>
    <w:rsid w:val="6C31226F"/>
    <w:rsid w:val="6C552F0B"/>
    <w:rsid w:val="6C8C67B7"/>
    <w:rsid w:val="6C9D744C"/>
    <w:rsid w:val="6CFE67A8"/>
    <w:rsid w:val="6D167928"/>
    <w:rsid w:val="6D26299B"/>
    <w:rsid w:val="6D4259CB"/>
    <w:rsid w:val="6D4772EC"/>
    <w:rsid w:val="6D507E06"/>
    <w:rsid w:val="6D9078AF"/>
    <w:rsid w:val="6DAA3FEF"/>
    <w:rsid w:val="6DC0172B"/>
    <w:rsid w:val="6DCB690C"/>
    <w:rsid w:val="6DD41A5B"/>
    <w:rsid w:val="6DF43C2E"/>
    <w:rsid w:val="6DF51CA3"/>
    <w:rsid w:val="6E00291A"/>
    <w:rsid w:val="6E8335BD"/>
    <w:rsid w:val="6E8E12EF"/>
    <w:rsid w:val="6E972936"/>
    <w:rsid w:val="6ED446C5"/>
    <w:rsid w:val="6F2A7D94"/>
    <w:rsid w:val="6F8331F1"/>
    <w:rsid w:val="6FAE1A09"/>
    <w:rsid w:val="6FD75BF8"/>
    <w:rsid w:val="707723D0"/>
    <w:rsid w:val="70F5661B"/>
    <w:rsid w:val="71360107"/>
    <w:rsid w:val="71390A3D"/>
    <w:rsid w:val="713B688E"/>
    <w:rsid w:val="71D43752"/>
    <w:rsid w:val="71D5286C"/>
    <w:rsid w:val="71F1796A"/>
    <w:rsid w:val="71FD570B"/>
    <w:rsid w:val="72154626"/>
    <w:rsid w:val="72262B5D"/>
    <w:rsid w:val="72283FF7"/>
    <w:rsid w:val="722E7212"/>
    <w:rsid w:val="723A0474"/>
    <w:rsid w:val="72556331"/>
    <w:rsid w:val="725923E4"/>
    <w:rsid w:val="72864BF7"/>
    <w:rsid w:val="729023FC"/>
    <w:rsid w:val="73817B06"/>
    <w:rsid w:val="73BE1EA0"/>
    <w:rsid w:val="73C0646E"/>
    <w:rsid w:val="74024296"/>
    <w:rsid w:val="742222F5"/>
    <w:rsid w:val="74476126"/>
    <w:rsid w:val="74706664"/>
    <w:rsid w:val="747F3682"/>
    <w:rsid w:val="748516A9"/>
    <w:rsid w:val="749C4185"/>
    <w:rsid w:val="75067759"/>
    <w:rsid w:val="752E6DCD"/>
    <w:rsid w:val="7551380D"/>
    <w:rsid w:val="75600BE5"/>
    <w:rsid w:val="7564475C"/>
    <w:rsid w:val="7583797F"/>
    <w:rsid w:val="75CB4E1C"/>
    <w:rsid w:val="75D20F1D"/>
    <w:rsid w:val="75DA2C18"/>
    <w:rsid w:val="75F54412"/>
    <w:rsid w:val="761D08E0"/>
    <w:rsid w:val="762D4575"/>
    <w:rsid w:val="765D347C"/>
    <w:rsid w:val="76826699"/>
    <w:rsid w:val="76C87133"/>
    <w:rsid w:val="76CD08D5"/>
    <w:rsid w:val="76DB4B92"/>
    <w:rsid w:val="77052AA4"/>
    <w:rsid w:val="77136511"/>
    <w:rsid w:val="77340A39"/>
    <w:rsid w:val="77351FD0"/>
    <w:rsid w:val="77472422"/>
    <w:rsid w:val="777F31F2"/>
    <w:rsid w:val="77D1700D"/>
    <w:rsid w:val="77EC04CC"/>
    <w:rsid w:val="785013C6"/>
    <w:rsid w:val="78775729"/>
    <w:rsid w:val="78A42DB0"/>
    <w:rsid w:val="78A656AB"/>
    <w:rsid w:val="78B2245C"/>
    <w:rsid w:val="78E172CC"/>
    <w:rsid w:val="78EA1D1F"/>
    <w:rsid w:val="7904172F"/>
    <w:rsid w:val="790F7E27"/>
    <w:rsid w:val="792A231A"/>
    <w:rsid w:val="79316829"/>
    <w:rsid w:val="797E66A9"/>
    <w:rsid w:val="79A07D94"/>
    <w:rsid w:val="79A97383"/>
    <w:rsid w:val="79C36276"/>
    <w:rsid w:val="79C72E4A"/>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47CDB"/>
    <w:rsid w:val="7B5A2978"/>
    <w:rsid w:val="7B5A7E4C"/>
    <w:rsid w:val="7B667AF9"/>
    <w:rsid w:val="7B7468F8"/>
    <w:rsid w:val="7B8D34D7"/>
    <w:rsid w:val="7BA35164"/>
    <w:rsid w:val="7BEE0103"/>
    <w:rsid w:val="7BF546E1"/>
    <w:rsid w:val="7C012B18"/>
    <w:rsid w:val="7C0A0FE4"/>
    <w:rsid w:val="7C254906"/>
    <w:rsid w:val="7C590818"/>
    <w:rsid w:val="7C6F4674"/>
    <w:rsid w:val="7C7C10F6"/>
    <w:rsid w:val="7C853BEA"/>
    <w:rsid w:val="7C881368"/>
    <w:rsid w:val="7C9B437B"/>
    <w:rsid w:val="7CE27788"/>
    <w:rsid w:val="7D0357E5"/>
    <w:rsid w:val="7D0C32F1"/>
    <w:rsid w:val="7D0F408D"/>
    <w:rsid w:val="7D491C6C"/>
    <w:rsid w:val="7D5429C0"/>
    <w:rsid w:val="7D6E6D43"/>
    <w:rsid w:val="7D7069D2"/>
    <w:rsid w:val="7DB57A34"/>
    <w:rsid w:val="7DCD229C"/>
    <w:rsid w:val="7DE60973"/>
    <w:rsid w:val="7DEF0916"/>
    <w:rsid w:val="7E1E5218"/>
    <w:rsid w:val="7E200CED"/>
    <w:rsid w:val="7E9A4E1F"/>
    <w:rsid w:val="7EA7723A"/>
    <w:rsid w:val="7ED03BDE"/>
    <w:rsid w:val="7EF56FBB"/>
    <w:rsid w:val="7F0768EB"/>
    <w:rsid w:val="7F143BEC"/>
    <w:rsid w:val="7F4D213E"/>
    <w:rsid w:val="7F715AF2"/>
    <w:rsid w:val="7F886E69"/>
    <w:rsid w:val="7FAE2AE8"/>
    <w:rsid w:val="7FB751B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66"/>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5"/>
    <w:qFormat/>
    <w:uiPriority w:val="0"/>
    <w:pPr>
      <w:spacing w:line="480" w:lineRule="exact"/>
      <w:ind w:firstLine="480" w:firstLineChars="200"/>
    </w:pPr>
    <w:rPr>
      <w:rFonts w:ascii="宋体" w:hAnsi="宋体"/>
      <w:sz w:val="24"/>
    </w:rPr>
  </w:style>
  <w:style w:type="paragraph" w:styleId="27">
    <w:name w:val="envelope return"/>
    <w:basedOn w:val="1"/>
    <w:qFormat/>
    <w:uiPriority w:val="99"/>
    <w:pPr>
      <w:snapToGrid w:val="0"/>
    </w:pPr>
    <w:rPr>
      <w:rFonts w:ascii="Arial" w:hAnsi="Arial" w:cs="Arial"/>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next w:val="40"/>
    <w:link w:val="308"/>
    <w:qFormat/>
    <w:uiPriority w:val="0"/>
    <w:pPr>
      <w:spacing w:line="360" w:lineRule="auto"/>
      <w:ind w:firstLine="601"/>
      <w:textAlignment w:val="baseline"/>
    </w:pPr>
    <w:rPr>
      <w:rFonts w:ascii="宋体"/>
      <w:kern w:val="0"/>
      <w:sz w:val="28"/>
      <w:szCs w:val="20"/>
    </w:rPr>
  </w:style>
  <w:style w:type="paragraph" w:customStyle="1" w:styleId="40">
    <w:name w:val="z正文"/>
    <w:basedOn w:val="35"/>
    <w:qFormat/>
    <w:uiPriority w:val="99"/>
    <w:pPr>
      <w:tabs>
        <w:tab w:val="left" w:pos="525"/>
      </w:tabs>
      <w:snapToGrid w:val="0"/>
      <w:spacing w:line="360" w:lineRule="auto"/>
    </w:pPr>
    <w:rPr>
      <w:rFonts w:hAnsi="宋体" w:eastAsia="宋体"/>
      <w:kern w:val="2"/>
      <w:sz w:val="24"/>
      <w:szCs w:val="20"/>
    </w:rPr>
  </w:style>
  <w:style w:type="paragraph" w:styleId="41">
    <w:name w:val="endnote text"/>
    <w:basedOn w:val="1"/>
    <w:link w:val="932"/>
    <w:qFormat/>
    <w:uiPriority w:val="0"/>
    <w:rPr>
      <w:lang w:val="zh-CN"/>
    </w:rPr>
  </w:style>
  <w:style w:type="paragraph" w:styleId="42">
    <w:name w:val="Balloon Text"/>
    <w:basedOn w:val="1"/>
    <w:link w:val="188"/>
    <w:qFormat/>
    <w:uiPriority w:val="0"/>
    <w:rPr>
      <w:sz w:val="18"/>
      <w:szCs w:val="18"/>
    </w:rPr>
  </w:style>
  <w:style w:type="paragraph" w:styleId="43">
    <w:name w:val="footer"/>
    <w:basedOn w:val="1"/>
    <w:link w:val="383"/>
    <w:qFormat/>
    <w:uiPriority w:val="99"/>
    <w:pPr>
      <w:tabs>
        <w:tab w:val="center" w:pos="4153"/>
        <w:tab w:val="right" w:pos="8306"/>
      </w:tabs>
      <w:snapToGrid w:val="0"/>
      <w:jc w:val="left"/>
    </w:pPr>
    <w:rPr>
      <w:sz w:val="18"/>
      <w:szCs w:val="18"/>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2"/>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6"/>
    <w:qFormat/>
    <w:uiPriority w:val="0"/>
    <w:rPr>
      <w:b/>
      <w:bCs/>
    </w:rPr>
  </w:style>
  <w:style w:type="paragraph" w:styleId="63">
    <w:name w:val="Body Text First Indent 2"/>
    <w:basedOn w:val="26"/>
    <w:next w:val="39"/>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Normal]"/>
    <w:qFormat/>
    <w:uiPriority w:val="0"/>
    <w:rPr>
      <w:rFonts w:ascii="宋体" w:hAnsi="宋体" w:eastAsia="宋体" w:cs="Times New Roman"/>
      <w:sz w:val="24"/>
      <w:szCs w:val="22"/>
      <w:lang w:val="zh-CN"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2"/>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2"/>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3"/>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2"/>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1"/>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样式 首行缩进:  2 字符4 + 首行缩进:  2 字符"/>
    <w:basedOn w:val="1"/>
    <w:qFormat/>
    <w:uiPriority w:val="0"/>
    <w:pPr>
      <w:adjustRightInd/>
      <w:spacing w:line="460" w:lineRule="exact"/>
      <w:ind w:firstLine="200" w:firstLineChars="200"/>
    </w:pPr>
    <w:rPr>
      <w:rFonts w:ascii="宋体" w:hAnsi="仿宋_GB2312" w:eastAsiaTheme="minorEastAsia" w:cstheme="minorBidi"/>
    </w:rPr>
  </w:style>
  <w:style w:type="paragraph" w:customStyle="1" w:styleId="965">
    <w:name w:val="表"/>
    <w:basedOn w:val="1"/>
    <w:qFormat/>
    <w:uiPriority w:val="0"/>
    <w:pPr>
      <w:snapToGrid w:val="0"/>
      <w:spacing w:line="280" w:lineRule="exact"/>
      <w:jc w:val="center"/>
    </w:pPr>
    <w:rPr>
      <w:snapToGrid w:val="0"/>
      <w:szCs w:val="18"/>
    </w:rPr>
  </w:style>
  <w:style w:type="character" w:customStyle="1" w:styleId="966">
    <w:name w:val="标题 3 Char"/>
    <w:basedOn w:val="71"/>
    <w:link w:val="5"/>
    <w:qFormat/>
    <w:uiPriority w:val="9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C3E01-4809-4309-8F46-AC511F6A258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42</Pages>
  <Words>17384</Words>
  <Characters>18837</Characters>
  <Lines>473</Lines>
  <Paragraphs>133</Paragraphs>
  <TotalTime>191</TotalTime>
  <ScaleCrop>false</ScaleCrop>
  <LinksUpToDate>false</LinksUpToDate>
  <CharactersWithSpaces>21961</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佳虹</cp:lastModifiedBy>
  <cp:lastPrinted>2021-12-27T03:06:00Z</cp:lastPrinted>
  <dcterms:modified xsi:type="dcterms:W3CDTF">2024-11-25T06:31:10Z</dcterms:modified>
  <dc:title>杭州市市民卡扩大发卡工程</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B157B976F3A34A94813D1BE85D9006F4_13</vt:lpwstr>
  </property>
</Properties>
</file>