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rPr>
          <w:color w:val="auto"/>
          <w:highlight w:val="none"/>
        </w:rPr>
      </w:pPr>
    </w:p>
    <w:p>
      <w:pPr>
        <w:rPr>
          <w:color w:val="auto"/>
          <w:highlight w:val="none"/>
        </w:rPr>
      </w:pPr>
    </w:p>
    <w:p>
      <w:pPr>
        <w:jc w:val="center"/>
        <w:rPr>
          <w:color w:val="auto"/>
          <w:sz w:val="36"/>
          <w:highlight w:val="none"/>
        </w:rPr>
      </w:pPr>
    </w:p>
    <w:p>
      <w:pPr>
        <w:jc w:val="center"/>
        <w:rPr>
          <w:rFonts w:hint="eastAsia"/>
          <w:b/>
          <w:bCs/>
          <w:color w:val="auto"/>
          <w:sz w:val="48"/>
          <w:szCs w:val="32"/>
          <w:highlight w:val="none"/>
          <w:lang w:eastAsia="zh-CN"/>
        </w:rPr>
      </w:pPr>
      <w:r>
        <w:rPr>
          <w:rFonts w:hint="eastAsia"/>
          <w:b/>
          <w:bCs/>
          <w:color w:val="auto"/>
          <w:sz w:val="48"/>
          <w:szCs w:val="32"/>
          <w:highlight w:val="none"/>
          <w:lang w:eastAsia="zh-CN"/>
        </w:rPr>
        <w:t>萧山区义桥镇2025年森林质量精准提升</w:t>
      </w:r>
    </w:p>
    <w:p>
      <w:pPr>
        <w:jc w:val="center"/>
        <w:rPr>
          <w:color w:val="auto"/>
          <w:sz w:val="40"/>
          <w:highlight w:val="none"/>
        </w:rPr>
      </w:pPr>
      <w:r>
        <w:rPr>
          <w:rFonts w:hint="eastAsia"/>
          <w:color w:val="auto"/>
          <w:sz w:val="40"/>
          <w:highlight w:val="none"/>
        </w:rPr>
        <w:t>招标文件</w:t>
      </w:r>
    </w:p>
    <w:p>
      <w:pPr>
        <w:jc w:val="center"/>
        <w:rPr>
          <w:color w:val="auto"/>
          <w:sz w:val="40"/>
          <w:highlight w:val="none"/>
        </w:rPr>
      </w:pPr>
      <w:r>
        <w:rPr>
          <w:color w:val="auto"/>
          <w:sz w:val="40"/>
          <w:highlight w:val="none"/>
        </w:rPr>
        <w:t>（电子招投标）</w:t>
      </w:r>
    </w:p>
    <w:p>
      <w:pPr>
        <w:jc w:val="center"/>
        <w:rPr>
          <w:rFonts w:hint="default" w:eastAsia="仿宋"/>
          <w:color w:val="auto"/>
          <w:sz w:val="36"/>
          <w:highlight w:val="none"/>
          <w:lang w:val="en-US" w:eastAsia="zh-CN"/>
        </w:rPr>
      </w:pPr>
      <w:r>
        <w:rPr>
          <w:rFonts w:hint="eastAsia"/>
          <w:color w:val="auto"/>
          <w:sz w:val="36"/>
          <w:highlight w:val="none"/>
        </w:rPr>
        <w:t>编号</w:t>
      </w:r>
      <w:r>
        <w:rPr>
          <w:color w:val="auto"/>
          <w:sz w:val="36"/>
          <w:highlight w:val="none"/>
        </w:rPr>
        <w:t>:</w:t>
      </w:r>
      <w:r>
        <w:rPr>
          <w:rFonts w:hint="eastAsia"/>
          <w:color w:val="auto"/>
          <w:sz w:val="36"/>
          <w:highlight w:val="none"/>
          <w:lang w:eastAsia="zh-CN"/>
        </w:rPr>
        <w:t>XS1020250</w:t>
      </w:r>
      <w:r>
        <w:rPr>
          <w:rFonts w:hint="eastAsia"/>
          <w:color w:val="auto"/>
          <w:sz w:val="36"/>
          <w:highlight w:val="none"/>
          <w:lang w:val="en-US" w:eastAsia="zh-CN"/>
        </w:rPr>
        <w:t>4</w:t>
      </w:r>
      <w:r>
        <w:rPr>
          <w:rFonts w:hint="eastAsia"/>
          <w:color w:val="auto"/>
          <w:sz w:val="36"/>
          <w:highlight w:val="none"/>
          <w:lang w:eastAsia="zh-CN"/>
        </w:rPr>
        <w:t>00</w:t>
      </w:r>
      <w:r>
        <w:rPr>
          <w:rFonts w:hint="eastAsia"/>
          <w:color w:val="auto"/>
          <w:sz w:val="36"/>
          <w:highlight w:val="none"/>
          <w:lang w:val="en-US" w:eastAsia="zh-CN"/>
        </w:rPr>
        <w:t>3</w:t>
      </w:r>
    </w:p>
    <w:p>
      <w:pPr>
        <w:jc w:val="center"/>
        <w:rPr>
          <w:color w:val="auto"/>
          <w:sz w:val="36"/>
          <w:highlight w:val="none"/>
        </w:rPr>
      </w:pPr>
    </w:p>
    <w:p>
      <w:pPr>
        <w:jc w:val="center"/>
        <w:rPr>
          <w:color w:val="auto"/>
          <w:sz w:val="36"/>
          <w:highlight w:val="none"/>
        </w:rPr>
      </w:pPr>
    </w:p>
    <w:p>
      <w:pPr>
        <w:jc w:val="center"/>
        <w:rPr>
          <w:color w:val="auto"/>
          <w:sz w:val="36"/>
          <w:highlight w:val="none"/>
        </w:rPr>
      </w:pPr>
    </w:p>
    <w:p>
      <w:pPr>
        <w:jc w:val="center"/>
        <w:rPr>
          <w:color w:val="auto"/>
          <w:sz w:val="36"/>
          <w:highlight w:val="none"/>
        </w:rPr>
      </w:pPr>
    </w:p>
    <w:p>
      <w:pPr>
        <w:rPr>
          <w:color w:val="auto"/>
          <w:highlight w:val="none"/>
        </w:rPr>
      </w:pPr>
    </w:p>
    <w:p>
      <w:pPr>
        <w:jc w:val="center"/>
        <w:rPr>
          <w:color w:val="auto"/>
          <w:highlight w:val="none"/>
        </w:rPr>
      </w:pPr>
    </w:p>
    <w:p>
      <w:pPr>
        <w:jc w:val="center"/>
        <w:rPr>
          <w:rFonts w:hint="eastAsia"/>
          <w:color w:val="auto"/>
          <w:sz w:val="36"/>
          <w:highlight w:val="none"/>
          <w:lang w:eastAsia="zh-CN"/>
        </w:rPr>
      </w:pPr>
      <w:r>
        <w:rPr>
          <w:rFonts w:hint="eastAsia"/>
          <w:color w:val="auto"/>
          <w:sz w:val="36"/>
          <w:highlight w:val="none"/>
          <w:lang w:eastAsia="zh-CN"/>
        </w:rPr>
        <w:t>杭州市萧山区义桥镇人民政府</w:t>
      </w:r>
    </w:p>
    <w:p>
      <w:pPr>
        <w:jc w:val="center"/>
        <w:rPr>
          <w:color w:val="auto"/>
          <w:sz w:val="36"/>
          <w:highlight w:val="none"/>
        </w:rPr>
      </w:pPr>
      <w:r>
        <w:rPr>
          <w:rFonts w:hint="eastAsia"/>
          <w:color w:val="auto"/>
          <w:sz w:val="36"/>
          <w:highlight w:val="none"/>
        </w:rPr>
        <w:t>杭州广业建设工程咨询有限公司</w:t>
      </w:r>
    </w:p>
    <w:p>
      <w:pPr>
        <w:jc w:val="center"/>
        <w:rPr>
          <w:rFonts w:hint="eastAsia"/>
          <w:color w:val="auto"/>
          <w:sz w:val="36"/>
          <w:highlight w:val="none"/>
        </w:rPr>
      </w:pPr>
      <w:r>
        <w:rPr>
          <w:rFonts w:hint="eastAsia"/>
          <w:color w:val="auto"/>
          <w:sz w:val="36"/>
          <w:highlight w:val="none"/>
          <w:lang w:val="en-US" w:eastAsia="zh-CN"/>
        </w:rPr>
        <w:t>2025</w:t>
      </w:r>
      <w:r>
        <w:rPr>
          <w:rFonts w:hint="eastAsia"/>
          <w:color w:val="auto"/>
          <w:sz w:val="36"/>
          <w:highlight w:val="none"/>
        </w:rPr>
        <w:t>年</w:t>
      </w:r>
      <w:r>
        <w:rPr>
          <w:rFonts w:hint="eastAsia"/>
          <w:color w:val="auto"/>
          <w:sz w:val="36"/>
          <w:highlight w:val="none"/>
          <w:lang w:val="en-US" w:eastAsia="zh-CN"/>
        </w:rPr>
        <w:t>4</w:t>
      </w:r>
      <w:r>
        <w:rPr>
          <w:rFonts w:hint="eastAsia"/>
          <w:color w:val="auto"/>
          <w:sz w:val="36"/>
          <w:highlight w:val="none"/>
        </w:rPr>
        <w:t>月</w:t>
      </w:r>
      <w:r>
        <w:rPr>
          <w:rFonts w:hint="eastAsia"/>
          <w:color w:val="auto"/>
          <w:sz w:val="36"/>
          <w:highlight w:val="none"/>
          <w:lang w:val="en-US" w:eastAsia="zh-CN"/>
        </w:rPr>
        <w:t>11</w:t>
      </w:r>
      <w:r>
        <w:rPr>
          <w:rFonts w:hint="eastAsia"/>
          <w:color w:val="auto"/>
          <w:sz w:val="36"/>
          <w:highlight w:val="none"/>
        </w:rPr>
        <w:t>日</w:t>
      </w:r>
    </w:p>
    <w:p>
      <w:pPr>
        <w:spacing w:line="276" w:lineRule="auto"/>
        <w:rPr>
          <w:rFonts w:asciiTheme="minorEastAsia" w:hAnsiTheme="minorEastAsia" w:eastAsiaTheme="minorEastAsia"/>
          <w:b/>
          <w:smallCaps/>
          <w:color w:val="auto"/>
          <w:spacing w:val="5"/>
          <w:sz w:val="36"/>
          <w:szCs w:val="36"/>
          <w:highlight w:val="none"/>
        </w:rPr>
      </w:pPr>
      <w:r>
        <w:rPr>
          <w:rFonts w:asciiTheme="minorEastAsia" w:hAnsiTheme="minorEastAsia" w:eastAsiaTheme="minorEastAsia"/>
          <w:color w:val="auto"/>
          <w:highlight w:val="none"/>
        </w:rPr>
        <w:br w:type="page"/>
      </w:r>
    </w:p>
    <w:p>
      <w:pPr>
        <w:pStyle w:val="3"/>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目</w:t>
      </w:r>
      <w:r>
        <w:rPr>
          <w:rFonts w:asciiTheme="minorEastAsia" w:hAnsiTheme="minorEastAsia" w:eastAsiaTheme="minorEastAsia"/>
          <w:color w:val="auto"/>
          <w:highlight w:val="none"/>
        </w:rPr>
        <w:t xml:space="preserve">  </w:t>
      </w:r>
      <w:r>
        <w:rPr>
          <w:rFonts w:hint="eastAsia" w:asciiTheme="minorEastAsia" w:hAnsiTheme="minorEastAsia" w:eastAsiaTheme="minorEastAsia"/>
          <w:color w:val="auto"/>
          <w:highlight w:val="none"/>
        </w:rPr>
        <w:t>录</w:t>
      </w:r>
    </w:p>
    <w:p>
      <w:pPr>
        <w:rPr>
          <w:rFonts w:asciiTheme="minorEastAsia" w:hAnsiTheme="minorEastAsia" w:eastAsiaTheme="minorEastAsia"/>
          <w:color w:val="auto"/>
          <w:highlight w:val="none"/>
        </w:rPr>
      </w:pPr>
    </w:p>
    <w:p>
      <w:pPr>
        <w:rPr>
          <w:rFonts w:asciiTheme="minorEastAsia" w:hAnsiTheme="minorEastAsia" w:eastAsiaTheme="minorEastAsia"/>
          <w:color w:val="auto"/>
          <w:highlight w:val="none"/>
        </w:rPr>
      </w:pPr>
    </w:p>
    <w:p>
      <w:pPr>
        <w:rPr>
          <w:color w:val="auto"/>
          <w:sz w:val="32"/>
          <w:highlight w:val="none"/>
        </w:rPr>
      </w:pPr>
      <w:r>
        <w:rPr>
          <w:rFonts w:hint="eastAsia"/>
          <w:color w:val="auto"/>
          <w:sz w:val="32"/>
          <w:highlight w:val="none"/>
        </w:rPr>
        <w:t>第一部分</w:t>
      </w:r>
      <w:r>
        <w:rPr>
          <w:color w:val="auto"/>
          <w:sz w:val="32"/>
          <w:highlight w:val="none"/>
        </w:rPr>
        <w:t xml:space="preserve">      </w:t>
      </w:r>
      <w:r>
        <w:rPr>
          <w:rFonts w:hint="eastAsia"/>
          <w:color w:val="auto"/>
          <w:sz w:val="32"/>
          <w:highlight w:val="none"/>
        </w:rPr>
        <w:t>招标公告</w:t>
      </w:r>
    </w:p>
    <w:p>
      <w:pPr>
        <w:rPr>
          <w:color w:val="auto"/>
          <w:sz w:val="32"/>
          <w:highlight w:val="none"/>
        </w:rPr>
      </w:pPr>
      <w:r>
        <w:rPr>
          <w:rFonts w:hint="eastAsia"/>
          <w:color w:val="auto"/>
          <w:sz w:val="32"/>
          <w:highlight w:val="none"/>
        </w:rPr>
        <w:t>第二部分</w:t>
      </w:r>
      <w:r>
        <w:rPr>
          <w:color w:val="auto"/>
          <w:sz w:val="32"/>
          <w:highlight w:val="none"/>
        </w:rPr>
        <w:t xml:space="preserve">      </w:t>
      </w:r>
      <w:r>
        <w:rPr>
          <w:rFonts w:hint="eastAsia"/>
          <w:color w:val="auto"/>
          <w:sz w:val="32"/>
          <w:highlight w:val="none"/>
        </w:rPr>
        <w:t>投标人须知</w:t>
      </w:r>
    </w:p>
    <w:p>
      <w:pPr>
        <w:rPr>
          <w:color w:val="auto"/>
          <w:sz w:val="32"/>
          <w:highlight w:val="none"/>
        </w:rPr>
      </w:pPr>
      <w:r>
        <w:rPr>
          <w:rFonts w:hint="eastAsia"/>
          <w:color w:val="auto"/>
          <w:sz w:val="32"/>
          <w:highlight w:val="none"/>
        </w:rPr>
        <w:t>第三部分</w:t>
      </w:r>
      <w:r>
        <w:rPr>
          <w:color w:val="auto"/>
          <w:sz w:val="32"/>
          <w:highlight w:val="none"/>
        </w:rPr>
        <w:t xml:space="preserve">      </w:t>
      </w:r>
      <w:r>
        <w:rPr>
          <w:rFonts w:hint="eastAsia"/>
          <w:color w:val="auto"/>
          <w:sz w:val="32"/>
          <w:highlight w:val="none"/>
        </w:rPr>
        <w:t>采购需求</w:t>
      </w:r>
    </w:p>
    <w:p>
      <w:pPr>
        <w:rPr>
          <w:color w:val="auto"/>
          <w:sz w:val="32"/>
          <w:highlight w:val="none"/>
        </w:rPr>
      </w:pPr>
      <w:r>
        <w:rPr>
          <w:rFonts w:hint="eastAsia"/>
          <w:color w:val="auto"/>
          <w:sz w:val="32"/>
          <w:highlight w:val="none"/>
        </w:rPr>
        <w:t>第四部分</w:t>
      </w:r>
      <w:r>
        <w:rPr>
          <w:color w:val="auto"/>
          <w:sz w:val="32"/>
          <w:highlight w:val="none"/>
        </w:rPr>
        <w:t xml:space="preserve">      </w:t>
      </w:r>
      <w:r>
        <w:rPr>
          <w:rFonts w:hint="eastAsia"/>
          <w:color w:val="auto"/>
          <w:sz w:val="32"/>
          <w:highlight w:val="none"/>
        </w:rPr>
        <w:t>评标办法</w:t>
      </w:r>
    </w:p>
    <w:p>
      <w:pPr>
        <w:rPr>
          <w:color w:val="auto"/>
          <w:sz w:val="32"/>
          <w:highlight w:val="none"/>
        </w:rPr>
      </w:pPr>
      <w:r>
        <w:rPr>
          <w:rFonts w:hint="eastAsia"/>
          <w:color w:val="auto"/>
          <w:sz w:val="32"/>
          <w:highlight w:val="none"/>
        </w:rPr>
        <w:t>第五部分</w:t>
      </w:r>
      <w:r>
        <w:rPr>
          <w:color w:val="auto"/>
          <w:sz w:val="32"/>
          <w:highlight w:val="none"/>
        </w:rPr>
        <w:t xml:space="preserve">      </w:t>
      </w:r>
      <w:r>
        <w:rPr>
          <w:rFonts w:hint="eastAsia"/>
          <w:color w:val="auto"/>
          <w:sz w:val="32"/>
          <w:highlight w:val="none"/>
        </w:rPr>
        <w:t>拟签订的合同文本</w:t>
      </w:r>
    </w:p>
    <w:p>
      <w:pPr>
        <w:rPr>
          <w:color w:val="auto"/>
          <w:sz w:val="32"/>
          <w:highlight w:val="none"/>
        </w:rPr>
      </w:pPr>
      <w:r>
        <w:rPr>
          <w:rFonts w:hint="eastAsia"/>
          <w:color w:val="auto"/>
          <w:sz w:val="32"/>
          <w:highlight w:val="none"/>
        </w:rPr>
        <w:t>第六部分</w:t>
      </w:r>
      <w:r>
        <w:rPr>
          <w:color w:val="auto"/>
          <w:sz w:val="32"/>
          <w:highlight w:val="none"/>
        </w:rPr>
        <w:t xml:space="preserve">      </w:t>
      </w:r>
      <w:r>
        <w:rPr>
          <w:rFonts w:hint="eastAsia"/>
          <w:color w:val="auto"/>
          <w:sz w:val="32"/>
          <w:highlight w:val="none"/>
        </w:rPr>
        <w:t>应提交的有关格式范例</w:t>
      </w:r>
    </w:p>
    <w:p>
      <w:pPr>
        <w:spacing w:line="276" w:lineRule="auto"/>
        <w:rPr>
          <w:color w:val="auto"/>
          <w:sz w:val="32"/>
          <w:highlight w:val="none"/>
        </w:rPr>
      </w:pPr>
    </w:p>
    <w:p>
      <w:pPr>
        <w:spacing w:line="276" w:lineRule="auto"/>
        <w:rPr>
          <w:rFonts w:ascii="仿宋_GB2312" w:eastAsia="仿宋_GB2312"/>
          <w:b/>
          <w:smallCaps/>
          <w:color w:val="auto"/>
          <w:spacing w:val="5"/>
          <w:sz w:val="36"/>
          <w:szCs w:val="36"/>
          <w:highlight w:val="none"/>
        </w:rPr>
      </w:pPr>
      <w:r>
        <w:rPr>
          <w:color w:val="auto"/>
          <w:highlight w:val="none"/>
        </w:rPr>
        <w:br w:type="page"/>
      </w:r>
    </w:p>
    <w:p>
      <w:pPr>
        <w:pStyle w:val="3"/>
        <w:rPr>
          <w:color w:val="auto"/>
          <w:highlight w:val="none"/>
        </w:rPr>
      </w:pPr>
      <w:r>
        <w:rPr>
          <w:rFonts w:hint="eastAsia"/>
          <w:color w:val="auto"/>
          <w:highlight w:val="none"/>
        </w:rPr>
        <w:t>第一部分</w:t>
      </w:r>
      <w:r>
        <w:rPr>
          <w:color w:val="auto"/>
          <w:highlight w:val="none"/>
        </w:rPr>
        <w:t xml:space="preserve"> </w:t>
      </w:r>
      <w:r>
        <w:rPr>
          <w:rFonts w:hint="eastAsia"/>
          <w:color w:val="auto"/>
          <w:highlight w:val="none"/>
        </w:rPr>
        <w:t>招标公告</w:t>
      </w:r>
    </w:p>
    <w:tbl>
      <w:tblPr>
        <w:tblStyle w:val="27"/>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852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522" w:type="dxa"/>
          </w:tcPr>
          <w:p>
            <w:pPr>
              <w:keepNext w:val="0"/>
              <w:keepLines w:val="0"/>
              <w:widowControl/>
              <w:suppressLineNumbers w:val="0"/>
              <w:spacing w:before="0" w:beforeAutospacing="0" w:after="0" w:afterAutospacing="0"/>
              <w:ind w:left="0" w:right="0"/>
              <w:rPr>
                <w:rFonts w:hint="default"/>
                <w:color w:val="auto"/>
                <w:sz w:val="24"/>
                <w:szCs w:val="24"/>
                <w:highlight w:val="none"/>
              </w:rPr>
            </w:pPr>
            <w:r>
              <w:rPr>
                <w:rFonts w:hint="eastAsia"/>
                <w:color w:val="auto"/>
                <w:sz w:val="24"/>
                <w:szCs w:val="24"/>
                <w:highlight w:val="none"/>
              </w:rPr>
              <w:t>项目概况</w:t>
            </w:r>
          </w:p>
          <w:p>
            <w:pPr>
              <w:keepNext w:val="0"/>
              <w:keepLines w:val="0"/>
              <w:widowControl/>
              <w:suppressLineNumbers w:val="0"/>
              <w:spacing w:before="0" w:beforeAutospacing="0" w:after="0" w:afterAutospacing="0"/>
              <w:ind w:left="0" w:right="0"/>
              <w:rPr>
                <w:rFonts w:hint="default"/>
                <w:color w:val="auto"/>
                <w:sz w:val="24"/>
                <w:szCs w:val="24"/>
                <w:highlight w:val="none"/>
              </w:rPr>
            </w:pPr>
            <w:r>
              <w:rPr>
                <w:rFonts w:hint="eastAsia"/>
                <w:color w:val="auto"/>
                <w:sz w:val="24"/>
                <w:szCs w:val="24"/>
                <w:highlight w:val="none"/>
                <w:u w:val="single"/>
                <w:lang w:eastAsia="zh-CN"/>
              </w:rPr>
              <w:t>萧山区义桥镇2025年森林质量精准提升</w:t>
            </w:r>
            <w:r>
              <w:rPr>
                <w:rFonts w:hint="eastAsia"/>
                <w:color w:val="auto"/>
                <w:sz w:val="24"/>
                <w:szCs w:val="24"/>
                <w:highlight w:val="none"/>
                <w:u w:val="single"/>
                <w:lang w:val="en-US" w:eastAsia="zh-CN"/>
              </w:rPr>
              <w:t xml:space="preserve"> </w:t>
            </w:r>
            <w:r>
              <w:rPr>
                <w:rFonts w:hint="eastAsia"/>
                <w:color w:val="auto"/>
                <w:sz w:val="24"/>
                <w:szCs w:val="24"/>
                <w:highlight w:val="none"/>
              </w:rPr>
              <w:t>招标项目的潜在投标人应在</w:t>
            </w:r>
            <w:r>
              <w:rPr>
                <w:rFonts w:hint="eastAsia"/>
                <w:color w:val="auto"/>
                <w:sz w:val="24"/>
                <w:szCs w:val="24"/>
                <w:highlight w:val="none"/>
                <w:lang w:eastAsia="zh-CN"/>
              </w:rPr>
              <w:t>萧采云（</w:t>
            </w:r>
            <w:r>
              <w:rPr>
                <w:rFonts w:hint="eastAsia" w:ascii="仿宋" w:hAnsi="仿宋" w:eastAsia="仿宋" w:cs="仿宋"/>
                <w:color w:val="auto"/>
                <w:sz w:val="24"/>
                <w:szCs w:val="24"/>
                <w:highlight w:val="none"/>
              </w:rPr>
              <w:t>乐采云</w:t>
            </w:r>
            <w:r>
              <w:rPr>
                <w:rFonts w:hint="eastAsia"/>
                <w:color w:val="auto"/>
                <w:sz w:val="24"/>
                <w:szCs w:val="24"/>
                <w:highlight w:val="none"/>
                <w:lang w:eastAsia="zh-CN"/>
              </w:rPr>
              <w:t>）</w:t>
            </w:r>
            <w:r>
              <w:rPr>
                <w:rFonts w:hint="eastAsia"/>
                <w:color w:val="auto"/>
                <w:sz w:val="24"/>
                <w:szCs w:val="24"/>
                <w:highlight w:val="none"/>
              </w:rPr>
              <w:t>平台（</w:t>
            </w:r>
            <w:r>
              <w:rPr>
                <w:rFonts w:hint="default"/>
                <w:color w:val="auto"/>
                <w:sz w:val="24"/>
                <w:szCs w:val="24"/>
                <w:highlight w:val="none"/>
              </w:rPr>
              <w:fldChar w:fldCharType="begin"/>
            </w:r>
            <w:r>
              <w:rPr>
                <w:rFonts w:hint="default"/>
                <w:color w:val="auto"/>
                <w:sz w:val="24"/>
                <w:szCs w:val="24"/>
                <w:highlight w:val="none"/>
              </w:rPr>
              <w:instrText xml:space="preserve"> HYPERLINK "https://www.zcygov.cn/）获取（下载）招标文件，并于2021年" </w:instrText>
            </w:r>
            <w:r>
              <w:rPr>
                <w:rFonts w:hint="default"/>
                <w:color w:val="auto"/>
                <w:sz w:val="24"/>
                <w:szCs w:val="24"/>
                <w:highlight w:val="none"/>
              </w:rPr>
              <w:fldChar w:fldCharType="separate"/>
            </w:r>
            <w:r>
              <w:rPr>
                <w:rStyle w:val="31"/>
                <w:rFonts w:hint="eastAsia" w:ascii="仿宋_GB2312" w:eastAsia="仿宋_GB2312" w:cs="Times New Roman"/>
                <w:color w:val="auto"/>
                <w:kern w:val="2"/>
                <w:sz w:val="24"/>
                <w:szCs w:val="24"/>
                <w:highlight w:val="none"/>
                <w:lang w:eastAsia="zh-CN"/>
              </w:rPr>
              <w:t>https://www.lecaiyun.com/</w:t>
            </w:r>
            <w:r>
              <w:rPr>
                <w:rStyle w:val="31"/>
                <w:rFonts w:hint="default" w:ascii="仿宋_GB2312" w:eastAsia="仿宋_GB2312" w:cs="Times New Roman"/>
                <w:color w:val="auto"/>
                <w:kern w:val="2"/>
                <w:sz w:val="24"/>
                <w:szCs w:val="24"/>
                <w:highlight w:val="none"/>
              </w:rPr>
              <w:t>）获取（下载）招标文件，并于</w:t>
            </w:r>
            <w:r>
              <w:rPr>
                <w:rFonts w:hint="eastAsia"/>
                <w:color w:val="auto"/>
                <w:sz w:val="24"/>
                <w:szCs w:val="24"/>
                <w:highlight w:val="none"/>
                <w:u w:val="single"/>
              </w:rPr>
              <w:t>202</w:t>
            </w:r>
            <w:r>
              <w:rPr>
                <w:rFonts w:hint="eastAsia"/>
                <w:color w:val="auto"/>
                <w:sz w:val="24"/>
                <w:szCs w:val="24"/>
                <w:highlight w:val="none"/>
                <w:u w:val="single"/>
                <w:lang w:val="en-US" w:eastAsia="zh-CN"/>
              </w:rPr>
              <w:t>5</w:t>
            </w:r>
            <w:r>
              <w:rPr>
                <w:rFonts w:hint="default"/>
                <w:color w:val="auto"/>
                <w:sz w:val="24"/>
                <w:szCs w:val="24"/>
                <w:highlight w:val="none"/>
                <w:u w:val="single"/>
              </w:rPr>
              <w:t>年</w:t>
            </w:r>
            <w:r>
              <w:rPr>
                <w:rFonts w:hint="eastAsia"/>
                <w:color w:val="auto"/>
                <w:sz w:val="24"/>
                <w:szCs w:val="24"/>
                <w:highlight w:val="none"/>
                <w:u w:val="single"/>
                <w:lang w:val="en-US" w:eastAsia="zh-CN"/>
              </w:rPr>
              <w:t>5</w:t>
            </w:r>
            <w:r>
              <w:rPr>
                <w:rFonts w:hint="eastAsia"/>
                <w:color w:val="auto"/>
                <w:sz w:val="24"/>
                <w:szCs w:val="24"/>
                <w:highlight w:val="none"/>
                <w:u w:val="single"/>
              </w:rPr>
              <w:t>月</w:t>
            </w:r>
            <w:r>
              <w:rPr>
                <w:rFonts w:hint="eastAsia"/>
                <w:color w:val="auto"/>
                <w:sz w:val="24"/>
                <w:szCs w:val="24"/>
                <w:highlight w:val="none"/>
                <w:u w:val="single"/>
                <w:lang w:val="en-US" w:eastAsia="zh-CN"/>
              </w:rPr>
              <w:t>6</w:t>
            </w:r>
            <w:r>
              <w:rPr>
                <w:rFonts w:hint="eastAsia"/>
                <w:color w:val="auto"/>
                <w:sz w:val="24"/>
                <w:szCs w:val="24"/>
                <w:highlight w:val="none"/>
                <w:u w:val="single"/>
              </w:rPr>
              <w:t>日</w:t>
            </w:r>
            <w:r>
              <w:rPr>
                <w:rFonts w:hint="eastAsia"/>
                <w:color w:val="auto"/>
                <w:sz w:val="24"/>
                <w:szCs w:val="24"/>
                <w:highlight w:val="none"/>
                <w:u w:val="single"/>
                <w:lang w:val="en-US" w:eastAsia="zh-CN"/>
              </w:rPr>
              <w:t>14</w:t>
            </w:r>
            <w:r>
              <w:rPr>
                <w:rFonts w:hint="eastAsia"/>
                <w:color w:val="auto"/>
                <w:sz w:val="24"/>
                <w:szCs w:val="24"/>
                <w:highlight w:val="none"/>
                <w:u w:val="single"/>
              </w:rPr>
              <w:t>点</w:t>
            </w:r>
            <w:r>
              <w:rPr>
                <w:rFonts w:hint="eastAsia"/>
                <w:color w:val="auto"/>
                <w:sz w:val="24"/>
                <w:szCs w:val="24"/>
                <w:highlight w:val="none"/>
                <w:u w:val="single"/>
                <w:lang w:val="en-US" w:eastAsia="zh-CN"/>
              </w:rPr>
              <w:t>00</w:t>
            </w:r>
            <w:r>
              <w:rPr>
                <w:rFonts w:hint="eastAsia"/>
                <w:color w:val="auto"/>
                <w:sz w:val="24"/>
                <w:szCs w:val="24"/>
                <w:highlight w:val="none"/>
                <w:u w:val="single"/>
              </w:rPr>
              <w:t>分</w:t>
            </w:r>
            <w:r>
              <w:rPr>
                <w:rFonts w:hint="eastAsia"/>
                <w:bCs/>
                <w:color w:val="auto"/>
                <w:sz w:val="24"/>
                <w:szCs w:val="24"/>
                <w:highlight w:val="none"/>
                <w:u w:val="single"/>
              </w:rPr>
              <w:t>00秒</w:t>
            </w:r>
            <w:r>
              <w:rPr>
                <w:rFonts w:hint="eastAsia"/>
                <w:bCs/>
                <w:color w:val="auto"/>
                <w:sz w:val="24"/>
                <w:szCs w:val="24"/>
                <w:highlight w:val="none"/>
                <w:u w:val="single"/>
              </w:rPr>
              <w:fldChar w:fldCharType="end"/>
            </w:r>
            <w:r>
              <w:rPr>
                <w:rFonts w:hint="eastAsia"/>
                <w:bCs/>
                <w:color w:val="auto"/>
                <w:sz w:val="24"/>
                <w:szCs w:val="24"/>
                <w:highlight w:val="none"/>
              </w:rPr>
              <w:t>（北京时间）前</w:t>
            </w:r>
            <w:r>
              <w:rPr>
                <w:rFonts w:hint="eastAsia"/>
                <w:color w:val="auto"/>
                <w:sz w:val="24"/>
                <w:szCs w:val="24"/>
                <w:highlight w:val="none"/>
              </w:rPr>
              <w:t>递交（上传）投标文件。</w:t>
            </w:r>
          </w:p>
        </w:tc>
      </w:tr>
    </w:tbl>
    <w:p>
      <w:pPr>
        <w:rPr>
          <w:b/>
          <w:color w:val="auto"/>
          <w:highlight w:val="none"/>
        </w:rPr>
      </w:pPr>
      <w:r>
        <w:rPr>
          <w:rFonts w:hint="eastAsia"/>
          <w:b/>
          <w:color w:val="auto"/>
          <w:highlight w:val="none"/>
        </w:rPr>
        <w:t>一、项目基本情况</w:t>
      </w:r>
      <w:r>
        <w:rPr>
          <w:b/>
          <w:color w:val="auto"/>
          <w:highlight w:val="none"/>
        </w:rPr>
        <w:t xml:space="preserve">       </w:t>
      </w:r>
      <w:bookmarkStart w:id="484" w:name="_GoBack"/>
      <w:r>
        <w:rPr>
          <w:b/>
          <w:color w:val="auto"/>
          <w:highlight w:val="none"/>
        </w:rPr>
        <w:t xml:space="preserve">                                     </w:t>
      </w:r>
    </w:p>
    <w:p>
      <w:pPr>
        <w:rPr>
          <w:rFonts w:hint="default" w:eastAsia="仿宋"/>
          <w:color w:val="auto"/>
          <w:highlight w:val="none"/>
          <w:lang w:val="en-US" w:eastAsia="zh-CN"/>
        </w:rPr>
      </w:pPr>
      <w:r>
        <w:rPr>
          <w:rFonts w:hint="eastAsia"/>
          <w:color w:val="auto"/>
          <w:highlight w:val="none"/>
        </w:rPr>
        <w:t>项目编号：</w:t>
      </w:r>
      <w:bookmarkEnd w:id="484"/>
      <w:r>
        <w:rPr>
          <w:rFonts w:hint="eastAsia"/>
          <w:color w:val="auto"/>
          <w:highlight w:val="none"/>
          <w:lang w:eastAsia="zh-CN"/>
        </w:rPr>
        <w:t>XS1020250</w:t>
      </w:r>
      <w:r>
        <w:rPr>
          <w:rFonts w:hint="eastAsia"/>
          <w:color w:val="auto"/>
          <w:highlight w:val="none"/>
          <w:lang w:val="en-US" w:eastAsia="zh-CN"/>
        </w:rPr>
        <w:t>4</w:t>
      </w:r>
      <w:r>
        <w:rPr>
          <w:rFonts w:hint="eastAsia"/>
          <w:color w:val="auto"/>
          <w:highlight w:val="none"/>
          <w:lang w:eastAsia="zh-CN"/>
        </w:rPr>
        <w:t>00</w:t>
      </w:r>
      <w:r>
        <w:rPr>
          <w:rFonts w:hint="eastAsia"/>
          <w:color w:val="auto"/>
          <w:highlight w:val="none"/>
          <w:lang w:val="en-US" w:eastAsia="zh-CN"/>
        </w:rPr>
        <w:t>3</w:t>
      </w:r>
    </w:p>
    <w:p>
      <w:pPr>
        <w:rPr>
          <w:rFonts w:hint="default" w:eastAsia="仿宋"/>
          <w:color w:val="auto"/>
          <w:highlight w:val="none"/>
          <w:lang w:val="en-US" w:eastAsia="zh-CN"/>
        </w:rPr>
      </w:pPr>
      <w:r>
        <w:rPr>
          <w:rFonts w:hint="eastAsia"/>
          <w:color w:val="auto"/>
          <w:highlight w:val="none"/>
        </w:rPr>
        <w:t>项目名称：</w:t>
      </w:r>
      <w:r>
        <w:rPr>
          <w:rFonts w:hint="eastAsia"/>
          <w:color w:val="auto"/>
          <w:highlight w:val="none"/>
          <w:lang w:eastAsia="zh-CN"/>
        </w:rPr>
        <w:t>萧山区义桥镇2025年森林质量精准提升</w:t>
      </w:r>
    </w:p>
    <w:p>
      <w:pPr>
        <w:rPr>
          <w:rFonts w:hint="eastAsia" w:ascii="宋体" w:hAnsi="宋体" w:cs="宋体"/>
          <w:b w:val="0"/>
          <w:bCs w:val="0"/>
          <w:color w:val="auto"/>
          <w:sz w:val="24"/>
          <w:lang w:val="en-US" w:eastAsia="zh-CN"/>
        </w:rPr>
      </w:pPr>
      <w:r>
        <w:rPr>
          <w:rFonts w:hint="eastAsia"/>
          <w:b w:val="0"/>
          <w:bCs w:val="0"/>
          <w:color w:val="auto"/>
          <w:highlight w:val="none"/>
        </w:rPr>
        <w:t>预算金额（元）:</w:t>
      </w:r>
      <w:r>
        <w:rPr>
          <w:rFonts w:hint="eastAsia" w:ascii="宋体" w:hAnsi="宋体" w:cs="宋体"/>
          <w:b w:val="0"/>
          <w:bCs w:val="0"/>
          <w:color w:val="auto"/>
          <w:sz w:val="24"/>
          <w:lang w:val="en-US" w:eastAsia="zh-CN"/>
        </w:rPr>
        <w:t>385000</w:t>
      </w:r>
    </w:p>
    <w:p>
      <w:pPr>
        <w:rPr>
          <w:rFonts w:hint="eastAsia" w:ascii="宋体" w:hAnsi="宋体" w:cs="宋体"/>
          <w:b w:val="0"/>
          <w:bCs w:val="0"/>
          <w:color w:val="auto"/>
          <w:sz w:val="24"/>
          <w:lang w:val="en-US" w:eastAsia="zh-CN"/>
        </w:rPr>
      </w:pPr>
      <w:r>
        <w:rPr>
          <w:rFonts w:hint="eastAsia"/>
          <w:b w:val="0"/>
          <w:bCs w:val="0"/>
          <w:color w:val="auto"/>
          <w:highlight w:val="none"/>
        </w:rPr>
        <w:t>最高限价（元）：</w:t>
      </w:r>
      <w:r>
        <w:rPr>
          <w:rFonts w:hint="eastAsia" w:ascii="宋体" w:hAnsi="宋体" w:cs="宋体"/>
          <w:b w:val="0"/>
          <w:bCs w:val="0"/>
          <w:color w:val="auto"/>
          <w:sz w:val="24"/>
          <w:lang w:val="en-US" w:eastAsia="zh-CN"/>
        </w:rPr>
        <w:t>385000</w:t>
      </w:r>
    </w:p>
    <w:p>
      <w:pPr>
        <w:rPr>
          <w:rFonts w:hint="eastAsia" w:eastAsia="仿宋"/>
          <w:color w:val="auto"/>
          <w:highlight w:val="none"/>
          <w:lang w:eastAsia="zh-CN"/>
        </w:rPr>
      </w:pPr>
      <w:r>
        <w:rPr>
          <w:rFonts w:hint="eastAsia"/>
          <w:color w:val="auto"/>
          <w:highlight w:val="none"/>
        </w:rPr>
        <w:t>采购需求：</w:t>
      </w:r>
    </w:p>
    <w:p>
      <w:pPr>
        <w:rPr>
          <w:rFonts w:hint="eastAsia" w:eastAsia="仿宋"/>
          <w:color w:val="auto"/>
          <w:highlight w:val="none"/>
          <w:lang w:eastAsia="zh-CN"/>
        </w:rPr>
      </w:pPr>
      <w:r>
        <w:rPr>
          <w:rFonts w:hint="eastAsia"/>
          <w:color w:val="auto"/>
          <w:highlight w:val="none"/>
        </w:rPr>
        <w:t>标项名称:</w:t>
      </w:r>
      <w:r>
        <w:rPr>
          <w:rFonts w:hint="eastAsia"/>
          <w:color w:val="auto"/>
          <w:highlight w:val="none"/>
          <w:lang w:eastAsia="zh-CN"/>
        </w:rPr>
        <w:t>萧山区义桥镇2025年森林质量精准提升</w:t>
      </w:r>
    </w:p>
    <w:p>
      <w:pPr>
        <w:rPr>
          <w:rFonts w:hint="eastAsia" w:eastAsia="仿宋"/>
          <w:color w:val="auto"/>
          <w:highlight w:val="none"/>
          <w:lang w:eastAsia="zh-CN"/>
        </w:rPr>
      </w:pPr>
      <w:r>
        <w:rPr>
          <w:rFonts w:hint="eastAsia"/>
          <w:color w:val="auto"/>
          <w:highlight w:val="none"/>
        </w:rPr>
        <w:t>简要规格描述或项目基本概况介绍、用途：详见招标文件</w:t>
      </w:r>
    </w:p>
    <w:p>
      <w:pPr>
        <w:rPr>
          <w:color w:val="auto"/>
          <w:highlight w:val="none"/>
        </w:rPr>
      </w:pPr>
      <w:r>
        <w:rPr>
          <w:rFonts w:hint="eastAsia"/>
          <w:color w:val="auto"/>
          <w:highlight w:val="none"/>
        </w:rPr>
        <w:t>备注：无</w:t>
      </w:r>
    </w:p>
    <w:p>
      <w:pPr>
        <w:rPr>
          <w:color w:val="auto"/>
          <w:highlight w:val="none"/>
        </w:rPr>
      </w:pPr>
      <w:r>
        <w:rPr>
          <w:rFonts w:hint="eastAsia"/>
          <w:color w:val="auto"/>
          <w:highlight w:val="none"/>
        </w:rPr>
        <w:t>合同履约期限：详见招标文件</w:t>
      </w:r>
    </w:p>
    <w:p>
      <w:pPr>
        <w:rPr>
          <w:color w:val="auto"/>
          <w:highlight w:val="none"/>
        </w:rPr>
      </w:pPr>
      <w:r>
        <w:rPr>
          <w:rFonts w:hint="eastAsia"/>
          <w:color w:val="auto"/>
          <w:highlight w:val="none"/>
        </w:rPr>
        <w:t>本项目接受联合体投标：（</w:t>
      </w:r>
      <w:r>
        <w:rPr>
          <w:rFonts w:hint="eastAsia"/>
          <w:color w:val="auto"/>
          <w:highlight w:val="none"/>
          <w:lang w:val="en-US" w:eastAsia="zh-CN"/>
        </w:rPr>
        <w:t xml:space="preserve">  </w:t>
      </w:r>
      <w:r>
        <w:rPr>
          <w:rFonts w:hint="eastAsia"/>
          <w:color w:val="auto"/>
          <w:highlight w:val="none"/>
        </w:rPr>
        <w:t>）是 ；（</w:t>
      </w:r>
      <w:r>
        <w:rPr>
          <w:rFonts w:hint="eastAsia"/>
          <w:color w:val="auto"/>
          <w:highlight w:val="none"/>
          <w:lang w:eastAsia="zh-CN"/>
        </w:rPr>
        <w:t>√</w:t>
      </w:r>
      <w:r>
        <w:rPr>
          <w:rFonts w:hint="eastAsia"/>
          <w:color w:val="auto"/>
          <w:highlight w:val="none"/>
        </w:rPr>
        <w:t>）否。</w:t>
      </w:r>
    </w:p>
    <w:p>
      <w:pPr>
        <w:rPr>
          <w:color w:val="auto"/>
          <w:highlight w:val="none"/>
        </w:rPr>
      </w:pPr>
      <w:r>
        <w:rPr>
          <w:rFonts w:hint="eastAsia"/>
          <w:b/>
          <w:color w:val="auto"/>
          <w:highlight w:val="none"/>
        </w:rPr>
        <w:t>二、申请人的资格要求</w:t>
      </w:r>
      <w:r>
        <w:rPr>
          <w:rFonts w:hint="eastAsia"/>
          <w:color w:val="auto"/>
          <w:highlight w:val="none"/>
        </w:rPr>
        <w:t>：</w:t>
      </w:r>
    </w:p>
    <w:p>
      <w:pPr>
        <w:rPr>
          <w:color w:val="auto"/>
          <w:highlight w:val="none"/>
        </w:rPr>
      </w:pPr>
      <w:r>
        <w:rPr>
          <w:color w:val="auto"/>
          <w:highlight w:val="none"/>
        </w:rPr>
        <w:t>1.</w:t>
      </w:r>
      <w:r>
        <w:rPr>
          <w:rFonts w:hint="eastAsia"/>
          <w:color w:val="auto"/>
          <w:highlight w:val="none"/>
        </w:rPr>
        <w:t xml:space="preserve"> 满足《中华人民共和国政府采购法》第二十二条规定；未被“信用中国”（www.creditchina.gov.cn)、中国政府采购网（www.ccgp.gov.cn）列入失信被执行人、重大税收违法案件当事人名单、政府采购严重违法失信行为记录名单；</w:t>
      </w:r>
    </w:p>
    <w:p>
      <w:pPr>
        <w:rPr>
          <w:color w:val="auto"/>
          <w:highlight w:val="none"/>
        </w:rPr>
      </w:pPr>
      <w:r>
        <w:rPr>
          <w:color w:val="auto"/>
          <w:highlight w:val="none"/>
        </w:rPr>
        <w:t>2.</w:t>
      </w:r>
      <w:r>
        <w:rPr>
          <w:rFonts w:hint="eastAsia"/>
          <w:color w:val="auto"/>
          <w:highlight w:val="none"/>
        </w:rPr>
        <w:t>落实政府采购政策需满足的资格要求：</w:t>
      </w:r>
    </w:p>
    <w:p>
      <w:pPr>
        <w:rPr>
          <w:color w:val="auto"/>
          <w:highlight w:val="none"/>
        </w:rPr>
      </w:pPr>
      <w:r>
        <w:rPr>
          <w:rFonts w:hint="eastAsia"/>
          <w:color w:val="auto"/>
          <w:highlight w:val="none"/>
        </w:rPr>
        <w:t>（</w:t>
      </w:r>
      <w:r>
        <w:rPr>
          <w:rFonts w:hint="eastAsia"/>
          <w:color w:val="auto"/>
          <w:highlight w:val="none"/>
          <w:lang w:val="en-US" w:eastAsia="zh-CN"/>
        </w:rPr>
        <w:t xml:space="preserve"> </w:t>
      </w:r>
      <w:r>
        <w:rPr>
          <w:rFonts w:hint="eastAsia"/>
          <w:color w:val="auto"/>
          <w:highlight w:val="none"/>
        </w:rPr>
        <w:t>）无；</w:t>
      </w:r>
    </w:p>
    <w:p>
      <w:pPr>
        <w:rPr>
          <w:color w:val="auto"/>
          <w:highlight w:val="none"/>
        </w:rPr>
      </w:pPr>
      <w:r>
        <w:rPr>
          <w:rFonts w:hint="eastAsia"/>
          <w:color w:val="auto"/>
          <w:highlight w:val="none"/>
        </w:rPr>
        <w:t>（</w:t>
      </w:r>
      <w:r>
        <w:rPr>
          <w:rFonts w:hint="eastAsia"/>
          <w:color w:val="auto"/>
          <w:highlight w:val="none"/>
          <w:lang w:eastAsia="zh-CN"/>
        </w:rPr>
        <w:t>√</w:t>
      </w:r>
      <w:r>
        <w:rPr>
          <w:rFonts w:hint="eastAsia"/>
          <w:color w:val="auto"/>
          <w:highlight w:val="none"/>
        </w:rPr>
        <w:t>）专门面向中小企业</w:t>
      </w:r>
    </w:p>
    <w:p>
      <w:pPr>
        <w:rPr>
          <w:color w:val="auto"/>
          <w:highlight w:val="none"/>
        </w:rPr>
      </w:pPr>
      <w:r>
        <w:rPr>
          <w:rFonts w:hint="eastAsia"/>
          <w:color w:val="auto"/>
          <w:highlight w:val="none"/>
        </w:rPr>
        <w:t>（ ）货物全部由符合政策要求的中小企业制造，提供中小企业声明函；</w:t>
      </w:r>
    </w:p>
    <w:p>
      <w:pPr>
        <w:rPr>
          <w:color w:val="auto"/>
          <w:highlight w:val="none"/>
        </w:rPr>
      </w:pPr>
      <w:r>
        <w:rPr>
          <w:rFonts w:hint="eastAsia"/>
          <w:color w:val="auto"/>
          <w:highlight w:val="none"/>
        </w:rPr>
        <w:t>（ ）货物全部由符合政策要求的小微企业制造，提供中小企业声明函；</w:t>
      </w:r>
    </w:p>
    <w:p>
      <w:pPr>
        <w:rPr>
          <w:color w:val="auto"/>
          <w:highlight w:val="none"/>
        </w:rPr>
      </w:pPr>
      <w:r>
        <w:rPr>
          <w:rFonts w:hint="eastAsia"/>
          <w:color w:val="auto"/>
          <w:highlight w:val="none"/>
        </w:rPr>
        <w:t>（</w:t>
      </w:r>
      <w:r>
        <w:rPr>
          <w:rFonts w:hint="eastAsia"/>
          <w:color w:val="auto"/>
          <w:highlight w:val="none"/>
          <w:lang w:eastAsia="zh-CN"/>
        </w:rPr>
        <w:t>√</w:t>
      </w:r>
      <w:r>
        <w:rPr>
          <w:rFonts w:hint="eastAsia"/>
          <w:color w:val="auto"/>
          <w:highlight w:val="none"/>
        </w:rPr>
        <w:t>）服务全部由符合政策要求的中小企业承接，提供中小企业声明函；</w:t>
      </w:r>
    </w:p>
    <w:p>
      <w:pPr>
        <w:rPr>
          <w:color w:val="auto"/>
          <w:highlight w:val="none"/>
        </w:rPr>
      </w:pPr>
      <w:r>
        <w:rPr>
          <w:rFonts w:hint="eastAsia"/>
          <w:color w:val="auto"/>
          <w:highlight w:val="none"/>
        </w:rPr>
        <w:t>（</w:t>
      </w:r>
      <w:r>
        <w:rPr>
          <w:rFonts w:hint="eastAsia"/>
          <w:color w:val="auto"/>
          <w:highlight w:val="none"/>
          <w:lang w:val="en-US" w:eastAsia="zh-CN"/>
        </w:rPr>
        <w:t xml:space="preserve"> </w:t>
      </w:r>
      <w:r>
        <w:rPr>
          <w:rFonts w:hint="eastAsia"/>
          <w:color w:val="auto"/>
          <w:highlight w:val="none"/>
        </w:rPr>
        <w:t>）服务全部由符合政策要求的小微企业承接，提供中小企业声明函；</w:t>
      </w:r>
    </w:p>
    <w:p>
      <w:pPr>
        <w:rPr>
          <w:color w:val="auto"/>
          <w:highlight w:val="none"/>
        </w:rPr>
      </w:pPr>
      <w:r>
        <w:rPr>
          <w:rFonts w:hint="eastAsia"/>
          <w:color w:val="auto"/>
          <w:highlight w:val="none"/>
        </w:rPr>
        <w:t>（ ）要求以联合体形式参加，提供联合协议和中小企业声明函，联合协议中中小企业合同金额应当达到  %，小微企业合同金额应当达到 %;如果供应商本身提供所有标的均由中小企业制造、承建或承接，视同符合了资格条件，无需再与其他中小企业组成联合体参加政府采购活动，无需提供联合协议；</w:t>
      </w:r>
    </w:p>
    <w:p>
      <w:pPr>
        <w:rPr>
          <w:color w:val="auto"/>
          <w:highlight w:val="none"/>
        </w:rPr>
      </w:pPr>
      <w:r>
        <w:rPr>
          <w:rFonts w:hint="eastAsia"/>
          <w:color w:val="auto"/>
          <w:highlight w:val="none"/>
        </w:rPr>
        <w:t>（ ）要求合同分包，提供分包意向协议和中小企业声明函，分包意向协议中中小企业合同金额应当达到达到  % ，小微企业合同金额应当达到 % ;如果供应商本身提供所有标的均由中小企业制造、承建或承接，视同符合了资格条件，无需再向中小企业分包，无需提供分包意向协议；</w:t>
      </w:r>
    </w:p>
    <w:p>
      <w:pPr>
        <w:rPr>
          <w:color w:val="auto"/>
          <w:highlight w:val="none"/>
        </w:rPr>
      </w:pPr>
      <w:r>
        <w:rPr>
          <w:color w:val="auto"/>
          <w:highlight w:val="none"/>
        </w:rPr>
        <w:t>3.本项目的特定资格要求：</w:t>
      </w:r>
      <w:r>
        <w:rPr>
          <w:rFonts w:hint="eastAsia" w:cs="仿宋"/>
          <w:color w:val="auto"/>
          <w:sz w:val="24"/>
          <w:highlight w:val="none"/>
          <w:lang w:val="en-US" w:eastAsia="zh-CN"/>
        </w:rPr>
        <w:t>无</w:t>
      </w:r>
      <w:r>
        <w:rPr>
          <w:rFonts w:hint="eastAsia"/>
          <w:color w:val="auto"/>
          <w:highlight w:val="none"/>
        </w:rPr>
        <w:t>；</w:t>
      </w:r>
    </w:p>
    <w:p>
      <w:pPr>
        <w:rPr>
          <w:color w:val="auto"/>
          <w:highlight w:val="none"/>
        </w:rPr>
      </w:pPr>
      <w:r>
        <w:rPr>
          <w:color w:val="auto"/>
          <w:highlight w:val="none"/>
        </w:rPr>
        <w:t>4.</w:t>
      </w:r>
      <w:r>
        <w:rPr>
          <w:rFonts w:hint="eastAsia"/>
          <w:color w:val="auto"/>
          <w:highlight w:val="none"/>
        </w:rPr>
        <w:t>单位负责人为同一人或者存在直接控股、管理关系的不同供应商，不得参加同一合同项下的政府采购活动；</w:t>
      </w:r>
      <w:r>
        <w:rPr>
          <w:color w:val="auto"/>
          <w:highlight w:val="none"/>
        </w:rPr>
        <w:t>为采购项目提供整体设计、规范编制或者项目管理、监理、检测等服务后</w:t>
      </w:r>
      <w:r>
        <w:rPr>
          <w:rFonts w:hint="eastAsia"/>
          <w:color w:val="auto"/>
          <w:highlight w:val="none"/>
        </w:rPr>
        <w:t>不得</w:t>
      </w:r>
      <w:r>
        <w:rPr>
          <w:color w:val="auto"/>
          <w:highlight w:val="none"/>
        </w:rPr>
        <w:t>再参加该采购项目的其他采购活动。</w:t>
      </w:r>
    </w:p>
    <w:p>
      <w:pPr>
        <w:rPr>
          <w:b/>
          <w:color w:val="auto"/>
          <w:highlight w:val="none"/>
        </w:rPr>
      </w:pPr>
      <w:r>
        <w:rPr>
          <w:rFonts w:hint="eastAsia"/>
          <w:b/>
          <w:color w:val="auto"/>
          <w:highlight w:val="none"/>
        </w:rPr>
        <w:t>三、获取招标文件</w:t>
      </w:r>
      <w:r>
        <w:rPr>
          <w:b/>
          <w:color w:val="auto"/>
          <w:highlight w:val="none"/>
        </w:rPr>
        <w:t xml:space="preserve"> </w:t>
      </w:r>
    </w:p>
    <w:p>
      <w:pPr>
        <w:rPr>
          <w:color w:val="auto"/>
          <w:highlight w:val="none"/>
        </w:rPr>
      </w:pPr>
      <w:r>
        <w:rPr>
          <w:rFonts w:hint="eastAsia"/>
          <w:color w:val="auto"/>
          <w:highlight w:val="none"/>
        </w:rPr>
        <w:t>时间：</w:t>
      </w:r>
      <w:r>
        <w:rPr>
          <w:color w:val="auto"/>
          <w:highlight w:val="none"/>
        </w:rPr>
        <w:t>/至</w:t>
      </w:r>
      <w:r>
        <w:rPr>
          <w:rFonts w:hint="eastAsia"/>
          <w:color w:val="auto"/>
          <w:highlight w:val="none"/>
          <w:u w:val="single"/>
        </w:rPr>
        <w:t>202</w:t>
      </w:r>
      <w:r>
        <w:rPr>
          <w:rFonts w:hint="eastAsia"/>
          <w:color w:val="auto"/>
          <w:highlight w:val="none"/>
          <w:u w:val="single"/>
          <w:lang w:val="en-US" w:eastAsia="zh-CN"/>
        </w:rPr>
        <w:t>5</w:t>
      </w:r>
      <w:r>
        <w:rPr>
          <w:rFonts w:hint="default"/>
          <w:color w:val="auto"/>
          <w:highlight w:val="none"/>
          <w:u w:val="single"/>
        </w:rPr>
        <w:t>年</w:t>
      </w:r>
      <w:r>
        <w:rPr>
          <w:rFonts w:hint="eastAsia"/>
          <w:color w:val="auto"/>
          <w:sz w:val="24"/>
          <w:szCs w:val="24"/>
          <w:highlight w:val="none"/>
          <w:u w:val="single"/>
          <w:lang w:val="en-US" w:eastAsia="zh-CN"/>
        </w:rPr>
        <w:t>5</w:t>
      </w:r>
      <w:r>
        <w:rPr>
          <w:rFonts w:hint="eastAsia"/>
          <w:color w:val="auto"/>
          <w:sz w:val="24"/>
          <w:szCs w:val="24"/>
          <w:highlight w:val="none"/>
          <w:u w:val="single"/>
        </w:rPr>
        <w:t>月</w:t>
      </w:r>
      <w:r>
        <w:rPr>
          <w:rFonts w:hint="eastAsia"/>
          <w:color w:val="auto"/>
          <w:sz w:val="24"/>
          <w:szCs w:val="24"/>
          <w:highlight w:val="none"/>
          <w:u w:val="single"/>
          <w:lang w:val="en-US" w:eastAsia="zh-CN"/>
        </w:rPr>
        <w:t>6</w:t>
      </w:r>
      <w:r>
        <w:rPr>
          <w:rFonts w:hint="eastAsia"/>
          <w:color w:val="auto"/>
          <w:highlight w:val="none"/>
          <w:u w:val="single"/>
        </w:rPr>
        <w:t>日</w:t>
      </w:r>
      <w:r>
        <w:rPr>
          <w:rFonts w:hint="eastAsia"/>
          <w:color w:val="auto"/>
          <w:highlight w:val="none"/>
        </w:rPr>
        <w:t>，每天上午</w:t>
      </w:r>
      <w:r>
        <w:rPr>
          <w:color w:val="auto"/>
          <w:highlight w:val="none"/>
        </w:rPr>
        <w:t xml:space="preserve">00:00至12:00 </w:t>
      </w:r>
      <w:r>
        <w:rPr>
          <w:rFonts w:hint="eastAsia"/>
          <w:color w:val="auto"/>
          <w:highlight w:val="none"/>
        </w:rPr>
        <w:t>，下午</w:t>
      </w:r>
      <w:r>
        <w:rPr>
          <w:color w:val="auto"/>
          <w:highlight w:val="none"/>
        </w:rPr>
        <w:t>12:00至23:59（北京时间，线上获取法定节假日均可，线下获取文件法定节假日除外）</w:t>
      </w:r>
    </w:p>
    <w:p>
      <w:pPr>
        <w:rPr>
          <w:color w:val="auto"/>
          <w:highlight w:val="none"/>
        </w:rPr>
      </w:pPr>
      <w:r>
        <w:rPr>
          <w:rFonts w:hint="eastAsia"/>
          <w:color w:val="auto"/>
          <w:highlight w:val="none"/>
        </w:rPr>
        <w:t>地点（网址）：</w:t>
      </w:r>
      <w:r>
        <w:rPr>
          <w:rFonts w:hint="eastAsia"/>
          <w:color w:val="auto"/>
          <w:highlight w:val="none"/>
          <w:lang w:eastAsia="zh-CN"/>
        </w:rPr>
        <w:t>萧采云（</w:t>
      </w:r>
      <w:r>
        <w:rPr>
          <w:rFonts w:hint="eastAsia" w:ascii="仿宋" w:hAnsi="仿宋" w:eastAsia="仿宋" w:cs="仿宋"/>
          <w:color w:val="auto"/>
          <w:sz w:val="24"/>
          <w:highlight w:val="none"/>
        </w:rPr>
        <w:t>乐采云</w:t>
      </w:r>
      <w:r>
        <w:rPr>
          <w:rFonts w:hint="eastAsia"/>
          <w:color w:val="auto"/>
          <w:highlight w:val="none"/>
          <w:lang w:eastAsia="zh-CN"/>
        </w:rPr>
        <w:t>）</w:t>
      </w:r>
      <w:r>
        <w:rPr>
          <w:rFonts w:hint="eastAsia"/>
          <w:color w:val="auto"/>
          <w:highlight w:val="none"/>
        </w:rPr>
        <w:t>平台（</w:t>
      </w:r>
      <w:r>
        <w:rPr>
          <w:rFonts w:hint="eastAsia"/>
          <w:color w:val="auto"/>
          <w:highlight w:val="none"/>
          <w:lang w:eastAsia="zh-CN"/>
        </w:rPr>
        <w:t>https://www.lecaiyun.com/</w:t>
      </w:r>
      <w:r>
        <w:rPr>
          <w:color w:val="auto"/>
          <w:highlight w:val="none"/>
        </w:rPr>
        <w:t xml:space="preserve">） </w:t>
      </w:r>
    </w:p>
    <w:p>
      <w:pPr>
        <w:rPr>
          <w:color w:val="auto"/>
          <w:highlight w:val="none"/>
        </w:rPr>
      </w:pPr>
      <w:r>
        <w:rPr>
          <w:rFonts w:hint="eastAsia"/>
          <w:color w:val="auto"/>
          <w:highlight w:val="none"/>
        </w:rPr>
        <w:t>方式：供应商登录</w:t>
      </w:r>
      <w:r>
        <w:rPr>
          <w:rFonts w:hint="eastAsia"/>
          <w:color w:val="auto"/>
          <w:highlight w:val="none"/>
          <w:lang w:eastAsia="zh-CN"/>
        </w:rPr>
        <w:t>萧采云（</w:t>
      </w:r>
      <w:r>
        <w:rPr>
          <w:rFonts w:hint="eastAsia" w:ascii="仿宋" w:hAnsi="仿宋" w:eastAsia="仿宋" w:cs="仿宋"/>
          <w:color w:val="auto"/>
          <w:sz w:val="24"/>
          <w:highlight w:val="none"/>
        </w:rPr>
        <w:t>乐采云</w:t>
      </w:r>
      <w:r>
        <w:rPr>
          <w:rFonts w:hint="eastAsia"/>
          <w:color w:val="auto"/>
          <w:highlight w:val="none"/>
          <w:lang w:eastAsia="zh-CN"/>
        </w:rPr>
        <w:t>）</w:t>
      </w:r>
      <w:r>
        <w:rPr>
          <w:rFonts w:hint="eastAsia"/>
          <w:color w:val="auto"/>
          <w:highlight w:val="none"/>
        </w:rPr>
        <w:t>平台</w:t>
      </w:r>
      <w:r>
        <w:rPr>
          <w:rFonts w:hint="eastAsia"/>
          <w:color w:val="auto"/>
          <w:highlight w:val="none"/>
          <w:lang w:eastAsia="zh-CN"/>
        </w:rPr>
        <w:t>https://www.lecaiyun.com/</w:t>
      </w:r>
      <w:r>
        <w:rPr>
          <w:color w:val="auto"/>
          <w:highlight w:val="none"/>
        </w:rPr>
        <w:t xml:space="preserve">在线申请获取采购文件（进入“项目采购”应用，在获取采购文件菜单中选择项目，申请获取采购文件）。 </w:t>
      </w:r>
    </w:p>
    <w:p>
      <w:pPr>
        <w:rPr>
          <w:color w:val="auto"/>
          <w:highlight w:val="none"/>
        </w:rPr>
      </w:pPr>
      <w:r>
        <w:rPr>
          <w:rFonts w:hint="eastAsia"/>
          <w:color w:val="auto"/>
          <w:highlight w:val="none"/>
        </w:rPr>
        <w:t>售价（元）：</w:t>
      </w:r>
      <w:r>
        <w:rPr>
          <w:color w:val="auto"/>
          <w:highlight w:val="none"/>
        </w:rPr>
        <w:t xml:space="preserve">0 </w:t>
      </w:r>
      <w:r>
        <w:rPr>
          <w:color w:val="auto"/>
          <w:highlight w:val="none"/>
        </w:rPr>
        <w:tab/>
      </w:r>
    </w:p>
    <w:p>
      <w:pPr>
        <w:rPr>
          <w:b/>
          <w:color w:val="auto"/>
          <w:highlight w:val="none"/>
        </w:rPr>
      </w:pPr>
      <w:r>
        <w:rPr>
          <w:rFonts w:hint="eastAsia"/>
          <w:b/>
          <w:color w:val="auto"/>
          <w:highlight w:val="none"/>
        </w:rPr>
        <w:t>四、提交投标文件截止时间、开标时间和地点</w:t>
      </w:r>
    </w:p>
    <w:p>
      <w:pPr>
        <w:rPr>
          <w:color w:val="auto"/>
          <w:highlight w:val="none"/>
        </w:rPr>
      </w:pPr>
      <w:r>
        <w:rPr>
          <w:rFonts w:hint="eastAsia"/>
          <w:color w:val="auto"/>
          <w:highlight w:val="none"/>
        </w:rPr>
        <w:t>提交投标文件截止时间：</w:t>
      </w:r>
      <w:r>
        <w:rPr>
          <w:color w:val="auto"/>
          <w:highlight w:val="none"/>
        </w:rPr>
        <w:t xml:space="preserve"> </w:t>
      </w:r>
      <w:r>
        <w:rPr>
          <w:rFonts w:hint="eastAsia"/>
          <w:color w:val="auto"/>
          <w:highlight w:val="none"/>
          <w:u w:val="single"/>
        </w:rPr>
        <w:t>202</w:t>
      </w:r>
      <w:r>
        <w:rPr>
          <w:rFonts w:hint="eastAsia"/>
          <w:color w:val="auto"/>
          <w:highlight w:val="none"/>
          <w:u w:val="single"/>
          <w:lang w:val="en-US" w:eastAsia="zh-CN"/>
        </w:rPr>
        <w:t>5</w:t>
      </w:r>
      <w:r>
        <w:rPr>
          <w:rFonts w:hint="default"/>
          <w:color w:val="auto"/>
          <w:highlight w:val="none"/>
          <w:u w:val="single"/>
        </w:rPr>
        <w:t>年</w:t>
      </w:r>
      <w:r>
        <w:rPr>
          <w:rFonts w:hint="eastAsia"/>
          <w:color w:val="auto"/>
          <w:sz w:val="24"/>
          <w:szCs w:val="24"/>
          <w:highlight w:val="none"/>
          <w:u w:val="single"/>
          <w:lang w:val="en-US" w:eastAsia="zh-CN"/>
        </w:rPr>
        <w:t>5</w:t>
      </w:r>
      <w:r>
        <w:rPr>
          <w:rFonts w:hint="eastAsia"/>
          <w:color w:val="auto"/>
          <w:sz w:val="24"/>
          <w:szCs w:val="24"/>
          <w:highlight w:val="none"/>
          <w:u w:val="single"/>
        </w:rPr>
        <w:t>月</w:t>
      </w:r>
      <w:r>
        <w:rPr>
          <w:rFonts w:hint="eastAsia"/>
          <w:color w:val="auto"/>
          <w:sz w:val="24"/>
          <w:szCs w:val="24"/>
          <w:highlight w:val="none"/>
          <w:u w:val="single"/>
          <w:lang w:val="en-US" w:eastAsia="zh-CN"/>
        </w:rPr>
        <w:t>6</w:t>
      </w:r>
      <w:r>
        <w:rPr>
          <w:rFonts w:hint="eastAsia"/>
          <w:color w:val="auto"/>
          <w:highlight w:val="none"/>
          <w:u w:val="single"/>
        </w:rPr>
        <w:t>日</w:t>
      </w:r>
      <w:r>
        <w:rPr>
          <w:rFonts w:hint="eastAsia"/>
          <w:color w:val="auto"/>
          <w:highlight w:val="none"/>
          <w:u w:val="single"/>
          <w:lang w:val="en-US" w:eastAsia="zh-CN"/>
        </w:rPr>
        <w:t>14</w:t>
      </w:r>
      <w:r>
        <w:rPr>
          <w:rFonts w:hint="eastAsia"/>
          <w:color w:val="auto"/>
          <w:highlight w:val="none"/>
          <w:u w:val="single"/>
        </w:rPr>
        <w:t>点</w:t>
      </w:r>
      <w:r>
        <w:rPr>
          <w:rFonts w:hint="eastAsia"/>
          <w:color w:val="auto"/>
          <w:highlight w:val="none"/>
          <w:u w:val="single"/>
          <w:lang w:val="en-US" w:eastAsia="zh-CN"/>
        </w:rPr>
        <w:t>00</w:t>
      </w:r>
      <w:r>
        <w:rPr>
          <w:rFonts w:hint="eastAsia"/>
          <w:color w:val="auto"/>
          <w:highlight w:val="none"/>
          <w:u w:val="single"/>
        </w:rPr>
        <w:t>分</w:t>
      </w:r>
      <w:r>
        <w:rPr>
          <w:rFonts w:hint="eastAsia"/>
          <w:color w:val="auto"/>
          <w:highlight w:val="none"/>
        </w:rPr>
        <w:t>（北京时间）</w:t>
      </w:r>
    </w:p>
    <w:p>
      <w:pPr>
        <w:rPr>
          <w:color w:val="auto"/>
          <w:highlight w:val="none"/>
        </w:rPr>
      </w:pPr>
      <w:r>
        <w:rPr>
          <w:rFonts w:hint="eastAsia"/>
          <w:color w:val="auto"/>
          <w:highlight w:val="none"/>
        </w:rPr>
        <w:t>投标地点（网址）：</w:t>
      </w:r>
      <w:r>
        <w:rPr>
          <w:rFonts w:hint="eastAsia"/>
          <w:color w:val="auto"/>
          <w:highlight w:val="none"/>
          <w:u w:val="single"/>
        </w:rPr>
        <w:t xml:space="preserve">请登录萧采云（乐采云）投标客户端投标，客户端下载地址https://sitecdn.zcycdn.com/zcy-client/bidding-client-new/official/lcy/LeCaiYunSetup.latest.exe </w:t>
      </w:r>
      <w:r>
        <w:rPr>
          <w:rFonts w:hint="eastAsia"/>
          <w:color w:val="auto"/>
          <w:highlight w:val="none"/>
          <w:u w:val="single"/>
          <w:lang w:val="en-US" w:eastAsia="zh-CN"/>
        </w:rPr>
        <w:t xml:space="preserve"> </w:t>
      </w:r>
      <w:r>
        <w:rPr>
          <w:rFonts w:hint="eastAsia"/>
          <w:color w:val="auto"/>
          <w:highlight w:val="none"/>
          <w:u w:val="single"/>
        </w:rPr>
        <w:t xml:space="preserve"> </w:t>
      </w:r>
      <w:r>
        <w:rPr>
          <w:color w:val="auto"/>
          <w:highlight w:val="none"/>
          <w:u w:val="single"/>
        </w:rPr>
        <w:t xml:space="preserve"> </w:t>
      </w:r>
    </w:p>
    <w:p>
      <w:pPr>
        <w:rPr>
          <w:color w:val="auto"/>
          <w:highlight w:val="none"/>
        </w:rPr>
      </w:pPr>
      <w:r>
        <w:rPr>
          <w:rFonts w:hint="eastAsia"/>
          <w:color w:val="auto"/>
          <w:highlight w:val="none"/>
        </w:rPr>
        <w:t>开标时间：</w:t>
      </w:r>
      <w:r>
        <w:rPr>
          <w:rFonts w:hint="eastAsia"/>
          <w:color w:val="auto"/>
          <w:highlight w:val="none"/>
          <w:u w:val="single"/>
        </w:rPr>
        <w:t>202</w:t>
      </w:r>
      <w:r>
        <w:rPr>
          <w:rFonts w:hint="eastAsia"/>
          <w:color w:val="auto"/>
          <w:highlight w:val="none"/>
          <w:u w:val="single"/>
          <w:lang w:val="en-US" w:eastAsia="zh-CN"/>
        </w:rPr>
        <w:t>5</w:t>
      </w:r>
      <w:r>
        <w:rPr>
          <w:rFonts w:hint="default"/>
          <w:color w:val="auto"/>
          <w:highlight w:val="none"/>
          <w:u w:val="single"/>
        </w:rPr>
        <w:t>年</w:t>
      </w:r>
      <w:r>
        <w:rPr>
          <w:rFonts w:hint="eastAsia"/>
          <w:color w:val="auto"/>
          <w:sz w:val="24"/>
          <w:szCs w:val="24"/>
          <w:highlight w:val="none"/>
          <w:u w:val="single"/>
          <w:lang w:val="en-US" w:eastAsia="zh-CN"/>
        </w:rPr>
        <w:t>5</w:t>
      </w:r>
      <w:r>
        <w:rPr>
          <w:rFonts w:hint="eastAsia"/>
          <w:color w:val="auto"/>
          <w:sz w:val="24"/>
          <w:szCs w:val="24"/>
          <w:highlight w:val="none"/>
          <w:u w:val="single"/>
        </w:rPr>
        <w:t>月</w:t>
      </w:r>
      <w:r>
        <w:rPr>
          <w:rFonts w:hint="eastAsia"/>
          <w:color w:val="auto"/>
          <w:sz w:val="24"/>
          <w:szCs w:val="24"/>
          <w:highlight w:val="none"/>
          <w:u w:val="single"/>
          <w:lang w:val="en-US" w:eastAsia="zh-CN"/>
        </w:rPr>
        <w:t>6</w:t>
      </w:r>
      <w:r>
        <w:rPr>
          <w:rFonts w:hint="eastAsia"/>
          <w:color w:val="auto"/>
          <w:highlight w:val="none"/>
          <w:u w:val="single"/>
        </w:rPr>
        <w:t>日</w:t>
      </w:r>
      <w:r>
        <w:rPr>
          <w:rFonts w:hint="eastAsia"/>
          <w:color w:val="auto"/>
          <w:highlight w:val="none"/>
          <w:u w:val="single"/>
          <w:lang w:val="en-US" w:eastAsia="zh-CN"/>
        </w:rPr>
        <w:t>14</w:t>
      </w:r>
      <w:r>
        <w:rPr>
          <w:rFonts w:hint="eastAsia"/>
          <w:color w:val="auto"/>
          <w:highlight w:val="none"/>
          <w:u w:val="single"/>
        </w:rPr>
        <w:t>点</w:t>
      </w:r>
      <w:r>
        <w:rPr>
          <w:rFonts w:hint="eastAsia"/>
          <w:color w:val="auto"/>
          <w:highlight w:val="none"/>
          <w:u w:val="single"/>
          <w:lang w:val="en-US" w:eastAsia="zh-CN"/>
        </w:rPr>
        <w:t>00</w:t>
      </w:r>
      <w:r>
        <w:rPr>
          <w:rFonts w:hint="eastAsia"/>
          <w:color w:val="auto"/>
          <w:highlight w:val="none"/>
          <w:u w:val="single"/>
        </w:rPr>
        <w:t>分</w:t>
      </w:r>
    </w:p>
    <w:p>
      <w:pPr>
        <w:rPr>
          <w:color w:val="auto"/>
          <w:highlight w:val="none"/>
        </w:rPr>
      </w:pPr>
      <w:r>
        <w:rPr>
          <w:rFonts w:hint="eastAsia"/>
          <w:color w:val="auto"/>
          <w:highlight w:val="none"/>
        </w:rPr>
        <w:t>开标地点（网址）：</w:t>
      </w:r>
      <w:r>
        <w:rPr>
          <w:rFonts w:hint="eastAsia"/>
          <w:color w:val="auto"/>
          <w:highlight w:val="none"/>
          <w:lang w:eastAsia="zh-CN"/>
        </w:rPr>
        <w:t>萧采云（</w:t>
      </w:r>
      <w:r>
        <w:rPr>
          <w:rFonts w:hint="eastAsia" w:ascii="仿宋" w:hAnsi="仿宋" w:eastAsia="仿宋" w:cs="仿宋"/>
          <w:color w:val="auto"/>
          <w:sz w:val="24"/>
          <w:highlight w:val="none"/>
        </w:rPr>
        <w:t>乐采云</w:t>
      </w:r>
      <w:r>
        <w:rPr>
          <w:rFonts w:hint="eastAsia"/>
          <w:color w:val="auto"/>
          <w:highlight w:val="none"/>
          <w:lang w:eastAsia="zh-CN"/>
        </w:rPr>
        <w:t>）</w:t>
      </w:r>
      <w:r>
        <w:rPr>
          <w:rFonts w:hint="eastAsia"/>
          <w:color w:val="auto"/>
          <w:highlight w:val="none"/>
        </w:rPr>
        <w:t>平台（</w:t>
      </w:r>
      <w:r>
        <w:rPr>
          <w:rFonts w:hint="eastAsia"/>
          <w:color w:val="auto"/>
          <w:highlight w:val="none"/>
          <w:lang w:eastAsia="zh-CN"/>
        </w:rPr>
        <w:t>https://www.lecaiyun.com/</w:t>
      </w:r>
      <w:r>
        <w:rPr>
          <w:color w:val="auto"/>
          <w:highlight w:val="none"/>
        </w:rPr>
        <w:t>）</w:t>
      </w:r>
      <w:r>
        <w:rPr>
          <w:rFonts w:hint="eastAsia"/>
          <w:color w:val="auto"/>
          <w:highlight w:val="none"/>
        </w:rPr>
        <w:t>。</w:t>
      </w:r>
    </w:p>
    <w:p>
      <w:pPr>
        <w:rPr>
          <w:b/>
          <w:color w:val="auto"/>
          <w:highlight w:val="none"/>
        </w:rPr>
      </w:pPr>
      <w:r>
        <w:rPr>
          <w:rFonts w:hint="eastAsia"/>
          <w:b/>
          <w:color w:val="auto"/>
          <w:highlight w:val="none"/>
        </w:rPr>
        <w:t>五、公告期限</w:t>
      </w:r>
      <w:r>
        <w:rPr>
          <w:b/>
          <w:color w:val="auto"/>
          <w:highlight w:val="none"/>
        </w:rPr>
        <w:t xml:space="preserve"> </w:t>
      </w:r>
    </w:p>
    <w:p>
      <w:pPr>
        <w:rPr>
          <w:color w:val="auto"/>
          <w:highlight w:val="none"/>
        </w:rPr>
      </w:pPr>
      <w:r>
        <w:rPr>
          <w:rFonts w:hint="eastAsia"/>
          <w:color w:val="auto"/>
          <w:highlight w:val="none"/>
        </w:rPr>
        <w:t>自本公告发布之日起</w:t>
      </w:r>
      <w:r>
        <w:rPr>
          <w:color w:val="auto"/>
          <w:highlight w:val="none"/>
        </w:rPr>
        <w:t>5个工作日。</w:t>
      </w:r>
    </w:p>
    <w:p>
      <w:pPr>
        <w:rPr>
          <w:b/>
          <w:color w:val="auto"/>
          <w:highlight w:val="none"/>
        </w:rPr>
      </w:pPr>
      <w:r>
        <w:rPr>
          <w:rFonts w:hint="eastAsia"/>
          <w:b/>
          <w:color w:val="auto"/>
          <w:highlight w:val="none"/>
          <w:lang w:eastAsia="zh-CN"/>
        </w:rPr>
        <w:t>六</w:t>
      </w:r>
      <w:r>
        <w:rPr>
          <w:rFonts w:hint="eastAsia"/>
          <w:b/>
          <w:color w:val="auto"/>
          <w:highlight w:val="none"/>
        </w:rPr>
        <w:t>、其他补充事宜</w:t>
      </w:r>
    </w:p>
    <w:p>
      <w:pPr>
        <w:rPr>
          <w:color w:val="auto"/>
          <w:highlight w:val="none"/>
        </w:rPr>
      </w:pPr>
      <w:r>
        <w:rPr>
          <w:color w:val="auto"/>
          <w:highlight w:val="none"/>
        </w:rPr>
        <w:t>1.供应商认为招标文件使自己的权益受到损害的，可以自获取招标文件之日或者招标文件公告期限届满之日（公告期限届满后获取招标文件的，以公告期限届满之日为准）起7个工作日内，以书面形式向采购人和采购代理机构提出质疑。质疑供应商对采购人、采购代理机构的答复不满意或者采购人、采购代理机构未在规定的时间内</w:t>
      </w:r>
      <w:r>
        <w:rPr>
          <w:rFonts w:hint="eastAsia"/>
          <w:color w:val="auto"/>
          <w:highlight w:val="none"/>
        </w:rPr>
        <w:t>作出答复的，可以在答复期满后十五个工作日内向同级政府采购监督管理部门投诉。质疑函范本、投诉书范本请到浙江政府采购网下载专区下载。</w:t>
      </w:r>
    </w:p>
    <w:p>
      <w:pPr>
        <w:rPr>
          <w:color w:val="auto"/>
          <w:highlight w:val="none"/>
        </w:rPr>
      </w:pPr>
      <w:r>
        <w:rPr>
          <w:rFonts w:hint="eastAsia"/>
          <w:color w:val="auto"/>
          <w:highlight w:val="none"/>
        </w:rPr>
        <w:t>2.其他事项：（1）需要落实的政府采购政策：包括节约资源、保护环境、支持创新、促进中小企业发展等。详见招标文件的第二部分总则。（2）</w:t>
      </w:r>
      <w:r>
        <w:rPr>
          <w:color w:val="auto"/>
          <w:highlight w:val="none"/>
        </w:rPr>
        <w:t>电子招投标的说明：</w:t>
      </w:r>
      <w:r>
        <w:rPr>
          <w:rFonts w:hint="eastAsia"/>
          <w:color w:val="auto"/>
          <w:highlight w:val="none"/>
        </w:rPr>
        <w:t>①</w:t>
      </w:r>
      <w:r>
        <w:rPr>
          <w:color w:val="auto"/>
          <w:highlight w:val="none"/>
        </w:rPr>
        <w:t>电子招投标：本项目以数据电文形式，依托“政府采购云</w:t>
      </w:r>
      <w:r>
        <w:rPr>
          <w:rFonts w:hint="eastAsia"/>
          <w:color w:val="auto"/>
          <w:highlight w:val="none"/>
          <w:lang w:eastAsia="zh-CN"/>
        </w:rPr>
        <w:t>（</w:t>
      </w:r>
      <w:r>
        <w:rPr>
          <w:rFonts w:hint="eastAsia" w:ascii="仿宋" w:hAnsi="仿宋" w:eastAsia="仿宋" w:cs="仿宋"/>
          <w:color w:val="auto"/>
          <w:sz w:val="24"/>
          <w:highlight w:val="none"/>
        </w:rPr>
        <w:t>乐采云</w:t>
      </w:r>
      <w:r>
        <w:rPr>
          <w:rFonts w:hint="eastAsia"/>
          <w:color w:val="auto"/>
          <w:highlight w:val="none"/>
          <w:lang w:eastAsia="zh-CN"/>
        </w:rPr>
        <w:t>）</w:t>
      </w:r>
      <w:r>
        <w:rPr>
          <w:color w:val="auto"/>
          <w:highlight w:val="none"/>
        </w:rPr>
        <w:t>平台（www.zcygov.cn）”进行招投标活动，不接受纸质投标文件</w:t>
      </w:r>
      <w:r>
        <w:rPr>
          <w:rFonts w:hint="eastAsia"/>
          <w:color w:val="auto"/>
          <w:highlight w:val="none"/>
        </w:rPr>
        <w:t>；②</w:t>
      </w:r>
      <w:r>
        <w:rPr>
          <w:color w:val="auto"/>
          <w:highlight w:val="none"/>
        </w:rPr>
        <w:t>投标准备：注册账号--点击“商家入驻”，进行政府采购供应商资料填写；申领CA数字证书---申领流程详见“浙江政府采购网-下载专区-电子交易客户端-CA驱动和申领流程”；安装“</w:t>
      </w:r>
      <w:r>
        <w:rPr>
          <w:rFonts w:hint="eastAsia"/>
          <w:color w:val="auto"/>
          <w:highlight w:val="none"/>
          <w:lang w:eastAsia="zh-CN"/>
        </w:rPr>
        <w:t>萧采云</w:t>
      </w:r>
      <w:r>
        <w:rPr>
          <w:rFonts w:hint="eastAsia"/>
          <w:color w:val="auto"/>
          <w:highlight w:val="none"/>
        </w:rPr>
        <w:t>电子交易客户端”</w:t>
      </w:r>
      <w:r>
        <w:rPr>
          <w:color w:val="auto"/>
          <w:highlight w:val="none"/>
        </w:rPr>
        <w:t>----前往“浙江政府采购网-下载专区-电子交易客户端”进行下载并安装</w:t>
      </w:r>
      <w:r>
        <w:rPr>
          <w:rFonts w:hint="eastAsia"/>
          <w:color w:val="auto"/>
          <w:highlight w:val="none"/>
        </w:rPr>
        <w:t>；③</w:t>
      </w:r>
      <w:r>
        <w:rPr>
          <w:color w:val="auto"/>
          <w:highlight w:val="none"/>
        </w:rPr>
        <w:t>招标文件的获取：使用账号登录或者使用CA登录</w:t>
      </w:r>
      <w:r>
        <w:rPr>
          <w:rFonts w:hint="eastAsia"/>
          <w:color w:val="auto"/>
          <w:highlight w:val="none"/>
          <w:lang w:eastAsia="zh-CN"/>
        </w:rPr>
        <w:t>萧采云（</w:t>
      </w:r>
      <w:r>
        <w:rPr>
          <w:rFonts w:hint="eastAsia" w:ascii="仿宋" w:hAnsi="仿宋" w:eastAsia="仿宋" w:cs="仿宋"/>
          <w:color w:val="auto"/>
          <w:sz w:val="24"/>
          <w:highlight w:val="none"/>
        </w:rPr>
        <w:t>乐采云</w:t>
      </w:r>
      <w:r>
        <w:rPr>
          <w:rFonts w:hint="eastAsia"/>
          <w:color w:val="auto"/>
          <w:highlight w:val="none"/>
          <w:lang w:eastAsia="zh-CN"/>
        </w:rPr>
        <w:t>）</w:t>
      </w:r>
      <w:r>
        <w:rPr>
          <w:rFonts w:hint="eastAsia"/>
          <w:color w:val="auto"/>
          <w:highlight w:val="none"/>
        </w:rPr>
        <w:t>平台；进入“项目采购”应用，在获取采购文件菜单中选择项目，获取招标文件；④</w:t>
      </w:r>
      <w:r>
        <w:rPr>
          <w:color w:val="auto"/>
          <w:highlight w:val="none"/>
        </w:rPr>
        <w:t>投标文件的制作：在“</w:t>
      </w:r>
      <w:r>
        <w:rPr>
          <w:rFonts w:hint="eastAsia"/>
          <w:color w:val="auto"/>
          <w:highlight w:val="none"/>
          <w:lang w:eastAsia="zh-CN"/>
        </w:rPr>
        <w:t>萧采云</w:t>
      </w:r>
      <w:r>
        <w:rPr>
          <w:rFonts w:hint="eastAsia"/>
          <w:color w:val="auto"/>
          <w:highlight w:val="none"/>
        </w:rPr>
        <w:t>电子交易客户端”中完成“填写基本信息”、“导入投标文件”、“标书关联”、“标书检查”、“电子签名”、“生成电子标书”等操作；⑤</w:t>
      </w:r>
      <w:r>
        <w:rPr>
          <w:color w:val="auto"/>
          <w:highlight w:val="none"/>
        </w:rPr>
        <w:t>采购人、采购机构将依托</w:t>
      </w:r>
      <w:r>
        <w:rPr>
          <w:rFonts w:hint="eastAsia"/>
          <w:color w:val="auto"/>
          <w:highlight w:val="none"/>
          <w:lang w:eastAsia="zh-CN"/>
        </w:rPr>
        <w:t>萧采云（</w:t>
      </w:r>
      <w:r>
        <w:rPr>
          <w:rFonts w:hint="eastAsia" w:ascii="仿宋" w:hAnsi="仿宋" w:eastAsia="仿宋" w:cs="仿宋"/>
          <w:color w:val="auto"/>
          <w:sz w:val="24"/>
          <w:highlight w:val="none"/>
        </w:rPr>
        <w:t>乐采云</w:t>
      </w:r>
      <w:r>
        <w:rPr>
          <w:rFonts w:hint="eastAsia"/>
          <w:color w:val="auto"/>
          <w:highlight w:val="none"/>
          <w:lang w:eastAsia="zh-CN"/>
        </w:rPr>
        <w:t>）</w:t>
      </w:r>
      <w:r>
        <w:rPr>
          <w:rFonts w:hint="eastAsia"/>
          <w:color w:val="auto"/>
          <w:highlight w:val="none"/>
        </w:rPr>
        <w:t>平台完成本项目的电子交易活动，平台不接受未按上述方式获取招标文件的供应商进行投标活动；</w:t>
      </w:r>
      <w:r>
        <w:rPr>
          <w:color w:val="auto"/>
          <w:highlight w:val="none"/>
        </w:rPr>
        <w:t xml:space="preserve"> </w:t>
      </w:r>
      <w:r>
        <w:rPr>
          <w:rFonts w:hint="eastAsia"/>
          <w:color w:val="auto"/>
          <w:highlight w:val="none"/>
        </w:rPr>
        <w:t>⑥</w:t>
      </w:r>
      <w:r>
        <w:rPr>
          <w:color w:val="auto"/>
          <w:highlight w:val="none"/>
        </w:rPr>
        <w:t>对未按上述方式获取招标文件的供应商对该文件提出的质疑，采购人或采购代理机构将</w:t>
      </w:r>
      <w:r>
        <w:rPr>
          <w:rFonts w:hint="eastAsia"/>
          <w:color w:val="auto"/>
          <w:highlight w:val="none"/>
        </w:rPr>
        <w:t>不予处理；⑦</w:t>
      </w:r>
      <w:r>
        <w:rPr>
          <w:color w:val="auto"/>
          <w:highlight w:val="none"/>
        </w:rPr>
        <w:t>不提供招标文件纸质版</w:t>
      </w:r>
      <w:r>
        <w:rPr>
          <w:rFonts w:hint="eastAsia"/>
          <w:color w:val="auto"/>
          <w:highlight w:val="none"/>
        </w:rPr>
        <w:t>；⑧</w:t>
      </w:r>
      <w:r>
        <w:rPr>
          <w:color w:val="auto"/>
          <w:highlight w:val="none"/>
        </w:rPr>
        <w:t>投标文件的传输递交：投标人在投标截止时间前将加密的投标文件上传至政府采购云</w:t>
      </w:r>
      <w:r>
        <w:rPr>
          <w:rFonts w:hint="eastAsia"/>
          <w:color w:val="auto"/>
          <w:highlight w:val="none"/>
          <w:lang w:eastAsia="zh-CN"/>
        </w:rPr>
        <w:t>（</w:t>
      </w:r>
      <w:r>
        <w:rPr>
          <w:rFonts w:hint="eastAsia" w:ascii="仿宋" w:hAnsi="仿宋" w:eastAsia="仿宋" w:cs="仿宋"/>
          <w:color w:val="auto"/>
          <w:sz w:val="24"/>
          <w:highlight w:val="none"/>
        </w:rPr>
        <w:t>乐采云</w:t>
      </w:r>
      <w:r>
        <w:rPr>
          <w:rFonts w:hint="eastAsia"/>
          <w:color w:val="auto"/>
          <w:highlight w:val="none"/>
          <w:lang w:eastAsia="zh-CN"/>
        </w:rPr>
        <w:t>）</w:t>
      </w:r>
      <w:r>
        <w:rPr>
          <w:color w:val="auto"/>
          <w:highlight w:val="none"/>
        </w:rPr>
        <w:t>平台，还可以在投标截止时间前直接提交或者以邮政快递方式递交备份投标文件1份。备份投标文件的制作、存储、密封详见招标文件第二部分第15点—“备份投标文件”</w:t>
      </w:r>
      <w:r>
        <w:rPr>
          <w:rFonts w:hint="eastAsia"/>
          <w:color w:val="auto"/>
          <w:highlight w:val="none"/>
        </w:rPr>
        <w:t>；⑨投标文件的解密：投标人按照平台提示和招标文件的规定在半小时内完成在线解密。通过“政府采购云</w:t>
      </w:r>
      <w:r>
        <w:rPr>
          <w:rFonts w:hint="eastAsia"/>
          <w:color w:val="auto"/>
          <w:highlight w:val="none"/>
          <w:lang w:eastAsia="zh-CN"/>
        </w:rPr>
        <w:t>（</w:t>
      </w:r>
      <w:r>
        <w:rPr>
          <w:rFonts w:hint="eastAsia" w:ascii="仿宋" w:hAnsi="仿宋" w:eastAsia="仿宋" w:cs="仿宋"/>
          <w:color w:val="auto"/>
          <w:sz w:val="24"/>
          <w:highlight w:val="none"/>
        </w:rPr>
        <w:t>乐采云</w:t>
      </w:r>
      <w:r>
        <w:rPr>
          <w:rFonts w:hint="eastAsia"/>
          <w:color w:val="auto"/>
          <w:highlight w:val="none"/>
          <w:lang w:eastAsia="zh-CN"/>
        </w:rPr>
        <w:t>）</w:t>
      </w:r>
      <w:r>
        <w:rPr>
          <w:rFonts w:hint="eastAsia"/>
          <w:color w:val="auto"/>
          <w:highlight w:val="none"/>
        </w:rPr>
        <w:t>平台”上传递交的投标文件无法按时解密，投标供应商递交了备份投标文件的，以备份投标文件为依据，否则视为投标文件撤回。通过“政府采购云平台”上传递交的投标文件已按时解密的，备份投标文件自动失效。投标人仅提交备份投标文件，未在电子交易平台传输递交投标文件的，投标无效；⑩</w:t>
      </w:r>
      <w:r>
        <w:rPr>
          <w:color w:val="auto"/>
          <w:highlight w:val="none"/>
        </w:rPr>
        <w:t>具体操作指南：详见</w:t>
      </w:r>
      <w:r>
        <w:rPr>
          <w:rFonts w:hint="eastAsia"/>
          <w:color w:val="auto"/>
          <w:highlight w:val="none"/>
          <w:lang w:eastAsia="zh-CN"/>
        </w:rPr>
        <w:t>萧采云（</w:t>
      </w:r>
      <w:r>
        <w:rPr>
          <w:rFonts w:hint="eastAsia" w:ascii="仿宋" w:hAnsi="仿宋" w:eastAsia="仿宋" w:cs="仿宋"/>
          <w:color w:val="auto"/>
          <w:sz w:val="24"/>
          <w:highlight w:val="none"/>
        </w:rPr>
        <w:t>乐采云</w:t>
      </w:r>
      <w:r>
        <w:rPr>
          <w:rFonts w:hint="eastAsia"/>
          <w:color w:val="auto"/>
          <w:highlight w:val="none"/>
          <w:lang w:eastAsia="zh-CN"/>
        </w:rPr>
        <w:t>）</w:t>
      </w:r>
      <w:r>
        <w:rPr>
          <w:rFonts w:hint="eastAsia"/>
          <w:color w:val="auto"/>
          <w:highlight w:val="none"/>
        </w:rPr>
        <w:t>平台“服务中心</w:t>
      </w:r>
      <w:r>
        <w:rPr>
          <w:color w:val="auto"/>
          <w:highlight w:val="none"/>
        </w:rPr>
        <w:t>-帮助文档-项目采购-操作流程-电子招投标-政府采购项目电子交易管理操作指南-供应商”。</w:t>
      </w:r>
    </w:p>
    <w:p>
      <w:pPr>
        <w:rPr>
          <w:b/>
          <w:color w:val="auto"/>
          <w:highlight w:val="none"/>
        </w:rPr>
      </w:pPr>
      <w:r>
        <w:rPr>
          <w:rFonts w:hint="eastAsia"/>
          <w:b/>
          <w:color w:val="auto"/>
          <w:highlight w:val="none"/>
          <w:lang w:eastAsia="zh-CN"/>
        </w:rPr>
        <w:t>七</w:t>
      </w:r>
      <w:r>
        <w:rPr>
          <w:rFonts w:hint="eastAsia"/>
          <w:b/>
          <w:color w:val="auto"/>
          <w:highlight w:val="none"/>
        </w:rPr>
        <w:t>、对本次采购提出询问、质疑、投诉，请按以下方式联系</w:t>
      </w:r>
    </w:p>
    <w:p>
      <w:pPr>
        <w:rPr>
          <w:rFonts w:hint="eastAsia"/>
          <w:color w:val="auto"/>
          <w:highlight w:val="none"/>
        </w:rPr>
      </w:pPr>
      <w:r>
        <w:rPr>
          <w:rFonts w:hint="eastAsia"/>
          <w:color w:val="auto"/>
          <w:highlight w:val="none"/>
        </w:rPr>
        <w:t>1.采购人信息</w:t>
      </w:r>
    </w:p>
    <w:p>
      <w:pPr>
        <w:rPr>
          <w:rFonts w:hint="eastAsia"/>
          <w:color w:val="auto"/>
          <w:highlight w:val="none"/>
        </w:rPr>
      </w:pPr>
      <w:r>
        <w:rPr>
          <w:rFonts w:hint="eastAsia"/>
          <w:color w:val="auto"/>
          <w:highlight w:val="none"/>
        </w:rPr>
        <w:t>名    称：</w:t>
      </w:r>
      <w:r>
        <w:rPr>
          <w:rFonts w:hint="eastAsia"/>
          <w:color w:val="auto"/>
          <w:highlight w:val="none"/>
          <w:lang w:eastAsia="zh-CN"/>
        </w:rPr>
        <w:t>杭州市萧山区义桥镇人民政府</w:t>
      </w:r>
      <w:r>
        <w:rPr>
          <w:rFonts w:hint="eastAsia"/>
          <w:color w:val="auto"/>
          <w:highlight w:val="none"/>
        </w:rPr>
        <w:t> </w:t>
      </w:r>
    </w:p>
    <w:p>
      <w:pPr>
        <w:rPr>
          <w:rFonts w:hint="eastAsia"/>
          <w:color w:val="auto"/>
          <w:highlight w:val="none"/>
        </w:rPr>
      </w:pPr>
      <w:r>
        <w:rPr>
          <w:rFonts w:hint="eastAsia"/>
          <w:color w:val="auto"/>
          <w:highlight w:val="none"/>
        </w:rPr>
        <w:t>地    址：</w:t>
      </w:r>
      <w:r>
        <w:rPr>
          <w:rFonts w:hint="eastAsia" w:ascii="宋体" w:hAnsi="宋体" w:cs="宋体"/>
          <w:color w:val="auto"/>
          <w:sz w:val="24"/>
        </w:rPr>
        <w:t>杭州市萧山区义桥镇东方路138</w:t>
      </w:r>
      <w:r>
        <w:rPr>
          <w:rFonts w:hint="eastAsia" w:ascii="宋体" w:hAnsi="宋体" w:cs="宋体"/>
          <w:color w:val="auto"/>
          <w:sz w:val="24"/>
          <w:lang w:eastAsia="zh-CN"/>
        </w:rPr>
        <w:t>号</w:t>
      </w:r>
    </w:p>
    <w:p>
      <w:pPr>
        <w:rPr>
          <w:rFonts w:hint="eastAsia"/>
          <w:color w:val="auto"/>
          <w:highlight w:val="none"/>
        </w:rPr>
      </w:pPr>
      <w:r>
        <w:rPr>
          <w:rFonts w:hint="eastAsia"/>
          <w:color w:val="auto"/>
          <w:highlight w:val="none"/>
        </w:rPr>
        <w:t>传真：/</w:t>
      </w:r>
    </w:p>
    <w:p>
      <w:pPr>
        <w:rPr>
          <w:rFonts w:hint="eastAsia"/>
          <w:color w:val="auto"/>
          <w:highlight w:val="none"/>
        </w:rPr>
      </w:pPr>
      <w:r>
        <w:rPr>
          <w:rFonts w:hint="eastAsia"/>
          <w:color w:val="auto"/>
          <w:highlight w:val="none"/>
        </w:rPr>
        <w:t>项目联系人（询问）：赵军</w:t>
      </w:r>
    </w:p>
    <w:p>
      <w:pPr>
        <w:rPr>
          <w:rFonts w:hint="eastAsia"/>
          <w:color w:val="auto"/>
          <w:highlight w:val="none"/>
        </w:rPr>
      </w:pPr>
      <w:r>
        <w:rPr>
          <w:rFonts w:hint="eastAsia"/>
          <w:color w:val="auto"/>
          <w:highlight w:val="none"/>
        </w:rPr>
        <w:t>项目联系方式（询问）：13516718031</w:t>
      </w:r>
    </w:p>
    <w:p>
      <w:pPr>
        <w:rPr>
          <w:rFonts w:hint="eastAsia"/>
          <w:color w:val="auto"/>
          <w:highlight w:val="none"/>
        </w:rPr>
      </w:pPr>
      <w:r>
        <w:rPr>
          <w:rFonts w:hint="eastAsia"/>
          <w:color w:val="auto"/>
          <w:highlight w:val="none"/>
        </w:rPr>
        <w:t>质疑联系人：谭女士</w:t>
      </w:r>
    </w:p>
    <w:p>
      <w:pPr>
        <w:rPr>
          <w:rFonts w:hint="eastAsia"/>
          <w:color w:val="auto"/>
          <w:highlight w:val="none"/>
        </w:rPr>
      </w:pPr>
      <w:r>
        <w:rPr>
          <w:rFonts w:hint="eastAsia"/>
          <w:color w:val="auto"/>
          <w:highlight w:val="none"/>
        </w:rPr>
        <w:t>质疑联系方式：</w:t>
      </w:r>
      <w:bookmarkStart w:id="0" w:name="_Toc28359009"/>
      <w:bookmarkStart w:id="1" w:name="_Toc28359086"/>
      <w:r>
        <w:rPr>
          <w:rFonts w:hint="eastAsia"/>
          <w:color w:val="auto"/>
          <w:highlight w:val="none"/>
        </w:rPr>
        <w:t>0571-82419573</w:t>
      </w:r>
    </w:p>
    <w:p>
      <w:pPr>
        <w:rPr>
          <w:rFonts w:hint="eastAsia"/>
          <w:color w:val="auto"/>
          <w:highlight w:val="none"/>
        </w:rPr>
      </w:pPr>
      <w:r>
        <w:rPr>
          <w:rFonts w:hint="eastAsia"/>
          <w:color w:val="auto"/>
          <w:highlight w:val="none"/>
        </w:rPr>
        <w:t>2.采购代理机构信息</w:t>
      </w:r>
      <w:bookmarkEnd w:id="0"/>
      <w:bookmarkEnd w:id="1"/>
    </w:p>
    <w:p>
      <w:pPr>
        <w:rPr>
          <w:rFonts w:hint="eastAsia"/>
          <w:color w:val="auto"/>
          <w:highlight w:val="none"/>
        </w:rPr>
      </w:pPr>
      <w:r>
        <w:rPr>
          <w:rFonts w:hint="eastAsia"/>
          <w:color w:val="auto"/>
          <w:highlight w:val="none"/>
        </w:rPr>
        <w:t>名 称：杭州广业建设工程咨询有限公司</w:t>
      </w:r>
    </w:p>
    <w:p>
      <w:pPr>
        <w:rPr>
          <w:rFonts w:hint="eastAsia"/>
          <w:color w:val="auto"/>
          <w:highlight w:val="none"/>
        </w:rPr>
      </w:pPr>
      <w:r>
        <w:rPr>
          <w:rFonts w:hint="eastAsia"/>
          <w:color w:val="auto"/>
          <w:highlight w:val="none"/>
        </w:rPr>
        <w:t>地址：杭州市萧山区金惠路358号汇通大厦2幢1004室</w:t>
      </w:r>
    </w:p>
    <w:p>
      <w:pPr>
        <w:rPr>
          <w:rFonts w:hint="eastAsia"/>
          <w:color w:val="auto"/>
          <w:highlight w:val="none"/>
          <w:lang w:eastAsia="zh-CN"/>
        </w:rPr>
      </w:pPr>
      <w:r>
        <w:rPr>
          <w:rFonts w:hint="eastAsia"/>
          <w:color w:val="auto"/>
          <w:highlight w:val="none"/>
        </w:rPr>
        <w:t>传真：</w:t>
      </w:r>
      <w:r>
        <w:rPr>
          <w:rFonts w:hint="eastAsia"/>
          <w:color w:val="auto"/>
          <w:highlight w:val="none"/>
          <w:lang w:val="en-US" w:eastAsia="zh-CN"/>
        </w:rPr>
        <w:t>/</w:t>
      </w:r>
    </w:p>
    <w:p>
      <w:pPr>
        <w:rPr>
          <w:rFonts w:hint="eastAsia"/>
          <w:color w:val="auto"/>
          <w:highlight w:val="none"/>
          <w:lang w:eastAsia="zh-CN"/>
        </w:rPr>
      </w:pPr>
      <w:r>
        <w:rPr>
          <w:rFonts w:hint="eastAsia"/>
          <w:color w:val="auto"/>
          <w:highlight w:val="none"/>
        </w:rPr>
        <w:t>项目联系人（询问）：</w:t>
      </w:r>
      <w:r>
        <w:rPr>
          <w:rFonts w:hint="eastAsia"/>
          <w:color w:val="auto"/>
          <w:highlight w:val="none"/>
          <w:lang w:eastAsia="zh-CN"/>
        </w:rPr>
        <w:t>陈斌</w:t>
      </w:r>
    </w:p>
    <w:p>
      <w:pPr>
        <w:rPr>
          <w:rFonts w:hint="eastAsia"/>
          <w:color w:val="auto"/>
          <w:highlight w:val="none"/>
          <w:lang w:val="en-US" w:eastAsia="zh-CN"/>
        </w:rPr>
      </w:pPr>
      <w:r>
        <w:rPr>
          <w:rFonts w:hint="eastAsia"/>
          <w:color w:val="auto"/>
          <w:highlight w:val="none"/>
        </w:rPr>
        <w:t>项目联系方式（询问）：</w:t>
      </w:r>
      <w:r>
        <w:rPr>
          <w:rFonts w:hint="eastAsia"/>
          <w:color w:val="auto"/>
          <w:highlight w:val="none"/>
          <w:lang w:val="en-US" w:eastAsia="zh-CN"/>
        </w:rPr>
        <w:t>18458428425</w:t>
      </w:r>
    </w:p>
    <w:p>
      <w:pPr>
        <w:rPr>
          <w:rFonts w:hint="eastAsia"/>
          <w:color w:val="auto"/>
          <w:highlight w:val="none"/>
          <w:lang w:eastAsia="zh-CN"/>
        </w:rPr>
      </w:pPr>
      <w:r>
        <w:rPr>
          <w:rFonts w:hint="eastAsia"/>
          <w:color w:val="auto"/>
          <w:highlight w:val="none"/>
        </w:rPr>
        <w:t>质疑联系人：</w:t>
      </w:r>
      <w:r>
        <w:rPr>
          <w:rFonts w:hint="eastAsia"/>
          <w:color w:val="auto"/>
          <w:highlight w:val="none"/>
          <w:lang w:eastAsia="zh-CN"/>
        </w:rPr>
        <w:t>沈一凯</w:t>
      </w:r>
    </w:p>
    <w:p>
      <w:pPr>
        <w:rPr>
          <w:rFonts w:hint="eastAsia"/>
          <w:color w:val="auto"/>
          <w:highlight w:val="none"/>
        </w:rPr>
      </w:pPr>
      <w:r>
        <w:rPr>
          <w:rFonts w:hint="eastAsia"/>
          <w:color w:val="auto"/>
          <w:highlight w:val="none"/>
        </w:rPr>
        <w:t>质疑联系方式：13588280298</w:t>
      </w:r>
    </w:p>
    <w:p>
      <w:pPr>
        <w:rPr>
          <w:color w:val="auto"/>
          <w:highlight w:val="none"/>
        </w:rPr>
      </w:pPr>
      <w:r>
        <w:rPr>
          <w:rFonts w:hint="eastAsia"/>
          <w:color w:val="auto"/>
          <w:highlight w:val="none"/>
        </w:rPr>
        <w:t>若对项目采购电子交易系统操作有疑问，可登录</w:t>
      </w:r>
      <w:r>
        <w:rPr>
          <w:rFonts w:hint="eastAsia"/>
          <w:color w:val="auto"/>
          <w:highlight w:val="none"/>
          <w:lang w:eastAsia="zh-CN"/>
        </w:rPr>
        <w:t>萧采云（</w:t>
      </w:r>
      <w:r>
        <w:rPr>
          <w:rFonts w:hint="eastAsia" w:ascii="仿宋" w:hAnsi="仿宋" w:eastAsia="仿宋" w:cs="仿宋"/>
          <w:color w:val="auto"/>
          <w:sz w:val="24"/>
          <w:highlight w:val="none"/>
        </w:rPr>
        <w:t>乐采云</w:t>
      </w:r>
      <w:r>
        <w:rPr>
          <w:rFonts w:hint="eastAsia"/>
          <w:color w:val="auto"/>
          <w:highlight w:val="none"/>
          <w:lang w:eastAsia="zh-CN"/>
        </w:rPr>
        <w:t>）</w:t>
      </w:r>
      <w:r>
        <w:rPr>
          <w:rFonts w:hint="eastAsia"/>
          <w:color w:val="auto"/>
          <w:highlight w:val="none"/>
        </w:rPr>
        <w:t>（</w:t>
      </w:r>
      <w:r>
        <w:rPr>
          <w:rFonts w:hint="eastAsia"/>
          <w:color w:val="auto"/>
          <w:highlight w:val="none"/>
          <w:lang w:eastAsia="zh-CN"/>
        </w:rPr>
        <w:t>https://www.lecaiyun.com/</w:t>
      </w:r>
      <w:r>
        <w:rPr>
          <w:color w:val="auto"/>
          <w:highlight w:val="none"/>
        </w:rPr>
        <w:t>），点击右侧咨询小采，获取采小蜜智能服务管家帮助，或拨打</w:t>
      </w:r>
      <w:r>
        <w:rPr>
          <w:rFonts w:hint="eastAsia"/>
          <w:color w:val="auto"/>
          <w:highlight w:val="none"/>
          <w:lang w:eastAsia="zh-CN"/>
        </w:rPr>
        <w:t>萧采云（</w:t>
      </w:r>
      <w:r>
        <w:rPr>
          <w:rFonts w:hint="eastAsia" w:ascii="仿宋" w:hAnsi="仿宋" w:eastAsia="仿宋" w:cs="仿宋"/>
          <w:color w:val="auto"/>
          <w:sz w:val="24"/>
          <w:highlight w:val="none"/>
        </w:rPr>
        <w:t>乐采云</w:t>
      </w:r>
      <w:r>
        <w:rPr>
          <w:rFonts w:hint="eastAsia"/>
          <w:color w:val="auto"/>
          <w:highlight w:val="none"/>
          <w:lang w:eastAsia="zh-CN"/>
        </w:rPr>
        <w:t>）</w:t>
      </w:r>
      <w:r>
        <w:rPr>
          <w:rFonts w:hint="eastAsia"/>
          <w:color w:val="auto"/>
          <w:highlight w:val="none"/>
        </w:rPr>
        <w:t>服务热线</w:t>
      </w:r>
      <w:r>
        <w:rPr>
          <w:color w:val="auto"/>
          <w:highlight w:val="none"/>
        </w:rPr>
        <w:t>400-881-7190获取热线服务帮助。</w:t>
      </w:r>
    </w:p>
    <w:p>
      <w:pPr>
        <w:rPr>
          <w:color w:val="auto"/>
          <w:highlight w:val="none"/>
        </w:rPr>
      </w:pPr>
      <w:r>
        <w:rPr>
          <w:color w:val="auto"/>
          <w:highlight w:val="none"/>
        </w:rPr>
        <w:t>CA问题联系电话（人工）：</w:t>
      </w:r>
      <w:r>
        <w:rPr>
          <w:rFonts w:hint="eastAsia"/>
          <w:color w:val="auto"/>
          <w:highlight w:val="none"/>
        </w:rPr>
        <w:t>汇信</w:t>
      </w:r>
      <w:r>
        <w:rPr>
          <w:color w:val="auto"/>
          <w:highlight w:val="none"/>
        </w:rPr>
        <w:t>CA 400-888-4636；天谷CA 400-087-8198。</w:t>
      </w:r>
    </w:p>
    <w:p>
      <w:pPr>
        <w:spacing w:line="276" w:lineRule="auto"/>
        <w:rPr>
          <w:color w:val="auto"/>
          <w:highlight w:val="none"/>
        </w:rPr>
      </w:pPr>
      <w:r>
        <w:rPr>
          <w:color w:val="auto"/>
          <w:highlight w:val="none"/>
        </w:rPr>
        <w:br w:type="page"/>
      </w:r>
    </w:p>
    <w:p>
      <w:pPr>
        <w:pStyle w:val="3"/>
        <w:rPr>
          <w:color w:val="auto"/>
          <w:highlight w:val="none"/>
        </w:rPr>
      </w:pPr>
      <w:r>
        <w:rPr>
          <w:rFonts w:hint="eastAsia"/>
          <w:color w:val="auto"/>
          <w:highlight w:val="none"/>
        </w:rPr>
        <w:t>第二部分</w:t>
      </w:r>
      <w:r>
        <w:rPr>
          <w:color w:val="auto"/>
          <w:highlight w:val="none"/>
        </w:rPr>
        <w:t xml:space="preserve"> 投标人须知</w:t>
      </w:r>
    </w:p>
    <w:p>
      <w:pPr>
        <w:pStyle w:val="2"/>
        <w:rPr>
          <w:color w:val="auto"/>
          <w:highlight w:val="none"/>
        </w:rPr>
      </w:pPr>
      <w:r>
        <w:rPr>
          <w:rFonts w:hint="eastAsia"/>
          <w:color w:val="auto"/>
          <w:highlight w:val="none"/>
        </w:rPr>
        <w:t>前附表</w:t>
      </w:r>
    </w:p>
    <w:tbl>
      <w:tblPr>
        <w:tblStyle w:val="27"/>
        <w:tblW w:w="5163"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43"/>
        <w:gridCol w:w="1629"/>
        <w:gridCol w:w="673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4" w:hRule="atLeast"/>
        </w:trPr>
        <w:tc>
          <w:tcPr>
            <w:tcW w:w="304" w:type="pct"/>
            <w:vAlign w:val="center"/>
          </w:tcPr>
          <w:p>
            <w:pPr>
              <w:keepNext w:val="0"/>
              <w:keepLines w:val="0"/>
              <w:widowControl/>
              <w:suppressLineNumbers w:val="0"/>
              <w:spacing w:before="0" w:beforeAutospacing="0" w:after="0" w:afterAutospacing="0"/>
              <w:ind w:left="0" w:right="0"/>
              <w:jc w:val="center"/>
              <w:rPr>
                <w:rFonts w:hint="default"/>
                <w:color w:val="auto"/>
                <w:highlight w:val="none"/>
              </w:rPr>
            </w:pPr>
            <w:r>
              <w:rPr>
                <w:rFonts w:hint="default"/>
                <w:color w:val="auto"/>
                <w:highlight w:val="none"/>
              </w:rPr>
              <w:t>序号</w:t>
            </w:r>
          </w:p>
        </w:tc>
        <w:tc>
          <w:tcPr>
            <w:tcW w:w="914" w:type="pct"/>
            <w:vAlign w:val="center"/>
          </w:tcPr>
          <w:p>
            <w:pPr>
              <w:keepNext w:val="0"/>
              <w:keepLines w:val="0"/>
              <w:widowControl/>
              <w:suppressLineNumbers w:val="0"/>
              <w:spacing w:before="0" w:beforeAutospacing="0" w:after="0" w:afterAutospacing="0"/>
              <w:ind w:left="0" w:right="0"/>
              <w:jc w:val="center"/>
              <w:rPr>
                <w:rFonts w:hint="default"/>
                <w:color w:val="auto"/>
                <w:highlight w:val="none"/>
              </w:rPr>
            </w:pPr>
            <w:r>
              <w:rPr>
                <w:rFonts w:hint="default"/>
                <w:color w:val="auto"/>
                <w:highlight w:val="none"/>
              </w:rPr>
              <w:t>事项</w:t>
            </w:r>
          </w:p>
        </w:tc>
        <w:tc>
          <w:tcPr>
            <w:tcW w:w="3780" w:type="pct"/>
            <w:vAlign w:val="center"/>
          </w:tcPr>
          <w:p>
            <w:pPr>
              <w:keepNext w:val="0"/>
              <w:keepLines w:val="0"/>
              <w:widowControl/>
              <w:suppressLineNumbers w:val="0"/>
              <w:spacing w:before="0" w:beforeAutospacing="0" w:after="0" w:afterAutospacing="0"/>
              <w:ind w:left="0" w:right="0"/>
              <w:jc w:val="center"/>
              <w:rPr>
                <w:rFonts w:hint="default"/>
                <w:color w:val="auto"/>
                <w:highlight w:val="none"/>
              </w:rPr>
            </w:pPr>
            <w:r>
              <w:rPr>
                <w:rFonts w:hint="default"/>
                <w:color w:val="auto"/>
                <w:highlight w:val="none"/>
              </w:rPr>
              <w:t>本项目特别规定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1" w:hRule="atLeast"/>
        </w:trPr>
        <w:tc>
          <w:tcPr>
            <w:tcW w:w="304" w:type="pct"/>
            <w:vAlign w:val="center"/>
          </w:tcPr>
          <w:p>
            <w:pPr>
              <w:keepNext w:val="0"/>
              <w:keepLines w:val="0"/>
              <w:widowControl/>
              <w:suppressLineNumbers w:val="0"/>
              <w:spacing w:before="0" w:beforeAutospacing="0" w:after="0" w:afterAutospacing="0"/>
              <w:ind w:left="0" w:right="0"/>
              <w:jc w:val="center"/>
              <w:rPr>
                <w:rFonts w:hint="default"/>
                <w:color w:val="auto"/>
                <w:highlight w:val="none"/>
              </w:rPr>
            </w:pPr>
            <w:r>
              <w:rPr>
                <w:rFonts w:hint="eastAsia"/>
                <w:color w:val="auto"/>
                <w:highlight w:val="none"/>
              </w:rPr>
              <w:t>1</w:t>
            </w:r>
          </w:p>
        </w:tc>
        <w:tc>
          <w:tcPr>
            <w:tcW w:w="914" w:type="pct"/>
            <w:vAlign w:val="center"/>
          </w:tcPr>
          <w:p>
            <w:pPr>
              <w:keepNext w:val="0"/>
              <w:keepLines w:val="0"/>
              <w:widowControl/>
              <w:suppressLineNumbers w:val="0"/>
              <w:spacing w:before="0" w:beforeAutospacing="0" w:after="0" w:afterAutospacing="0"/>
              <w:ind w:left="0" w:right="0"/>
              <w:jc w:val="center"/>
              <w:rPr>
                <w:rFonts w:hint="default"/>
                <w:color w:val="auto"/>
                <w:highlight w:val="none"/>
              </w:rPr>
            </w:pPr>
            <w:r>
              <w:rPr>
                <w:rFonts w:hint="eastAsia" w:cs="仿宋"/>
                <w:b/>
                <w:color w:val="auto"/>
                <w:sz w:val="22"/>
                <w:highlight w:val="none"/>
              </w:rPr>
              <w:t>项目属性与核心产品</w:t>
            </w:r>
          </w:p>
        </w:tc>
        <w:tc>
          <w:tcPr>
            <w:tcW w:w="3780" w:type="pct"/>
            <w:vAlign w:val="center"/>
          </w:tcPr>
          <w:p>
            <w:pPr>
              <w:keepNext w:val="0"/>
              <w:keepLines w:val="0"/>
              <w:widowControl/>
              <w:suppressLineNumbers w:val="0"/>
              <w:spacing w:before="0" w:beforeAutospacing="0" w:after="0" w:afterAutospacing="0" w:line="360" w:lineRule="auto"/>
              <w:ind w:left="0" w:right="0"/>
              <w:rPr>
                <w:rFonts w:hint="eastAsia" w:cs="仿宋"/>
                <w:color w:val="auto"/>
                <w:sz w:val="22"/>
                <w:highlight w:val="none"/>
              </w:rPr>
            </w:pPr>
            <w:r>
              <w:rPr>
                <w:rFonts w:hint="eastAsia" w:cs="仿宋"/>
                <w:color w:val="auto"/>
                <w:sz w:val="22"/>
                <w:highlight w:val="none"/>
              </w:rPr>
              <w:t xml:space="preserve">( </w:t>
            </w:r>
            <w:r>
              <w:rPr>
                <w:rFonts w:hint="eastAsia" w:cs="仿宋"/>
                <w:color w:val="auto"/>
                <w:sz w:val="22"/>
                <w:highlight w:val="none"/>
                <w:lang w:val="en-US" w:eastAsia="zh-CN"/>
              </w:rPr>
              <w:t xml:space="preserve"> </w:t>
            </w:r>
            <w:r>
              <w:rPr>
                <w:rFonts w:hint="eastAsia" w:cs="仿宋"/>
                <w:color w:val="auto"/>
                <w:sz w:val="22"/>
                <w:highlight w:val="none"/>
              </w:rPr>
              <w:t xml:space="preserve"> )A货物类，单一产品或核心产品为：</w:t>
            </w:r>
            <w:r>
              <w:rPr>
                <w:rFonts w:hint="eastAsia" w:cs="仿宋"/>
                <w:color w:val="auto"/>
                <w:sz w:val="22"/>
                <w:highlight w:val="none"/>
                <w:u w:val="single"/>
              </w:rPr>
              <w:t xml:space="preserve">  </w:t>
            </w:r>
            <w:r>
              <w:rPr>
                <w:rFonts w:hint="eastAsia" w:cs="仿宋"/>
                <w:color w:val="auto"/>
                <w:sz w:val="22"/>
                <w:highlight w:val="none"/>
                <w:u w:val="single"/>
                <w:lang w:val="en-US" w:eastAsia="zh-CN"/>
              </w:rPr>
              <w:t>/</w:t>
            </w:r>
            <w:r>
              <w:rPr>
                <w:rFonts w:hint="eastAsia" w:cs="仿宋"/>
                <w:color w:val="auto"/>
                <w:sz w:val="22"/>
                <w:highlight w:val="none"/>
                <w:u w:val="single"/>
              </w:rPr>
              <w:t xml:space="preserve">  </w:t>
            </w:r>
            <w:r>
              <w:rPr>
                <w:rFonts w:hint="eastAsia" w:cs="仿宋"/>
                <w:color w:val="auto"/>
                <w:sz w:val="22"/>
                <w:highlight w:val="none"/>
              </w:rPr>
              <w:t>。</w:t>
            </w:r>
          </w:p>
          <w:p>
            <w:pPr>
              <w:keepNext w:val="0"/>
              <w:keepLines w:val="0"/>
              <w:widowControl/>
              <w:suppressLineNumbers w:val="0"/>
              <w:spacing w:before="0" w:beforeAutospacing="0" w:after="0" w:afterAutospacing="0" w:line="360" w:lineRule="auto"/>
              <w:ind w:left="0" w:right="0"/>
              <w:rPr>
                <w:rFonts w:hint="default"/>
                <w:color w:val="auto"/>
                <w:highlight w:val="none"/>
              </w:rPr>
            </w:pPr>
            <w:r>
              <w:rPr>
                <w:rFonts w:hint="eastAsia"/>
                <w:bCs/>
                <w:color w:val="auto"/>
                <w:sz w:val="22"/>
                <w:highlight w:val="none"/>
              </w:rPr>
              <w:t>（√）</w:t>
            </w:r>
            <w:r>
              <w:rPr>
                <w:rFonts w:hint="eastAsia" w:cs="仿宋"/>
                <w:color w:val="auto"/>
                <w:sz w:val="22"/>
                <w:highlight w:val="none"/>
              </w:rPr>
              <w:t>B服务类。</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4" w:hRule="atLeast"/>
        </w:trPr>
        <w:tc>
          <w:tcPr>
            <w:tcW w:w="304" w:type="pct"/>
            <w:vAlign w:val="center"/>
          </w:tcPr>
          <w:p>
            <w:pPr>
              <w:keepNext w:val="0"/>
              <w:keepLines w:val="0"/>
              <w:widowControl/>
              <w:suppressLineNumbers w:val="0"/>
              <w:spacing w:before="0" w:beforeAutospacing="0" w:after="0" w:afterAutospacing="0"/>
              <w:ind w:left="0" w:right="0"/>
              <w:jc w:val="center"/>
              <w:rPr>
                <w:rFonts w:hint="default"/>
                <w:color w:val="auto"/>
                <w:highlight w:val="none"/>
              </w:rPr>
            </w:pPr>
            <w:r>
              <w:rPr>
                <w:rFonts w:hint="eastAsia"/>
                <w:color w:val="auto"/>
                <w:highlight w:val="none"/>
              </w:rPr>
              <w:t>2</w:t>
            </w:r>
          </w:p>
        </w:tc>
        <w:tc>
          <w:tcPr>
            <w:tcW w:w="914" w:type="pct"/>
            <w:vAlign w:val="center"/>
          </w:tcPr>
          <w:p>
            <w:pPr>
              <w:keepNext w:val="0"/>
              <w:keepLines w:val="0"/>
              <w:widowControl/>
              <w:suppressLineNumbers w:val="0"/>
              <w:spacing w:before="0" w:beforeAutospacing="0" w:after="0" w:afterAutospacing="0"/>
              <w:ind w:left="0" w:right="0"/>
              <w:jc w:val="center"/>
              <w:rPr>
                <w:rFonts w:hint="default"/>
                <w:color w:val="auto"/>
                <w:highlight w:val="none"/>
              </w:rPr>
            </w:pPr>
            <w:r>
              <w:rPr>
                <w:rFonts w:hint="eastAsia" w:cs="仿宋"/>
                <w:b/>
                <w:color w:val="auto"/>
                <w:sz w:val="22"/>
                <w:highlight w:val="none"/>
              </w:rPr>
              <w:t>采购标的对应的中小企业划分标准所属行业</w:t>
            </w:r>
          </w:p>
        </w:tc>
        <w:tc>
          <w:tcPr>
            <w:tcW w:w="3780" w:type="pct"/>
            <w:vAlign w:val="center"/>
          </w:tcPr>
          <w:p>
            <w:pPr>
              <w:keepNext w:val="0"/>
              <w:keepLines w:val="0"/>
              <w:widowControl/>
              <w:suppressLineNumbers w:val="0"/>
              <w:spacing w:before="0" w:beforeAutospacing="0" w:after="0" w:afterAutospacing="0"/>
              <w:ind w:left="0" w:right="0"/>
              <w:rPr>
                <w:rFonts w:hint="default" w:cs="仿宋"/>
                <w:color w:val="auto"/>
                <w:sz w:val="22"/>
                <w:highlight w:val="none"/>
              </w:rPr>
            </w:pPr>
            <w:r>
              <w:rPr>
                <w:rFonts w:hint="eastAsia" w:cs="仿宋"/>
                <w:color w:val="auto"/>
                <w:sz w:val="22"/>
                <w:highlight w:val="none"/>
              </w:rPr>
              <w:t>（1）标的：</w:t>
            </w:r>
            <w:r>
              <w:rPr>
                <w:rFonts w:hint="eastAsia" w:cs="仿宋"/>
                <w:color w:val="auto"/>
                <w:sz w:val="22"/>
                <w:highlight w:val="none"/>
                <w:u w:val="single"/>
                <w:lang w:eastAsia="zh-CN"/>
              </w:rPr>
              <w:t>萧山区义桥镇2025年森林质量精准提升</w:t>
            </w:r>
            <w:r>
              <w:rPr>
                <w:rFonts w:hint="eastAsia" w:cs="仿宋"/>
                <w:color w:val="auto"/>
                <w:sz w:val="22"/>
                <w:highlight w:val="none"/>
                <w:lang w:eastAsia="zh-CN"/>
              </w:rPr>
              <w:t>；</w:t>
            </w:r>
            <w:r>
              <w:rPr>
                <w:rFonts w:hint="eastAsia" w:cs="仿宋"/>
                <w:color w:val="auto"/>
                <w:sz w:val="22"/>
                <w:highlight w:val="none"/>
              </w:rPr>
              <w:t>属于</w:t>
            </w:r>
            <w:r>
              <w:rPr>
                <w:rFonts w:hint="eastAsia" w:cs="仿宋"/>
                <w:color w:val="auto"/>
                <w:sz w:val="22"/>
                <w:highlight w:val="none"/>
                <w:u w:val="single"/>
                <w:lang w:val="en-US" w:eastAsia="zh-CN"/>
              </w:rPr>
              <w:t xml:space="preserve"> 其他未列明行</w:t>
            </w:r>
            <w:r>
              <w:rPr>
                <w:rFonts w:hint="eastAsia" w:cs="仿宋"/>
                <w:color w:val="auto"/>
                <w:sz w:val="22"/>
                <w:highlight w:val="none"/>
                <w:u w:val="single"/>
                <w:lang w:eastAsia="zh-CN"/>
              </w:rPr>
              <w:t>业</w:t>
            </w:r>
            <w:r>
              <w:rPr>
                <w:rFonts w:hint="eastAsia" w:cs="仿宋"/>
                <w:color w:val="auto"/>
                <w:sz w:val="22"/>
                <w:highlight w:val="none"/>
                <w:u w:val="single"/>
                <w:lang w:val="en-US" w:eastAsia="zh-CN"/>
              </w:rPr>
              <w:t xml:space="preserve"> </w:t>
            </w:r>
            <w:r>
              <w:rPr>
                <w:rFonts w:hint="eastAsia" w:cs="仿宋"/>
                <w:color w:val="auto"/>
                <w:sz w:val="22"/>
                <w:highlight w:val="none"/>
              </w:rPr>
              <w:t>：</w:t>
            </w:r>
          </w:p>
          <w:p>
            <w:pPr>
              <w:keepNext w:val="0"/>
              <w:keepLines w:val="0"/>
              <w:widowControl/>
              <w:suppressLineNumbers w:val="0"/>
              <w:spacing w:before="0" w:beforeAutospacing="0" w:after="0" w:afterAutospacing="0"/>
              <w:ind w:left="0" w:right="0"/>
              <w:rPr>
                <w:rFonts w:hint="default"/>
                <w:color w:val="auto"/>
                <w:highlight w:val="none"/>
              </w:rPr>
            </w:pPr>
            <w:r>
              <w:rPr>
                <w:rFonts w:hint="eastAsia" w:cs="仿宋"/>
                <w:color w:val="auto"/>
                <w:sz w:val="22"/>
                <w:highlight w:val="none"/>
              </w:rPr>
              <w:t>《关于印发中小企业划型标准规定的通知》工信部联企业〔2011〕300号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4" w:hRule="atLeast"/>
        </w:trPr>
        <w:tc>
          <w:tcPr>
            <w:tcW w:w="304" w:type="pct"/>
            <w:vAlign w:val="center"/>
          </w:tcPr>
          <w:p>
            <w:pPr>
              <w:keepNext w:val="0"/>
              <w:keepLines w:val="0"/>
              <w:widowControl/>
              <w:suppressLineNumbers w:val="0"/>
              <w:spacing w:before="0" w:beforeAutospacing="0" w:after="0" w:afterAutospacing="0"/>
              <w:ind w:left="0" w:right="0"/>
              <w:jc w:val="center"/>
              <w:rPr>
                <w:rFonts w:hint="default"/>
                <w:color w:val="auto"/>
                <w:highlight w:val="none"/>
              </w:rPr>
            </w:pPr>
            <w:r>
              <w:rPr>
                <w:rFonts w:hint="eastAsia"/>
                <w:color w:val="auto"/>
                <w:highlight w:val="none"/>
              </w:rPr>
              <w:t>3</w:t>
            </w:r>
          </w:p>
        </w:tc>
        <w:tc>
          <w:tcPr>
            <w:tcW w:w="914" w:type="pct"/>
            <w:vAlign w:val="center"/>
          </w:tcPr>
          <w:p>
            <w:pPr>
              <w:keepNext w:val="0"/>
              <w:keepLines w:val="0"/>
              <w:widowControl/>
              <w:suppressLineNumbers w:val="0"/>
              <w:spacing w:before="0" w:beforeAutospacing="0" w:after="0" w:afterAutospacing="0"/>
              <w:ind w:left="0" w:right="0"/>
              <w:jc w:val="center"/>
              <w:rPr>
                <w:rFonts w:hint="default"/>
                <w:color w:val="auto"/>
                <w:highlight w:val="none"/>
              </w:rPr>
            </w:pPr>
            <w:r>
              <w:rPr>
                <w:rFonts w:hint="eastAsia" w:cs="仿宋"/>
                <w:b/>
                <w:color w:val="auto"/>
                <w:sz w:val="22"/>
                <w:highlight w:val="none"/>
              </w:rPr>
              <w:t>是否允许采购进口产品</w:t>
            </w:r>
          </w:p>
        </w:tc>
        <w:tc>
          <w:tcPr>
            <w:tcW w:w="3780" w:type="pct"/>
            <w:vAlign w:val="center"/>
          </w:tcPr>
          <w:p>
            <w:pPr>
              <w:keepNext w:val="0"/>
              <w:keepLines w:val="0"/>
              <w:widowControl/>
              <w:suppressLineNumbers w:val="0"/>
              <w:spacing w:before="0" w:beforeAutospacing="0" w:after="0" w:afterAutospacing="0" w:line="360" w:lineRule="auto"/>
              <w:ind w:left="0" w:right="0"/>
              <w:rPr>
                <w:rFonts w:hint="default" w:cs="仿宋"/>
                <w:color w:val="auto"/>
                <w:sz w:val="22"/>
                <w:szCs w:val="32"/>
                <w:highlight w:val="none"/>
              </w:rPr>
            </w:pPr>
            <w:r>
              <w:rPr>
                <w:rFonts w:hint="eastAsia" w:cs="仿宋"/>
                <w:color w:val="auto"/>
                <w:sz w:val="22"/>
                <w:highlight w:val="none"/>
              </w:rPr>
              <w:t xml:space="preserve">( </w:t>
            </w:r>
            <w:r>
              <w:rPr>
                <w:rFonts w:hint="eastAsia"/>
                <w:bCs/>
                <w:color w:val="auto"/>
                <w:sz w:val="22"/>
                <w:highlight w:val="none"/>
              </w:rPr>
              <w:t>√</w:t>
            </w:r>
            <w:r>
              <w:rPr>
                <w:rFonts w:hint="eastAsia" w:cs="仿宋"/>
                <w:color w:val="auto"/>
                <w:sz w:val="22"/>
                <w:highlight w:val="none"/>
              </w:rPr>
              <w:t>)</w:t>
            </w:r>
            <w:r>
              <w:rPr>
                <w:rFonts w:hint="eastAsia" w:cs="仿宋"/>
                <w:color w:val="auto"/>
                <w:sz w:val="22"/>
                <w:szCs w:val="32"/>
                <w:highlight w:val="none"/>
              </w:rPr>
              <w:t>本项目不允许采购进口产品。</w:t>
            </w:r>
          </w:p>
          <w:p>
            <w:pPr>
              <w:keepNext w:val="0"/>
              <w:keepLines w:val="0"/>
              <w:widowControl/>
              <w:suppressLineNumbers w:val="0"/>
              <w:spacing w:before="0" w:beforeAutospacing="0" w:after="0" w:afterAutospacing="0" w:line="360" w:lineRule="auto"/>
              <w:ind w:left="0" w:right="0"/>
              <w:rPr>
                <w:rFonts w:hint="default" w:cs="仿宋"/>
                <w:color w:val="auto"/>
                <w:sz w:val="22"/>
                <w:szCs w:val="32"/>
                <w:highlight w:val="none"/>
              </w:rPr>
            </w:pPr>
            <w:r>
              <w:rPr>
                <w:rFonts w:hint="eastAsia" w:cs="仿宋"/>
                <w:color w:val="auto"/>
                <w:sz w:val="22"/>
                <w:highlight w:val="none"/>
              </w:rPr>
              <w:t>(   )</w:t>
            </w:r>
            <w:r>
              <w:rPr>
                <w:rFonts w:hint="eastAsia" w:cs="仿宋"/>
                <w:color w:val="auto"/>
                <w:sz w:val="22"/>
                <w:szCs w:val="32"/>
                <w:highlight w:val="none"/>
              </w:rPr>
              <w:t>可以就</w:t>
            </w:r>
            <w:r>
              <w:rPr>
                <w:rFonts w:hint="eastAsia" w:cs="仿宋"/>
                <w:color w:val="auto"/>
                <w:sz w:val="22"/>
                <w:szCs w:val="32"/>
                <w:highlight w:val="none"/>
                <w:u w:val="single"/>
              </w:rPr>
              <w:t xml:space="preserve">  </w:t>
            </w:r>
            <w:r>
              <w:rPr>
                <w:rFonts w:hint="eastAsia" w:cs="仿宋"/>
                <w:color w:val="auto"/>
                <w:sz w:val="22"/>
                <w:szCs w:val="32"/>
                <w:highlight w:val="none"/>
                <w:u w:val="single"/>
                <w:lang w:val="en-US" w:eastAsia="zh-CN"/>
              </w:rPr>
              <w:t>/</w:t>
            </w:r>
            <w:r>
              <w:rPr>
                <w:rFonts w:hint="eastAsia" w:cs="仿宋"/>
                <w:color w:val="auto"/>
                <w:sz w:val="22"/>
                <w:szCs w:val="32"/>
                <w:highlight w:val="none"/>
                <w:u w:val="single"/>
              </w:rPr>
              <w:t xml:space="preserve">  </w:t>
            </w:r>
            <w:r>
              <w:rPr>
                <w:rFonts w:hint="eastAsia" w:cs="仿宋"/>
                <w:color w:val="auto"/>
                <w:sz w:val="22"/>
                <w:szCs w:val="32"/>
                <w:highlight w:val="none"/>
              </w:rPr>
              <w:t>采购进口产品。</w:t>
            </w:r>
          </w:p>
          <w:p>
            <w:pPr>
              <w:keepNext w:val="0"/>
              <w:keepLines w:val="0"/>
              <w:widowControl/>
              <w:suppressLineNumbers w:val="0"/>
              <w:spacing w:before="0" w:beforeAutospacing="0" w:after="0" w:afterAutospacing="0"/>
              <w:ind w:left="0" w:right="0"/>
              <w:rPr>
                <w:rFonts w:hint="default"/>
                <w:color w:val="auto"/>
                <w:highlight w:val="none"/>
              </w:rPr>
            </w:pPr>
            <w:r>
              <w:rPr>
                <w:rFonts w:hint="eastAsia" w:cs="仿宋"/>
                <w:color w:val="auto"/>
                <w:sz w:val="22"/>
                <w:highlight w:val="none"/>
              </w:rPr>
              <w:t>进口产品是指通过中国海关保关验放进入中国境内且产自境关外的产品。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4" w:hRule="atLeast"/>
        </w:trPr>
        <w:tc>
          <w:tcPr>
            <w:tcW w:w="304" w:type="pct"/>
            <w:vAlign w:val="center"/>
          </w:tcPr>
          <w:p>
            <w:pPr>
              <w:keepNext w:val="0"/>
              <w:keepLines w:val="0"/>
              <w:widowControl/>
              <w:suppressLineNumbers w:val="0"/>
              <w:spacing w:before="0" w:beforeAutospacing="0" w:after="0" w:afterAutospacing="0"/>
              <w:ind w:left="0" w:right="0"/>
              <w:jc w:val="center"/>
              <w:rPr>
                <w:rFonts w:hint="default"/>
                <w:color w:val="auto"/>
                <w:highlight w:val="none"/>
              </w:rPr>
            </w:pPr>
            <w:r>
              <w:rPr>
                <w:rFonts w:hint="eastAsia"/>
                <w:color w:val="auto"/>
                <w:highlight w:val="none"/>
              </w:rPr>
              <w:t>4</w:t>
            </w:r>
          </w:p>
        </w:tc>
        <w:tc>
          <w:tcPr>
            <w:tcW w:w="914" w:type="pct"/>
            <w:vAlign w:val="center"/>
          </w:tcPr>
          <w:p>
            <w:pPr>
              <w:keepNext w:val="0"/>
              <w:keepLines w:val="0"/>
              <w:widowControl/>
              <w:suppressLineNumbers w:val="0"/>
              <w:spacing w:before="0" w:beforeAutospacing="0" w:after="0" w:afterAutospacing="0"/>
              <w:ind w:left="0" w:right="0"/>
              <w:jc w:val="center"/>
              <w:rPr>
                <w:rFonts w:hint="default"/>
                <w:color w:val="auto"/>
                <w:highlight w:val="none"/>
              </w:rPr>
            </w:pPr>
            <w:r>
              <w:rPr>
                <w:rFonts w:hint="eastAsia" w:cs="仿宋"/>
                <w:b/>
                <w:color w:val="auto"/>
                <w:sz w:val="22"/>
                <w:highlight w:val="none"/>
              </w:rPr>
              <w:t>联合体和分包</w:t>
            </w:r>
          </w:p>
        </w:tc>
        <w:tc>
          <w:tcPr>
            <w:tcW w:w="3780" w:type="pct"/>
            <w:vAlign w:val="center"/>
          </w:tcPr>
          <w:p>
            <w:pPr>
              <w:keepNext w:val="0"/>
              <w:keepLines w:val="0"/>
              <w:widowControl/>
              <w:suppressLineNumbers w:val="0"/>
              <w:snapToGrid w:val="0"/>
              <w:spacing w:before="0" w:beforeAutospacing="0" w:after="0" w:afterAutospacing="0" w:line="360" w:lineRule="auto"/>
              <w:ind w:left="0" w:right="0"/>
              <w:rPr>
                <w:rFonts w:hint="default" w:ascii="仿宋_GB2312" w:eastAsia="仿宋_GB2312"/>
                <w:color w:val="auto"/>
                <w:sz w:val="22"/>
                <w:highlight w:val="none"/>
              </w:rPr>
            </w:pPr>
            <w:r>
              <w:rPr>
                <w:rFonts w:hint="eastAsia" w:ascii="仿宋_GB2312" w:eastAsia="仿宋_GB2312"/>
                <w:b/>
                <w:color w:val="auto"/>
                <w:sz w:val="22"/>
                <w:highlight w:val="none"/>
              </w:rPr>
              <w:t>（</w:t>
            </w:r>
            <w:r>
              <w:rPr>
                <w:rFonts w:hint="eastAsia" w:ascii="仿宋_GB2312" w:eastAsia="仿宋_GB2312"/>
                <w:b/>
                <w:color w:val="auto"/>
                <w:sz w:val="22"/>
                <w:highlight w:val="none"/>
                <w:lang w:val="en-US" w:eastAsia="zh-CN"/>
              </w:rPr>
              <w:t xml:space="preserve">  </w:t>
            </w:r>
            <w:r>
              <w:rPr>
                <w:rFonts w:hint="eastAsia" w:ascii="仿宋_GB2312" w:eastAsia="仿宋_GB2312"/>
                <w:b/>
                <w:color w:val="auto"/>
                <w:sz w:val="22"/>
                <w:highlight w:val="none"/>
              </w:rPr>
              <w:t>）</w:t>
            </w:r>
            <w:r>
              <w:rPr>
                <w:rFonts w:hint="eastAsia" w:ascii="仿宋_GB2312" w:eastAsia="仿宋_GB2312" w:cs="Arial"/>
                <w:color w:val="auto"/>
                <w:sz w:val="22"/>
                <w:highlight w:val="none"/>
              </w:rPr>
              <w:t>A</w:t>
            </w:r>
            <w:r>
              <w:rPr>
                <w:rFonts w:hint="eastAsia" w:ascii="仿宋_GB2312" w:eastAsia="仿宋_GB2312"/>
                <w:color w:val="auto"/>
                <w:sz w:val="22"/>
                <w:highlight w:val="none"/>
              </w:rPr>
              <w:t>同意将非主体、非关键性的</w:t>
            </w:r>
            <w:r>
              <w:rPr>
                <w:rFonts w:hint="eastAsia" w:ascii="仿宋_GB2312" w:eastAsia="仿宋_GB2312"/>
                <w:color w:val="auto"/>
                <w:sz w:val="22"/>
                <w:highlight w:val="none"/>
                <w:u w:val="single"/>
              </w:rPr>
              <w:t xml:space="preserve">   </w:t>
            </w:r>
            <w:r>
              <w:rPr>
                <w:rFonts w:hint="eastAsia" w:ascii="仿宋_GB2312" w:eastAsia="仿宋_GB2312"/>
                <w:color w:val="auto"/>
                <w:sz w:val="22"/>
                <w:highlight w:val="none"/>
                <w:u w:val="single"/>
                <w:lang w:val="en-US" w:eastAsia="zh-CN"/>
              </w:rPr>
              <w:t>/</w:t>
            </w:r>
            <w:r>
              <w:rPr>
                <w:rFonts w:hint="eastAsia" w:ascii="仿宋_GB2312" w:eastAsia="仿宋_GB2312"/>
                <w:color w:val="auto"/>
                <w:sz w:val="22"/>
                <w:highlight w:val="none"/>
                <w:u w:val="single"/>
              </w:rPr>
              <w:t xml:space="preserve">   </w:t>
            </w:r>
            <w:r>
              <w:rPr>
                <w:rFonts w:hint="eastAsia" w:ascii="仿宋_GB2312" w:eastAsia="仿宋_GB2312"/>
                <w:color w:val="auto"/>
                <w:sz w:val="22"/>
                <w:highlight w:val="none"/>
              </w:rPr>
              <w:t>工作分包。</w:t>
            </w:r>
          </w:p>
          <w:p>
            <w:pPr>
              <w:keepNext w:val="0"/>
              <w:keepLines w:val="0"/>
              <w:widowControl/>
              <w:suppressLineNumbers w:val="0"/>
              <w:spacing w:before="0" w:beforeAutospacing="0" w:after="0" w:afterAutospacing="0"/>
              <w:ind w:left="0" w:right="0"/>
              <w:rPr>
                <w:rFonts w:hint="default" w:ascii="仿宋_GB2312" w:eastAsia="仿宋_GB2312"/>
                <w:color w:val="auto"/>
                <w:sz w:val="22"/>
                <w:highlight w:val="none"/>
              </w:rPr>
            </w:pPr>
            <w:r>
              <w:rPr>
                <w:rFonts w:hint="eastAsia" w:ascii="仿宋_GB2312" w:eastAsia="仿宋_GB2312"/>
                <w:b/>
                <w:color w:val="auto"/>
                <w:sz w:val="22"/>
                <w:highlight w:val="none"/>
              </w:rPr>
              <w:t>（√）</w:t>
            </w:r>
            <w:r>
              <w:rPr>
                <w:rFonts w:hint="eastAsia" w:ascii="仿宋_GB2312" w:eastAsia="仿宋_GB2312" w:cs="Arial"/>
                <w:color w:val="auto"/>
                <w:sz w:val="22"/>
                <w:highlight w:val="none"/>
              </w:rPr>
              <w:t>B</w:t>
            </w:r>
            <w:r>
              <w:rPr>
                <w:rFonts w:hint="eastAsia" w:ascii="仿宋_GB2312" w:eastAsia="仿宋_GB2312"/>
                <w:color w:val="auto"/>
                <w:sz w:val="22"/>
                <w:highlight w:val="none"/>
              </w:rPr>
              <w:t>不同意分包。</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1" w:hRule="atLeast"/>
        </w:trPr>
        <w:tc>
          <w:tcPr>
            <w:tcW w:w="304" w:type="pct"/>
            <w:vAlign w:val="center"/>
          </w:tcPr>
          <w:p>
            <w:pPr>
              <w:keepNext w:val="0"/>
              <w:keepLines w:val="0"/>
              <w:widowControl/>
              <w:suppressLineNumbers w:val="0"/>
              <w:spacing w:before="0" w:beforeAutospacing="0" w:after="0" w:afterAutospacing="0"/>
              <w:ind w:left="0" w:right="0"/>
              <w:jc w:val="center"/>
              <w:rPr>
                <w:rFonts w:hint="default"/>
                <w:color w:val="auto"/>
                <w:highlight w:val="none"/>
              </w:rPr>
            </w:pPr>
            <w:r>
              <w:rPr>
                <w:rFonts w:hint="eastAsia"/>
                <w:color w:val="auto"/>
                <w:highlight w:val="none"/>
              </w:rPr>
              <w:t>5</w:t>
            </w:r>
          </w:p>
        </w:tc>
        <w:tc>
          <w:tcPr>
            <w:tcW w:w="914" w:type="pct"/>
            <w:vAlign w:val="center"/>
          </w:tcPr>
          <w:p>
            <w:pPr>
              <w:keepNext w:val="0"/>
              <w:keepLines w:val="0"/>
              <w:widowControl/>
              <w:suppressLineNumbers w:val="0"/>
              <w:spacing w:before="0" w:beforeAutospacing="0" w:after="0" w:afterAutospacing="0"/>
              <w:ind w:left="0" w:right="0"/>
              <w:jc w:val="center"/>
              <w:rPr>
                <w:rFonts w:hint="default"/>
                <w:color w:val="auto"/>
                <w:highlight w:val="none"/>
              </w:rPr>
            </w:pPr>
            <w:r>
              <w:rPr>
                <w:rFonts w:hint="eastAsia" w:cs="仿宋"/>
                <w:b/>
                <w:color w:val="auto"/>
                <w:sz w:val="22"/>
                <w:highlight w:val="none"/>
              </w:rPr>
              <w:t>开标前答疑会或现场考察</w:t>
            </w:r>
          </w:p>
        </w:tc>
        <w:tc>
          <w:tcPr>
            <w:tcW w:w="3780" w:type="pct"/>
            <w:vAlign w:val="center"/>
          </w:tcPr>
          <w:p>
            <w:pPr>
              <w:keepNext w:val="0"/>
              <w:keepLines w:val="0"/>
              <w:widowControl/>
              <w:suppressLineNumbers w:val="0"/>
              <w:spacing w:before="0" w:beforeAutospacing="0" w:after="0" w:afterAutospacing="0" w:line="360" w:lineRule="auto"/>
              <w:ind w:left="0" w:right="0"/>
              <w:rPr>
                <w:rFonts w:hint="default"/>
                <w:color w:val="auto"/>
                <w:highlight w:val="none"/>
              </w:rPr>
            </w:pPr>
            <w:r>
              <w:rPr>
                <w:rFonts w:hint="eastAsia" w:ascii="仿宋_GB2312" w:eastAsia="仿宋_GB2312"/>
                <w:b/>
                <w:color w:val="auto"/>
                <w:sz w:val="22"/>
                <w:highlight w:val="none"/>
              </w:rPr>
              <w:t>（√）</w:t>
            </w:r>
            <w:r>
              <w:rPr>
                <w:rFonts w:hint="eastAsia" w:ascii="仿宋_GB2312" w:eastAsia="仿宋_GB2312" w:cs="Arial"/>
                <w:color w:val="auto"/>
                <w:sz w:val="22"/>
                <w:highlight w:val="none"/>
              </w:rPr>
              <w:t>A</w:t>
            </w:r>
            <w:r>
              <w:rPr>
                <w:rFonts w:hint="eastAsia" w:ascii="仿宋_GB2312" w:eastAsia="仿宋_GB2312"/>
                <w:color w:val="auto"/>
                <w:sz w:val="22"/>
                <w:highlight w:val="none"/>
              </w:rPr>
              <w:t>不组织。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4" w:hRule="atLeast"/>
        </w:trPr>
        <w:tc>
          <w:tcPr>
            <w:tcW w:w="304" w:type="pct"/>
            <w:vAlign w:val="center"/>
          </w:tcPr>
          <w:p>
            <w:pPr>
              <w:keepNext w:val="0"/>
              <w:keepLines w:val="0"/>
              <w:widowControl/>
              <w:suppressLineNumbers w:val="0"/>
              <w:spacing w:before="0" w:beforeAutospacing="0" w:after="0" w:afterAutospacing="0"/>
              <w:ind w:left="0" w:right="0"/>
              <w:jc w:val="center"/>
              <w:rPr>
                <w:rFonts w:hint="default"/>
                <w:color w:val="auto"/>
                <w:highlight w:val="none"/>
              </w:rPr>
            </w:pPr>
            <w:r>
              <w:rPr>
                <w:rFonts w:hint="eastAsia"/>
                <w:color w:val="auto"/>
                <w:highlight w:val="none"/>
              </w:rPr>
              <w:t>6</w:t>
            </w:r>
          </w:p>
        </w:tc>
        <w:tc>
          <w:tcPr>
            <w:tcW w:w="914" w:type="pct"/>
            <w:vAlign w:val="center"/>
          </w:tcPr>
          <w:p>
            <w:pPr>
              <w:keepNext w:val="0"/>
              <w:keepLines w:val="0"/>
              <w:widowControl/>
              <w:suppressLineNumbers w:val="0"/>
              <w:spacing w:before="0" w:beforeAutospacing="0" w:after="0" w:afterAutospacing="0"/>
              <w:ind w:left="0" w:right="0"/>
              <w:jc w:val="center"/>
              <w:rPr>
                <w:rFonts w:hint="default"/>
                <w:color w:val="auto"/>
                <w:highlight w:val="none"/>
              </w:rPr>
            </w:pPr>
            <w:r>
              <w:rPr>
                <w:rFonts w:hint="eastAsia" w:cs="仿宋"/>
                <w:b/>
                <w:color w:val="auto"/>
                <w:sz w:val="22"/>
                <w:highlight w:val="none"/>
              </w:rPr>
              <w:t>样品提供</w:t>
            </w:r>
          </w:p>
        </w:tc>
        <w:tc>
          <w:tcPr>
            <w:tcW w:w="3780" w:type="pct"/>
            <w:vAlign w:val="center"/>
          </w:tcPr>
          <w:p>
            <w:pPr>
              <w:keepNext w:val="0"/>
              <w:keepLines w:val="0"/>
              <w:widowControl/>
              <w:suppressLineNumbers w:val="0"/>
              <w:spacing w:before="0" w:beforeAutospacing="0" w:after="0" w:afterAutospacing="0" w:line="360" w:lineRule="auto"/>
              <w:ind w:left="0" w:right="0"/>
              <w:rPr>
                <w:rFonts w:hint="default"/>
                <w:color w:val="auto"/>
                <w:highlight w:val="none"/>
              </w:rPr>
            </w:pPr>
            <w:r>
              <w:rPr>
                <w:rFonts w:hint="eastAsia"/>
                <w:bCs/>
                <w:color w:val="auto"/>
                <w:sz w:val="22"/>
                <w:highlight w:val="none"/>
              </w:rPr>
              <w:t>（√）A不要求提供。</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4" w:hRule="atLeast"/>
        </w:trPr>
        <w:tc>
          <w:tcPr>
            <w:tcW w:w="304" w:type="pct"/>
            <w:vAlign w:val="center"/>
          </w:tcPr>
          <w:p>
            <w:pPr>
              <w:keepNext w:val="0"/>
              <w:keepLines w:val="0"/>
              <w:widowControl/>
              <w:suppressLineNumbers w:val="0"/>
              <w:spacing w:before="0" w:beforeAutospacing="0" w:after="0" w:afterAutospacing="0"/>
              <w:ind w:left="0" w:right="0"/>
              <w:jc w:val="center"/>
              <w:rPr>
                <w:rFonts w:hint="default"/>
                <w:color w:val="auto"/>
                <w:highlight w:val="none"/>
              </w:rPr>
            </w:pPr>
            <w:r>
              <w:rPr>
                <w:rFonts w:hint="eastAsia"/>
                <w:color w:val="auto"/>
                <w:highlight w:val="none"/>
              </w:rPr>
              <w:t>7</w:t>
            </w:r>
          </w:p>
        </w:tc>
        <w:tc>
          <w:tcPr>
            <w:tcW w:w="914" w:type="pct"/>
            <w:vAlign w:val="center"/>
          </w:tcPr>
          <w:p>
            <w:pPr>
              <w:keepNext w:val="0"/>
              <w:keepLines w:val="0"/>
              <w:widowControl/>
              <w:suppressLineNumbers w:val="0"/>
              <w:spacing w:before="0" w:beforeAutospacing="0" w:after="0" w:afterAutospacing="0"/>
              <w:ind w:left="0" w:right="0"/>
              <w:jc w:val="center"/>
              <w:rPr>
                <w:rFonts w:hint="default"/>
                <w:color w:val="auto"/>
                <w:highlight w:val="none"/>
              </w:rPr>
            </w:pPr>
            <w:r>
              <w:rPr>
                <w:rFonts w:hint="eastAsia" w:cs="仿宋"/>
                <w:b/>
                <w:color w:val="auto"/>
                <w:sz w:val="22"/>
                <w:highlight w:val="none"/>
              </w:rPr>
              <w:t>方案讲解演示</w:t>
            </w:r>
          </w:p>
        </w:tc>
        <w:tc>
          <w:tcPr>
            <w:tcW w:w="3780" w:type="pct"/>
            <w:vAlign w:val="center"/>
          </w:tcPr>
          <w:p>
            <w:pPr>
              <w:keepNext w:val="0"/>
              <w:keepLines w:val="0"/>
              <w:widowControl/>
              <w:suppressLineNumbers w:val="0"/>
              <w:spacing w:before="0" w:beforeAutospacing="0" w:after="0" w:afterAutospacing="0" w:line="360" w:lineRule="auto"/>
              <w:ind w:left="0" w:right="0"/>
              <w:rPr>
                <w:rFonts w:hint="default"/>
                <w:color w:val="auto"/>
                <w:highlight w:val="none"/>
              </w:rPr>
            </w:pPr>
            <w:r>
              <w:rPr>
                <w:rFonts w:hint="eastAsia"/>
                <w:bCs/>
                <w:color w:val="auto"/>
                <w:sz w:val="22"/>
                <w:highlight w:val="none"/>
              </w:rPr>
              <w:t>（√）A不要求。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1" w:hRule="atLeast"/>
        </w:trPr>
        <w:tc>
          <w:tcPr>
            <w:tcW w:w="304" w:type="pct"/>
            <w:vAlign w:val="center"/>
          </w:tcPr>
          <w:p>
            <w:pPr>
              <w:keepNext w:val="0"/>
              <w:keepLines w:val="0"/>
              <w:widowControl/>
              <w:suppressLineNumbers w:val="0"/>
              <w:spacing w:before="0" w:beforeAutospacing="0" w:after="0" w:afterAutospacing="0"/>
              <w:ind w:left="0" w:right="0"/>
              <w:jc w:val="center"/>
              <w:rPr>
                <w:rFonts w:hint="default"/>
                <w:color w:val="auto"/>
                <w:highlight w:val="none"/>
              </w:rPr>
            </w:pPr>
            <w:r>
              <w:rPr>
                <w:rFonts w:hint="eastAsia"/>
                <w:color w:val="auto"/>
                <w:highlight w:val="none"/>
              </w:rPr>
              <w:t>8</w:t>
            </w:r>
          </w:p>
        </w:tc>
        <w:tc>
          <w:tcPr>
            <w:tcW w:w="914" w:type="pct"/>
            <w:vAlign w:val="center"/>
          </w:tcPr>
          <w:p>
            <w:pPr>
              <w:keepNext w:val="0"/>
              <w:keepLines w:val="0"/>
              <w:widowControl/>
              <w:suppressLineNumbers w:val="0"/>
              <w:spacing w:before="0" w:beforeAutospacing="0" w:after="0" w:afterAutospacing="0"/>
              <w:ind w:left="0" w:right="0"/>
              <w:jc w:val="center"/>
              <w:rPr>
                <w:rFonts w:hint="default"/>
                <w:color w:val="auto"/>
                <w:highlight w:val="none"/>
              </w:rPr>
            </w:pPr>
            <w:r>
              <w:rPr>
                <w:rFonts w:hint="eastAsia" w:cs="仿宋"/>
                <w:b/>
                <w:color w:val="auto"/>
                <w:sz w:val="22"/>
                <w:highlight w:val="none"/>
              </w:rPr>
              <w:t>投标人应当提供的资格、资信证明文件</w:t>
            </w:r>
          </w:p>
        </w:tc>
        <w:tc>
          <w:tcPr>
            <w:tcW w:w="3780" w:type="pct"/>
            <w:vAlign w:val="center"/>
          </w:tcPr>
          <w:p>
            <w:pPr>
              <w:keepNext w:val="0"/>
              <w:keepLines w:val="0"/>
              <w:widowControl/>
              <w:suppressLineNumbers w:val="0"/>
              <w:spacing w:before="0" w:beforeAutospacing="0" w:after="0" w:afterAutospacing="0" w:line="360" w:lineRule="auto"/>
              <w:ind w:left="0" w:right="0"/>
              <w:rPr>
                <w:rFonts w:hint="default" w:cs="仿宋"/>
                <w:color w:val="auto"/>
                <w:sz w:val="22"/>
                <w:highlight w:val="none"/>
              </w:rPr>
            </w:pPr>
            <w:r>
              <w:rPr>
                <w:rFonts w:hint="eastAsia" w:cs="仿宋"/>
                <w:color w:val="auto"/>
                <w:sz w:val="22"/>
                <w:highlight w:val="none"/>
              </w:rPr>
              <w:t>（1）资格证明文件：见招标文件第二部分11.1。</w:t>
            </w:r>
          </w:p>
          <w:p>
            <w:pPr>
              <w:keepNext w:val="0"/>
              <w:keepLines w:val="0"/>
              <w:widowControl/>
              <w:suppressLineNumbers w:val="0"/>
              <w:spacing w:before="0" w:beforeAutospacing="0" w:after="0" w:afterAutospacing="0"/>
              <w:ind w:left="0" w:right="0"/>
              <w:rPr>
                <w:rFonts w:hint="default" w:cs="仿宋"/>
                <w:color w:val="auto"/>
                <w:sz w:val="22"/>
                <w:highlight w:val="none"/>
                <w:lang w:val="zh-CN"/>
              </w:rPr>
            </w:pPr>
            <w:r>
              <w:rPr>
                <w:rFonts w:hint="eastAsia" w:cs="仿宋"/>
                <w:color w:val="auto"/>
                <w:sz w:val="22"/>
                <w:highlight w:val="none"/>
                <w:lang w:val="zh-CN"/>
              </w:rPr>
              <w:t>投标人未提供有效的资格证明文件的，视为投标人不具备招标文件中规定的资格要求，投标无效。</w:t>
            </w:r>
          </w:p>
          <w:p>
            <w:pPr>
              <w:keepNext w:val="0"/>
              <w:keepLines w:val="0"/>
              <w:widowControl/>
              <w:suppressLineNumbers w:val="0"/>
              <w:spacing w:before="0" w:beforeAutospacing="0" w:after="0" w:afterAutospacing="0"/>
              <w:ind w:left="0" w:right="0"/>
              <w:rPr>
                <w:rFonts w:hint="default"/>
                <w:color w:val="auto"/>
                <w:highlight w:val="none"/>
              </w:rPr>
            </w:pPr>
            <w:r>
              <w:rPr>
                <w:rFonts w:hint="eastAsia" w:cs="仿宋"/>
                <w:color w:val="auto"/>
                <w:sz w:val="22"/>
                <w:highlight w:val="none"/>
              </w:rPr>
              <w:t>（2）资信证明文件：根据招标文件第四部分评标标准提供。</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4" w:hRule="atLeast"/>
        </w:trPr>
        <w:tc>
          <w:tcPr>
            <w:tcW w:w="304" w:type="pct"/>
            <w:vAlign w:val="center"/>
          </w:tcPr>
          <w:p>
            <w:pPr>
              <w:keepNext w:val="0"/>
              <w:keepLines w:val="0"/>
              <w:widowControl/>
              <w:suppressLineNumbers w:val="0"/>
              <w:spacing w:before="0" w:beforeAutospacing="0" w:after="0" w:afterAutospacing="0"/>
              <w:ind w:left="0" w:right="0"/>
              <w:jc w:val="center"/>
              <w:rPr>
                <w:rFonts w:hint="default"/>
                <w:color w:val="auto"/>
                <w:highlight w:val="none"/>
              </w:rPr>
            </w:pPr>
            <w:r>
              <w:rPr>
                <w:rFonts w:hint="eastAsia"/>
                <w:color w:val="auto"/>
                <w:highlight w:val="none"/>
              </w:rPr>
              <w:t>9</w:t>
            </w:r>
          </w:p>
        </w:tc>
        <w:tc>
          <w:tcPr>
            <w:tcW w:w="914" w:type="pct"/>
            <w:vAlign w:val="center"/>
          </w:tcPr>
          <w:p>
            <w:pPr>
              <w:keepNext w:val="0"/>
              <w:keepLines w:val="0"/>
              <w:widowControl/>
              <w:suppressLineNumbers w:val="0"/>
              <w:spacing w:before="0" w:beforeAutospacing="0" w:after="0" w:afterAutospacing="0"/>
              <w:ind w:left="0" w:right="0"/>
              <w:jc w:val="center"/>
              <w:rPr>
                <w:rFonts w:hint="default"/>
                <w:color w:val="auto"/>
                <w:highlight w:val="none"/>
              </w:rPr>
            </w:pPr>
            <w:r>
              <w:rPr>
                <w:rFonts w:hint="eastAsia" w:cs="仿宋"/>
                <w:b/>
                <w:color w:val="auto"/>
                <w:sz w:val="22"/>
                <w:highlight w:val="none"/>
              </w:rPr>
              <w:t>节能产品、环境标志产品</w:t>
            </w:r>
          </w:p>
        </w:tc>
        <w:tc>
          <w:tcPr>
            <w:tcW w:w="3780" w:type="pct"/>
            <w:vAlign w:val="center"/>
          </w:tcPr>
          <w:p>
            <w:pPr>
              <w:keepNext w:val="0"/>
              <w:keepLines w:val="0"/>
              <w:widowControl/>
              <w:suppressLineNumbers w:val="0"/>
              <w:spacing w:before="0" w:beforeAutospacing="0" w:after="0" w:afterAutospacing="0"/>
              <w:ind w:left="0" w:right="0"/>
              <w:rPr>
                <w:rFonts w:hint="default"/>
                <w:color w:val="auto"/>
                <w:highlight w:val="none"/>
              </w:rPr>
            </w:pPr>
            <w:r>
              <w:rPr>
                <w:rFonts w:hint="eastAsia" w:cs="仿宋"/>
                <w:color w:val="auto"/>
                <w:sz w:val="22"/>
                <w:highlight w:val="none"/>
              </w:rPr>
              <w:t>采购人拟采购的产品属于品目清单范围的，采购人及其委托的采购代理机构将依据国家确定的认证机构出具的、处于有效期之内的节能产品、环境标志产品认证证书，对获得证书的产品实施政府优先采购或强制采购。</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4" w:hRule="atLeast"/>
        </w:trPr>
        <w:tc>
          <w:tcPr>
            <w:tcW w:w="304" w:type="pct"/>
            <w:vAlign w:val="center"/>
          </w:tcPr>
          <w:p>
            <w:pPr>
              <w:keepNext w:val="0"/>
              <w:keepLines w:val="0"/>
              <w:widowControl/>
              <w:suppressLineNumbers w:val="0"/>
              <w:spacing w:before="0" w:beforeAutospacing="0" w:after="0" w:afterAutospacing="0"/>
              <w:ind w:left="0" w:right="0"/>
              <w:jc w:val="center"/>
              <w:rPr>
                <w:rFonts w:hint="default"/>
                <w:color w:val="auto"/>
                <w:highlight w:val="none"/>
              </w:rPr>
            </w:pPr>
            <w:r>
              <w:rPr>
                <w:rFonts w:hint="eastAsia"/>
                <w:color w:val="auto"/>
                <w:highlight w:val="none"/>
              </w:rPr>
              <w:t>10</w:t>
            </w:r>
          </w:p>
        </w:tc>
        <w:tc>
          <w:tcPr>
            <w:tcW w:w="914" w:type="pct"/>
            <w:vAlign w:val="center"/>
          </w:tcPr>
          <w:p>
            <w:pPr>
              <w:keepNext w:val="0"/>
              <w:keepLines w:val="0"/>
              <w:widowControl/>
              <w:suppressLineNumbers w:val="0"/>
              <w:spacing w:before="0" w:beforeAutospacing="0" w:after="0" w:afterAutospacing="0"/>
              <w:ind w:left="0" w:right="0"/>
              <w:jc w:val="center"/>
              <w:rPr>
                <w:rFonts w:hint="default"/>
                <w:color w:val="auto"/>
                <w:highlight w:val="none"/>
              </w:rPr>
            </w:pPr>
            <w:r>
              <w:rPr>
                <w:rFonts w:hint="eastAsia" w:cs="仿宋"/>
                <w:b/>
                <w:color w:val="auto"/>
                <w:sz w:val="22"/>
                <w:highlight w:val="none"/>
              </w:rPr>
              <w:t>报价要求</w:t>
            </w:r>
          </w:p>
        </w:tc>
        <w:tc>
          <w:tcPr>
            <w:tcW w:w="3780" w:type="pct"/>
            <w:vAlign w:val="center"/>
          </w:tcPr>
          <w:p>
            <w:pPr>
              <w:keepNext w:val="0"/>
              <w:keepLines w:val="0"/>
              <w:widowControl/>
              <w:suppressLineNumbers w:val="0"/>
              <w:spacing w:before="0" w:beforeAutospacing="0" w:after="0" w:afterAutospacing="0" w:line="360" w:lineRule="auto"/>
              <w:ind w:left="0" w:right="0" w:firstLine="440" w:firstLineChars="200"/>
              <w:rPr>
                <w:rFonts w:hint="default" w:cs="Arial"/>
                <w:bCs/>
                <w:color w:val="auto"/>
                <w:sz w:val="22"/>
                <w:highlight w:val="none"/>
                <w:lang w:val="zh-CN"/>
              </w:rPr>
            </w:pPr>
            <w:r>
              <w:rPr>
                <w:rFonts w:hint="eastAsia" w:cs="Arial"/>
                <w:bCs/>
                <w:color w:val="auto"/>
                <w:sz w:val="22"/>
                <w:highlight w:val="none"/>
                <w:lang w:val="zh-CN"/>
              </w:rPr>
              <w:t>有关本项目实施所需的所有费用（含税费）均计入报价。</w:t>
            </w:r>
            <w:r>
              <w:rPr>
                <w:rFonts w:hint="eastAsia" w:cs="Arial"/>
                <w:bCs/>
                <w:color w:val="auto"/>
                <w:sz w:val="22"/>
                <w:highlight w:val="none"/>
              </w:rPr>
              <w:t>开标一览表（报价表）是报价的唯一载体</w:t>
            </w:r>
            <w:r>
              <w:rPr>
                <w:rFonts w:hint="eastAsia" w:cs="Arial"/>
                <w:bCs/>
                <w:color w:val="auto"/>
                <w:sz w:val="22"/>
                <w:highlight w:val="none"/>
                <w:lang w:val="zh-CN"/>
              </w:rPr>
              <w:t>。投标文件中价格全部采用人民币报价。招标文件未列明，而投标人认为必需的费用也需列入报价。提醒：验收时检测费用由采购人承担，不包含在投标总价中。</w:t>
            </w:r>
          </w:p>
          <w:p>
            <w:pPr>
              <w:keepNext w:val="0"/>
              <w:keepLines w:val="0"/>
              <w:widowControl/>
              <w:suppressLineNumbers w:val="0"/>
              <w:spacing w:before="0" w:beforeAutospacing="0" w:after="0" w:afterAutospacing="0" w:line="360" w:lineRule="auto"/>
              <w:ind w:left="0" w:right="0"/>
              <w:rPr>
                <w:rFonts w:hint="default" w:cs="Arial"/>
                <w:bCs/>
                <w:color w:val="auto"/>
                <w:sz w:val="22"/>
                <w:highlight w:val="none"/>
                <w:lang w:val="zh-CN"/>
              </w:rPr>
            </w:pPr>
            <w:r>
              <w:rPr>
                <w:rFonts w:hint="eastAsia" w:cs="Arial"/>
                <w:bCs/>
                <w:color w:val="auto"/>
                <w:sz w:val="22"/>
                <w:highlight w:val="none"/>
                <w:lang w:val="zh-CN"/>
              </w:rPr>
              <w:t>投标报价出现下列情形的，投标无效：</w:t>
            </w:r>
          </w:p>
          <w:p>
            <w:pPr>
              <w:keepNext w:val="0"/>
              <w:keepLines w:val="0"/>
              <w:widowControl/>
              <w:suppressLineNumbers w:val="0"/>
              <w:spacing w:before="0" w:beforeAutospacing="0" w:after="0" w:afterAutospacing="0" w:line="360" w:lineRule="auto"/>
              <w:ind w:left="0" w:right="0" w:firstLine="440" w:firstLineChars="200"/>
              <w:rPr>
                <w:rFonts w:hint="default" w:cs="Arial"/>
                <w:bCs/>
                <w:color w:val="auto"/>
                <w:sz w:val="22"/>
                <w:highlight w:val="none"/>
                <w:lang w:val="zh-CN"/>
              </w:rPr>
            </w:pPr>
            <w:r>
              <w:rPr>
                <w:rFonts w:hint="eastAsia" w:cs="Arial"/>
                <w:bCs/>
                <w:color w:val="auto"/>
                <w:sz w:val="22"/>
                <w:highlight w:val="none"/>
                <w:lang w:val="zh-CN"/>
              </w:rPr>
              <w:t>投标文件出现不是唯一的、有选择性投标报价的；</w:t>
            </w:r>
          </w:p>
          <w:p>
            <w:pPr>
              <w:keepNext w:val="0"/>
              <w:keepLines w:val="0"/>
              <w:widowControl/>
              <w:suppressLineNumbers w:val="0"/>
              <w:spacing w:before="0" w:beforeAutospacing="0" w:after="0" w:afterAutospacing="0" w:line="360" w:lineRule="auto"/>
              <w:ind w:left="0" w:right="0" w:firstLine="440" w:firstLineChars="200"/>
              <w:rPr>
                <w:rFonts w:hint="default" w:cs="Arial"/>
                <w:bCs/>
                <w:color w:val="auto"/>
                <w:sz w:val="22"/>
                <w:highlight w:val="none"/>
                <w:lang w:val="zh-CN"/>
              </w:rPr>
            </w:pPr>
            <w:r>
              <w:rPr>
                <w:rFonts w:hint="eastAsia" w:cs="Arial"/>
                <w:bCs/>
                <w:color w:val="auto"/>
                <w:sz w:val="22"/>
                <w:highlight w:val="none"/>
                <w:lang w:val="zh-CN"/>
              </w:rPr>
              <w:t>投标报价超过招标文件中规定的预算金额或者最高限价的;</w:t>
            </w:r>
          </w:p>
          <w:p>
            <w:pPr>
              <w:keepNext w:val="0"/>
              <w:keepLines w:val="0"/>
              <w:widowControl/>
              <w:suppressLineNumbers w:val="0"/>
              <w:spacing w:before="0" w:beforeAutospacing="0" w:after="0" w:afterAutospacing="0" w:line="360" w:lineRule="auto"/>
              <w:ind w:left="0" w:right="0" w:firstLine="440" w:firstLineChars="200"/>
              <w:rPr>
                <w:rFonts w:hint="default" w:cs="Arial"/>
                <w:bCs/>
                <w:color w:val="auto"/>
                <w:sz w:val="22"/>
                <w:highlight w:val="none"/>
              </w:rPr>
            </w:pPr>
            <w:r>
              <w:rPr>
                <w:rFonts w:hint="eastAsia" w:cs="Arial"/>
                <w:bCs/>
                <w:color w:val="auto"/>
                <w:sz w:val="22"/>
                <w:highlight w:val="none"/>
              </w:rPr>
              <w:t>报价明显低于其他通过符合性审查投标人的报价，有可能影响产品质量或者不能诚信履约的，未能按要求提供书面说明或者提交相关证明材料证明其报价合理性的;</w:t>
            </w:r>
          </w:p>
          <w:p>
            <w:pPr>
              <w:keepNext w:val="0"/>
              <w:keepLines w:val="0"/>
              <w:widowControl/>
              <w:suppressLineNumbers w:val="0"/>
              <w:spacing w:before="0" w:beforeAutospacing="0" w:after="0" w:afterAutospacing="0" w:line="360" w:lineRule="auto"/>
              <w:ind w:left="0" w:right="0" w:firstLine="440" w:firstLineChars="200"/>
              <w:rPr>
                <w:rFonts w:hint="default" w:cs="Arial"/>
                <w:bCs/>
                <w:color w:val="auto"/>
                <w:sz w:val="22"/>
                <w:highlight w:val="none"/>
              </w:rPr>
            </w:pPr>
            <w:r>
              <w:rPr>
                <w:rFonts w:hint="eastAsia" w:cs="Arial"/>
                <w:bCs/>
                <w:color w:val="auto"/>
                <w:sz w:val="22"/>
                <w:highlight w:val="none"/>
              </w:rPr>
              <w:t>投标人对根据修正原则修正后的报价不确认的。</w:t>
            </w:r>
          </w:p>
          <w:p>
            <w:pPr>
              <w:keepNext w:val="0"/>
              <w:keepLines w:val="0"/>
              <w:widowControl/>
              <w:suppressLineNumbers w:val="0"/>
              <w:spacing w:before="0" w:beforeAutospacing="0" w:after="0" w:afterAutospacing="0" w:line="360" w:lineRule="auto"/>
              <w:ind w:left="0" w:right="0" w:firstLine="440" w:firstLineChars="200"/>
              <w:rPr>
                <w:rFonts w:hint="default"/>
                <w:color w:val="auto"/>
                <w:highlight w:val="none"/>
              </w:rPr>
            </w:pPr>
            <w:r>
              <w:rPr>
                <w:rFonts w:hint="eastAsia" w:cs="Arial"/>
                <w:bCs/>
                <w:color w:val="auto"/>
                <w:sz w:val="22"/>
                <w:highlight w:val="none"/>
              </w:rPr>
              <w:t>资格文件、商务技术文件与报价文件未分开制作</w:t>
            </w:r>
            <w:r>
              <w:rPr>
                <w:rFonts w:hint="eastAsia"/>
                <w:bCs/>
                <w:color w:val="auto"/>
                <w:sz w:val="22"/>
                <w:highlight w:val="none"/>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4" w:hRule="atLeast"/>
        </w:trPr>
        <w:tc>
          <w:tcPr>
            <w:tcW w:w="304" w:type="pct"/>
            <w:vAlign w:val="center"/>
          </w:tcPr>
          <w:p>
            <w:pPr>
              <w:keepNext w:val="0"/>
              <w:keepLines w:val="0"/>
              <w:widowControl/>
              <w:suppressLineNumbers w:val="0"/>
              <w:spacing w:before="0" w:beforeAutospacing="0" w:after="0" w:afterAutospacing="0"/>
              <w:ind w:left="0" w:right="0"/>
              <w:jc w:val="center"/>
              <w:rPr>
                <w:rFonts w:hint="default"/>
                <w:color w:val="auto"/>
                <w:highlight w:val="none"/>
              </w:rPr>
            </w:pPr>
            <w:r>
              <w:rPr>
                <w:rFonts w:hint="eastAsia"/>
                <w:color w:val="auto"/>
                <w:highlight w:val="none"/>
              </w:rPr>
              <w:t>11</w:t>
            </w:r>
          </w:p>
        </w:tc>
        <w:tc>
          <w:tcPr>
            <w:tcW w:w="914" w:type="pct"/>
            <w:vAlign w:val="center"/>
          </w:tcPr>
          <w:p>
            <w:pPr>
              <w:keepNext w:val="0"/>
              <w:keepLines w:val="0"/>
              <w:widowControl/>
              <w:suppressLineNumbers w:val="0"/>
              <w:spacing w:before="0" w:beforeAutospacing="0" w:after="0" w:afterAutospacing="0"/>
              <w:ind w:left="0" w:right="0"/>
              <w:jc w:val="center"/>
              <w:rPr>
                <w:rFonts w:hint="default"/>
                <w:color w:val="auto"/>
                <w:highlight w:val="none"/>
              </w:rPr>
            </w:pPr>
            <w:r>
              <w:rPr>
                <w:rFonts w:hint="eastAsia" w:cs="仿宋"/>
                <w:b/>
                <w:color w:val="auto"/>
                <w:sz w:val="22"/>
                <w:highlight w:val="none"/>
              </w:rPr>
              <w:t>中小企业信用融资</w:t>
            </w:r>
          </w:p>
        </w:tc>
        <w:tc>
          <w:tcPr>
            <w:tcW w:w="3780" w:type="pct"/>
            <w:vAlign w:val="center"/>
          </w:tcPr>
          <w:p>
            <w:pPr>
              <w:keepNext w:val="0"/>
              <w:keepLines w:val="0"/>
              <w:widowControl/>
              <w:suppressLineNumbers w:val="0"/>
              <w:snapToGrid w:val="0"/>
              <w:spacing w:before="0" w:beforeAutospacing="0" w:after="0" w:afterAutospacing="0" w:line="360" w:lineRule="auto"/>
              <w:ind w:left="0" w:right="0"/>
              <w:rPr>
                <w:rFonts w:hint="default"/>
                <w:color w:val="auto"/>
                <w:sz w:val="22"/>
                <w:highlight w:val="none"/>
              </w:rPr>
            </w:pPr>
            <w:r>
              <w:rPr>
                <w:rFonts w:hint="eastAsia"/>
                <w:color w:val="auto"/>
                <w:sz w:val="22"/>
                <w:highlight w:val="none"/>
              </w:rPr>
              <w:t>本项目</w:t>
            </w:r>
            <w:r>
              <w:rPr>
                <w:rFonts w:hint="default"/>
                <w:color w:val="auto"/>
                <w:sz w:val="22"/>
                <w:highlight w:val="none"/>
              </w:rPr>
              <w:t>支持</w:t>
            </w:r>
            <w:r>
              <w:rPr>
                <w:rFonts w:hint="eastAsia"/>
                <w:color w:val="auto"/>
                <w:sz w:val="22"/>
                <w:highlight w:val="none"/>
              </w:rPr>
              <w:t>《杭州市萧山区政府采购支持中小企业信用融资暂行办法》。</w:t>
            </w:r>
          </w:p>
          <w:p>
            <w:pPr>
              <w:keepNext w:val="0"/>
              <w:keepLines w:val="0"/>
              <w:widowControl/>
              <w:suppressLineNumbers w:val="0"/>
              <w:spacing w:before="0" w:beforeAutospacing="0" w:after="0" w:afterAutospacing="0"/>
              <w:ind w:left="0" w:right="0"/>
              <w:rPr>
                <w:rFonts w:hint="default"/>
                <w:color w:val="auto"/>
                <w:sz w:val="22"/>
                <w:highlight w:val="none"/>
              </w:rPr>
            </w:pPr>
            <w:r>
              <w:rPr>
                <w:rFonts w:hint="eastAsia"/>
                <w:color w:val="auto"/>
                <w:sz w:val="22"/>
                <w:highlight w:val="none"/>
              </w:rPr>
              <w:t>有</w:t>
            </w:r>
            <w:r>
              <w:rPr>
                <w:rFonts w:hint="default"/>
                <w:color w:val="auto"/>
                <w:sz w:val="22"/>
                <w:highlight w:val="none"/>
              </w:rPr>
              <w:t>融资需求的中标供应商可参照相关规定及银行方案</w:t>
            </w:r>
            <w:r>
              <w:rPr>
                <w:rFonts w:hint="eastAsia"/>
                <w:color w:val="auto"/>
                <w:sz w:val="22"/>
                <w:highlight w:val="none"/>
              </w:rPr>
              <w:t>凭政府采购合同向相关合作银行提出信用融资（贷款）申请。详见</w:t>
            </w:r>
            <w:r>
              <w:rPr>
                <w:rFonts w:hint="default"/>
                <w:color w:val="auto"/>
                <w:highlight w:val="none"/>
              </w:rPr>
              <w:fldChar w:fldCharType="begin"/>
            </w:r>
            <w:r>
              <w:rPr>
                <w:rFonts w:hint="default"/>
                <w:color w:val="auto"/>
                <w:highlight w:val="none"/>
              </w:rPr>
              <w:instrText xml:space="preserve"> HYPERLINK "http://www.xiaoshan.gov.cn/art/2018/12/20/art_1229293109_1559514.html" </w:instrText>
            </w:r>
            <w:r>
              <w:rPr>
                <w:rFonts w:hint="default"/>
                <w:color w:val="auto"/>
                <w:highlight w:val="none"/>
              </w:rPr>
              <w:fldChar w:fldCharType="separate"/>
            </w:r>
            <w:r>
              <w:rPr>
                <w:rStyle w:val="31"/>
                <w:rFonts w:hint="default" w:ascii="仿宋" w:hAnsi="仿宋" w:eastAsia="仿宋" w:cstheme="majorBidi"/>
                <w:snapToGrid/>
                <w:color w:val="auto"/>
                <w:sz w:val="22"/>
                <w:szCs w:val="24"/>
                <w:highlight w:val="none"/>
              </w:rPr>
              <w:t>http://www.xiaoshan.gov.cn/art/2018/12/20/art_1229293109_1559514.html</w:t>
            </w:r>
            <w:r>
              <w:rPr>
                <w:rStyle w:val="31"/>
                <w:rFonts w:hint="default" w:ascii="仿宋" w:hAnsi="仿宋" w:eastAsia="仿宋" w:cstheme="majorBidi"/>
                <w:snapToGrid/>
                <w:color w:val="auto"/>
                <w:sz w:val="22"/>
                <w:szCs w:val="24"/>
                <w:highlight w:val="none"/>
              </w:rPr>
              <w:fldChar w:fldCharType="end"/>
            </w:r>
          </w:p>
          <w:p>
            <w:pPr>
              <w:keepNext w:val="0"/>
              <w:keepLines w:val="0"/>
              <w:widowControl/>
              <w:suppressLineNumbers w:val="0"/>
              <w:spacing w:before="0" w:beforeAutospacing="0" w:after="0" w:afterAutospacing="0"/>
              <w:ind w:left="0" w:right="0"/>
              <w:rPr>
                <w:rFonts w:hint="default"/>
                <w:color w:val="auto"/>
                <w:sz w:val="22"/>
                <w:highlight w:val="none"/>
              </w:rPr>
            </w:pPr>
          </w:p>
          <w:p>
            <w:pPr>
              <w:keepNext w:val="0"/>
              <w:keepLines w:val="0"/>
              <w:widowControl/>
              <w:suppressLineNumbers w:val="0"/>
              <w:spacing w:before="0" w:beforeAutospacing="0" w:after="0" w:afterAutospacing="0"/>
              <w:ind w:left="0" w:right="0"/>
              <w:rPr>
                <w:rFonts w:hint="default"/>
                <w:color w:val="auto"/>
                <w:highlight w:val="none"/>
              </w:rPr>
            </w:pPr>
            <w:r>
              <w:rPr>
                <w:rFonts w:hint="eastAsia" w:cs="仿宋"/>
                <w:snapToGrid w:val="0"/>
                <w:color w:val="auto"/>
                <w:kern w:val="28"/>
                <w:sz w:val="22"/>
                <w:highlight w:val="none"/>
              </w:rPr>
              <w:t>供应商中标后也可在“政采云”平台申请政采贷：操作路径：登录政采云平台 - 金融服务中心 -【融资服务】，可在热门申请中选择产品直接申请，也可点击云智贷匹配适合产品进行申请，或者在可申请项目中根据该项目进行申请。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1" w:hRule="atLeast"/>
        </w:trPr>
        <w:tc>
          <w:tcPr>
            <w:tcW w:w="304" w:type="pct"/>
            <w:vAlign w:val="center"/>
          </w:tcPr>
          <w:p>
            <w:pPr>
              <w:keepNext w:val="0"/>
              <w:keepLines w:val="0"/>
              <w:widowControl/>
              <w:suppressLineNumbers w:val="0"/>
              <w:spacing w:before="0" w:beforeAutospacing="0" w:after="0" w:afterAutospacing="0"/>
              <w:ind w:left="0" w:right="0"/>
              <w:jc w:val="center"/>
              <w:rPr>
                <w:rFonts w:hint="default"/>
                <w:color w:val="auto"/>
                <w:highlight w:val="none"/>
              </w:rPr>
            </w:pPr>
            <w:r>
              <w:rPr>
                <w:rFonts w:hint="eastAsia"/>
                <w:color w:val="auto"/>
                <w:highlight w:val="none"/>
              </w:rPr>
              <w:t>12</w:t>
            </w:r>
          </w:p>
        </w:tc>
        <w:tc>
          <w:tcPr>
            <w:tcW w:w="914" w:type="pct"/>
            <w:vAlign w:val="center"/>
          </w:tcPr>
          <w:p>
            <w:pPr>
              <w:keepNext w:val="0"/>
              <w:keepLines w:val="0"/>
              <w:widowControl/>
              <w:suppressLineNumbers w:val="0"/>
              <w:spacing w:before="0" w:beforeAutospacing="0" w:after="0" w:afterAutospacing="0"/>
              <w:ind w:left="0" w:right="0"/>
              <w:jc w:val="center"/>
              <w:rPr>
                <w:rFonts w:hint="default"/>
                <w:color w:val="auto"/>
                <w:highlight w:val="none"/>
              </w:rPr>
            </w:pPr>
            <w:r>
              <w:rPr>
                <w:rFonts w:hint="eastAsia" w:cs="仿宋"/>
                <w:b/>
                <w:color w:val="auto"/>
                <w:sz w:val="22"/>
                <w:highlight w:val="none"/>
              </w:rPr>
              <w:t>备份投标文件</w:t>
            </w:r>
          </w:p>
        </w:tc>
        <w:tc>
          <w:tcPr>
            <w:tcW w:w="3780" w:type="pct"/>
            <w:vAlign w:val="center"/>
          </w:tcPr>
          <w:p>
            <w:pPr>
              <w:keepNext w:val="0"/>
              <w:keepLines w:val="0"/>
              <w:widowControl/>
              <w:suppressLineNumbers w:val="0"/>
              <w:spacing w:before="0" w:beforeAutospacing="0" w:after="0" w:afterAutospacing="0"/>
              <w:ind w:left="0" w:right="0"/>
              <w:rPr>
                <w:rFonts w:hint="default"/>
                <w:color w:val="auto"/>
                <w:highlight w:val="none"/>
              </w:rPr>
            </w:pPr>
            <w:r>
              <w:rPr>
                <w:rFonts w:hint="eastAsia" w:ascii="仿宋" w:hAnsi="仿宋" w:eastAsia="仿宋" w:cs="仿宋"/>
                <w:color w:val="auto"/>
                <w:kern w:val="28"/>
                <w:sz w:val="22"/>
                <w:szCs w:val="24"/>
                <w:highlight w:val="none"/>
              </w:rPr>
              <w:t>备份文件是否收取：不收取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4" w:hRule="atLeast"/>
        </w:trPr>
        <w:tc>
          <w:tcPr>
            <w:tcW w:w="304" w:type="pct"/>
            <w:vAlign w:val="center"/>
          </w:tcPr>
          <w:p>
            <w:pPr>
              <w:keepNext w:val="0"/>
              <w:keepLines w:val="0"/>
              <w:widowControl/>
              <w:suppressLineNumbers w:val="0"/>
              <w:spacing w:before="0" w:beforeAutospacing="0" w:after="0" w:afterAutospacing="0"/>
              <w:ind w:left="0" w:right="0"/>
              <w:jc w:val="center"/>
              <w:rPr>
                <w:rFonts w:hint="default"/>
                <w:color w:val="auto"/>
                <w:highlight w:val="none"/>
              </w:rPr>
            </w:pPr>
            <w:r>
              <w:rPr>
                <w:rFonts w:hint="eastAsia"/>
                <w:color w:val="auto"/>
                <w:highlight w:val="none"/>
              </w:rPr>
              <w:t>13</w:t>
            </w:r>
          </w:p>
        </w:tc>
        <w:tc>
          <w:tcPr>
            <w:tcW w:w="914" w:type="pct"/>
            <w:vAlign w:val="center"/>
          </w:tcPr>
          <w:p>
            <w:pPr>
              <w:keepNext w:val="0"/>
              <w:keepLines w:val="0"/>
              <w:widowControl/>
              <w:suppressLineNumbers w:val="0"/>
              <w:spacing w:before="0" w:beforeAutospacing="0" w:after="0" w:afterAutospacing="0"/>
              <w:ind w:left="0" w:right="0"/>
              <w:jc w:val="center"/>
              <w:rPr>
                <w:rFonts w:hint="default"/>
                <w:color w:val="auto"/>
                <w:highlight w:val="none"/>
              </w:rPr>
            </w:pPr>
            <w:r>
              <w:rPr>
                <w:rFonts w:hint="eastAsia"/>
                <w:b/>
                <w:color w:val="auto"/>
                <w:sz w:val="22"/>
                <w:highlight w:val="none"/>
              </w:rPr>
              <w:t>采购机构代理费用</w:t>
            </w:r>
          </w:p>
        </w:tc>
        <w:tc>
          <w:tcPr>
            <w:tcW w:w="3780" w:type="pct"/>
            <w:vAlign w:val="center"/>
          </w:tcPr>
          <w:p>
            <w:pPr>
              <w:keepNext w:val="0"/>
              <w:keepLines w:val="0"/>
              <w:widowControl/>
              <w:suppressLineNumbers w:val="0"/>
              <w:spacing w:before="0" w:beforeAutospacing="0" w:after="0" w:afterAutospacing="0"/>
              <w:ind w:left="0" w:right="0"/>
              <w:rPr>
                <w:rFonts w:hint="default" w:ascii="仿宋" w:hAnsi="仿宋" w:eastAsia="仿宋" w:cs="仿宋"/>
                <w:color w:val="auto"/>
                <w:kern w:val="28"/>
                <w:sz w:val="22"/>
                <w:szCs w:val="24"/>
                <w:highlight w:val="none"/>
              </w:rPr>
            </w:pPr>
            <w:r>
              <w:rPr>
                <w:rFonts w:hint="eastAsia" w:ascii="仿宋" w:hAnsi="仿宋" w:eastAsia="仿宋" w:cs="仿宋"/>
                <w:color w:val="auto"/>
                <w:kern w:val="28"/>
                <w:sz w:val="22"/>
                <w:szCs w:val="24"/>
                <w:highlight w:val="none"/>
              </w:rPr>
              <w:t>本项目的采购代理费由</w:t>
            </w:r>
            <w:r>
              <w:rPr>
                <w:rFonts w:hint="eastAsia" w:ascii="仿宋" w:hAnsi="仿宋" w:eastAsia="仿宋" w:cs="仿宋"/>
                <w:color w:val="auto"/>
                <w:kern w:val="28"/>
                <w:sz w:val="22"/>
                <w:szCs w:val="24"/>
                <w:highlight w:val="none"/>
                <w:lang w:eastAsia="zh-CN"/>
              </w:rPr>
              <w:t>中标</w:t>
            </w:r>
            <w:r>
              <w:rPr>
                <w:rFonts w:hint="eastAsia" w:ascii="仿宋" w:hAnsi="仿宋" w:eastAsia="仿宋" w:cs="仿宋"/>
                <w:color w:val="auto"/>
                <w:kern w:val="28"/>
                <w:sz w:val="22"/>
                <w:szCs w:val="24"/>
                <w:highlight w:val="none"/>
              </w:rPr>
              <w:t>人支付。</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4" w:hRule="atLeast"/>
        </w:trPr>
        <w:tc>
          <w:tcPr>
            <w:tcW w:w="304" w:type="pct"/>
            <w:vAlign w:val="center"/>
          </w:tcPr>
          <w:p>
            <w:pPr>
              <w:keepNext w:val="0"/>
              <w:keepLines w:val="0"/>
              <w:widowControl/>
              <w:suppressLineNumbers w:val="0"/>
              <w:spacing w:before="0" w:beforeAutospacing="0" w:after="0" w:afterAutospacing="0"/>
              <w:ind w:left="0" w:right="0"/>
              <w:jc w:val="center"/>
              <w:rPr>
                <w:rFonts w:hint="default"/>
                <w:color w:val="auto"/>
                <w:highlight w:val="none"/>
              </w:rPr>
            </w:pPr>
            <w:r>
              <w:rPr>
                <w:rFonts w:hint="eastAsia"/>
                <w:color w:val="auto"/>
                <w:highlight w:val="none"/>
              </w:rPr>
              <w:t>14</w:t>
            </w:r>
          </w:p>
        </w:tc>
        <w:tc>
          <w:tcPr>
            <w:tcW w:w="914" w:type="pct"/>
            <w:vAlign w:val="center"/>
          </w:tcPr>
          <w:p>
            <w:pPr>
              <w:keepNext w:val="0"/>
              <w:keepLines w:val="0"/>
              <w:widowControl/>
              <w:suppressLineNumbers w:val="0"/>
              <w:spacing w:before="0" w:beforeAutospacing="0" w:after="0" w:afterAutospacing="0"/>
              <w:ind w:left="0" w:right="0"/>
              <w:jc w:val="center"/>
              <w:rPr>
                <w:rFonts w:hint="default"/>
                <w:color w:val="auto"/>
                <w:highlight w:val="none"/>
              </w:rPr>
            </w:pPr>
            <w:r>
              <w:rPr>
                <w:rFonts w:hint="eastAsia" w:cs="仿宋"/>
                <w:b/>
                <w:color w:val="auto"/>
                <w:sz w:val="22"/>
                <w:highlight w:val="none"/>
              </w:rPr>
              <w:t>履约保证金</w:t>
            </w:r>
          </w:p>
        </w:tc>
        <w:tc>
          <w:tcPr>
            <w:tcW w:w="3780" w:type="pct"/>
            <w:vAlign w:val="center"/>
          </w:tcPr>
          <w:p>
            <w:pPr>
              <w:pStyle w:val="17"/>
              <w:keepNext w:val="0"/>
              <w:keepLines w:val="0"/>
              <w:suppressLineNumbers w:val="0"/>
              <w:spacing w:before="0" w:beforeAutospacing="0" w:afterAutospacing="0" w:line="360" w:lineRule="auto"/>
              <w:ind w:left="0" w:right="0" w:hanging="4"/>
              <w:rPr>
                <w:rFonts w:hint="default" w:ascii="仿宋" w:hAnsi="仿宋" w:eastAsia="仿宋"/>
                <w:color w:val="auto"/>
                <w:sz w:val="22"/>
                <w:highlight w:val="none"/>
              </w:rPr>
            </w:pPr>
            <w:r>
              <w:rPr>
                <w:rFonts w:hint="eastAsia" w:ascii="仿宋" w:hAnsi="仿宋" w:eastAsia="仿宋"/>
                <w:color w:val="auto"/>
                <w:sz w:val="22"/>
                <w:highlight w:val="none"/>
              </w:rPr>
              <w:t>履约保证金：收取</w:t>
            </w:r>
            <w:r>
              <w:rPr>
                <w:rFonts w:hint="eastAsia" w:ascii="仿宋" w:hAnsi="仿宋" w:eastAsia="仿宋"/>
                <w:color w:val="auto"/>
                <w:sz w:val="22"/>
                <w:highlight w:val="none"/>
                <w:lang w:val="en-US" w:eastAsia="zh-CN"/>
              </w:rPr>
              <w:t>1</w:t>
            </w:r>
            <w:r>
              <w:rPr>
                <w:rFonts w:hint="eastAsia" w:ascii="仿宋" w:hAnsi="仿宋" w:eastAsia="仿宋"/>
                <w:color w:val="auto"/>
                <w:sz w:val="22"/>
                <w:highlight w:val="none"/>
              </w:rPr>
              <w:t>%，合同签订后支付，履约完成后无息退还。</w:t>
            </w:r>
          </w:p>
          <w:p>
            <w:pPr>
              <w:keepNext w:val="0"/>
              <w:keepLines w:val="0"/>
              <w:widowControl/>
              <w:suppressLineNumbers w:val="0"/>
              <w:spacing w:before="0" w:beforeAutospacing="0" w:after="0" w:afterAutospacing="0"/>
              <w:ind w:left="0" w:right="0"/>
              <w:rPr>
                <w:rFonts w:hint="default"/>
                <w:color w:val="auto"/>
                <w:highlight w:val="none"/>
              </w:rPr>
            </w:pPr>
            <w:r>
              <w:rPr>
                <w:rFonts w:hint="eastAsia" w:cs="仿宋_GB2312"/>
                <w:color w:val="auto"/>
                <w:sz w:val="22"/>
                <w:highlight w:val="none"/>
              </w:rPr>
              <w:t>供应商应当以支票、汇票、本票或者金融机构、担保机构出具的保函等非现金形式提交。</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1" w:hRule="atLeast"/>
        </w:trPr>
        <w:tc>
          <w:tcPr>
            <w:tcW w:w="304" w:type="pct"/>
            <w:vAlign w:val="center"/>
          </w:tcPr>
          <w:p>
            <w:pPr>
              <w:keepNext w:val="0"/>
              <w:keepLines w:val="0"/>
              <w:widowControl/>
              <w:suppressLineNumbers w:val="0"/>
              <w:spacing w:before="0" w:beforeAutospacing="0" w:after="0" w:afterAutospacing="0"/>
              <w:ind w:left="0" w:right="0"/>
              <w:jc w:val="center"/>
              <w:rPr>
                <w:rFonts w:hint="default"/>
                <w:color w:val="auto"/>
                <w:highlight w:val="none"/>
              </w:rPr>
            </w:pPr>
            <w:r>
              <w:rPr>
                <w:rFonts w:hint="eastAsia"/>
                <w:color w:val="auto"/>
                <w:highlight w:val="none"/>
              </w:rPr>
              <w:t>15</w:t>
            </w:r>
          </w:p>
        </w:tc>
        <w:tc>
          <w:tcPr>
            <w:tcW w:w="914" w:type="pct"/>
            <w:vAlign w:val="center"/>
          </w:tcPr>
          <w:p>
            <w:pPr>
              <w:keepNext w:val="0"/>
              <w:keepLines w:val="0"/>
              <w:widowControl/>
              <w:suppressLineNumbers w:val="0"/>
              <w:spacing w:before="0" w:beforeAutospacing="0" w:after="0" w:afterAutospacing="0"/>
              <w:ind w:left="0" w:right="0"/>
              <w:jc w:val="center"/>
              <w:rPr>
                <w:rFonts w:hint="default"/>
                <w:color w:val="auto"/>
                <w:highlight w:val="none"/>
              </w:rPr>
            </w:pPr>
            <w:r>
              <w:rPr>
                <w:rFonts w:hint="eastAsia" w:cs="仿宋"/>
                <w:b/>
                <w:color w:val="auto"/>
                <w:sz w:val="22"/>
                <w:highlight w:val="none"/>
              </w:rPr>
              <w:t>资格审查和信用信息审查</w:t>
            </w:r>
          </w:p>
        </w:tc>
        <w:tc>
          <w:tcPr>
            <w:tcW w:w="3780" w:type="pct"/>
            <w:vAlign w:val="center"/>
          </w:tcPr>
          <w:p>
            <w:pPr>
              <w:keepNext w:val="0"/>
              <w:keepLines w:val="0"/>
              <w:widowControl/>
              <w:suppressLineNumbers w:val="0"/>
              <w:spacing w:before="0" w:beforeAutospacing="0" w:after="0" w:afterAutospacing="0"/>
              <w:ind w:left="0" w:right="0"/>
              <w:rPr>
                <w:rFonts w:hint="default"/>
                <w:color w:val="auto"/>
                <w:highlight w:val="none"/>
              </w:rPr>
            </w:pPr>
            <w:r>
              <w:rPr>
                <w:rFonts w:hint="eastAsia" w:cs="仿宋_GB2312"/>
                <w:color w:val="auto"/>
                <w:sz w:val="22"/>
                <w:highlight w:val="none"/>
              </w:rPr>
              <w:t>本项目</w:t>
            </w:r>
            <w:r>
              <w:rPr>
                <w:rFonts w:hint="default" w:cs="仿宋_GB2312"/>
                <w:color w:val="auto"/>
                <w:sz w:val="22"/>
                <w:highlight w:val="none"/>
              </w:rPr>
              <w:t>由采购人</w:t>
            </w:r>
            <w:r>
              <w:rPr>
                <w:rFonts w:hint="eastAsia" w:cs="仿宋_GB2312"/>
                <w:color w:val="auto"/>
                <w:sz w:val="22"/>
                <w:highlight w:val="none"/>
              </w:rPr>
              <w:t>进行</w:t>
            </w:r>
            <w:r>
              <w:rPr>
                <w:rFonts w:hint="default" w:cs="仿宋_GB2312"/>
                <w:color w:val="auto"/>
                <w:sz w:val="22"/>
                <w:highlight w:val="none"/>
              </w:rPr>
              <w:t>资格文件</w:t>
            </w:r>
            <w:r>
              <w:rPr>
                <w:rFonts w:hint="eastAsia" w:cs="仿宋_GB2312"/>
                <w:color w:val="auto"/>
                <w:sz w:val="22"/>
                <w:highlight w:val="none"/>
              </w:rPr>
              <w:t>及</w:t>
            </w:r>
            <w:r>
              <w:rPr>
                <w:rFonts w:hint="default" w:cs="仿宋_GB2312"/>
                <w:color w:val="auto"/>
                <w:sz w:val="22"/>
                <w:highlight w:val="none"/>
              </w:rPr>
              <w:t>信用信息</w:t>
            </w:r>
            <w:r>
              <w:rPr>
                <w:rFonts w:hint="eastAsia" w:cs="仿宋_GB2312"/>
                <w:color w:val="auto"/>
                <w:sz w:val="22"/>
                <w:highlight w:val="none"/>
              </w:rPr>
              <w:t>查询</w:t>
            </w:r>
            <w:r>
              <w:rPr>
                <w:rFonts w:hint="default" w:cs="仿宋_GB2312"/>
                <w:color w:val="auto"/>
                <w:sz w:val="22"/>
                <w:highlight w:val="none"/>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4" w:hRule="atLeast"/>
        </w:trPr>
        <w:tc>
          <w:tcPr>
            <w:tcW w:w="304" w:type="pct"/>
            <w:vAlign w:val="center"/>
          </w:tcPr>
          <w:p>
            <w:pPr>
              <w:keepNext w:val="0"/>
              <w:keepLines w:val="0"/>
              <w:widowControl/>
              <w:suppressLineNumbers w:val="0"/>
              <w:spacing w:before="0" w:beforeAutospacing="0" w:after="0" w:afterAutospacing="0"/>
              <w:ind w:left="0" w:right="0"/>
              <w:jc w:val="center"/>
              <w:rPr>
                <w:rFonts w:hint="default"/>
                <w:color w:val="auto"/>
                <w:highlight w:val="none"/>
              </w:rPr>
            </w:pPr>
            <w:r>
              <w:rPr>
                <w:rFonts w:hint="eastAsia"/>
                <w:color w:val="auto"/>
                <w:highlight w:val="none"/>
              </w:rPr>
              <w:t>16</w:t>
            </w:r>
          </w:p>
        </w:tc>
        <w:tc>
          <w:tcPr>
            <w:tcW w:w="914" w:type="pct"/>
            <w:vAlign w:val="center"/>
          </w:tcPr>
          <w:p>
            <w:pPr>
              <w:keepNext w:val="0"/>
              <w:keepLines w:val="0"/>
              <w:widowControl/>
              <w:suppressLineNumbers w:val="0"/>
              <w:spacing w:before="0" w:beforeAutospacing="0" w:after="0" w:afterAutospacing="0"/>
              <w:ind w:left="0" w:right="0"/>
              <w:jc w:val="center"/>
              <w:rPr>
                <w:rFonts w:hint="default"/>
                <w:color w:val="auto"/>
                <w:highlight w:val="none"/>
              </w:rPr>
            </w:pPr>
            <w:r>
              <w:rPr>
                <w:rFonts w:hint="eastAsia" w:cs="仿宋"/>
                <w:b/>
                <w:color w:val="auto"/>
                <w:sz w:val="22"/>
                <w:highlight w:val="none"/>
              </w:rPr>
              <w:t>质疑接收人及答复</w:t>
            </w:r>
          </w:p>
        </w:tc>
        <w:tc>
          <w:tcPr>
            <w:tcW w:w="3780" w:type="pct"/>
            <w:vAlign w:val="center"/>
          </w:tcPr>
          <w:p>
            <w:pPr>
              <w:keepNext w:val="0"/>
              <w:keepLines w:val="0"/>
              <w:widowControl/>
              <w:suppressLineNumbers w:val="0"/>
              <w:snapToGrid w:val="0"/>
              <w:spacing w:before="0" w:beforeAutospacing="0" w:after="0" w:afterAutospacing="0" w:line="360" w:lineRule="auto"/>
              <w:ind w:left="0" w:right="0"/>
              <w:rPr>
                <w:rFonts w:hint="default" w:ascii="仿宋" w:hAnsi="仿宋" w:eastAsia="仿宋" w:cs="仿宋"/>
                <w:color w:val="auto"/>
                <w:sz w:val="24"/>
                <w:highlight w:val="none"/>
                <w:u w:val="single"/>
                <w:lang w:val="en-US" w:eastAsia="zh-CN"/>
              </w:rPr>
            </w:pPr>
            <w:r>
              <w:rPr>
                <w:rFonts w:hint="eastAsia" w:ascii="仿宋" w:hAnsi="仿宋" w:eastAsia="仿宋" w:cs="仿宋"/>
                <w:color w:val="auto"/>
                <w:sz w:val="24"/>
                <w:highlight w:val="none"/>
              </w:rPr>
              <w:t>采购人质疑接收人：</w:t>
            </w:r>
            <w:r>
              <w:rPr>
                <w:rFonts w:hint="eastAsia" w:ascii="仿宋" w:hAnsi="仿宋" w:eastAsia="仿宋" w:cs="仿宋"/>
                <w:color w:val="auto"/>
                <w:sz w:val="24"/>
                <w:highlight w:val="none"/>
                <w:u w:val="single"/>
              </w:rPr>
              <w:t>谭女士</w:t>
            </w:r>
            <w:r>
              <w:rPr>
                <w:rFonts w:hint="eastAsia" w:ascii="仿宋" w:hAnsi="仿宋" w:eastAsia="仿宋"/>
                <w:color w:val="auto"/>
                <w:sz w:val="24"/>
                <w:szCs w:val="28"/>
                <w:highlight w:val="none"/>
                <w:u w:val="single"/>
                <w:lang w:val="en-US" w:eastAsia="zh-CN"/>
              </w:rPr>
              <w:t xml:space="preserve"> </w:t>
            </w:r>
            <w:r>
              <w:rPr>
                <w:rFonts w:hint="eastAsia" w:ascii="仿宋" w:hAnsi="仿宋" w:eastAsia="仿宋" w:cs="仿宋"/>
                <w:color w:val="auto"/>
                <w:sz w:val="24"/>
                <w:highlight w:val="none"/>
              </w:rPr>
              <w:t>联系方式：</w:t>
            </w:r>
            <w:r>
              <w:rPr>
                <w:rFonts w:hint="eastAsia" w:ascii="仿宋" w:hAnsi="仿宋" w:eastAsia="仿宋" w:cs="仿宋"/>
                <w:color w:val="auto"/>
                <w:sz w:val="24"/>
                <w:highlight w:val="none"/>
                <w:u w:val="single"/>
              </w:rPr>
              <w:t>0571-82419573</w:t>
            </w:r>
          </w:p>
          <w:p>
            <w:pPr>
              <w:keepNext w:val="0"/>
              <w:keepLines w:val="0"/>
              <w:widowControl/>
              <w:suppressLineNumbers w:val="0"/>
              <w:snapToGrid w:val="0"/>
              <w:spacing w:before="0" w:beforeAutospacing="0" w:after="0" w:afterAutospacing="0" w:line="360" w:lineRule="auto"/>
              <w:ind w:left="0" w:right="0"/>
              <w:rPr>
                <w:rFonts w:hint="default" w:ascii="仿宋" w:hAnsi="仿宋" w:eastAsia="仿宋" w:cs="仿宋"/>
                <w:color w:val="auto"/>
                <w:sz w:val="24"/>
                <w:highlight w:val="none"/>
                <w:u w:val="single"/>
                <w:lang w:val="en-US" w:eastAsia="zh-CN"/>
              </w:rPr>
            </w:pPr>
            <w:r>
              <w:rPr>
                <w:rFonts w:hint="eastAsia" w:ascii="仿宋" w:hAnsi="仿宋" w:eastAsia="仿宋" w:cs="仿宋"/>
                <w:color w:val="auto"/>
                <w:sz w:val="24"/>
                <w:highlight w:val="none"/>
              </w:rPr>
              <w:t>地址：</w:t>
            </w:r>
            <w:r>
              <w:rPr>
                <w:rFonts w:hint="eastAsia" w:ascii="仿宋" w:hAnsi="仿宋" w:eastAsia="仿宋" w:cs="仿宋"/>
                <w:color w:val="auto"/>
                <w:sz w:val="24"/>
                <w:highlight w:val="none"/>
                <w:u w:val="single"/>
                <w:lang w:val="en-US" w:eastAsia="zh-CN"/>
              </w:rPr>
              <w:t>萧山区义桥镇东方路138号</w:t>
            </w:r>
          </w:p>
          <w:p>
            <w:pPr>
              <w:keepNext w:val="0"/>
              <w:keepLines w:val="0"/>
              <w:widowControl/>
              <w:suppressLineNumbers w:val="0"/>
              <w:snapToGrid w:val="0"/>
              <w:spacing w:before="0" w:beforeAutospacing="0" w:after="0" w:afterAutospacing="0" w:line="360" w:lineRule="auto"/>
              <w:ind w:left="0" w:right="0"/>
              <w:rPr>
                <w:rFonts w:hint="default" w:ascii="仿宋" w:hAnsi="仿宋" w:eastAsia="仿宋" w:cs="仿宋"/>
                <w:color w:val="auto"/>
                <w:sz w:val="24"/>
                <w:highlight w:val="none"/>
                <w:u w:val="single"/>
              </w:rPr>
            </w:pPr>
            <w:r>
              <w:rPr>
                <w:rFonts w:hint="eastAsia" w:ascii="仿宋" w:hAnsi="仿宋" w:eastAsia="仿宋" w:cs="仿宋"/>
                <w:color w:val="auto"/>
                <w:sz w:val="24"/>
                <w:highlight w:val="none"/>
              </w:rPr>
              <w:t>采购机构质疑接收人：</w:t>
            </w:r>
            <w:r>
              <w:rPr>
                <w:rFonts w:hint="eastAsia" w:ascii="仿宋" w:hAnsi="仿宋" w:eastAsia="仿宋" w:cs="仿宋"/>
                <w:color w:val="auto"/>
                <w:sz w:val="24"/>
                <w:highlight w:val="none"/>
                <w:u w:val="single"/>
                <w:lang w:eastAsia="zh-CN"/>
              </w:rPr>
              <w:t>沈一凯</w:t>
            </w:r>
            <w:r>
              <w:rPr>
                <w:rFonts w:hint="eastAsia" w:ascii="仿宋" w:hAnsi="仿宋" w:eastAsia="仿宋" w:cs="仿宋"/>
                <w:color w:val="auto"/>
                <w:sz w:val="24"/>
                <w:highlight w:val="none"/>
              </w:rPr>
              <w:t xml:space="preserve"> 联系方式：</w:t>
            </w:r>
            <w:r>
              <w:rPr>
                <w:rFonts w:hint="eastAsia" w:ascii="仿宋" w:hAnsi="仿宋" w:eastAsia="仿宋" w:cs="仿宋"/>
                <w:color w:val="auto"/>
                <w:sz w:val="24"/>
                <w:highlight w:val="none"/>
                <w:u w:val="single"/>
              </w:rPr>
              <w:t>13588280298</w:t>
            </w:r>
          </w:p>
          <w:p>
            <w:pPr>
              <w:keepNext w:val="0"/>
              <w:keepLines w:val="0"/>
              <w:widowControl/>
              <w:suppressLineNumbers w:val="0"/>
              <w:snapToGrid w:val="0"/>
              <w:spacing w:before="0" w:beforeAutospacing="0" w:after="0" w:afterAutospacing="0" w:line="360" w:lineRule="auto"/>
              <w:ind w:left="0" w:right="0"/>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地址：</w:t>
            </w:r>
            <w:r>
              <w:rPr>
                <w:rFonts w:hint="eastAsia" w:ascii="仿宋" w:hAnsi="仿宋" w:eastAsia="仿宋" w:cs="仿宋"/>
                <w:color w:val="auto"/>
                <w:sz w:val="24"/>
                <w:highlight w:val="none"/>
                <w:u w:val="single"/>
              </w:rPr>
              <w:t>杭州市萧山区金惠路358号汇通大厦2幢1004室</w:t>
            </w:r>
          </w:p>
          <w:p>
            <w:pPr>
              <w:keepNext w:val="0"/>
              <w:keepLines w:val="0"/>
              <w:widowControl/>
              <w:suppressLineNumbers w:val="0"/>
              <w:snapToGrid w:val="0"/>
              <w:spacing w:before="0" w:beforeAutospacing="0" w:after="0" w:afterAutospacing="0" w:line="360" w:lineRule="auto"/>
              <w:ind w:left="0" w:right="0"/>
              <w:rPr>
                <w:rFonts w:hint="default" w:ascii="仿宋" w:hAnsi="仿宋" w:eastAsia="仿宋" w:cs="仿宋"/>
                <w:color w:val="auto"/>
                <w:sz w:val="24"/>
                <w:highlight w:val="none"/>
                <w:u w:val="single"/>
              </w:rPr>
            </w:pPr>
            <w:r>
              <w:rPr>
                <w:rFonts w:hint="eastAsia" w:ascii="仿宋" w:hAnsi="仿宋" w:eastAsia="仿宋" w:cs="仿宋"/>
                <w:color w:val="auto"/>
                <w:sz w:val="24"/>
                <w:highlight w:val="none"/>
              </w:rPr>
              <w:t>邮箱：</w:t>
            </w:r>
            <w:r>
              <w:rPr>
                <w:rFonts w:hint="eastAsia" w:ascii="仿宋" w:hAnsi="仿宋" w:eastAsia="仿宋" w:cs="仿宋"/>
                <w:color w:val="auto"/>
                <w:sz w:val="24"/>
                <w:highlight w:val="none"/>
                <w:u w:val="single"/>
                <w:lang w:val="en-US" w:eastAsia="zh-CN"/>
              </w:rPr>
              <w:t>1309561371</w:t>
            </w:r>
            <w:r>
              <w:rPr>
                <w:rFonts w:hint="eastAsia" w:ascii="仿宋" w:hAnsi="仿宋" w:eastAsia="仿宋" w:cs="仿宋"/>
                <w:color w:val="auto"/>
                <w:sz w:val="24"/>
                <w:highlight w:val="none"/>
                <w:u w:val="single"/>
              </w:rPr>
              <w:t>@qq.com</w:t>
            </w:r>
          </w:p>
          <w:p>
            <w:pPr>
              <w:keepNext w:val="0"/>
              <w:keepLines w:val="0"/>
              <w:widowControl/>
              <w:suppressLineNumbers w:val="0"/>
              <w:snapToGrid w:val="0"/>
              <w:spacing w:before="0" w:beforeAutospacing="0" w:after="0" w:afterAutospacing="0" w:line="360" w:lineRule="auto"/>
              <w:ind w:left="0" w:right="0"/>
              <w:rPr>
                <w:rFonts w:hint="default" w:ascii="仿宋" w:hAnsi="仿宋" w:eastAsia="仿宋" w:cs="仿宋"/>
                <w:b/>
                <w:color w:val="auto"/>
                <w:sz w:val="24"/>
                <w:highlight w:val="none"/>
              </w:rPr>
            </w:pPr>
            <w:r>
              <w:rPr>
                <w:rFonts w:hint="eastAsia" w:ascii="仿宋" w:hAnsi="仿宋" w:eastAsia="仿宋" w:cs="仿宋"/>
                <w:b/>
                <w:color w:val="auto"/>
                <w:sz w:val="24"/>
                <w:highlight w:val="none"/>
              </w:rPr>
              <w:t>如通过邮箱方式发送质疑，须提交符合法规及招标文件要求的质疑文件（参考附件</w:t>
            </w:r>
            <w:r>
              <w:rPr>
                <w:rFonts w:hint="eastAsia" w:cs="仿宋"/>
                <w:b/>
                <w:color w:val="auto"/>
                <w:sz w:val="24"/>
                <w:highlight w:val="none"/>
                <w:lang w:val="en-US" w:eastAsia="zh-CN"/>
              </w:rPr>
              <w:t>2</w:t>
            </w:r>
            <w:r>
              <w:rPr>
                <w:rFonts w:hint="eastAsia" w:ascii="仿宋" w:hAnsi="仿宋" w:eastAsia="仿宋" w:cs="仿宋"/>
                <w:b/>
                <w:color w:val="auto"/>
                <w:sz w:val="24"/>
                <w:highlight w:val="none"/>
              </w:rPr>
              <w:t>），盖章扫描后发送，质疑的受理按答复主体划分以采购人或采购机构邮箱回复确认受理为准。</w:t>
            </w:r>
          </w:p>
          <w:p>
            <w:pPr>
              <w:keepNext w:val="0"/>
              <w:keepLines w:val="0"/>
              <w:widowControl/>
              <w:suppressLineNumbers w:val="0"/>
              <w:snapToGrid w:val="0"/>
              <w:spacing w:before="0" w:beforeAutospacing="0" w:after="0" w:afterAutospacing="0" w:line="360" w:lineRule="auto"/>
              <w:ind w:left="0" w:right="0"/>
              <w:rPr>
                <w:rFonts w:hint="default" w:ascii="仿宋" w:hAnsi="仿宋" w:eastAsia="仿宋" w:cs="仿宋"/>
                <w:color w:val="auto"/>
                <w:sz w:val="24"/>
                <w:highlight w:val="none"/>
              </w:rPr>
            </w:pPr>
            <w:r>
              <w:rPr>
                <w:rFonts w:hint="eastAsia" w:ascii="仿宋" w:hAnsi="仿宋" w:eastAsia="仿宋" w:cs="仿宋"/>
                <w:color w:val="auto"/>
                <w:sz w:val="24"/>
                <w:highlight w:val="none"/>
              </w:rPr>
              <w:t>本项目涉及资格条件、采购需求、评分办法及采购过程中有关现场考察或开标前答疑会事项由采购人进行答复。</w:t>
            </w:r>
          </w:p>
          <w:p>
            <w:pPr>
              <w:keepNext w:val="0"/>
              <w:keepLines w:val="0"/>
              <w:widowControl/>
              <w:suppressLineNumbers w:val="0"/>
              <w:spacing w:before="0" w:beforeAutospacing="0" w:after="0" w:afterAutospacing="0"/>
              <w:ind w:left="0" w:right="0"/>
              <w:rPr>
                <w:rFonts w:hint="default"/>
                <w:color w:val="auto"/>
                <w:highlight w:val="none"/>
              </w:rPr>
            </w:pPr>
            <w:r>
              <w:rPr>
                <w:rFonts w:hint="eastAsia" w:ascii="仿宋" w:hAnsi="仿宋" w:eastAsia="仿宋" w:cs="仿宋"/>
                <w:color w:val="auto"/>
                <w:sz w:val="24"/>
                <w:highlight w:val="none"/>
              </w:rPr>
              <w:t>涉及流程组织等相关事项，由采购机构进行答复。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7" w:hRule="atLeast"/>
        </w:trPr>
        <w:tc>
          <w:tcPr>
            <w:tcW w:w="304" w:type="pct"/>
            <w:vAlign w:val="center"/>
          </w:tcPr>
          <w:p>
            <w:pPr>
              <w:keepNext w:val="0"/>
              <w:keepLines w:val="0"/>
              <w:widowControl/>
              <w:suppressLineNumbers w:val="0"/>
              <w:spacing w:before="0" w:beforeAutospacing="0" w:after="0" w:afterAutospacing="0"/>
              <w:ind w:left="0" w:right="0"/>
              <w:jc w:val="center"/>
              <w:rPr>
                <w:rFonts w:hint="default"/>
                <w:color w:val="auto"/>
                <w:highlight w:val="none"/>
              </w:rPr>
            </w:pPr>
            <w:r>
              <w:rPr>
                <w:rFonts w:hint="eastAsia"/>
                <w:color w:val="auto"/>
                <w:highlight w:val="none"/>
              </w:rPr>
              <w:t>17</w:t>
            </w:r>
          </w:p>
        </w:tc>
        <w:tc>
          <w:tcPr>
            <w:tcW w:w="914" w:type="pct"/>
            <w:vAlign w:val="center"/>
          </w:tcPr>
          <w:p>
            <w:pPr>
              <w:keepNext w:val="0"/>
              <w:keepLines w:val="0"/>
              <w:widowControl/>
              <w:suppressLineNumbers w:val="0"/>
              <w:spacing w:before="0" w:beforeAutospacing="0" w:after="0" w:afterAutospacing="0"/>
              <w:ind w:left="0" w:right="0"/>
              <w:jc w:val="center"/>
              <w:rPr>
                <w:rFonts w:hint="default"/>
                <w:color w:val="auto"/>
                <w:highlight w:val="none"/>
              </w:rPr>
            </w:pPr>
            <w:r>
              <w:rPr>
                <w:rFonts w:hint="eastAsia" w:cs="仿宋"/>
                <w:b/>
                <w:color w:val="auto"/>
                <w:sz w:val="22"/>
                <w:highlight w:val="none"/>
              </w:rPr>
              <w:t>特别说明</w:t>
            </w:r>
          </w:p>
        </w:tc>
        <w:tc>
          <w:tcPr>
            <w:tcW w:w="3780" w:type="pct"/>
            <w:vAlign w:val="center"/>
          </w:tcPr>
          <w:p>
            <w:pPr>
              <w:keepNext w:val="0"/>
              <w:keepLines w:val="0"/>
              <w:widowControl/>
              <w:suppressLineNumbers w:val="0"/>
              <w:spacing w:before="0" w:beforeAutospacing="0" w:after="0" w:afterAutospacing="0"/>
              <w:ind w:left="0" w:right="0"/>
              <w:rPr>
                <w:rFonts w:hint="default"/>
                <w:b/>
                <w:color w:val="auto"/>
                <w:sz w:val="22"/>
                <w:highlight w:val="none"/>
              </w:rPr>
            </w:pPr>
            <w:r>
              <w:rPr>
                <w:rFonts w:hint="eastAsia"/>
                <w:b/>
                <w:color w:val="auto"/>
                <w:sz w:val="22"/>
                <w:highlight w:val="none"/>
              </w:rPr>
              <w:t>严格执行预算限价，项目如涉及办公用房装修、通用办公设备家具的不得超限额标准。</w:t>
            </w:r>
          </w:p>
          <w:p>
            <w:pPr>
              <w:keepNext w:val="0"/>
              <w:keepLines w:val="0"/>
              <w:widowControl/>
              <w:suppressLineNumbers w:val="0"/>
              <w:spacing w:before="0" w:beforeAutospacing="0" w:after="0" w:afterAutospacing="0"/>
              <w:ind w:left="0" w:right="0"/>
              <w:rPr>
                <w:rFonts w:hint="default"/>
                <w:color w:val="auto"/>
                <w:highlight w:val="none"/>
              </w:rPr>
            </w:pPr>
            <w:r>
              <w:rPr>
                <w:rFonts w:hint="eastAsia"/>
                <w:b/>
                <w:color w:val="auto"/>
                <w:sz w:val="22"/>
                <w:highlight w:val="none"/>
              </w:rPr>
              <w:t>本项目</w:t>
            </w:r>
            <w:r>
              <w:rPr>
                <w:rFonts w:hint="default"/>
                <w:b/>
                <w:color w:val="auto"/>
                <w:sz w:val="22"/>
                <w:highlight w:val="none"/>
              </w:rPr>
              <w:t>通用</w:t>
            </w:r>
            <w:r>
              <w:rPr>
                <w:rFonts w:hint="eastAsia"/>
                <w:b/>
                <w:color w:val="auto"/>
                <w:sz w:val="22"/>
                <w:highlight w:val="none"/>
              </w:rPr>
              <w:t>总则</w:t>
            </w:r>
            <w:r>
              <w:rPr>
                <w:rFonts w:hint="default"/>
                <w:b/>
                <w:color w:val="auto"/>
                <w:sz w:val="22"/>
                <w:highlight w:val="none"/>
              </w:rPr>
              <w:t>条款与前附表等专</w:t>
            </w:r>
            <w:r>
              <w:rPr>
                <w:rFonts w:hint="eastAsia"/>
                <w:b/>
                <w:color w:val="auto"/>
                <w:sz w:val="22"/>
                <w:highlight w:val="none"/>
              </w:rPr>
              <w:t>用</w:t>
            </w:r>
            <w:r>
              <w:rPr>
                <w:rFonts w:hint="default"/>
                <w:b/>
                <w:color w:val="auto"/>
                <w:sz w:val="22"/>
                <w:highlight w:val="none"/>
              </w:rPr>
              <w:t>特别规定有冲突之处，以专用条款（</w:t>
            </w:r>
            <w:r>
              <w:rPr>
                <w:rFonts w:hint="eastAsia"/>
                <w:b/>
                <w:color w:val="auto"/>
                <w:sz w:val="22"/>
                <w:highlight w:val="none"/>
              </w:rPr>
              <w:t>特别规定</w:t>
            </w:r>
            <w:r>
              <w:rPr>
                <w:rFonts w:hint="default"/>
                <w:b/>
                <w:color w:val="auto"/>
                <w:sz w:val="22"/>
                <w:highlight w:val="none"/>
              </w:rPr>
              <w:t>）</w:t>
            </w:r>
            <w:r>
              <w:rPr>
                <w:rFonts w:hint="eastAsia"/>
                <w:b/>
                <w:color w:val="auto"/>
                <w:sz w:val="22"/>
                <w:highlight w:val="none"/>
              </w:rPr>
              <w:t>为准</w:t>
            </w:r>
          </w:p>
        </w:tc>
      </w:tr>
    </w:tbl>
    <w:p>
      <w:pPr>
        <w:rPr>
          <w:color w:val="auto"/>
          <w:highlight w:val="none"/>
        </w:rPr>
      </w:pPr>
    </w:p>
    <w:p>
      <w:pPr>
        <w:spacing w:line="276" w:lineRule="auto"/>
        <w:jc w:val="center"/>
        <w:rPr>
          <w:color w:val="auto"/>
          <w:highlight w:val="none"/>
        </w:rPr>
      </w:pPr>
      <w:r>
        <w:rPr>
          <w:rFonts w:hint="eastAsia"/>
          <w:color w:val="auto"/>
          <w:highlight w:val="none"/>
        </w:rPr>
        <w:t>一、总则</w:t>
      </w:r>
    </w:p>
    <w:p>
      <w:pPr>
        <w:pStyle w:val="4"/>
        <w:rPr>
          <w:color w:val="auto"/>
          <w:highlight w:val="none"/>
        </w:rPr>
      </w:pPr>
      <w:r>
        <w:rPr>
          <w:color w:val="auto"/>
          <w:highlight w:val="none"/>
        </w:rPr>
        <w:t>1. 适用范围</w:t>
      </w:r>
    </w:p>
    <w:p>
      <w:pPr>
        <w:rPr>
          <w:color w:val="auto"/>
          <w:highlight w:val="none"/>
        </w:rPr>
      </w:pPr>
      <w:r>
        <w:rPr>
          <w:rFonts w:hint="eastAsia"/>
          <w:color w:val="auto"/>
          <w:highlight w:val="none"/>
        </w:rPr>
        <w:t>本招标文件适用于该项目的招标、投标、开标、资格审查及信用信息查询、评标、定标、合同、验收等行为（法律、法规另有规定的，从其规定）。</w:t>
      </w:r>
    </w:p>
    <w:p>
      <w:pPr>
        <w:pStyle w:val="4"/>
        <w:rPr>
          <w:color w:val="auto"/>
          <w:highlight w:val="none"/>
        </w:rPr>
      </w:pPr>
      <w:r>
        <w:rPr>
          <w:color w:val="auto"/>
          <w:highlight w:val="none"/>
        </w:rPr>
        <w:t>2.定义</w:t>
      </w:r>
    </w:p>
    <w:p>
      <w:pPr>
        <w:rPr>
          <w:color w:val="auto"/>
          <w:highlight w:val="none"/>
        </w:rPr>
      </w:pPr>
      <w:r>
        <w:rPr>
          <w:color w:val="auto"/>
          <w:highlight w:val="none"/>
        </w:rPr>
        <w:t>2.1 “采购人”系指招标公告中载明的本项目的采购人。</w:t>
      </w:r>
    </w:p>
    <w:p>
      <w:pPr>
        <w:rPr>
          <w:color w:val="auto"/>
          <w:highlight w:val="none"/>
        </w:rPr>
      </w:pPr>
      <w:r>
        <w:rPr>
          <w:color w:val="auto"/>
          <w:highlight w:val="none"/>
        </w:rPr>
        <w:t>2.2 “采购机构”系指招标公告中载明的本项目的采购机构。</w:t>
      </w:r>
    </w:p>
    <w:p>
      <w:pPr>
        <w:rPr>
          <w:color w:val="auto"/>
          <w:highlight w:val="none"/>
        </w:rPr>
      </w:pPr>
      <w:r>
        <w:rPr>
          <w:color w:val="auto"/>
          <w:highlight w:val="none"/>
        </w:rPr>
        <w:t>2.3 “投标人”系指是指响应招标、参加投标竞争的法人、其他组织或者自然人。</w:t>
      </w:r>
    </w:p>
    <w:p>
      <w:pPr>
        <w:rPr>
          <w:color w:val="auto"/>
          <w:highlight w:val="none"/>
        </w:rPr>
      </w:pPr>
      <w:r>
        <w:rPr>
          <w:color w:val="auto"/>
          <w:highlight w:val="none"/>
        </w:rPr>
        <w:t>2.4 “负责人”系指法人企业的法定负责人，或其他组织为法律、行政法规规定代表单位行使职权的主要负责人，或自然人本人。</w:t>
      </w:r>
    </w:p>
    <w:p>
      <w:pPr>
        <w:rPr>
          <w:color w:val="auto"/>
          <w:highlight w:val="none"/>
        </w:rPr>
      </w:pPr>
      <w:r>
        <w:rPr>
          <w:color w:val="auto"/>
          <w:highlight w:val="none"/>
        </w:rPr>
        <w:t>2.5“电子签名”系指数据电文中以电子形式所含、所附用于识别签名人身份并表明签名人认可其中内容的数据，投标人电子签名指投标人电子公章；“公章”系指单位法定名称章。因特殊原因需要使用冠以法定名称的业务专用章的，投标时须提供《业务专用章使用说明函》（附件4）。</w:t>
      </w:r>
    </w:p>
    <w:p>
      <w:pPr>
        <w:rPr>
          <w:color w:val="auto"/>
          <w:highlight w:val="none"/>
        </w:rPr>
      </w:pPr>
      <w:r>
        <w:rPr>
          <w:color w:val="auto"/>
          <w:highlight w:val="none"/>
        </w:rPr>
        <w:t>2.6“电子交易平台”是指本项目政府采购活动所依托的政府采购云</w:t>
      </w:r>
      <w:r>
        <w:rPr>
          <w:rFonts w:hint="eastAsia"/>
          <w:color w:val="auto"/>
          <w:highlight w:val="none"/>
          <w:lang w:eastAsia="zh-CN"/>
        </w:rPr>
        <w:t>（乐</w:t>
      </w:r>
      <w:r>
        <w:rPr>
          <w:color w:val="auto"/>
          <w:highlight w:val="none"/>
        </w:rPr>
        <w:t>采</w:t>
      </w:r>
      <w:r>
        <w:rPr>
          <w:rFonts w:hint="eastAsia"/>
          <w:color w:val="auto"/>
          <w:highlight w:val="none"/>
          <w:lang w:eastAsia="zh-CN"/>
        </w:rPr>
        <w:t>云）</w:t>
      </w:r>
      <w:r>
        <w:rPr>
          <w:color w:val="auto"/>
          <w:highlight w:val="none"/>
        </w:rPr>
        <w:t>平台（</w:t>
      </w:r>
      <w:r>
        <w:rPr>
          <w:rFonts w:hint="eastAsia"/>
          <w:color w:val="auto"/>
          <w:highlight w:val="none"/>
          <w:lang w:eastAsia="zh-CN"/>
        </w:rPr>
        <w:t>https://www.lecaiyun.com/</w:t>
      </w:r>
      <w:r>
        <w:rPr>
          <w:color w:val="auto"/>
          <w:highlight w:val="none"/>
        </w:rPr>
        <w:t>）。</w:t>
      </w:r>
    </w:p>
    <w:p>
      <w:pPr>
        <w:rPr>
          <w:color w:val="auto"/>
          <w:highlight w:val="none"/>
        </w:rPr>
      </w:pPr>
      <w:r>
        <w:rPr>
          <w:color w:val="auto"/>
          <w:highlight w:val="none"/>
        </w:rPr>
        <w:t>2.7 “▲” 系指实质性要求条款，“（√）” 系指适用本项目的要求，“（  ）”系指不适用本项目的要求。</w:t>
      </w:r>
    </w:p>
    <w:p>
      <w:pPr>
        <w:pStyle w:val="4"/>
        <w:rPr>
          <w:color w:val="auto"/>
          <w:highlight w:val="none"/>
        </w:rPr>
      </w:pPr>
      <w:r>
        <w:rPr>
          <w:color w:val="auto"/>
          <w:highlight w:val="none"/>
        </w:rPr>
        <w:t>3. 采购项目需要落实的政府采购政策</w:t>
      </w:r>
    </w:p>
    <w:p>
      <w:pPr>
        <w:rPr>
          <w:color w:val="auto"/>
          <w:highlight w:val="none"/>
        </w:rPr>
      </w:pPr>
      <w:r>
        <w:rPr>
          <w:color w:val="auto"/>
          <w:highlight w:val="none"/>
        </w:rPr>
        <w:t>3.1 本项目原则上采购本国生产的货物、工程和服务，不允许采购进口产品。除非采购人采购进口产品，已经在采购活动开始前向财政部门提出申请并获得财政部门审核同意，且在采购需求中明确规定可以采购进口产品（但如果因信息不对称等原因，仍有满足需求的国内产品要求参与采购竞争的，采购人、采购机构不会对其加以限制，仍将按照公平竞争原则实施采购）；优先采购向我国企业转让技术、与我国企业签订消化吸收再创新方案的供应商的进口产品。</w:t>
      </w:r>
    </w:p>
    <w:p>
      <w:pPr>
        <w:rPr>
          <w:color w:val="auto"/>
          <w:highlight w:val="none"/>
        </w:rPr>
      </w:pPr>
      <w:r>
        <w:rPr>
          <w:color w:val="auto"/>
          <w:highlight w:val="none"/>
        </w:rPr>
        <w:t>3.2 支持绿色发展</w:t>
      </w:r>
    </w:p>
    <w:p>
      <w:pPr>
        <w:rPr>
          <w:color w:val="auto"/>
          <w:highlight w:val="none"/>
        </w:rPr>
      </w:pPr>
      <w:r>
        <w:rPr>
          <w:color w:val="auto"/>
          <w:highlight w:val="none"/>
        </w:rPr>
        <w:t>3.2.1采购人拟采购的产品属于品目清单范围的，采购人及其委托的采购代理机构将依据国家确定的认证机构出具的、处于有效期之内的节能产品、环境标志产品认证证书，对获得证书的产品实施政府优先采购或强制采购。投标人须按招标文件要求提供相关产品认证证书。▲采购人拟采购的产品属于政府强制采购的节能产品品目清单范围的，投标人未按招标文件要求提供国家确定的认证机构出具的、处于有效期之内的节能产品认证证书的，投标无效。</w:t>
      </w:r>
    </w:p>
    <w:p>
      <w:pPr>
        <w:rPr>
          <w:color w:val="auto"/>
          <w:highlight w:val="none"/>
        </w:rPr>
      </w:pPr>
      <w:r>
        <w:rPr>
          <w:color w:val="auto"/>
          <w:highlight w:val="none"/>
        </w:rPr>
        <w:t>3.2.2 修缮、装修类项目采购建材的，采购人应将绿色建筑和绿色建材性能、指标等作为实质性条件纳入招标文件和合同。</w:t>
      </w:r>
    </w:p>
    <w:p>
      <w:pPr>
        <w:rPr>
          <w:color w:val="auto"/>
          <w:highlight w:val="none"/>
        </w:rPr>
      </w:pPr>
      <w:r>
        <w:rPr>
          <w:color w:val="auto"/>
          <w:highlight w:val="none"/>
        </w:rPr>
        <w:t>3.2.3为助力打好污染防治攻坚战，推广使用绿色包装，政府采购货物、工程和服务项目中涉及商品包装和快递包装的，供应商提供产品及相关快递服务的具体包装要求要参考《商品包装政府采购需求标准（试行）》、《快递包装政府采购需求标准（试行）》。</w:t>
      </w:r>
    </w:p>
    <w:p>
      <w:pPr>
        <w:rPr>
          <w:color w:val="auto"/>
          <w:highlight w:val="none"/>
        </w:rPr>
      </w:pPr>
      <w:r>
        <w:rPr>
          <w:color w:val="auto"/>
          <w:highlight w:val="none"/>
        </w:rPr>
        <w:t>3.3支持中小企业发展</w:t>
      </w:r>
    </w:p>
    <w:p>
      <w:pPr>
        <w:rPr>
          <w:color w:val="auto"/>
          <w:highlight w:val="none"/>
        </w:rPr>
      </w:pPr>
      <w:r>
        <w:rPr>
          <w:color w:val="auto"/>
          <w:highlight w:val="none"/>
        </w:rPr>
        <w:t>3.3.1中小企业，是指在中华人民共和国境内依法设立，依据国务院批准的中小企业划分标准确定的中型企业、小型企业和微型企业，但与大企业的负责人为同一人，或者与大企业存在直接控股、管理关系的除外。</w:t>
      </w:r>
    </w:p>
    <w:p>
      <w:pPr>
        <w:rPr>
          <w:color w:val="auto"/>
          <w:highlight w:val="none"/>
        </w:rPr>
      </w:pPr>
      <w:r>
        <w:rPr>
          <w:rFonts w:hint="eastAsia"/>
          <w:color w:val="auto"/>
          <w:highlight w:val="none"/>
        </w:rPr>
        <w:t>符合中小企业划分标准的个体工商户，在政府采购活动中视同中小企业。</w:t>
      </w:r>
    </w:p>
    <w:p>
      <w:pPr>
        <w:rPr>
          <w:color w:val="auto"/>
          <w:highlight w:val="none"/>
        </w:rPr>
      </w:pPr>
      <w:r>
        <w:rPr>
          <w:color w:val="auto"/>
          <w:highlight w:val="none"/>
        </w:rPr>
        <w:t>3.3.2在政府采购活动中，投标人提供的货物、工程或者服务符合下列情形的，享受中小企业扶持政策：</w:t>
      </w:r>
    </w:p>
    <w:p>
      <w:pPr>
        <w:rPr>
          <w:color w:val="auto"/>
          <w:highlight w:val="none"/>
        </w:rPr>
      </w:pPr>
      <w:r>
        <w:rPr>
          <w:color w:val="auto"/>
          <w:highlight w:val="none"/>
        </w:rPr>
        <w:t>3.3.2.1在货物采购项目中，货物由中小企业制造，即货物由中小企业生产且使用该中小企业商号或者注册商标；</w:t>
      </w:r>
    </w:p>
    <w:p>
      <w:pPr>
        <w:rPr>
          <w:color w:val="auto"/>
          <w:highlight w:val="none"/>
        </w:rPr>
      </w:pPr>
      <w:r>
        <w:rPr>
          <w:color w:val="auto"/>
          <w:highlight w:val="none"/>
        </w:rPr>
        <w:t>3.3.2.2在工程采购项目中，工程由中小企业承建，即工程施工单位为中小企业；</w:t>
      </w:r>
    </w:p>
    <w:p>
      <w:pPr>
        <w:rPr>
          <w:color w:val="auto"/>
          <w:highlight w:val="none"/>
        </w:rPr>
      </w:pPr>
      <w:r>
        <w:rPr>
          <w:color w:val="auto"/>
          <w:highlight w:val="none"/>
        </w:rPr>
        <w:t>3.3.2.3在服务采购项目中，服务由中小企业承接，即提供服务的人员为中小企业依照《中华人民共和国劳动合同法》订立劳动合同的从业人员。</w:t>
      </w:r>
    </w:p>
    <w:p>
      <w:pPr>
        <w:rPr>
          <w:color w:val="auto"/>
          <w:highlight w:val="none"/>
        </w:rPr>
      </w:pPr>
      <w:r>
        <w:rPr>
          <w:rFonts w:hint="eastAsia"/>
          <w:color w:val="auto"/>
          <w:highlight w:val="none"/>
        </w:rPr>
        <w:t>在货物采购项目中，投标人提供的货物既有中小企业制造货物，也有大型企业制造货物的，不享受中小企业扶持政策。</w:t>
      </w:r>
    </w:p>
    <w:p>
      <w:pPr>
        <w:rPr>
          <w:color w:val="auto"/>
          <w:highlight w:val="none"/>
        </w:rPr>
      </w:pPr>
      <w:r>
        <w:rPr>
          <w:rFonts w:hint="eastAsia"/>
          <w:color w:val="auto"/>
          <w:highlight w:val="none"/>
        </w:rPr>
        <w:t>以联合体形式参加政府采购活动，联合体各方均为中小企业的，联合体视同中小企业。其中，联合体各方均为小微企业的，联合体视同小微企业。</w:t>
      </w:r>
    </w:p>
    <w:p>
      <w:pPr>
        <w:rPr>
          <w:color w:val="auto"/>
          <w:highlight w:val="none"/>
        </w:rPr>
      </w:pPr>
      <w:r>
        <w:rPr>
          <w:color w:val="auto"/>
          <w:highlight w:val="none"/>
        </w:rPr>
        <w:t>3.3.3对于未预留份额专门面向中小企业的政府采购货物或服务项目，以及预留份额政府采购货物或服务项目中的非预留部分标项，对小型和微型企业的投标报价给予</w:t>
      </w:r>
      <w:r>
        <w:rPr>
          <w:rFonts w:hint="eastAsia"/>
          <w:color w:val="auto"/>
          <w:highlight w:val="none"/>
        </w:rPr>
        <w:t>20</w:t>
      </w:r>
      <w:r>
        <w:rPr>
          <w:color w:val="auto"/>
          <w:highlight w:val="none"/>
        </w:rPr>
        <w:t>%的扣除，用扣除后的价格参与评审。接受大中型企业与小微企业组成联合体或者允许大中型企业向一家或者多家小微企业分包的政府采购货物或服务项目，对于联合协议或者分包意向协议约定小微企业的合同份额占到合同总金额30%以上的，对联合体或者大中型企业的报价给予</w:t>
      </w:r>
      <w:r>
        <w:rPr>
          <w:rFonts w:hint="eastAsia"/>
          <w:color w:val="auto"/>
          <w:highlight w:val="none"/>
        </w:rPr>
        <w:t>6</w:t>
      </w:r>
      <w:r>
        <w:rPr>
          <w:color w:val="auto"/>
          <w:highlight w:val="none"/>
        </w:rPr>
        <w:t>%的扣除，用扣除后的价格参加评审。组成联合体或者接受分包的小微企业与联合体内其他企业、分包企业之间存在直接控</w:t>
      </w:r>
      <w:r>
        <w:rPr>
          <w:rFonts w:hint="eastAsia"/>
          <w:color w:val="auto"/>
          <w:highlight w:val="none"/>
        </w:rPr>
        <w:t>股、管理关系的，不享受价格扣除优惠政策。</w:t>
      </w:r>
    </w:p>
    <w:p>
      <w:pPr>
        <w:rPr>
          <w:color w:val="auto"/>
          <w:highlight w:val="none"/>
        </w:rPr>
      </w:pPr>
      <w:r>
        <w:rPr>
          <w:color w:val="auto"/>
          <w:highlight w:val="none"/>
        </w:rPr>
        <w:t>3.3.4符合《关于促进残疾人就业政府采购政策的通知》（财库〔2017〕141号）规定的条件并提供《残疾人福利性单位声明函》（附件1）的残疾人福利性单位视同小型、微型企业；</w:t>
      </w:r>
    </w:p>
    <w:p>
      <w:pPr>
        <w:rPr>
          <w:color w:val="auto"/>
          <w:highlight w:val="none"/>
        </w:rPr>
      </w:pPr>
      <w:r>
        <w:rPr>
          <w:color w:val="auto"/>
          <w:highlight w:val="none"/>
        </w:rPr>
        <w:t>3.3.5符合《关于政府采购支持监狱企业发展有关问题的通知》（财库[2014]68号）规定的监狱企业并提供由省级以上监狱管理局、戒毒管理局（含新疆生产建设兵团）出具的属于监狱企业证明文件的，视同为小型、微型企业。</w:t>
      </w:r>
    </w:p>
    <w:p>
      <w:pPr>
        <w:rPr>
          <w:color w:val="auto"/>
          <w:highlight w:val="none"/>
        </w:rPr>
      </w:pPr>
      <w:r>
        <w:rPr>
          <w:color w:val="auto"/>
          <w:highlight w:val="none"/>
        </w:rPr>
        <w:t>3.3.6可享受中小企业扶持政策的投标人应按照招标文件格式要求提供《中小企业声明函》，投标人提供的《中小企业声明函》与实际情况不符的，不享受中小企业扶持政策。声明内容不实的，属于提供虚假材料谋取中标、成交的，依法承担法律责任。</w:t>
      </w:r>
    </w:p>
    <w:p>
      <w:pPr>
        <w:rPr>
          <w:color w:val="auto"/>
          <w:highlight w:val="none"/>
        </w:rPr>
      </w:pPr>
      <w:r>
        <w:rPr>
          <w:color w:val="auto"/>
          <w:highlight w:val="none"/>
        </w:rPr>
        <w:t>3.3.7中小企业享受扶持政策获得政府采购合同的，小微企业不得将合同分包给大中型企业，中型企业不得将合同分包给大型企业。</w:t>
      </w:r>
    </w:p>
    <w:p>
      <w:pPr>
        <w:rPr>
          <w:color w:val="auto"/>
          <w:highlight w:val="none"/>
        </w:rPr>
      </w:pPr>
      <w:r>
        <w:rPr>
          <w:color w:val="auto"/>
          <w:highlight w:val="none"/>
        </w:rPr>
        <w:t>3.4支持创新发展</w:t>
      </w:r>
    </w:p>
    <w:p>
      <w:pPr>
        <w:rPr>
          <w:color w:val="auto"/>
          <w:highlight w:val="none"/>
        </w:rPr>
      </w:pPr>
      <w:r>
        <w:rPr>
          <w:color w:val="auto"/>
          <w:highlight w:val="none"/>
        </w:rPr>
        <w:t>3.4.1 采购人优先采购被认定为首台套产品和“制造精品”的自主创新产品。</w:t>
      </w:r>
    </w:p>
    <w:p>
      <w:pPr>
        <w:rPr>
          <w:color w:val="auto"/>
          <w:highlight w:val="none"/>
        </w:rPr>
      </w:pPr>
      <w:r>
        <w:rPr>
          <w:color w:val="auto"/>
          <w:highlight w:val="none"/>
        </w:rPr>
        <w:t>3.4.2首台套产品被纳入《首台套产品推广应用指导目录》之日起</w:t>
      </w:r>
      <w:r>
        <w:rPr>
          <w:rFonts w:hint="eastAsia"/>
          <w:color w:val="auto"/>
          <w:highlight w:val="none"/>
        </w:rPr>
        <w:t>3</w:t>
      </w:r>
      <w:r>
        <w:rPr>
          <w:color w:val="auto"/>
          <w:highlight w:val="none"/>
        </w:rPr>
        <w:t>年内，以及产品核心技术高于国内领先水平，并具有明晰自主知识产权的“制造精品”产品，自认定之日起2年内视同已具备相应销售业绩，参加政府采购活动时业绩分值为满分。</w:t>
      </w:r>
    </w:p>
    <w:p>
      <w:pPr>
        <w:rPr>
          <w:color w:val="auto"/>
          <w:highlight w:val="none"/>
        </w:rPr>
      </w:pPr>
      <w:r>
        <w:rPr>
          <w:color w:val="auto"/>
          <w:highlight w:val="none"/>
        </w:rPr>
        <w:t xml:space="preserve">3.5中小企业信用融资：为支持和促进中小企业发展，进一步发挥政府采购政策功能，杭州市财政局与省银保监局、市金融办、市经信局共同出台了《杭州市政府采购支持中小企业信用融资管理办法》，供应商若有融资意向，详见《政府采购支持中小企业信用融资相关事项通知》，或登录杭州市政府采购网“中小企业信用融资”模块，查看信用融资政策文件及各相关银行服务方案。 </w:t>
      </w:r>
    </w:p>
    <w:p>
      <w:pPr>
        <w:pStyle w:val="4"/>
        <w:rPr>
          <w:color w:val="auto"/>
          <w:highlight w:val="none"/>
        </w:rPr>
      </w:pPr>
      <w:r>
        <w:rPr>
          <w:color w:val="auto"/>
          <w:highlight w:val="none"/>
        </w:rPr>
        <w:t>4. 询问、质疑、投诉</w:t>
      </w:r>
    </w:p>
    <w:p>
      <w:pPr>
        <w:rPr>
          <w:color w:val="auto"/>
          <w:highlight w:val="none"/>
        </w:rPr>
      </w:pPr>
      <w:r>
        <w:rPr>
          <w:color w:val="auto"/>
          <w:highlight w:val="none"/>
        </w:rPr>
        <w:t>4.1供应商询问</w:t>
      </w:r>
    </w:p>
    <w:p>
      <w:pPr>
        <w:rPr>
          <w:color w:val="auto"/>
          <w:highlight w:val="none"/>
        </w:rPr>
      </w:pPr>
      <w:r>
        <w:rPr>
          <w:rFonts w:hint="eastAsia"/>
          <w:color w:val="auto"/>
          <w:highlight w:val="none"/>
        </w:rPr>
        <w:t>供应商对政府采购活动事项有疑问的，可以提出询问，采购人或者采购代理机构应当在</w:t>
      </w:r>
      <w:r>
        <w:rPr>
          <w:color w:val="auto"/>
          <w:highlight w:val="none"/>
        </w:rPr>
        <w:t>3个工作日内对供应商依法提出的询问作出答复，但答复的内容不得涉及商业秘密。供应商提出的询问超出采购人对采购代理机构委托授权范围的，采购代理机构应当告知供应商向采购人提出。</w:t>
      </w:r>
    </w:p>
    <w:p>
      <w:pPr>
        <w:rPr>
          <w:color w:val="auto"/>
          <w:highlight w:val="none"/>
        </w:rPr>
      </w:pPr>
      <w:r>
        <w:rPr>
          <w:color w:val="auto"/>
          <w:highlight w:val="none"/>
        </w:rPr>
        <w:t>4.2供应商质疑</w:t>
      </w:r>
    </w:p>
    <w:p>
      <w:pPr>
        <w:rPr>
          <w:color w:val="auto"/>
          <w:highlight w:val="none"/>
        </w:rPr>
      </w:pPr>
      <w:r>
        <w:rPr>
          <w:color w:val="auto"/>
          <w:highlight w:val="none"/>
        </w:rPr>
        <w:t>4.2.1提出质疑的供应商应当是参与所质疑项目采购活动的供应商。潜在供应商已依法获取其可质疑的招标文件的，可以对该文件提出质疑。</w:t>
      </w:r>
    </w:p>
    <w:p>
      <w:pPr>
        <w:rPr>
          <w:color w:val="auto"/>
          <w:highlight w:val="none"/>
        </w:rPr>
      </w:pPr>
      <w:r>
        <w:rPr>
          <w:color w:val="auto"/>
          <w:highlight w:val="none"/>
        </w:rPr>
        <w:t>4.2.2供应商认为招标文件、采购过程和中标结果使自己的权益受到损害的，可以在知道或者应知其权益受到损害之日起七个工作日内，以书面形式向采购人或者采购机构提出质疑，否则，采购人或者采购机构不予受理：</w:t>
      </w:r>
    </w:p>
    <w:p>
      <w:pPr>
        <w:rPr>
          <w:color w:val="auto"/>
          <w:highlight w:val="none"/>
        </w:rPr>
      </w:pPr>
      <w:r>
        <w:rPr>
          <w:color w:val="auto"/>
          <w:highlight w:val="none"/>
        </w:rPr>
        <w:t>4.2.2.1对招标文件提出质疑的，质疑期限为供应商获得招标文件之日或者招标文件公告期限届满之日起计算。</w:t>
      </w:r>
    </w:p>
    <w:p>
      <w:pPr>
        <w:rPr>
          <w:color w:val="auto"/>
          <w:highlight w:val="none"/>
        </w:rPr>
      </w:pPr>
      <w:r>
        <w:rPr>
          <w:color w:val="auto"/>
          <w:highlight w:val="none"/>
        </w:rPr>
        <w:t>4.2.2.2对采购过程提出质疑的，质疑期限为各采购程序环节结束之日起计算。对同一采购程序环节的质疑，供应商须一次性提出。</w:t>
      </w:r>
    </w:p>
    <w:p>
      <w:pPr>
        <w:rPr>
          <w:color w:val="auto"/>
          <w:highlight w:val="none"/>
        </w:rPr>
      </w:pPr>
      <w:r>
        <w:rPr>
          <w:color w:val="auto"/>
          <w:highlight w:val="none"/>
        </w:rPr>
        <w:t>4.2.2.3对采购结果提出质疑的，质疑期限自采购结果公告期限届满之日起计算。</w:t>
      </w:r>
    </w:p>
    <w:p>
      <w:pPr>
        <w:rPr>
          <w:color w:val="auto"/>
          <w:highlight w:val="none"/>
        </w:rPr>
      </w:pPr>
      <w:r>
        <w:rPr>
          <w:color w:val="auto"/>
          <w:highlight w:val="none"/>
        </w:rPr>
        <w:t>4.2.3供应商提出质疑应当提交质疑函和必要的证明材料。质疑函应当包括下列内容：</w:t>
      </w:r>
    </w:p>
    <w:p>
      <w:pPr>
        <w:rPr>
          <w:color w:val="auto"/>
          <w:highlight w:val="none"/>
        </w:rPr>
      </w:pPr>
      <w:r>
        <w:rPr>
          <w:rFonts w:hint="eastAsia"/>
          <w:color w:val="auto"/>
          <w:highlight w:val="none"/>
        </w:rPr>
        <w:t>　　</w:t>
      </w:r>
      <w:r>
        <w:rPr>
          <w:color w:val="auto"/>
          <w:highlight w:val="none"/>
        </w:rPr>
        <w:t>4.2.3.1供应商的姓名或者名称、地址、邮编、联系人及联系电话；</w:t>
      </w:r>
    </w:p>
    <w:p>
      <w:pPr>
        <w:rPr>
          <w:color w:val="auto"/>
          <w:highlight w:val="none"/>
        </w:rPr>
      </w:pPr>
      <w:r>
        <w:rPr>
          <w:rFonts w:hint="eastAsia"/>
          <w:color w:val="auto"/>
          <w:highlight w:val="none"/>
        </w:rPr>
        <w:t>　　</w:t>
      </w:r>
      <w:r>
        <w:rPr>
          <w:color w:val="auto"/>
          <w:highlight w:val="none"/>
        </w:rPr>
        <w:t>4.2.3.2质疑项目的名称、编号；</w:t>
      </w:r>
    </w:p>
    <w:p>
      <w:pPr>
        <w:rPr>
          <w:color w:val="auto"/>
          <w:highlight w:val="none"/>
        </w:rPr>
      </w:pPr>
      <w:r>
        <w:rPr>
          <w:rFonts w:hint="eastAsia"/>
          <w:color w:val="auto"/>
          <w:highlight w:val="none"/>
        </w:rPr>
        <w:t>　　</w:t>
      </w:r>
      <w:r>
        <w:rPr>
          <w:color w:val="auto"/>
          <w:highlight w:val="none"/>
        </w:rPr>
        <w:t>4.2.3.3具体、明确的质疑事项和与质疑事项相关的请求；</w:t>
      </w:r>
    </w:p>
    <w:p>
      <w:pPr>
        <w:rPr>
          <w:color w:val="auto"/>
          <w:highlight w:val="none"/>
        </w:rPr>
      </w:pPr>
      <w:r>
        <w:rPr>
          <w:rFonts w:hint="eastAsia"/>
          <w:color w:val="auto"/>
          <w:highlight w:val="none"/>
        </w:rPr>
        <w:t>　　</w:t>
      </w:r>
      <w:r>
        <w:rPr>
          <w:color w:val="auto"/>
          <w:highlight w:val="none"/>
        </w:rPr>
        <w:t>4.2.3.4事实依据；</w:t>
      </w:r>
    </w:p>
    <w:p>
      <w:pPr>
        <w:rPr>
          <w:color w:val="auto"/>
          <w:highlight w:val="none"/>
        </w:rPr>
      </w:pPr>
      <w:r>
        <w:rPr>
          <w:rFonts w:hint="eastAsia"/>
          <w:color w:val="auto"/>
          <w:highlight w:val="none"/>
        </w:rPr>
        <w:t>　　</w:t>
      </w:r>
      <w:r>
        <w:rPr>
          <w:color w:val="auto"/>
          <w:highlight w:val="none"/>
        </w:rPr>
        <w:t>4.2.3.5必要的法律依据；</w:t>
      </w:r>
    </w:p>
    <w:p>
      <w:pPr>
        <w:rPr>
          <w:color w:val="auto"/>
          <w:highlight w:val="none"/>
        </w:rPr>
      </w:pPr>
      <w:r>
        <w:rPr>
          <w:color w:val="auto"/>
          <w:highlight w:val="none"/>
        </w:rPr>
        <w:t>4.2.3.6提出质疑的日期。</w:t>
      </w:r>
    </w:p>
    <w:p>
      <w:pPr>
        <w:rPr>
          <w:color w:val="auto"/>
          <w:highlight w:val="none"/>
        </w:rPr>
      </w:pPr>
      <w:r>
        <w:rPr>
          <w:rFonts w:hint="eastAsia"/>
          <w:color w:val="auto"/>
          <w:highlight w:val="none"/>
        </w:rPr>
        <w:t>供应商提交的质疑函需一式三份。供应商为自然人的，应当由本人签字；供应商为法人或者其他组织的，应当由法定代表人、主要负责人，或者其授权代表签字或者盖章，并加盖公章。</w:t>
      </w:r>
    </w:p>
    <w:p>
      <w:pPr>
        <w:rPr>
          <w:color w:val="auto"/>
          <w:highlight w:val="none"/>
        </w:rPr>
      </w:pPr>
      <w:r>
        <w:rPr>
          <w:rFonts w:hint="eastAsia"/>
          <w:color w:val="auto"/>
          <w:highlight w:val="none"/>
        </w:rPr>
        <w:t>质疑函范本及制作说明详见附件</w:t>
      </w:r>
      <w:r>
        <w:rPr>
          <w:color w:val="auto"/>
          <w:highlight w:val="none"/>
        </w:rPr>
        <w:t>2。</w:t>
      </w:r>
    </w:p>
    <w:p>
      <w:pPr>
        <w:rPr>
          <w:color w:val="auto"/>
          <w:highlight w:val="none"/>
        </w:rPr>
      </w:pPr>
      <w:r>
        <w:rPr>
          <w:color w:val="auto"/>
          <w:highlight w:val="none"/>
        </w:rPr>
        <w:t>4.2.4采购人或者采购机构应当在收到供应商的书面质疑后七个工作日内作出答复，并以书面形式通知质疑供应商和其他与质疑处理结果有利害关系的政府采购当事人，但答复的内容不得涉及商业秘密。根据《杭州市财政局关于进一步加强政府采购信息公开优化营商环境的通知》（杭财采监〔2021〕17号）,采购人或者采购机构在质疑回复后5个工作日内，在浙江政府采购网的“其他公告”栏目公开质疑答复，答复内容应当完整。质疑函作为附件上传。</w:t>
      </w:r>
    </w:p>
    <w:p>
      <w:pPr>
        <w:rPr>
          <w:color w:val="auto"/>
          <w:highlight w:val="none"/>
        </w:rPr>
      </w:pPr>
      <w:r>
        <w:rPr>
          <w:color w:val="auto"/>
          <w:highlight w:val="none"/>
        </w:rPr>
        <w:t>4.2.5询问或者质疑事项可能影响采购结果的，采购人应当暂停签订合同，已经签订合同的，应当中止履行合同。</w:t>
      </w:r>
    </w:p>
    <w:p>
      <w:pPr>
        <w:rPr>
          <w:color w:val="auto"/>
          <w:highlight w:val="none"/>
        </w:rPr>
      </w:pPr>
      <w:r>
        <w:rPr>
          <w:color w:val="auto"/>
          <w:highlight w:val="none"/>
        </w:rPr>
        <w:t>4.3供应商投诉</w:t>
      </w:r>
    </w:p>
    <w:p>
      <w:pPr>
        <w:rPr>
          <w:color w:val="auto"/>
          <w:highlight w:val="none"/>
        </w:rPr>
      </w:pPr>
      <w:r>
        <w:rPr>
          <w:color w:val="auto"/>
          <w:highlight w:val="none"/>
        </w:rPr>
        <w:t>4.3.1质疑供应商对采购人、采购机构的答复不满意或者采购人、采购机构未在规定的时间内作出答复的，可以在答复期满后十五个工作日内向同级政府采购监督管理部门提出投诉。</w:t>
      </w:r>
    </w:p>
    <w:p>
      <w:pPr>
        <w:rPr>
          <w:color w:val="auto"/>
          <w:highlight w:val="none"/>
        </w:rPr>
      </w:pPr>
      <w:r>
        <w:rPr>
          <w:color w:val="auto"/>
          <w:highlight w:val="none"/>
        </w:rPr>
        <w:t>4.3.2供应商投诉的事项不得超出已质疑事项的范围，基于质疑答复内容提出的投诉事项除外。</w:t>
      </w:r>
    </w:p>
    <w:p>
      <w:pPr>
        <w:rPr>
          <w:color w:val="auto"/>
          <w:highlight w:val="none"/>
        </w:rPr>
      </w:pPr>
      <w:r>
        <w:rPr>
          <w:color w:val="auto"/>
          <w:highlight w:val="none"/>
        </w:rPr>
        <w:t>4.3.3供应商投诉应当有明确的请求和必要的证明材料。</w:t>
      </w:r>
    </w:p>
    <w:p>
      <w:pPr>
        <w:rPr>
          <w:color w:val="auto"/>
          <w:highlight w:val="none"/>
        </w:rPr>
      </w:pPr>
      <w:r>
        <w:rPr>
          <w:color w:val="auto"/>
          <w:highlight w:val="none"/>
        </w:rPr>
        <w:t>4.3.</w:t>
      </w:r>
      <w:r>
        <w:rPr>
          <w:rFonts w:hint="eastAsia"/>
          <w:color w:val="auto"/>
          <w:highlight w:val="none"/>
        </w:rPr>
        <w:t>4</w:t>
      </w:r>
      <w:r>
        <w:rPr>
          <w:color w:val="auto"/>
          <w:highlight w:val="none"/>
        </w:rPr>
        <w:t xml:space="preserve"> 以联合体形式参加政府采购活动的，其投诉应当由组成联合体的所有供应商共同提出。</w:t>
      </w:r>
    </w:p>
    <w:p>
      <w:pPr>
        <w:rPr>
          <w:color w:val="auto"/>
          <w:highlight w:val="none"/>
        </w:rPr>
      </w:pPr>
      <w:r>
        <w:rPr>
          <w:rFonts w:hint="eastAsia"/>
          <w:color w:val="auto"/>
          <w:highlight w:val="none"/>
        </w:rPr>
        <w:t>投诉书范本及制作说明详见附件</w:t>
      </w:r>
      <w:r>
        <w:rPr>
          <w:color w:val="auto"/>
          <w:highlight w:val="none"/>
        </w:rPr>
        <w:t>3。</w:t>
      </w:r>
    </w:p>
    <w:p>
      <w:pPr>
        <w:pStyle w:val="2"/>
        <w:rPr>
          <w:color w:val="auto"/>
          <w:highlight w:val="none"/>
        </w:rPr>
      </w:pPr>
      <w:r>
        <w:rPr>
          <w:color w:val="auto"/>
          <w:highlight w:val="none"/>
        </w:rPr>
        <w:t>二、招标文件的构成、澄清、修改</w:t>
      </w:r>
    </w:p>
    <w:p>
      <w:pPr>
        <w:pStyle w:val="4"/>
        <w:rPr>
          <w:color w:val="auto"/>
          <w:highlight w:val="none"/>
        </w:rPr>
      </w:pPr>
      <w:r>
        <w:rPr>
          <w:color w:val="auto"/>
          <w:highlight w:val="none"/>
        </w:rPr>
        <w:t>5．招标文件的构成</w:t>
      </w:r>
    </w:p>
    <w:p>
      <w:pPr>
        <w:rPr>
          <w:color w:val="auto"/>
          <w:highlight w:val="none"/>
        </w:rPr>
      </w:pPr>
      <w:r>
        <w:rPr>
          <w:color w:val="auto"/>
          <w:highlight w:val="none"/>
        </w:rPr>
        <w:t>5.1 招标文件包括下列文件及附件：</w:t>
      </w:r>
    </w:p>
    <w:p>
      <w:pPr>
        <w:rPr>
          <w:color w:val="auto"/>
          <w:highlight w:val="none"/>
        </w:rPr>
      </w:pPr>
      <w:r>
        <w:rPr>
          <w:color w:val="auto"/>
          <w:highlight w:val="none"/>
        </w:rPr>
        <w:t>5.1.1招标公告；</w:t>
      </w:r>
    </w:p>
    <w:p>
      <w:pPr>
        <w:rPr>
          <w:color w:val="auto"/>
          <w:highlight w:val="none"/>
        </w:rPr>
      </w:pPr>
      <w:r>
        <w:rPr>
          <w:color w:val="auto"/>
          <w:highlight w:val="none"/>
        </w:rPr>
        <w:t>5.1.2投标人须知；</w:t>
      </w:r>
    </w:p>
    <w:p>
      <w:pPr>
        <w:rPr>
          <w:color w:val="auto"/>
          <w:highlight w:val="none"/>
        </w:rPr>
      </w:pPr>
      <w:r>
        <w:rPr>
          <w:color w:val="auto"/>
          <w:highlight w:val="none"/>
        </w:rPr>
        <w:t>5.1.3采购需求；</w:t>
      </w:r>
    </w:p>
    <w:p>
      <w:pPr>
        <w:rPr>
          <w:color w:val="auto"/>
          <w:highlight w:val="none"/>
        </w:rPr>
      </w:pPr>
      <w:r>
        <w:rPr>
          <w:color w:val="auto"/>
          <w:highlight w:val="none"/>
        </w:rPr>
        <w:t>5.1.4评标办法；</w:t>
      </w:r>
    </w:p>
    <w:p>
      <w:pPr>
        <w:rPr>
          <w:color w:val="auto"/>
          <w:highlight w:val="none"/>
        </w:rPr>
      </w:pPr>
      <w:r>
        <w:rPr>
          <w:color w:val="auto"/>
          <w:highlight w:val="none"/>
        </w:rPr>
        <w:t>5.1.5拟签订的合同文本；</w:t>
      </w:r>
    </w:p>
    <w:p>
      <w:pPr>
        <w:rPr>
          <w:color w:val="auto"/>
          <w:highlight w:val="none"/>
        </w:rPr>
      </w:pPr>
      <w:r>
        <w:rPr>
          <w:color w:val="auto"/>
          <w:highlight w:val="none"/>
        </w:rPr>
        <w:t>5.1.6应提交的有关格式范例。</w:t>
      </w:r>
    </w:p>
    <w:p>
      <w:pPr>
        <w:rPr>
          <w:color w:val="auto"/>
          <w:highlight w:val="none"/>
        </w:rPr>
      </w:pPr>
      <w:r>
        <w:rPr>
          <w:color w:val="auto"/>
          <w:highlight w:val="none"/>
        </w:rPr>
        <w:t>5.2与本项目有关的澄清或者修改的内容为招标文件的组成部分。</w:t>
      </w:r>
    </w:p>
    <w:p>
      <w:pPr>
        <w:pStyle w:val="4"/>
        <w:rPr>
          <w:color w:val="auto"/>
          <w:highlight w:val="none"/>
        </w:rPr>
      </w:pPr>
      <w:r>
        <w:rPr>
          <w:color w:val="auto"/>
          <w:highlight w:val="none"/>
        </w:rPr>
        <w:t>6. 招标文件的澄清、修改</w:t>
      </w:r>
    </w:p>
    <w:p>
      <w:pPr>
        <w:rPr>
          <w:color w:val="auto"/>
          <w:highlight w:val="none"/>
        </w:rPr>
      </w:pPr>
      <w:r>
        <w:rPr>
          <w:color w:val="auto"/>
          <w:highlight w:val="none"/>
        </w:rPr>
        <w:t>6.1已获取招标文件的潜在投标人，若有问题需要澄清，应于投标截止时间前，以书面形式向采购机构提出。</w:t>
      </w:r>
    </w:p>
    <w:p>
      <w:pPr>
        <w:rPr>
          <w:color w:val="auto"/>
          <w:highlight w:val="none"/>
        </w:rPr>
      </w:pPr>
      <w:r>
        <w:rPr>
          <w:color w:val="auto"/>
          <w:highlight w:val="none"/>
        </w:rPr>
        <w:t>6.2 采购机构对招标文件进行澄清或修改的，将同时通过电子交易平台通知已获取招标文件的潜在投标人。依法应当公告的，将按规定公告，同时视情况延长投标截止时间和开标时间。该澄清或者修改的内容为招标文件的组成部分。</w:t>
      </w:r>
    </w:p>
    <w:p>
      <w:pPr>
        <w:pStyle w:val="2"/>
        <w:rPr>
          <w:color w:val="auto"/>
          <w:highlight w:val="none"/>
        </w:rPr>
      </w:pPr>
      <w:r>
        <w:rPr>
          <w:rFonts w:hint="eastAsia"/>
          <w:color w:val="auto"/>
          <w:highlight w:val="none"/>
        </w:rPr>
        <w:t>三、投标</w:t>
      </w:r>
    </w:p>
    <w:p>
      <w:pPr>
        <w:pStyle w:val="4"/>
        <w:rPr>
          <w:color w:val="auto"/>
          <w:highlight w:val="none"/>
        </w:rPr>
      </w:pPr>
      <w:r>
        <w:rPr>
          <w:color w:val="auto"/>
          <w:highlight w:val="none"/>
        </w:rPr>
        <w:t>7. 招标文件的获取</w:t>
      </w:r>
    </w:p>
    <w:p>
      <w:pPr>
        <w:rPr>
          <w:color w:val="auto"/>
          <w:highlight w:val="none"/>
        </w:rPr>
      </w:pPr>
      <w:r>
        <w:rPr>
          <w:rFonts w:hint="eastAsia"/>
          <w:color w:val="auto"/>
          <w:highlight w:val="none"/>
        </w:rPr>
        <w:t>详见招标公告中获取招标文件的时间期限、地点、方式及招标文件售价。</w:t>
      </w:r>
    </w:p>
    <w:p>
      <w:pPr>
        <w:pStyle w:val="4"/>
        <w:rPr>
          <w:color w:val="auto"/>
          <w:highlight w:val="none"/>
        </w:rPr>
      </w:pPr>
      <w:r>
        <w:rPr>
          <w:color w:val="auto"/>
          <w:highlight w:val="none"/>
        </w:rPr>
        <w:t>8.开标前答疑会或现场考察</w:t>
      </w:r>
    </w:p>
    <w:p>
      <w:pPr>
        <w:rPr>
          <w:color w:val="auto"/>
          <w:highlight w:val="none"/>
        </w:rPr>
      </w:pPr>
      <w:r>
        <w:rPr>
          <w:rFonts w:hint="eastAsia"/>
          <w:color w:val="auto"/>
          <w:highlight w:val="none"/>
        </w:rPr>
        <w:t>采购人组织潜在投标人现场考察或者召开开标前答疑会的，潜在投标人按第二部分投标人须知前附表的规定参加现场考察或者开标前答疑会。</w:t>
      </w:r>
    </w:p>
    <w:p>
      <w:pPr>
        <w:pStyle w:val="4"/>
        <w:rPr>
          <w:color w:val="auto"/>
          <w:highlight w:val="none"/>
        </w:rPr>
      </w:pPr>
      <w:r>
        <w:rPr>
          <w:color w:val="auto"/>
          <w:highlight w:val="none"/>
        </w:rPr>
        <w:t>9.投标保证金</w:t>
      </w:r>
    </w:p>
    <w:p>
      <w:pPr>
        <w:rPr>
          <w:color w:val="auto"/>
          <w:highlight w:val="none"/>
        </w:rPr>
      </w:pPr>
      <w:r>
        <w:rPr>
          <w:rFonts w:hint="eastAsia"/>
          <w:color w:val="auto"/>
          <w:highlight w:val="none"/>
        </w:rPr>
        <w:t>本项目不需缴纳投标保证金。</w:t>
      </w:r>
    </w:p>
    <w:p>
      <w:pPr>
        <w:pStyle w:val="4"/>
        <w:rPr>
          <w:color w:val="auto"/>
          <w:highlight w:val="none"/>
        </w:rPr>
      </w:pPr>
      <w:r>
        <w:rPr>
          <w:color w:val="auto"/>
          <w:highlight w:val="none"/>
        </w:rPr>
        <w:t>10. 投标文件的语言</w:t>
      </w:r>
    </w:p>
    <w:p>
      <w:pPr>
        <w:rPr>
          <w:color w:val="auto"/>
          <w:highlight w:val="none"/>
        </w:rPr>
      </w:pPr>
      <w:r>
        <w:rPr>
          <w:rFonts w:hint="eastAsia"/>
          <w:color w:val="auto"/>
          <w:highlight w:val="none"/>
        </w:rPr>
        <w:t>投标文件及投标人与采购有关的来往通知、函件和文件均应使用中文。</w:t>
      </w:r>
    </w:p>
    <w:p>
      <w:pPr>
        <w:pStyle w:val="4"/>
        <w:rPr>
          <w:color w:val="auto"/>
          <w:highlight w:val="none"/>
        </w:rPr>
      </w:pPr>
      <w:r>
        <w:rPr>
          <w:color w:val="auto"/>
          <w:highlight w:val="none"/>
        </w:rPr>
        <w:t>11. 投标文件的组成</w:t>
      </w:r>
    </w:p>
    <w:p>
      <w:pPr>
        <w:rPr>
          <w:color w:val="auto"/>
          <w:highlight w:val="none"/>
        </w:rPr>
      </w:pPr>
      <w:r>
        <w:rPr>
          <w:color w:val="auto"/>
          <w:highlight w:val="none"/>
        </w:rPr>
        <w:t>11.1资格文件：</w:t>
      </w:r>
    </w:p>
    <w:p>
      <w:pPr>
        <w:rPr>
          <w:color w:val="auto"/>
          <w:highlight w:val="none"/>
        </w:rPr>
      </w:pPr>
      <w:r>
        <w:rPr>
          <w:color w:val="auto"/>
          <w:highlight w:val="none"/>
        </w:rPr>
        <w:t>11.1.1符合参加政府采购活动应当具备的一般条件的承诺函；</w:t>
      </w:r>
    </w:p>
    <w:p>
      <w:pPr>
        <w:rPr>
          <w:color w:val="auto"/>
          <w:highlight w:val="none"/>
        </w:rPr>
      </w:pPr>
      <w:r>
        <w:rPr>
          <w:color w:val="auto"/>
          <w:highlight w:val="none"/>
        </w:rPr>
        <w:t>11.1.2落实政府采购政策需满足的资格要求；</w:t>
      </w:r>
    </w:p>
    <w:p>
      <w:pPr>
        <w:rPr>
          <w:color w:val="auto"/>
          <w:highlight w:val="none"/>
        </w:rPr>
      </w:pPr>
      <w:r>
        <w:rPr>
          <w:color w:val="auto"/>
          <w:highlight w:val="none"/>
        </w:rPr>
        <w:t>11.1.3本项目的特定资格要求。</w:t>
      </w:r>
    </w:p>
    <w:p>
      <w:pPr>
        <w:rPr>
          <w:color w:val="auto"/>
          <w:highlight w:val="none"/>
        </w:rPr>
      </w:pPr>
      <w:r>
        <w:rPr>
          <w:color w:val="auto"/>
          <w:highlight w:val="none"/>
        </w:rPr>
        <w:t>11.2  商务技术文件：</w:t>
      </w:r>
    </w:p>
    <w:p>
      <w:pPr>
        <w:rPr>
          <w:color w:val="auto"/>
          <w:highlight w:val="none"/>
        </w:rPr>
      </w:pPr>
      <w:r>
        <w:rPr>
          <w:color w:val="auto"/>
          <w:highlight w:val="none"/>
        </w:rPr>
        <w:t xml:space="preserve">11.2.1投标函； </w:t>
      </w:r>
    </w:p>
    <w:p>
      <w:pPr>
        <w:rPr>
          <w:color w:val="auto"/>
          <w:highlight w:val="none"/>
        </w:rPr>
      </w:pPr>
      <w:r>
        <w:rPr>
          <w:color w:val="auto"/>
          <w:highlight w:val="none"/>
        </w:rPr>
        <w:t>11.2.2授权委托书或法定代表人（单位负责人、自然人本人）身份证明；</w:t>
      </w:r>
    </w:p>
    <w:p>
      <w:pPr>
        <w:rPr>
          <w:color w:val="auto"/>
          <w:highlight w:val="none"/>
        </w:rPr>
      </w:pPr>
      <w:r>
        <w:rPr>
          <w:color w:val="auto"/>
          <w:highlight w:val="none"/>
        </w:rPr>
        <w:t>11.2.3联合协议；</w:t>
      </w:r>
    </w:p>
    <w:p>
      <w:pPr>
        <w:rPr>
          <w:color w:val="auto"/>
          <w:highlight w:val="none"/>
        </w:rPr>
      </w:pPr>
      <w:r>
        <w:rPr>
          <w:color w:val="auto"/>
          <w:highlight w:val="none"/>
        </w:rPr>
        <w:t>11.2.4分包意向协议；</w:t>
      </w:r>
    </w:p>
    <w:p>
      <w:pPr>
        <w:rPr>
          <w:color w:val="auto"/>
          <w:highlight w:val="none"/>
        </w:rPr>
      </w:pPr>
      <w:r>
        <w:rPr>
          <w:color w:val="auto"/>
          <w:highlight w:val="none"/>
        </w:rPr>
        <w:t>11.2.5符合性审查资料；</w:t>
      </w:r>
    </w:p>
    <w:p>
      <w:pPr>
        <w:rPr>
          <w:color w:val="auto"/>
          <w:highlight w:val="none"/>
        </w:rPr>
      </w:pPr>
      <w:r>
        <w:rPr>
          <w:color w:val="auto"/>
          <w:highlight w:val="none"/>
        </w:rPr>
        <w:t>11.2.6评标标准相应的商务技术资料；</w:t>
      </w:r>
    </w:p>
    <w:p>
      <w:pPr>
        <w:rPr>
          <w:color w:val="auto"/>
          <w:highlight w:val="none"/>
        </w:rPr>
      </w:pPr>
      <w:r>
        <w:rPr>
          <w:color w:val="auto"/>
          <w:highlight w:val="none"/>
        </w:rPr>
        <w:t>11.2.7投标标的清单；</w:t>
      </w:r>
    </w:p>
    <w:p>
      <w:pPr>
        <w:rPr>
          <w:color w:val="auto"/>
          <w:highlight w:val="none"/>
        </w:rPr>
      </w:pPr>
      <w:r>
        <w:rPr>
          <w:color w:val="auto"/>
          <w:highlight w:val="none"/>
        </w:rPr>
        <w:t>11.2.8商务技术偏离表；</w:t>
      </w:r>
    </w:p>
    <w:p>
      <w:pPr>
        <w:rPr>
          <w:color w:val="auto"/>
          <w:highlight w:val="none"/>
        </w:rPr>
      </w:pPr>
      <w:r>
        <w:rPr>
          <w:color w:val="auto"/>
          <w:highlight w:val="none"/>
        </w:rPr>
        <w:t>11.2.9政府采购供应商廉洁自律承诺书；</w:t>
      </w:r>
    </w:p>
    <w:p>
      <w:pPr>
        <w:rPr>
          <w:color w:val="auto"/>
          <w:highlight w:val="none"/>
        </w:rPr>
      </w:pPr>
      <w:r>
        <w:rPr>
          <w:color w:val="auto"/>
          <w:highlight w:val="none"/>
        </w:rPr>
        <w:t xml:space="preserve">11.3报价文件： </w:t>
      </w:r>
    </w:p>
    <w:p>
      <w:pPr>
        <w:rPr>
          <w:color w:val="auto"/>
          <w:highlight w:val="none"/>
        </w:rPr>
      </w:pPr>
      <w:r>
        <w:rPr>
          <w:color w:val="auto"/>
          <w:highlight w:val="none"/>
        </w:rPr>
        <w:t>11.3.1开标一览表（报价表）；</w:t>
      </w:r>
    </w:p>
    <w:p>
      <w:pPr>
        <w:rPr>
          <w:color w:val="auto"/>
          <w:highlight w:val="none"/>
        </w:rPr>
      </w:pPr>
      <w:r>
        <w:rPr>
          <w:color w:val="auto"/>
          <w:highlight w:val="none"/>
        </w:rPr>
        <w:t>11.3.2中小企业声明函。</w:t>
      </w:r>
    </w:p>
    <w:p>
      <w:pPr>
        <w:rPr>
          <w:color w:val="auto"/>
          <w:highlight w:val="none"/>
        </w:rPr>
      </w:pPr>
      <w:r>
        <w:rPr>
          <w:rFonts w:hint="eastAsia"/>
          <w:color w:val="auto"/>
          <w:highlight w:val="none"/>
        </w:rPr>
        <w:t>投标文件含有采购人不能接受的附加条件的，投标无效；</w:t>
      </w:r>
    </w:p>
    <w:p>
      <w:pPr>
        <w:rPr>
          <w:color w:val="auto"/>
          <w:highlight w:val="none"/>
        </w:rPr>
      </w:pPr>
      <w:r>
        <w:rPr>
          <w:rFonts w:hint="eastAsia"/>
          <w:color w:val="auto"/>
          <w:highlight w:val="none"/>
        </w:rPr>
        <w:t>投标人提供虚假材料投标的，投标无效。</w:t>
      </w:r>
    </w:p>
    <w:p>
      <w:pPr>
        <w:pStyle w:val="4"/>
        <w:rPr>
          <w:color w:val="auto"/>
          <w:highlight w:val="none"/>
        </w:rPr>
      </w:pPr>
      <w:r>
        <w:rPr>
          <w:color w:val="auto"/>
          <w:highlight w:val="none"/>
        </w:rPr>
        <w:t>12. 投标文件的编制</w:t>
      </w:r>
    </w:p>
    <w:p>
      <w:pPr>
        <w:rPr>
          <w:color w:val="auto"/>
          <w:highlight w:val="none"/>
        </w:rPr>
      </w:pPr>
      <w:r>
        <w:rPr>
          <w:color w:val="auto"/>
          <w:highlight w:val="none"/>
        </w:rPr>
        <w:t>12.1投标文件分为资格文件、商务技术文件、报价文件三部分。各投标人在编制投标文件时请按照招标文件第六部分规定的格式进行，混乱的编排导致投标文件被误读或评标委员会查找不到有效文件是投标人的风险。</w:t>
      </w:r>
    </w:p>
    <w:p>
      <w:pPr>
        <w:rPr>
          <w:color w:val="auto"/>
          <w:highlight w:val="none"/>
        </w:rPr>
      </w:pPr>
      <w:r>
        <w:rPr>
          <w:color w:val="auto"/>
          <w:highlight w:val="none"/>
        </w:rPr>
        <w:t>12.2投标人进行电子投标应安装客户端软件—“</w:t>
      </w:r>
      <w:r>
        <w:rPr>
          <w:rFonts w:hint="eastAsia"/>
          <w:color w:val="auto"/>
          <w:highlight w:val="none"/>
          <w:lang w:eastAsia="zh-CN"/>
        </w:rPr>
        <w:t>乐采云</w:t>
      </w:r>
      <w:r>
        <w:rPr>
          <w:color w:val="auto"/>
          <w:highlight w:val="none"/>
        </w:rPr>
        <w:t>电子交易客户端”，并按照招标文件和电子交易平台的要求编制并加密投标文件。投标人未按规定加密的投标文件，电子交易平台将拒收并提示。</w:t>
      </w:r>
    </w:p>
    <w:p>
      <w:pPr>
        <w:rPr>
          <w:color w:val="auto"/>
          <w:highlight w:val="none"/>
        </w:rPr>
      </w:pPr>
      <w:r>
        <w:rPr>
          <w:color w:val="auto"/>
          <w:highlight w:val="none"/>
        </w:rPr>
        <w:t>12.3使用“</w:t>
      </w:r>
      <w:r>
        <w:rPr>
          <w:rFonts w:hint="eastAsia"/>
          <w:color w:val="auto"/>
          <w:highlight w:val="none"/>
          <w:lang w:eastAsia="zh-CN"/>
        </w:rPr>
        <w:t>乐采云</w:t>
      </w:r>
      <w:r>
        <w:rPr>
          <w:color w:val="auto"/>
          <w:highlight w:val="none"/>
        </w:rPr>
        <w:t>电子交易客户端”需要提前申领CA数字证书，申领流程请自行前往“浙江政府采购网-下载专区-电子交易客户端-CA驱动和申领流程”进行查阅。</w:t>
      </w:r>
    </w:p>
    <w:p>
      <w:pPr>
        <w:pStyle w:val="4"/>
        <w:rPr>
          <w:color w:val="auto"/>
          <w:highlight w:val="none"/>
        </w:rPr>
      </w:pPr>
      <w:r>
        <w:rPr>
          <w:color w:val="auto"/>
          <w:highlight w:val="none"/>
        </w:rPr>
        <w:t>13.投标文件的签署、盖章</w:t>
      </w:r>
    </w:p>
    <w:p>
      <w:pPr>
        <w:rPr>
          <w:color w:val="auto"/>
          <w:highlight w:val="none"/>
        </w:rPr>
      </w:pPr>
      <w:r>
        <w:rPr>
          <w:color w:val="auto"/>
          <w:highlight w:val="none"/>
        </w:rPr>
        <w:t>13.1投标文件按照招标文件第六部分格式要求进行签署、盖章。▲投标人的投标文件未按照招标文件要求签署、盖章的，其投标无效。</w:t>
      </w:r>
    </w:p>
    <w:p>
      <w:pPr>
        <w:rPr>
          <w:color w:val="auto"/>
          <w:highlight w:val="none"/>
        </w:rPr>
      </w:pPr>
      <w:r>
        <w:rPr>
          <w:color w:val="auto"/>
          <w:highlight w:val="none"/>
        </w:rPr>
        <w:t>13.2为确保网上操作合法、有效和安全，投标人应当在投标截止时间前完成在“政府采购云平台”的身份认证，确保在电子投标过程中能够对相关数据电文进行加密和使用电子签名。</w:t>
      </w:r>
    </w:p>
    <w:p>
      <w:pPr>
        <w:rPr>
          <w:color w:val="auto"/>
          <w:highlight w:val="none"/>
        </w:rPr>
      </w:pPr>
      <w:r>
        <w:rPr>
          <w:color w:val="auto"/>
          <w:highlight w:val="none"/>
        </w:rPr>
        <w:t>13.3招标文件对投标文件签署、盖章的要求适用于电子签名。</w:t>
      </w:r>
    </w:p>
    <w:p>
      <w:pPr>
        <w:pStyle w:val="4"/>
        <w:rPr>
          <w:color w:val="auto"/>
          <w:highlight w:val="none"/>
        </w:rPr>
      </w:pPr>
      <w:r>
        <w:rPr>
          <w:color w:val="auto"/>
          <w:highlight w:val="none"/>
        </w:rPr>
        <w:t>14. 投标文件的提交、补充、修改、撤回</w:t>
      </w:r>
    </w:p>
    <w:p>
      <w:pPr>
        <w:rPr>
          <w:color w:val="auto"/>
          <w:highlight w:val="none"/>
        </w:rPr>
      </w:pPr>
      <w:r>
        <w:rPr>
          <w:color w:val="auto"/>
          <w:highlight w:val="none"/>
        </w:rPr>
        <w:t>14.1 供应商应当在投标截止时间前完成投标文件的传输递交，并可以补充、修改或者撤回投标文件。补充或者修改投标文件的，应当先行撤回原文件，补充、修改后重新传输递交。投标截止时间前未完成传输的，视为撤回投标文件。投标截止时间后递交的投标文件，电子交易平台将拒收。</w:t>
      </w:r>
    </w:p>
    <w:p>
      <w:pPr>
        <w:rPr>
          <w:color w:val="auto"/>
          <w:highlight w:val="none"/>
        </w:rPr>
      </w:pPr>
      <w:r>
        <w:rPr>
          <w:color w:val="auto"/>
          <w:highlight w:val="none"/>
        </w:rPr>
        <w:t>14.2电子交易平台收到投标文件，将妥善保存并即时向供应商发出确认回执通知。在投标截止时间前，除供应商补充、修改或者撤回投标文件外，任何单位和个人不得解密或提取投标文件。</w:t>
      </w:r>
    </w:p>
    <w:p>
      <w:pPr>
        <w:rPr>
          <w:color w:val="auto"/>
          <w:highlight w:val="none"/>
        </w:rPr>
      </w:pPr>
      <w:r>
        <w:rPr>
          <w:color w:val="auto"/>
          <w:highlight w:val="none"/>
        </w:rPr>
        <w:t>14.3采购人、采购机构可以视情况延长投标文件提交的截止时间。在上述情况下，采购机构与投标人以前在投标截止期方面的全部权利、责任和义务，将适用于延长至新的投标截止期。</w:t>
      </w:r>
    </w:p>
    <w:p>
      <w:pPr>
        <w:pStyle w:val="4"/>
        <w:rPr>
          <w:color w:val="auto"/>
          <w:highlight w:val="none"/>
        </w:rPr>
      </w:pPr>
      <w:r>
        <w:rPr>
          <w:color w:val="auto"/>
          <w:highlight w:val="none"/>
        </w:rPr>
        <w:t>15.备份投标文件</w:t>
      </w:r>
    </w:p>
    <w:p>
      <w:pPr>
        <w:rPr>
          <w:color w:val="auto"/>
          <w:highlight w:val="none"/>
        </w:rPr>
      </w:pPr>
      <w:r>
        <w:rPr>
          <w:color w:val="auto"/>
          <w:highlight w:val="none"/>
        </w:rPr>
        <w:t xml:space="preserve"> 15.1投标人在电子交易平台传输递交投标文件后，还可以在投标截止时间前直接提交或者以邮政快递方式递交备份投标文件1份，但采购人、采购机构不强制或变相强制投标人提交备份投标文件。</w:t>
      </w:r>
    </w:p>
    <w:p>
      <w:pPr>
        <w:rPr>
          <w:color w:val="auto"/>
          <w:highlight w:val="none"/>
        </w:rPr>
      </w:pPr>
      <w:r>
        <w:rPr>
          <w:color w:val="auto"/>
          <w:highlight w:val="none"/>
        </w:rPr>
        <w:t>15.2备份投标文件须在“</w:t>
      </w:r>
      <w:r>
        <w:rPr>
          <w:rFonts w:hint="eastAsia"/>
          <w:color w:val="auto"/>
          <w:highlight w:val="none"/>
          <w:lang w:eastAsia="zh-CN"/>
        </w:rPr>
        <w:t>乐采云</w:t>
      </w:r>
      <w:r>
        <w:rPr>
          <w:color w:val="auto"/>
          <w:highlight w:val="none"/>
        </w:rPr>
        <w:t>投标客户端”制作生成，并储存在DVD光盘中。备份投标文件应当密封包装并在包装上加盖公章并注明投标项目名称，投标人名称(联合体投标的，包装物封面需注明联合体投标，并注明联合体成员各方的名称和联合协议中约定的牵头人的名称)。不符合上述制作、存储、密封规定的备份投标文件将被视为无效或者被拒绝接收。</w:t>
      </w:r>
    </w:p>
    <w:p>
      <w:pPr>
        <w:rPr>
          <w:color w:val="auto"/>
          <w:highlight w:val="none"/>
        </w:rPr>
      </w:pPr>
      <w:r>
        <w:rPr>
          <w:color w:val="auto"/>
          <w:highlight w:val="none"/>
        </w:rPr>
        <w:t>15.3直接提交备份投标文件的，投标人应于投标截止时间前在招标公告中载明的开标地点将备份投标文件提交给采购机构，采购机构将拒绝接受逾期送达的备份投标文件。</w:t>
      </w:r>
    </w:p>
    <w:p>
      <w:pPr>
        <w:rPr>
          <w:color w:val="auto"/>
          <w:highlight w:val="none"/>
        </w:rPr>
      </w:pPr>
      <w:r>
        <w:rPr>
          <w:color w:val="auto"/>
          <w:highlight w:val="none"/>
        </w:rPr>
        <w:t>15.4以邮政快递方式递交备份投标文件的，投标人应先将备份投标文件按要求密封和标记，再进行邮政快递包装后邮寄。备份投标文件须在投标截止时间之前送达招标文件第二部分投标人须知前附表规定的备份投标文件送达地点；送达时间以签收人签收时间为准。采购机构将拒绝接受逾期送达的备份投标文件。邮寄过程中，电子备份投标文件发生泄露、遗失、损坏或延期送达等情况的，由投标人自行负责。</w:t>
      </w:r>
    </w:p>
    <w:p>
      <w:pPr>
        <w:rPr>
          <w:color w:val="auto"/>
          <w:highlight w:val="none"/>
        </w:rPr>
      </w:pPr>
      <w:r>
        <w:rPr>
          <w:color w:val="auto"/>
          <w:highlight w:val="none"/>
        </w:rPr>
        <w:t>15.5投标人仅提交备份投标文件，未在电子交易平台传输递交投标文件的，投标无效。</w:t>
      </w:r>
    </w:p>
    <w:p>
      <w:pPr>
        <w:rPr>
          <w:color w:val="auto"/>
          <w:highlight w:val="none"/>
        </w:rPr>
      </w:pPr>
      <w:r>
        <w:rPr>
          <w:color w:val="auto"/>
          <w:highlight w:val="none"/>
        </w:rPr>
        <w:t>16.投标文件的无效处理</w:t>
      </w:r>
    </w:p>
    <w:p>
      <w:pPr>
        <w:rPr>
          <w:color w:val="auto"/>
          <w:highlight w:val="none"/>
        </w:rPr>
      </w:pPr>
      <w:r>
        <w:rPr>
          <w:rFonts w:hint="eastAsia"/>
          <w:color w:val="auto"/>
          <w:highlight w:val="none"/>
        </w:rPr>
        <w:t>有招标文件第四部分</w:t>
      </w:r>
      <w:r>
        <w:rPr>
          <w:color w:val="auto"/>
          <w:highlight w:val="none"/>
        </w:rPr>
        <w:t>4.2规定的情形之一的，投标无效：</w:t>
      </w:r>
    </w:p>
    <w:p>
      <w:pPr>
        <w:rPr>
          <w:color w:val="auto"/>
          <w:highlight w:val="none"/>
        </w:rPr>
      </w:pPr>
      <w:r>
        <w:rPr>
          <w:color w:val="auto"/>
          <w:highlight w:val="none"/>
        </w:rPr>
        <w:t>17.投标有效期</w:t>
      </w:r>
    </w:p>
    <w:p>
      <w:pPr>
        <w:rPr>
          <w:color w:val="auto"/>
          <w:highlight w:val="none"/>
        </w:rPr>
      </w:pPr>
      <w:r>
        <w:rPr>
          <w:color w:val="auto"/>
          <w:highlight w:val="none"/>
        </w:rPr>
        <w:t>17.1投标有效期为从提交投标文件的截止之日起90天。▲投标人的投标文件中承诺的投标有效期少于招标文件中载明的投标有效期的，投标无效。</w:t>
      </w:r>
    </w:p>
    <w:p>
      <w:pPr>
        <w:rPr>
          <w:color w:val="auto"/>
          <w:highlight w:val="none"/>
        </w:rPr>
      </w:pPr>
      <w:r>
        <w:rPr>
          <w:color w:val="auto"/>
          <w:highlight w:val="none"/>
        </w:rPr>
        <w:t>17.2投标文件合格投递后，自投标截止日期起，在投标有效期内有效。</w:t>
      </w:r>
    </w:p>
    <w:p>
      <w:pPr>
        <w:rPr>
          <w:color w:val="auto"/>
          <w:highlight w:val="none"/>
        </w:rPr>
      </w:pPr>
      <w:r>
        <w:rPr>
          <w:color w:val="auto"/>
          <w:highlight w:val="none"/>
        </w:rPr>
        <w:t>17.3在原定投标有效期满之前，如果出现特殊情况，采购机构可以以书面形式通知投标人延长投标有效期。投标人同意延长的，不得要求或被允许修改其投标文件，投标人拒绝延长的，其投标无效。</w:t>
      </w:r>
    </w:p>
    <w:p>
      <w:pPr>
        <w:pStyle w:val="2"/>
        <w:rPr>
          <w:color w:val="auto"/>
          <w:highlight w:val="none"/>
        </w:rPr>
      </w:pPr>
      <w:r>
        <w:rPr>
          <w:rFonts w:hint="eastAsia"/>
          <w:color w:val="auto"/>
          <w:highlight w:val="none"/>
        </w:rPr>
        <w:t>四、开标、资格审查与信用信息查询</w:t>
      </w:r>
    </w:p>
    <w:p>
      <w:pPr>
        <w:pStyle w:val="4"/>
        <w:rPr>
          <w:color w:val="auto"/>
          <w:highlight w:val="none"/>
        </w:rPr>
      </w:pPr>
      <w:r>
        <w:rPr>
          <w:color w:val="auto"/>
          <w:highlight w:val="none"/>
        </w:rPr>
        <w:t xml:space="preserve">18.开标 </w:t>
      </w:r>
    </w:p>
    <w:p>
      <w:pPr>
        <w:rPr>
          <w:color w:val="auto"/>
          <w:highlight w:val="none"/>
        </w:rPr>
      </w:pPr>
      <w:r>
        <w:rPr>
          <w:color w:val="auto"/>
          <w:highlight w:val="none"/>
        </w:rPr>
        <w:t>18.1采购机构按照招标文件规定的时间通过电子交易平台组织开标，所有投标人均应当准时在线参加。投标人不足3家的，不得开标。</w:t>
      </w:r>
    </w:p>
    <w:p>
      <w:pPr>
        <w:rPr>
          <w:color w:val="auto"/>
          <w:highlight w:val="none"/>
        </w:rPr>
      </w:pPr>
      <w:r>
        <w:rPr>
          <w:rFonts w:hint="eastAsia"/>
          <w:color w:val="auto"/>
          <w:highlight w:val="none"/>
        </w:rPr>
        <w:t>　</w:t>
      </w:r>
      <w:r>
        <w:rPr>
          <w:color w:val="auto"/>
          <w:highlight w:val="none"/>
        </w:rPr>
        <w:t>18.2开标时，电子交易平台按开标时间自动提取所有投标文件。采购机构依托电子交易平台发起开始解密指令，投标人按照平台提示和招标文件的规定在半小时内完成在线解密。</w:t>
      </w:r>
    </w:p>
    <w:p>
      <w:pPr>
        <w:rPr>
          <w:color w:val="auto"/>
          <w:highlight w:val="none"/>
        </w:rPr>
      </w:pPr>
      <w:r>
        <w:rPr>
          <w:rFonts w:hint="eastAsia"/>
          <w:color w:val="auto"/>
          <w:highlight w:val="none"/>
        </w:rPr>
        <w:t>　</w:t>
      </w:r>
      <w:r>
        <w:rPr>
          <w:color w:val="auto"/>
          <w:highlight w:val="none"/>
        </w:rPr>
        <w:t>18.3投标文件未按时解密，投标人提供了备份投标文件的，以备份投标文件作为依据，否则视为投标文件撤回。投标文件已按时解密的，备份投标文件自动失效。</w:t>
      </w:r>
    </w:p>
    <w:p>
      <w:pPr>
        <w:pStyle w:val="4"/>
        <w:rPr>
          <w:color w:val="auto"/>
          <w:highlight w:val="none"/>
        </w:rPr>
      </w:pPr>
      <w:r>
        <w:rPr>
          <w:color w:val="auto"/>
          <w:highlight w:val="none"/>
        </w:rPr>
        <w:t>19、资格审查</w:t>
      </w:r>
    </w:p>
    <w:p>
      <w:pPr>
        <w:rPr>
          <w:color w:val="auto"/>
          <w:highlight w:val="none"/>
        </w:rPr>
      </w:pPr>
      <w:r>
        <w:rPr>
          <w:color w:val="auto"/>
          <w:highlight w:val="none"/>
        </w:rPr>
        <w:t>19.1开标后，采购人或采购机构将依法对投标人的资格进行审查。</w:t>
      </w:r>
    </w:p>
    <w:p>
      <w:pPr>
        <w:rPr>
          <w:color w:val="auto"/>
          <w:highlight w:val="none"/>
        </w:rPr>
      </w:pPr>
      <w:r>
        <w:rPr>
          <w:color w:val="auto"/>
          <w:highlight w:val="none"/>
        </w:rPr>
        <w:t>19.2采购人或采购机构依据法律法规和招标文件的规定，对投标人的基本资格条件、特定资格条件进行审查。</w:t>
      </w:r>
    </w:p>
    <w:p>
      <w:pPr>
        <w:rPr>
          <w:color w:val="auto"/>
          <w:highlight w:val="none"/>
        </w:rPr>
      </w:pPr>
      <w:r>
        <w:rPr>
          <w:color w:val="auto"/>
          <w:highlight w:val="none"/>
        </w:rPr>
        <w:t>19.3投标人未按照招标文件要求提供与基本资格条件、特定资格条件相应的有效资格证明材料的，视为投标人不具备招标文件中规定的资格要求，其投标无效。</w:t>
      </w:r>
    </w:p>
    <w:p>
      <w:pPr>
        <w:rPr>
          <w:color w:val="auto"/>
          <w:highlight w:val="none"/>
        </w:rPr>
      </w:pPr>
      <w:r>
        <w:rPr>
          <w:color w:val="auto"/>
          <w:highlight w:val="none"/>
        </w:rPr>
        <w:t>19.4对未通过资格审查的投标人，采购人或采购机构告知其未通过的原因。</w:t>
      </w:r>
    </w:p>
    <w:p>
      <w:pPr>
        <w:rPr>
          <w:color w:val="auto"/>
          <w:highlight w:val="none"/>
        </w:rPr>
      </w:pPr>
      <w:r>
        <w:rPr>
          <w:color w:val="auto"/>
          <w:highlight w:val="none"/>
        </w:rPr>
        <w:t>19.5合格投标人不足3家的，不再评标。</w:t>
      </w:r>
    </w:p>
    <w:p>
      <w:pPr>
        <w:pStyle w:val="4"/>
        <w:rPr>
          <w:color w:val="auto"/>
          <w:highlight w:val="none"/>
        </w:rPr>
      </w:pPr>
      <w:r>
        <w:rPr>
          <w:color w:val="auto"/>
          <w:highlight w:val="none"/>
        </w:rPr>
        <w:t>20、信用信息查询</w:t>
      </w:r>
    </w:p>
    <w:p>
      <w:pPr>
        <w:rPr>
          <w:color w:val="auto"/>
          <w:highlight w:val="none"/>
        </w:rPr>
      </w:pPr>
      <w:r>
        <w:rPr>
          <w:color w:val="auto"/>
          <w:highlight w:val="none"/>
        </w:rPr>
        <w:t>20.1信用信息查询渠道及截止时间：采购机构将通过“信用中国”网站(www.creditchina.gov.cn)、中国政府采购网(www.ccgp.gov.cn)渠道查询投标人投标截止时间当天的信用记录。</w:t>
      </w:r>
    </w:p>
    <w:p>
      <w:pPr>
        <w:rPr>
          <w:color w:val="auto"/>
          <w:highlight w:val="none"/>
        </w:rPr>
      </w:pPr>
      <w:r>
        <w:rPr>
          <w:color w:val="auto"/>
          <w:highlight w:val="none"/>
        </w:rPr>
        <w:t>20.2信用信息查询记录和证据留存的具体方式：现场查询的投标人的信用记录、查询结果经确认后将与采购文件一起存档。</w:t>
      </w:r>
    </w:p>
    <w:p>
      <w:pPr>
        <w:rPr>
          <w:color w:val="auto"/>
          <w:highlight w:val="none"/>
        </w:rPr>
      </w:pPr>
      <w:r>
        <w:rPr>
          <w:color w:val="auto"/>
          <w:highlight w:val="none"/>
        </w:rPr>
        <w:t>20.3信用信息的使用规则：经查询列入失信被执行人名单、重大税收违法案件当事人名单（税收违法黑名单）、政府采购严重违法失信行为记录名单的投标人将被拒绝参与政府采购活动。</w:t>
      </w:r>
    </w:p>
    <w:p>
      <w:pPr>
        <w:rPr>
          <w:color w:val="auto"/>
          <w:highlight w:val="none"/>
        </w:rPr>
      </w:pPr>
      <w:r>
        <w:rPr>
          <w:color w:val="auto"/>
          <w:highlight w:val="none"/>
        </w:rPr>
        <w:t>20.4联合体信用信息查询：两个以上的自然人、法人或者其他组织组成一个联合体，以一个供应商的身份共同参加政府采购活动的，应当对所有联合体成员进行信用记录查询，联合体成员存在不良信用记录的，视同联合体存在不良信用记录。</w:t>
      </w:r>
    </w:p>
    <w:p>
      <w:pPr>
        <w:pStyle w:val="2"/>
        <w:rPr>
          <w:color w:val="auto"/>
          <w:highlight w:val="none"/>
        </w:rPr>
      </w:pPr>
      <w:r>
        <w:rPr>
          <w:rFonts w:hint="eastAsia"/>
          <w:color w:val="auto"/>
          <w:highlight w:val="none"/>
        </w:rPr>
        <w:t>五、评标</w:t>
      </w:r>
    </w:p>
    <w:p>
      <w:pPr>
        <w:pStyle w:val="4"/>
        <w:rPr>
          <w:color w:val="auto"/>
          <w:highlight w:val="none"/>
        </w:rPr>
      </w:pPr>
      <w:r>
        <w:rPr>
          <w:color w:val="auto"/>
          <w:highlight w:val="none"/>
        </w:rPr>
        <w:t>21. 评标</w:t>
      </w:r>
    </w:p>
    <w:p>
      <w:pPr>
        <w:rPr>
          <w:color w:val="auto"/>
          <w:highlight w:val="none"/>
        </w:rPr>
      </w:pPr>
      <w:r>
        <w:rPr>
          <w:color w:val="auto"/>
          <w:highlight w:val="none"/>
        </w:rPr>
        <w:t>评标委员会将根据招标文件和有关规定，履行评标工作职责，并按照评标方法及评分标准，全面衡量各投标人对招标文件的响应情况。对实质上响应招标文件的投标人，按照评审因素的量化指标排出推荐中标的投标人的先后顺序，并按顺序提出授标建议。详见招标文件第四部分评标办法。</w:t>
      </w:r>
    </w:p>
    <w:p>
      <w:pPr>
        <w:pStyle w:val="2"/>
        <w:rPr>
          <w:color w:val="auto"/>
          <w:highlight w:val="none"/>
        </w:rPr>
      </w:pPr>
      <w:r>
        <w:rPr>
          <w:rFonts w:hint="eastAsia"/>
          <w:color w:val="auto"/>
          <w:highlight w:val="none"/>
        </w:rPr>
        <w:t>六、定</w:t>
      </w:r>
      <w:r>
        <w:rPr>
          <w:color w:val="auto"/>
          <w:highlight w:val="none"/>
        </w:rPr>
        <w:t xml:space="preserve"> 标</w:t>
      </w:r>
    </w:p>
    <w:p>
      <w:pPr>
        <w:pStyle w:val="4"/>
        <w:rPr>
          <w:color w:val="auto"/>
          <w:highlight w:val="none"/>
        </w:rPr>
      </w:pPr>
      <w:r>
        <w:rPr>
          <w:color w:val="auto"/>
          <w:highlight w:val="none"/>
        </w:rPr>
        <w:t>22. 确定中标供应商</w:t>
      </w:r>
    </w:p>
    <w:p>
      <w:pPr>
        <w:rPr>
          <w:color w:val="auto"/>
          <w:highlight w:val="none"/>
        </w:rPr>
      </w:pPr>
      <w:r>
        <w:rPr>
          <w:rFonts w:hint="eastAsia"/>
          <w:color w:val="auto"/>
          <w:highlight w:val="none"/>
        </w:rPr>
        <w:t>采购人将自收到评审报告之日起</w:t>
      </w:r>
      <w:r>
        <w:rPr>
          <w:color w:val="auto"/>
          <w:highlight w:val="none"/>
        </w:rPr>
        <w:t>5个工作日内通过电子交易平台在评审报告推荐的中标候选人中按顺序确定中标供应商。</w:t>
      </w:r>
    </w:p>
    <w:p>
      <w:pPr>
        <w:pStyle w:val="4"/>
        <w:rPr>
          <w:color w:val="auto"/>
          <w:highlight w:val="none"/>
        </w:rPr>
      </w:pPr>
      <w:r>
        <w:rPr>
          <w:color w:val="auto"/>
          <w:highlight w:val="none"/>
        </w:rPr>
        <w:t>23. 中标通知与中标结果公告</w:t>
      </w:r>
    </w:p>
    <w:p>
      <w:pPr>
        <w:rPr>
          <w:color w:val="auto"/>
          <w:highlight w:val="none"/>
        </w:rPr>
      </w:pPr>
      <w:r>
        <w:rPr>
          <w:color w:val="auto"/>
          <w:highlight w:val="none"/>
        </w:rPr>
        <w:t>23.1自中标人确定之日起2个工作日内，采购机构通过电子交易平台向中标人发出中标通知书，同时编制发布采购结果公告。采购机构也可以以纸质形式进行中标通知。</w:t>
      </w:r>
    </w:p>
    <w:p>
      <w:pPr>
        <w:rPr>
          <w:color w:val="auto"/>
          <w:highlight w:val="none"/>
        </w:rPr>
      </w:pPr>
      <w:r>
        <w:rPr>
          <w:color w:val="auto"/>
          <w:highlight w:val="none"/>
        </w:rPr>
        <w:t>23.2中标结果公告内容包括采购人及其委托的采购机构的名称、地址、联系方式，项目名称和项目编号，中标人名称、地址和中标金额，主要中标标的的名称、规格型号、数量、单价、服务要求，开标记录、未中标情况说明、中标公告期限以及评审专家名单、评分汇总及明细。</w:t>
      </w:r>
    </w:p>
    <w:p>
      <w:pPr>
        <w:rPr>
          <w:color w:val="auto"/>
          <w:highlight w:val="none"/>
        </w:rPr>
      </w:pPr>
      <w:r>
        <w:rPr>
          <w:color w:val="auto"/>
          <w:highlight w:val="none"/>
        </w:rPr>
        <w:t>23.3公告期限为1个工作日。</w:t>
      </w:r>
    </w:p>
    <w:p>
      <w:pPr>
        <w:pStyle w:val="2"/>
        <w:rPr>
          <w:color w:val="auto"/>
          <w:highlight w:val="none"/>
        </w:rPr>
      </w:pPr>
      <w:r>
        <w:rPr>
          <w:rFonts w:hint="eastAsia"/>
          <w:color w:val="auto"/>
          <w:highlight w:val="none"/>
        </w:rPr>
        <w:t>七、合同授予</w:t>
      </w:r>
    </w:p>
    <w:p>
      <w:pPr>
        <w:pStyle w:val="4"/>
        <w:rPr>
          <w:color w:val="auto"/>
          <w:highlight w:val="none"/>
        </w:rPr>
      </w:pPr>
      <w:r>
        <w:rPr>
          <w:color w:val="auto"/>
          <w:highlight w:val="none"/>
        </w:rPr>
        <w:t>24. 合同主要条款详见第五部分拟签订的合同文本。</w:t>
      </w:r>
    </w:p>
    <w:p>
      <w:pPr>
        <w:pStyle w:val="4"/>
        <w:rPr>
          <w:color w:val="auto"/>
          <w:highlight w:val="none"/>
        </w:rPr>
      </w:pPr>
      <w:r>
        <w:rPr>
          <w:color w:val="auto"/>
          <w:highlight w:val="none"/>
        </w:rPr>
        <w:t>25. 合同的签订</w:t>
      </w:r>
    </w:p>
    <w:p>
      <w:pPr>
        <w:rPr>
          <w:color w:val="auto"/>
          <w:highlight w:val="none"/>
        </w:rPr>
      </w:pPr>
      <w:r>
        <w:rPr>
          <w:color w:val="auto"/>
          <w:highlight w:val="none"/>
        </w:rPr>
        <w:t>25.1 采购人与中标人应当通过电子交易平台在中标通知书发出之日起三十日内，按照招标文件确定的事项签订政府采购合同，并在合同签订之日起2个工作日内依法发布合同公告。</w:t>
      </w:r>
    </w:p>
    <w:p>
      <w:pPr>
        <w:rPr>
          <w:color w:val="auto"/>
          <w:highlight w:val="none"/>
        </w:rPr>
      </w:pPr>
      <w:r>
        <w:rPr>
          <w:color w:val="auto"/>
          <w:highlight w:val="none"/>
        </w:rPr>
        <w:t>25.2中标人按规定的日期、时间、地点，由法定代表人或其授权代表与采购人代表签订合同。如中标人为联合体的，由联合体成员各方法定代表人或其授权代表与采购人代表签订合同。</w:t>
      </w:r>
    </w:p>
    <w:p>
      <w:pPr>
        <w:rPr>
          <w:color w:val="auto"/>
          <w:highlight w:val="none"/>
        </w:rPr>
      </w:pPr>
      <w:r>
        <w:rPr>
          <w:color w:val="auto"/>
          <w:highlight w:val="none"/>
        </w:rPr>
        <w:t>25.3如签订合同并生效后，供应商无故拒绝或延期，除按照合同条款处理外，列入不良行为记录一次，并给予通报。</w:t>
      </w:r>
    </w:p>
    <w:p>
      <w:pPr>
        <w:rPr>
          <w:color w:val="auto"/>
          <w:highlight w:val="none"/>
        </w:rPr>
      </w:pPr>
      <w:r>
        <w:rPr>
          <w:color w:val="auto"/>
          <w:highlight w:val="none"/>
        </w:rPr>
        <w:t>25.4中标供应商拒绝与采购人签订合同的，采购人可以按照评审报告推荐的中标或者成交候选人名单排序，确定下一候选人为中标供应商，也可以重新开展政府采购活动。</w:t>
      </w:r>
    </w:p>
    <w:p>
      <w:pPr>
        <w:rPr>
          <w:color w:val="auto"/>
          <w:highlight w:val="none"/>
        </w:rPr>
      </w:pPr>
      <w:r>
        <w:rPr>
          <w:color w:val="auto"/>
          <w:highlight w:val="none"/>
        </w:rPr>
        <w:t>25.5采购合同由采购人与中标供应商根据招标文件、投标文件等内容通过政府采购电子交易平台在线签订，自动备案。</w:t>
      </w:r>
    </w:p>
    <w:p>
      <w:pPr>
        <w:pStyle w:val="4"/>
        <w:rPr>
          <w:color w:val="auto"/>
          <w:highlight w:val="none"/>
        </w:rPr>
      </w:pPr>
      <w:r>
        <w:rPr>
          <w:color w:val="auto"/>
          <w:highlight w:val="none"/>
        </w:rPr>
        <w:t>26. 履约保证金</w:t>
      </w:r>
    </w:p>
    <w:p>
      <w:pPr>
        <w:rPr>
          <w:color w:val="auto"/>
          <w:highlight w:val="none"/>
        </w:rPr>
      </w:pPr>
      <w:r>
        <w:rPr>
          <w:rFonts w:hint="eastAsia"/>
          <w:color w:val="auto"/>
          <w:highlight w:val="none"/>
        </w:rPr>
        <w:t>拟签订的合同文本要求中标供应商提交履约保证金的，供应商应当以支票、汇票、本票或者金融机构、担保机构出具的保函等非现金形式提交。履约保证金的数额不得超过政府采购合同金额的1</w:t>
      </w:r>
      <w:r>
        <w:rPr>
          <w:color w:val="auto"/>
          <w:highlight w:val="none"/>
        </w:rPr>
        <w:t>%。鼓励和支持供应商以银行、保险公司出具的保函形式提供履约保证金。采购人不得拒收履约保函，项目验收结束后应及时退还。</w:t>
      </w:r>
    </w:p>
    <w:p>
      <w:pPr>
        <w:rPr>
          <w:color w:val="auto"/>
          <w:highlight w:val="none"/>
        </w:rPr>
      </w:pPr>
      <w:r>
        <w:rPr>
          <w:rFonts w:hint="eastAsia"/>
          <w:color w:val="auto"/>
          <w:highlight w:val="none"/>
        </w:rPr>
        <w:t>政府采购货物和服务项目中，采购单位可根据杭州市政府采购网公布的供应商履约评价情况减免履约保证金。供应商履约验收评价总分为</w:t>
      </w:r>
      <w:r>
        <w:rPr>
          <w:color w:val="auto"/>
          <w:highlight w:val="none"/>
        </w:rPr>
        <w:t>100分的，采购单位应当免收履约保证金；</w:t>
      </w:r>
    </w:p>
    <w:p>
      <w:pPr>
        <w:rPr>
          <w:color w:val="auto"/>
          <w:highlight w:val="none"/>
        </w:rPr>
      </w:pPr>
      <w:r>
        <w:rPr>
          <w:rFonts w:hint="eastAsia"/>
          <w:color w:val="auto"/>
          <w:highlight w:val="none"/>
        </w:rPr>
        <w:t>供应商可登录政采云平台</w:t>
      </w:r>
      <w:r>
        <w:rPr>
          <w:color w:val="auto"/>
          <w:highlight w:val="none"/>
        </w:rPr>
        <w:t>-【金融服务】—【我的项目】—【已备案合同】以保函形式提供：1、供应商在合同列表选择需要投保的合同，点击[保函推荐]。2、在弹框里查看推荐的保函产品，供应商自行选择保函产品，点击[立即申请]。3、在弹框里填写保函申请信息。具体步骤：选择产品—填写供应商信息—选择中标项目—确认信息—等待保险/保函受理—确认保单—支付保费—成功出单。政采云金融专线400-903-9583。</w:t>
      </w:r>
    </w:p>
    <w:p>
      <w:pPr>
        <w:rPr>
          <w:color w:val="auto"/>
          <w:highlight w:val="none"/>
        </w:rPr>
      </w:pPr>
    </w:p>
    <w:p>
      <w:pPr>
        <w:spacing w:line="276" w:lineRule="auto"/>
        <w:rPr>
          <w:b/>
          <w:smallCaps/>
          <w:color w:val="auto"/>
          <w:sz w:val="28"/>
          <w:szCs w:val="28"/>
          <w:highlight w:val="none"/>
        </w:rPr>
      </w:pPr>
      <w:r>
        <w:rPr>
          <w:color w:val="auto"/>
          <w:highlight w:val="none"/>
        </w:rPr>
        <w:br w:type="page"/>
      </w:r>
    </w:p>
    <w:p>
      <w:pPr>
        <w:pStyle w:val="2"/>
        <w:rPr>
          <w:color w:val="auto"/>
          <w:highlight w:val="none"/>
        </w:rPr>
      </w:pPr>
      <w:r>
        <w:rPr>
          <w:rFonts w:hint="eastAsia"/>
          <w:color w:val="auto"/>
          <w:highlight w:val="none"/>
        </w:rPr>
        <w:t>八、电子交易活动的中止</w:t>
      </w:r>
    </w:p>
    <w:p>
      <w:pPr>
        <w:pStyle w:val="4"/>
        <w:rPr>
          <w:color w:val="auto"/>
          <w:highlight w:val="none"/>
        </w:rPr>
      </w:pPr>
      <w:r>
        <w:rPr>
          <w:color w:val="auto"/>
          <w:highlight w:val="none"/>
        </w:rPr>
        <w:t>27. 电子交易活动的中止。</w:t>
      </w:r>
    </w:p>
    <w:p>
      <w:pPr>
        <w:rPr>
          <w:color w:val="auto"/>
          <w:highlight w:val="none"/>
        </w:rPr>
      </w:pPr>
      <w:r>
        <w:rPr>
          <w:color w:val="auto"/>
          <w:highlight w:val="none"/>
        </w:rPr>
        <w:t>采购过程中出现以下情形，导致电子交易平台无法正常运行，或者无法保证电子交易的公平、公正和安全时，采购机构可中止电子交易活动：</w:t>
      </w:r>
    </w:p>
    <w:p>
      <w:pPr>
        <w:rPr>
          <w:color w:val="auto"/>
          <w:highlight w:val="none"/>
        </w:rPr>
      </w:pPr>
      <w:r>
        <w:rPr>
          <w:color w:val="auto"/>
          <w:highlight w:val="none"/>
        </w:rPr>
        <w:t xml:space="preserve">27.1电子交易平台发生故障而无法登录访问的； </w:t>
      </w:r>
    </w:p>
    <w:p>
      <w:pPr>
        <w:rPr>
          <w:color w:val="auto"/>
          <w:highlight w:val="none"/>
        </w:rPr>
      </w:pPr>
      <w:r>
        <w:rPr>
          <w:color w:val="auto"/>
          <w:highlight w:val="none"/>
        </w:rPr>
        <w:t>27.2电子交易平台应用或数据库出现错误，不能进行正常操作的；</w:t>
      </w:r>
    </w:p>
    <w:p>
      <w:pPr>
        <w:rPr>
          <w:color w:val="auto"/>
          <w:highlight w:val="none"/>
        </w:rPr>
      </w:pPr>
      <w:r>
        <w:rPr>
          <w:color w:val="auto"/>
          <w:highlight w:val="none"/>
        </w:rPr>
        <w:t>27.3电子交易平台发现严重安全漏洞，有潜在泄密危险的；</w:t>
      </w:r>
    </w:p>
    <w:p>
      <w:pPr>
        <w:rPr>
          <w:color w:val="auto"/>
          <w:highlight w:val="none"/>
        </w:rPr>
      </w:pPr>
      <w:r>
        <w:rPr>
          <w:color w:val="auto"/>
          <w:highlight w:val="none"/>
        </w:rPr>
        <w:t xml:space="preserve">27.4病毒发作导致不能进行正常操作的； </w:t>
      </w:r>
    </w:p>
    <w:p>
      <w:pPr>
        <w:rPr>
          <w:color w:val="auto"/>
          <w:highlight w:val="none"/>
        </w:rPr>
      </w:pPr>
      <w:r>
        <w:rPr>
          <w:color w:val="auto"/>
          <w:highlight w:val="none"/>
        </w:rPr>
        <w:t>27.5其他无法保证电子交易的公平、公正和安全的情况。</w:t>
      </w:r>
    </w:p>
    <w:p>
      <w:pPr>
        <w:rPr>
          <w:color w:val="auto"/>
          <w:highlight w:val="none"/>
        </w:rPr>
      </w:pPr>
      <w:r>
        <w:rPr>
          <w:color w:val="auto"/>
          <w:highlight w:val="none"/>
        </w:rPr>
        <w:t xml:space="preserve"> 28.出现以上情形，不影响采购公平、公正性的，采购组织机构可以待上述情形消除后继续组织电子交易活动，也可以决定某些环节以纸质形式进行；影响或可能影响采购公平、公正性的，应当重新采购。</w:t>
      </w:r>
    </w:p>
    <w:p>
      <w:pPr>
        <w:pStyle w:val="2"/>
        <w:rPr>
          <w:color w:val="auto"/>
          <w:highlight w:val="none"/>
        </w:rPr>
      </w:pPr>
      <w:r>
        <w:rPr>
          <w:rFonts w:hint="eastAsia"/>
          <w:color w:val="auto"/>
          <w:highlight w:val="none"/>
        </w:rPr>
        <w:t>九、验收</w:t>
      </w:r>
    </w:p>
    <w:p>
      <w:pPr>
        <w:pStyle w:val="4"/>
        <w:rPr>
          <w:color w:val="auto"/>
          <w:highlight w:val="none"/>
        </w:rPr>
      </w:pPr>
      <w:r>
        <w:rPr>
          <w:color w:val="auto"/>
          <w:highlight w:val="none"/>
        </w:rPr>
        <w:t>29.验收</w:t>
      </w:r>
    </w:p>
    <w:p>
      <w:pPr>
        <w:rPr>
          <w:color w:val="auto"/>
          <w:highlight w:val="none"/>
        </w:rPr>
      </w:pPr>
      <w:r>
        <w:rPr>
          <w:color w:val="auto"/>
          <w:highlight w:val="none"/>
        </w:rPr>
        <w:t>29.1采购人应当组织对供应商履约的验收。验收采用采购人自行组织验收和专门机构验收两种形式，具体按照萧政办发[2014]217号文件执行。验收方成员应当在验收书上签字，并承担相应的法律责任。使用区级财政性资金采购且单项合同金额在20万元（含）以上的或使用镇（街道平台）财政性资金采购且合同金额在50万元（含）以上的货物类政府采购项目的验收，按萧市监【2015】127号、萧市监【2019】16号等相关文件执行（如项目发布之时已有新文件，按照最新文件执行）。存在隐蔽工程的项目，采购单位及供应商应在货物到货并将实施</w:t>
      </w:r>
      <w:r>
        <w:rPr>
          <w:rFonts w:hint="eastAsia"/>
          <w:color w:val="auto"/>
          <w:highlight w:val="none"/>
        </w:rPr>
        <w:t>安装前，申请进行初验收。</w:t>
      </w:r>
    </w:p>
    <w:p>
      <w:pPr>
        <w:rPr>
          <w:color w:val="auto"/>
          <w:highlight w:val="none"/>
        </w:rPr>
      </w:pPr>
      <w:r>
        <w:rPr>
          <w:rFonts w:hint="eastAsia"/>
          <w:color w:val="auto"/>
          <w:highlight w:val="none"/>
        </w:rPr>
        <w:t>联系电话</w:t>
      </w:r>
      <w:r>
        <w:rPr>
          <w:color w:val="auto"/>
          <w:highlight w:val="none"/>
        </w:rPr>
        <w:t>: 0571-83587785/0571-82816012  联系地址: 萧山区通惠北路2-1号302室</w:t>
      </w:r>
    </w:p>
    <w:p>
      <w:pPr>
        <w:rPr>
          <w:color w:val="auto"/>
          <w:highlight w:val="none"/>
        </w:rPr>
      </w:pPr>
      <w:r>
        <w:rPr>
          <w:color w:val="auto"/>
          <w:highlight w:val="none"/>
        </w:rPr>
        <w:t>29.2采购人组织对供应商履约的验收。除29.1情形外，大型或者复杂的政府采购项目，应当邀请国家认可的质量检测机构参加验收工作。验收方成员应当在验收书上签字，并承担相应的法律责任。如果发现与合同中要求不符，供应商须承担由此发生的一切损失和费用，并接受相应的处理。</w:t>
      </w:r>
    </w:p>
    <w:p>
      <w:pPr>
        <w:spacing w:line="276" w:lineRule="auto"/>
        <w:rPr>
          <w:color w:val="auto"/>
          <w:highlight w:val="none"/>
        </w:rPr>
      </w:pPr>
      <w:r>
        <w:rPr>
          <w:color w:val="auto"/>
          <w:highlight w:val="none"/>
        </w:rPr>
        <w:br w:type="page"/>
      </w:r>
    </w:p>
    <w:p>
      <w:pPr>
        <w:pStyle w:val="3"/>
        <w:rPr>
          <w:color w:val="auto"/>
          <w:highlight w:val="none"/>
        </w:rPr>
      </w:pPr>
      <w:r>
        <w:rPr>
          <w:rFonts w:hint="eastAsia"/>
          <w:color w:val="auto"/>
          <w:highlight w:val="none"/>
        </w:rPr>
        <w:t>第三部分</w:t>
      </w:r>
      <w:r>
        <w:rPr>
          <w:color w:val="auto"/>
          <w:highlight w:val="none"/>
        </w:rPr>
        <w:t xml:space="preserve">   </w:t>
      </w:r>
      <w:r>
        <w:rPr>
          <w:rFonts w:hint="eastAsia"/>
          <w:color w:val="auto"/>
          <w:highlight w:val="none"/>
        </w:rPr>
        <w:t>采购需求</w:t>
      </w:r>
    </w:p>
    <w:p>
      <w:pPr>
        <w:snapToGrid w:val="0"/>
        <w:rPr>
          <w:rStyle w:val="54"/>
          <w:rFonts w:hint="eastAsia"/>
          <w:color w:val="auto"/>
          <w:highlight w:val="none"/>
        </w:rPr>
      </w:pPr>
    </w:p>
    <w:p>
      <w:pPr>
        <w:snapToGrid w:val="0"/>
        <w:rPr>
          <w:rStyle w:val="54"/>
          <w:rFonts w:hint="eastAsia"/>
          <w:color w:val="auto"/>
          <w:highlight w:val="none"/>
        </w:rPr>
      </w:pPr>
    </w:p>
    <w:p>
      <w:pPr>
        <w:snapToGrid w:val="0"/>
        <w:rPr>
          <w:rStyle w:val="54"/>
          <w:color w:val="auto"/>
          <w:highlight w:val="none"/>
        </w:rPr>
      </w:pPr>
      <w:r>
        <w:rPr>
          <w:rStyle w:val="54"/>
          <w:rFonts w:hint="eastAsia"/>
          <w:color w:val="auto"/>
          <w:highlight w:val="none"/>
        </w:rPr>
        <w:t>属于实质性要求条款的，请用符号“▲”标明，否则属于非实质性要求。</w:t>
      </w:r>
    </w:p>
    <w:p>
      <w:pPr>
        <w:snapToGrid w:val="0"/>
        <w:rPr>
          <w:rStyle w:val="54"/>
          <w:rFonts w:hint="eastAsia"/>
          <w:color w:val="auto"/>
          <w:highlight w:val="none"/>
        </w:rPr>
      </w:pPr>
      <w:r>
        <w:rPr>
          <w:rStyle w:val="54"/>
          <w:rFonts w:hint="eastAsia"/>
          <w:color w:val="auto"/>
          <w:highlight w:val="none"/>
        </w:rPr>
        <w:t>“★”系产品采购项目中单一产品或核心产品。</w:t>
      </w:r>
    </w:p>
    <w:p>
      <w:pPr>
        <w:pStyle w:val="2"/>
        <w:numPr>
          <w:ilvl w:val="0"/>
          <w:numId w:val="1"/>
        </w:numPr>
        <w:tabs>
          <w:tab w:val="left" w:pos="432"/>
        </w:tabs>
        <w:jc w:val="center"/>
        <w:rPr>
          <w:rFonts w:ascii="仿宋" w:eastAsia="仿宋" w:cs="仿宋"/>
          <w:color w:val="auto"/>
        </w:rPr>
      </w:pPr>
      <w:r>
        <w:rPr>
          <w:rFonts w:hint="eastAsia" w:asciiTheme="minorEastAsia" w:hAnsiTheme="minorEastAsia" w:eastAsiaTheme="minorEastAsia" w:cstheme="minorEastAsia"/>
          <w:color w:val="auto"/>
        </w:rPr>
        <w:t>招标一览表</w:t>
      </w:r>
    </w:p>
    <w:p>
      <w:pPr>
        <w:pStyle w:val="5"/>
        <w:keepNext/>
        <w:keepLines/>
        <w:pageBreakBefore w:val="0"/>
        <w:widowControl w:val="0"/>
        <w:tabs>
          <w:tab w:val="left" w:pos="864"/>
        </w:tabs>
        <w:kinsoku/>
        <w:wordWrap/>
        <w:overflowPunct/>
        <w:topLinePunct w:val="0"/>
        <w:autoSpaceDE/>
        <w:autoSpaceDN/>
        <w:bidi w:val="0"/>
        <w:adjustRightInd w:val="0"/>
        <w:snapToGrid/>
        <w:spacing w:before="0" w:after="0" w:line="240" w:lineRule="auto"/>
        <w:ind w:left="0" w:firstLine="0"/>
        <w:textAlignment w:val="auto"/>
        <w:rPr>
          <w:rFonts w:hint="default" w:ascii="仿宋" w:hAnsi="仿宋" w:eastAsia="仿宋" w:cs="仿宋"/>
          <w:color w:val="auto"/>
          <w:sz w:val="24"/>
          <w:szCs w:val="24"/>
          <w:lang w:val="en-US" w:eastAsia="zh-CN"/>
        </w:rPr>
      </w:pPr>
      <w:r>
        <w:rPr>
          <w:rFonts w:hint="eastAsia" w:ascii="仿宋" w:hAnsi="仿宋" w:eastAsia="仿宋" w:cs="仿宋"/>
          <w:color w:val="auto"/>
          <w:sz w:val="24"/>
          <w:szCs w:val="24"/>
        </w:rPr>
        <w:t>标项一</w:t>
      </w:r>
      <w:r>
        <w:rPr>
          <w:rFonts w:hint="eastAsia" w:ascii="仿宋" w:hAnsi="仿宋" w:eastAsia="仿宋" w:cs="仿宋"/>
          <w:color w:val="auto"/>
          <w:sz w:val="24"/>
          <w:szCs w:val="24"/>
          <w:lang w:eastAsia="zh-CN"/>
        </w:rPr>
        <w:t>：</w:t>
      </w:r>
      <w:r>
        <w:rPr>
          <w:rFonts w:hint="eastAsia" w:ascii="仿宋" w:hAnsi="仿宋" w:eastAsia="仿宋" w:cs="仿宋"/>
          <w:color w:val="auto"/>
          <w:sz w:val="24"/>
          <w:szCs w:val="24"/>
          <w:lang w:val="en-US" w:eastAsia="zh-CN"/>
        </w:rPr>
        <w:t>萧山区义桥镇2025年森林质量精准提升</w:t>
      </w:r>
    </w:p>
    <w:tbl>
      <w:tblPr>
        <w:tblStyle w:val="26"/>
        <w:tblpPr w:leftFromText="180" w:rightFromText="180" w:vertAnchor="text" w:horzAnchor="margin" w:tblpX="-217" w:tblpY="63"/>
        <w:tblOverlap w:val="never"/>
        <w:tblW w:w="8897"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
      <w:tblGrid>
        <w:gridCol w:w="493"/>
        <w:gridCol w:w="1490"/>
        <w:gridCol w:w="539"/>
        <w:gridCol w:w="633"/>
        <w:gridCol w:w="1261"/>
        <w:gridCol w:w="2880"/>
        <w:gridCol w:w="160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773" w:hRule="atLeast"/>
        </w:trPr>
        <w:tc>
          <w:tcPr>
            <w:tcW w:w="493" w:type="dxa"/>
            <w:noWrap w:val="0"/>
            <w:tcMar>
              <w:top w:w="15" w:type="dxa"/>
              <w:left w:w="15" w:type="dxa"/>
              <w:bottom w:w="0" w:type="dxa"/>
              <w:right w:w="15" w:type="dxa"/>
            </w:tcMar>
            <w:vAlign w:val="center"/>
          </w:tcPr>
          <w:p>
            <w:pPr>
              <w:keepNext w:val="0"/>
              <w:keepLines w:val="0"/>
              <w:widowControl/>
              <w:suppressLineNumbers w:val="0"/>
              <w:tabs>
                <w:tab w:val="left" w:pos="0"/>
              </w:tabs>
              <w:snapToGrid w:val="0"/>
              <w:spacing w:before="0" w:beforeAutospacing="0" w:afterAutospacing="0" w:line="240" w:lineRule="auto"/>
              <w:ind w:left="0" w:right="0"/>
              <w:jc w:val="center"/>
              <w:rPr>
                <w:rFonts w:hint="default" w:ascii="仿宋" w:hAnsi="仿宋" w:eastAsia="仿宋" w:cs="仿宋"/>
                <w:color w:val="auto"/>
              </w:rPr>
            </w:pPr>
            <w:r>
              <w:rPr>
                <w:rFonts w:hint="eastAsia" w:ascii="仿宋" w:hAnsi="仿宋" w:eastAsia="仿宋" w:cs="仿宋"/>
                <w:color w:val="auto"/>
              </w:rPr>
              <w:t>序号</w:t>
            </w:r>
          </w:p>
        </w:tc>
        <w:tc>
          <w:tcPr>
            <w:tcW w:w="1490" w:type="dxa"/>
            <w:noWrap w:val="0"/>
            <w:tcMar>
              <w:top w:w="15" w:type="dxa"/>
              <w:left w:w="15" w:type="dxa"/>
              <w:bottom w:w="0" w:type="dxa"/>
              <w:right w:w="15" w:type="dxa"/>
            </w:tcMar>
            <w:vAlign w:val="center"/>
          </w:tcPr>
          <w:p>
            <w:pPr>
              <w:keepNext w:val="0"/>
              <w:keepLines w:val="0"/>
              <w:widowControl/>
              <w:suppressLineNumbers w:val="0"/>
              <w:tabs>
                <w:tab w:val="left" w:pos="0"/>
              </w:tabs>
              <w:snapToGrid w:val="0"/>
              <w:spacing w:before="0" w:beforeAutospacing="0" w:afterAutospacing="0" w:line="240" w:lineRule="auto"/>
              <w:ind w:left="0" w:right="0"/>
              <w:jc w:val="center"/>
              <w:rPr>
                <w:rFonts w:hint="default" w:ascii="仿宋" w:hAnsi="仿宋" w:eastAsia="仿宋" w:cs="仿宋"/>
                <w:color w:val="auto"/>
              </w:rPr>
            </w:pPr>
            <w:r>
              <w:rPr>
                <w:rFonts w:hint="eastAsia" w:ascii="仿宋" w:hAnsi="仿宋" w:eastAsia="仿宋" w:cs="仿宋"/>
                <w:color w:val="auto"/>
              </w:rPr>
              <w:t>名称</w:t>
            </w:r>
          </w:p>
        </w:tc>
        <w:tc>
          <w:tcPr>
            <w:tcW w:w="539" w:type="dxa"/>
            <w:noWrap w:val="0"/>
            <w:tcMar>
              <w:top w:w="15" w:type="dxa"/>
              <w:left w:w="15" w:type="dxa"/>
              <w:bottom w:w="0" w:type="dxa"/>
              <w:right w:w="15" w:type="dxa"/>
            </w:tcMar>
            <w:vAlign w:val="center"/>
          </w:tcPr>
          <w:p>
            <w:pPr>
              <w:keepNext w:val="0"/>
              <w:keepLines w:val="0"/>
              <w:widowControl/>
              <w:suppressLineNumbers w:val="0"/>
              <w:tabs>
                <w:tab w:val="left" w:pos="0"/>
              </w:tabs>
              <w:snapToGrid w:val="0"/>
              <w:spacing w:before="0" w:beforeAutospacing="0" w:afterAutospacing="0" w:line="240" w:lineRule="auto"/>
              <w:ind w:left="0" w:right="0"/>
              <w:jc w:val="center"/>
              <w:rPr>
                <w:rFonts w:hint="default" w:ascii="仿宋" w:hAnsi="仿宋" w:eastAsia="仿宋" w:cs="仿宋"/>
                <w:color w:val="auto"/>
              </w:rPr>
            </w:pPr>
            <w:r>
              <w:rPr>
                <w:rFonts w:hint="eastAsia" w:ascii="仿宋" w:hAnsi="仿宋" w:eastAsia="仿宋" w:cs="仿宋"/>
                <w:color w:val="auto"/>
              </w:rPr>
              <w:t>数量</w:t>
            </w:r>
          </w:p>
        </w:tc>
        <w:tc>
          <w:tcPr>
            <w:tcW w:w="633" w:type="dxa"/>
            <w:noWrap w:val="0"/>
            <w:tcMar>
              <w:top w:w="15" w:type="dxa"/>
              <w:left w:w="15" w:type="dxa"/>
              <w:bottom w:w="0" w:type="dxa"/>
              <w:right w:w="15" w:type="dxa"/>
            </w:tcMar>
            <w:vAlign w:val="center"/>
          </w:tcPr>
          <w:p>
            <w:pPr>
              <w:keepNext w:val="0"/>
              <w:keepLines w:val="0"/>
              <w:widowControl/>
              <w:suppressLineNumbers w:val="0"/>
              <w:tabs>
                <w:tab w:val="left" w:pos="0"/>
              </w:tabs>
              <w:snapToGrid w:val="0"/>
              <w:spacing w:before="0" w:beforeAutospacing="0" w:afterAutospacing="0" w:line="240" w:lineRule="auto"/>
              <w:ind w:left="0" w:right="0"/>
              <w:jc w:val="center"/>
              <w:rPr>
                <w:rFonts w:hint="default" w:ascii="仿宋" w:hAnsi="仿宋" w:eastAsia="仿宋" w:cs="仿宋"/>
                <w:color w:val="auto"/>
              </w:rPr>
            </w:pPr>
            <w:r>
              <w:rPr>
                <w:rFonts w:hint="eastAsia" w:ascii="仿宋" w:hAnsi="仿宋" w:eastAsia="仿宋" w:cs="仿宋"/>
                <w:color w:val="auto"/>
              </w:rPr>
              <w:t>单位</w:t>
            </w:r>
          </w:p>
        </w:tc>
        <w:tc>
          <w:tcPr>
            <w:tcW w:w="1261" w:type="dxa"/>
            <w:noWrap w:val="0"/>
            <w:vAlign w:val="center"/>
          </w:tcPr>
          <w:p>
            <w:pPr>
              <w:keepNext w:val="0"/>
              <w:keepLines w:val="0"/>
              <w:widowControl/>
              <w:suppressLineNumbers w:val="0"/>
              <w:tabs>
                <w:tab w:val="left" w:pos="0"/>
              </w:tabs>
              <w:snapToGrid w:val="0"/>
              <w:spacing w:before="0" w:beforeAutospacing="0" w:afterAutospacing="0" w:line="240" w:lineRule="auto"/>
              <w:ind w:left="0" w:right="0"/>
              <w:jc w:val="center"/>
              <w:rPr>
                <w:rFonts w:hint="default" w:ascii="仿宋" w:hAnsi="仿宋" w:eastAsia="仿宋" w:cs="仿宋"/>
                <w:color w:val="auto"/>
              </w:rPr>
            </w:pPr>
            <w:r>
              <w:rPr>
                <w:rFonts w:hint="eastAsia" w:ascii="仿宋" w:hAnsi="仿宋" w:eastAsia="仿宋" w:cs="仿宋"/>
                <w:color w:val="auto"/>
              </w:rPr>
              <w:t>预算（元）</w:t>
            </w:r>
          </w:p>
        </w:tc>
        <w:tc>
          <w:tcPr>
            <w:tcW w:w="2880" w:type="dxa"/>
            <w:noWrap w:val="0"/>
            <w:vAlign w:val="center"/>
          </w:tcPr>
          <w:p>
            <w:pPr>
              <w:keepNext w:val="0"/>
              <w:keepLines w:val="0"/>
              <w:widowControl/>
              <w:suppressLineNumbers w:val="0"/>
              <w:tabs>
                <w:tab w:val="left" w:pos="0"/>
              </w:tabs>
              <w:snapToGrid w:val="0"/>
              <w:spacing w:before="0" w:beforeAutospacing="0" w:afterAutospacing="0" w:line="240" w:lineRule="auto"/>
              <w:ind w:left="0" w:right="0"/>
              <w:jc w:val="center"/>
              <w:rPr>
                <w:rFonts w:hint="default" w:ascii="仿宋" w:hAnsi="仿宋" w:eastAsia="仿宋" w:cs="仿宋"/>
                <w:color w:val="auto"/>
              </w:rPr>
            </w:pPr>
            <w:r>
              <w:rPr>
                <w:rFonts w:hint="eastAsia" w:ascii="仿宋" w:hAnsi="仿宋" w:eastAsia="仿宋" w:cs="仿宋"/>
                <w:color w:val="auto"/>
              </w:rPr>
              <w:t>简要规格描述或基本情况介绍</w:t>
            </w:r>
          </w:p>
        </w:tc>
        <w:tc>
          <w:tcPr>
            <w:tcW w:w="1601" w:type="dxa"/>
            <w:noWrap w:val="0"/>
            <w:vAlign w:val="center"/>
          </w:tcPr>
          <w:p>
            <w:pPr>
              <w:keepNext w:val="0"/>
              <w:keepLines w:val="0"/>
              <w:widowControl/>
              <w:suppressLineNumbers w:val="0"/>
              <w:tabs>
                <w:tab w:val="left" w:pos="0"/>
              </w:tabs>
              <w:snapToGrid w:val="0"/>
              <w:spacing w:before="0" w:beforeAutospacing="0" w:afterAutospacing="0" w:line="240" w:lineRule="auto"/>
              <w:ind w:left="0" w:right="0"/>
              <w:jc w:val="center"/>
              <w:rPr>
                <w:rFonts w:hint="default" w:ascii="仿宋" w:hAnsi="仿宋" w:eastAsia="仿宋" w:cs="仿宋"/>
                <w:color w:val="auto"/>
              </w:rPr>
            </w:pPr>
            <w:r>
              <w:rPr>
                <w:rFonts w:hint="eastAsia" w:ascii="仿宋" w:hAnsi="仿宋" w:eastAsia="仿宋" w:cs="仿宋"/>
                <w:color w:val="auto"/>
              </w:rPr>
              <w:t>最高限价（元）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90" w:hRule="atLeast"/>
        </w:trPr>
        <w:tc>
          <w:tcPr>
            <w:tcW w:w="493" w:type="dxa"/>
            <w:noWrap w:val="0"/>
            <w:tcMar>
              <w:top w:w="15" w:type="dxa"/>
              <w:left w:w="15" w:type="dxa"/>
              <w:bottom w:w="0" w:type="dxa"/>
              <w:right w:w="15" w:type="dxa"/>
            </w:tcMar>
            <w:vAlign w:val="center"/>
          </w:tcPr>
          <w:p>
            <w:pPr>
              <w:keepNext w:val="0"/>
              <w:keepLines w:val="0"/>
              <w:widowControl/>
              <w:suppressLineNumbers w:val="0"/>
              <w:spacing w:before="0" w:beforeAutospacing="0" w:afterAutospacing="0"/>
              <w:ind w:left="0" w:right="0"/>
              <w:jc w:val="center"/>
              <w:textAlignment w:val="center"/>
              <w:rPr>
                <w:rFonts w:hint="eastAsia"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1</w:t>
            </w:r>
          </w:p>
        </w:tc>
        <w:tc>
          <w:tcPr>
            <w:tcW w:w="1490" w:type="dxa"/>
            <w:noWrap w:val="0"/>
            <w:tcMar>
              <w:top w:w="15" w:type="dxa"/>
              <w:left w:w="15" w:type="dxa"/>
              <w:bottom w:w="0" w:type="dxa"/>
              <w:right w:w="15" w:type="dxa"/>
            </w:tcMar>
            <w:vAlign w:val="center"/>
          </w:tcPr>
          <w:p>
            <w:pPr>
              <w:keepNext w:val="0"/>
              <w:keepLines w:val="0"/>
              <w:widowControl/>
              <w:suppressLineNumbers w:val="0"/>
              <w:spacing w:before="0" w:beforeAutospacing="0" w:afterAutospacing="0"/>
              <w:ind w:left="0" w:right="0"/>
              <w:jc w:val="center"/>
              <w:textAlignment w:val="center"/>
              <w:rPr>
                <w:rFonts w:hint="eastAsia"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萧山区义桥镇2025年森林质量精准提升</w:t>
            </w:r>
          </w:p>
        </w:tc>
        <w:tc>
          <w:tcPr>
            <w:tcW w:w="539" w:type="dxa"/>
            <w:noWrap w:val="0"/>
            <w:tcMar>
              <w:top w:w="15" w:type="dxa"/>
              <w:left w:w="15" w:type="dxa"/>
              <w:bottom w:w="0" w:type="dxa"/>
              <w:right w:w="15" w:type="dxa"/>
            </w:tcMar>
            <w:vAlign w:val="center"/>
          </w:tcPr>
          <w:p>
            <w:pPr>
              <w:keepNext w:val="0"/>
              <w:keepLines w:val="0"/>
              <w:widowControl/>
              <w:suppressLineNumbers w:val="0"/>
              <w:spacing w:before="0" w:beforeAutospacing="0" w:afterAutospacing="0"/>
              <w:ind w:left="0" w:right="0"/>
              <w:jc w:val="center"/>
              <w:textAlignment w:val="center"/>
              <w:rPr>
                <w:rFonts w:hint="eastAsia"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1</w:t>
            </w:r>
          </w:p>
        </w:tc>
        <w:tc>
          <w:tcPr>
            <w:tcW w:w="633" w:type="dxa"/>
            <w:noWrap w:val="0"/>
            <w:tcMar>
              <w:top w:w="15" w:type="dxa"/>
              <w:left w:w="15" w:type="dxa"/>
              <w:bottom w:w="0" w:type="dxa"/>
              <w:right w:w="15" w:type="dxa"/>
            </w:tcMar>
            <w:vAlign w:val="center"/>
          </w:tcPr>
          <w:p>
            <w:pPr>
              <w:keepNext w:val="0"/>
              <w:keepLines w:val="0"/>
              <w:widowControl/>
              <w:suppressLineNumbers w:val="0"/>
              <w:spacing w:before="0" w:beforeAutospacing="0" w:afterAutospacing="0"/>
              <w:ind w:left="0" w:right="0"/>
              <w:jc w:val="center"/>
              <w:textAlignment w:val="center"/>
              <w:rPr>
                <w:rFonts w:hint="eastAsia"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项</w:t>
            </w:r>
          </w:p>
        </w:tc>
        <w:tc>
          <w:tcPr>
            <w:tcW w:w="1261" w:type="dxa"/>
            <w:noWrap w:val="0"/>
            <w:vAlign w:val="center"/>
          </w:tcPr>
          <w:p>
            <w:pPr>
              <w:keepNext w:val="0"/>
              <w:keepLines w:val="0"/>
              <w:widowControl/>
              <w:suppressLineNumbers w:val="0"/>
              <w:spacing w:before="0" w:beforeAutospacing="0" w:afterAutospacing="0"/>
              <w:ind w:left="0" w:right="0"/>
              <w:jc w:val="center"/>
              <w:textAlignment w:val="center"/>
              <w:rPr>
                <w:rFonts w:hint="default"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385</w:t>
            </w:r>
            <w:r>
              <w:rPr>
                <w:rFonts w:hint="default" w:ascii="仿宋" w:hAnsi="仿宋" w:eastAsia="仿宋" w:cs="仿宋"/>
                <w:color w:val="auto"/>
                <w:sz w:val="24"/>
                <w:szCs w:val="24"/>
                <w:lang w:val="en-US" w:eastAsia="zh-CN"/>
              </w:rPr>
              <w:t>000</w:t>
            </w:r>
          </w:p>
        </w:tc>
        <w:tc>
          <w:tcPr>
            <w:tcW w:w="2880" w:type="dxa"/>
            <w:noWrap w:val="0"/>
            <w:vAlign w:val="center"/>
          </w:tcPr>
          <w:p>
            <w:pPr>
              <w:keepNext w:val="0"/>
              <w:keepLines w:val="0"/>
              <w:widowControl/>
              <w:suppressLineNumbers w:val="0"/>
              <w:spacing w:before="0" w:beforeAutospacing="0" w:afterAutospacing="0"/>
              <w:ind w:left="0" w:right="0"/>
              <w:jc w:val="center"/>
              <w:textAlignment w:val="center"/>
              <w:rPr>
                <w:rFonts w:hint="eastAsia"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Hans"/>
              </w:rPr>
              <w:t>二、</w:t>
            </w:r>
            <w:r>
              <w:rPr>
                <w:rFonts w:hint="eastAsia" w:ascii="仿宋" w:hAnsi="仿宋" w:eastAsia="仿宋" w:cs="仿宋"/>
                <w:color w:val="auto"/>
                <w:sz w:val="24"/>
                <w:szCs w:val="24"/>
                <w:lang w:val="en-US" w:eastAsia="zh-CN"/>
              </w:rPr>
              <w:t>采购需求-1、技术需求</w:t>
            </w:r>
          </w:p>
        </w:tc>
        <w:tc>
          <w:tcPr>
            <w:tcW w:w="1601" w:type="dxa"/>
            <w:noWrap w:val="0"/>
            <w:vAlign w:val="center"/>
          </w:tcPr>
          <w:p>
            <w:pPr>
              <w:keepNext w:val="0"/>
              <w:keepLines w:val="0"/>
              <w:widowControl/>
              <w:suppressLineNumbers w:val="0"/>
              <w:spacing w:before="0" w:beforeAutospacing="0" w:afterAutospacing="0"/>
              <w:ind w:left="0" w:right="0"/>
              <w:jc w:val="center"/>
              <w:textAlignment w:val="center"/>
              <w:rPr>
                <w:rFonts w:hint="default" w:ascii="仿宋" w:hAnsi="仿宋" w:eastAsia="仿宋" w:cs="仿宋"/>
                <w:color w:val="auto"/>
                <w:sz w:val="24"/>
                <w:szCs w:val="24"/>
                <w:lang w:val="en-US" w:eastAsia="zh-CN"/>
              </w:rPr>
            </w:pPr>
            <w:r>
              <w:rPr>
                <w:rFonts w:hint="default" w:ascii="仿宋" w:hAnsi="仿宋" w:eastAsia="仿宋" w:cs="仿宋"/>
                <w:color w:val="auto"/>
                <w:sz w:val="24"/>
                <w:szCs w:val="24"/>
                <w:lang w:val="en-US" w:eastAsia="zh-CN"/>
              </w:rPr>
              <w:t>385000</w:t>
            </w:r>
          </w:p>
        </w:tc>
      </w:tr>
    </w:tbl>
    <w:p>
      <w:pPr>
        <w:pStyle w:val="2"/>
        <w:tabs>
          <w:tab w:val="left" w:pos="432"/>
        </w:tabs>
        <w:ind w:left="0" w:firstLine="0"/>
        <w:rPr>
          <w:rFonts w:hint="eastAsia" w:ascii="仿宋" w:eastAsia="仿宋" w:cs="仿宋"/>
          <w:color w:val="auto"/>
          <w:sz w:val="22"/>
          <w:szCs w:val="22"/>
        </w:rPr>
      </w:pPr>
      <w:r>
        <w:rPr>
          <w:rFonts w:hint="eastAsia" w:ascii="仿宋" w:eastAsia="仿宋" w:cs="仿宋"/>
          <w:color w:val="auto"/>
          <w:sz w:val="22"/>
          <w:szCs w:val="22"/>
        </w:rPr>
        <w:t>注：▲投标人需在投标（开标）一览表中明确投标报价（总价）及以上各分项小计报价，各分项小计报价不得超过上表各最高限价。</w:t>
      </w:r>
    </w:p>
    <w:p>
      <w:pPr>
        <w:rPr>
          <w:rFonts w:hint="eastAsia"/>
          <w:color w:val="auto"/>
        </w:rPr>
      </w:pPr>
    </w:p>
    <w:p>
      <w:pPr>
        <w:rPr>
          <w:color w:val="auto"/>
        </w:rPr>
      </w:pPr>
    </w:p>
    <w:p>
      <w:pPr>
        <w:pStyle w:val="2"/>
        <w:numPr>
          <w:ilvl w:val="0"/>
          <w:numId w:val="1"/>
        </w:numPr>
        <w:tabs>
          <w:tab w:val="left" w:pos="432"/>
        </w:tabs>
        <w:jc w:val="center"/>
        <w:rPr>
          <w:rFonts w:hint="eastAsia" w:asciiTheme="minorEastAsia" w:hAnsiTheme="minorEastAsia" w:eastAsiaTheme="minorEastAsia" w:cstheme="minorEastAsia"/>
          <w:color w:val="auto"/>
          <w:lang w:val="zh-CN" w:eastAsia="zh-CN"/>
        </w:rPr>
      </w:pPr>
      <w:r>
        <w:rPr>
          <w:rFonts w:hint="eastAsia" w:asciiTheme="minorEastAsia" w:hAnsiTheme="minorEastAsia" w:eastAsiaTheme="minorEastAsia" w:cstheme="minorEastAsia"/>
          <w:color w:val="auto"/>
          <w:lang w:val="zh-CN" w:eastAsia="zh-CN"/>
        </w:rPr>
        <w:t>采购需求</w:t>
      </w:r>
    </w:p>
    <w:p>
      <w:pPr>
        <w:pStyle w:val="3"/>
        <w:pageBreakBefore w:val="0"/>
        <w:widowControl w:val="0"/>
        <w:numPr>
          <w:ilvl w:val="0"/>
          <w:numId w:val="0"/>
        </w:numPr>
        <w:tabs>
          <w:tab w:val="left" w:pos="432"/>
        </w:tabs>
        <w:kinsoku/>
        <w:wordWrap/>
        <w:overflowPunct/>
        <w:topLinePunct w:val="0"/>
        <w:autoSpaceDE/>
        <w:autoSpaceDN/>
        <w:bidi w:val="0"/>
        <w:adjustRightInd w:val="0"/>
        <w:spacing w:before="0" w:after="0" w:line="360" w:lineRule="auto"/>
        <w:ind w:leftChars="0"/>
        <w:jc w:val="left"/>
        <w:textAlignment w:val="auto"/>
        <w:rPr>
          <w:rFonts w:hint="eastAsia" w:ascii="仿宋" w:hAnsi="仿宋" w:eastAsia="仿宋" w:cs="仿宋"/>
          <w:b/>
          <w:bCs/>
          <w:color w:val="auto"/>
          <w:kern w:val="2"/>
          <w:sz w:val="32"/>
          <w:szCs w:val="32"/>
          <w:lang w:val="en-US" w:eastAsia="zh-CN" w:bidi="ar-SA"/>
        </w:rPr>
      </w:pPr>
      <w:r>
        <w:rPr>
          <w:rFonts w:hint="eastAsia" w:ascii="仿宋" w:hAnsi="仿宋" w:eastAsia="仿宋" w:cs="仿宋"/>
          <w:b/>
          <w:bCs/>
          <w:color w:val="auto"/>
          <w:kern w:val="2"/>
          <w:sz w:val="24"/>
          <w:szCs w:val="24"/>
          <w:highlight w:val="none"/>
          <w:lang w:val="en-US" w:eastAsia="zh-CN" w:bidi="ar-SA"/>
        </w:rPr>
        <w:t>（1）技术需求</w:t>
      </w:r>
    </w:p>
    <w:p>
      <w:pPr>
        <w:snapToGrid w:val="0"/>
        <w:spacing w:line="360" w:lineRule="auto"/>
        <w:ind w:firstLine="480" w:firstLineChars="200"/>
        <w:rPr>
          <w:rFonts w:hint="default" w:ascii="仿宋" w:hAnsi="仿宋" w:eastAsia="仿宋" w:cs="仿宋"/>
          <w:b w:val="0"/>
          <w:bCs w:val="0"/>
          <w:color w:val="auto"/>
          <w:kern w:val="2"/>
          <w:sz w:val="24"/>
          <w:highlight w:val="none"/>
          <w:lang w:val="en-US" w:eastAsia="zh-CN"/>
        </w:rPr>
      </w:pPr>
      <w:r>
        <w:rPr>
          <w:rFonts w:hint="default" w:ascii="仿宋" w:hAnsi="仿宋" w:eastAsia="仿宋" w:cs="仿宋"/>
          <w:b w:val="0"/>
          <w:bCs w:val="0"/>
          <w:color w:val="auto"/>
          <w:kern w:val="2"/>
          <w:sz w:val="24"/>
          <w:highlight w:val="none"/>
          <w:lang w:val="en-US" w:eastAsia="zh-CN"/>
        </w:rPr>
        <w:t>森林质量精准提升是促进森林蓄积量增长、提高森林质量和效益的有效途径，是实现林业“双增”、碳达峰碳中和目标的重要措施。</w:t>
      </w:r>
    </w:p>
    <w:p>
      <w:pPr>
        <w:snapToGrid w:val="0"/>
        <w:spacing w:line="360" w:lineRule="auto"/>
        <w:ind w:firstLine="480" w:firstLineChars="200"/>
        <w:rPr>
          <w:rFonts w:hint="default" w:ascii="仿宋" w:hAnsi="仿宋" w:eastAsia="仿宋" w:cs="仿宋"/>
          <w:b w:val="0"/>
          <w:bCs w:val="0"/>
          <w:color w:val="auto"/>
          <w:kern w:val="2"/>
          <w:sz w:val="24"/>
          <w:highlight w:val="none"/>
          <w:lang w:val="en-US" w:eastAsia="zh-CN"/>
        </w:rPr>
      </w:pPr>
      <w:r>
        <w:rPr>
          <w:rFonts w:hint="default" w:ascii="仿宋" w:hAnsi="仿宋" w:eastAsia="仿宋" w:cs="仿宋"/>
          <w:b w:val="0"/>
          <w:bCs w:val="0"/>
          <w:color w:val="auto"/>
          <w:kern w:val="2"/>
          <w:sz w:val="24"/>
          <w:highlight w:val="none"/>
          <w:lang w:val="en-US" w:eastAsia="zh-CN"/>
        </w:rPr>
        <w:t>1.1 森林质量精准提升计划任务表</w:t>
      </w:r>
    </w:p>
    <w:p>
      <w:pPr>
        <w:snapToGrid w:val="0"/>
        <w:spacing w:line="360" w:lineRule="auto"/>
        <w:ind w:firstLine="480" w:firstLineChars="200"/>
        <w:rPr>
          <w:rFonts w:hint="default" w:ascii="仿宋" w:hAnsi="仿宋" w:eastAsia="仿宋" w:cs="仿宋"/>
          <w:b w:val="0"/>
          <w:bCs w:val="0"/>
          <w:color w:val="auto"/>
          <w:kern w:val="2"/>
          <w:sz w:val="24"/>
          <w:highlight w:val="none"/>
          <w:lang w:val="en-US" w:eastAsia="zh-CN"/>
        </w:rPr>
      </w:pPr>
      <w:r>
        <w:rPr>
          <w:rFonts w:hint="eastAsia" w:ascii="仿宋" w:hAnsi="仿宋" w:eastAsia="仿宋" w:cs="仿宋"/>
          <w:color w:val="auto"/>
          <w:sz w:val="24"/>
          <w:lang w:val="en-US" w:eastAsia="zh-CN"/>
        </w:rPr>
        <w:t>义桥</w:t>
      </w:r>
      <w:r>
        <w:rPr>
          <w:rFonts w:hint="eastAsia" w:ascii="仿宋" w:hAnsi="仿宋" w:eastAsia="仿宋" w:cs="仿宋"/>
          <w:color w:val="auto"/>
          <w:sz w:val="24"/>
          <w:lang w:eastAsia="zh-CN"/>
        </w:rPr>
        <w:t>镇</w:t>
      </w:r>
      <w:r>
        <w:rPr>
          <w:rFonts w:hint="eastAsia" w:ascii="仿宋" w:hAnsi="仿宋" w:eastAsia="仿宋" w:cs="仿宋"/>
          <w:b w:val="0"/>
          <w:bCs w:val="0"/>
          <w:color w:val="auto"/>
          <w:kern w:val="2"/>
          <w:sz w:val="24"/>
          <w:highlight w:val="none"/>
          <w:lang w:val="en-US" w:eastAsia="zh-CN"/>
        </w:rPr>
        <w:t>抚育提质</w:t>
      </w:r>
      <w:r>
        <w:rPr>
          <w:rFonts w:hint="eastAsia" w:ascii="仿宋" w:hAnsi="仿宋" w:eastAsia="仿宋" w:cs="仿宋"/>
          <w:color w:val="auto"/>
          <w:sz w:val="24"/>
          <w:lang w:val="en-US" w:eastAsia="zh-CN"/>
        </w:rPr>
        <w:t>375</w:t>
      </w:r>
      <w:r>
        <w:rPr>
          <w:rFonts w:hint="eastAsia" w:ascii="仿宋" w:hAnsi="仿宋" w:eastAsia="仿宋" w:cs="仿宋"/>
          <w:b w:val="0"/>
          <w:bCs w:val="0"/>
          <w:color w:val="auto"/>
          <w:kern w:val="2"/>
          <w:sz w:val="24"/>
          <w:highlight w:val="none"/>
          <w:lang w:val="en-US" w:eastAsia="zh-CN"/>
        </w:rPr>
        <w:t>亩，补植更新5亩，封育管护793亩，共计1173亩。</w:t>
      </w:r>
    </w:p>
    <w:p>
      <w:pPr>
        <w:snapToGrid w:val="0"/>
        <w:spacing w:line="360" w:lineRule="auto"/>
        <w:ind w:firstLine="480" w:firstLineChars="200"/>
        <w:rPr>
          <w:rFonts w:hint="eastAsia" w:ascii="仿宋" w:hAnsi="仿宋" w:eastAsia="仿宋" w:cs="仿宋"/>
          <w:b w:val="0"/>
          <w:bCs w:val="0"/>
          <w:color w:val="auto"/>
          <w:kern w:val="2"/>
          <w:sz w:val="24"/>
          <w:highlight w:val="none"/>
          <w:lang w:val="en-US" w:eastAsia="zh-CN"/>
        </w:rPr>
      </w:pPr>
      <w:r>
        <w:rPr>
          <w:rFonts w:hint="default" w:ascii="仿宋" w:hAnsi="仿宋" w:eastAsia="仿宋" w:cs="仿宋"/>
          <w:b w:val="0"/>
          <w:bCs w:val="0"/>
          <w:color w:val="auto"/>
          <w:kern w:val="2"/>
          <w:sz w:val="24"/>
          <w:highlight w:val="none"/>
          <w:lang w:val="en-US" w:eastAsia="zh-CN"/>
        </w:rPr>
        <w:t>1.2 森林质量精准提升技术标准</w:t>
      </w:r>
    </w:p>
    <w:p>
      <w:pPr>
        <w:snapToGrid w:val="0"/>
        <w:spacing w:line="360" w:lineRule="auto"/>
        <w:ind w:firstLine="480" w:firstLineChars="200"/>
        <w:rPr>
          <w:rFonts w:hint="eastAsia" w:ascii="仿宋" w:hAnsi="仿宋" w:eastAsia="仿宋" w:cs="仿宋"/>
          <w:b w:val="0"/>
          <w:bCs w:val="0"/>
          <w:color w:val="auto"/>
          <w:kern w:val="2"/>
          <w:sz w:val="24"/>
          <w:highlight w:val="none"/>
        </w:rPr>
      </w:pPr>
      <w:r>
        <w:rPr>
          <w:rFonts w:hint="eastAsia" w:ascii="仿宋" w:hAnsi="仿宋" w:eastAsia="仿宋" w:cs="仿宋"/>
          <w:b w:val="0"/>
          <w:bCs w:val="0"/>
          <w:color w:val="auto"/>
          <w:kern w:val="2"/>
          <w:sz w:val="24"/>
          <w:szCs w:val="24"/>
          <w:highlight w:val="none"/>
          <w:lang w:val="en-US" w:eastAsia="zh-CN" w:bidi="ar-SA"/>
        </w:rPr>
        <w:t>森林质量精准提升的目的是通过选择目标树、割灌除草、抚育采伐、定株补植等技术措施，提高林分蓄积、提高碳汇能力，美化自</w:t>
      </w:r>
      <w:r>
        <w:rPr>
          <w:rFonts w:hint="eastAsia" w:ascii="仿宋" w:hAnsi="仿宋" w:eastAsia="仿宋" w:cs="仿宋"/>
          <w:b w:val="0"/>
          <w:bCs w:val="0"/>
          <w:color w:val="auto"/>
          <w:kern w:val="2"/>
          <w:sz w:val="24"/>
          <w:highlight w:val="none"/>
        </w:rPr>
        <w:t>然景观、增强生态安全。</w:t>
      </w:r>
    </w:p>
    <w:p>
      <w:pPr>
        <w:snapToGrid w:val="0"/>
        <w:spacing w:line="360" w:lineRule="auto"/>
        <w:ind w:firstLine="480" w:firstLineChars="200"/>
        <w:rPr>
          <w:rFonts w:hint="eastAsia" w:ascii="仿宋" w:hAnsi="仿宋" w:eastAsia="仿宋" w:cs="仿宋"/>
          <w:b w:val="0"/>
          <w:bCs w:val="0"/>
          <w:color w:val="auto"/>
          <w:kern w:val="2"/>
          <w:sz w:val="24"/>
          <w:highlight w:val="none"/>
        </w:rPr>
      </w:pPr>
      <w:r>
        <w:rPr>
          <w:rFonts w:hint="eastAsia" w:ascii="仿宋" w:hAnsi="仿宋" w:eastAsia="仿宋" w:cs="仿宋"/>
          <w:b w:val="0"/>
          <w:bCs w:val="0"/>
          <w:color w:val="auto"/>
          <w:kern w:val="2"/>
          <w:sz w:val="24"/>
          <w:highlight w:val="none"/>
        </w:rPr>
        <w:t>（</w:t>
      </w:r>
      <w:r>
        <w:rPr>
          <w:rFonts w:hint="eastAsia" w:cs="仿宋"/>
          <w:b w:val="0"/>
          <w:bCs w:val="0"/>
          <w:color w:val="auto"/>
          <w:kern w:val="2"/>
          <w:sz w:val="24"/>
          <w:highlight w:val="none"/>
          <w:lang w:val="en-US" w:eastAsia="zh-CN"/>
        </w:rPr>
        <w:t>1</w:t>
      </w:r>
      <w:r>
        <w:rPr>
          <w:rFonts w:hint="eastAsia" w:ascii="仿宋" w:hAnsi="仿宋" w:eastAsia="仿宋" w:cs="仿宋"/>
          <w:b w:val="0"/>
          <w:bCs w:val="0"/>
          <w:color w:val="auto"/>
          <w:kern w:val="2"/>
          <w:sz w:val="24"/>
          <w:highlight w:val="none"/>
        </w:rPr>
        <w:t>）目标树选择。目标树是指对林分稳定性和生产力发挥重要作用的长势好、质量优、寿命长、价值高，需要长期保留直到目标直径方可采伐利用的林木。一般为实生起源、干形通直、具有全高 1/4 以上冠长、无明显损伤和病虫害痕迹且处于主林层的优势个体。具体按《森林抚育目标树选择和密度控制技术规程》（DB33/T2143）规定执行。</w:t>
      </w:r>
    </w:p>
    <w:p>
      <w:pPr>
        <w:snapToGrid w:val="0"/>
        <w:spacing w:line="360" w:lineRule="auto"/>
        <w:ind w:firstLine="480" w:firstLineChars="200"/>
        <w:rPr>
          <w:rFonts w:hint="eastAsia" w:ascii="仿宋" w:hAnsi="仿宋" w:eastAsia="仿宋" w:cs="仿宋"/>
          <w:b w:val="0"/>
          <w:bCs w:val="0"/>
          <w:color w:val="auto"/>
          <w:kern w:val="2"/>
          <w:sz w:val="24"/>
          <w:highlight w:val="none"/>
        </w:rPr>
      </w:pPr>
      <w:r>
        <w:rPr>
          <w:rFonts w:hint="eastAsia" w:ascii="仿宋" w:hAnsi="仿宋" w:eastAsia="仿宋" w:cs="仿宋"/>
          <w:b w:val="0"/>
          <w:bCs w:val="0"/>
          <w:color w:val="auto"/>
          <w:kern w:val="2"/>
          <w:sz w:val="24"/>
          <w:highlight w:val="none"/>
        </w:rPr>
        <w:t>（</w:t>
      </w:r>
      <w:r>
        <w:rPr>
          <w:rFonts w:hint="eastAsia" w:cs="仿宋"/>
          <w:b w:val="0"/>
          <w:bCs w:val="0"/>
          <w:color w:val="auto"/>
          <w:kern w:val="2"/>
          <w:sz w:val="24"/>
          <w:highlight w:val="none"/>
          <w:lang w:val="en-US" w:eastAsia="zh-CN"/>
        </w:rPr>
        <w:t>2</w:t>
      </w:r>
      <w:r>
        <w:rPr>
          <w:rFonts w:hint="eastAsia" w:ascii="仿宋" w:hAnsi="仿宋" w:eastAsia="仿宋" w:cs="仿宋"/>
          <w:b w:val="0"/>
          <w:bCs w:val="0"/>
          <w:color w:val="auto"/>
          <w:kern w:val="2"/>
          <w:sz w:val="24"/>
          <w:highlight w:val="none"/>
        </w:rPr>
        <w:t>）割灌除草。目标树种幼树或补植树高度低于周边杂灌杂草、藤本植物，生长发育受到显著影响时采用割灌除草。采取割灌除草抚育林分后影响目标树种幼树生长的杂灌杂草和藤本植物全部割除，注意保护珍稀树木。此外，对可视范围内的林缘及重要区域可通过割灌除草等措施，提高景观透视度和减少森林火灾发生。</w:t>
      </w:r>
    </w:p>
    <w:p>
      <w:pPr>
        <w:snapToGrid w:val="0"/>
        <w:spacing w:line="360" w:lineRule="auto"/>
        <w:ind w:firstLine="480" w:firstLineChars="200"/>
        <w:rPr>
          <w:rFonts w:hint="eastAsia" w:ascii="仿宋" w:hAnsi="仿宋" w:eastAsia="仿宋" w:cs="仿宋"/>
          <w:b w:val="0"/>
          <w:bCs w:val="0"/>
          <w:color w:val="auto"/>
          <w:kern w:val="2"/>
          <w:sz w:val="24"/>
          <w:highlight w:val="none"/>
        </w:rPr>
      </w:pPr>
      <w:r>
        <w:rPr>
          <w:rFonts w:hint="eastAsia" w:ascii="仿宋" w:hAnsi="仿宋" w:eastAsia="仿宋" w:cs="仿宋"/>
          <w:b w:val="0"/>
          <w:bCs w:val="0"/>
          <w:color w:val="auto"/>
          <w:kern w:val="2"/>
          <w:sz w:val="24"/>
          <w:highlight w:val="none"/>
        </w:rPr>
        <w:t>（</w:t>
      </w:r>
      <w:r>
        <w:rPr>
          <w:rFonts w:hint="eastAsia" w:cs="仿宋"/>
          <w:b w:val="0"/>
          <w:bCs w:val="0"/>
          <w:color w:val="auto"/>
          <w:kern w:val="2"/>
          <w:sz w:val="24"/>
          <w:highlight w:val="none"/>
          <w:lang w:val="en-US" w:eastAsia="zh-CN"/>
        </w:rPr>
        <w:t>3</w:t>
      </w:r>
      <w:r>
        <w:rPr>
          <w:rFonts w:hint="eastAsia" w:ascii="仿宋" w:hAnsi="仿宋" w:eastAsia="仿宋" w:cs="仿宋"/>
          <w:b w:val="0"/>
          <w:bCs w:val="0"/>
          <w:color w:val="auto"/>
          <w:kern w:val="2"/>
          <w:sz w:val="24"/>
          <w:highlight w:val="none"/>
        </w:rPr>
        <w:t>）抚育采伐。在割灌除草等地被物处理基础上，对密度过高、影响生长的中幼林进行密度调控。采取抚育采伐方式抚育森林的，需办理《林木采伐许可证》后方可施工。具体按《森林抚育规程》（GB/T15871–2015）规定执行。</w:t>
      </w:r>
    </w:p>
    <w:p>
      <w:pPr>
        <w:snapToGrid w:val="0"/>
        <w:spacing w:line="360" w:lineRule="auto"/>
        <w:ind w:firstLine="480" w:firstLineChars="200"/>
        <w:rPr>
          <w:rFonts w:hint="eastAsia" w:ascii="仿宋" w:hAnsi="仿宋" w:eastAsia="仿宋" w:cs="仿宋"/>
          <w:b w:val="0"/>
          <w:bCs w:val="0"/>
          <w:color w:val="auto"/>
          <w:kern w:val="2"/>
          <w:sz w:val="24"/>
          <w:highlight w:val="none"/>
        </w:rPr>
      </w:pPr>
      <w:r>
        <w:rPr>
          <w:rFonts w:hint="eastAsia" w:ascii="仿宋" w:hAnsi="仿宋" w:eastAsia="仿宋" w:cs="仿宋"/>
          <w:b w:val="0"/>
          <w:bCs w:val="0"/>
          <w:color w:val="auto"/>
          <w:kern w:val="2"/>
          <w:sz w:val="24"/>
          <w:highlight w:val="none"/>
        </w:rPr>
        <w:t>1.透光伐。在幼龄林中进行。按照确定的保留株数，间密留疏，去劣留优，保留珍贵树种和优质树木，合理调整林分结构。</w:t>
      </w:r>
    </w:p>
    <w:p>
      <w:pPr>
        <w:snapToGrid w:val="0"/>
        <w:spacing w:line="360" w:lineRule="auto"/>
        <w:ind w:firstLine="480" w:firstLineChars="200"/>
        <w:rPr>
          <w:rFonts w:hint="eastAsia" w:ascii="仿宋" w:hAnsi="仿宋" w:eastAsia="仿宋" w:cs="仿宋"/>
          <w:b w:val="0"/>
          <w:bCs w:val="0"/>
          <w:color w:val="auto"/>
          <w:kern w:val="2"/>
          <w:sz w:val="24"/>
          <w:highlight w:val="none"/>
        </w:rPr>
      </w:pPr>
      <w:r>
        <w:rPr>
          <w:rFonts w:hint="eastAsia" w:ascii="仿宋" w:hAnsi="仿宋" w:eastAsia="仿宋" w:cs="仿宋"/>
          <w:b w:val="0"/>
          <w:bCs w:val="0"/>
          <w:color w:val="auto"/>
          <w:kern w:val="2"/>
          <w:sz w:val="24"/>
          <w:highlight w:val="none"/>
        </w:rPr>
        <w:t>2.生态疏伐。特用林和防护林的中龄林，按照主林层和次林层立木都能受光的要求，将林木分为优良木、有益木和伐除木，重点伐除霸王木、残次木。保留优良木、有益木和适量的灌木。</w:t>
      </w:r>
    </w:p>
    <w:p>
      <w:pPr>
        <w:snapToGrid w:val="0"/>
        <w:spacing w:line="360" w:lineRule="auto"/>
        <w:ind w:firstLine="480" w:firstLineChars="200"/>
        <w:rPr>
          <w:rFonts w:hint="eastAsia" w:ascii="仿宋" w:hAnsi="仿宋" w:eastAsia="仿宋" w:cs="仿宋"/>
          <w:b w:val="0"/>
          <w:bCs w:val="0"/>
          <w:color w:val="auto"/>
          <w:kern w:val="2"/>
          <w:sz w:val="24"/>
          <w:highlight w:val="none"/>
        </w:rPr>
      </w:pPr>
      <w:r>
        <w:rPr>
          <w:rFonts w:hint="eastAsia" w:ascii="仿宋" w:hAnsi="仿宋" w:eastAsia="仿宋" w:cs="仿宋"/>
          <w:b w:val="0"/>
          <w:bCs w:val="0"/>
          <w:color w:val="auto"/>
          <w:kern w:val="2"/>
          <w:sz w:val="24"/>
          <w:highlight w:val="none"/>
        </w:rPr>
        <w:t>3.生长伐。在用材林的中龄林中进行。采用上层抚育、下层抚育、综合抚育等方式，伐除影响保留木生长的树木，</w:t>
      </w:r>
    </w:p>
    <w:p>
      <w:pPr>
        <w:snapToGrid w:val="0"/>
        <w:spacing w:line="360" w:lineRule="auto"/>
        <w:ind w:firstLine="480" w:firstLineChars="200"/>
        <w:rPr>
          <w:rFonts w:hint="eastAsia" w:ascii="仿宋" w:hAnsi="仿宋" w:eastAsia="仿宋" w:cs="仿宋"/>
          <w:b w:val="0"/>
          <w:bCs w:val="0"/>
          <w:color w:val="auto"/>
          <w:kern w:val="2"/>
          <w:sz w:val="24"/>
          <w:highlight w:val="none"/>
        </w:rPr>
      </w:pPr>
      <w:r>
        <w:rPr>
          <w:rFonts w:hint="eastAsia" w:ascii="仿宋" w:hAnsi="仿宋" w:eastAsia="仿宋" w:cs="仿宋"/>
          <w:b w:val="0"/>
          <w:bCs w:val="0"/>
          <w:color w:val="auto"/>
          <w:kern w:val="2"/>
          <w:sz w:val="24"/>
          <w:highlight w:val="none"/>
        </w:rPr>
        <w:t>4.卫生伐。主要对遭受有害生物侵害、风折、风倒、冰冻、雪压、森林火灾等灾害的林分开展，清除生态功能明显降低的被害木，保留符合地带性植被，有利于形成顶极群落的目标树种。</w:t>
      </w:r>
    </w:p>
    <w:p>
      <w:pPr>
        <w:snapToGrid w:val="0"/>
        <w:spacing w:line="360" w:lineRule="auto"/>
        <w:ind w:firstLine="480" w:firstLineChars="200"/>
        <w:rPr>
          <w:rFonts w:hint="eastAsia" w:ascii="仿宋" w:hAnsi="仿宋" w:eastAsia="仿宋" w:cs="仿宋"/>
          <w:b w:val="0"/>
          <w:bCs w:val="0"/>
          <w:color w:val="auto"/>
          <w:kern w:val="2"/>
          <w:sz w:val="24"/>
          <w:highlight w:val="none"/>
          <w:lang w:eastAsia="zh-CN"/>
        </w:rPr>
      </w:pPr>
      <w:r>
        <w:rPr>
          <w:rFonts w:hint="eastAsia" w:ascii="仿宋" w:hAnsi="仿宋" w:eastAsia="仿宋" w:cs="仿宋"/>
          <w:b w:val="0"/>
          <w:bCs w:val="0"/>
          <w:color w:val="auto"/>
          <w:kern w:val="2"/>
          <w:sz w:val="24"/>
          <w:highlight w:val="none"/>
        </w:rPr>
        <w:t>抚育材及抚育剩余物处理。抚育材及抚育剩余物应按照森林病虫害防治、森林防火、环境保护、生物质能源发展等要求，采取堆集、平铺或运出等适当方式</w:t>
      </w:r>
      <w:r>
        <w:rPr>
          <w:rFonts w:hint="eastAsia" w:ascii="仿宋" w:hAnsi="仿宋" w:eastAsia="仿宋" w:cs="仿宋"/>
          <w:b w:val="0"/>
          <w:bCs w:val="0"/>
          <w:color w:val="auto"/>
          <w:kern w:val="2"/>
          <w:sz w:val="24"/>
          <w:highlight w:val="none"/>
          <w:lang w:eastAsia="zh-CN"/>
        </w:rPr>
        <w:t>。</w:t>
      </w:r>
    </w:p>
    <w:p>
      <w:pPr>
        <w:pStyle w:val="63"/>
        <w:snapToGrid w:val="0"/>
        <w:spacing w:before="0"/>
        <w:ind w:firstLine="480"/>
        <w:rPr>
          <w:rFonts w:hint="eastAsia"/>
          <w:color w:val="auto"/>
          <w:lang w:eastAsia="zh-CN"/>
        </w:rPr>
      </w:pPr>
      <w:r>
        <w:rPr>
          <w:rFonts w:hint="eastAsia" w:ascii="仿宋" w:hAnsi="仿宋" w:eastAsia="仿宋" w:cs="仿宋"/>
          <w:color w:val="auto"/>
          <w:highlight w:val="none"/>
          <w:lang w:val="en-US" w:eastAsia="zh-CN"/>
        </w:rPr>
        <w:t>（4）定株补植。幼林地郁闭前后，要通过垦复、除草、除萌等措施，保留林分合理株数；对分布不均林分，要辅助人工补植珍贵树种，使林分均匀分布，人工补植株数应不少于合理密度的30%。</w:t>
      </w:r>
    </w:p>
    <w:p>
      <w:pPr>
        <w:snapToGrid w:val="0"/>
        <w:spacing w:line="360" w:lineRule="auto"/>
        <w:ind w:firstLine="480" w:firstLineChars="200"/>
        <w:rPr>
          <w:rFonts w:hint="eastAsia" w:ascii="仿宋" w:hAnsi="仿宋" w:eastAsia="仿宋" w:cs="仿宋"/>
          <w:b w:val="0"/>
          <w:bCs w:val="0"/>
          <w:color w:val="auto"/>
          <w:kern w:val="2"/>
          <w:sz w:val="24"/>
          <w:highlight w:val="none"/>
        </w:rPr>
      </w:pPr>
      <w:r>
        <w:rPr>
          <w:rFonts w:hint="eastAsia" w:cs="仿宋"/>
          <w:b w:val="0"/>
          <w:bCs w:val="0"/>
          <w:color w:val="auto"/>
          <w:kern w:val="2"/>
          <w:sz w:val="24"/>
          <w:highlight w:val="none"/>
          <w:lang w:eastAsia="zh-CN"/>
        </w:rPr>
        <w:t>（</w:t>
      </w:r>
      <w:r>
        <w:rPr>
          <w:rFonts w:hint="eastAsia" w:cs="仿宋"/>
          <w:b w:val="0"/>
          <w:bCs w:val="0"/>
          <w:color w:val="auto"/>
          <w:kern w:val="2"/>
          <w:sz w:val="24"/>
          <w:highlight w:val="none"/>
          <w:lang w:val="en-US" w:eastAsia="zh-CN"/>
        </w:rPr>
        <w:t>5</w:t>
      </w:r>
      <w:r>
        <w:rPr>
          <w:rFonts w:hint="eastAsia" w:cs="仿宋"/>
          <w:b w:val="0"/>
          <w:bCs w:val="0"/>
          <w:color w:val="auto"/>
          <w:kern w:val="2"/>
          <w:sz w:val="24"/>
          <w:highlight w:val="none"/>
          <w:lang w:eastAsia="zh-CN"/>
        </w:rPr>
        <w:t>）</w:t>
      </w:r>
      <w:r>
        <w:rPr>
          <w:rFonts w:hint="eastAsia" w:ascii="仿宋" w:hAnsi="仿宋" w:eastAsia="仿宋" w:cs="仿宋"/>
          <w:b w:val="0"/>
          <w:bCs w:val="0"/>
          <w:color w:val="auto"/>
          <w:kern w:val="2"/>
          <w:sz w:val="24"/>
          <w:highlight w:val="none"/>
        </w:rPr>
        <w:t>施肥。在不同的生长发育阶段，不同立地类型，不同树种对养分的需求不同，应通过测土配方制定最佳施肥方案，促进林分生长。</w:t>
      </w:r>
    </w:p>
    <w:p>
      <w:pPr>
        <w:snapToGrid w:val="0"/>
        <w:spacing w:line="360" w:lineRule="auto"/>
        <w:ind w:firstLine="480" w:firstLineChars="200"/>
        <w:rPr>
          <w:rFonts w:hint="eastAsia" w:ascii="仿宋" w:hAnsi="仿宋" w:eastAsia="仿宋" w:cs="仿宋"/>
          <w:b w:val="0"/>
          <w:bCs w:val="0"/>
          <w:color w:val="auto"/>
          <w:kern w:val="2"/>
          <w:sz w:val="24"/>
          <w:highlight w:val="none"/>
        </w:rPr>
      </w:pPr>
      <w:r>
        <w:rPr>
          <w:rFonts w:hint="eastAsia" w:cs="仿宋"/>
          <w:b w:val="0"/>
          <w:bCs w:val="0"/>
          <w:color w:val="auto"/>
          <w:kern w:val="2"/>
          <w:sz w:val="24"/>
          <w:highlight w:val="none"/>
          <w:lang w:eastAsia="zh-CN"/>
        </w:rPr>
        <w:t>（</w:t>
      </w:r>
      <w:r>
        <w:rPr>
          <w:rFonts w:hint="eastAsia" w:cs="仿宋"/>
          <w:b w:val="0"/>
          <w:bCs w:val="0"/>
          <w:color w:val="auto"/>
          <w:kern w:val="2"/>
          <w:sz w:val="24"/>
          <w:highlight w:val="none"/>
          <w:lang w:val="en-US" w:eastAsia="zh-CN"/>
        </w:rPr>
        <w:t>6</w:t>
      </w:r>
      <w:r>
        <w:rPr>
          <w:rFonts w:hint="eastAsia" w:cs="仿宋"/>
          <w:b w:val="0"/>
          <w:bCs w:val="0"/>
          <w:color w:val="auto"/>
          <w:kern w:val="2"/>
          <w:sz w:val="24"/>
          <w:highlight w:val="none"/>
          <w:lang w:eastAsia="zh-CN"/>
        </w:rPr>
        <w:t>）</w:t>
      </w:r>
      <w:r>
        <w:rPr>
          <w:rFonts w:hint="eastAsia" w:ascii="仿宋" w:hAnsi="仿宋" w:eastAsia="仿宋" w:cs="仿宋"/>
          <w:b w:val="0"/>
          <w:bCs w:val="0"/>
          <w:color w:val="auto"/>
          <w:kern w:val="2"/>
          <w:sz w:val="24"/>
          <w:highlight w:val="none"/>
        </w:rPr>
        <w:t>修枝。主要在自然整枝不良、通风透光不畅的林分中进行。清理下枝、死枝。幼龄林修枝高度不超过树高的1/3，中龄林不超过树高的1/2。</w:t>
      </w:r>
    </w:p>
    <w:p>
      <w:pPr>
        <w:snapToGrid w:val="0"/>
        <w:spacing w:line="360" w:lineRule="auto"/>
        <w:ind w:firstLine="480" w:firstLineChars="200"/>
        <w:rPr>
          <w:rFonts w:hint="eastAsia" w:ascii="仿宋" w:hAnsi="仿宋" w:eastAsia="仿宋" w:cs="仿宋"/>
          <w:b w:val="0"/>
          <w:bCs w:val="0"/>
          <w:color w:val="auto"/>
          <w:kern w:val="2"/>
          <w:sz w:val="24"/>
          <w:highlight w:val="none"/>
        </w:rPr>
      </w:pPr>
      <w:r>
        <w:rPr>
          <w:rFonts w:hint="eastAsia" w:cs="仿宋"/>
          <w:b w:val="0"/>
          <w:bCs w:val="0"/>
          <w:color w:val="auto"/>
          <w:kern w:val="2"/>
          <w:sz w:val="24"/>
          <w:highlight w:val="none"/>
          <w:lang w:eastAsia="zh-CN"/>
        </w:rPr>
        <w:t>（</w:t>
      </w:r>
      <w:r>
        <w:rPr>
          <w:rFonts w:hint="eastAsia" w:cs="仿宋"/>
          <w:b w:val="0"/>
          <w:bCs w:val="0"/>
          <w:color w:val="auto"/>
          <w:kern w:val="2"/>
          <w:sz w:val="24"/>
          <w:highlight w:val="none"/>
          <w:lang w:val="en-US" w:eastAsia="zh-CN"/>
        </w:rPr>
        <w:t>7</w:t>
      </w:r>
      <w:r>
        <w:rPr>
          <w:rFonts w:hint="eastAsia" w:cs="仿宋"/>
          <w:b w:val="0"/>
          <w:bCs w:val="0"/>
          <w:color w:val="auto"/>
          <w:kern w:val="2"/>
          <w:sz w:val="24"/>
          <w:highlight w:val="none"/>
          <w:lang w:eastAsia="zh-CN"/>
        </w:rPr>
        <w:t>）</w:t>
      </w:r>
      <w:r>
        <w:rPr>
          <w:rFonts w:hint="eastAsia" w:ascii="仿宋" w:hAnsi="仿宋" w:eastAsia="仿宋" w:cs="仿宋"/>
          <w:b w:val="0"/>
          <w:bCs w:val="0"/>
          <w:color w:val="auto"/>
          <w:kern w:val="2"/>
          <w:sz w:val="24"/>
          <w:highlight w:val="none"/>
        </w:rPr>
        <w:t>抚育材及抚育剩余物处理。抚育材及抚育剩余物应按照森林病虫害防治、森林防火、环境保护、生物质能源发展等要求，采取堆集、平铺或运出等适当方式予以处理，人为活动较多区域必须清理运出林地。</w:t>
      </w:r>
    </w:p>
    <w:p>
      <w:pPr>
        <w:snapToGrid w:val="0"/>
        <w:spacing w:line="360" w:lineRule="auto"/>
        <w:ind w:firstLine="480" w:firstLineChars="200"/>
        <w:rPr>
          <w:rFonts w:hint="eastAsia" w:ascii="仿宋" w:hAnsi="仿宋" w:eastAsia="仿宋" w:cs="仿宋"/>
          <w:b w:val="0"/>
          <w:bCs w:val="0"/>
          <w:color w:val="auto"/>
          <w:kern w:val="2"/>
          <w:sz w:val="24"/>
          <w:highlight w:val="none"/>
        </w:rPr>
      </w:pPr>
      <w:r>
        <w:rPr>
          <w:rFonts w:hint="eastAsia" w:cs="仿宋"/>
          <w:b w:val="0"/>
          <w:bCs w:val="0"/>
          <w:color w:val="auto"/>
          <w:kern w:val="2"/>
          <w:sz w:val="24"/>
          <w:highlight w:val="none"/>
          <w:lang w:eastAsia="zh-CN"/>
        </w:rPr>
        <w:t>（</w:t>
      </w:r>
      <w:r>
        <w:rPr>
          <w:rFonts w:hint="eastAsia" w:cs="仿宋"/>
          <w:b w:val="0"/>
          <w:bCs w:val="0"/>
          <w:color w:val="auto"/>
          <w:kern w:val="2"/>
          <w:sz w:val="24"/>
          <w:highlight w:val="none"/>
          <w:lang w:val="en-US" w:eastAsia="zh-CN"/>
        </w:rPr>
        <w:t>8</w:t>
      </w:r>
      <w:r>
        <w:rPr>
          <w:rFonts w:hint="eastAsia" w:cs="仿宋"/>
          <w:b w:val="0"/>
          <w:bCs w:val="0"/>
          <w:color w:val="auto"/>
          <w:kern w:val="2"/>
          <w:sz w:val="24"/>
          <w:highlight w:val="none"/>
          <w:lang w:eastAsia="zh-CN"/>
        </w:rPr>
        <w:t>）</w:t>
      </w:r>
      <w:r>
        <w:rPr>
          <w:rFonts w:hint="eastAsia" w:ascii="仿宋" w:hAnsi="仿宋" w:eastAsia="仿宋" w:cs="仿宋"/>
          <w:b w:val="0"/>
          <w:bCs w:val="0"/>
          <w:color w:val="auto"/>
          <w:kern w:val="2"/>
          <w:sz w:val="24"/>
          <w:highlight w:val="none"/>
        </w:rPr>
        <w:t>林地林木巡查，病虫害监测，查巡林木生长、病虫害、森林火灾隐患、林木损害等情况建巡查记录。</w:t>
      </w:r>
    </w:p>
    <w:p>
      <w:pPr>
        <w:keepNext w:val="0"/>
        <w:keepLines w:val="0"/>
        <w:pageBreakBefore w:val="0"/>
        <w:widowControl w:val="0"/>
        <w:numPr>
          <w:ilvl w:val="0"/>
          <w:numId w:val="0"/>
        </w:numPr>
        <w:kinsoku/>
        <w:wordWrap/>
        <w:overflowPunct/>
        <w:topLinePunct w:val="0"/>
        <w:autoSpaceDE/>
        <w:autoSpaceDN/>
        <w:bidi w:val="0"/>
        <w:adjustRightInd w:val="0"/>
        <w:snapToGrid w:val="0"/>
        <w:spacing w:line="360" w:lineRule="auto"/>
        <w:textAlignment w:val="auto"/>
        <w:rPr>
          <w:rFonts w:hint="eastAsia" w:ascii="仿宋" w:hAnsi="仿宋" w:eastAsia="仿宋" w:cs="仿宋"/>
          <w:b/>
          <w:bCs/>
          <w:color w:val="auto"/>
          <w:kern w:val="2"/>
          <w:sz w:val="24"/>
          <w:szCs w:val="24"/>
          <w:highlight w:val="none"/>
          <w:lang w:val="en-US" w:eastAsia="zh-CN" w:bidi="ar-SA"/>
        </w:rPr>
      </w:pPr>
    </w:p>
    <w:p>
      <w:pPr>
        <w:keepNext w:val="0"/>
        <w:keepLines w:val="0"/>
        <w:pageBreakBefore w:val="0"/>
        <w:widowControl w:val="0"/>
        <w:numPr>
          <w:ilvl w:val="0"/>
          <w:numId w:val="0"/>
        </w:numPr>
        <w:kinsoku/>
        <w:wordWrap/>
        <w:overflowPunct/>
        <w:topLinePunct w:val="0"/>
        <w:autoSpaceDE/>
        <w:autoSpaceDN/>
        <w:bidi w:val="0"/>
        <w:adjustRightInd w:val="0"/>
        <w:snapToGrid w:val="0"/>
        <w:spacing w:line="360" w:lineRule="auto"/>
        <w:textAlignment w:val="auto"/>
        <w:rPr>
          <w:rFonts w:hint="eastAsia" w:ascii="仿宋" w:hAnsi="仿宋" w:eastAsia="仿宋" w:cs="仿宋"/>
          <w:b/>
          <w:bCs/>
          <w:color w:val="auto"/>
          <w:sz w:val="24"/>
          <w:szCs w:val="24"/>
          <w:highlight w:val="none"/>
          <w:lang w:val="en-US" w:eastAsia="zh-CN"/>
        </w:rPr>
      </w:pPr>
      <w:r>
        <w:rPr>
          <w:rFonts w:hint="eastAsia" w:ascii="仿宋" w:hAnsi="仿宋" w:eastAsia="仿宋" w:cs="仿宋"/>
          <w:b/>
          <w:bCs/>
          <w:color w:val="auto"/>
          <w:kern w:val="2"/>
          <w:sz w:val="24"/>
          <w:szCs w:val="24"/>
          <w:highlight w:val="none"/>
          <w:lang w:val="en-US" w:eastAsia="zh-CN" w:bidi="ar-SA"/>
        </w:rPr>
        <w:t>（2）</w:t>
      </w:r>
      <w:r>
        <w:rPr>
          <w:rFonts w:hint="eastAsia" w:ascii="仿宋" w:hAnsi="仿宋" w:eastAsia="仿宋" w:cs="仿宋"/>
          <w:b/>
          <w:bCs/>
          <w:color w:val="auto"/>
          <w:sz w:val="24"/>
          <w:szCs w:val="24"/>
          <w:highlight w:val="none"/>
          <w:lang w:val="en-US" w:eastAsia="zh-CN"/>
        </w:rPr>
        <w:t>商务需求</w:t>
      </w:r>
    </w:p>
    <w:p>
      <w:pPr>
        <w:pStyle w:val="63"/>
        <w:snapToGrid w:val="0"/>
        <w:spacing w:before="0"/>
        <w:ind w:firstLine="480"/>
        <w:rPr>
          <w:rFonts w:hint="eastAsia" w:ascii="仿宋" w:hAnsi="仿宋" w:eastAsia="仿宋" w:cs="仿宋"/>
          <w:b w:val="0"/>
          <w:bCs w:val="0"/>
          <w:color w:val="auto"/>
          <w:kern w:val="2"/>
          <w:sz w:val="24"/>
          <w:szCs w:val="24"/>
          <w:highlight w:val="none"/>
          <w:lang w:val="en-US" w:eastAsia="zh-CN" w:bidi="ar-SA"/>
        </w:rPr>
      </w:pPr>
      <w:r>
        <w:rPr>
          <w:rFonts w:hint="eastAsia" w:ascii="仿宋" w:hAnsi="仿宋" w:eastAsia="仿宋" w:cs="仿宋"/>
          <w:b w:val="0"/>
          <w:bCs w:val="0"/>
          <w:color w:val="auto"/>
          <w:kern w:val="2"/>
          <w:sz w:val="24"/>
          <w:szCs w:val="24"/>
          <w:highlight w:val="none"/>
          <w:lang w:val="en-US" w:eastAsia="zh-CN" w:bidi="ar-SA"/>
        </w:rPr>
        <w:t>▲（1）服务期：</w:t>
      </w:r>
      <w:r>
        <w:rPr>
          <w:rFonts w:hint="eastAsia" w:cs="仿宋"/>
          <w:b w:val="0"/>
          <w:bCs w:val="0"/>
          <w:color w:val="auto"/>
          <w:kern w:val="2"/>
          <w:sz w:val="24"/>
          <w:szCs w:val="24"/>
          <w:highlight w:val="none"/>
          <w:u w:val="single"/>
          <w:lang w:val="en-US" w:eastAsia="zh-CN" w:bidi="ar-SA"/>
        </w:rPr>
        <w:t xml:space="preserve">  120  </w:t>
      </w:r>
      <w:r>
        <w:rPr>
          <w:rFonts w:hint="eastAsia" w:ascii="仿宋" w:hAnsi="仿宋" w:eastAsia="仿宋" w:cs="仿宋"/>
          <w:b w:val="0"/>
          <w:bCs w:val="0"/>
          <w:color w:val="auto"/>
          <w:kern w:val="2"/>
          <w:sz w:val="24"/>
          <w:szCs w:val="24"/>
          <w:highlight w:val="none"/>
          <w:lang w:val="en-US" w:eastAsia="zh-CN" w:bidi="ar-SA"/>
        </w:rPr>
        <w:t>日历天（具体起始时间以合同为准）。</w:t>
      </w:r>
    </w:p>
    <w:p>
      <w:pPr>
        <w:snapToGrid w:val="0"/>
        <w:spacing w:line="360" w:lineRule="auto"/>
        <w:ind w:firstLine="480" w:firstLineChars="200"/>
        <w:rPr>
          <w:rFonts w:hint="eastAsia" w:ascii="仿宋" w:hAnsi="仿宋" w:eastAsia="仿宋" w:cs="仿宋"/>
          <w:b w:val="0"/>
          <w:bCs w:val="0"/>
          <w:color w:val="auto"/>
          <w:kern w:val="2"/>
          <w:sz w:val="24"/>
          <w:highlight w:val="none"/>
        </w:rPr>
      </w:pPr>
      <w:r>
        <w:rPr>
          <w:rFonts w:hint="eastAsia" w:ascii="仿宋" w:hAnsi="仿宋" w:eastAsia="仿宋" w:cs="仿宋"/>
          <w:b w:val="0"/>
          <w:bCs w:val="0"/>
          <w:color w:val="auto"/>
          <w:kern w:val="2"/>
          <w:sz w:val="24"/>
          <w:highlight w:val="none"/>
        </w:rPr>
        <w:t>（2）承包方式：包工包料。</w:t>
      </w:r>
    </w:p>
    <w:p>
      <w:pPr>
        <w:snapToGrid w:val="0"/>
        <w:spacing w:line="360" w:lineRule="auto"/>
        <w:ind w:firstLine="480" w:firstLineChars="200"/>
        <w:rPr>
          <w:rFonts w:hint="eastAsia" w:ascii="仿宋" w:hAnsi="仿宋" w:eastAsia="仿宋" w:cs="仿宋"/>
          <w:b w:val="0"/>
          <w:bCs w:val="0"/>
          <w:color w:val="auto"/>
          <w:kern w:val="2"/>
          <w:sz w:val="24"/>
          <w:highlight w:val="none"/>
        </w:rPr>
      </w:pPr>
      <w:r>
        <w:rPr>
          <w:rFonts w:hint="eastAsia" w:ascii="仿宋" w:hAnsi="仿宋" w:eastAsia="仿宋" w:cs="仿宋"/>
          <w:b w:val="0"/>
          <w:bCs w:val="0"/>
          <w:color w:val="auto"/>
          <w:kern w:val="2"/>
          <w:sz w:val="24"/>
          <w:highlight w:val="none"/>
        </w:rPr>
        <w:t>2.2项目实施计划</w:t>
      </w:r>
    </w:p>
    <w:p>
      <w:pPr>
        <w:snapToGrid w:val="0"/>
        <w:spacing w:line="360" w:lineRule="auto"/>
        <w:ind w:firstLine="480" w:firstLineChars="200"/>
        <w:rPr>
          <w:rFonts w:hint="eastAsia" w:ascii="仿宋" w:hAnsi="仿宋" w:eastAsia="仿宋" w:cs="仿宋"/>
          <w:b w:val="0"/>
          <w:bCs w:val="0"/>
          <w:color w:val="auto"/>
          <w:kern w:val="2"/>
          <w:sz w:val="24"/>
          <w:highlight w:val="none"/>
        </w:rPr>
      </w:pPr>
      <w:r>
        <w:rPr>
          <w:rFonts w:hint="eastAsia" w:ascii="仿宋" w:hAnsi="仿宋" w:eastAsia="仿宋" w:cs="仿宋"/>
          <w:b w:val="0"/>
          <w:bCs w:val="0"/>
          <w:color w:val="auto"/>
          <w:kern w:val="2"/>
          <w:sz w:val="24"/>
          <w:highlight w:val="none"/>
        </w:rPr>
        <w:t>项目实施的组织工作方案：工作时间进度表、工作程序或步骤、管理和协调方法等。</w:t>
      </w:r>
    </w:p>
    <w:p>
      <w:pPr>
        <w:snapToGrid w:val="0"/>
        <w:spacing w:line="360" w:lineRule="auto"/>
        <w:ind w:firstLine="480" w:firstLineChars="200"/>
        <w:rPr>
          <w:rFonts w:hint="eastAsia" w:ascii="仿宋" w:hAnsi="仿宋" w:eastAsia="仿宋" w:cs="仿宋"/>
          <w:b w:val="0"/>
          <w:bCs w:val="0"/>
          <w:color w:val="auto"/>
          <w:kern w:val="2"/>
          <w:sz w:val="24"/>
          <w:highlight w:val="none"/>
        </w:rPr>
      </w:pPr>
      <w:r>
        <w:rPr>
          <w:rFonts w:hint="eastAsia" w:ascii="仿宋" w:hAnsi="仿宋" w:eastAsia="仿宋" w:cs="仿宋"/>
          <w:b w:val="0"/>
          <w:bCs w:val="0"/>
          <w:color w:val="auto"/>
          <w:kern w:val="2"/>
          <w:sz w:val="24"/>
          <w:szCs w:val="24"/>
          <w:highlight w:val="none"/>
          <w:lang w:val="en-US" w:eastAsia="zh-CN" w:bidi="ar-SA"/>
        </w:rPr>
        <w:t>▲</w:t>
      </w:r>
      <w:r>
        <w:rPr>
          <w:rFonts w:hint="eastAsia" w:ascii="仿宋" w:hAnsi="仿宋" w:eastAsia="仿宋" w:cs="仿宋"/>
          <w:b w:val="0"/>
          <w:bCs w:val="0"/>
          <w:color w:val="auto"/>
          <w:kern w:val="2"/>
          <w:sz w:val="24"/>
          <w:highlight w:val="none"/>
        </w:rPr>
        <w:t>2.3付款方式</w:t>
      </w:r>
    </w:p>
    <w:p>
      <w:pPr>
        <w:snapToGrid w:val="0"/>
        <w:spacing w:line="360" w:lineRule="auto"/>
        <w:ind w:firstLine="480" w:firstLineChars="200"/>
        <w:rPr>
          <w:rFonts w:hint="eastAsia" w:ascii="仿宋" w:hAnsi="仿宋" w:eastAsia="仿宋" w:cs="仿宋"/>
          <w:b w:val="0"/>
          <w:bCs w:val="0"/>
          <w:color w:val="auto"/>
          <w:kern w:val="2"/>
          <w:sz w:val="24"/>
          <w:highlight w:val="none"/>
          <w:shd w:val="clear" w:color="auto" w:fill="auto"/>
          <w:lang w:val="en-US" w:eastAsia="zh-CN"/>
        </w:rPr>
      </w:pPr>
      <w:r>
        <w:rPr>
          <w:rFonts w:hint="eastAsia" w:ascii="仿宋" w:hAnsi="仿宋" w:eastAsia="仿宋" w:cs="仿宋"/>
          <w:b w:val="0"/>
          <w:bCs w:val="0"/>
          <w:color w:val="auto"/>
          <w:kern w:val="2"/>
          <w:sz w:val="24"/>
          <w:highlight w:val="none"/>
          <w:shd w:val="clear" w:color="auto" w:fill="auto"/>
          <w:lang w:val="en-US" w:eastAsia="zh-CN"/>
        </w:rPr>
        <w:t>合同签订后10个工作日内支付预付款40%（若财政资金未到位，则支付时间顺延至财政资金到位后支付）。经区农业农村局验收合格后一次付清余款。</w:t>
      </w:r>
    </w:p>
    <w:p>
      <w:pPr>
        <w:snapToGrid w:val="0"/>
        <w:spacing w:line="360" w:lineRule="auto"/>
        <w:ind w:firstLine="480" w:firstLineChars="200"/>
        <w:rPr>
          <w:rFonts w:hint="eastAsia" w:ascii="仿宋" w:hAnsi="仿宋" w:eastAsia="仿宋" w:cs="仿宋"/>
          <w:b w:val="0"/>
          <w:bCs w:val="0"/>
          <w:color w:val="auto"/>
          <w:kern w:val="2"/>
          <w:sz w:val="24"/>
          <w:highlight w:val="none"/>
        </w:rPr>
      </w:pPr>
      <w:r>
        <w:rPr>
          <w:rFonts w:hint="eastAsia" w:ascii="仿宋" w:hAnsi="仿宋" w:eastAsia="仿宋" w:cs="仿宋"/>
          <w:b w:val="0"/>
          <w:bCs w:val="0"/>
          <w:color w:val="auto"/>
          <w:kern w:val="2"/>
          <w:sz w:val="24"/>
          <w:highlight w:val="none"/>
        </w:rPr>
        <w:t>2.4其他</w:t>
      </w:r>
    </w:p>
    <w:p>
      <w:pPr>
        <w:snapToGrid w:val="0"/>
        <w:spacing w:line="360" w:lineRule="auto"/>
        <w:ind w:firstLine="480" w:firstLineChars="200"/>
        <w:rPr>
          <w:rFonts w:hint="eastAsia" w:ascii="仿宋" w:hAnsi="仿宋" w:eastAsia="仿宋" w:cs="仿宋"/>
          <w:b w:val="0"/>
          <w:bCs w:val="0"/>
          <w:color w:val="auto"/>
          <w:kern w:val="2"/>
          <w:sz w:val="24"/>
          <w:highlight w:val="none"/>
        </w:rPr>
      </w:pPr>
      <w:r>
        <w:rPr>
          <w:rFonts w:hint="eastAsia" w:ascii="仿宋" w:hAnsi="仿宋" w:eastAsia="仿宋" w:cs="仿宋"/>
          <w:b w:val="0"/>
          <w:bCs w:val="0"/>
          <w:color w:val="auto"/>
          <w:kern w:val="2"/>
          <w:sz w:val="24"/>
          <w:highlight w:val="none"/>
        </w:rPr>
        <w:t>（1）</w:t>
      </w:r>
      <w:r>
        <w:rPr>
          <w:rFonts w:hint="eastAsia" w:ascii="仿宋" w:hAnsi="仿宋" w:eastAsia="仿宋" w:cs="仿宋"/>
          <w:b w:val="0"/>
          <w:bCs w:val="0"/>
          <w:color w:val="auto"/>
          <w:kern w:val="2"/>
          <w:sz w:val="24"/>
          <w:highlight w:val="none"/>
          <w:lang w:val="en-US" w:eastAsia="zh-CN"/>
        </w:rPr>
        <w:t>中标人</w:t>
      </w:r>
      <w:r>
        <w:rPr>
          <w:rFonts w:hint="eastAsia" w:ascii="仿宋" w:hAnsi="仿宋" w:eastAsia="仿宋" w:cs="仿宋"/>
          <w:b w:val="0"/>
          <w:bCs w:val="0"/>
          <w:color w:val="auto"/>
          <w:kern w:val="2"/>
          <w:sz w:val="24"/>
          <w:highlight w:val="none"/>
        </w:rPr>
        <w:t>在履行合同义务期间，应遵守国家有关法律、法规、维护交易人的合法权益。</w:t>
      </w:r>
    </w:p>
    <w:p>
      <w:pPr>
        <w:snapToGrid w:val="0"/>
        <w:spacing w:line="360" w:lineRule="auto"/>
        <w:ind w:firstLine="480" w:firstLineChars="200"/>
        <w:rPr>
          <w:rFonts w:hint="eastAsia" w:ascii="仿宋" w:hAnsi="仿宋" w:eastAsia="仿宋" w:cs="仿宋"/>
          <w:b w:val="0"/>
          <w:bCs w:val="0"/>
          <w:color w:val="auto"/>
          <w:kern w:val="2"/>
          <w:sz w:val="24"/>
          <w:highlight w:val="none"/>
        </w:rPr>
      </w:pPr>
      <w:r>
        <w:rPr>
          <w:rFonts w:hint="eastAsia" w:ascii="仿宋" w:hAnsi="仿宋" w:eastAsia="仿宋" w:cs="仿宋"/>
          <w:b w:val="0"/>
          <w:bCs w:val="0"/>
          <w:color w:val="auto"/>
          <w:kern w:val="2"/>
          <w:sz w:val="24"/>
          <w:highlight w:val="none"/>
        </w:rPr>
        <w:t>（2）</w:t>
      </w:r>
      <w:r>
        <w:rPr>
          <w:rFonts w:hint="eastAsia" w:ascii="仿宋" w:hAnsi="仿宋" w:eastAsia="仿宋" w:cs="仿宋"/>
          <w:b w:val="0"/>
          <w:bCs w:val="0"/>
          <w:color w:val="auto"/>
          <w:kern w:val="2"/>
          <w:sz w:val="24"/>
          <w:highlight w:val="none"/>
          <w:lang w:val="en-US" w:eastAsia="zh-CN"/>
        </w:rPr>
        <w:t>中标人</w:t>
      </w:r>
      <w:r>
        <w:rPr>
          <w:rFonts w:hint="eastAsia" w:ascii="仿宋" w:hAnsi="仿宋" w:eastAsia="仿宋" w:cs="仿宋"/>
          <w:b w:val="0"/>
          <w:bCs w:val="0"/>
          <w:color w:val="auto"/>
          <w:kern w:val="2"/>
          <w:sz w:val="24"/>
          <w:highlight w:val="none"/>
        </w:rPr>
        <w:t>应自行承担项目实施过程中安全生产责任，</w:t>
      </w:r>
      <w:r>
        <w:rPr>
          <w:rFonts w:hint="eastAsia" w:ascii="仿宋" w:hAnsi="仿宋" w:eastAsia="仿宋" w:cs="仿宋"/>
          <w:b w:val="0"/>
          <w:bCs w:val="0"/>
          <w:color w:val="auto"/>
          <w:kern w:val="2"/>
          <w:sz w:val="24"/>
          <w:highlight w:val="none"/>
          <w:lang w:eastAsia="zh-CN"/>
        </w:rPr>
        <w:t>采购人</w:t>
      </w:r>
      <w:r>
        <w:rPr>
          <w:rFonts w:hint="eastAsia" w:ascii="仿宋" w:hAnsi="仿宋" w:eastAsia="仿宋" w:cs="仿宋"/>
          <w:b w:val="0"/>
          <w:bCs w:val="0"/>
          <w:color w:val="auto"/>
          <w:kern w:val="2"/>
          <w:sz w:val="24"/>
          <w:highlight w:val="none"/>
        </w:rPr>
        <w:t>及使用单位任何情况下均不承担因此产生的任何法律责任和经济责任。</w:t>
      </w:r>
    </w:p>
    <w:p>
      <w:pPr>
        <w:snapToGrid w:val="0"/>
        <w:spacing w:line="360" w:lineRule="auto"/>
        <w:ind w:firstLine="480" w:firstLineChars="200"/>
        <w:rPr>
          <w:rFonts w:hint="eastAsia" w:ascii="仿宋" w:hAnsi="仿宋" w:eastAsia="仿宋" w:cs="仿宋"/>
          <w:b w:val="0"/>
          <w:bCs w:val="0"/>
          <w:color w:val="auto"/>
          <w:kern w:val="2"/>
          <w:sz w:val="24"/>
          <w:highlight w:val="none"/>
        </w:rPr>
      </w:pPr>
      <w:r>
        <w:rPr>
          <w:rFonts w:hint="eastAsia" w:ascii="仿宋" w:hAnsi="仿宋" w:eastAsia="仿宋" w:cs="仿宋"/>
          <w:b w:val="0"/>
          <w:bCs w:val="0"/>
          <w:color w:val="auto"/>
          <w:kern w:val="2"/>
          <w:sz w:val="24"/>
          <w:highlight w:val="none"/>
        </w:rPr>
        <w:t>（3）</w:t>
      </w:r>
      <w:r>
        <w:rPr>
          <w:rFonts w:hint="eastAsia" w:ascii="仿宋" w:hAnsi="仿宋" w:eastAsia="仿宋" w:cs="仿宋"/>
          <w:b w:val="0"/>
          <w:bCs w:val="0"/>
          <w:color w:val="auto"/>
          <w:kern w:val="2"/>
          <w:sz w:val="24"/>
          <w:highlight w:val="none"/>
          <w:lang w:val="en-US" w:eastAsia="zh-CN"/>
        </w:rPr>
        <w:t>中标人</w:t>
      </w:r>
      <w:r>
        <w:rPr>
          <w:rFonts w:hint="eastAsia" w:ascii="仿宋" w:hAnsi="仿宋" w:eastAsia="仿宋" w:cs="仿宋"/>
          <w:b w:val="0"/>
          <w:bCs w:val="0"/>
          <w:color w:val="auto"/>
          <w:kern w:val="2"/>
          <w:sz w:val="24"/>
          <w:highlight w:val="none"/>
        </w:rPr>
        <w:t>在签订合同时，若坚持提出附加条件和不合理要求，</w:t>
      </w:r>
      <w:r>
        <w:rPr>
          <w:rFonts w:hint="eastAsia" w:ascii="仿宋" w:hAnsi="仿宋" w:eastAsia="仿宋" w:cs="仿宋"/>
          <w:b w:val="0"/>
          <w:bCs w:val="0"/>
          <w:color w:val="auto"/>
          <w:kern w:val="2"/>
          <w:sz w:val="24"/>
          <w:highlight w:val="none"/>
          <w:lang w:val="en-US" w:eastAsia="zh-CN"/>
        </w:rPr>
        <w:t>成交</w:t>
      </w:r>
      <w:r>
        <w:rPr>
          <w:rFonts w:hint="eastAsia" w:ascii="仿宋" w:hAnsi="仿宋" w:eastAsia="仿宋" w:cs="仿宋"/>
          <w:b w:val="0"/>
          <w:bCs w:val="0"/>
          <w:color w:val="auto"/>
          <w:kern w:val="2"/>
          <w:sz w:val="24"/>
          <w:highlight w:val="none"/>
        </w:rPr>
        <w:t>资格将被取消，该</w:t>
      </w:r>
      <w:r>
        <w:rPr>
          <w:rFonts w:hint="eastAsia" w:ascii="仿宋" w:hAnsi="仿宋" w:eastAsia="仿宋" w:cs="仿宋"/>
          <w:b w:val="0"/>
          <w:bCs w:val="0"/>
          <w:color w:val="auto"/>
          <w:kern w:val="2"/>
          <w:sz w:val="24"/>
          <w:highlight w:val="none"/>
          <w:lang w:val="en-US" w:eastAsia="zh-CN"/>
        </w:rPr>
        <w:t>中标人</w:t>
      </w:r>
      <w:r>
        <w:rPr>
          <w:rFonts w:hint="eastAsia" w:ascii="仿宋" w:hAnsi="仿宋" w:eastAsia="仿宋" w:cs="仿宋"/>
          <w:b w:val="0"/>
          <w:bCs w:val="0"/>
          <w:color w:val="auto"/>
          <w:kern w:val="2"/>
          <w:sz w:val="24"/>
          <w:highlight w:val="none"/>
        </w:rPr>
        <w:t>对由此产生的一切后果负责。</w:t>
      </w:r>
    </w:p>
    <w:p>
      <w:pPr>
        <w:spacing w:line="500" w:lineRule="exact"/>
        <w:rPr>
          <w:rFonts w:hint="eastAsia" w:asciiTheme="minorEastAsia" w:hAnsiTheme="minorEastAsia" w:eastAsiaTheme="minorEastAsia" w:cstheme="minorEastAsia"/>
          <w:color w:val="auto"/>
        </w:rPr>
      </w:pPr>
      <w:r>
        <w:rPr>
          <w:rFonts w:hint="eastAsia" w:asciiTheme="minorEastAsia" w:hAnsiTheme="minorEastAsia" w:eastAsiaTheme="minorEastAsia" w:cstheme="minorEastAsia"/>
          <w:color w:val="auto"/>
        </w:rPr>
        <w:t>注：</w:t>
      </w:r>
    </w:p>
    <w:p>
      <w:pPr>
        <w:spacing w:after="0" w:line="360" w:lineRule="auto"/>
        <w:ind w:firstLine="480" w:firstLineChars="200"/>
        <w:rPr>
          <w:rFonts w:cs="仿宋"/>
          <w:color w:val="auto"/>
          <w:sz w:val="24"/>
          <w:szCs w:val="24"/>
        </w:rPr>
      </w:pPr>
      <w:r>
        <w:rPr>
          <w:rFonts w:hint="eastAsia" w:cs="仿宋"/>
          <w:color w:val="auto"/>
          <w:sz w:val="24"/>
          <w:szCs w:val="24"/>
        </w:rPr>
        <w:t>1.招标文件中打▲内容为实质性要求，不允许有负偏离，否则将以涉及无效投标条款作无效投标。</w:t>
      </w:r>
    </w:p>
    <w:p>
      <w:pPr>
        <w:spacing w:after="0" w:line="360" w:lineRule="auto"/>
        <w:ind w:firstLine="480" w:firstLineChars="200"/>
        <w:rPr>
          <w:rFonts w:hint="eastAsia" w:cs="仿宋"/>
          <w:color w:val="auto"/>
          <w:sz w:val="24"/>
          <w:szCs w:val="24"/>
        </w:rPr>
      </w:pPr>
      <w:r>
        <w:rPr>
          <w:rFonts w:hint="eastAsia" w:cs="仿宋"/>
          <w:color w:val="auto"/>
          <w:sz w:val="24"/>
          <w:szCs w:val="24"/>
        </w:rPr>
        <w:t>2、中标供应商所提供的服务须与投标承诺一致，不得以次充好、偷工减料，若在项目验收中发现有上述情况，将向有关部门举报，根据相关规定进行处理。</w:t>
      </w:r>
    </w:p>
    <w:p>
      <w:pPr>
        <w:pStyle w:val="34"/>
        <w:rPr>
          <w:rFonts w:hint="eastAsia" w:ascii="宋体" w:hAnsi="宋体" w:cs="宋体"/>
          <w:color w:val="auto"/>
          <w:sz w:val="32"/>
          <w:szCs w:val="32"/>
          <w:highlight w:val="none"/>
        </w:rPr>
      </w:pPr>
    </w:p>
    <w:p>
      <w:pPr>
        <w:pStyle w:val="34"/>
        <w:rPr>
          <w:rFonts w:hint="eastAsia" w:ascii="宋体" w:hAnsi="宋体" w:cs="宋体"/>
          <w:color w:val="auto"/>
          <w:sz w:val="24"/>
          <w:highlight w:val="none"/>
          <w:lang w:eastAsia="zh-CN"/>
        </w:rPr>
      </w:pPr>
    </w:p>
    <w:p>
      <w:pPr>
        <w:spacing w:line="276" w:lineRule="auto"/>
        <w:rPr>
          <w:rFonts w:hint="eastAsia"/>
          <w:color w:val="auto"/>
          <w:highlight w:val="none"/>
        </w:rPr>
      </w:pPr>
      <w:r>
        <w:rPr>
          <w:color w:val="auto"/>
          <w:highlight w:val="none"/>
        </w:rPr>
        <w:br w:type="page"/>
      </w:r>
    </w:p>
    <w:p>
      <w:pPr>
        <w:jc w:val="center"/>
        <w:rPr>
          <w:b/>
          <w:bCs/>
          <w:color w:val="auto"/>
          <w:sz w:val="36"/>
          <w:szCs w:val="36"/>
          <w:highlight w:val="none"/>
        </w:rPr>
      </w:pPr>
      <w:r>
        <w:rPr>
          <w:rFonts w:hint="eastAsia"/>
          <w:b/>
          <w:bCs/>
          <w:color w:val="auto"/>
          <w:sz w:val="36"/>
          <w:szCs w:val="36"/>
          <w:highlight w:val="none"/>
        </w:rPr>
        <w:t>第四部分</w:t>
      </w:r>
      <w:r>
        <w:rPr>
          <w:b/>
          <w:bCs/>
          <w:color w:val="auto"/>
          <w:sz w:val="36"/>
          <w:szCs w:val="36"/>
          <w:highlight w:val="none"/>
        </w:rPr>
        <w:t xml:space="preserve">   </w:t>
      </w:r>
      <w:bookmarkStart w:id="2" w:name="_Toc184310278"/>
      <w:bookmarkEnd w:id="2"/>
      <w:bookmarkStart w:id="3" w:name="_Toc184313280"/>
      <w:bookmarkEnd w:id="3"/>
      <w:bookmarkStart w:id="4" w:name="_Toc184310298"/>
      <w:bookmarkEnd w:id="4"/>
      <w:bookmarkStart w:id="5" w:name="_Toc184314428"/>
      <w:bookmarkEnd w:id="5"/>
      <w:bookmarkStart w:id="6" w:name="_Toc184310308"/>
      <w:bookmarkEnd w:id="6"/>
      <w:bookmarkStart w:id="7" w:name="_Toc184312113"/>
      <w:bookmarkEnd w:id="7"/>
      <w:bookmarkStart w:id="8" w:name="_Toc184313274"/>
      <w:bookmarkEnd w:id="8"/>
      <w:bookmarkStart w:id="9" w:name="_Toc184313266"/>
      <w:bookmarkEnd w:id="9"/>
      <w:bookmarkStart w:id="10" w:name="_Toc184314439"/>
      <w:bookmarkEnd w:id="10"/>
      <w:bookmarkStart w:id="11" w:name="_Toc184312131"/>
      <w:bookmarkEnd w:id="11"/>
      <w:bookmarkStart w:id="12" w:name="_Toc184310325"/>
      <w:bookmarkEnd w:id="12"/>
      <w:bookmarkStart w:id="13" w:name="_Toc184314482"/>
      <w:bookmarkEnd w:id="13"/>
      <w:bookmarkStart w:id="14" w:name="_Toc184310275"/>
      <w:bookmarkEnd w:id="14"/>
      <w:bookmarkStart w:id="15" w:name="_Toc184312082"/>
      <w:bookmarkEnd w:id="15"/>
      <w:bookmarkStart w:id="16" w:name="_Toc184314480"/>
      <w:bookmarkEnd w:id="16"/>
      <w:bookmarkStart w:id="17" w:name="_Toc184314415"/>
      <w:bookmarkEnd w:id="17"/>
      <w:bookmarkStart w:id="18" w:name="_Toc184310287"/>
      <w:bookmarkEnd w:id="18"/>
      <w:bookmarkStart w:id="19" w:name="_Toc184313251"/>
      <w:bookmarkEnd w:id="19"/>
      <w:bookmarkStart w:id="20" w:name="_Toc184314454"/>
      <w:bookmarkEnd w:id="20"/>
      <w:bookmarkStart w:id="21" w:name="_Toc184308099"/>
      <w:bookmarkEnd w:id="21"/>
      <w:bookmarkStart w:id="22" w:name="_Toc184314441"/>
      <w:bookmarkEnd w:id="22"/>
      <w:bookmarkStart w:id="23" w:name="_Toc184310288"/>
      <w:bookmarkEnd w:id="23"/>
      <w:bookmarkStart w:id="24" w:name="_Toc184308098"/>
      <w:bookmarkEnd w:id="24"/>
      <w:bookmarkStart w:id="25" w:name="_Toc184314457"/>
      <w:bookmarkEnd w:id="25"/>
      <w:bookmarkStart w:id="26" w:name="_Toc184308043"/>
      <w:bookmarkEnd w:id="26"/>
      <w:bookmarkStart w:id="27" w:name="_Toc184312124"/>
      <w:bookmarkEnd w:id="27"/>
      <w:bookmarkStart w:id="28" w:name="_Toc184314426"/>
      <w:bookmarkEnd w:id="28"/>
      <w:bookmarkStart w:id="29" w:name="_Toc184312130"/>
      <w:bookmarkEnd w:id="29"/>
      <w:bookmarkStart w:id="30" w:name="_Toc184312074"/>
      <w:bookmarkEnd w:id="30"/>
      <w:bookmarkStart w:id="31" w:name="_Toc184312070"/>
      <w:bookmarkEnd w:id="31"/>
      <w:bookmarkStart w:id="32" w:name="_Toc184312115"/>
      <w:bookmarkEnd w:id="32"/>
      <w:bookmarkStart w:id="33" w:name="_Toc184313270"/>
      <w:bookmarkEnd w:id="33"/>
      <w:bookmarkStart w:id="34" w:name="_Toc184314472"/>
      <w:bookmarkEnd w:id="34"/>
      <w:bookmarkStart w:id="35" w:name="_Toc184308048"/>
      <w:bookmarkEnd w:id="35"/>
      <w:bookmarkStart w:id="36" w:name="_Toc184314429"/>
      <w:bookmarkEnd w:id="36"/>
      <w:bookmarkStart w:id="37" w:name="_Toc184314436"/>
      <w:bookmarkEnd w:id="37"/>
      <w:bookmarkStart w:id="38" w:name="_Toc184314481"/>
      <w:bookmarkEnd w:id="38"/>
      <w:bookmarkStart w:id="39" w:name="_Toc184310344"/>
      <w:bookmarkEnd w:id="39"/>
      <w:bookmarkStart w:id="40" w:name="_Toc184313295"/>
      <w:bookmarkEnd w:id="40"/>
      <w:bookmarkStart w:id="41" w:name="_Toc184313286"/>
      <w:bookmarkEnd w:id="41"/>
      <w:bookmarkStart w:id="42" w:name="_Toc184308089"/>
      <w:bookmarkEnd w:id="42"/>
      <w:bookmarkStart w:id="43" w:name="_Toc184310296"/>
      <w:bookmarkEnd w:id="43"/>
      <w:bookmarkStart w:id="44" w:name="_Toc184308079"/>
      <w:bookmarkEnd w:id="44"/>
      <w:bookmarkStart w:id="45" w:name="_Toc184308060"/>
      <w:bookmarkEnd w:id="45"/>
      <w:bookmarkStart w:id="46" w:name="_Toc184313271"/>
      <w:bookmarkEnd w:id="46"/>
      <w:bookmarkStart w:id="47" w:name="_Toc184308036"/>
      <w:bookmarkEnd w:id="47"/>
      <w:bookmarkStart w:id="48" w:name="_Toc184308095"/>
      <w:bookmarkEnd w:id="48"/>
      <w:bookmarkStart w:id="49" w:name="_Toc184312136"/>
      <w:bookmarkEnd w:id="49"/>
      <w:bookmarkStart w:id="50" w:name="_Toc184312086"/>
      <w:bookmarkEnd w:id="50"/>
      <w:bookmarkStart w:id="51" w:name="_Toc184310301"/>
      <w:bookmarkEnd w:id="51"/>
      <w:bookmarkStart w:id="52" w:name="_Toc184312127"/>
      <w:bookmarkEnd w:id="52"/>
      <w:bookmarkStart w:id="53" w:name="_Toc184313273"/>
      <w:bookmarkEnd w:id="53"/>
      <w:bookmarkStart w:id="54" w:name="_Toc184308057"/>
      <w:bookmarkEnd w:id="54"/>
      <w:bookmarkStart w:id="55" w:name="_Toc184310272"/>
      <w:bookmarkEnd w:id="55"/>
      <w:bookmarkStart w:id="56" w:name="_Toc184310332"/>
      <w:bookmarkEnd w:id="56"/>
      <w:bookmarkStart w:id="57" w:name="_Toc184308102"/>
      <w:bookmarkEnd w:id="57"/>
      <w:bookmarkStart w:id="58" w:name="_Toc184308097"/>
      <w:bookmarkEnd w:id="58"/>
      <w:bookmarkStart w:id="59" w:name="_Toc184313297"/>
      <w:bookmarkEnd w:id="59"/>
      <w:bookmarkStart w:id="60" w:name="_Toc184310300"/>
      <w:bookmarkEnd w:id="60"/>
      <w:bookmarkStart w:id="61" w:name="_Toc184313253"/>
      <w:bookmarkEnd w:id="61"/>
      <w:bookmarkStart w:id="62" w:name="_Toc184313302"/>
      <w:bookmarkEnd w:id="62"/>
      <w:bookmarkStart w:id="63" w:name="_Toc184313300"/>
      <w:bookmarkEnd w:id="63"/>
      <w:bookmarkStart w:id="64" w:name="_Toc184308081"/>
      <w:bookmarkEnd w:id="64"/>
      <w:bookmarkStart w:id="65" w:name="_Toc184313254"/>
      <w:bookmarkEnd w:id="65"/>
      <w:bookmarkStart w:id="66" w:name="_Toc184314442"/>
      <w:bookmarkEnd w:id="66"/>
      <w:bookmarkStart w:id="67" w:name="_Toc184308101"/>
      <w:bookmarkEnd w:id="67"/>
      <w:bookmarkStart w:id="68" w:name="_Toc184308087"/>
      <w:bookmarkEnd w:id="68"/>
      <w:bookmarkStart w:id="69" w:name="_Toc184308047"/>
      <w:bookmarkEnd w:id="69"/>
      <w:bookmarkStart w:id="70" w:name="_Toc184312135"/>
      <w:bookmarkEnd w:id="70"/>
      <w:bookmarkStart w:id="71" w:name="_Toc184312103"/>
      <w:bookmarkEnd w:id="71"/>
      <w:bookmarkStart w:id="72" w:name="_Toc184313267"/>
      <w:bookmarkEnd w:id="72"/>
      <w:bookmarkStart w:id="73" w:name="_Toc184312105"/>
      <w:bookmarkEnd w:id="73"/>
      <w:bookmarkStart w:id="74" w:name="_Toc184310322"/>
      <w:bookmarkEnd w:id="74"/>
      <w:bookmarkStart w:id="75" w:name="_Toc184312095"/>
      <w:bookmarkEnd w:id="75"/>
      <w:bookmarkStart w:id="76" w:name="_Toc184312133"/>
      <w:bookmarkEnd w:id="76"/>
      <w:bookmarkStart w:id="77" w:name="_Toc184310274"/>
      <w:bookmarkEnd w:id="77"/>
      <w:bookmarkStart w:id="78" w:name="_Toc184312128"/>
      <w:bookmarkEnd w:id="78"/>
      <w:bookmarkStart w:id="79" w:name="_Toc184310321"/>
      <w:bookmarkEnd w:id="79"/>
      <w:bookmarkStart w:id="80" w:name="_Toc184312121"/>
      <w:bookmarkEnd w:id="80"/>
      <w:bookmarkStart w:id="81" w:name="_Toc184314427"/>
      <w:bookmarkEnd w:id="81"/>
      <w:bookmarkStart w:id="82" w:name="_Toc184312090"/>
      <w:bookmarkEnd w:id="82"/>
      <w:bookmarkStart w:id="83" w:name="_Toc184314462"/>
      <w:bookmarkEnd w:id="83"/>
      <w:bookmarkStart w:id="84" w:name="_Toc184310302"/>
      <w:bookmarkEnd w:id="84"/>
      <w:bookmarkStart w:id="85" w:name="_Toc184308041"/>
      <w:bookmarkEnd w:id="85"/>
      <w:bookmarkStart w:id="86" w:name="_Toc184314468"/>
      <w:bookmarkEnd w:id="86"/>
      <w:bookmarkStart w:id="87" w:name="_Toc184308061"/>
      <w:bookmarkEnd w:id="87"/>
      <w:bookmarkStart w:id="88" w:name="_Toc184310328"/>
      <w:bookmarkEnd w:id="88"/>
      <w:bookmarkStart w:id="89" w:name="_Toc184310307"/>
      <w:bookmarkEnd w:id="89"/>
      <w:bookmarkStart w:id="90" w:name="_Toc184310330"/>
      <w:bookmarkEnd w:id="90"/>
      <w:bookmarkStart w:id="91" w:name="_Toc184313256"/>
      <w:bookmarkEnd w:id="91"/>
      <w:bookmarkStart w:id="92" w:name="_Toc184310331"/>
      <w:bookmarkEnd w:id="92"/>
      <w:bookmarkStart w:id="93" w:name="_Toc184312125"/>
      <w:bookmarkEnd w:id="93"/>
      <w:bookmarkStart w:id="94" w:name="_Toc184310283"/>
      <w:bookmarkEnd w:id="94"/>
      <w:bookmarkStart w:id="95" w:name="_Toc184313242"/>
      <w:bookmarkEnd w:id="95"/>
      <w:bookmarkStart w:id="96" w:name="_Toc184313265"/>
      <w:bookmarkEnd w:id="96"/>
      <w:bookmarkStart w:id="97" w:name="_Toc184310334"/>
      <w:bookmarkEnd w:id="97"/>
      <w:bookmarkStart w:id="98" w:name="_Toc184314430"/>
      <w:bookmarkEnd w:id="98"/>
      <w:bookmarkStart w:id="99" w:name="_Toc184313288"/>
      <w:bookmarkEnd w:id="99"/>
      <w:bookmarkStart w:id="100" w:name="_Toc184308074"/>
      <w:bookmarkEnd w:id="100"/>
      <w:bookmarkStart w:id="101" w:name="_Toc184314445"/>
      <w:bookmarkEnd w:id="101"/>
      <w:bookmarkStart w:id="102" w:name="_Toc184314474"/>
      <w:bookmarkEnd w:id="102"/>
      <w:bookmarkStart w:id="103" w:name="_Toc184308053"/>
      <w:bookmarkEnd w:id="103"/>
      <w:bookmarkStart w:id="104" w:name="_Toc184310273"/>
      <w:bookmarkEnd w:id="104"/>
      <w:bookmarkStart w:id="105" w:name="_Toc184308094"/>
      <w:bookmarkEnd w:id="105"/>
      <w:bookmarkStart w:id="106" w:name="_Toc184310335"/>
      <w:bookmarkEnd w:id="106"/>
      <w:bookmarkStart w:id="107" w:name="_Toc184310276"/>
      <w:bookmarkEnd w:id="107"/>
      <w:bookmarkStart w:id="108" w:name="_Toc184312072"/>
      <w:bookmarkEnd w:id="108"/>
      <w:bookmarkStart w:id="109" w:name="_Toc184310306"/>
      <w:bookmarkEnd w:id="109"/>
      <w:bookmarkStart w:id="110" w:name="_Toc184314449"/>
      <w:bookmarkEnd w:id="110"/>
      <w:bookmarkStart w:id="111" w:name="_Toc184308090"/>
      <w:bookmarkEnd w:id="111"/>
      <w:bookmarkStart w:id="112" w:name="_Toc184313262"/>
      <w:bookmarkEnd w:id="112"/>
      <w:bookmarkStart w:id="113" w:name="_Toc184314413"/>
      <w:bookmarkEnd w:id="113"/>
      <w:bookmarkStart w:id="114" w:name="_Toc184314431"/>
      <w:bookmarkEnd w:id="114"/>
      <w:bookmarkStart w:id="115" w:name="_Toc184310314"/>
      <w:bookmarkEnd w:id="115"/>
      <w:bookmarkStart w:id="116" w:name="_Toc184312116"/>
      <w:bookmarkEnd w:id="116"/>
      <w:bookmarkStart w:id="117" w:name="_Toc184314424"/>
      <w:bookmarkEnd w:id="117"/>
      <w:bookmarkStart w:id="118" w:name="_Toc184314476"/>
      <w:bookmarkEnd w:id="118"/>
      <w:bookmarkStart w:id="119" w:name="_Toc184308046"/>
      <w:bookmarkEnd w:id="119"/>
      <w:bookmarkStart w:id="120" w:name="_Toc184312080"/>
      <w:bookmarkEnd w:id="120"/>
      <w:bookmarkStart w:id="121" w:name="_Toc184312099"/>
      <w:bookmarkEnd w:id="121"/>
      <w:bookmarkStart w:id="122" w:name="_Toc184310290"/>
      <w:bookmarkEnd w:id="122"/>
      <w:bookmarkStart w:id="123" w:name="_Toc184312084"/>
      <w:bookmarkEnd w:id="123"/>
      <w:bookmarkStart w:id="124" w:name="_Toc184313304"/>
      <w:bookmarkEnd w:id="124"/>
      <w:bookmarkStart w:id="125" w:name="_Toc184313285"/>
      <w:bookmarkEnd w:id="125"/>
      <w:bookmarkStart w:id="126" w:name="_Toc184312110"/>
      <w:bookmarkEnd w:id="126"/>
      <w:bookmarkStart w:id="127" w:name="_Toc184308051"/>
      <w:bookmarkEnd w:id="127"/>
      <w:bookmarkStart w:id="128" w:name="_Toc184313240"/>
      <w:bookmarkEnd w:id="128"/>
      <w:bookmarkStart w:id="129" w:name="_Toc184310311"/>
      <w:bookmarkEnd w:id="129"/>
      <w:bookmarkStart w:id="130" w:name="_Toc184312107"/>
      <w:bookmarkEnd w:id="130"/>
      <w:bookmarkStart w:id="131" w:name="_Toc184310295"/>
      <w:bookmarkEnd w:id="131"/>
      <w:bookmarkStart w:id="132" w:name="_Toc184308105"/>
      <w:bookmarkEnd w:id="132"/>
      <w:bookmarkStart w:id="133" w:name="_Toc184314410"/>
      <w:bookmarkEnd w:id="133"/>
      <w:bookmarkStart w:id="134" w:name="_Toc184313277"/>
      <w:bookmarkEnd w:id="134"/>
      <w:bookmarkStart w:id="135" w:name="_Toc184314461"/>
      <w:bookmarkEnd w:id="135"/>
      <w:bookmarkStart w:id="136" w:name="_Toc184313250"/>
      <w:bookmarkEnd w:id="136"/>
      <w:bookmarkStart w:id="137" w:name="_Toc184312138"/>
      <w:bookmarkEnd w:id="137"/>
      <w:bookmarkStart w:id="138" w:name="_Toc184313299"/>
      <w:bookmarkEnd w:id="138"/>
      <w:bookmarkStart w:id="139" w:name="_Toc184313284"/>
      <w:bookmarkEnd w:id="139"/>
      <w:bookmarkStart w:id="140" w:name="_Toc184314469"/>
      <w:bookmarkEnd w:id="140"/>
      <w:bookmarkStart w:id="141" w:name="_Toc184313258"/>
      <w:bookmarkEnd w:id="141"/>
      <w:bookmarkStart w:id="142" w:name="_Toc184313238"/>
      <w:bookmarkEnd w:id="142"/>
      <w:bookmarkStart w:id="143" w:name="_Toc184308075"/>
      <w:bookmarkEnd w:id="143"/>
      <w:bookmarkStart w:id="144" w:name="_Toc184308059"/>
      <w:bookmarkEnd w:id="144"/>
      <w:bookmarkStart w:id="145" w:name="_Toc184310310"/>
      <w:bookmarkEnd w:id="145"/>
      <w:bookmarkStart w:id="146" w:name="_Toc184313307"/>
      <w:bookmarkEnd w:id="146"/>
      <w:bookmarkStart w:id="147" w:name="_Toc184314453"/>
      <w:bookmarkEnd w:id="147"/>
      <w:bookmarkStart w:id="148" w:name="_Toc184312068"/>
      <w:bookmarkEnd w:id="148"/>
      <w:bookmarkStart w:id="149" w:name="_Toc184313294"/>
      <w:bookmarkEnd w:id="149"/>
      <w:bookmarkStart w:id="150" w:name="_Toc184308093"/>
      <w:bookmarkEnd w:id="150"/>
      <w:bookmarkStart w:id="151" w:name="_Toc184313259"/>
      <w:bookmarkEnd w:id="151"/>
      <w:bookmarkStart w:id="152" w:name="_Toc184313292"/>
      <w:bookmarkEnd w:id="152"/>
      <w:bookmarkStart w:id="153" w:name="_Toc184310282"/>
      <w:bookmarkEnd w:id="153"/>
      <w:bookmarkStart w:id="154" w:name="_Toc184310317"/>
      <w:bookmarkEnd w:id="154"/>
      <w:bookmarkStart w:id="155" w:name="_Toc184312102"/>
      <w:bookmarkEnd w:id="155"/>
      <w:bookmarkStart w:id="156" w:name="_Toc184308054"/>
      <w:bookmarkEnd w:id="156"/>
      <w:bookmarkStart w:id="157" w:name="_Toc184310341"/>
      <w:bookmarkEnd w:id="157"/>
      <w:bookmarkStart w:id="158" w:name="_Toc184312097"/>
      <w:bookmarkEnd w:id="158"/>
      <w:bookmarkStart w:id="159" w:name="_Toc184314450"/>
      <w:bookmarkEnd w:id="159"/>
      <w:bookmarkStart w:id="160" w:name="_Toc184313301"/>
      <w:bookmarkEnd w:id="160"/>
      <w:bookmarkStart w:id="161" w:name="_Toc184313278"/>
      <w:bookmarkEnd w:id="161"/>
      <w:bookmarkStart w:id="162" w:name="_Toc184308045"/>
      <w:bookmarkEnd w:id="162"/>
      <w:bookmarkStart w:id="163" w:name="_Toc184312073"/>
      <w:bookmarkEnd w:id="163"/>
      <w:bookmarkStart w:id="164" w:name="_Toc184308073"/>
      <w:bookmarkEnd w:id="164"/>
      <w:bookmarkStart w:id="165" w:name="_Toc184308106"/>
      <w:bookmarkEnd w:id="165"/>
      <w:bookmarkStart w:id="166" w:name="_Toc184308067"/>
      <w:bookmarkEnd w:id="166"/>
      <w:bookmarkStart w:id="167" w:name="_Toc184310281"/>
      <w:bookmarkEnd w:id="167"/>
      <w:bookmarkStart w:id="168" w:name="_Toc184313281"/>
      <w:bookmarkEnd w:id="168"/>
      <w:bookmarkStart w:id="169" w:name="_Toc184314447"/>
      <w:bookmarkEnd w:id="169"/>
      <w:bookmarkStart w:id="170" w:name="_Toc184312126"/>
      <w:bookmarkEnd w:id="170"/>
      <w:bookmarkStart w:id="171" w:name="_Toc184310284"/>
      <w:bookmarkEnd w:id="171"/>
      <w:bookmarkStart w:id="172" w:name="_Toc184308080"/>
      <w:bookmarkEnd w:id="172"/>
      <w:bookmarkStart w:id="173" w:name="_Toc184308071"/>
      <w:bookmarkEnd w:id="173"/>
      <w:bookmarkStart w:id="174" w:name="_Toc184312119"/>
      <w:bookmarkEnd w:id="174"/>
      <w:bookmarkStart w:id="175" w:name="_Toc184314443"/>
      <w:bookmarkEnd w:id="175"/>
      <w:bookmarkStart w:id="176" w:name="_Toc184310305"/>
      <w:bookmarkEnd w:id="176"/>
      <w:bookmarkStart w:id="177" w:name="_Toc184314440"/>
      <w:bookmarkEnd w:id="177"/>
      <w:bookmarkStart w:id="178" w:name="_Toc184310339"/>
      <w:bookmarkEnd w:id="178"/>
      <w:bookmarkStart w:id="179" w:name="_Toc184314471"/>
      <w:bookmarkEnd w:id="179"/>
      <w:bookmarkStart w:id="180" w:name="_Toc184312123"/>
      <w:bookmarkEnd w:id="180"/>
      <w:bookmarkStart w:id="181" w:name="_Toc184314423"/>
      <w:bookmarkEnd w:id="181"/>
      <w:bookmarkStart w:id="182" w:name="_Toc184314425"/>
      <w:bookmarkEnd w:id="182"/>
      <w:bookmarkStart w:id="183" w:name="_Toc184314475"/>
      <w:bookmarkEnd w:id="183"/>
      <w:bookmarkStart w:id="184" w:name="_Toc184310297"/>
      <w:bookmarkEnd w:id="184"/>
      <w:bookmarkStart w:id="185" w:name="_Toc184310277"/>
      <w:bookmarkEnd w:id="185"/>
      <w:bookmarkStart w:id="186" w:name="_Toc184308055"/>
      <w:bookmarkEnd w:id="186"/>
      <w:bookmarkStart w:id="187" w:name="_Toc184308065"/>
      <w:bookmarkEnd w:id="187"/>
      <w:bookmarkStart w:id="188" w:name="_Toc184313246"/>
      <w:bookmarkEnd w:id="188"/>
      <w:bookmarkStart w:id="189" w:name="_Toc184312122"/>
      <w:bookmarkEnd w:id="189"/>
      <w:bookmarkStart w:id="190" w:name="_Toc184312096"/>
      <w:bookmarkEnd w:id="190"/>
      <w:bookmarkStart w:id="191" w:name="_Toc184312085"/>
      <w:bookmarkEnd w:id="191"/>
      <w:bookmarkStart w:id="192" w:name="_Toc184314477"/>
      <w:bookmarkEnd w:id="192"/>
      <w:bookmarkStart w:id="193" w:name="_Toc184314412"/>
      <w:bookmarkEnd w:id="193"/>
      <w:bookmarkStart w:id="194" w:name="_Toc184313293"/>
      <w:bookmarkEnd w:id="194"/>
      <w:bookmarkStart w:id="195" w:name="_Toc184312112"/>
      <w:bookmarkEnd w:id="195"/>
      <w:bookmarkStart w:id="196" w:name="_Toc184308076"/>
      <w:bookmarkEnd w:id="196"/>
      <w:bookmarkStart w:id="197" w:name="_Toc184314473"/>
      <w:bookmarkEnd w:id="197"/>
      <w:bookmarkStart w:id="198" w:name="_Toc184308064"/>
      <w:bookmarkEnd w:id="198"/>
      <w:bookmarkStart w:id="199" w:name="_Toc184312093"/>
      <w:bookmarkEnd w:id="199"/>
      <w:bookmarkStart w:id="200" w:name="_Toc184312083"/>
      <w:bookmarkEnd w:id="200"/>
      <w:bookmarkStart w:id="201" w:name="_Toc184312101"/>
      <w:bookmarkEnd w:id="201"/>
      <w:bookmarkStart w:id="202" w:name="_Toc184312076"/>
      <w:bookmarkEnd w:id="202"/>
      <w:bookmarkStart w:id="203" w:name="_Toc184313308"/>
      <w:bookmarkEnd w:id="203"/>
      <w:bookmarkStart w:id="204" w:name="_Toc184310318"/>
      <w:bookmarkEnd w:id="204"/>
      <w:bookmarkStart w:id="205" w:name="_Toc184313283"/>
      <w:bookmarkEnd w:id="205"/>
      <w:bookmarkStart w:id="206" w:name="_Toc184314437"/>
      <w:bookmarkEnd w:id="206"/>
      <w:bookmarkStart w:id="207" w:name="_Toc184314456"/>
      <w:bookmarkEnd w:id="207"/>
      <w:bookmarkStart w:id="208" w:name="_Toc184310326"/>
      <w:bookmarkEnd w:id="208"/>
      <w:bookmarkStart w:id="209" w:name="_Toc184313303"/>
      <w:bookmarkEnd w:id="209"/>
      <w:bookmarkStart w:id="210" w:name="_Toc184310286"/>
      <w:bookmarkEnd w:id="210"/>
      <w:bookmarkStart w:id="211" w:name="_Toc184313239"/>
      <w:bookmarkEnd w:id="211"/>
      <w:bookmarkStart w:id="212" w:name="_Toc184313244"/>
      <w:bookmarkEnd w:id="212"/>
      <w:bookmarkStart w:id="213" w:name="_Toc184314479"/>
      <w:bookmarkEnd w:id="213"/>
      <w:bookmarkStart w:id="214" w:name="_Toc184313305"/>
      <w:bookmarkEnd w:id="214"/>
      <w:bookmarkStart w:id="215" w:name="_Toc184310280"/>
      <w:bookmarkEnd w:id="215"/>
      <w:bookmarkStart w:id="216" w:name="_Toc184312109"/>
      <w:bookmarkEnd w:id="216"/>
      <w:bookmarkStart w:id="217" w:name="_Toc184308104"/>
      <w:bookmarkEnd w:id="217"/>
      <w:bookmarkStart w:id="218" w:name="_Toc184313248"/>
      <w:bookmarkEnd w:id="218"/>
      <w:bookmarkStart w:id="219" w:name="_Toc184314460"/>
      <w:bookmarkEnd w:id="219"/>
      <w:bookmarkStart w:id="220" w:name="_Toc184308044"/>
      <w:bookmarkEnd w:id="220"/>
      <w:bookmarkStart w:id="221" w:name="_Toc184314411"/>
      <w:bookmarkEnd w:id="221"/>
      <w:bookmarkStart w:id="222" w:name="_Toc184310291"/>
      <w:bookmarkEnd w:id="222"/>
      <w:bookmarkStart w:id="223" w:name="_Toc184313263"/>
      <w:bookmarkEnd w:id="223"/>
      <w:bookmarkStart w:id="224" w:name="_Toc184314452"/>
      <w:bookmarkEnd w:id="224"/>
      <w:bookmarkStart w:id="225" w:name="_Toc184310319"/>
      <w:bookmarkEnd w:id="225"/>
      <w:bookmarkStart w:id="226" w:name="_Toc184314448"/>
      <w:bookmarkEnd w:id="226"/>
      <w:bookmarkStart w:id="227" w:name="_Toc184314446"/>
      <w:bookmarkEnd w:id="227"/>
      <w:bookmarkStart w:id="228" w:name="_Toc184308070"/>
      <w:bookmarkEnd w:id="228"/>
      <w:bookmarkStart w:id="229" w:name="_Toc184314434"/>
      <w:bookmarkEnd w:id="229"/>
      <w:bookmarkStart w:id="230" w:name="_Toc184308108"/>
      <w:bookmarkEnd w:id="230"/>
      <w:bookmarkStart w:id="231" w:name="_Toc184313243"/>
      <w:bookmarkEnd w:id="231"/>
      <w:bookmarkStart w:id="232" w:name="_Toc184308085"/>
      <w:bookmarkEnd w:id="232"/>
      <w:bookmarkStart w:id="233" w:name="_Toc184308088"/>
      <w:bookmarkEnd w:id="233"/>
      <w:bookmarkStart w:id="234" w:name="_Toc184308042"/>
      <w:bookmarkEnd w:id="234"/>
      <w:bookmarkStart w:id="235" w:name="_Toc184310293"/>
      <w:bookmarkEnd w:id="235"/>
      <w:bookmarkStart w:id="236" w:name="_Toc184308084"/>
      <w:bookmarkEnd w:id="236"/>
      <w:bookmarkStart w:id="237" w:name="_Toc184310313"/>
      <w:bookmarkEnd w:id="237"/>
      <w:bookmarkStart w:id="238" w:name="_Toc184310323"/>
      <w:bookmarkEnd w:id="238"/>
      <w:bookmarkStart w:id="239" w:name="_Toc184308103"/>
      <w:bookmarkEnd w:id="239"/>
      <w:bookmarkStart w:id="240" w:name="_Toc184313269"/>
      <w:bookmarkEnd w:id="240"/>
      <w:bookmarkStart w:id="241" w:name="_Toc184312078"/>
      <w:bookmarkEnd w:id="241"/>
      <w:bookmarkStart w:id="242" w:name="_Toc184310320"/>
      <w:bookmarkEnd w:id="242"/>
      <w:bookmarkStart w:id="243" w:name="_Toc184313282"/>
      <w:bookmarkEnd w:id="243"/>
      <w:bookmarkStart w:id="244" w:name="_Toc184312104"/>
      <w:bookmarkEnd w:id="244"/>
      <w:bookmarkStart w:id="245" w:name="_Toc184313310"/>
      <w:bookmarkEnd w:id="245"/>
      <w:bookmarkStart w:id="246" w:name="_Toc184314458"/>
      <w:bookmarkEnd w:id="246"/>
      <w:bookmarkStart w:id="247" w:name="_Toc184314414"/>
      <w:bookmarkEnd w:id="247"/>
      <w:bookmarkStart w:id="248" w:name="_Toc184308037"/>
      <w:bookmarkEnd w:id="248"/>
      <w:bookmarkStart w:id="249" w:name="_Toc184310342"/>
      <w:bookmarkEnd w:id="249"/>
      <w:bookmarkStart w:id="250" w:name="_Toc184308040"/>
      <w:bookmarkEnd w:id="250"/>
      <w:bookmarkStart w:id="251" w:name="_Toc184310279"/>
      <w:bookmarkEnd w:id="251"/>
      <w:bookmarkStart w:id="252" w:name="_Toc184308077"/>
      <w:bookmarkEnd w:id="252"/>
      <w:bookmarkStart w:id="253" w:name="_Toc184313289"/>
      <w:bookmarkEnd w:id="253"/>
      <w:bookmarkStart w:id="254" w:name="_Toc184308052"/>
      <w:bookmarkEnd w:id="254"/>
      <w:bookmarkStart w:id="255" w:name="_Toc184314465"/>
      <w:bookmarkEnd w:id="255"/>
      <w:bookmarkStart w:id="256" w:name="_Toc184308050"/>
      <w:bookmarkEnd w:id="256"/>
      <w:bookmarkStart w:id="257" w:name="_Toc184312098"/>
      <w:bookmarkEnd w:id="257"/>
      <w:bookmarkStart w:id="258" w:name="_Toc184312111"/>
      <w:bookmarkEnd w:id="258"/>
      <w:bookmarkStart w:id="259" w:name="_Toc184312088"/>
      <w:bookmarkEnd w:id="259"/>
      <w:bookmarkStart w:id="260" w:name="_Toc184312118"/>
      <w:bookmarkEnd w:id="260"/>
      <w:bookmarkStart w:id="261" w:name="_Toc184310315"/>
      <w:bookmarkEnd w:id="261"/>
      <w:bookmarkStart w:id="262" w:name="_Toc184312129"/>
      <w:bookmarkEnd w:id="262"/>
      <w:bookmarkStart w:id="263" w:name="_Toc184308038"/>
      <w:bookmarkEnd w:id="263"/>
      <w:bookmarkStart w:id="264" w:name="_Toc184310304"/>
      <w:bookmarkEnd w:id="264"/>
      <w:bookmarkStart w:id="265" w:name="_Toc184312091"/>
      <w:bookmarkEnd w:id="265"/>
      <w:bookmarkStart w:id="266" w:name="_Toc184308107"/>
      <w:bookmarkEnd w:id="266"/>
      <w:bookmarkStart w:id="267" w:name="_Toc184312139"/>
      <w:bookmarkEnd w:id="267"/>
      <w:bookmarkStart w:id="268" w:name="_Toc184308063"/>
      <w:bookmarkEnd w:id="268"/>
      <w:bookmarkStart w:id="269" w:name="_Toc184313309"/>
      <w:bookmarkEnd w:id="269"/>
      <w:bookmarkStart w:id="270" w:name="_Toc184314432"/>
      <w:bookmarkEnd w:id="270"/>
      <w:bookmarkStart w:id="271" w:name="_Toc184308100"/>
      <w:bookmarkEnd w:id="271"/>
      <w:bookmarkStart w:id="272" w:name="_Toc184314451"/>
      <w:bookmarkEnd w:id="272"/>
      <w:bookmarkStart w:id="273" w:name="_Toc184314420"/>
      <w:bookmarkEnd w:id="273"/>
      <w:bookmarkStart w:id="274" w:name="_Toc184312137"/>
      <w:bookmarkEnd w:id="274"/>
      <w:bookmarkStart w:id="275" w:name="_Toc184312067"/>
      <w:bookmarkEnd w:id="275"/>
      <w:bookmarkStart w:id="276" w:name="_Toc184308086"/>
      <w:bookmarkEnd w:id="276"/>
      <w:bookmarkStart w:id="277" w:name="_Toc184308039"/>
      <w:bookmarkEnd w:id="277"/>
      <w:bookmarkStart w:id="278" w:name="_Toc184310289"/>
      <w:bookmarkEnd w:id="278"/>
      <w:bookmarkStart w:id="279" w:name="_Toc184313257"/>
      <w:bookmarkEnd w:id="279"/>
      <w:bookmarkStart w:id="280" w:name="_Toc184308072"/>
      <w:bookmarkEnd w:id="280"/>
      <w:bookmarkStart w:id="281" w:name="_Toc184312114"/>
      <w:bookmarkEnd w:id="281"/>
      <w:bookmarkStart w:id="282" w:name="_Toc184310340"/>
      <w:bookmarkEnd w:id="282"/>
      <w:bookmarkStart w:id="283" w:name="_Toc184313241"/>
      <w:bookmarkEnd w:id="283"/>
      <w:bookmarkStart w:id="284" w:name="_Toc184312075"/>
      <w:bookmarkEnd w:id="284"/>
      <w:bookmarkStart w:id="285" w:name="_Toc184314459"/>
      <w:bookmarkEnd w:id="285"/>
      <w:bookmarkStart w:id="286" w:name="_Toc184308092"/>
      <w:bookmarkEnd w:id="286"/>
      <w:bookmarkStart w:id="287" w:name="_Toc184314478"/>
      <w:bookmarkEnd w:id="287"/>
      <w:bookmarkStart w:id="288" w:name="_Toc184310312"/>
      <w:bookmarkEnd w:id="288"/>
      <w:bookmarkStart w:id="289" w:name="_Toc184314455"/>
      <w:bookmarkEnd w:id="289"/>
      <w:bookmarkStart w:id="290" w:name="_Toc184312132"/>
      <w:bookmarkEnd w:id="290"/>
      <w:bookmarkStart w:id="291" w:name="_Toc184310338"/>
      <w:bookmarkEnd w:id="291"/>
      <w:bookmarkStart w:id="292" w:name="_Toc184308062"/>
      <w:bookmarkEnd w:id="292"/>
      <w:bookmarkStart w:id="293" w:name="_Toc184308058"/>
      <w:bookmarkEnd w:id="293"/>
      <w:bookmarkStart w:id="294" w:name="_Toc184308096"/>
      <w:bookmarkEnd w:id="294"/>
      <w:bookmarkStart w:id="295" w:name="_Toc184313287"/>
      <w:bookmarkEnd w:id="295"/>
      <w:bookmarkStart w:id="296" w:name="_Toc184312094"/>
      <w:bookmarkEnd w:id="296"/>
      <w:bookmarkStart w:id="297" w:name="_Toc184314466"/>
      <w:bookmarkEnd w:id="297"/>
      <w:bookmarkStart w:id="298" w:name="_Toc184313260"/>
      <w:bookmarkEnd w:id="298"/>
      <w:bookmarkStart w:id="299" w:name="_Toc184308068"/>
      <w:bookmarkEnd w:id="299"/>
      <w:bookmarkStart w:id="300" w:name="_Toc184314433"/>
      <w:bookmarkEnd w:id="300"/>
      <w:bookmarkStart w:id="301" w:name="_Toc184308069"/>
      <w:bookmarkEnd w:id="301"/>
      <w:bookmarkStart w:id="302" w:name="_Toc184308056"/>
      <w:bookmarkEnd w:id="302"/>
      <w:bookmarkStart w:id="303" w:name="_Toc184313291"/>
      <w:bookmarkEnd w:id="303"/>
      <w:bookmarkStart w:id="304" w:name="_Toc184313252"/>
      <w:bookmarkEnd w:id="304"/>
      <w:bookmarkStart w:id="305" w:name="_Toc184314419"/>
      <w:bookmarkEnd w:id="305"/>
      <w:bookmarkStart w:id="306" w:name="_Toc184312134"/>
      <w:bookmarkEnd w:id="306"/>
      <w:bookmarkStart w:id="307" w:name="_Toc184313306"/>
      <w:bookmarkEnd w:id="307"/>
      <w:bookmarkStart w:id="308" w:name="_Toc184312108"/>
      <w:bookmarkEnd w:id="308"/>
      <w:bookmarkStart w:id="309" w:name="_Toc184313290"/>
      <w:bookmarkEnd w:id="309"/>
      <w:bookmarkStart w:id="310" w:name="_Toc184313275"/>
      <w:bookmarkEnd w:id="310"/>
      <w:bookmarkStart w:id="311" w:name="_Toc184314438"/>
      <w:bookmarkEnd w:id="311"/>
      <w:bookmarkStart w:id="312" w:name="_Toc184313268"/>
      <w:bookmarkEnd w:id="312"/>
      <w:bookmarkStart w:id="313" w:name="_Toc184314417"/>
      <w:bookmarkEnd w:id="313"/>
      <w:bookmarkStart w:id="314" w:name="_Toc184312089"/>
      <w:bookmarkEnd w:id="314"/>
      <w:bookmarkStart w:id="315" w:name="_Toc184312081"/>
      <w:bookmarkEnd w:id="315"/>
      <w:bookmarkStart w:id="316" w:name="_Toc184310299"/>
      <w:bookmarkEnd w:id="316"/>
      <w:bookmarkStart w:id="317" w:name="_Toc184308066"/>
      <w:bookmarkEnd w:id="317"/>
      <w:bookmarkStart w:id="318" w:name="_Toc184308083"/>
      <w:bookmarkEnd w:id="318"/>
      <w:bookmarkStart w:id="319" w:name="_Toc184308082"/>
      <w:bookmarkEnd w:id="319"/>
      <w:bookmarkStart w:id="320" w:name="_Toc184310343"/>
      <w:bookmarkEnd w:id="320"/>
      <w:bookmarkStart w:id="321" w:name="_Toc184313247"/>
      <w:bookmarkEnd w:id="321"/>
      <w:bookmarkStart w:id="322" w:name="_Toc184314464"/>
      <w:bookmarkEnd w:id="322"/>
      <w:bookmarkStart w:id="323" w:name="_Toc184312077"/>
      <w:bookmarkEnd w:id="323"/>
      <w:bookmarkStart w:id="324" w:name="_Toc184310329"/>
      <w:bookmarkEnd w:id="324"/>
      <w:bookmarkStart w:id="325" w:name="_Toc184313276"/>
      <w:bookmarkEnd w:id="325"/>
      <w:bookmarkStart w:id="326" w:name="_Toc184313264"/>
      <w:bookmarkEnd w:id="326"/>
      <w:bookmarkStart w:id="327" w:name="_Toc184314470"/>
      <w:bookmarkEnd w:id="327"/>
      <w:bookmarkStart w:id="328" w:name="_Toc184314435"/>
      <w:bookmarkEnd w:id="328"/>
      <w:bookmarkStart w:id="329" w:name="_Toc184314422"/>
      <w:bookmarkEnd w:id="329"/>
      <w:bookmarkStart w:id="330" w:name="_Toc184310327"/>
      <w:bookmarkEnd w:id="330"/>
      <w:bookmarkStart w:id="331" w:name="_Toc184312106"/>
      <w:bookmarkEnd w:id="331"/>
      <w:bookmarkStart w:id="332" w:name="_Toc184310333"/>
      <w:bookmarkEnd w:id="332"/>
      <w:bookmarkStart w:id="333" w:name="_Toc184314463"/>
      <w:bookmarkEnd w:id="333"/>
      <w:bookmarkStart w:id="334" w:name="_Toc184310316"/>
      <w:bookmarkEnd w:id="334"/>
      <w:bookmarkStart w:id="335" w:name="_Toc184310294"/>
      <w:bookmarkEnd w:id="335"/>
      <w:bookmarkStart w:id="336" w:name="_Toc184314418"/>
      <w:bookmarkEnd w:id="336"/>
      <w:bookmarkStart w:id="337" w:name="_Toc184310292"/>
      <w:bookmarkEnd w:id="337"/>
      <w:bookmarkStart w:id="338" w:name="_Toc184313255"/>
      <w:bookmarkEnd w:id="338"/>
      <w:bookmarkStart w:id="339" w:name="_Toc184313272"/>
      <w:bookmarkEnd w:id="339"/>
      <w:bookmarkStart w:id="340" w:name="_Toc184314416"/>
      <w:bookmarkEnd w:id="340"/>
      <w:bookmarkStart w:id="341" w:name="_Toc184312079"/>
      <w:bookmarkEnd w:id="341"/>
      <w:bookmarkStart w:id="342" w:name="_Toc184312087"/>
      <w:bookmarkEnd w:id="342"/>
      <w:bookmarkStart w:id="343" w:name="_Toc184310337"/>
      <w:bookmarkEnd w:id="343"/>
      <w:bookmarkStart w:id="344" w:name="_Toc184314467"/>
      <w:bookmarkEnd w:id="344"/>
      <w:bookmarkStart w:id="345" w:name="_Toc184312117"/>
      <w:bookmarkEnd w:id="345"/>
      <w:bookmarkStart w:id="346" w:name="_Toc184313261"/>
      <w:bookmarkEnd w:id="346"/>
      <w:bookmarkStart w:id="347" w:name="_Toc184312069"/>
      <w:bookmarkEnd w:id="347"/>
      <w:bookmarkStart w:id="348" w:name="_Toc184312071"/>
      <w:bookmarkEnd w:id="348"/>
      <w:bookmarkStart w:id="349" w:name="_Toc184314444"/>
      <w:bookmarkEnd w:id="349"/>
      <w:bookmarkStart w:id="350" w:name="_Toc184308078"/>
      <w:bookmarkEnd w:id="350"/>
      <w:bookmarkStart w:id="351" w:name="_Toc184313296"/>
      <w:bookmarkEnd w:id="351"/>
      <w:bookmarkStart w:id="352" w:name="_Toc184312120"/>
      <w:bookmarkEnd w:id="352"/>
      <w:bookmarkStart w:id="353" w:name="_Toc184313249"/>
      <w:bookmarkEnd w:id="353"/>
      <w:bookmarkStart w:id="354" w:name="_Toc184312100"/>
      <w:bookmarkEnd w:id="354"/>
      <w:bookmarkStart w:id="355" w:name="_Toc184312092"/>
      <w:bookmarkEnd w:id="355"/>
      <w:bookmarkStart w:id="356" w:name="_Toc184313245"/>
      <w:bookmarkEnd w:id="356"/>
      <w:bookmarkStart w:id="357" w:name="_Toc184314421"/>
      <w:bookmarkEnd w:id="357"/>
      <w:bookmarkStart w:id="358" w:name="_Toc184308049"/>
      <w:bookmarkEnd w:id="358"/>
      <w:bookmarkStart w:id="359" w:name="_Toc184310336"/>
      <w:bookmarkEnd w:id="359"/>
      <w:bookmarkStart w:id="360" w:name="_Toc184310309"/>
      <w:bookmarkEnd w:id="360"/>
      <w:bookmarkStart w:id="361" w:name="_Toc184313279"/>
      <w:bookmarkEnd w:id="361"/>
      <w:bookmarkStart w:id="362" w:name="_Toc184313298"/>
      <w:bookmarkEnd w:id="362"/>
      <w:bookmarkStart w:id="363" w:name="_Toc184310324"/>
      <w:bookmarkEnd w:id="363"/>
      <w:bookmarkStart w:id="364" w:name="_Toc184308091"/>
      <w:bookmarkEnd w:id="364"/>
      <w:bookmarkStart w:id="365" w:name="_Toc184310303"/>
      <w:bookmarkEnd w:id="365"/>
      <w:bookmarkStart w:id="366" w:name="_Toc184310285"/>
      <w:bookmarkEnd w:id="366"/>
      <w:r>
        <w:rPr>
          <w:rFonts w:hint="eastAsia"/>
          <w:b/>
          <w:bCs/>
          <w:color w:val="auto"/>
          <w:sz w:val="36"/>
          <w:szCs w:val="36"/>
          <w:highlight w:val="none"/>
        </w:rPr>
        <w:t>评标办法</w:t>
      </w:r>
    </w:p>
    <w:p>
      <w:pPr>
        <w:pStyle w:val="2"/>
        <w:rPr>
          <w:color w:val="auto"/>
          <w:highlight w:val="none"/>
        </w:rPr>
      </w:pPr>
      <w:r>
        <w:rPr>
          <w:rFonts w:hint="eastAsia"/>
          <w:color w:val="auto"/>
          <w:highlight w:val="none"/>
        </w:rPr>
        <w:t>评标办法前附表</w:t>
      </w:r>
    </w:p>
    <w:p>
      <w:pPr>
        <w:rPr>
          <w:b/>
          <w:color w:val="auto"/>
        </w:rPr>
      </w:pPr>
      <w:r>
        <w:rPr>
          <w:rFonts w:hint="eastAsia"/>
          <w:b/>
          <w:color w:val="auto"/>
          <w:lang w:eastAsia="zh-CN"/>
        </w:rPr>
        <w:t>一、</w:t>
      </w:r>
      <w:r>
        <w:rPr>
          <w:rFonts w:hint="eastAsia"/>
          <w:b/>
          <w:color w:val="auto"/>
        </w:rPr>
        <w:t>商务技术分（</w:t>
      </w:r>
      <w:r>
        <w:rPr>
          <w:rFonts w:hint="eastAsia"/>
          <w:b/>
          <w:color w:val="auto"/>
          <w:lang w:val="en-US" w:eastAsia="zh-CN"/>
        </w:rPr>
        <w:t>90</w:t>
      </w:r>
      <w:r>
        <w:rPr>
          <w:rFonts w:hint="eastAsia"/>
          <w:b/>
          <w:color w:val="auto"/>
        </w:rPr>
        <w:t>分）</w:t>
      </w:r>
    </w:p>
    <w:p>
      <w:pPr>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lang w:val="en-US" w:eastAsia="zh-CN"/>
        </w:rPr>
        <w:t>1、</w:t>
      </w:r>
      <w:r>
        <w:rPr>
          <w:rFonts w:hint="eastAsia" w:ascii="仿宋" w:hAnsi="仿宋" w:eastAsia="仿宋" w:cs="仿宋"/>
          <w:color w:val="auto"/>
          <w:sz w:val="22"/>
          <w:szCs w:val="22"/>
          <w:highlight w:val="none"/>
        </w:rPr>
        <w:t>商务资信（</w:t>
      </w:r>
      <w:r>
        <w:rPr>
          <w:rFonts w:hint="eastAsia" w:ascii="仿宋" w:hAnsi="仿宋" w:eastAsia="仿宋" w:cs="仿宋"/>
          <w:color w:val="auto"/>
          <w:sz w:val="22"/>
          <w:szCs w:val="22"/>
          <w:highlight w:val="none"/>
          <w:lang w:val="en-US" w:eastAsia="zh-CN"/>
        </w:rPr>
        <w:t>15</w:t>
      </w:r>
      <w:r>
        <w:rPr>
          <w:rFonts w:hint="eastAsia" w:ascii="仿宋" w:hAnsi="仿宋" w:eastAsia="仿宋" w:cs="仿宋"/>
          <w:color w:val="auto"/>
          <w:sz w:val="22"/>
          <w:szCs w:val="22"/>
          <w:highlight w:val="none"/>
        </w:rPr>
        <w:t>分）</w:t>
      </w:r>
    </w:p>
    <w:tbl>
      <w:tblPr>
        <w:tblStyle w:val="26"/>
        <w:tblW w:w="988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77"/>
        <w:gridCol w:w="690"/>
        <w:gridCol w:w="6628"/>
        <w:gridCol w:w="851"/>
        <w:gridCol w:w="94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777" w:type="dxa"/>
            <w:vMerge w:val="restart"/>
            <w:noWrap/>
            <w:vAlign w:val="center"/>
          </w:tcPr>
          <w:p>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ind w:left="0" w:right="0"/>
              <w:textAlignment w:val="auto"/>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商务资信分（</w:t>
            </w:r>
            <w:r>
              <w:rPr>
                <w:rFonts w:hint="eastAsia" w:cs="仿宋"/>
                <w:color w:val="auto"/>
                <w:kern w:val="0"/>
                <w:sz w:val="24"/>
                <w:highlight w:val="none"/>
                <w:lang w:val="en-US" w:eastAsia="zh-CN"/>
              </w:rPr>
              <w:t>15</w:t>
            </w:r>
            <w:r>
              <w:rPr>
                <w:rFonts w:hint="eastAsia" w:ascii="仿宋" w:hAnsi="仿宋" w:eastAsia="仿宋" w:cs="仿宋"/>
                <w:color w:val="auto"/>
                <w:kern w:val="0"/>
                <w:sz w:val="24"/>
                <w:highlight w:val="none"/>
              </w:rPr>
              <w:t>分）</w:t>
            </w:r>
          </w:p>
        </w:tc>
        <w:tc>
          <w:tcPr>
            <w:tcW w:w="690" w:type="dxa"/>
            <w:noWrap/>
            <w:vAlign w:val="center"/>
          </w:tcPr>
          <w:p>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ind w:left="0" w:right="0"/>
              <w:jc w:val="center"/>
              <w:textAlignment w:val="auto"/>
              <w:rPr>
                <w:rFonts w:hint="eastAsia" w:ascii="仿宋" w:hAnsi="仿宋" w:eastAsia="仿宋" w:cs="仿宋"/>
                <w:color w:val="auto"/>
                <w:highlight w:val="none"/>
              </w:rPr>
            </w:pPr>
            <w:r>
              <w:rPr>
                <w:rFonts w:hint="eastAsia" w:ascii="仿宋" w:hAnsi="仿宋" w:eastAsia="仿宋" w:cs="仿宋"/>
                <w:color w:val="auto"/>
                <w:kern w:val="0"/>
                <w:sz w:val="24"/>
                <w:highlight w:val="none"/>
              </w:rPr>
              <w:t>序号</w:t>
            </w:r>
          </w:p>
        </w:tc>
        <w:tc>
          <w:tcPr>
            <w:tcW w:w="6628" w:type="dxa"/>
            <w:noWrap/>
            <w:vAlign w:val="center"/>
          </w:tcPr>
          <w:p>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ind w:left="0" w:right="0"/>
              <w:jc w:val="center"/>
              <w:textAlignment w:val="auto"/>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评分内容和标准</w:t>
            </w:r>
          </w:p>
        </w:tc>
        <w:tc>
          <w:tcPr>
            <w:tcW w:w="851" w:type="dxa"/>
            <w:noWrap/>
            <w:vAlign w:val="center"/>
          </w:tcPr>
          <w:p>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ind w:left="0" w:right="0"/>
              <w:jc w:val="center"/>
              <w:textAlignment w:val="auto"/>
              <w:rPr>
                <w:rFonts w:hint="eastAsia" w:ascii="仿宋" w:hAnsi="仿宋" w:eastAsia="仿宋" w:cs="仿宋"/>
                <w:color w:val="auto"/>
                <w:highlight w:val="none"/>
              </w:rPr>
            </w:pPr>
            <w:r>
              <w:rPr>
                <w:rFonts w:hint="eastAsia" w:ascii="仿宋" w:hAnsi="仿宋" w:eastAsia="仿宋" w:cs="仿宋"/>
                <w:color w:val="auto"/>
                <w:kern w:val="0"/>
                <w:sz w:val="24"/>
                <w:highlight w:val="none"/>
              </w:rPr>
              <w:t>分值</w:t>
            </w:r>
          </w:p>
          <w:p>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ind w:left="0" w:right="0"/>
              <w:jc w:val="center"/>
              <w:textAlignment w:val="auto"/>
              <w:rPr>
                <w:rFonts w:hint="eastAsia" w:ascii="仿宋" w:hAnsi="仿宋" w:eastAsia="仿宋" w:cs="仿宋"/>
                <w:color w:val="auto"/>
                <w:highlight w:val="none"/>
              </w:rPr>
            </w:pPr>
            <w:r>
              <w:rPr>
                <w:rFonts w:hint="eastAsia" w:ascii="仿宋" w:hAnsi="仿宋" w:eastAsia="仿宋" w:cs="仿宋"/>
                <w:color w:val="auto"/>
                <w:kern w:val="0"/>
                <w:sz w:val="24"/>
                <w:highlight w:val="none"/>
              </w:rPr>
              <w:t>区间</w:t>
            </w:r>
          </w:p>
        </w:tc>
        <w:tc>
          <w:tcPr>
            <w:tcW w:w="942" w:type="dxa"/>
            <w:noWrap/>
            <w:vAlign w:val="center"/>
          </w:tcPr>
          <w:p>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ind w:left="0" w:right="0"/>
              <w:jc w:val="center"/>
              <w:textAlignment w:val="auto"/>
              <w:rPr>
                <w:rFonts w:hint="eastAsia" w:ascii="仿宋" w:hAnsi="仿宋" w:eastAsia="仿宋" w:cs="仿宋"/>
                <w:color w:val="auto"/>
                <w:highlight w:val="none"/>
              </w:rPr>
            </w:pPr>
            <w:r>
              <w:rPr>
                <w:rFonts w:hint="eastAsia" w:ascii="仿宋" w:hAnsi="仿宋" w:eastAsia="仿宋" w:cs="仿宋"/>
                <w:color w:val="auto"/>
                <w:kern w:val="0"/>
                <w:sz w:val="24"/>
                <w:highlight w:val="none"/>
              </w:rPr>
              <w:t>主观</w:t>
            </w:r>
            <w:r>
              <w:rPr>
                <w:rFonts w:hint="eastAsia" w:ascii="仿宋" w:hAnsi="仿宋" w:eastAsia="仿宋" w:cs="仿宋"/>
                <w:color w:val="auto"/>
                <w:kern w:val="0"/>
                <w:sz w:val="24"/>
                <w:highlight w:val="none"/>
                <w:lang w:val="en-US" w:eastAsia="zh-CN"/>
              </w:rPr>
              <w:t>/</w:t>
            </w:r>
            <w:r>
              <w:rPr>
                <w:rFonts w:hint="eastAsia" w:ascii="仿宋" w:hAnsi="仿宋" w:eastAsia="仿宋" w:cs="仿宋"/>
                <w:color w:val="auto"/>
                <w:kern w:val="0"/>
                <w:sz w:val="24"/>
                <w:highlight w:val="none"/>
              </w:rPr>
              <w:t>客观分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93" w:hRule="atLeast"/>
          <w:jc w:val="center"/>
        </w:trPr>
        <w:tc>
          <w:tcPr>
            <w:tcW w:w="777" w:type="dxa"/>
            <w:vMerge w:val="continue"/>
            <w:noWrap/>
            <w:vAlign w:val="center"/>
          </w:tcPr>
          <w:p>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ind w:left="0" w:right="0"/>
              <w:textAlignment w:val="auto"/>
              <w:rPr>
                <w:rFonts w:hint="eastAsia" w:ascii="仿宋" w:hAnsi="仿宋" w:eastAsia="仿宋" w:cs="仿宋"/>
                <w:color w:val="auto"/>
                <w:kern w:val="0"/>
                <w:sz w:val="24"/>
                <w:highlight w:val="none"/>
              </w:rPr>
            </w:pPr>
          </w:p>
        </w:tc>
        <w:tc>
          <w:tcPr>
            <w:tcW w:w="690" w:type="dxa"/>
            <w:noWrap/>
            <w:vAlign w:val="center"/>
          </w:tcPr>
          <w:p>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400" w:lineRule="exact"/>
              <w:ind w:left="0" w:right="0"/>
              <w:jc w:val="center"/>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1</w:t>
            </w:r>
          </w:p>
        </w:tc>
        <w:tc>
          <w:tcPr>
            <w:tcW w:w="6628" w:type="dxa"/>
            <w:noWrap/>
            <w:vAlign w:val="center"/>
          </w:tcPr>
          <w:p>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ind w:left="0" w:right="0"/>
              <w:jc w:val="left"/>
              <w:textAlignment w:val="auto"/>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lang w:eastAsia="zh-CN"/>
              </w:rPr>
              <w:t>投标人</w:t>
            </w:r>
            <w:r>
              <w:rPr>
                <w:rFonts w:hint="eastAsia" w:ascii="仿宋" w:hAnsi="仿宋" w:eastAsia="仿宋" w:cs="仿宋"/>
                <w:color w:val="auto"/>
                <w:kern w:val="0"/>
                <w:sz w:val="24"/>
                <w:highlight w:val="none"/>
              </w:rPr>
              <w:t>自202</w:t>
            </w:r>
            <w:r>
              <w:rPr>
                <w:rFonts w:hint="eastAsia" w:ascii="仿宋" w:hAnsi="仿宋" w:eastAsia="仿宋" w:cs="仿宋"/>
                <w:color w:val="auto"/>
                <w:kern w:val="0"/>
                <w:sz w:val="24"/>
                <w:highlight w:val="none"/>
                <w:lang w:val="en-US" w:eastAsia="zh-CN"/>
              </w:rPr>
              <w:t>2</w:t>
            </w:r>
            <w:r>
              <w:rPr>
                <w:rFonts w:hint="eastAsia" w:ascii="仿宋" w:hAnsi="仿宋" w:eastAsia="仿宋" w:cs="仿宋"/>
                <w:color w:val="auto"/>
                <w:kern w:val="0"/>
                <w:sz w:val="24"/>
                <w:highlight w:val="none"/>
              </w:rPr>
              <w:t>年1月1日以来（以合同签订时间为准）完成的类似项目业绩，每个业绩得0.</w:t>
            </w:r>
            <w:r>
              <w:rPr>
                <w:rFonts w:hint="eastAsia" w:ascii="仿宋" w:hAnsi="仿宋" w:eastAsia="仿宋" w:cs="仿宋"/>
                <w:color w:val="auto"/>
                <w:kern w:val="0"/>
                <w:sz w:val="24"/>
                <w:highlight w:val="none"/>
                <w:lang w:val="en-US" w:eastAsia="zh-CN"/>
              </w:rPr>
              <w:t>5</w:t>
            </w:r>
            <w:r>
              <w:rPr>
                <w:rFonts w:hint="eastAsia" w:ascii="仿宋" w:hAnsi="仿宋" w:eastAsia="仿宋" w:cs="仿宋"/>
                <w:color w:val="auto"/>
                <w:kern w:val="0"/>
                <w:sz w:val="24"/>
                <w:highlight w:val="none"/>
              </w:rPr>
              <w:t>分，最高得1分。</w:t>
            </w:r>
          </w:p>
          <w:p>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ind w:left="0" w:right="0"/>
              <w:jc w:val="left"/>
              <w:textAlignment w:val="auto"/>
              <w:rPr>
                <w:rFonts w:hint="eastAsia" w:ascii="仿宋" w:hAnsi="仿宋" w:eastAsia="仿宋" w:cs="仿宋"/>
                <w:color w:val="auto"/>
                <w:kern w:val="0"/>
                <w:sz w:val="24"/>
                <w:highlight w:val="none"/>
                <w:lang w:val="en-US" w:eastAsia="zh-CN"/>
              </w:rPr>
            </w:pPr>
            <w:r>
              <w:rPr>
                <w:rFonts w:hint="eastAsia" w:ascii="仿宋" w:hAnsi="仿宋" w:eastAsia="仿宋" w:cs="仿宋"/>
                <w:color w:val="auto"/>
                <w:kern w:val="0"/>
                <w:sz w:val="24"/>
                <w:highlight w:val="none"/>
              </w:rPr>
              <w:t>（投标文件中提供业绩合同</w:t>
            </w:r>
            <w:r>
              <w:rPr>
                <w:rFonts w:hint="eastAsia" w:ascii="仿宋" w:hAnsi="仿宋" w:eastAsia="仿宋" w:cs="仿宋"/>
                <w:color w:val="auto"/>
                <w:kern w:val="0"/>
                <w:sz w:val="24"/>
                <w:highlight w:val="none"/>
                <w:lang w:val="en-US" w:eastAsia="zh-CN"/>
              </w:rPr>
              <w:t>扫描件</w:t>
            </w:r>
            <w:r>
              <w:rPr>
                <w:rFonts w:hint="eastAsia" w:ascii="仿宋" w:hAnsi="仿宋" w:eastAsia="仿宋" w:cs="仿宋"/>
                <w:color w:val="auto"/>
                <w:kern w:val="0"/>
                <w:sz w:val="24"/>
                <w:highlight w:val="none"/>
              </w:rPr>
              <w:t>）</w:t>
            </w:r>
          </w:p>
        </w:tc>
        <w:tc>
          <w:tcPr>
            <w:tcW w:w="851" w:type="dxa"/>
            <w:noWrap/>
            <w:vAlign w:val="center"/>
          </w:tcPr>
          <w:p>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ind w:left="0" w:right="0"/>
              <w:jc w:val="center"/>
              <w:textAlignment w:val="auto"/>
              <w:rPr>
                <w:rFonts w:hint="eastAsia" w:ascii="仿宋" w:hAnsi="仿宋" w:eastAsia="仿宋" w:cs="仿宋"/>
                <w:color w:val="auto"/>
                <w:kern w:val="0"/>
                <w:sz w:val="24"/>
                <w:highlight w:val="none"/>
                <w:lang w:val="en-US" w:eastAsia="zh-CN"/>
              </w:rPr>
            </w:pPr>
            <w:r>
              <w:rPr>
                <w:rFonts w:hint="eastAsia" w:ascii="仿宋" w:hAnsi="仿宋" w:eastAsia="仿宋" w:cs="仿宋"/>
                <w:color w:val="auto"/>
                <w:kern w:val="0"/>
                <w:sz w:val="24"/>
                <w:highlight w:val="none"/>
                <w:lang w:val="en-US" w:eastAsia="zh-CN"/>
              </w:rPr>
              <w:t>0-1</w:t>
            </w:r>
          </w:p>
        </w:tc>
        <w:tc>
          <w:tcPr>
            <w:tcW w:w="942" w:type="dxa"/>
            <w:noWrap/>
            <w:vAlign w:val="center"/>
          </w:tcPr>
          <w:p>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ind w:left="0" w:right="0"/>
              <w:jc w:val="center"/>
              <w:textAlignment w:val="auto"/>
              <w:rPr>
                <w:rFonts w:hint="eastAsia" w:ascii="仿宋" w:hAnsi="仿宋" w:eastAsia="仿宋" w:cs="仿宋"/>
                <w:color w:val="auto"/>
                <w:kern w:val="0"/>
                <w:sz w:val="24"/>
                <w:highlight w:val="none"/>
                <w:lang w:val="en-US" w:eastAsia="zh-CN"/>
              </w:rPr>
            </w:pPr>
            <w:r>
              <w:rPr>
                <w:rFonts w:hint="eastAsia" w:ascii="仿宋" w:hAnsi="仿宋" w:eastAsia="仿宋" w:cs="仿宋"/>
                <w:color w:val="auto"/>
                <w:kern w:val="0"/>
                <w:sz w:val="24"/>
                <w:highlight w:val="none"/>
                <w:lang w:val="en-US" w:eastAsia="zh-CN"/>
              </w:rPr>
              <w:t>客观分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85" w:hRule="atLeast"/>
          <w:jc w:val="center"/>
        </w:trPr>
        <w:tc>
          <w:tcPr>
            <w:tcW w:w="777" w:type="dxa"/>
            <w:vMerge w:val="continue"/>
            <w:noWrap/>
            <w:vAlign w:val="center"/>
          </w:tcPr>
          <w:p>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ind w:left="0" w:right="0"/>
              <w:textAlignment w:val="auto"/>
              <w:rPr>
                <w:rFonts w:hint="eastAsia" w:ascii="仿宋" w:hAnsi="仿宋" w:eastAsia="仿宋" w:cs="仿宋"/>
                <w:color w:val="auto"/>
                <w:highlight w:val="none"/>
              </w:rPr>
            </w:pPr>
          </w:p>
        </w:tc>
        <w:tc>
          <w:tcPr>
            <w:tcW w:w="690" w:type="dxa"/>
            <w:noWrap/>
            <w:vAlign w:val="center"/>
          </w:tcPr>
          <w:p>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400" w:lineRule="exact"/>
              <w:ind w:left="0" w:right="0"/>
              <w:jc w:val="center"/>
              <w:textAlignment w:val="auto"/>
              <w:rPr>
                <w:rFonts w:hint="default"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2</w:t>
            </w:r>
          </w:p>
        </w:tc>
        <w:tc>
          <w:tcPr>
            <w:tcW w:w="6628" w:type="dxa"/>
            <w:noWrap/>
            <w:vAlign w:val="center"/>
          </w:tcPr>
          <w:p>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ind w:left="0" w:right="0"/>
              <w:jc w:val="left"/>
              <w:textAlignment w:val="auto"/>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lang w:eastAsia="zh-CN"/>
              </w:rPr>
              <w:t>投标人</w:t>
            </w:r>
            <w:r>
              <w:rPr>
                <w:rFonts w:hint="eastAsia" w:ascii="仿宋" w:hAnsi="仿宋" w:eastAsia="仿宋" w:cs="仿宋"/>
                <w:color w:val="auto"/>
                <w:kern w:val="0"/>
                <w:sz w:val="24"/>
                <w:highlight w:val="none"/>
              </w:rPr>
              <w:t>具有环境管理体系认证、职业健康安全管理体系认证、质量管理体系认证证书的，每个得2分，最高得6分。</w:t>
            </w:r>
          </w:p>
          <w:p>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ind w:left="0" w:right="0"/>
              <w:jc w:val="left"/>
              <w:textAlignment w:val="auto"/>
              <w:rPr>
                <w:rFonts w:hint="eastAsia" w:ascii="仿宋" w:hAnsi="仿宋" w:eastAsia="仿宋" w:cs="仿宋"/>
                <w:color w:val="auto"/>
                <w:kern w:val="0"/>
                <w:sz w:val="24"/>
                <w:highlight w:val="none"/>
                <w:lang w:val="en-US" w:eastAsia="zh-CN"/>
              </w:rPr>
            </w:pPr>
            <w:r>
              <w:rPr>
                <w:rFonts w:hint="eastAsia" w:ascii="仿宋" w:hAnsi="仿宋" w:eastAsia="仿宋" w:cs="仿宋"/>
                <w:color w:val="auto"/>
                <w:kern w:val="0"/>
                <w:sz w:val="24"/>
                <w:highlight w:val="none"/>
              </w:rPr>
              <w:t>（投标文件中提供有效的证书</w:t>
            </w:r>
            <w:r>
              <w:rPr>
                <w:rFonts w:hint="eastAsia" w:ascii="仿宋" w:hAnsi="仿宋" w:eastAsia="仿宋" w:cs="仿宋"/>
                <w:color w:val="auto"/>
                <w:kern w:val="0"/>
                <w:sz w:val="24"/>
                <w:highlight w:val="none"/>
                <w:lang w:val="en-US" w:eastAsia="zh-CN"/>
              </w:rPr>
              <w:t>扫描件</w:t>
            </w:r>
            <w:r>
              <w:rPr>
                <w:rFonts w:hint="eastAsia" w:ascii="仿宋" w:hAnsi="仿宋" w:eastAsia="仿宋" w:cs="仿宋"/>
                <w:color w:val="auto"/>
                <w:kern w:val="0"/>
                <w:sz w:val="24"/>
                <w:highlight w:val="none"/>
              </w:rPr>
              <w:t>）</w:t>
            </w:r>
          </w:p>
        </w:tc>
        <w:tc>
          <w:tcPr>
            <w:tcW w:w="851" w:type="dxa"/>
            <w:noWrap/>
            <w:vAlign w:val="center"/>
          </w:tcPr>
          <w:p>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ind w:left="0" w:right="0"/>
              <w:jc w:val="center"/>
              <w:textAlignment w:val="auto"/>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lang w:val="en-US" w:eastAsia="zh-CN"/>
              </w:rPr>
              <w:t>0-6</w:t>
            </w:r>
          </w:p>
        </w:tc>
        <w:tc>
          <w:tcPr>
            <w:tcW w:w="942" w:type="dxa"/>
            <w:noWrap/>
            <w:vAlign w:val="center"/>
          </w:tcPr>
          <w:p>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ind w:left="0" w:right="0"/>
              <w:jc w:val="center"/>
              <w:textAlignment w:val="auto"/>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lang w:val="en-US" w:eastAsia="zh-CN"/>
              </w:rPr>
              <w:t>客观分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32" w:hRule="atLeast"/>
          <w:jc w:val="center"/>
        </w:trPr>
        <w:tc>
          <w:tcPr>
            <w:tcW w:w="777" w:type="dxa"/>
            <w:vMerge w:val="continue"/>
            <w:noWrap/>
            <w:vAlign w:val="center"/>
          </w:tcPr>
          <w:p>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ind w:left="0" w:right="0"/>
              <w:textAlignment w:val="auto"/>
              <w:rPr>
                <w:rFonts w:hint="eastAsia" w:ascii="仿宋" w:hAnsi="仿宋" w:eastAsia="仿宋" w:cs="仿宋"/>
                <w:color w:val="auto"/>
                <w:highlight w:val="none"/>
              </w:rPr>
            </w:pPr>
          </w:p>
        </w:tc>
        <w:tc>
          <w:tcPr>
            <w:tcW w:w="690" w:type="dxa"/>
            <w:noWrap/>
            <w:vAlign w:val="center"/>
          </w:tcPr>
          <w:p>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400" w:lineRule="exact"/>
              <w:ind w:left="0" w:right="0"/>
              <w:jc w:val="center"/>
              <w:textAlignment w:val="auto"/>
              <w:rPr>
                <w:rFonts w:hint="default"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3</w:t>
            </w:r>
          </w:p>
        </w:tc>
        <w:tc>
          <w:tcPr>
            <w:tcW w:w="6628" w:type="dxa"/>
            <w:noWrap/>
            <w:vAlign w:val="top"/>
          </w:tcPr>
          <w:p>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ind w:left="0" w:right="0"/>
              <w:jc w:val="left"/>
              <w:textAlignment w:val="auto"/>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本项目人员配备</w:t>
            </w:r>
          </w:p>
          <w:p>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ind w:left="0" w:right="0"/>
              <w:jc w:val="left"/>
              <w:textAlignment w:val="auto"/>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（1）项目负责人具有林业专业高级职称证书的得2分；</w:t>
            </w:r>
          </w:p>
          <w:p>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ind w:left="0" w:right="0"/>
              <w:jc w:val="left"/>
              <w:textAlignment w:val="auto"/>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（2）养护人员（除项目负责人外）具有绿化工及以上资格的每人得 1分，最多得</w:t>
            </w:r>
            <w:r>
              <w:rPr>
                <w:rFonts w:hint="eastAsia" w:ascii="仿宋" w:hAnsi="仿宋" w:eastAsia="仿宋" w:cs="仿宋"/>
                <w:color w:val="auto"/>
                <w:kern w:val="0"/>
                <w:sz w:val="24"/>
                <w:highlight w:val="none"/>
                <w:lang w:val="en-US" w:eastAsia="zh-CN"/>
              </w:rPr>
              <w:t>6</w:t>
            </w:r>
            <w:r>
              <w:rPr>
                <w:rFonts w:hint="eastAsia" w:ascii="仿宋" w:hAnsi="仿宋" w:eastAsia="仿宋" w:cs="仿宋"/>
                <w:color w:val="auto"/>
                <w:kern w:val="0"/>
                <w:sz w:val="24"/>
                <w:highlight w:val="none"/>
              </w:rPr>
              <w:t>分。</w:t>
            </w:r>
          </w:p>
          <w:p>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ind w:left="0" w:right="0"/>
              <w:jc w:val="left"/>
              <w:textAlignment w:val="auto"/>
              <w:rPr>
                <w:rFonts w:hint="eastAsia" w:ascii="仿宋" w:hAnsi="仿宋" w:eastAsia="仿宋" w:cs="仿宋"/>
                <w:color w:val="auto"/>
                <w:kern w:val="0"/>
                <w:sz w:val="24"/>
                <w:highlight w:val="none"/>
                <w:lang w:val="en-US" w:eastAsia="zh-CN"/>
              </w:rPr>
            </w:pPr>
            <w:r>
              <w:rPr>
                <w:rFonts w:hint="eastAsia" w:ascii="仿宋" w:hAnsi="仿宋" w:eastAsia="仿宋" w:cs="仿宋"/>
                <w:color w:val="auto"/>
                <w:kern w:val="0"/>
                <w:sz w:val="24"/>
                <w:highlight w:val="none"/>
              </w:rPr>
              <w:t>【提供相关证书复印件及在投标单位连续三个月的社保证明材料（202</w:t>
            </w:r>
            <w:r>
              <w:rPr>
                <w:rFonts w:hint="eastAsia" w:cs="仿宋"/>
                <w:color w:val="auto"/>
                <w:kern w:val="0"/>
                <w:sz w:val="24"/>
                <w:highlight w:val="none"/>
                <w:lang w:val="en-US" w:eastAsia="zh-CN"/>
              </w:rPr>
              <w:t>5</w:t>
            </w:r>
            <w:r>
              <w:rPr>
                <w:rFonts w:hint="eastAsia" w:ascii="仿宋" w:hAnsi="仿宋" w:eastAsia="仿宋" w:cs="仿宋"/>
                <w:color w:val="auto"/>
                <w:kern w:val="0"/>
                <w:sz w:val="24"/>
                <w:highlight w:val="none"/>
              </w:rPr>
              <w:t>年</w:t>
            </w:r>
            <w:r>
              <w:rPr>
                <w:rFonts w:hint="eastAsia" w:cs="仿宋"/>
                <w:color w:val="auto"/>
                <w:kern w:val="0"/>
                <w:sz w:val="24"/>
                <w:highlight w:val="none"/>
                <w:lang w:val="en-US" w:eastAsia="zh-CN"/>
              </w:rPr>
              <w:t>1</w:t>
            </w:r>
            <w:r>
              <w:rPr>
                <w:rFonts w:hint="eastAsia" w:ascii="仿宋" w:hAnsi="仿宋" w:eastAsia="仿宋" w:cs="仿宋"/>
                <w:color w:val="auto"/>
                <w:kern w:val="0"/>
                <w:sz w:val="24"/>
                <w:highlight w:val="none"/>
              </w:rPr>
              <w:t>月-</w:t>
            </w:r>
            <w:r>
              <w:rPr>
                <w:rFonts w:hint="eastAsia" w:cs="仿宋"/>
                <w:color w:val="auto"/>
                <w:kern w:val="0"/>
                <w:sz w:val="24"/>
                <w:highlight w:val="none"/>
                <w:lang w:val="en-US" w:eastAsia="zh-CN"/>
              </w:rPr>
              <w:t>3</w:t>
            </w:r>
            <w:r>
              <w:rPr>
                <w:rFonts w:hint="eastAsia" w:ascii="仿宋" w:hAnsi="仿宋" w:eastAsia="仿宋" w:cs="仿宋"/>
                <w:color w:val="auto"/>
                <w:kern w:val="0"/>
                <w:sz w:val="24"/>
                <w:highlight w:val="none"/>
              </w:rPr>
              <w:t>月）】若项目负责人或养护人员为退休人员可提供退休证明及返聘合同，否则不得分。</w:t>
            </w:r>
          </w:p>
        </w:tc>
        <w:tc>
          <w:tcPr>
            <w:tcW w:w="851" w:type="dxa"/>
            <w:noWrap/>
            <w:vAlign w:val="center"/>
          </w:tcPr>
          <w:p>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ind w:left="0" w:right="0"/>
              <w:jc w:val="center"/>
              <w:textAlignment w:val="auto"/>
              <w:rPr>
                <w:rFonts w:hint="default" w:ascii="仿宋" w:hAnsi="仿宋" w:eastAsia="仿宋" w:cs="仿宋"/>
                <w:color w:val="auto"/>
                <w:kern w:val="0"/>
                <w:sz w:val="24"/>
                <w:highlight w:val="none"/>
                <w:lang w:val="en-US"/>
              </w:rPr>
            </w:pPr>
            <w:r>
              <w:rPr>
                <w:rFonts w:hint="eastAsia" w:ascii="仿宋" w:hAnsi="仿宋" w:eastAsia="仿宋" w:cs="仿宋"/>
                <w:color w:val="auto"/>
                <w:kern w:val="0"/>
                <w:sz w:val="24"/>
                <w:highlight w:val="none"/>
                <w:lang w:val="en-US" w:eastAsia="zh-CN"/>
              </w:rPr>
              <w:t>0-8</w:t>
            </w:r>
          </w:p>
        </w:tc>
        <w:tc>
          <w:tcPr>
            <w:tcW w:w="942" w:type="dxa"/>
            <w:noWrap/>
            <w:vAlign w:val="center"/>
          </w:tcPr>
          <w:p>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ind w:left="0" w:right="0"/>
              <w:jc w:val="center"/>
              <w:textAlignment w:val="auto"/>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lang w:val="en-US" w:eastAsia="zh-CN"/>
              </w:rPr>
              <w:t>客观分</w:t>
            </w:r>
          </w:p>
        </w:tc>
      </w:tr>
    </w:tbl>
    <w:p>
      <w:pPr>
        <w:rPr>
          <w:rFonts w:hint="eastAsia" w:ascii="仿宋" w:hAnsi="仿宋" w:eastAsia="仿宋" w:cs="仿宋"/>
          <w:color w:val="auto"/>
          <w:sz w:val="10"/>
          <w:szCs w:val="10"/>
          <w:highlight w:val="none"/>
        </w:rPr>
      </w:pPr>
    </w:p>
    <w:p>
      <w:pPr>
        <w:rPr>
          <w:rFonts w:hint="eastAsia" w:ascii="仿宋" w:hAnsi="仿宋" w:eastAsia="仿宋" w:cs="仿宋"/>
          <w:color w:val="auto"/>
          <w:sz w:val="21"/>
          <w:szCs w:val="21"/>
          <w:highlight w:val="none"/>
        </w:rPr>
      </w:pPr>
      <w:r>
        <w:rPr>
          <w:rFonts w:hint="eastAsia" w:ascii="仿宋" w:hAnsi="仿宋" w:eastAsia="仿宋" w:cs="仿宋"/>
          <w:color w:val="auto"/>
          <w:sz w:val="22"/>
          <w:szCs w:val="22"/>
          <w:highlight w:val="none"/>
        </w:rPr>
        <w:t>2、技术部分（</w:t>
      </w:r>
      <w:r>
        <w:rPr>
          <w:rFonts w:hint="eastAsia" w:cs="仿宋"/>
          <w:color w:val="auto"/>
          <w:sz w:val="22"/>
          <w:szCs w:val="22"/>
          <w:highlight w:val="none"/>
          <w:lang w:val="en-US" w:eastAsia="zh-CN"/>
        </w:rPr>
        <w:t>75</w:t>
      </w:r>
      <w:r>
        <w:rPr>
          <w:rFonts w:hint="eastAsia" w:ascii="仿宋" w:hAnsi="仿宋" w:eastAsia="仿宋" w:cs="仿宋"/>
          <w:color w:val="auto"/>
          <w:sz w:val="22"/>
          <w:szCs w:val="22"/>
          <w:highlight w:val="none"/>
        </w:rPr>
        <w:t>分）</w:t>
      </w:r>
    </w:p>
    <w:tbl>
      <w:tblPr>
        <w:tblStyle w:val="26"/>
        <w:tblW w:w="9932"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19"/>
        <w:gridCol w:w="693"/>
        <w:gridCol w:w="693"/>
        <w:gridCol w:w="5954"/>
        <w:gridCol w:w="819"/>
        <w:gridCol w:w="95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819" w:type="dxa"/>
            <w:vMerge w:val="restart"/>
            <w:noWrap w:val="0"/>
            <w:vAlign w:val="center"/>
          </w:tcPr>
          <w:p>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技术分（75分）</w:t>
            </w:r>
          </w:p>
        </w:tc>
        <w:tc>
          <w:tcPr>
            <w:tcW w:w="693" w:type="dxa"/>
            <w:noWrap w:val="0"/>
            <w:vAlign w:val="center"/>
          </w:tcPr>
          <w:p>
            <w:pPr>
              <w:keepNext w:val="0"/>
              <w:keepLines w:val="0"/>
              <w:pageBreakBefore w:val="0"/>
              <w:widowControl/>
              <w:suppressLineNumbers w:val="0"/>
              <w:kinsoku/>
              <w:wordWrap/>
              <w:overflowPunct/>
              <w:topLinePunct w:val="0"/>
              <w:autoSpaceDE/>
              <w:autoSpaceDN/>
              <w:bidi w:val="0"/>
              <w:spacing w:before="0" w:beforeAutospacing="0" w:after="0" w:afterAutospacing="0" w:line="240" w:lineRule="auto"/>
              <w:ind w:left="0" w:right="0"/>
              <w:jc w:val="center"/>
              <w:textAlignment w:val="auto"/>
              <w:rPr>
                <w:rFonts w:hint="eastAsia" w:ascii="仿宋" w:hAnsi="仿宋" w:eastAsia="仿宋" w:cs="仿宋"/>
                <w:color w:val="auto"/>
                <w:kern w:val="0"/>
                <w:sz w:val="24"/>
                <w:szCs w:val="24"/>
                <w:highlight w:val="none"/>
                <w:lang w:val="en-US" w:eastAsia="zh-CN"/>
              </w:rPr>
            </w:pPr>
            <w:r>
              <w:rPr>
                <w:rFonts w:hint="eastAsia" w:ascii="仿宋" w:hAnsi="仿宋" w:eastAsia="仿宋" w:cs="仿宋"/>
                <w:color w:val="auto"/>
                <w:kern w:val="0"/>
                <w:sz w:val="24"/>
                <w:szCs w:val="24"/>
                <w:highlight w:val="none"/>
              </w:rPr>
              <w:t>序号</w:t>
            </w:r>
          </w:p>
        </w:tc>
        <w:tc>
          <w:tcPr>
            <w:tcW w:w="6647" w:type="dxa"/>
            <w:gridSpan w:val="2"/>
            <w:noWrap w:val="0"/>
            <w:vAlign w:val="center"/>
          </w:tcPr>
          <w:p>
            <w:pPr>
              <w:keepNext w:val="0"/>
              <w:keepLines w:val="0"/>
              <w:pageBreakBefore w:val="0"/>
              <w:widowControl/>
              <w:suppressLineNumbers w:val="0"/>
              <w:kinsoku/>
              <w:wordWrap/>
              <w:overflowPunct/>
              <w:topLinePunct w:val="0"/>
              <w:autoSpaceDE/>
              <w:autoSpaceDN/>
              <w:bidi w:val="0"/>
              <w:spacing w:before="0" w:beforeAutospacing="0" w:after="0" w:afterAutospacing="0" w:line="240" w:lineRule="auto"/>
              <w:ind w:left="0" w:right="0"/>
              <w:jc w:val="center"/>
              <w:textAlignment w:val="auto"/>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评分内容和标准</w:t>
            </w:r>
          </w:p>
        </w:tc>
        <w:tc>
          <w:tcPr>
            <w:tcW w:w="819" w:type="dxa"/>
            <w:noWrap w:val="0"/>
            <w:vAlign w:val="center"/>
          </w:tcPr>
          <w:p>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ind w:left="0" w:right="0"/>
              <w:jc w:val="center"/>
              <w:textAlignment w:val="auto"/>
              <w:rPr>
                <w:rFonts w:hint="eastAsia" w:ascii="仿宋" w:hAnsi="仿宋" w:eastAsia="仿宋" w:cs="仿宋"/>
                <w:color w:val="auto"/>
                <w:kern w:val="0"/>
                <w:sz w:val="24"/>
                <w:highlight w:val="none"/>
                <w:lang w:val="en-US" w:eastAsia="zh-CN"/>
              </w:rPr>
            </w:pPr>
            <w:r>
              <w:rPr>
                <w:rFonts w:hint="eastAsia" w:ascii="仿宋" w:hAnsi="仿宋" w:eastAsia="仿宋" w:cs="仿宋"/>
                <w:color w:val="auto"/>
                <w:kern w:val="0"/>
                <w:sz w:val="24"/>
                <w:highlight w:val="none"/>
                <w:lang w:val="en-US" w:eastAsia="zh-CN"/>
              </w:rPr>
              <w:t>分值</w:t>
            </w:r>
          </w:p>
          <w:p>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ind w:left="0" w:right="0"/>
              <w:jc w:val="center"/>
              <w:textAlignment w:val="auto"/>
              <w:rPr>
                <w:rFonts w:hint="eastAsia" w:ascii="仿宋" w:hAnsi="仿宋" w:eastAsia="仿宋" w:cs="仿宋"/>
                <w:color w:val="auto"/>
                <w:kern w:val="0"/>
                <w:sz w:val="24"/>
                <w:highlight w:val="none"/>
                <w:lang w:val="en-US" w:eastAsia="zh-CN"/>
              </w:rPr>
            </w:pPr>
            <w:r>
              <w:rPr>
                <w:rFonts w:hint="eastAsia" w:ascii="仿宋" w:hAnsi="仿宋" w:eastAsia="仿宋" w:cs="仿宋"/>
                <w:color w:val="auto"/>
                <w:kern w:val="0"/>
                <w:sz w:val="24"/>
                <w:highlight w:val="none"/>
                <w:lang w:val="en-US" w:eastAsia="zh-CN"/>
              </w:rPr>
              <w:t>区间</w:t>
            </w:r>
          </w:p>
        </w:tc>
        <w:tc>
          <w:tcPr>
            <w:tcW w:w="954" w:type="dxa"/>
            <w:noWrap w:val="0"/>
            <w:vAlign w:val="center"/>
          </w:tcPr>
          <w:p>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ind w:left="0" w:right="0"/>
              <w:jc w:val="center"/>
              <w:textAlignment w:val="auto"/>
              <w:rPr>
                <w:rFonts w:hint="eastAsia" w:ascii="仿宋" w:hAnsi="仿宋" w:eastAsia="仿宋" w:cs="仿宋"/>
                <w:color w:val="auto"/>
                <w:kern w:val="0"/>
                <w:sz w:val="24"/>
                <w:highlight w:val="none"/>
                <w:lang w:val="en-US" w:eastAsia="zh-CN"/>
              </w:rPr>
            </w:pPr>
            <w:r>
              <w:rPr>
                <w:rFonts w:hint="eastAsia" w:ascii="仿宋" w:hAnsi="仿宋" w:eastAsia="仿宋" w:cs="仿宋"/>
                <w:color w:val="auto"/>
                <w:kern w:val="0"/>
                <w:sz w:val="24"/>
                <w:highlight w:val="none"/>
                <w:lang w:val="en-US" w:eastAsia="zh-CN"/>
              </w:rPr>
              <w:t>主观客观分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12" w:hRule="atLeast"/>
          <w:jc w:val="center"/>
        </w:trPr>
        <w:tc>
          <w:tcPr>
            <w:tcW w:w="819" w:type="dxa"/>
            <w:vMerge w:val="continue"/>
            <w:noWrap w:val="0"/>
            <w:vAlign w:val="center"/>
          </w:tcPr>
          <w:p>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textAlignment w:val="auto"/>
              <w:rPr>
                <w:rFonts w:hint="eastAsia" w:ascii="仿宋" w:hAnsi="仿宋" w:eastAsia="仿宋" w:cs="仿宋"/>
                <w:color w:val="auto"/>
                <w:sz w:val="24"/>
                <w:highlight w:val="none"/>
                <w:lang w:val="en-US" w:eastAsia="zh-CN"/>
              </w:rPr>
            </w:pPr>
          </w:p>
        </w:tc>
        <w:tc>
          <w:tcPr>
            <w:tcW w:w="693" w:type="dxa"/>
            <w:noWrap w:val="0"/>
            <w:vAlign w:val="center"/>
          </w:tcPr>
          <w:p>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400" w:lineRule="exact"/>
              <w:ind w:left="0" w:right="0"/>
              <w:jc w:val="center"/>
              <w:textAlignment w:val="auto"/>
              <w:rPr>
                <w:rFonts w:hint="default" w:ascii="仿宋" w:hAnsi="仿宋" w:eastAsia="仿宋" w:cs="仿宋"/>
                <w:color w:val="auto"/>
                <w:sz w:val="24"/>
                <w:highlight w:val="none"/>
                <w:lang w:val="en-US" w:eastAsia="zh-CN"/>
              </w:rPr>
            </w:pPr>
            <w:r>
              <w:rPr>
                <w:rFonts w:hint="eastAsia" w:cs="仿宋"/>
                <w:color w:val="auto"/>
                <w:sz w:val="24"/>
                <w:highlight w:val="none"/>
                <w:lang w:val="en-US" w:eastAsia="zh-CN"/>
              </w:rPr>
              <w:t>4</w:t>
            </w:r>
          </w:p>
        </w:tc>
        <w:tc>
          <w:tcPr>
            <w:tcW w:w="693" w:type="dxa"/>
            <w:vMerge w:val="restart"/>
            <w:noWrap w:val="0"/>
            <w:vAlign w:val="center"/>
          </w:tcPr>
          <w:p>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jc w:val="center"/>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实施方案</w:t>
            </w:r>
          </w:p>
        </w:tc>
        <w:tc>
          <w:tcPr>
            <w:tcW w:w="5954" w:type="dxa"/>
            <w:noWrap w:val="0"/>
            <w:vAlign w:val="center"/>
          </w:tcPr>
          <w:p>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ind w:left="0" w:right="0"/>
              <w:jc w:val="left"/>
              <w:textAlignment w:val="auto"/>
              <w:rPr>
                <w:rFonts w:hint="eastAsia" w:ascii="仿宋" w:hAnsi="仿宋" w:eastAsia="仿宋" w:cs="仿宋"/>
                <w:color w:val="auto"/>
                <w:kern w:val="0"/>
                <w:sz w:val="24"/>
                <w:highlight w:val="none"/>
                <w:lang w:eastAsia="zh-CN"/>
              </w:rPr>
            </w:pPr>
            <w:r>
              <w:rPr>
                <w:rFonts w:hint="eastAsia" w:ascii="仿宋" w:hAnsi="仿宋" w:eastAsia="仿宋" w:cs="仿宋"/>
                <w:color w:val="auto"/>
                <w:kern w:val="0"/>
                <w:sz w:val="24"/>
                <w:highlight w:val="none"/>
              </w:rPr>
              <w:t>实施方案是否先进</w:t>
            </w:r>
            <w:r>
              <w:rPr>
                <w:rFonts w:hint="eastAsia" w:ascii="仿宋" w:hAnsi="仿宋" w:eastAsia="仿宋" w:cs="仿宋"/>
                <w:color w:val="auto"/>
                <w:kern w:val="0"/>
                <w:sz w:val="24"/>
                <w:highlight w:val="none"/>
                <w:lang w:val="en-US" w:eastAsia="zh-CN"/>
              </w:rPr>
              <w:t>进行综合评定</w:t>
            </w:r>
            <w:r>
              <w:rPr>
                <w:rFonts w:hint="eastAsia" w:ascii="仿宋" w:hAnsi="仿宋" w:eastAsia="仿宋" w:cs="仿宋"/>
                <w:color w:val="auto"/>
                <w:kern w:val="0"/>
                <w:sz w:val="24"/>
                <w:highlight w:val="none"/>
                <w:lang w:eastAsia="zh-CN"/>
              </w:rPr>
              <w:t>，</w:t>
            </w:r>
            <w:r>
              <w:rPr>
                <w:rFonts w:hint="eastAsia" w:ascii="仿宋" w:hAnsi="仿宋" w:eastAsia="仿宋" w:cs="仿宋"/>
                <w:color w:val="auto"/>
                <w:kern w:val="2"/>
                <w:sz w:val="24"/>
                <w:szCs w:val="24"/>
                <w:highlight w:val="none"/>
                <w:lang w:val="en-US" w:eastAsia="zh-CN" w:bidi="ar-SA"/>
              </w:rPr>
              <w:t>（方案内容完整且与项目匹配度好的得5分；方案内容基本完整且与项目匹配度较好的得3分；方案内容存在欠缺或与项目匹配度一般的得2分；方案内容与项目匹配度较差的得1分；方案内容缺失严重或与项目不匹配的不得分。）</w:t>
            </w:r>
          </w:p>
        </w:tc>
        <w:tc>
          <w:tcPr>
            <w:tcW w:w="819" w:type="dxa"/>
            <w:noWrap w:val="0"/>
            <w:vAlign w:val="center"/>
          </w:tcPr>
          <w:p>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ind w:left="0" w:right="0"/>
              <w:jc w:val="center"/>
              <w:textAlignment w:val="auto"/>
              <w:rPr>
                <w:rFonts w:hint="eastAsia" w:ascii="仿宋" w:hAnsi="仿宋" w:eastAsia="仿宋" w:cs="仿宋"/>
                <w:color w:val="auto"/>
                <w:kern w:val="0"/>
                <w:sz w:val="24"/>
                <w:highlight w:val="none"/>
                <w:lang w:val="en-US" w:eastAsia="zh-CN"/>
              </w:rPr>
            </w:pPr>
            <w:r>
              <w:rPr>
                <w:rFonts w:hint="eastAsia" w:ascii="仿宋" w:hAnsi="仿宋" w:eastAsia="仿宋" w:cs="仿宋"/>
                <w:color w:val="auto"/>
                <w:kern w:val="0"/>
                <w:sz w:val="24"/>
                <w:highlight w:val="none"/>
                <w:lang w:val="en-US" w:eastAsia="zh-CN"/>
              </w:rPr>
              <w:t>0-5</w:t>
            </w:r>
          </w:p>
        </w:tc>
        <w:tc>
          <w:tcPr>
            <w:tcW w:w="954" w:type="dxa"/>
            <w:noWrap w:val="0"/>
            <w:vAlign w:val="center"/>
          </w:tcPr>
          <w:p>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ind w:left="0" w:right="0"/>
              <w:jc w:val="center"/>
              <w:textAlignment w:val="auto"/>
              <w:rPr>
                <w:rFonts w:hint="eastAsia" w:ascii="仿宋" w:hAnsi="仿宋" w:eastAsia="仿宋" w:cs="仿宋"/>
                <w:color w:val="auto"/>
                <w:kern w:val="0"/>
                <w:sz w:val="24"/>
                <w:highlight w:val="none"/>
                <w:lang w:val="en-US" w:eastAsia="zh-CN"/>
              </w:rPr>
            </w:pPr>
            <w:r>
              <w:rPr>
                <w:rFonts w:hint="eastAsia" w:ascii="仿宋" w:hAnsi="仿宋" w:eastAsia="仿宋" w:cs="仿宋"/>
                <w:color w:val="auto"/>
                <w:kern w:val="0"/>
                <w:sz w:val="24"/>
                <w:highlight w:val="none"/>
                <w:lang w:val="en-US" w:eastAsia="zh-CN"/>
              </w:rPr>
              <w:t>主观分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7" w:hRule="atLeast"/>
          <w:jc w:val="center"/>
        </w:trPr>
        <w:tc>
          <w:tcPr>
            <w:tcW w:w="819" w:type="dxa"/>
            <w:vMerge w:val="continue"/>
            <w:noWrap w:val="0"/>
            <w:vAlign w:val="center"/>
          </w:tcPr>
          <w:p>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textAlignment w:val="auto"/>
              <w:rPr>
                <w:rFonts w:hint="eastAsia" w:ascii="仿宋" w:hAnsi="仿宋" w:eastAsia="仿宋" w:cs="仿宋"/>
                <w:color w:val="auto"/>
                <w:sz w:val="24"/>
                <w:highlight w:val="none"/>
                <w:lang w:val="en-US" w:eastAsia="zh-CN"/>
              </w:rPr>
            </w:pPr>
          </w:p>
        </w:tc>
        <w:tc>
          <w:tcPr>
            <w:tcW w:w="693" w:type="dxa"/>
            <w:noWrap w:val="0"/>
            <w:vAlign w:val="center"/>
          </w:tcPr>
          <w:p>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400" w:lineRule="exact"/>
              <w:ind w:left="0" w:right="0"/>
              <w:jc w:val="center"/>
              <w:textAlignment w:val="auto"/>
              <w:rPr>
                <w:rFonts w:hint="default" w:ascii="仿宋" w:hAnsi="仿宋" w:eastAsia="仿宋" w:cs="仿宋"/>
                <w:color w:val="auto"/>
                <w:sz w:val="24"/>
                <w:highlight w:val="none"/>
                <w:lang w:val="en-US" w:eastAsia="zh-CN"/>
              </w:rPr>
            </w:pPr>
            <w:r>
              <w:rPr>
                <w:rFonts w:hint="eastAsia" w:cs="仿宋"/>
                <w:color w:val="auto"/>
                <w:sz w:val="24"/>
                <w:highlight w:val="none"/>
                <w:lang w:val="en-US" w:eastAsia="zh-CN"/>
              </w:rPr>
              <w:t>5</w:t>
            </w:r>
          </w:p>
        </w:tc>
        <w:tc>
          <w:tcPr>
            <w:tcW w:w="693" w:type="dxa"/>
            <w:vMerge w:val="continue"/>
            <w:noWrap w:val="0"/>
            <w:vAlign w:val="center"/>
          </w:tcPr>
          <w:p>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jc w:val="center"/>
              <w:textAlignment w:val="auto"/>
              <w:rPr>
                <w:rFonts w:hint="eastAsia" w:ascii="仿宋" w:hAnsi="仿宋" w:eastAsia="仿宋" w:cs="仿宋"/>
                <w:color w:val="auto"/>
                <w:sz w:val="24"/>
                <w:highlight w:val="none"/>
                <w:lang w:val="en-US" w:eastAsia="zh-CN"/>
              </w:rPr>
            </w:pPr>
          </w:p>
        </w:tc>
        <w:tc>
          <w:tcPr>
            <w:tcW w:w="5954" w:type="dxa"/>
            <w:noWrap w:val="0"/>
            <w:vAlign w:val="center"/>
          </w:tcPr>
          <w:p>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ind w:left="0" w:right="0"/>
              <w:jc w:val="left"/>
              <w:textAlignment w:val="auto"/>
              <w:rPr>
                <w:rFonts w:hint="eastAsia" w:ascii="仿宋" w:hAnsi="仿宋" w:eastAsia="仿宋" w:cs="仿宋"/>
                <w:color w:val="auto"/>
                <w:kern w:val="0"/>
                <w:sz w:val="24"/>
                <w:highlight w:val="none"/>
                <w:lang w:val="en-US" w:eastAsia="zh-CN"/>
              </w:rPr>
            </w:pPr>
            <w:r>
              <w:rPr>
                <w:rFonts w:hint="eastAsia" w:ascii="仿宋" w:hAnsi="仿宋" w:eastAsia="仿宋" w:cs="仿宋"/>
                <w:color w:val="auto"/>
                <w:kern w:val="0"/>
                <w:sz w:val="24"/>
                <w:highlight w:val="none"/>
              </w:rPr>
              <w:t>实施方案是否</w:t>
            </w:r>
            <w:r>
              <w:rPr>
                <w:rFonts w:hint="eastAsia" w:ascii="仿宋" w:hAnsi="仿宋" w:eastAsia="仿宋" w:cs="仿宋"/>
                <w:color w:val="auto"/>
                <w:kern w:val="0"/>
                <w:sz w:val="24"/>
                <w:highlight w:val="none"/>
                <w:lang w:val="en-US" w:eastAsia="zh-CN"/>
              </w:rPr>
              <w:t>合理进行综合评定，</w:t>
            </w:r>
            <w:r>
              <w:rPr>
                <w:rFonts w:hint="eastAsia" w:ascii="仿宋" w:hAnsi="仿宋" w:eastAsia="仿宋" w:cs="仿宋"/>
                <w:color w:val="auto"/>
                <w:kern w:val="2"/>
                <w:sz w:val="24"/>
                <w:szCs w:val="24"/>
                <w:highlight w:val="none"/>
                <w:lang w:val="en-US" w:eastAsia="zh-CN" w:bidi="ar-SA"/>
              </w:rPr>
              <w:t>（方案内容完整且与项目匹配度好的得5分；方案内容基本完整且与项目匹配度较好的得3分；方案内容存在欠缺或与项目匹配度一般的得2分；方案内容与项目匹配度较差的得1分；方案内容缺失严重或与项目不匹配的不得分。）</w:t>
            </w:r>
          </w:p>
        </w:tc>
        <w:tc>
          <w:tcPr>
            <w:tcW w:w="819" w:type="dxa"/>
            <w:noWrap w:val="0"/>
            <w:vAlign w:val="center"/>
          </w:tcPr>
          <w:p>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ind w:left="0" w:right="0"/>
              <w:jc w:val="center"/>
              <w:textAlignment w:val="auto"/>
              <w:rPr>
                <w:rFonts w:hint="eastAsia" w:ascii="仿宋" w:hAnsi="仿宋" w:eastAsia="仿宋" w:cs="仿宋"/>
                <w:color w:val="auto"/>
                <w:kern w:val="0"/>
                <w:sz w:val="24"/>
                <w:highlight w:val="none"/>
                <w:lang w:val="en-US" w:eastAsia="zh-CN"/>
              </w:rPr>
            </w:pPr>
            <w:r>
              <w:rPr>
                <w:rFonts w:hint="eastAsia" w:ascii="仿宋" w:hAnsi="仿宋" w:eastAsia="仿宋" w:cs="仿宋"/>
                <w:color w:val="auto"/>
                <w:kern w:val="0"/>
                <w:sz w:val="24"/>
                <w:highlight w:val="none"/>
                <w:lang w:val="en-US" w:eastAsia="zh-CN"/>
              </w:rPr>
              <w:t>0-5</w:t>
            </w:r>
          </w:p>
        </w:tc>
        <w:tc>
          <w:tcPr>
            <w:tcW w:w="954" w:type="dxa"/>
            <w:noWrap w:val="0"/>
            <w:vAlign w:val="center"/>
          </w:tcPr>
          <w:p>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ind w:left="0" w:right="0"/>
              <w:jc w:val="center"/>
              <w:textAlignment w:val="auto"/>
              <w:rPr>
                <w:rFonts w:hint="eastAsia" w:ascii="仿宋" w:hAnsi="仿宋" w:eastAsia="仿宋" w:cs="仿宋"/>
                <w:color w:val="auto"/>
                <w:kern w:val="0"/>
                <w:sz w:val="24"/>
                <w:highlight w:val="none"/>
                <w:lang w:val="en-US" w:eastAsia="zh-CN"/>
              </w:rPr>
            </w:pPr>
            <w:r>
              <w:rPr>
                <w:rFonts w:hint="eastAsia" w:ascii="仿宋" w:hAnsi="仿宋" w:eastAsia="仿宋" w:cs="仿宋"/>
                <w:color w:val="auto"/>
                <w:kern w:val="0"/>
                <w:sz w:val="24"/>
                <w:highlight w:val="none"/>
                <w:lang w:val="en-US" w:eastAsia="zh-CN"/>
              </w:rPr>
              <w:t>主观分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819" w:type="dxa"/>
            <w:vMerge w:val="continue"/>
            <w:noWrap w:val="0"/>
            <w:vAlign w:val="center"/>
          </w:tcPr>
          <w:p>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textAlignment w:val="auto"/>
              <w:rPr>
                <w:rFonts w:hint="eastAsia" w:ascii="仿宋" w:hAnsi="仿宋" w:eastAsia="仿宋" w:cs="仿宋"/>
                <w:color w:val="auto"/>
                <w:sz w:val="24"/>
                <w:highlight w:val="none"/>
              </w:rPr>
            </w:pPr>
          </w:p>
        </w:tc>
        <w:tc>
          <w:tcPr>
            <w:tcW w:w="693" w:type="dxa"/>
            <w:noWrap w:val="0"/>
            <w:vAlign w:val="center"/>
          </w:tcPr>
          <w:p>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400" w:lineRule="exact"/>
              <w:ind w:left="0" w:right="0"/>
              <w:jc w:val="center"/>
              <w:textAlignment w:val="auto"/>
              <w:rPr>
                <w:rFonts w:hint="default" w:ascii="仿宋" w:hAnsi="仿宋" w:eastAsia="仿宋" w:cs="仿宋"/>
                <w:color w:val="auto"/>
                <w:sz w:val="24"/>
                <w:highlight w:val="none"/>
                <w:lang w:val="en-US" w:eastAsia="zh-CN"/>
              </w:rPr>
            </w:pPr>
            <w:r>
              <w:rPr>
                <w:rFonts w:hint="eastAsia" w:cs="仿宋"/>
                <w:color w:val="auto"/>
                <w:sz w:val="24"/>
                <w:highlight w:val="none"/>
                <w:lang w:val="en-US" w:eastAsia="zh-CN"/>
              </w:rPr>
              <w:t>6</w:t>
            </w:r>
          </w:p>
        </w:tc>
        <w:tc>
          <w:tcPr>
            <w:tcW w:w="693" w:type="dxa"/>
            <w:vMerge w:val="continue"/>
            <w:noWrap w:val="0"/>
            <w:vAlign w:val="center"/>
          </w:tcPr>
          <w:p>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jc w:val="center"/>
              <w:textAlignment w:val="auto"/>
              <w:rPr>
                <w:rFonts w:hint="eastAsia" w:ascii="仿宋" w:hAnsi="仿宋" w:eastAsia="仿宋" w:cs="仿宋"/>
                <w:color w:val="auto"/>
                <w:sz w:val="24"/>
                <w:highlight w:val="none"/>
                <w:lang w:val="en-US" w:eastAsia="zh-CN"/>
              </w:rPr>
            </w:pPr>
          </w:p>
        </w:tc>
        <w:tc>
          <w:tcPr>
            <w:tcW w:w="5954" w:type="dxa"/>
            <w:noWrap w:val="0"/>
            <w:vAlign w:val="center"/>
          </w:tcPr>
          <w:p>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ind w:left="0" w:right="0"/>
              <w:jc w:val="left"/>
              <w:textAlignment w:val="auto"/>
              <w:rPr>
                <w:rFonts w:hint="eastAsia" w:ascii="仿宋" w:hAnsi="仿宋" w:eastAsia="仿宋" w:cs="仿宋"/>
                <w:color w:val="auto"/>
                <w:kern w:val="0"/>
                <w:sz w:val="24"/>
                <w:highlight w:val="none"/>
                <w:lang w:val="en-US" w:eastAsia="zh-CN"/>
              </w:rPr>
            </w:pPr>
            <w:r>
              <w:rPr>
                <w:rFonts w:hint="eastAsia" w:ascii="仿宋" w:hAnsi="仿宋" w:eastAsia="仿宋" w:cs="仿宋"/>
                <w:color w:val="auto"/>
                <w:kern w:val="0"/>
                <w:sz w:val="24"/>
                <w:highlight w:val="none"/>
              </w:rPr>
              <w:t>实施方案是否</w:t>
            </w:r>
            <w:r>
              <w:rPr>
                <w:rFonts w:hint="eastAsia" w:ascii="仿宋" w:hAnsi="仿宋" w:eastAsia="仿宋" w:cs="仿宋"/>
                <w:color w:val="auto"/>
                <w:kern w:val="0"/>
                <w:sz w:val="24"/>
                <w:highlight w:val="none"/>
                <w:lang w:val="en-US" w:eastAsia="zh-CN"/>
              </w:rPr>
              <w:t>完整进行综合评定，</w:t>
            </w:r>
            <w:r>
              <w:rPr>
                <w:rFonts w:hint="eastAsia" w:ascii="仿宋" w:hAnsi="仿宋" w:eastAsia="仿宋" w:cs="仿宋"/>
                <w:color w:val="auto"/>
                <w:kern w:val="2"/>
                <w:sz w:val="24"/>
                <w:szCs w:val="24"/>
                <w:highlight w:val="none"/>
                <w:lang w:val="en-US" w:eastAsia="zh-CN" w:bidi="ar-SA"/>
              </w:rPr>
              <w:t>（方案内容完整且与项目匹配度好的得5分；方案内容基本完整且与项目匹配度较好的得3分；方案内容存在欠缺或与项目匹配度一般的得2分；方案内容与项目匹配度较差的得1分；方案内容缺失严重或与项目不匹配的不得分。）</w:t>
            </w:r>
          </w:p>
        </w:tc>
        <w:tc>
          <w:tcPr>
            <w:tcW w:w="819" w:type="dxa"/>
            <w:noWrap w:val="0"/>
            <w:vAlign w:val="center"/>
          </w:tcPr>
          <w:p>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ind w:left="0" w:right="0"/>
              <w:jc w:val="center"/>
              <w:textAlignment w:val="auto"/>
              <w:rPr>
                <w:rFonts w:hint="eastAsia" w:ascii="仿宋" w:hAnsi="仿宋" w:eastAsia="仿宋" w:cs="仿宋"/>
                <w:color w:val="auto"/>
                <w:kern w:val="0"/>
                <w:sz w:val="24"/>
                <w:highlight w:val="none"/>
                <w:lang w:val="en-US" w:eastAsia="zh-CN"/>
              </w:rPr>
            </w:pPr>
            <w:r>
              <w:rPr>
                <w:rFonts w:hint="eastAsia" w:ascii="仿宋" w:hAnsi="仿宋" w:eastAsia="仿宋" w:cs="仿宋"/>
                <w:color w:val="auto"/>
                <w:kern w:val="0"/>
                <w:sz w:val="24"/>
                <w:highlight w:val="none"/>
                <w:lang w:val="en-US" w:eastAsia="zh-CN"/>
              </w:rPr>
              <w:t>0-5</w:t>
            </w:r>
          </w:p>
        </w:tc>
        <w:tc>
          <w:tcPr>
            <w:tcW w:w="954" w:type="dxa"/>
            <w:noWrap w:val="0"/>
            <w:vAlign w:val="center"/>
          </w:tcPr>
          <w:p>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ind w:left="0" w:right="0"/>
              <w:jc w:val="center"/>
              <w:textAlignment w:val="auto"/>
              <w:rPr>
                <w:rFonts w:hint="eastAsia" w:ascii="仿宋" w:hAnsi="仿宋" w:eastAsia="仿宋" w:cs="仿宋"/>
                <w:color w:val="auto"/>
                <w:kern w:val="0"/>
                <w:sz w:val="24"/>
                <w:highlight w:val="none"/>
                <w:lang w:val="en-US" w:eastAsia="zh-CN"/>
              </w:rPr>
            </w:pPr>
            <w:r>
              <w:rPr>
                <w:rFonts w:hint="eastAsia" w:ascii="仿宋" w:hAnsi="仿宋" w:eastAsia="仿宋" w:cs="仿宋"/>
                <w:color w:val="auto"/>
                <w:kern w:val="0"/>
                <w:sz w:val="24"/>
                <w:highlight w:val="none"/>
                <w:lang w:val="en-US" w:eastAsia="zh-CN"/>
              </w:rPr>
              <w:t>主观分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04" w:hRule="atLeast"/>
          <w:jc w:val="center"/>
        </w:trPr>
        <w:tc>
          <w:tcPr>
            <w:tcW w:w="819" w:type="dxa"/>
            <w:vMerge w:val="continue"/>
            <w:noWrap w:val="0"/>
            <w:vAlign w:val="center"/>
          </w:tcPr>
          <w:p>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textAlignment w:val="auto"/>
              <w:rPr>
                <w:rFonts w:hint="eastAsia" w:ascii="仿宋" w:hAnsi="仿宋" w:eastAsia="仿宋" w:cs="仿宋"/>
                <w:color w:val="auto"/>
                <w:sz w:val="24"/>
                <w:highlight w:val="none"/>
              </w:rPr>
            </w:pPr>
          </w:p>
        </w:tc>
        <w:tc>
          <w:tcPr>
            <w:tcW w:w="693" w:type="dxa"/>
            <w:noWrap w:val="0"/>
            <w:vAlign w:val="center"/>
          </w:tcPr>
          <w:p>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400" w:lineRule="exact"/>
              <w:ind w:left="0" w:right="0"/>
              <w:jc w:val="center"/>
              <w:textAlignment w:val="auto"/>
              <w:rPr>
                <w:rFonts w:hint="default" w:ascii="仿宋" w:hAnsi="仿宋" w:eastAsia="仿宋" w:cs="仿宋"/>
                <w:color w:val="auto"/>
                <w:sz w:val="24"/>
                <w:highlight w:val="none"/>
                <w:lang w:val="en-US" w:eastAsia="zh-CN"/>
              </w:rPr>
            </w:pPr>
            <w:r>
              <w:rPr>
                <w:rFonts w:hint="eastAsia" w:cs="仿宋"/>
                <w:color w:val="auto"/>
                <w:sz w:val="24"/>
                <w:highlight w:val="none"/>
                <w:lang w:val="en-US" w:eastAsia="zh-CN"/>
              </w:rPr>
              <w:t>7</w:t>
            </w:r>
          </w:p>
        </w:tc>
        <w:tc>
          <w:tcPr>
            <w:tcW w:w="693" w:type="dxa"/>
            <w:vMerge w:val="restart"/>
            <w:noWrap w:val="0"/>
            <w:vAlign w:val="center"/>
          </w:tcPr>
          <w:p>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jc w:val="center"/>
              <w:textAlignment w:val="auto"/>
              <w:rPr>
                <w:rFonts w:hint="default" w:ascii="仿宋" w:hAnsi="仿宋" w:eastAsia="仿宋" w:cs="仿宋"/>
                <w:color w:val="auto"/>
                <w:sz w:val="24"/>
                <w:highlight w:val="none"/>
                <w:lang w:val="en-US" w:eastAsia="zh-CN"/>
              </w:rPr>
            </w:pPr>
          </w:p>
          <w:p>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jc w:val="center"/>
              <w:textAlignment w:val="auto"/>
              <w:rPr>
                <w:rFonts w:hint="default" w:ascii="仿宋" w:hAnsi="仿宋" w:eastAsia="仿宋" w:cs="仿宋"/>
                <w:color w:val="auto"/>
                <w:sz w:val="24"/>
                <w:highlight w:val="none"/>
                <w:lang w:val="en-US" w:eastAsia="zh-CN"/>
              </w:rPr>
            </w:pPr>
          </w:p>
          <w:p>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jc w:val="center"/>
              <w:textAlignment w:val="auto"/>
              <w:rPr>
                <w:rFonts w:hint="default" w:ascii="仿宋" w:hAnsi="仿宋" w:eastAsia="仿宋" w:cs="仿宋"/>
                <w:color w:val="auto"/>
                <w:sz w:val="24"/>
                <w:highlight w:val="none"/>
                <w:lang w:val="en-US" w:eastAsia="zh-CN"/>
              </w:rPr>
            </w:pPr>
          </w:p>
          <w:p>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jc w:val="center"/>
              <w:textAlignment w:val="auto"/>
              <w:rPr>
                <w:rFonts w:hint="default" w:ascii="仿宋" w:hAnsi="仿宋" w:eastAsia="仿宋" w:cs="仿宋"/>
                <w:color w:val="auto"/>
                <w:sz w:val="24"/>
                <w:highlight w:val="none"/>
                <w:lang w:val="en-US" w:eastAsia="zh-CN"/>
              </w:rPr>
            </w:pPr>
          </w:p>
          <w:p>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jc w:val="center"/>
              <w:textAlignment w:val="auto"/>
              <w:rPr>
                <w:rFonts w:hint="default"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技术方案</w:t>
            </w:r>
          </w:p>
          <w:p>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jc w:val="center"/>
              <w:textAlignment w:val="auto"/>
              <w:rPr>
                <w:rFonts w:hint="eastAsia" w:ascii="仿宋" w:hAnsi="仿宋" w:eastAsia="仿宋" w:cs="仿宋"/>
                <w:color w:val="auto"/>
                <w:sz w:val="24"/>
                <w:highlight w:val="none"/>
                <w:lang w:val="en-US" w:eastAsia="zh-CN"/>
              </w:rPr>
            </w:pPr>
          </w:p>
          <w:p>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jc w:val="center"/>
              <w:textAlignment w:val="auto"/>
              <w:rPr>
                <w:rFonts w:hint="default" w:ascii="仿宋" w:hAnsi="仿宋" w:eastAsia="仿宋" w:cs="仿宋"/>
                <w:color w:val="auto"/>
                <w:sz w:val="24"/>
                <w:highlight w:val="none"/>
                <w:lang w:val="en-US" w:eastAsia="zh-CN"/>
              </w:rPr>
            </w:pPr>
          </w:p>
          <w:p>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jc w:val="center"/>
              <w:textAlignment w:val="auto"/>
              <w:rPr>
                <w:rFonts w:hint="default" w:ascii="仿宋" w:hAnsi="仿宋" w:eastAsia="仿宋" w:cs="仿宋"/>
                <w:color w:val="auto"/>
                <w:sz w:val="24"/>
                <w:highlight w:val="none"/>
                <w:lang w:val="en-US" w:eastAsia="zh-CN"/>
              </w:rPr>
            </w:pPr>
          </w:p>
        </w:tc>
        <w:tc>
          <w:tcPr>
            <w:tcW w:w="5954" w:type="dxa"/>
            <w:noWrap w:val="0"/>
            <w:vAlign w:val="center"/>
          </w:tcPr>
          <w:p>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ind w:left="0" w:right="0"/>
              <w:jc w:val="left"/>
              <w:textAlignment w:val="auto"/>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对本项目所涉及到的实际情况的了解程度进行综合评</w:t>
            </w:r>
            <w:r>
              <w:rPr>
                <w:rFonts w:hint="eastAsia" w:ascii="仿宋" w:hAnsi="仿宋" w:eastAsia="仿宋" w:cs="仿宋"/>
                <w:color w:val="auto"/>
                <w:kern w:val="0"/>
                <w:sz w:val="24"/>
                <w:highlight w:val="none"/>
                <w:lang w:val="en-US" w:eastAsia="zh-CN"/>
              </w:rPr>
              <w:t>定</w:t>
            </w:r>
            <w:r>
              <w:rPr>
                <w:rFonts w:hint="eastAsia" w:ascii="仿宋" w:hAnsi="仿宋" w:eastAsia="仿宋" w:cs="仿宋"/>
                <w:color w:val="auto"/>
                <w:kern w:val="0"/>
                <w:sz w:val="24"/>
                <w:highlight w:val="none"/>
              </w:rPr>
              <w:t>。</w:t>
            </w:r>
          </w:p>
          <w:p>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ind w:left="0" w:right="0"/>
              <w:jc w:val="left"/>
              <w:textAlignment w:val="auto"/>
              <w:rPr>
                <w:rFonts w:hint="eastAsia" w:ascii="仿宋" w:hAnsi="仿宋" w:eastAsia="仿宋" w:cs="仿宋"/>
                <w:color w:val="auto"/>
                <w:kern w:val="0"/>
                <w:sz w:val="24"/>
                <w:highlight w:val="none"/>
                <w:lang w:val="en-US" w:eastAsia="zh-CN"/>
              </w:rPr>
            </w:pPr>
            <w:r>
              <w:rPr>
                <w:rFonts w:hint="eastAsia" w:ascii="仿宋" w:hAnsi="仿宋" w:eastAsia="仿宋" w:cs="仿宋"/>
                <w:color w:val="auto"/>
                <w:kern w:val="2"/>
                <w:sz w:val="24"/>
                <w:szCs w:val="24"/>
                <w:highlight w:val="none"/>
                <w:lang w:val="en-US" w:eastAsia="zh-CN" w:bidi="ar-SA"/>
              </w:rPr>
              <w:t>（方案内容完整且与项目匹配度好的得5分；方案内容基本完整且与项目匹配度较好的得3分；方案内容存在欠缺或与项目匹配度一般的得2分；方案内容与项目匹配度较差的得1分；方案内容缺失严重或与项目不匹配的不得分。）</w:t>
            </w:r>
          </w:p>
        </w:tc>
        <w:tc>
          <w:tcPr>
            <w:tcW w:w="819" w:type="dxa"/>
            <w:noWrap w:val="0"/>
            <w:vAlign w:val="center"/>
          </w:tcPr>
          <w:p>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ind w:left="0" w:right="0"/>
              <w:jc w:val="center"/>
              <w:textAlignment w:val="auto"/>
              <w:rPr>
                <w:rFonts w:hint="eastAsia" w:ascii="仿宋" w:hAnsi="仿宋" w:eastAsia="仿宋" w:cs="仿宋"/>
                <w:color w:val="auto"/>
                <w:kern w:val="0"/>
                <w:sz w:val="24"/>
                <w:highlight w:val="none"/>
                <w:lang w:val="en-US" w:eastAsia="zh-CN"/>
              </w:rPr>
            </w:pPr>
            <w:r>
              <w:rPr>
                <w:rFonts w:hint="eastAsia" w:ascii="仿宋" w:hAnsi="仿宋" w:eastAsia="仿宋" w:cs="仿宋"/>
                <w:color w:val="auto"/>
                <w:kern w:val="0"/>
                <w:sz w:val="24"/>
                <w:highlight w:val="none"/>
                <w:lang w:val="en-US" w:eastAsia="zh-CN"/>
              </w:rPr>
              <w:t>0-5</w:t>
            </w:r>
          </w:p>
        </w:tc>
        <w:tc>
          <w:tcPr>
            <w:tcW w:w="954" w:type="dxa"/>
            <w:noWrap w:val="0"/>
            <w:vAlign w:val="center"/>
          </w:tcPr>
          <w:p>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ind w:left="0" w:right="0"/>
              <w:jc w:val="center"/>
              <w:textAlignment w:val="auto"/>
              <w:rPr>
                <w:rFonts w:hint="eastAsia" w:ascii="仿宋" w:hAnsi="仿宋" w:eastAsia="仿宋" w:cs="仿宋"/>
                <w:color w:val="auto"/>
                <w:kern w:val="0"/>
                <w:sz w:val="24"/>
                <w:highlight w:val="none"/>
                <w:lang w:val="en-US" w:eastAsia="zh-CN"/>
              </w:rPr>
            </w:pPr>
            <w:r>
              <w:rPr>
                <w:rFonts w:hint="eastAsia" w:ascii="仿宋" w:hAnsi="仿宋" w:eastAsia="仿宋" w:cs="仿宋"/>
                <w:color w:val="auto"/>
                <w:kern w:val="0"/>
                <w:sz w:val="24"/>
                <w:highlight w:val="none"/>
                <w:lang w:val="en-US" w:eastAsia="zh-CN"/>
              </w:rPr>
              <w:t>主观分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70" w:hRule="atLeast"/>
          <w:jc w:val="center"/>
        </w:trPr>
        <w:tc>
          <w:tcPr>
            <w:tcW w:w="819" w:type="dxa"/>
            <w:vMerge w:val="continue"/>
            <w:noWrap w:val="0"/>
            <w:vAlign w:val="center"/>
          </w:tcPr>
          <w:p>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textAlignment w:val="auto"/>
              <w:rPr>
                <w:rFonts w:hint="eastAsia" w:ascii="仿宋" w:hAnsi="仿宋" w:eastAsia="仿宋" w:cs="仿宋"/>
                <w:color w:val="auto"/>
                <w:sz w:val="24"/>
                <w:highlight w:val="none"/>
              </w:rPr>
            </w:pPr>
          </w:p>
        </w:tc>
        <w:tc>
          <w:tcPr>
            <w:tcW w:w="693" w:type="dxa"/>
            <w:noWrap w:val="0"/>
            <w:vAlign w:val="center"/>
          </w:tcPr>
          <w:p>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400" w:lineRule="exact"/>
              <w:ind w:left="0" w:right="0"/>
              <w:jc w:val="center"/>
              <w:textAlignment w:val="auto"/>
              <w:rPr>
                <w:rFonts w:hint="default" w:ascii="仿宋" w:hAnsi="仿宋" w:eastAsia="仿宋" w:cs="仿宋"/>
                <w:color w:val="auto"/>
                <w:sz w:val="24"/>
                <w:highlight w:val="none"/>
                <w:lang w:val="en-US" w:eastAsia="zh-CN"/>
              </w:rPr>
            </w:pPr>
            <w:r>
              <w:rPr>
                <w:rFonts w:hint="eastAsia" w:cs="仿宋"/>
                <w:color w:val="auto"/>
                <w:sz w:val="24"/>
                <w:highlight w:val="none"/>
                <w:lang w:val="en-US" w:eastAsia="zh-CN"/>
              </w:rPr>
              <w:t>8</w:t>
            </w:r>
          </w:p>
        </w:tc>
        <w:tc>
          <w:tcPr>
            <w:tcW w:w="693" w:type="dxa"/>
            <w:vMerge w:val="continue"/>
            <w:noWrap w:val="0"/>
            <w:vAlign w:val="center"/>
          </w:tcPr>
          <w:p>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jc w:val="center"/>
              <w:textAlignment w:val="auto"/>
              <w:rPr>
                <w:rFonts w:hint="eastAsia" w:ascii="仿宋" w:hAnsi="仿宋" w:eastAsia="仿宋" w:cs="仿宋"/>
                <w:color w:val="auto"/>
                <w:sz w:val="24"/>
                <w:highlight w:val="none"/>
                <w:lang w:val="en-US" w:eastAsia="zh-CN"/>
              </w:rPr>
            </w:pPr>
          </w:p>
        </w:tc>
        <w:tc>
          <w:tcPr>
            <w:tcW w:w="5954" w:type="dxa"/>
            <w:noWrap w:val="0"/>
            <w:vAlign w:val="center"/>
          </w:tcPr>
          <w:p>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ind w:left="0" w:right="0"/>
              <w:jc w:val="left"/>
              <w:textAlignment w:val="auto"/>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本项目在实施过程中的重点、难点分析的针对性、完整性、切实可行性进行综合</w:t>
            </w:r>
            <w:r>
              <w:rPr>
                <w:rFonts w:hint="eastAsia" w:ascii="仿宋" w:hAnsi="仿宋" w:eastAsia="仿宋" w:cs="仿宋"/>
                <w:color w:val="auto"/>
                <w:kern w:val="0"/>
                <w:sz w:val="24"/>
                <w:highlight w:val="none"/>
                <w:lang w:val="en-US" w:eastAsia="zh-CN"/>
              </w:rPr>
              <w:t>评定</w:t>
            </w:r>
            <w:r>
              <w:rPr>
                <w:rFonts w:hint="eastAsia" w:ascii="仿宋" w:hAnsi="仿宋" w:eastAsia="仿宋" w:cs="仿宋"/>
                <w:color w:val="auto"/>
                <w:kern w:val="0"/>
                <w:sz w:val="24"/>
                <w:highlight w:val="none"/>
              </w:rPr>
              <w:t>。</w:t>
            </w:r>
          </w:p>
          <w:p>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ind w:left="0" w:right="0"/>
              <w:jc w:val="left"/>
              <w:textAlignment w:val="auto"/>
              <w:rPr>
                <w:rFonts w:hint="eastAsia" w:ascii="仿宋" w:hAnsi="仿宋" w:eastAsia="仿宋" w:cs="仿宋"/>
                <w:color w:val="auto"/>
                <w:kern w:val="0"/>
                <w:sz w:val="24"/>
                <w:highlight w:val="none"/>
              </w:rPr>
            </w:pPr>
            <w:r>
              <w:rPr>
                <w:rFonts w:hint="eastAsia" w:ascii="仿宋" w:hAnsi="仿宋" w:eastAsia="仿宋" w:cs="仿宋"/>
                <w:color w:val="auto"/>
                <w:kern w:val="2"/>
                <w:sz w:val="24"/>
                <w:szCs w:val="24"/>
                <w:highlight w:val="none"/>
                <w:lang w:val="en-US" w:eastAsia="zh-CN" w:bidi="ar-SA"/>
              </w:rPr>
              <w:t>（方案内容完整且与项目匹配度好的得5分；方案内容基本完整且与项目匹配度较好的得3分；方案内容存在欠缺或与项目匹配度一般的得2分；方案内容与项目匹配度较差的得1分；方案内容缺失严重或与项目不匹配的不得分。）</w:t>
            </w:r>
          </w:p>
        </w:tc>
        <w:tc>
          <w:tcPr>
            <w:tcW w:w="819" w:type="dxa"/>
            <w:noWrap w:val="0"/>
            <w:vAlign w:val="center"/>
          </w:tcPr>
          <w:p>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ind w:left="0" w:right="0"/>
              <w:jc w:val="center"/>
              <w:textAlignment w:val="auto"/>
              <w:rPr>
                <w:rFonts w:hint="eastAsia" w:ascii="仿宋" w:hAnsi="仿宋" w:eastAsia="仿宋" w:cs="仿宋"/>
                <w:color w:val="auto"/>
                <w:kern w:val="0"/>
                <w:sz w:val="24"/>
                <w:highlight w:val="none"/>
                <w:lang w:val="en-US" w:eastAsia="zh-CN"/>
              </w:rPr>
            </w:pPr>
            <w:r>
              <w:rPr>
                <w:rFonts w:hint="eastAsia" w:ascii="仿宋" w:hAnsi="仿宋" w:eastAsia="仿宋" w:cs="仿宋"/>
                <w:color w:val="auto"/>
                <w:kern w:val="0"/>
                <w:sz w:val="24"/>
                <w:highlight w:val="none"/>
                <w:lang w:val="en-US" w:eastAsia="zh-CN"/>
              </w:rPr>
              <w:t>0-5</w:t>
            </w:r>
          </w:p>
        </w:tc>
        <w:tc>
          <w:tcPr>
            <w:tcW w:w="954" w:type="dxa"/>
            <w:noWrap w:val="0"/>
            <w:vAlign w:val="center"/>
          </w:tcPr>
          <w:p>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ind w:left="0" w:right="0"/>
              <w:jc w:val="center"/>
              <w:textAlignment w:val="auto"/>
              <w:rPr>
                <w:rFonts w:hint="eastAsia" w:ascii="仿宋" w:hAnsi="仿宋" w:eastAsia="仿宋" w:cs="仿宋"/>
                <w:color w:val="auto"/>
                <w:kern w:val="0"/>
                <w:sz w:val="24"/>
                <w:highlight w:val="none"/>
                <w:lang w:val="en-US" w:eastAsia="zh-CN"/>
              </w:rPr>
            </w:pPr>
            <w:r>
              <w:rPr>
                <w:rFonts w:hint="eastAsia" w:ascii="仿宋" w:hAnsi="仿宋" w:eastAsia="仿宋" w:cs="仿宋"/>
                <w:color w:val="auto"/>
                <w:kern w:val="0"/>
                <w:sz w:val="24"/>
                <w:highlight w:val="none"/>
                <w:lang w:val="en-US" w:eastAsia="zh-CN"/>
              </w:rPr>
              <w:t>主观分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0" w:hRule="atLeast"/>
          <w:jc w:val="center"/>
        </w:trPr>
        <w:tc>
          <w:tcPr>
            <w:tcW w:w="819" w:type="dxa"/>
            <w:vMerge w:val="continue"/>
            <w:noWrap w:val="0"/>
            <w:vAlign w:val="center"/>
          </w:tcPr>
          <w:p>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textAlignment w:val="auto"/>
              <w:rPr>
                <w:rFonts w:hint="eastAsia" w:ascii="仿宋" w:hAnsi="仿宋" w:eastAsia="仿宋" w:cs="仿宋"/>
                <w:color w:val="auto"/>
                <w:sz w:val="24"/>
                <w:highlight w:val="none"/>
              </w:rPr>
            </w:pPr>
          </w:p>
        </w:tc>
        <w:tc>
          <w:tcPr>
            <w:tcW w:w="693" w:type="dxa"/>
            <w:noWrap w:val="0"/>
            <w:vAlign w:val="center"/>
          </w:tcPr>
          <w:p>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400" w:lineRule="exact"/>
              <w:ind w:left="0" w:right="0"/>
              <w:jc w:val="center"/>
              <w:textAlignment w:val="auto"/>
              <w:rPr>
                <w:rFonts w:hint="default" w:ascii="仿宋" w:hAnsi="仿宋" w:eastAsia="仿宋" w:cs="仿宋"/>
                <w:color w:val="auto"/>
                <w:sz w:val="24"/>
                <w:highlight w:val="none"/>
                <w:lang w:val="en-US" w:eastAsia="zh-CN"/>
              </w:rPr>
            </w:pPr>
            <w:r>
              <w:rPr>
                <w:rFonts w:hint="eastAsia" w:cs="仿宋"/>
                <w:color w:val="auto"/>
                <w:sz w:val="24"/>
                <w:highlight w:val="none"/>
                <w:lang w:val="en-US" w:eastAsia="zh-CN"/>
              </w:rPr>
              <w:t>9</w:t>
            </w:r>
          </w:p>
        </w:tc>
        <w:tc>
          <w:tcPr>
            <w:tcW w:w="693" w:type="dxa"/>
            <w:vMerge w:val="continue"/>
            <w:noWrap w:val="0"/>
            <w:vAlign w:val="center"/>
          </w:tcPr>
          <w:p>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jc w:val="center"/>
              <w:textAlignment w:val="auto"/>
              <w:rPr>
                <w:rFonts w:hint="default" w:ascii="仿宋" w:hAnsi="仿宋" w:eastAsia="仿宋" w:cs="仿宋"/>
                <w:color w:val="auto"/>
                <w:sz w:val="24"/>
                <w:highlight w:val="none"/>
                <w:lang w:val="en-US" w:eastAsia="zh-CN"/>
              </w:rPr>
            </w:pPr>
          </w:p>
        </w:tc>
        <w:tc>
          <w:tcPr>
            <w:tcW w:w="5954" w:type="dxa"/>
            <w:noWrap w:val="0"/>
            <w:vAlign w:val="center"/>
          </w:tcPr>
          <w:p>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ind w:left="0" w:right="0"/>
              <w:jc w:val="left"/>
              <w:textAlignment w:val="auto"/>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根据</w:t>
            </w:r>
            <w:r>
              <w:rPr>
                <w:rFonts w:hint="eastAsia" w:ascii="仿宋" w:hAnsi="仿宋" w:eastAsia="仿宋" w:cs="仿宋"/>
                <w:color w:val="auto"/>
                <w:kern w:val="0"/>
                <w:sz w:val="24"/>
                <w:highlight w:val="none"/>
                <w:lang w:eastAsia="zh-CN"/>
              </w:rPr>
              <w:t>投标人</w:t>
            </w:r>
            <w:r>
              <w:rPr>
                <w:rFonts w:hint="eastAsia" w:ascii="仿宋" w:hAnsi="仿宋" w:eastAsia="仿宋" w:cs="仿宋"/>
                <w:color w:val="auto"/>
                <w:kern w:val="0"/>
                <w:sz w:val="24"/>
                <w:highlight w:val="none"/>
              </w:rPr>
              <w:t>提供的重难点分析后，相应的解决办法及措施的切实可行性进行综合评</w:t>
            </w:r>
            <w:r>
              <w:rPr>
                <w:rFonts w:hint="eastAsia" w:ascii="仿宋" w:hAnsi="仿宋" w:eastAsia="仿宋" w:cs="仿宋"/>
                <w:color w:val="auto"/>
                <w:kern w:val="0"/>
                <w:sz w:val="24"/>
                <w:highlight w:val="none"/>
                <w:lang w:val="en-US" w:eastAsia="zh-CN"/>
              </w:rPr>
              <w:t>定</w:t>
            </w:r>
            <w:r>
              <w:rPr>
                <w:rFonts w:hint="eastAsia" w:ascii="仿宋" w:hAnsi="仿宋" w:eastAsia="仿宋" w:cs="仿宋"/>
                <w:color w:val="auto"/>
                <w:kern w:val="0"/>
                <w:sz w:val="24"/>
                <w:highlight w:val="none"/>
              </w:rPr>
              <w:t>。</w:t>
            </w:r>
          </w:p>
          <w:p>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ind w:left="0" w:right="0"/>
              <w:jc w:val="left"/>
              <w:textAlignment w:val="auto"/>
              <w:rPr>
                <w:rFonts w:hint="eastAsia" w:ascii="仿宋" w:hAnsi="仿宋" w:eastAsia="仿宋" w:cs="仿宋"/>
                <w:color w:val="auto"/>
                <w:kern w:val="0"/>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方案内容完整且与项目匹配度好的得5分；方案内容基本完整且与项目匹配度较好的得3分；方案内容存在欠缺或与项目匹配度一般的得2分；方案内容与项目匹配度较差的得1分；方案内容缺失严重或与项目不匹配的不得分。）</w:t>
            </w:r>
          </w:p>
        </w:tc>
        <w:tc>
          <w:tcPr>
            <w:tcW w:w="819" w:type="dxa"/>
            <w:noWrap w:val="0"/>
            <w:vAlign w:val="center"/>
          </w:tcPr>
          <w:p>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ind w:left="0" w:right="0"/>
              <w:jc w:val="center"/>
              <w:textAlignment w:val="auto"/>
              <w:rPr>
                <w:rFonts w:hint="eastAsia" w:ascii="仿宋" w:hAnsi="仿宋" w:eastAsia="仿宋" w:cs="仿宋"/>
                <w:color w:val="auto"/>
                <w:kern w:val="0"/>
                <w:sz w:val="24"/>
                <w:szCs w:val="24"/>
                <w:highlight w:val="none"/>
                <w:lang w:val="en-US" w:eastAsia="zh-CN" w:bidi="ar-SA"/>
              </w:rPr>
            </w:pPr>
            <w:r>
              <w:rPr>
                <w:rFonts w:hint="eastAsia" w:ascii="仿宋" w:hAnsi="仿宋" w:eastAsia="仿宋" w:cs="仿宋"/>
                <w:color w:val="auto"/>
                <w:kern w:val="0"/>
                <w:sz w:val="24"/>
                <w:highlight w:val="none"/>
                <w:lang w:val="en-US" w:eastAsia="zh-CN"/>
              </w:rPr>
              <w:t>0-5</w:t>
            </w:r>
          </w:p>
        </w:tc>
        <w:tc>
          <w:tcPr>
            <w:tcW w:w="954" w:type="dxa"/>
            <w:noWrap w:val="0"/>
            <w:vAlign w:val="center"/>
          </w:tcPr>
          <w:p>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ind w:left="0" w:right="0"/>
              <w:jc w:val="left"/>
              <w:textAlignment w:val="auto"/>
              <w:rPr>
                <w:rFonts w:hint="eastAsia" w:ascii="仿宋" w:hAnsi="仿宋" w:eastAsia="仿宋" w:cs="仿宋"/>
                <w:color w:val="auto"/>
                <w:kern w:val="0"/>
                <w:sz w:val="24"/>
                <w:szCs w:val="24"/>
                <w:highlight w:val="none"/>
                <w:lang w:val="en-US" w:eastAsia="zh-CN" w:bidi="ar-SA"/>
              </w:rPr>
            </w:pPr>
            <w:r>
              <w:rPr>
                <w:rFonts w:hint="eastAsia" w:ascii="仿宋" w:hAnsi="仿宋" w:eastAsia="仿宋" w:cs="仿宋"/>
                <w:color w:val="auto"/>
                <w:kern w:val="0"/>
                <w:sz w:val="24"/>
                <w:highlight w:val="none"/>
                <w:lang w:val="en-US" w:eastAsia="zh-CN"/>
              </w:rPr>
              <w:t>主观分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0" w:hRule="atLeast"/>
          <w:jc w:val="center"/>
        </w:trPr>
        <w:tc>
          <w:tcPr>
            <w:tcW w:w="819" w:type="dxa"/>
            <w:vMerge w:val="continue"/>
            <w:noWrap w:val="0"/>
            <w:vAlign w:val="center"/>
          </w:tcPr>
          <w:p>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textAlignment w:val="auto"/>
              <w:rPr>
                <w:rFonts w:hint="eastAsia" w:ascii="仿宋" w:hAnsi="仿宋" w:eastAsia="仿宋" w:cs="仿宋"/>
                <w:color w:val="auto"/>
                <w:sz w:val="24"/>
                <w:highlight w:val="none"/>
              </w:rPr>
            </w:pPr>
          </w:p>
        </w:tc>
        <w:tc>
          <w:tcPr>
            <w:tcW w:w="693" w:type="dxa"/>
            <w:noWrap w:val="0"/>
            <w:vAlign w:val="center"/>
          </w:tcPr>
          <w:p>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400" w:lineRule="exact"/>
              <w:ind w:left="0" w:right="0"/>
              <w:jc w:val="center"/>
              <w:textAlignment w:val="auto"/>
              <w:rPr>
                <w:rFonts w:hint="default" w:ascii="仿宋" w:hAnsi="仿宋" w:eastAsia="仿宋" w:cs="仿宋"/>
                <w:color w:val="auto"/>
                <w:sz w:val="24"/>
                <w:highlight w:val="none"/>
                <w:lang w:val="en-US" w:eastAsia="zh-CN"/>
              </w:rPr>
            </w:pPr>
            <w:r>
              <w:rPr>
                <w:rFonts w:hint="eastAsia" w:cs="仿宋"/>
                <w:color w:val="auto"/>
                <w:sz w:val="24"/>
                <w:highlight w:val="none"/>
                <w:lang w:val="en-US" w:eastAsia="zh-CN"/>
              </w:rPr>
              <w:t>10</w:t>
            </w:r>
          </w:p>
        </w:tc>
        <w:tc>
          <w:tcPr>
            <w:tcW w:w="693" w:type="dxa"/>
            <w:vMerge w:val="continue"/>
            <w:noWrap w:val="0"/>
            <w:vAlign w:val="center"/>
          </w:tcPr>
          <w:p>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jc w:val="center"/>
              <w:textAlignment w:val="auto"/>
              <w:rPr>
                <w:rFonts w:hint="default" w:ascii="仿宋" w:hAnsi="仿宋" w:eastAsia="仿宋" w:cs="仿宋"/>
                <w:color w:val="auto"/>
                <w:sz w:val="24"/>
                <w:highlight w:val="none"/>
                <w:lang w:val="en-US" w:eastAsia="zh-CN"/>
              </w:rPr>
            </w:pPr>
          </w:p>
        </w:tc>
        <w:tc>
          <w:tcPr>
            <w:tcW w:w="5954" w:type="dxa"/>
            <w:noWrap w:val="0"/>
            <w:vAlign w:val="center"/>
          </w:tcPr>
          <w:p>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ind w:left="0" w:right="0"/>
              <w:jc w:val="left"/>
              <w:textAlignment w:val="auto"/>
              <w:rPr>
                <w:rFonts w:hint="eastAsia" w:ascii="仿宋" w:hAnsi="仿宋" w:eastAsia="仿宋" w:cs="仿宋"/>
                <w:color w:val="auto"/>
                <w:kern w:val="0"/>
                <w:sz w:val="24"/>
                <w:highlight w:val="none"/>
                <w:lang w:val="en-US" w:eastAsia="zh-CN"/>
              </w:rPr>
            </w:pPr>
            <w:r>
              <w:rPr>
                <w:rFonts w:hint="eastAsia" w:ascii="仿宋" w:hAnsi="仿宋" w:eastAsia="仿宋" w:cs="仿宋"/>
                <w:color w:val="auto"/>
                <w:kern w:val="0"/>
                <w:sz w:val="24"/>
                <w:highlight w:val="none"/>
              </w:rPr>
              <w:t>其他可预见问题所提出的合理化建议</w:t>
            </w:r>
            <w:r>
              <w:rPr>
                <w:rFonts w:hint="eastAsia" w:ascii="仿宋" w:hAnsi="仿宋" w:eastAsia="仿宋" w:cs="仿宋"/>
                <w:color w:val="auto"/>
                <w:kern w:val="0"/>
                <w:sz w:val="24"/>
                <w:highlight w:val="none"/>
                <w:lang w:val="en-US" w:eastAsia="zh-CN"/>
              </w:rPr>
              <w:t>进行综合评定</w:t>
            </w:r>
            <w:r>
              <w:rPr>
                <w:rFonts w:hint="eastAsia" w:ascii="仿宋" w:hAnsi="仿宋" w:eastAsia="仿宋" w:cs="仿宋"/>
                <w:color w:val="auto"/>
                <w:kern w:val="0"/>
                <w:sz w:val="24"/>
                <w:highlight w:val="none"/>
              </w:rPr>
              <w:t>。</w:t>
            </w:r>
            <w:r>
              <w:rPr>
                <w:rFonts w:hint="eastAsia" w:ascii="仿宋" w:hAnsi="仿宋" w:eastAsia="仿宋" w:cs="仿宋"/>
                <w:color w:val="auto"/>
                <w:kern w:val="2"/>
                <w:sz w:val="24"/>
                <w:szCs w:val="24"/>
                <w:highlight w:val="none"/>
                <w:lang w:val="en-US" w:eastAsia="zh-CN" w:bidi="ar-SA"/>
              </w:rPr>
              <w:t>（方案内容完整且与项目匹配度好的得5分；方案内容基本完整且与项目匹配度较好的得3分；方案内容存在欠缺或与项目匹配度一般的得2分；方案内容与项目匹配度较差的得1分；方案内容缺失严重或与项目不匹配的不得分。）</w:t>
            </w:r>
          </w:p>
        </w:tc>
        <w:tc>
          <w:tcPr>
            <w:tcW w:w="819" w:type="dxa"/>
            <w:noWrap w:val="0"/>
            <w:vAlign w:val="center"/>
          </w:tcPr>
          <w:p>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ind w:left="0" w:right="0"/>
              <w:jc w:val="center"/>
              <w:textAlignment w:val="auto"/>
              <w:rPr>
                <w:rFonts w:hint="eastAsia" w:ascii="仿宋" w:hAnsi="仿宋" w:eastAsia="仿宋" w:cs="仿宋"/>
                <w:color w:val="auto"/>
                <w:kern w:val="0"/>
                <w:sz w:val="24"/>
                <w:highlight w:val="none"/>
                <w:lang w:val="en-US" w:eastAsia="zh-CN"/>
              </w:rPr>
            </w:pPr>
            <w:r>
              <w:rPr>
                <w:rFonts w:hint="eastAsia" w:ascii="仿宋" w:hAnsi="仿宋" w:eastAsia="仿宋" w:cs="仿宋"/>
                <w:color w:val="auto"/>
                <w:kern w:val="0"/>
                <w:sz w:val="24"/>
                <w:highlight w:val="none"/>
                <w:lang w:val="en-US" w:eastAsia="zh-CN"/>
              </w:rPr>
              <w:t>0-5</w:t>
            </w:r>
          </w:p>
        </w:tc>
        <w:tc>
          <w:tcPr>
            <w:tcW w:w="954" w:type="dxa"/>
            <w:noWrap w:val="0"/>
            <w:vAlign w:val="center"/>
          </w:tcPr>
          <w:p>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ind w:left="0" w:right="0"/>
              <w:jc w:val="left"/>
              <w:textAlignment w:val="auto"/>
              <w:rPr>
                <w:rFonts w:hint="eastAsia" w:ascii="仿宋" w:hAnsi="仿宋" w:eastAsia="仿宋" w:cs="仿宋"/>
                <w:color w:val="auto"/>
                <w:kern w:val="0"/>
                <w:sz w:val="24"/>
                <w:highlight w:val="none"/>
                <w:lang w:val="en-US" w:eastAsia="zh-CN"/>
              </w:rPr>
            </w:pPr>
            <w:r>
              <w:rPr>
                <w:rFonts w:hint="eastAsia" w:ascii="仿宋" w:hAnsi="仿宋" w:eastAsia="仿宋" w:cs="仿宋"/>
                <w:color w:val="auto"/>
                <w:kern w:val="0"/>
                <w:sz w:val="24"/>
                <w:highlight w:val="none"/>
                <w:lang w:val="en-US" w:eastAsia="zh-CN"/>
              </w:rPr>
              <w:t>主观分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68" w:hRule="atLeast"/>
          <w:jc w:val="center"/>
        </w:trPr>
        <w:tc>
          <w:tcPr>
            <w:tcW w:w="819" w:type="dxa"/>
            <w:vMerge w:val="continue"/>
            <w:noWrap w:val="0"/>
            <w:vAlign w:val="center"/>
          </w:tcPr>
          <w:p>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textAlignment w:val="auto"/>
              <w:rPr>
                <w:rFonts w:hint="eastAsia" w:ascii="仿宋" w:hAnsi="仿宋" w:eastAsia="仿宋" w:cs="仿宋"/>
                <w:color w:val="auto"/>
                <w:sz w:val="24"/>
                <w:highlight w:val="none"/>
              </w:rPr>
            </w:pPr>
          </w:p>
        </w:tc>
        <w:tc>
          <w:tcPr>
            <w:tcW w:w="693" w:type="dxa"/>
            <w:noWrap w:val="0"/>
            <w:vAlign w:val="center"/>
          </w:tcPr>
          <w:p>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400" w:lineRule="exact"/>
              <w:ind w:left="0" w:right="0"/>
              <w:jc w:val="center"/>
              <w:textAlignment w:val="auto"/>
              <w:rPr>
                <w:rFonts w:hint="default" w:ascii="仿宋" w:hAnsi="仿宋" w:eastAsia="仿宋" w:cs="仿宋"/>
                <w:color w:val="auto"/>
                <w:sz w:val="24"/>
                <w:highlight w:val="none"/>
                <w:lang w:val="en-US" w:eastAsia="zh-CN"/>
              </w:rPr>
            </w:pPr>
            <w:r>
              <w:rPr>
                <w:rFonts w:hint="eastAsia" w:cs="仿宋"/>
                <w:color w:val="auto"/>
                <w:sz w:val="24"/>
                <w:highlight w:val="none"/>
                <w:lang w:val="en-US" w:eastAsia="zh-CN"/>
              </w:rPr>
              <w:t>11</w:t>
            </w:r>
          </w:p>
        </w:tc>
        <w:tc>
          <w:tcPr>
            <w:tcW w:w="693" w:type="dxa"/>
            <w:vMerge w:val="restart"/>
            <w:noWrap w:val="0"/>
            <w:vAlign w:val="center"/>
          </w:tcPr>
          <w:p>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jc w:val="center"/>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rPr>
              <w:t>质量保证措施及安全保障措施</w:t>
            </w:r>
          </w:p>
          <w:p>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jc w:val="center"/>
              <w:textAlignment w:val="auto"/>
              <w:rPr>
                <w:rFonts w:hint="default" w:ascii="仿宋" w:hAnsi="仿宋" w:eastAsia="仿宋" w:cs="仿宋"/>
                <w:color w:val="auto"/>
                <w:sz w:val="24"/>
                <w:highlight w:val="none"/>
                <w:lang w:val="en-US" w:eastAsia="zh-CN"/>
              </w:rPr>
            </w:pPr>
          </w:p>
        </w:tc>
        <w:tc>
          <w:tcPr>
            <w:tcW w:w="5954" w:type="dxa"/>
            <w:noWrap w:val="0"/>
            <w:vAlign w:val="center"/>
          </w:tcPr>
          <w:p>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ind w:left="0" w:right="0"/>
              <w:jc w:val="left"/>
              <w:textAlignment w:val="auto"/>
              <w:rPr>
                <w:rFonts w:hint="eastAsia" w:ascii="仿宋" w:hAnsi="仿宋" w:eastAsia="仿宋" w:cs="仿宋"/>
                <w:color w:val="auto"/>
                <w:kern w:val="0"/>
                <w:sz w:val="24"/>
                <w:highlight w:val="none"/>
                <w:lang w:val="en-US" w:eastAsia="zh-CN"/>
              </w:rPr>
            </w:pPr>
            <w:r>
              <w:rPr>
                <w:rFonts w:hint="eastAsia" w:ascii="仿宋" w:hAnsi="仿宋" w:eastAsia="仿宋" w:cs="仿宋"/>
                <w:color w:val="auto"/>
                <w:kern w:val="0"/>
                <w:sz w:val="24"/>
                <w:highlight w:val="none"/>
              </w:rPr>
              <w:t>根据</w:t>
            </w:r>
            <w:r>
              <w:rPr>
                <w:rFonts w:hint="eastAsia" w:ascii="仿宋" w:hAnsi="仿宋" w:eastAsia="仿宋" w:cs="仿宋"/>
                <w:color w:val="auto"/>
                <w:kern w:val="0"/>
                <w:sz w:val="24"/>
                <w:highlight w:val="none"/>
                <w:lang w:eastAsia="zh-CN"/>
              </w:rPr>
              <w:t>投标人</w:t>
            </w:r>
            <w:r>
              <w:rPr>
                <w:rFonts w:hint="eastAsia" w:ascii="仿宋" w:hAnsi="仿宋" w:eastAsia="仿宋" w:cs="仿宋"/>
                <w:color w:val="auto"/>
                <w:kern w:val="0"/>
                <w:sz w:val="24"/>
                <w:highlight w:val="none"/>
              </w:rPr>
              <w:t>提供的质量保证措施等内容进行综合评定。</w:t>
            </w:r>
            <w:r>
              <w:rPr>
                <w:rFonts w:hint="eastAsia" w:ascii="仿宋" w:hAnsi="仿宋" w:eastAsia="仿宋" w:cs="仿宋"/>
                <w:color w:val="auto"/>
                <w:kern w:val="2"/>
                <w:sz w:val="24"/>
                <w:szCs w:val="24"/>
                <w:highlight w:val="none"/>
                <w:lang w:val="en-US" w:eastAsia="zh-CN" w:bidi="ar-SA"/>
              </w:rPr>
              <w:t>（方案内容完整且与项目匹配度好的得5分；方案内容基本完整且与项目匹配度较好的得3分；方案内容存在欠缺或与项目匹配度一般的得2分；方案内容与项目匹配度较差的得1分；方案内容缺失严重或与项目不匹配的不得分。）</w:t>
            </w:r>
          </w:p>
        </w:tc>
        <w:tc>
          <w:tcPr>
            <w:tcW w:w="819" w:type="dxa"/>
            <w:noWrap w:val="0"/>
            <w:vAlign w:val="center"/>
          </w:tcPr>
          <w:p>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ind w:left="0" w:right="0"/>
              <w:jc w:val="center"/>
              <w:textAlignment w:val="auto"/>
              <w:rPr>
                <w:rFonts w:hint="eastAsia" w:ascii="仿宋" w:hAnsi="仿宋" w:eastAsia="仿宋" w:cs="仿宋"/>
                <w:color w:val="auto"/>
                <w:kern w:val="0"/>
                <w:sz w:val="24"/>
                <w:highlight w:val="none"/>
                <w:lang w:val="en-US" w:eastAsia="zh-CN"/>
              </w:rPr>
            </w:pPr>
            <w:r>
              <w:rPr>
                <w:rFonts w:hint="eastAsia" w:ascii="仿宋" w:hAnsi="仿宋" w:eastAsia="仿宋" w:cs="仿宋"/>
                <w:color w:val="auto"/>
                <w:kern w:val="0"/>
                <w:sz w:val="24"/>
                <w:highlight w:val="none"/>
                <w:lang w:val="en-US" w:eastAsia="zh-CN"/>
              </w:rPr>
              <w:t>0-5</w:t>
            </w:r>
          </w:p>
        </w:tc>
        <w:tc>
          <w:tcPr>
            <w:tcW w:w="954" w:type="dxa"/>
            <w:noWrap w:val="0"/>
            <w:vAlign w:val="center"/>
          </w:tcPr>
          <w:p>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ind w:left="0" w:right="0"/>
              <w:jc w:val="left"/>
              <w:textAlignment w:val="auto"/>
              <w:rPr>
                <w:rFonts w:hint="eastAsia" w:ascii="仿宋" w:hAnsi="仿宋" w:eastAsia="仿宋" w:cs="仿宋"/>
                <w:color w:val="auto"/>
                <w:kern w:val="0"/>
                <w:sz w:val="24"/>
                <w:highlight w:val="none"/>
                <w:lang w:val="en-US" w:eastAsia="zh-CN"/>
              </w:rPr>
            </w:pPr>
            <w:r>
              <w:rPr>
                <w:rFonts w:hint="eastAsia" w:ascii="仿宋" w:hAnsi="仿宋" w:eastAsia="仿宋" w:cs="仿宋"/>
                <w:color w:val="auto"/>
                <w:kern w:val="0"/>
                <w:sz w:val="24"/>
                <w:highlight w:val="none"/>
                <w:lang w:val="en-US" w:eastAsia="zh-CN"/>
              </w:rPr>
              <w:t>主观分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66" w:hRule="atLeast"/>
          <w:jc w:val="center"/>
        </w:trPr>
        <w:tc>
          <w:tcPr>
            <w:tcW w:w="819" w:type="dxa"/>
            <w:vMerge w:val="continue"/>
            <w:noWrap w:val="0"/>
            <w:vAlign w:val="center"/>
          </w:tcPr>
          <w:p>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textAlignment w:val="auto"/>
              <w:rPr>
                <w:rFonts w:hint="eastAsia" w:ascii="仿宋" w:hAnsi="仿宋" w:eastAsia="仿宋" w:cs="仿宋"/>
                <w:color w:val="auto"/>
                <w:sz w:val="24"/>
                <w:highlight w:val="none"/>
              </w:rPr>
            </w:pPr>
          </w:p>
        </w:tc>
        <w:tc>
          <w:tcPr>
            <w:tcW w:w="693" w:type="dxa"/>
            <w:noWrap w:val="0"/>
            <w:vAlign w:val="center"/>
          </w:tcPr>
          <w:p>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400" w:lineRule="exact"/>
              <w:ind w:left="0" w:right="0"/>
              <w:jc w:val="center"/>
              <w:textAlignment w:val="auto"/>
              <w:rPr>
                <w:rFonts w:hint="default" w:ascii="仿宋" w:hAnsi="仿宋" w:eastAsia="仿宋" w:cs="仿宋"/>
                <w:color w:val="auto"/>
                <w:sz w:val="24"/>
                <w:highlight w:val="none"/>
                <w:lang w:val="en-US" w:eastAsia="zh-CN"/>
              </w:rPr>
            </w:pPr>
            <w:r>
              <w:rPr>
                <w:rFonts w:hint="eastAsia" w:cs="仿宋"/>
                <w:color w:val="auto"/>
                <w:sz w:val="24"/>
                <w:highlight w:val="none"/>
                <w:lang w:val="en-US" w:eastAsia="zh-CN"/>
              </w:rPr>
              <w:t>12</w:t>
            </w:r>
          </w:p>
        </w:tc>
        <w:tc>
          <w:tcPr>
            <w:tcW w:w="693" w:type="dxa"/>
            <w:vMerge w:val="continue"/>
            <w:noWrap w:val="0"/>
            <w:vAlign w:val="center"/>
          </w:tcPr>
          <w:p>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jc w:val="center"/>
              <w:textAlignment w:val="auto"/>
              <w:rPr>
                <w:rFonts w:hint="default" w:ascii="仿宋" w:hAnsi="仿宋" w:eastAsia="仿宋" w:cs="仿宋"/>
                <w:color w:val="auto"/>
                <w:sz w:val="24"/>
                <w:highlight w:val="none"/>
                <w:lang w:val="en-US" w:eastAsia="zh-CN"/>
              </w:rPr>
            </w:pPr>
          </w:p>
        </w:tc>
        <w:tc>
          <w:tcPr>
            <w:tcW w:w="5954" w:type="dxa"/>
            <w:noWrap w:val="0"/>
            <w:vAlign w:val="center"/>
          </w:tcPr>
          <w:p>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ind w:left="0" w:right="0"/>
              <w:jc w:val="left"/>
              <w:textAlignment w:val="auto"/>
              <w:rPr>
                <w:rFonts w:hint="eastAsia" w:ascii="仿宋" w:hAnsi="仿宋" w:eastAsia="仿宋" w:cs="仿宋"/>
                <w:color w:val="auto"/>
                <w:kern w:val="0"/>
                <w:sz w:val="24"/>
                <w:highlight w:val="none"/>
                <w:lang w:val="en-US" w:eastAsia="zh-CN"/>
              </w:rPr>
            </w:pPr>
            <w:r>
              <w:rPr>
                <w:rFonts w:hint="eastAsia" w:ascii="仿宋" w:hAnsi="仿宋" w:eastAsia="仿宋" w:cs="仿宋"/>
                <w:color w:val="auto"/>
                <w:kern w:val="0"/>
                <w:sz w:val="24"/>
                <w:highlight w:val="none"/>
              </w:rPr>
              <w:t>根据</w:t>
            </w:r>
            <w:r>
              <w:rPr>
                <w:rFonts w:hint="eastAsia" w:ascii="仿宋" w:hAnsi="仿宋" w:eastAsia="仿宋" w:cs="仿宋"/>
                <w:color w:val="auto"/>
                <w:kern w:val="0"/>
                <w:sz w:val="24"/>
                <w:highlight w:val="none"/>
                <w:lang w:eastAsia="zh-CN"/>
              </w:rPr>
              <w:t>投标人</w:t>
            </w:r>
            <w:r>
              <w:rPr>
                <w:rFonts w:hint="eastAsia" w:ascii="仿宋" w:hAnsi="仿宋" w:eastAsia="仿宋" w:cs="仿宋"/>
                <w:color w:val="auto"/>
                <w:kern w:val="0"/>
                <w:sz w:val="24"/>
                <w:highlight w:val="none"/>
              </w:rPr>
              <w:t>提供的的安全保障措施等内容进行综合评定。</w:t>
            </w:r>
            <w:r>
              <w:rPr>
                <w:rFonts w:hint="eastAsia" w:ascii="仿宋" w:hAnsi="仿宋" w:eastAsia="仿宋" w:cs="仿宋"/>
                <w:color w:val="auto"/>
                <w:kern w:val="0"/>
                <w:sz w:val="24"/>
                <w:highlight w:val="none"/>
                <w:lang w:val="en-US" w:eastAsia="zh-CN"/>
              </w:rPr>
              <w:t>（方案内容完整且与项目匹配度好的得5分；方案内容基本完整且与项目匹配度较好的得3分；方案内容存在欠缺或与项目匹配度一般的得2分；方案内容与项目匹配度较差的得1分；方案内容缺失严重或与项目不匹配的不得分。）</w:t>
            </w:r>
          </w:p>
        </w:tc>
        <w:tc>
          <w:tcPr>
            <w:tcW w:w="819" w:type="dxa"/>
            <w:noWrap w:val="0"/>
            <w:vAlign w:val="center"/>
          </w:tcPr>
          <w:p>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ind w:left="0" w:right="0"/>
              <w:jc w:val="center"/>
              <w:textAlignment w:val="auto"/>
              <w:rPr>
                <w:rFonts w:hint="eastAsia" w:ascii="仿宋" w:hAnsi="仿宋" w:eastAsia="仿宋" w:cs="仿宋"/>
                <w:color w:val="auto"/>
                <w:kern w:val="0"/>
                <w:sz w:val="24"/>
                <w:highlight w:val="none"/>
                <w:lang w:val="en-US" w:eastAsia="zh-CN"/>
              </w:rPr>
            </w:pPr>
            <w:r>
              <w:rPr>
                <w:rFonts w:hint="eastAsia" w:ascii="仿宋" w:hAnsi="仿宋" w:eastAsia="仿宋" w:cs="仿宋"/>
                <w:color w:val="auto"/>
                <w:kern w:val="0"/>
                <w:sz w:val="24"/>
                <w:highlight w:val="none"/>
                <w:lang w:val="en-US" w:eastAsia="zh-CN"/>
              </w:rPr>
              <w:t>0-5</w:t>
            </w:r>
          </w:p>
        </w:tc>
        <w:tc>
          <w:tcPr>
            <w:tcW w:w="954" w:type="dxa"/>
            <w:noWrap w:val="0"/>
            <w:vAlign w:val="center"/>
          </w:tcPr>
          <w:p>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ind w:left="0" w:right="0"/>
              <w:jc w:val="left"/>
              <w:textAlignment w:val="auto"/>
              <w:rPr>
                <w:rFonts w:hint="eastAsia" w:ascii="仿宋" w:hAnsi="仿宋" w:eastAsia="仿宋" w:cs="仿宋"/>
                <w:color w:val="auto"/>
                <w:kern w:val="0"/>
                <w:sz w:val="24"/>
                <w:highlight w:val="none"/>
                <w:lang w:val="en-US" w:eastAsia="zh-CN"/>
              </w:rPr>
            </w:pPr>
            <w:r>
              <w:rPr>
                <w:rFonts w:hint="eastAsia" w:ascii="仿宋" w:hAnsi="仿宋" w:eastAsia="仿宋" w:cs="仿宋"/>
                <w:color w:val="auto"/>
                <w:kern w:val="0"/>
                <w:sz w:val="24"/>
                <w:highlight w:val="none"/>
                <w:lang w:val="en-US" w:eastAsia="zh-CN"/>
              </w:rPr>
              <w:t>主观分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17" w:hRule="atLeast"/>
          <w:jc w:val="center"/>
        </w:trPr>
        <w:tc>
          <w:tcPr>
            <w:tcW w:w="819" w:type="dxa"/>
            <w:vMerge w:val="continue"/>
            <w:noWrap w:val="0"/>
            <w:vAlign w:val="center"/>
          </w:tcPr>
          <w:p>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textAlignment w:val="auto"/>
              <w:rPr>
                <w:rFonts w:hint="eastAsia" w:ascii="仿宋" w:hAnsi="仿宋" w:eastAsia="仿宋" w:cs="仿宋"/>
                <w:color w:val="auto"/>
                <w:sz w:val="24"/>
                <w:highlight w:val="none"/>
              </w:rPr>
            </w:pPr>
          </w:p>
        </w:tc>
        <w:tc>
          <w:tcPr>
            <w:tcW w:w="693" w:type="dxa"/>
            <w:noWrap w:val="0"/>
            <w:vAlign w:val="center"/>
          </w:tcPr>
          <w:p>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400" w:lineRule="exact"/>
              <w:ind w:left="0" w:right="0"/>
              <w:jc w:val="center"/>
              <w:textAlignment w:val="auto"/>
              <w:rPr>
                <w:rFonts w:hint="default" w:ascii="仿宋" w:hAnsi="仿宋" w:eastAsia="仿宋" w:cs="仿宋"/>
                <w:color w:val="auto"/>
                <w:sz w:val="24"/>
                <w:highlight w:val="none"/>
                <w:lang w:val="en-US" w:eastAsia="zh-CN"/>
              </w:rPr>
            </w:pPr>
            <w:r>
              <w:rPr>
                <w:rFonts w:hint="eastAsia" w:cs="仿宋"/>
                <w:color w:val="auto"/>
                <w:sz w:val="24"/>
                <w:highlight w:val="none"/>
                <w:lang w:val="en-US" w:eastAsia="zh-CN"/>
              </w:rPr>
              <w:t>13</w:t>
            </w:r>
          </w:p>
        </w:tc>
        <w:tc>
          <w:tcPr>
            <w:tcW w:w="693" w:type="dxa"/>
            <w:vMerge w:val="restart"/>
            <w:noWrap w:val="0"/>
            <w:vAlign w:val="center"/>
          </w:tcPr>
          <w:p>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jc w:val="center"/>
              <w:textAlignment w:val="auto"/>
              <w:rPr>
                <w:rFonts w:hint="default" w:ascii="仿宋" w:hAnsi="仿宋" w:eastAsia="仿宋" w:cs="仿宋"/>
                <w:color w:val="auto"/>
                <w:sz w:val="24"/>
                <w:highlight w:val="none"/>
                <w:lang w:val="en-US" w:eastAsia="zh-CN"/>
              </w:rPr>
            </w:pPr>
            <w:r>
              <w:rPr>
                <w:rFonts w:hint="eastAsia" w:ascii="仿宋" w:hAnsi="仿宋" w:eastAsia="仿宋" w:cs="仿宋"/>
                <w:color w:val="auto"/>
                <w:sz w:val="24"/>
                <w:highlight w:val="none"/>
              </w:rPr>
              <w:t>本地化服务能力及服务有关承诺</w:t>
            </w:r>
          </w:p>
        </w:tc>
        <w:tc>
          <w:tcPr>
            <w:tcW w:w="5954" w:type="dxa"/>
            <w:noWrap w:val="0"/>
            <w:vAlign w:val="center"/>
          </w:tcPr>
          <w:p>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ind w:left="0" w:right="0"/>
              <w:jc w:val="left"/>
              <w:textAlignment w:val="auto"/>
              <w:rPr>
                <w:rFonts w:hint="eastAsia" w:ascii="仿宋" w:hAnsi="仿宋" w:eastAsia="仿宋" w:cs="仿宋"/>
                <w:color w:val="auto"/>
                <w:kern w:val="0"/>
                <w:sz w:val="24"/>
                <w:highlight w:val="none"/>
                <w:lang w:val="en-US" w:eastAsia="zh-CN"/>
              </w:rPr>
            </w:pPr>
            <w:r>
              <w:rPr>
                <w:rFonts w:hint="eastAsia" w:ascii="仿宋" w:hAnsi="仿宋" w:eastAsia="仿宋" w:cs="仿宋"/>
                <w:color w:val="auto"/>
                <w:kern w:val="0"/>
                <w:sz w:val="24"/>
                <w:highlight w:val="none"/>
              </w:rPr>
              <w:t>根据</w:t>
            </w:r>
            <w:r>
              <w:rPr>
                <w:rFonts w:hint="eastAsia" w:ascii="仿宋" w:hAnsi="仿宋" w:eastAsia="仿宋" w:cs="仿宋"/>
                <w:color w:val="auto"/>
                <w:kern w:val="0"/>
                <w:sz w:val="24"/>
                <w:highlight w:val="none"/>
                <w:lang w:eastAsia="zh-CN"/>
              </w:rPr>
              <w:t>投标人</w:t>
            </w:r>
            <w:r>
              <w:rPr>
                <w:rFonts w:hint="eastAsia" w:ascii="仿宋" w:hAnsi="仿宋" w:eastAsia="仿宋" w:cs="仿宋"/>
                <w:color w:val="auto"/>
                <w:kern w:val="0"/>
                <w:sz w:val="24"/>
                <w:highlight w:val="none"/>
              </w:rPr>
              <w:t>的服务能力及提供的服务有关承诺进行综合评定。</w:t>
            </w:r>
            <w:r>
              <w:rPr>
                <w:rFonts w:hint="eastAsia" w:ascii="仿宋" w:hAnsi="仿宋" w:eastAsia="仿宋" w:cs="仿宋"/>
                <w:color w:val="auto"/>
                <w:kern w:val="2"/>
                <w:sz w:val="24"/>
                <w:szCs w:val="24"/>
                <w:highlight w:val="none"/>
                <w:lang w:val="en-US" w:eastAsia="zh-CN" w:bidi="ar-SA"/>
              </w:rPr>
              <w:t>（方案内容完整且与项目匹配度好的得5分；方案内容基本完整且与项目匹配度较好的得3分；方案内容存在欠缺或与项目匹配度一般的得2分；方案内容与项目匹配度较差的得1分；方案内容缺失严重或与项目不匹配的不得分。）</w:t>
            </w:r>
          </w:p>
        </w:tc>
        <w:tc>
          <w:tcPr>
            <w:tcW w:w="819" w:type="dxa"/>
            <w:noWrap w:val="0"/>
            <w:vAlign w:val="center"/>
          </w:tcPr>
          <w:p>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ind w:left="0" w:right="0"/>
              <w:jc w:val="center"/>
              <w:textAlignment w:val="auto"/>
              <w:rPr>
                <w:rFonts w:hint="eastAsia" w:ascii="仿宋" w:hAnsi="仿宋" w:eastAsia="仿宋" w:cs="仿宋"/>
                <w:color w:val="auto"/>
                <w:kern w:val="0"/>
                <w:sz w:val="24"/>
                <w:highlight w:val="none"/>
                <w:lang w:val="en-US" w:eastAsia="zh-CN"/>
              </w:rPr>
            </w:pPr>
            <w:r>
              <w:rPr>
                <w:rFonts w:hint="eastAsia" w:ascii="仿宋" w:hAnsi="仿宋" w:eastAsia="仿宋" w:cs="仿宋"/>
                <w:color w:val="auto"/>
                <w:kern w:val="0"/>
                <w:sz w:val="24"/>
                <w:highlight w:val="none"/>
                <w:lang w:val="en-US" w:eastAsia="zh-CN"/>
              </w:rPr>
              <w:t>0-5</w:t>
            </w:r>
          </w:p>
        </w:tc>
        <w:tc>
          <w:tcPr>
            <w:tcW w:w="954" w:type="dxa"/>
            <w:noWrap w:val="0"/>
            <w:vAlign w:val="center"/>
          </w:tcPr>
          <w:p>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ind w:left="0" w:right="0"/>
              <w:jc w:val="left"/>
              <w:textAlignment w:val="auto"/>
              <w:rPr>
                <w:rFonts w:hint="eastAsia" w:ascii="仿宋" w:hAnsi="仿宋" w:eastAsia="仿宋" w:cs="仿宋"/>
                <w:color w:val="auto"/>
                <w:kern w:val="0"/>
                <w:sz w:val="24"/>
                <w:highlight w:val="none"/>
                <w:lang w:val="en-US" w:eastAsia="zh-CN"/>
              </w:rPr>
            </w:pPr>
            <w:r>
              <w:rPr>
                <w:rFonts w:hint="eastAsia" w:ascii="仿宋" w:hAnsi="仿宋" w:eastAsia="仿宋" w:cs="仿宋"/>
                <w:color w:val="auto"/>
                <w:kern w:val="0"/>
                <w:sz w:val="24"/>
                <w:highlight w:val="none"/>
                <w:lang w:val="en-US" w:eastAsia="zh-CN"/>
              </w:rPr>
              <w:t>主观分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93" w:hRule="atLeast"/>
          <w:jc w:val="center"/>
        </w:trPr>
        <w:tc>
          <w:tcPr>
            <w:tcW w:w="819" w:type="dxa"/>
            <w:vMerge w:val="continue"/>
            <w:noWrap w:val="0"/>
            <w:vAlign w:val="center"/>
          </w:tcPr>
          <w:p>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textAlignment w:val="auto"/>
              <w:rPr>
                <w:rFonts w:hint="eastAsia" w:ascii="仿宋" w:hAnsi="仿宋" w:eastAsia="仿宋" w:cs="仿宋"/>
                <w:color w:val="auto"/>
                <w:sz w:val="24"/>
                <w:highlight w:val="none"/>
              </w:rPr>
            </w:pPr>
          </w:p>
        </w:tc>
        <w:tc>
          <w:tcPr>
            <w:tcW w:w="693" w:type="dxa"/>
            <w:noWrap w:val="0"/>
            <w:vAlign w:val="center"/>
          </w:tcPr>
          <w:p>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400" w:lineRule="exact"/>
              <w:ind w:left="0" w:right="0"/>
              <w:jc w:val="center"/>
              <w:textAlignment w:val="auto"/>
              <w:rPr>
                <w:rFonts w:hint="default" w:ascii="仿宋" w:hAnsi="仿宋" w:eastAsia="仿宋" w:cs="仿宋"/>
                <w:color w:val="auto"/>
                <w:sz w:val="24"/>
                <w:highlight w:val="none"/>
                <w:lang w:val="en-US" w:eastAsia="zh-CN"/>
              </w:rPr>
            </w:pPr>
            <w:r>
              <w:rPr>
                <w:rFonts w:hint="eastAsia" w:cs="仿宋"/>
                <w:color w:val="auto"/>
                <w:sz w:val="24"/>
                <w:highlight w:val="none"/>
                <w:lang w:val="en-US" w:eastAsia="zh-CN"/>
              </w:rPr>
              <w:t>14</w:t>
            </w:r>
          </w:p>
        </w:tc>
        <w:tc>
          <w:tcPr>
            <w:tcW w:w="693" w:type="dxa"/>
            <w:vMerge w:val="continue"/>
            <w:noWrap w:val="0"/>
            <w:vAlign w:val="center"/>
          </w:tcPr>
          <w:p>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jc w:val="center"/>
              <w:textAlignment w:val="auto"/>
              <w:rPr>
                <w:rFonts w:hint="default" w:ascii="仿宋" w:hAnsi="仿宋" w:eastAsia="仿宋" w:cs="仿宋"/>
                <w:color w:val="auto"/>
                <w:sz w:val="24"/>
                <w:highlight w:val="none"/>
                <w:lang w:val="en-US" w:eastAsia="zh-CN"/>
              </w:rPr>
            </w:pPr>
          </w:p>
        </w:tc>
        <w:tc>
          <w:tcPr>
            <w:tcW w:w="5954" w:type="dxa"/>
            <w:noWrap w:val="0"/>
            <w:vAlign w:val="center"/>
          </w:tcPr>
          <w:p>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ind w:left="0" w:right="0"/>
              <w:jc w:val="left"/>
              <w:textAlignment w:val="auto"/>
              <w:rPr>
                <w:rFonts w:hint="eastAsia" w:ascii="仿宋" w:hAnsi="仿宋" w:eastAsia="仿宋" w:cs="仿宋"/>
                <w:color w:val="auto"/>
                <w:kern w:val="0"/>
                <w:sz w:val="24"/>
                <w:highlight w:val="none"/>
                <w:lang w:val="en-US" w:eastAsia="zh-CN"/>
              </w:rPr>
            </w:pPr>
            <w:r>
              <w:rPr>
                <w:rFonts w:hint="eastAsia" w:ascii="仿宋" w:hAnsi="仿宋" w:eastAsia="仿宋" w:cs="仿宋"/>
                <w:color w:val="auto"/>
                <w:kern w:val="0"/>
                <w:sz w:val="24"/>
                <w:highlight w:val="none"/>
              </w:rPr>
              <w:t>本项目投入设备(</w:t>
            </w:r>
            <w:r>
              <w:rPr>
                <w:rFonts w:hint="eastAsia" w:ascii="仿宋" w:hAnsi="仿宋" w:eastAsia="仿宋" w:cs="仿宋"/>
                <w:color w:val="auto"/>
                <w:kern w:val="0"/>
                <w:sz w:val="24"/>
                <w:highlight w:val="none"/>
                <w:lang w:eastAsia="zh-CN"/>
              </w:rPr>
              <w:t>投标人</w:t>
            </w:r>
            <w:r>
              <w:rPr>
                <w:rFonts w:hint="eastAsia" w:ascii="仿宋" w:hAnsi="仿宋" w:eastAsia="仿宋" w:cs="仿宋"/>
                <w:color w:val="auto"/>
                <w:kern w:val="0"/>
                <w:sz w:val="24"/>
                <w:highlight w:val="none"/>
              </w:rPr>
              <w:t>自有</w:t>
            </w:r>
            <w:r>
              <w:rPr>
                <w:rFonts w:hint="eastAsia" w:ascii="仿宋" w:hAnsi="仿宋" w:eastAsia="仿宋" w:cs="仿宋"/>
                <w:color w:val="auto"/>
                <w:kern w:val="0"/>
                <w:sz w:val="24"/>
                <w:highlight w:val="none"/>
                <w:lang w:val="en-US" w:eastAsia="zh-CN"/>
              </w:rPr>
              <w:t>或租赁</w:t>
            </w:r>
            <w:r>
              <w:rPr>
                <w:rFonts w:hint="eastAsia" w:ascii="仿宋" w:hAnsi="仿宋" w:eastAsia="仿宋" w:cs="仿宋"/>
                <w:color w:val="auto"/>
                <w:kern w:val="0"/>
                <w:sz w:val="24"/>
                <w:highlight w:val="none"/>
              </w:rPr>
              <w:t>)情况综合比较评分。（提供实物照片、发票</w:t>
            </w:r>
            <w:r>
              <w:rPr>
                <w:rFonts w:hint="eastAsia" w:ascii="仿宋" w:hAnsi="仿宋" w:eastAsia="仿宋" w:cs="仿宋"/>
                <w:color w:val="auto"/>
                <w:kern w:val="0"/>
                <w:sz w:val="24"/>
                <w:highlight w:val="none"/>
                <w:lang w:eastAsia="zh-CN"/>
              </w:rPr>
              <w:t>、</w:t>
            </w:r>
            <w:r>
              <w:rPr>
                <w:rFonts w:hint="eastAsia" w:ascii="仿宋" w:hAnsi="仿宋" w:eastAsia="仿宋" w:cs="仿宋"/>
                <w:color w:val="auto"/>
                <w:kern w:val="0"/>
                <w:sz w:val="24"/>
                <w:highlight w:val="none"/>
                <w:lang w:val="en-US" w:eastAsia="zh-CN"/>
              </w:rPr>
              <w:t>租赁合同</w:t>
            </w:r>
            <w:r>
              <w:rPr>
                <w:rFonts w:hint="eastAsia" w:ascii="仿宋" w:hAnsi="仿宋" w:eastAsia="仿宋" w:cs="仿宋"/>
                <w:color w:val="auto"/>
                <w:kern w:val="0"/>
                <w:sz w:val="24"/>
                <w:highlight w:val="none"/>
              </w:rPr>
              <w:t>等证明材料）</w:t>
            </w:r>
            <w:r>
              <w:rPr>
                <w:rFonts w:hint="eastAsia" w:ascii="仿宋" w:hAnsi="仿宋" w:eastAsia="仿宋" w:cs="仿宋"/>
                <w:color w:val="auto"/>
                <w:kern w:val="2"/>
                <w:sz w:val="24"/>
                <w:szCs w:val="24"/>
                <w:highlight w:val="none"/>
                <w:lang w:val="en-US" w:eastAsia="zh-CN" w:bidi="ar-SA"/>
              </w:rPr>
              <w:t>（方案内容完整且与项目匹配度好的得5分；方案内容基本完整且与项目匹配度较好的得3分；方案内容存在欠缺或与项目匹配度一般的得2分；方案内容与项目匹配度较差的得1分；方案内容缺失严重或与项目不匹配的不得分。）</w:t>
            </w:r>
          </w:p>
        </w:tc>
        <w:tc>
          <w:tcPr>
            <w:tcW w:w="819" w:type="dxa"/>
            <w:noWrap w:val="0"/>
            <w:vAlign w:val="center"/>
          </w:tcPr>
          <w:p>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ind w:left="0" w:right="0"/>
              <w:jc w:val="center"/>
              <w:textAlignment w:val="auto"/>
              <w:rPr>
                <w:rFonts w:hint="eastAsia" w:ascii="仿宋" w:hAnsi="仿宋" w:eastAsia="仿宋" w:cs="仿宋"/>
                <w:color w:val="auto"/>
                <w:kern w:val="0"/>
                <w:sz w:val="24"/>
                <w:highlight w:val="none"/>
                <w:lang w:val="en-US" w:eastAsia="zh-CN"/>
              </w:rPr>
            </w:pPr>
            <w:r>
              <w:rPr>
                <w:rFonts w:hint="eastAsia" w:ascii="仿宋" w:hAnsi="仿宋" w:eastAsia="仿宋" w:cs="仿宋"/>
                <w:color w:val="auto"/>
                <w:kern w:val="0"/>
                <w:sz w:val="24"/>
                <w:highlight w:val="none"/>
                <w:lang w:val="en-US" w:eastAsia="zh-CN"/>
              </w:rPr>
              <w:t>0-5</w:t>
            </w:r>
          </w:p>
        </w:tc>
        <w:tc>
          <w:tcPr>
            <w:tcW w:w="954" w:type="dxa"/>
            <w:noWrap w:val="0"/>
            <w:vAlign w:val="center"/>
          </w:tcPr>
          <w:p>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ind w:left="0" w:right="0"/>
              <w:jc w:val="left"/>
              <w:textAlignment w:val="auto"/>
              <w:rPr>
                <w:rFonts w:hint="eastAsia" w:ascii="仿宋" w:hAnsi="仿宋" w:eastAsia="仿宋" w:cs="仿宋"/>
                <w:color w:val="auto"/>
                <w:kern w:val="0"/>
                <w:sz w:val="24"/>
                <w:highlight w:val="none"/>
                <w:lang w:val="en-US" w:eastAsia="zh-CN"/>
              </w:rPr>
            </w:pPr>
            <w:r>
              <w:rPr>
                <w:rFonts w:hint="eastAsia" w:ascii="仿宋" w:hAnsi="仿宋" w:eastAsia="仿宋" w:cs="仿宋"/>
                <w:color w:val="auto"/>
                <w:kern w:val="0"/>
                <w:sz w:val="24"/>
                <w:highlight w:val="none"/>
                <w:lang w:val="en-US" w:eastAsia="zh-CN"/>
              </w:rPr>
              <w:t>主观分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0" w:hRule="atLeast"/>
          <w:jc w:val="center"/>
        </w:trPr>
        <w:tc>
          <w:tcPr>
            <w:tcW w:w="819" w:type="dxa"/>
            <w:vMerge w:val="continue"/>
            <w:noWrap w:val="0"/>
            <w:vAlign w:val="center"/>
          </w:tcPr>
          <w:p>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textAlignment w:val="auto"/>
              <w:rPr>
                <w:rFonts w:hint="eastAsia" w:ascii="仿宋" w:hAnsi="仿宋" w:eastAsia="仿宋" w:cs="仿宋"/>
                <w:color w:val="auto"/>
                <w:sz w:val="24"/>
                <w:highlight w:val="none"/>
              </w:rPr>
            </w:pPr>
          </w:p>
        </w:tc>
        <w:tc>
          <w:tcPr>
            <w:tcW w:w="693" w:type="dxa"/>
            <w:noWrap w:val="0"/>
            <w:vAlign w:val="center"/>
          </w:tcPr>
          <w:p>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400" w:lineRule="exact"/>
              <w:ind w:left="0" w:right="0"/>
              <w:jc w:val="center"/>
              <w:textAlignment w:val="auto"/>
              <w:rPr>
                <w:rFonts w:hint="default" w:ascii="仿宋" w:hAnsi="仿宋" w:eastAsia="仿宋" w:cs="仿宋"/>
                <w:color w:val="auto"/>
                <w:sz w:val="24"/>
                <w:highlight w:val="none"/>
                <w:lang w:val="en-US" w:eastAsia="zh-CN"/>
              </w:rPr>
            </w:pPr>
            <w:r>
              <w:rPr>
                <w:rFonts w:hint="eastAsia" w:cs="仿宋"/>
                <w:color w:val="auto"/>
                <w:sz w:val="24"/>
                <w:highlight w:val="none"/>
                <w:lang w:val="en-US" w:eastAsia="zh-CN"/>
              </w:rPr>
              <w:t>15</w:t>
            </w:r>
          </w:p>
        </w:tc>
        <w:tc>
          <w:tcPr>
            <w:tcW w:w="693" w:type="dxa"/>
            <w:noWrap w:val="0"/>
            <w:vAlign w:val="center"/>
          </w:tcPr>
          <w:p>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jc w:val="center"/>
              <w:textAlignment w:val="auto"/>
              <w:rPr>
                <w:rFonts w:hint="default" w:ascii="仿宋" w:hAnsi="仿宋" w:eastAsia="仿宋" w:cs="仿宋"/>
                <w:color w:val="auto"/>
                <w:sz w:val="24"/>
                <w:highlight w:val="none"/>
                <w:lang w:val="en-US"/>
              </w:rPr>
            </w:pPr>
            <w:r>
              <w:rPr>
                <w:rFonts w:hint="eastAsia" w:ascii="仿宋" w:hAnsi="仿宋" w:eastAsia="仿宋" w:cs="仿宋"/>
                <w:color w:val="auto"/>
                <w:sz w:val="24"/>
                <w:highlight w:val="none"/>
              </w:rPr>
              <w:t>应急预案</w:t>
            </w:r>
          </w:p>
        </w:tc>
        <w:tc>
          <w:tcPr>
            <w:tcW w:w="5954" w:type="dxa"/>
            <w:noWrap w:val="0"/>
            <w:vAlign w:val="center"/>
          </w:tcPr>
          <w:p>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ind w:left="0" w:right="0"/>
              <w:jc w:val="left"/>
              <w:textAlignment w:val="auto"/>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根据</w:t>
            </w:r>
            <w:r>
              <w:rPr>
                <w:rFonts w:hint="eastAsia" w:ascii="仿宋" w:hAnsi="仿宋" w:eastAsia="仿宋" w:cs="仿宋"/>
                <w:color w:val="auto"/>
                <w:kern w:val="0"/>
                <w:sz w:val="24"/>
                <w:highlight w:val="none"/>
                <w:lang w:eastAsia="zh-CN"/>
              </w:rPr>
              <w:t>投标人</w:t>
            </w:r>
            <w:r>
              <w:rPr>
                <w:rFonts w:hint="eastAsia" w:ascii="仿宋" w:hAnsi="仿宋" w:eastAsia="仿宋" w:cs="仿宋"/>
                <w:color w:val="auto"/>
                <w:kern w:val="0"/>
                <w:sz w:val="24"/>
                <w:highlight w:val="none"/>
              </w:rPr>
              <w:t>应对突发性事件时（如台风、暴雨、火灾等情况）的应急预案进行综合评定。</w:t>
            </w:r>
          </w:p>
          <w:p>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ind w:left="0" w:right="0"/>
              <w:jc w:val="left"/>
              <w:textAlignment w:val="auto"/>
              <w:rPr>
                <w:rFonts w:hint="eastAsia" w:ascii="仿宋" w:hAnsi="仿宋" w:eastAsia="仿宋" w:cs="仿宋"/>
                <w:color w:val="auto"/>
                <w:kern w:val="0"/>
                <w:sz w:val="24"/>
                <w:highlight w:val="none"/>
              </w:rPr>
            </w:pPr>
            <w:r>
              <w:rPr>
                <w:rFonts w:hint="eastAsia" w:ascii="仿宋" w:hAnsi="仿宋" w:eastAsia="仿宋" w:cs="仿宋"/>
                <w:color w:val="auto"/>
                <w:kern w:val="2"/>
                <w:sz w:val="24"/>
                <w:szCs w:val="24"/>
                <w:highlight w:val="none"/>
                <w:lang w:val="en-US" w:eastAsia="zh-CN" w:bidi="ar-SA"/>
              </w:rPr>
              <w:t>（方案内容完整且与项目匹配度好的得5分；方案内容基本完整且与项目匹配度较好的得3分；方案内容存在欠缺或与项目匹配度一般的得2分；方案内容与项目匹配度较差的得1分；方案内容缺失严重或与项目不匹配的不得分。）</w:t>
            </w:r>
          </w:p>
        </w:tc>
        <w:tc>
          <w:tcPr>
            <w:tcW w:w="819" w:type="dxa"/>
            <w:noWrap w:val="0"/>
            <w:vAlign w:val="center"/>
          </w:tcPr>
          <w:p>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ind w:left="0" w:right="0"/>
              <w:jc w:val="center"/>
              <w:textAlignment w:val="auto"/>
              <w:rPr>
                <w:rFonts w:hint="eastAsia" w:ascii="仿宋" w:hAnsi="仿宋" w:eastAsia="仿宋" w:cs="仿宋"/>
                <w:color w:val="auto"/>
                <w:kern w:val="0"/>
                <w:sz w:val="24"/>
                <w:highlight w:val="none"/>
                <w:lang w:val="en-US" w:eastAsia="zh-CN"/>
              </w:rPr>
            </w:pPr>
            <w:r>
              <w:rPr>
                <w:rFonts w:hint="eastAsia" w:ascii="仿宋" w:hAnsi="仿宋" w:eastAsia="仿宋" w:cs="仿宋"/>
                <w:color w:val="auto"/>
                <w:kern w:val="0"/>
                <w:sz w:val="24"/>
                <w:highlight w:val="none"/>
                <w:lang w:val="en-US" w:eastAsia="zh-CN"/>
              </w:rPr>
              <w:t>0-5</w:t>
            </w:r>
          </w:p>
        </w:tc>
        <w:tc>
          <w:tcPr>
            <w:tcW w:w="954" w:type="dxa"/>
            <w:noWrap w:val="0"/>
            <w:vAlign w:val="center"/>
          </w:tcPr>
          <w:p>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ind w:left="0" w:right="0"/>
              <w:jc w:val="center"/>
              <w:textAlignment w:val="auto"/>
              <w:rPr>
                <w:rFonts w:hint="eastAsia" w:ascii="仿宋" w:hAnsi="仿宋" w:eastAsia="仿宋" w:cs="仿宋"/>
                <w:color w:val="auto"/>
                <w:kern w:val="0"/>
                <w:sz w:val="24"/>
                <w:highlight w:val="none"/>
                <w:lang w:val="en-US" w:eastAsia="zh-CN"/>
              </w:rPr>
            </w:pPr>
            <w:r>
              <w:rPr>
                <w:rFonts w:hint="eastAsia" w:ascii="仿宋" w:hAnsi="仿宋" w:eastAsia="仿宋" w:cs="仿宋"/>
                <w:color w:val="auto"/>
                <w:kern w:val="0"/>
                <w:sz w:val="24"/>
                <w:highlight w:val="none"/>
                <w:lang w:val="en-US" w:eastAsia="zh-CN"/>
              </w:rPr>
              <w:t>主观分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52" w:hRule="atLeast"/>
          <w:jc w:val="center"/>
        </w:trPr>
        <w:tc>
          <w:tcPr>
            <w:tcW w:w="819" w:type="dxa"/>
            <w:vMerge w:val="continue"/>
            <w:noWrap w:val="0"/>
            <w:vAlign w:val="center"/>
          </w:tcPr>
          <w:p>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textAlignment w:val="auto"/>
              <w:rPr>
                <w:rFonts w:hint="eastAsia" w:ascii="仿宋" w:hAnsi="仿宋" w:eastAsia="仿宋" w:cs="仿宋"/>
                <w:color w:val="auto"/>
                <w:sz w:val="24"/>
                <w:highlight w:val="none"/>
              </w:rPr>
            </w:pPr>
          </w:p>
        </w:tc>
        <w:tc>
          <w:tcPr>
            <w:tcW w:w="693" w:type="dxa"/>
            <w:noWrap w:val="0"/>
            <w:vAlign w:val="center"/>
          </w:tcPr>
          <w:p>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400" w:lineRule="exact"/>
              <w:ind w:left="0" w:right="0"/>
              <w:jc w:val="center"/>
              <w:textAlignment w:val="auto"/>
              <w:rPr>
                <w:rFonts w:hint="default" w:ascii="仿宋" w:hAnsi="仿宋" w:eastAsia="仿宋" w:cs="仿宋"/>
                <w:color w:val="auto"/>
                <w:sz w:val="24"/>
                <w:highlight w:val="none"/>
                <w:lang w:val="en-US" w:eastAsia="zh-CN"/>
              </w:rPr>
            </w:pPr>
            <w:r>
              <w:rPr>
                <w:rFonts w:hint="eastAsia" w:cs="仿宋"/>
                <w:color w:val="auto"/>
                <w:sz w:val="24"/>
                <w:highlight w:val="none"/>
                <w:lang w:val="en-US" w:eastAsia="zh-CN"/>
              </w:rPr>
              <w:t>16</w:t>
            </w:r>
          </w:p>
        </w:tc>
        <w:tc>
          <w:tcPr>
            <w:tcW w:w="693" w:type="dxa"/>
            <w:noWrap w:val="0"/>
            <w:vAlign w:val="center"/>
          </w:tcPr>
          <w:p>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jc w:val="center"/>
              <w:textAlignment w:val="auto"/>
              <w:rPr>
                <w:rFonts w:hint="default" w:ascii="仿宋" w:hAnsi="仿宋" w:eastAsia="仿宋" w:cs="仿宋"/>
                <w:color w:val="auto"/>
                <w:sz w:val="24"/>
                <w:highlight w:val="none"/>
                <w:lang w:val="en-US" w:eastAsia="zh-CN"/>
              </w:rPr>
            </w:pPr>
            <w:r>
              <w:rPr>
                <w:rFonts w:hint="eastAsia" w:ascii="仿宋" w:hAnsi="仿宋" w:eastAsia="仿宋" w:cs="仿宋"/>
                <w:color w:val="auto"/>
                <w:sz w:val="24"/>
                <w:highlight w:val="none"/>
              </w:rPr>
              <w:t>服务承诺</w:t>
            </w:r>
          </w:p>
        </w:tc>
        <w:tc>
          <w:tcPr>
            <w:tcW w:w="5954" w:type="dxa"/>
            <w:noWrap w:val="0"/>
            <w:vAlign w:val="center"/>
          </w:tcPr>
          <w:p>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ind w:left="0" w:right="0"/>
              <w:jc w:val="left"/>
              <w:textAlignment w:val="auto"/>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lang w:eastAsia="zh-CN"/>
              </w:rPr>
              <w:t>投标人</w:t>
            </w:r>
            <w:r>
              <w:rPr>
                <w:rFonts w:hint="eastAsia" w:ascii="仿宋" w:hAnsi="仿宋" w:eastAsia="仿宋" w:cs="仿宋"/>
                <w:color w:val="auto"/>
                <w:kern w:val="0"/>
                <w:sz w:val="24"/>
                <w:highlight w:val="none"/>
              </w:rPr>
              <w:t>针对本项目提供的除</w:t>
            </w:r>
            <w:r>
              <w:rPr>
                <w:rFonts w:hint="eastAsia" w:ascii="仿宋" w:hAnsi="仿宋" w:eastAsia="仿宋" w:cs="仿宋"/>
                <w:color w:val="auto"/>
                <w:kern w:val="0"/>
                <w:sz w:val="24"/>
                <w:highlight w:val="none"/>
                <w:lang w:val="en-US" w:eastAsia="zh-CN"/>
              </w:rPr>
              <w:t>响应</w:t>
            </w:r>
            <w:r>
              <w:rPr>
                <w:rFonts w:hint="eastAsia" w:ascii="仿宋" w:hAnsi="仿宋" w:eastAsia="仿宋" w:cs="仿宋"/>
                <w:color w:val="auto"/>
                <w:kern w:val="0"/>
                <w:sz w:val="24"/>
                <w:highlight w:val="none"/>
              </w:rPr>
              <w:t>报价优惠以外的其他优惠承诺以及采购文件要求的相关承诺。</w:t>
            </w:r>
            <w:r>
              <w:rPr>
                <w:rFonts w:hint="eastAsia" w:ascii="仿宋" w:hAnsi="仿宋" w:eastAsia="仿宋" w:cs="仿宋"/>
                <w:color w:val="auto"/>
                <w:kern w:val="2"/>
                <w:sz w:val="24"/>
                <w:szCs w:val="24"/>
                <w:highlight w:val="none"/>
                <w:lang w:val="en-US" w:eastAsia="zh-CN" w:bidi="ar-SA"/>
              </w:rPr>
              <w:t>（方案内容完整且与项目匹配度好的得5分；方案内容基本完整且与项目匹配度较好的得3分；方案内容存在欠缺或与项目匹配度一般的得2分；方案内容与项目匹配度较差的得1分；方案内容缺失严重或与项目不匹配的不得分。）</w:t>
            </w:r>
          </w:p>
        </w:tc>
        <w:tc>
          <w:tcPr>
            <w:tcW w:w="819" w:type="dxa"/>
            <w:noWrap w:val="0"/>
            <w:vAlign w:val="center"/>
          </w:tcPr>
          <w:p>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ind w:left="0" w:right="0"/>
              <w:jc w:val="center"/>
              <w:textAlignment w:val="auto"/>
              <w:rPr>
                <w:rFonts w:hint="eastAsia" w:ascii="仿宋" w:hAnsi="仿宋" w:eastAsia="仿宋" w:cs="仿宋"/>
                <w:color w:val="auto"/>
                <w:kern w:val="0"/>
                <w:sz w:val="24"/>
                <w:highlight w:val="none"/>
                <w:lang w:val="en-US" w:eastAsia="zh-CN"/>
              </w:rPr>
            </w:pPr>
            <w:r>
              <w:rPr>
                <w:rFonts w:hint="eastAsia" w:ascii="仿宋" w:hAnsi="仿宋" w:eastAsia="仿宋" w:cs="仿宋"/>
                <w:color w:val="auto"/>
                <w:kern w:val="0"/>
                <w:sz w:val="24"/>
                <w:highlight w:val="none"/>
                <w:lang w:val="en-US" w:eastAsia="zh-CN"/>
              </w:rPr>
              <w:t>0-5</w:t>
            </w:r>
          </w:p>
        </w:tc>
        <w:tc>
          <w:tcPr>
            <w:tcW w:w="954" w:type="dxa"/>
            <w:noWrap w:val="0"/>
            <w:vAlign w:val="center"/>
          </w:tcPr>
          <w:p>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ind w:left="0" w:right="0"/>
              <w:jc w:val="center"/>
              <w:textAlignment w:val="auto"/>
              <w:rPr>
                <w:rFonts w:hint="eastAsia" w:ascii="仿宋" w:hAnsi="仿宋" w:eastAsia="仿宋" w:cs="仿宋"/>
                <w:color w:val="auto"/>
                <w:kern w:val="0"/>
                <w:sz w:val="24"/>
                <w:highlight w:val="none"/>
                <w:lang w:val="en-US" w:eastAsia="zh-CN"/>
              </w:rPr>
            </w:pPr>
            <w:r>
              <w:rPr>
                <w:rFonts w:hint="eastAsia" w:ascii="仿宋" w:hAnsi="仿宋" w:eastAsia="仿宋" w:cs="仿宋"/>
                <w:color w:val="auto"/>
                <w:kern w:val="0"/>
                <w:sz w:val="24"/>
                <w:highlight w:val="none"/>
                <w:lang w:val="en-US" w:eastAsia="zh-CN"/>
              </w:rPr>
              <w:t>主观分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28" w:hRule="atLeast"/>
          <w:jc w:val="center"/>
        </w:trPr>
        <w:tc>
          <w:tcPr>
            <w:tcW w:w="819" w:type="dxa"/>
            <w:vMerge w:val="continue"/>
            <w:tcBorders>
              <w:bottom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textAlignment w:val="auto"/>
              <w:rPr>
                <w:rFonts w:hint="eastAsia" w:ascii="仿宋" w:hAnsi="仿宋" w:eastAsia="仿宋" w:cs="仿宋"/>
                <w:color w:val="auto"/>
                <w:sz w:val="24"/>
                <w:highlight w:val="none"/>
              </w:rPr>
            </w:pPr>
          </w:p>
        </w:tc>
        <w:tc>
          <w:tcPr>
            <w:tcW w:w="693" w:type="dxa"/>
            <w:noWrap w:val="0"/>
            <w:vAlign w:val="center"/>
          </w:tcPr>
          <w:p>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400" w:lineRule="exact"/>
              <w:ind w:left="0" w:right="0"/>
              <w:jc w:val="center"/>
              <w:textAlignment w:val="auto"/>
              <w:rPr>
                <w:rFonts w:hint="default" w:ascii="仿宋" w:hAnsi="仿宋" w:eastAsia="仿宋" w:cs="仿宋"/>
                <w:color w:val="auto"/>
                <w:sz w:val="24"/>
                <w:highlight w:val="none"/>
                <w:lang w:val="en-US" w:eastAsia="zh-CN"/>
              </w:rPr>
            </w:pPr>
            <w:r>
              <w:rPr>
                <w:rFonts w:hint="eastAsia" w:cs="仿宋"/>
                <w:color w:val="auto"/>
                <w:sz w:val="24"/>
                <w:highlight w:val="none"/>
                <w:lang w:val="en-US" w:eastAsia="zh-CN"/>
              </w:rPr>
              <w:t>17</w:t>
            </w:r>
          </w:p>
        </w:tc>
        <w:tc>
          <w:tcPr>
            <w:tcW w:w="693" w:type="dxa"/>
            <w:noWrap w:val="0"/>
            <w:vAlign w:val="center"/>
          </w:tcPr>
          <w:p>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jc w:val="center"/>
              <w:textAlignment w:val="auto"/>
              <w:rPr>
                <w:rFonts w:hint="default"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保证进度方案</w:t>
            </w:r>
          </w:p>
        </w:tc>
        <w:tc>
          <w:tcPr>
            <w:tcW w:w="5954" w:type="dxa"/>
            <w:noWrap w:val="0"/>
            <w:vAlign w:val="center"/>
          </w:tcPr>
          <w:p>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ind w:left="0" w:right="0"/>
              <w:jc w:val="left"/>
              <w:textAlignment w:val="auto"/>
              <w:rPr>
                <w:rFonts w:hint="eastAsia" w:ascii="仿宋" w:hAnsi="仿宋" w:eastAsia="仿宋" w:cs="仿宋"/>
                <w:color w:val="auto"/>
                <w:kern w:val="0"/>
                <w:sz w:val="24"/>
                <w:highlight w:val="none"/>
                <w:lang w:val="en-US" w:eastAsia="zh-CN"/>
              </w:rPr>
            </w:pPr>
            <w:r>
              <w:rPr>
                <w:rFonts w:hint="eastAsia" w:ascii="仿宋" w:hAnsi="仿宋" w:eastAsia="仿宋" w:cs="仿宋"/>
                <w:color w:val="auto"/>
                <w:kern w:val="0"/>
                <w:sz w:val="24"/>
                <w:highlight w:val="none"/>
                <w:lang w:val="en-US" w:eastAsia="zh-CN"/>
              </w:rPr>
              <w:t>保证进度和项目完成的方案和措施是否具有详细、科学、合理的培训计划、培训内容、时间段等情况完全：</w:t>
            </w:r>
          </w:p>
          <w:p>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ind w:left="0" w:right="0"/>
              <w:jc w:val="left"/>
              <w:textAlignment w:val="auto"/>
              <w:rPr>
                <w:rFonts w:hint="eastAsia" w:ascii="仿宋" w:hAnsi="仿宋" w:eastAsia="仿宋" w:cs="仿宋"/>
                <w:color w:val="auto"/>
                <w:kern w:val="0"/>
                <w:sz w:val="24"/>
                <w:highlight w:val="none"/>
                <w:lang w:val="en-US" w:eastAsia="zh-CN"/>
              </w:rPr>
            </w:pPr>
            <w:r>
              <w:rPr>
                <w:rFonts w:hint="eastAsia" w:ascii="仿宋" w:hAnsi="仿宋" w:eastAsia="仿宋" w:cs="仿宋"/>
                <w:color w:val="auto"/>
                <w:kern w:val="2"/>
                <w:sz w:val="24"/>
                <w:szCs w:val="24"/>
                <w:highlight w:val="none"/>
                <w:lang w:val="en-US" w:eastAsia="zh-CN" w:bidi="ar-SA"/>
              </w:rPr>
              <w:t>（方案内容完整且与项目匹配度好的得5分；方案内容基本完整且与项目匹配度较好的得3分；方案内容存在欠缺或与项目匹配度一般的得2分；方案内容与项目匹配度较差的得1分；方案内容缺失严重或与项目不匹配的不得分。）</w:t>
            </w:r>
          </w:p>
        </w:tc>
        <w:tc>
          <w:tcPr>
            <w:tcW w:w="819" w:type="dxa"/>
            <w:noWrap w:val="0"/>
            <w:vAlign w:val="center"/>
          </w:tcPr>
          <w:p>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ind w:left="0" w:right="0"/>
              <w:jc w:val="center"/>
              <w:textAlignment w:val="auto"/>
              <w:rPr>
                <w:rFonts w:hint="eastAsia" w:ascii="仿宋" w:hAnsi="仿宋" w:eastAsia="仿宋" w:cs="仿宋"/>
                <w:color w:val="auto"/>
                <w:kern w:val="0"/>
                <w:sz w:val="24"/>
                <w:highlight w:val="none"/>
                <w:lang w:val="en-US" w:eastAsia="zh-CN"/>
              </w:rPr>
            </w:pPr>
            <w:r>
              <w:rPr>
                <w:rFonts w:hint="eastAsia" w:ascii="仿宋" w:hAnsi="仿宋" w:eastAsia="仿宋" w:cs="仿宋"/>
                <w:color w:val="auto"/>
                <w:kern w:val="0"/>
                <w:sz w:val="24"/>
                <w:highlight w:val="none"/>
                <w:lang w:val="en-US" w:eastAsia="zh-CN"/>
              </w:rPr>
              <w:t>0-5</w:t>
            </w:r>
          </w:p>
        </w:tc>
        <w:tc>
          <w:tcPr>
            <w:tcW w:w="954" w:type="dxa"/>
            <w:noWrap w:val="0"/>
            <w:vAlign w:val="center"/>
          </w:tcPr>
          <w:p>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ind w:left="0" w:right="0"/>
              <w:jc w:val="center"/>
              <w:textAlignment w:val="auto"/>
              <w:rPr>
                <w:rFonts w:hint="eastAsia" w:ascii="仿宋" w:hAnsi="仿宋" w:eastAsia="仿宋" w:cs="仿宋"/>
                <w:color w:val="auto"/>
                <w:kern w:val="0"/>
                <w:sz w:val="24"/>
                <w:highlight w:val="none"/>
                <w:lang w:val="en-US" w:eastAsia="zh-CN"/>
              </w:rPr>
            </w:pPr>
            <w:r>
              <w:rPr>
                <w:rFonts w:hint="eastAsia" w:ascii="仿宋" w:hAnsi="仿宋" w:eastAsia="仿宋" w:cs="仿宋"/>
                <w:color w:val="auto"/>
                <w:kern w:val="0"/>
                <w:sz w:val="24"/>
                <w:highlight w:val="none"/>
                <w:lang w:val="en-US" w:eastAsia="zh-CN"/>
              </w:rPr>
              <w:t>主观分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08" w:hRule="atLeast"/>
          <w:jc w:val="center"/>
        </w:trPr>
        <w:tc>
          <w:tcPr>
            <w:tcW w:w="819" w:type="dxa"/>
            <w:vMerge w:val="restart"/>
            <w:tcBorders>
              <w:top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textAlignment w:val="auto"/>
              <w:rPr>
                <w:rFonts w:hint="eastAsia" w:ascii="仿宋" w:hAnsi="仿宋" w:eastAsia="仿宋" w:cs="仿宋"/>
                <w:color w:val="auto"/>
                <w:sz w:val="24"/>
                <w:highlight w:val="none"/>
              </w:rPr>
            </w:pPr>
          </w:p>
        </w:tc>
        <w:tc>
          <w:tcPr>
            <w:tcW w:w="693" w:type="dxa"/>
            <w:noWrap w:val="0"/>
            <w:vAlign w:val="center"/>
          </w:tcPr>
          <w:p>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400" w:lineRule="exact"/>
              <w:ind w:left="0" w:right="0"/>
              <w:jc w:val="center"/>
              <w:textAlignment w:val="auto"/>
              <w:rPr>
                <w:rFonts w:hint="default" w:ascii="仿宋" w:hAnsi="仿宋" w:eastAsia="仿宋" w:cs="仿宋"/>
                <w:color w:val="auto"/>
                <w:sz w:val="24"/>
                <w:highlight w:val="none"/>
                <w:lang w:val="en-US" w:eastAsia="zh-CN"/>
              </w:rPr>
            </w:pPr>
            <w:r>
              <w:rPr>
                <w:rFonts w:hint="eastAsia" w:cs="仿宋"/>
                <w:color w:val="auto"/>
                <w:sz w:val="24"/>
                <w:highlight w:val="none"/>
                <w:lang w:val="en-US" w:eastAsia="zh-CN"/>
              </w:rPr>
              <w:t>18</w:t>
            </w:r>
          </w:p>
        </w:tc>
        <w:tc>
          <w:tcPr>
            <w:tcW w:w="693" w:type="dxa"/>
            <w:vMerge w:val="restart"/>
            <w:noWrap w:val="0"/>
            <w:vAlign w:val="center"/>
          </w:tcPr>
          <w:p>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jc w:val="center"/>
              <w:textAlignment w:val="auto"/>
              <w:rPr>
                <w:rFonts w:hint="default"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内部管理情况</w:t>
            </w:r>
          </w:p>
        </w:tc>
        <w:tc>
          <w:tcPr>
            <w:tcW w:w="5954" w:type="dxa"/>
            <w:noWrap w:val="0"/>
            <w:vAlign w:val="center"/>
          </w:tcPr>
          <w:p>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ind w:left="0" w:right="0"/>
              <w:jc w:val="left"/>
              <w:textAlignment w:val="auto"/>
              <w:rPr>
                <w:rFonts w:hint="default" w:ascii="仿宋" w:hAnsi="仿宋" w:eastAsia="仿宋" w:cs="仿宋"/>
                <w:color w:val="auto"/>
                <w:kern w:val="0"/>
                <w:sz w:val="24"/>
                <w:highlight w:val="none"/>
                <w:lang w:val="en-US" w:eastAsia="zh-CN"/>
              </w:rPr>
            </w:pPr>
            <w:r>
              <w:rPr>
                <w:rFonts w:hint="eastAsia" w:ascii="仿宋" w:hAnsi="仿宋" w:eastAsia="仿宋" w:cs="仿宋"/>
                <w:color w:val="auto"/>
                <w:kern w:val="0"/>
                <w:sz w:val="24"/>
                <w:highlight w:val="none"/>
              </w:rPr>
              <w:t>内部管理制度和质量控制标准情况，是否具有相关规章制度和保障措施，视规章制度详细和优秀情况</w:t>
            </w:r>
            <w:r>
              <w:rPr>
                <w:rFonts w:hint="eastAsia" w:ascii="仿宋" w:hAnsi="仿宋" w:eastAsia="仿宋" w:cs="仿宋"/>
                <w:color w:val="auto"/>
                <w:kern w:val="0"/>
                <w:sz w:val="24"/>
                <w:highlight w:val="none"/>
                <w:lang w:val="en-US" w:eastAsia="zh-CN"/>
              </w:rPr>
              <w:t>进行综合评定。</w:t>
            </w:r>
            <w:r>
              <w:rPr>
                <w:rFonts w:hint="eastAsia" w:ascii="仿宋" w:hAnsi="仿宋" w:eastAsia="仿宋" w:cs="仿宋"/>
                <w:color w:val="auto"/>
                <w:kern w:val="2"/>
                <w:sz w:val="24"/>
                <w:szCs w:val="24"/>
                <w:highlight w:val="none"/>
                <w:lang w:val="en-US" w:eastAsia="zh-CN" w:bidi="ar-SA"/>
              </w:rPr>
              <w:t>（方案内容完整且与项目匹配度好的得3分；方案内容基本完整且与项目匹配度较好的得2分；方案内容存在欠缺或与项目匹配度一般的得1分；方案内容缺失严重或与项目不匹配的不得分。）</w:t>
            </w:r>
          </w:p>
        </w:tc>
        <w:tc>
          <w:tcPr>
            <w:tcW w:w="819" w:type="dxa"/>
            <w:noWrap w:val="0"/>
            <w:vAlign w:val="center"/>
          </w:tcPr>
          <w:p>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ind w:left="0" w:right="0"/>
              <w:jc w:val="center"/>
              <w:textAlignment w:val="auto"/>
              <w:rPr>
                <w:rFonts w:hint="default" w:ascii="仿宋" w:hAnsi="仿宋" w:eastAsia="仿宋" w:cs="仿宋"/>
                <w:color w:val="auto"/>
                <w:kern w:val="0"/>
                <w:sz w:val="24"/>
                <w:highlight w:val="none"/>
                <w:lang w:val="en-US" w:eastAsia="zh-CN"/>
              </w:rPr>
            </w:pPr>
            <w:r>
              <w:rPr>
                <w:rFonts w:hint="eastAsia" w:ascii="仿宋" w:hAnsi="仿宋" w:eastAsia="仿宋" w:cs="仿宋"/>
                <w:color w:val="auto"/>
                <w:kern w:val="0"/>
                <w:sz w:val="24"/>
                <w:highlight w:val="none"/>
                <w:lang w:val="en-US" w:eastAsia="zh-CN"/>
              </w:rPr>
              <w:t>0-3</w:t>
            </w:r>
          </w:p>
        </w:tc>
        <w:tc>
          <w:tcPr>
            <w:tcW w:w="954" w:type="dxa"/>
            <w:noWrap w:val="0"/>
            <w:vAlign w:val="center"/>
          </w:tcPr>
          <w:p>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ind w:left="0" w:right="0"/>
              <w:jc w:val="center"/>
              <w:textAlignment w:val="auto"/>
              <w:rPr>
                <w:rFonts w:hint="default" w:ascii="仿宋" w:hAnsi="仿宋" w:eastAsia="仿宋" w:cs="仿宋"/>
                <w:color w:val="auto"/>
                <w:kern w:val="0"/>
                <w:sz w:val="24"/>
                <w:highlight w:val="none"/>
                <w:lang w:val="en-US" w:eastAsia="zh-CN"/>
              </w:rPr>
            </w:pPr>
            <w:r>
              <w:rPr>
                <w:rFonts w:hint="eastAsia" w:ascii="仿宋" w:hAnsi="仿宋" w:eastAsia="仿宋" w:cs="仿宋"/>
                <w:color w:val="auto"/>
                <w:kern w:val="0"/>
                <w:sz w:val="24"/>
                <w:highlight w:val="none"/>
                <w:lang w:val="en-US" w:eastAsia="zh-CN"/>
              </w:rPr>
              <w:t>主观分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819" w:type="dxa"/>
            <w:vMerge w:val="continue"/>
            <w:noWrap w:val="0"/>
            <w:vAlign w:val="center"/>
          </w:tcPr>
          <w:p>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textAlignment w:val="auto"/>
              <w:rPr>
                <w:rFonts w:hint="eastAsia" w:ascii="仿宋" w:hAnsi="仿宋" w:eastAsia="仿宋" w:cs="仿宋"/>
                <w:color w:val="auto"/>
                <w:sz w:val="24"/>
                <w:highlight w:val="none"/>
              </w:rPr>
            </w:pPr>
          </w:p>
        </w:tc>
        <w:tc>
          <w:tcPr>
            <w:tcW w:w="693" w:type="dxa"/>
            <w:noWrap w:val="0"/>
            <w:vAlign w:val="center"/>
          </w:tcPr>
          <w:p>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400" w:lineRule="exact"/>
              <w:ind w:left="0" w:right="0"/>
              <w:jc w:val="center"/>
              <w:textAlignment w:val="auto"/>
              <w:rPr>
                <w:rFonts w:hint="default" w:ascii="仿宋" w:hAnsi="仿宋" w:eastAsia="仿宋" w:cs="仿宋"/>
                <w:color w:val="auto"/>
                <w:sz w:val="24"/>
                <w:highlight w:val="none"/>
                <w:lang w:val="en-US" w:eastAsia="zh-CN"/>
              </w:rPr>
            </w:pPr>
            <w:r>
              <w:rPr>
                <w:rFonts w:hint="eastAsia" w:cs="仿宋"/>
                <w:color w:val="auto"/>
                <w:sz w:val="24"/>
                <w:highlight w:val="none"/>
                <w:lang w:val="en-US" w:eastAsia="zh-CN"/>
              </w:rPr>
              <w:t>19</w:t>
            </w:r>
          </w:p>
        </w:tc>
        <w:tc>
          <w:tcPr>
            <w:tcW w:w="693" w:type="dxa"/>
            <w:vMerge w:val="continue"/>
            <w:noWrap w:val="0"/>
            <w:vAlign w:val="center"/>
          </w:tcPr>
          <w:p>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jc w:val="center"/>
              <w:textAlignment w:val="auto"/>
              <w:rPr>
                <w:rFonts w:hint="eastAsia" w:ascii="仿宋" w:hAnsi="仿宋" w:eastAsia="仿宋" w:cs="仿宋"/>
                <w:color w:val="auto"/>
                <w:sz w:val="24"/>
                <w:highlight w:val="none"/>
                <w:lang w:val="en-US" w:eastAsia="zh-CN"/>
              </w:rPr>
            </w:pPr>
          </w:p>
        </w:tc>
        <w:tc>
          <w:tcPr>
            <w:tcW w:w="5954" w:type="dxa"/>
            <w:noWrap w:val="0"/>
            <w:vAlign w:val="center"/>
          </w:tcPr>
          <w:p>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ind w:left="0" w:right="0"/>
              <w:jc w:val="left"/>
              <w:textAlignment w:val="auto"/>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是否实行信息化管理等情况</w:t>
            </w:r>
            <w:r>
              <w:rPr>
                <w:rFonts w:hint="eastAsia" w:ascii="仿宋" w:hAnsi="仿宋" w:eastAsia="仿宋" w:cs="仿宋"/>
                <w:color w:val="auto"/>
                <w:kern w:val="0"/>
                <w:sz w:val="24"/>
                <w:highlight w:val="none"/>
                <w:lang w:val="en-US" w:eastAsia="zh-CN"/>
              </w:rPr>
              <w:t>进行综合评定</w:t>
            </w:r>
            <w:r>
              <w:rPr>
                <w:rFonts w:hint="eastAsia" w:ascii="仿宋" w:hAnsi="仿宋" w:eastAsia="仿宋" w:cs="仿宋"/>
                <w:color w:val="auto"/>
                <w:kern w:val="2"/>
                <w:sz w:val="24"/>
                <w:szCs w:val="24"/>
                <w:highlight w:val="none"/>
                <w:lang w:val="en-US" w:eastAsia="zh-CN" w:bidi="ar-SA"/>
              </w:rPr>
              <w:t>（方案内容完整且与项目匹配度好的得2分；方案内容基本完整且与项目匹配度较好的得1分；方案内容存在欠缺或与项目匹配度一般的得0.5分；方案内容缺失严重或与项目不匹配的不得分。）</w:t>
            </w:r>
          </w:p>
        </w:tc>
        <w:tc>
          <w:tcPr>
            <w:tcW w:w="819" w:type="dxa"/>
            <w:noWrap w:val="0"/>
            <w:vAlign w:val="center"/>
          </w:tcPr>
          <w:p>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ind w:left="0" w:right="0"/>
              <w:jc w:val="center"/>
              <w:textAlignment w:val="auto"/>
              <w:rPr>
                <w:rFonts w:hint="default" w:ascii="仿宋" w:hAnsi="仿宋" w:eastAsia="仿宋" w:cs="仿宋"/>
                <w:color w:val="auto"/>
                <w:kern w:val="0"/>
                <w:sz w:val="24"/>
                <w:highlight w:val="none"/>
                <w:lang w:val="en-US" w:eastAsia="zh-CN"/>
              </w:rPr>
            </w:pPr>
            <w:r>
              <w:rPr>
                <w:rFonts w:hint="eastAsia" w:ascii="仿宋" w:hAnsi="仿宋" w:eastAsia="仿宋" w:cs="仿宋"/>
                <w:color w:val="auto"/>
                <w:kern w:val="0"/>
                <w:sz w:val="24"/>
                <w:highlight w:val="none"/>
                <w:lang w:val="en-US" w:eastAsia="zh-CN"/>
              </w:rPr>
              <w:t>0-2</w:t>
            </w:r>
          </w:p>
        </w:tc>
        <w:tc>
          <w:tcPr>
            <w:tcW w:w="954" w:type="dxa"/>
            <w:noWrap w:val="0"/>
            <w:vAlign w:val="center"/>
          </w:tcPr>
          <w:p>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ind w:left="0" w:right="0"/>
              <w:jc w:val="center"/>
              <w:textAlignment w:val="auto"/>
              <w:rPr>
                <w:rFonts w:hint="eastAsia" w:ascii="仿宋" w:hAnsi="仿宋" w:eastAsia="仿宋" w:cs="仿宋"/>
                <w:color w:val="auto"/>
                <w:kern w:val="0"/>
                <w:sz w:val="24"/>
                <w:highlight w:val="none"/>
                <w:lang w:val="en-US" w:eastAsia="zh-CN"/>
              </w:rPr>
            </w:pPr>
            <w:r>
              <w:rPr>
                <w:rFonts w:hint="eastAsia" w:ascii="仿宋" w:hAnsi="仿宋" w:eastAsia="仿宋" w:cs="仿宋"/>
                <w:color w:val="auto"/>
                <w:kern w:val="0"/>
                <w:sz w:val="24"/>
                <w:highlight w:val="none"/>
                <w:lang w:val="en-US" w:eastAsia="zh-CN"/>
              </w:rPr>
              <w:t>主观分</w:t>
            </w:r>
          </w:p>
        </w:tc>
      </w:tr>
    </w:tbl>
    <w:p>
      <w:pPr>
        <w:keepNext w:val="0"/>
        <w:keepLines w:val="0"/>
        <w:pageBreakBefore w:val="0"/>
        <w:kinsoku/>
        <w:wordWrap/>
        <w:overflowPunct/>
        <w:topLinePunct w:val="0"/>
        <w:autoSpaceDE/>
        <w:autoSpaceDN/>
        <w:bidi w:val="0"/>
        <w:snapToGrid w:val="0"/>
        <w:spacing w:line="360" w:lineRule="atLeast"/>
        <w:textAlignment w:val="auto"/>
        <w:outlineLvl w:val="9"/>
        <w:rPr>
          <w:rFonts w:hint="eastAsia" w:cs="仿宋_GB2312"/>
          <w:b/>
          <w:color w:val="auto"/>
        </w:rPr>
      </w:pPr>
    </w:p>
    <w:p>
      <w:pPr>
        <w:pStyle w:val="4"/>
        <w:rPr>
          <w:rFonts w:hint="eastAsia" w:ascii="仿宋" w:hAnsi="仿宋" w:eastAsia="仿宋" w:cs="仿宋_GB2312"/>
          <w:b w:val="0"/>
          <w:color w:val="auto"/>
          <w:sz w:val="24"/>
          <w:szCs w:val="24"/>
          <w:highlight w:val="none"/>
          <w:lang w:val="en-US" w:eastAsia="zh-CN" w:bidi="ar-SA"/>
        </w:rPr>
      </w:pPr>
    </w:p>
    <w:p>
      <w:pPr>
        <w:keepNext w:val="0"/>
        <w:keepLines w:val="0"/>
        <w:pageBreakBefore w:val="0"/>
        <w:widowControl/>
        <w:kinsoku/>
        <w:wordWrap/>
        <w:overflowPunct/>
        <w:topLinePunct w:val="0"/>
        <w:autoSpaceDE/>
        <w:autoSpaceDN/>
        <w:bidi w:val="0"/>
        <w:adjustRightInd/>
        <w:snapToGrid/>
        <w:spacing w:after="0" w:line="240" w:lineRule="auto"/>
        <w:textAlignment w:val="auto"/>
        <w:rPr>
          <w:rFonts w:cs="仿宋_GB2312"/>
          <w:b/>
          <w:color w:val="auto"/>
          <w:highlight w:val="none"/>
        </w:rPr>
      </w:pPr>
      <w:r>
        <w:rPr>
          <w:rFonts w:hint="eastAsia" w:cs="仿宋_GB2312"/>
          <w:b/>
          <w:color w:val="auto"/>
          <w:highlight w:val="none"/>
          <w:lang w:eastAsia="zh-CN"/>
        </w:rPr>
        <w:t>二．</w:t>
      </w:r>
      <w:r>
        <w:rPr>
          <w:rFonts w:hint="eastAsia" w:cs="仿宋_GB2312"/>
          <w:b/>
          <w:color w:val="auto"/>
          <w:highlight w:val="none"/>
        </w:rPr>
        <w:t>价格分（</w:t>
      </w:r>
      <w:r>
        <w:rPr>
          <w:rFonts w:hint="eastAsia" w:cs="仿宋_GB2312"/>
          <w:b/>
          <w:color w:val="auto"/>
          <w:highlight w:val="none"/>
          <w:lang w:val="en-US" w:eastAsia="zh-CN"/>
        </w:rPr>
        <w:t>10</w:t>
      </w:r>
      <w:r>
        <w:rPr>
          <w:rFonts w:hint="eastAsia" w:cs="仿宋_GB2312"/>
          <w:b/>
          <w:color w:val="auto"/>
          <w:highlight w:val="none"/>
        </w:rPr>
        <w:t>分）</w:t>
      </w:r>
    </w:p>
    <w:tbl>
      <w:tblPr>
        <w:tblStyle w:val="27"/>
        <w:tblpPr w:leftFromText="180" w:rightFromText="180" w:vertAnchor="text" w:tblpXSpec="center" w:tblpY="1"/>
        <w:tblOverlap w:val="never"/>
        <w:tblW w:w="9193" w:type="dxa"/>
        <w:tblInd w:w="326"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583"/>
        <w:gridCol w:w="661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06" w:hRule="atLeast"/>
        </w:trPr>
        <w:tc>
          <w:tcPr>
            <w:tcW w:w="2583" w:type="dxa"/>
            <w:vAlign w:val="center"/>
          </w:tcPr>
          <w:p>
            <w:pPr>
              <w:keepNext w:val="0"/>
              <w:keepLines w:val="0"/>
              <w:widowControl/>
              <w:suppressLineNumbers w:val="0"/>
              <w:spacing w:before="0" w:beforeAutospacing="0" w:after="0" w:afterAutospacing="0"/>
              <w:ind w:left="0" w:right="0"/>
              <w:jc w:val="center"/>
              <w:rPr>
                <w:rFonts w:hint="default" w:eastAsia="仿宋"/>
                <w:color w:val="auto"/>
                <w:highlight w:val="none"/>
                <w:lang w:val="en-US" w:eastAsia="zh-CN"/>
              </w:rPr>
            </w:pPr>
            <w:r>
              <w:rPr>
                <w:rFonts w:hint="eastAsia" w:cs="仿宋_GB2312"/>
                <w:color w:val="auto"/>
                <w:highlight w:val="none"/>
              </w:rPr>
              <w:t>价格权值</w:t>
            </w:r>
            <w:r>
              <w:rPr>
                <w:rFonts w:hint="eastAsia" w:cs="仿宋_GB2312"/>
                <w:color w:val="auto"/>
                <w:highlight w:val="none"/>
                <w:lang w:eastAsia="zh-CN"/>
              </w:rPr>
              <w:t>＝</w:t>
            </w:r>
            <w:r>
              <w:rPr>
                <w:rFonts w:hint="eastAsia" w:cs="仿宋_GB2312"/>
                <w:color w:val="auto"/>
                <w:highlight w:val="none"/>
                <w:lang w:val="en-US" w:eastAsia="zh-CN"/>
              </w:rPr>
              <w:t>0.10</w:t>
            </w:r>
          </w:p>
        </w:tc>
        <w:tc>
          <w:tcPr>
            <w:tcW w:w="6610" w:type="dxa"/>
            <w:vAlign w:val="center"/>
          </w:tcPr>
          <w:p>
            <w:pPr>
              <w:keepNext w:val="0"/>
              <w:keepLines w:val="0"/>
              <w:widowControl/>
              <w:suppressLineNumbers w:val="0"/>
              <w:spacing w:before="0" w:beforeAutospacing="0" w:after="0" w:afterAutospacing="0" w:line="360" w:lineRule="auto"/>
              <w:ind w:left="0" w:right="0"/>
              <w:jc w:val="center"/>
              <w:rPr>
                <w:rFonts w:hint="default" w:cs="仿宋_GB2312"/>
                <w:color w:val="auto"/>
                <w:highlight w:val="none"/>
              </w:rPr>
            </w:pPr>
            <w:r>
              <w:rPr>
                <w:rFonts w:hint="eastAsia" w:cs="仿宋_GB2312"/>
                <w:color w:val="auto"/>
                <w:highlight w:val="none"/>
              </w:rPr>
              <w:t>最低有效投标价格为评标基准价</w:t>
            </w:r>
          </w:p>
          <w:p>
            <w:pPr>
              <w:keepNext w:val="0"/>
              <w:keepLines w:val="0"/>
              <w:widowControl/>
              <w:suppressLineNumbers w:val="0"/>
              <w:spacing w:before="0" w:beforeAutospacing="0" w:after="0" w:afterAutospacing="0" w:line="360" w:lineRule="auto"/>
              <w:ind w:left="0" w:right="0"/>
              <w:jc w:val="center"/>
              <w:rPr>
                <w:rFonts w:hint="default" w:cs="仿宋_GB2312"/>
                <w:color w:val="auto"/>
                <w:highlight w:val="none"/>
              </w:rPr>
            </w:pPr>
            <w:r>
              <w:rPr>
                <w:rFonts w:hint="eastAsia" w:cs="仿宋_GB2312"/>
                <w:color w:val="auto"/>
                <w:highlight w:val="none"/>
              </w:rPr>
              <w:t>投标报价得分</w:t>
            </w:r>
            <w:r>
              <w:rPr>
                <w:rFonts w:hint="default" w:cs="仿宋_GB2312"/>
                <w:color w:val="auto"/>
                <w:highlight w:val="none"/>
              </w:rPr>
              <w:t>=(</w:t>
            </w:r>
            <w:r>
              <w:rPr>
                <w:rFonts w:hint="eastAsia" w:cs="仿宋_GB2312"/>
                <w:color w:val="auto"/>
                <w:highlight w:val="none"/>
              </w:rPr>
              <w:t>评标基准价／投标报价</w:t>
            </w:r>
            <w:r>
              <w:rPr>
                <w:rFonts w:hint="default" w:cs="仿宋_GB2312"/>
                <w:color w:val="auto"/>
                <w:highlight w:val="none"/>
              </w:rPr>
              <w:t>)</w:t>
            </w:r>
            <w:r>
              <w:rPr>
                <w:rFonts w:hint="eastAsia" w:cs="仿宋_GB2312"/>
                <w:color w:val="auto"/>
                <w:highlight w:val="none"/>
              </w:rPr>
              <w:t>×价格权值×</w:t>
            </w:r>
            <w:r>
              <w:rPr>
                <w:rFonts w:hint="default" w:cs="仿宋_GB2312"/>
                <w:color w:val="auto"/>
                <w:highlight w:val="none"/>
              </w:rPr>
              <w:t>100</w:t>
            </w:r>
          </w:p>
          <w:p>
            <w:pPr>
              <w:keepNext w:val="0"/>
              <w:keepLines w:val="0"/>
              <w:widowControl/>
              <w:suppressLineNumbers w:val="0"/>
              <w:spacing w:before="0" w:beforeAutospacing="0" w:after="0" w:afterAutospacing="0"/>
              <w:ind w:left="0" w:right="0"/>
              <w:jc w:val="center"/>
              <w:rPr>
                <w:rFonts w:hint="default"/>
                <w:color w:val="auto"/>
                <w:highlight w:val="none"/>
              </w:rPr>
            </w:pPr>
            <w:r>
              <w:rPr>
                <w:rFonts w:hint="eastAsia" w:cs="仿宋_GB2312"/>
                <w:color w:val="auto"/>
                <w:highlight w:val="none"/>
              </w:rPr>
              <w:t>（计算得分保留小数点后</w:t>
            </w:r>
            <w:r>
              <w:rPr>
                <w:rFonts w:hint="default" w:cs="仿宋_GB2312"/>
                <w:color w:val="auto"/>
                <w:highlight w:val="none"/>
              </w:rPr>
              <w:t>2</w:t>
            </w:r>
            <w:r>
              <w:rPr>
                <w:rFonts w:hint="eastAsia" w:cs="仿宋_GB2312"/>
                <w:color w:val="auto"/>
                <w:highlight w:val="none"/>
              </w:rPr>
              <w:t>位）</w:t>
            </w:r>
          </w:p>
        </w:tc>
      </w:tr>
    </w:tbl>
    <w:p>
      <w:pPr>
        <w:spacing w:line="360" w:lineRule="auto"/>
        <w:rPr>
          <w:rFonts w:cs="仿宋_GB2312"/>
          <w:color w:val="auto"/>
          <w:highlight w:val="none"/>
        </w:rPr>
      </w:pPr>
      <w:r>
        <w:rPr>
          <w:rFonts w:hint="eastAsia" w:cs="仿宋_GB2312"/>
          <w:b/>
          <w:color w:val="auto"/>
          <w:highlight w:val="none"/>
        </w:rPr>
        <w:t>备注：</w:t>
      </w:r>
      <w:r>
        <w:rPr>
          <w:rFonts w:hint="eastAsia" w:cs="仿宋_GB2312"/>
          <w:color w:val="auto"/>
          <w:highlight w:val="none"/>
        </w:rPr>
        <w:t>1、评分条款中涉及的业绩、荣誉、人员、社保等分公司均有效。</w:t>
      </w:r>
    </w:p>
    <w:p>
      <w:pPr>
        <w:spacing w:line="360" w:lineRule="auto"/>
        <w:rPr>
          <w:rFonts w:cs="仿宋_GB2312"/>
          <w:color w:val="auto"/>
          <w:highlight w:val="none"/>
        </w:rPr>
      </w:pPr>
      <w:r>
        <w:rPr>
          <w:rFonts w:hint="eastAsia" w:cs="仿宋_GB2312"/>
          <w:color w:val="auto"/>
          <w:highlight w:val="none"/>
        </w:rPr>
        <w:t>2、投标文件中如附有外文资料，必须逐一对应翻译成中文并加盖投标人公章后附在相关外文资料后面，否则外文资料不予认可。翻译的中文资料与外文资料不符的，均不予认可。翻译严重错误的，将视同提供虚假资料。</w:t>
      </w:r>
    </w:p>
    <w:p>
      <w:pPr>
        <w:spacing w:line="360" w:lineRule="auto"/>
        <w:rPr>
          <w:rFonts w:cs="仿宋_GB2312"/>
          <w:color w:val="auto"/>
          <w:highlight w:val="none"/>
        </w:rPr>
      </w:pPr>
      <w:r>
        <w:rPr>
          <w:rFonts w:hint="eastAsia" w:cs="仿宋_GB2312"/>
          <w:color w:val="auto"/>
          <w:highlight w:val="none"/>
        </w:rPr>
        <w:t>3、投标人编制投标文件（商务技术文件部分）时，建议按此目录（序号和内容）提供评标标准相应的商务技术资料。</w:t>
      </w:r>
      <w:r>
        <w:rPr>
          <w:rFonts w:cs="仿宋_GB2312"/>
          <w:color w:val="auto"/>
          <w:highlight w:val="none"/>
        </w:rPr>
        <w:t> </w:t>
      </w:r>
    </w:p>
    <w:p>
      <w:pPr>
        <w:pStyle w:val="2"/>
        <w:rPr>
          <w:color w:val="auto"/>
          <w:highlight w:val="none"/>
        </w:rPr>
      </w:pPr>
      <w:r>
        <w:rPr>
          <w:rFonts w:hint="eastAsia"/>
          <w:color w:val="auto"/>
          <w:highlight w:val="none"/>
        </w:rPr>
        <w:t>一、评标方法</w:t>
      </w:r>
    </w:p>
    <w:p>
      <w:pPr>
        <w:spacing w:line="360" w:lineRule="auto"/>
        <w:ind w:firstLine="472" w:firstLineChars="196"/>
        <w:rPr>
          <w:rFonts w:ascii="仿宋_GB2312" w:eastAsia="仿宋_GB2312" w:cs="Arial"/>
          <w:color w:val="auto"/>
          <w:highlight w:val="none"/>
        </w:rPr>
      </w:pPr>
      <w:r>
        <w:rPr>
          <w:rStyle w:val="39"/>
          <w:color w:val="auto"/>
          <w:highlight w:val="none"/>
        </w:rPr>
        <w:t>1.</w:t>
      </w:r>
      <w:r>
        <w:rPr>
          <w:rStyle w:val="39"/>
          <w:rFonts w:hint="eastAsia"/>
          <w:color w:val="auto"/>
          <w:highlight w:val="none"/>
        </w:rPr>
        <w:t>本项目采用综合评分法。</w:t>
      </w:r>
      <w:r>
        <w:rPr>
          <w:rFonts w:hint="eastAsia" w:ascii="仿宋_GB2312" w:eastAsia="仿宋_GB2312" w:cs="Arial"/>
          <w:color w:val="auto"/>
          <w:highlight w:val="none"/>
        </w:rPr>
        <w:t>综合评分法，是指投标文件满足招标文件全部实质性要求，且按照评审因素的量化指标评审得分最高的投标人为中标候选人的评标方法。</w:t>
      </w:r>
    </w:p>
    <w:p>
      <w:pPr>
        <w:pStyle w:val="2"/>
        <w:rPr>
          <w:rFonts w:cs="Arial"/>
          <w:color w:val="auto"/>
          <w:sz w:val="24"/>
          <w:highlight w:val="none"/>
        </w:rPr>
      </w:pPr>
      <w:r>
        <w:rPr>
          <w:rFonts w:hint="eastAsia"/>
          <w:color w:val="auto"/>
          <w:highlight w:val="none"/>
        </w:rPr>
        <w:t>二、评标标准</w:t>
      </w:r>
    </w:p>
    <w:p>
      <w:pPr>
        <w:spacing w:line="360" w:lineRule="auto"/>
        <w:ind w:firstLine="472" w:firstLineChars="196"/>
        <w:rPr>
          <w:rFonts w:ascii="仿宋_GB2312" w:hAnsi="仿宋_GB2312" w:eastAsia="仿宋_GB2312" w:cs="仿宋_GB2312"/>
          <w:b/>
          <w:color w:val="auto"/>
          <w:highlight w:val="none"/>
        </w:rPr>
      </w:pPr>
      <w:r>
        <w:rPr>
          <w:rStyle w:val="39"/>
          <w:color w:val="auto"/>
          <w:highlight w:val="none"/>
        </w:rPr>
        <w:t xml:space="preserve">2. </w:t>
      </w:r>
      <w:r>
        <w:rPr>
          <w:rStyle w:val="39"/>
          <w:rFonts w:hint="eastAsia"/>
          <w:color w:val="auto"/>
          <w:highlight w:val="none"/>
        </w:rPr>
        <w:t>评标标准：</w:t>
      </w:r>
      <w:r>
        <w:rPr>
          <w:rFonts w:hint="eastAsia" w:ascii="仿宋_GB2312" w:eastAsia="仿宋_GB2312" w:cs="Arial"/>
          <w:color w:val="auto"/>
          <w:highlight w:val="none"/>
        </w:rPr>
        <w:t>见评标办法前附表。</w:t>
      </w:r>
    </w:p>
    <w:p>
      <w:pPr>
        <w:pStyle w:val="2"/>
        <w:rPr>
          <w:color w:val="auto"/>
          <w:highlight w:val="none"/>
        </w:rPr>
      </w:pPr>
      <w:r>
        <w:rPr>
          <w:rFonts w:hint="eastAsia"/>
          <w:color w:val="auto"/>
          <w:highlight w:val="none"/>
        </w:rPr>
        <w:t>三、评标程序</w:t>
      </w:r>
    </w:p>
    <w:p>
      <w:pPr>
        <w:spacing w:line="360" w:lineRule="auto"/>
        <w:ind w:firstLine="472" w:firstLineChars="196"/>
        <w:rPr>
          <w:rFonts w:ascii="仿宋_GB2312" w:eastAsia="仿宋_GB2312" w:cs="Arial"/>
          <w:color w:val="auto"/>
          <w:highlight w:val="none"/>
        </w:rPr>
      </w:pPr>
      <w:r>
        <w:rPr>
          <w:rStyle w:val="39"/>
          <w:color w:val="auto"/>
          <w:highlight w:val="none"/>
        </w:rPr>
        <w:t>3.1符合性审查。</w:t>
      </w:r>
      <w:r>
        <w:rPr>
          <w:rFonts w:ascii="仿宋_GB2312" w:eastAsia="仿宋_GB2312" w:cs="Arial"/>
          <w:color w:val="auto"/>
          <w:highlight w:val="none"/>
        </w:rPr>
        <w:t>评标委员会应当对符合资格的投标人的投标文件进行符合性审查，以确定其是否满足招标文件的实质性要求。</w:t>
      </w:r>
      <w:r>
        <w:rPr>
          <w:rFonts w:hint="eastAsia" w:ascii="仿宋_GB2312" w:eastAsia="仿宋_GB2312" w:cs="Arial"/>
          <w:color w:val="auto"/>
          <w:highlight w:val="none"/>
        </w:rPr>
        <w:t>不</w:t>
      </w:r>
      <w:r>
        <w:rPr>
          <w:rFonts w:ascii="仿宋_GB2312" w:eastAsia="仿宋_GB2312" w:cs="Arial"/>
          <w:color w:val="auto"/>
          <w:highlight w:val="none"/>
        </w:rPr>
        <w:t>满足招标文件的实质性要求</w:t>
      </w:r>
      <w:r>
        <w:rPr>
          <w:rFonts w:hint="eastAsia" w:ascii="仿宋_GB2312" w:eastAsia="仿宋_GB2312" w:cs="Arial"/>
          <w:color w:val="auto"/>
          <w:highlight w:val="none"/>
        </w:rPr>
        <w:t>的，投标无效。</w:t>
      </w:r>
    </w:p>
    <w:p>
      <w:pPr>
        <w:spacing w:line="360" w:lineRule="auto"/>
        <w:ind w:firstLine="472" w:firstLineChars="196"/>
        <w:rPr>
          <w:rFonts w:ascii="仿宋_GB2312" w:eastAsia="仿宋_GB2312" w:cs="Arial"/>
          <w:color w:val="auto"/>
          <w:highlight w:val="none"/>
        </w:rPr>
      </w:pPr>
      <w:r>
        <w:rPr>
          <w:rStyle w:val="39"/>
          <w:color w:val="auto"/>
          <w:highlight w:val="none"/>
        </w:rPr>
        <w:t xml:space="preserve">3.2 </w:t>
      </w:r>
      <w:r>
        <w:rPr>
          <w:rStyle w:val="39"/>
          <w:rFonts w:hint="eastAsia"/>
          <w:color w:val="auto"/>
          <w:highlight w:val="none"/>
        </w:rPr>
        <w:t>比较与评价。</w:t>
      </w:r>
      <w:r>
        <w:rPr>
          <w:rFonts w:ascii="仿宋_GB2312" w:eastAsia="仿宋_GB2312" w:cs="Arial"/>
          <w:color w:val="auto"/>
          <w:highlight w:val="none"/>
        </w:rPr>
        <w:t>评标委员会应当按照招标文件中规定的评标方法和标准，对符合性审查合格的投标文件进行商务和技术评估，综合比较与评价。</w:t>
      </w:r>
    </w:p>
    <w:p>
      <w:pPr>
        <w:spacing w:line="360" w:lineRule="auto"/>
        <w:ind w:firstLine="472" w:firstLineChars="196"/>
        <w:rPr>
          <w:rFonts w:ascii="仿宋_GB2312" w:eastAsia="仿宋_GB2312" w:cs="Arial"/>
          <w:color w:val="auto"/>
          <w:highlight w:val="none"/>
        </w:rPr>
      </w:pPr>
      <w:r>
        <w:rPr>
          <w:rStyle w:val="39"/>
          <w:color w:val="auto"/>
          <w:highlight w:val="none"/>
        </w:rPr>
        <w:t>3.3汇总商务技术得分。</w:t>
      </w:r>
      <w:r>
        <w:rPr>
          <w:rFonts w:hint="eastAsia" w:ascii="仿宋_GB2312" w:eastAsia="仿宋_GB2312" w:cs="Arial"/>
          <w:color w:val="auto"/>
          <w:highlight w:val="none"/>
        </w:rPr>
        <w:t>评标委员会各成员应当独立对每个投标人的商务和技术文件进行评价，并汇总商务技术得分情况。</w:t>
      </w:r>
    </w:p>
    <w:p>
      <w:pPr>
        <w:pStyle w:val="4"/>
        <w:rPr>
          <w:color w:val="auto"/>
          <w:highlight w:val="none"/>
        </w:rPr>
      </w:pPr>
      <w:r>
        <w:rPr>
          <w:color w:val="auto"/>
          <w:highlight w:val="none"/>
        </w:rPr>
        <w:tab/>
      </w:r>
      <w:r>
        <w:rPr>
          <w:color w:val="auto"/>
          <w:highlight w:val="none"/>
        </w:rPr>
        <w:t>3.4报价评审。</w:t>
      </w:r>
    </w:p>
    <w:p>
      <w:pPr>
        <w:pStyle w:val="63"/>
        <w:rPr>
          <w:color w:val="auto"/>
          <w:highlight w:val="none"/>
        </w:rPr>
      </w:pPr>
      <w:r>
        <w:rPr>
          <w:color w:val="auto"/>
          <w:highlight w:val="none"/>
        </w:rPr>
        <w:t>3.4.1投标文件报价出现前后不一致的，按照下列规定修正：</w:t>
      </w:r>
    </w:p>
    <w:p>
      <w:pPr>
        <w:pStyle w:val="63"/>
        <w:rPr>
          <w:color w:val="auto"/>
          <w:highlight w:val="none"/>
        </w:rPr>
      </w:pPr>
      <w:r>
        <w:rPr>
          <w:color w:val="auto"/>
          <w:highlight w:val="none"/>
        </w:rPr>
        <w:t>3.4.1.1投标文件中开标一览表(报价表)内容与投标文件中相应内容不一致的，以开标一览表(报价表)为准;</w:t>
      </w:r>
    </w:p>
    <w:p>
      <w:pPr>
        <w:pStyle w:val="63"/>
        <w:rPr>
          <w:color w:val="auto"/>
          <w:highlight w:val="none"/>
        </w:rPr>
      </w:pPr>
      <w:r>
        <w:rPr>
          <w:color w:val="auto"/>
          <w:highlight w:val="none"/>
        </w:rPr>
        <w:t>3.4.1.2大写金额和小写金额不一致的，以大写金额为准;</w:t>
      </w:r>
    </w:p>
    <w:p>
      <w:pPr>
        <w:pStyle w:val="63"/>
        <w:rPr>
          <w:color w:val="auto"/>
          <w:highlight w:val="none"/>
        </w:rPr>
      </w:pPr>
      <w:r>
        <w:rPr>
          <w:color w:val="auto"/>
          <w:highlight w:val="none"/>
        </w:rPr>
        <w:t>3.4.1.3单价金额小数点或者百分比有明显错位的，以开标一览表的总价为准，并修改单价;</w:t>
      </w:r>
    </w:p>
    <w:p>
      <w:pPr>
        <w:pStyle w:val="63"/>
        <w:rPr>
          <w:color w:val="auto"/>
          <w:highlight w:val="none"/>
        </w:rPr>
      </w:pPr>
      <w:r>
        <w:rPr>
          <w:color w:val="auto"/>
          <w:highlight w:val="none"/>
        </w:rPr>
        <w:t>3.4.1.4总价金额与按单价汇总金额不一致的，以单价金额计算结果为准。</w:t>
      </w:r>
    </w:p>
    <w:p>
      <w:pPr>
        <w:pStyle w:val="63"/>
        <w:rPr>
          <w:color w:val="auto"/>
          <w:highlight w:val="none"/>
        </w:rPr>
      </w:pPr>
      <w:r>
        <w:rPr>
          <w:color w:val="auto"/>
          <w:highlight w:val="none"/>
        </w:rPr>
        <w:t>3.4.1.5同时出现两种以上不一致的，按照3.4.1</w:t>
      </w:r>
      <w:r>
        <w:rPr>
          <w:rFonts w:hint="eastAsia"/>
          <w:color w:val="auto"/>
          <w:highlight w:val="none"/>
        </w:rPr>
        <w:t>规定的顺序修正。修正后的报价按照财政部第</w:t>
      </w:r>
      <w:r>
        <w:rPr>
          <w:color w:val="auto"/>
          <w:highlight w:val="none"/>
        </w:rPr>
        <w:t xml:space="preserve">87号令 </w:t>
      </w:r>
      <w:r>
        <w:rPr>
          <w:rFonts w:hint="eastAsia"/>
          <w:color w:val="auto"/>
          <w:highlight w:val="none"/>
        </w:rPr>
        <w:t>《政府采购货物和服务招标投标管理办法》第五十一条第二款的规定经投标人确认后产生约束力。</w:t>
      </w:r>
    </w:p>
    <w:p>
      <w:pPr>
        <w:snapToGrid w:val="0"/>
        <w:spacing w:line="360" w:lineRule="auto"/>
        <w:ind w:firstLine="480" w:firstLineChars="200"/>
        <w:rPr>
          <w:rFonts w:cs="仿宋"/>
          <w:color w:val="auto"/>
          <w:highlight w:val="none"/>
        </w:rPr>
      </w:pPr>
      <w:r>
        <w:rPr>
          <w:rFonts w:cs="仿宋"/>
          <w:color w:val="auto"/>
          <w:highlight w:val="none"/>
        </w:rPr>
        <w:t>3.4.2</w:t>
      </w:r>
      <w:r>
        <w:rPr>
          <w:rFonts w:hint="eastAsia" w:cs="仿宋"/>
          <w:color w:val="auto"/>
          <w:highlight w:val="none"/>
        </w:rPr>
        <w:t>投标文件出现不是唯一的、有选择性投标报价的，投标无效。</w:t>
      </w:r>
    </w:p>
    <w:p>
      <w:pPr>
        <w:snapToGrid w:val="0"/>
        <w:spacing w:line="360" w:lineRule="auto"/>
        <w:ind w:firstLine="480" w:firstLineChars="200"/>
        <w:rPr>
          <w:rFonts w:cs="仿宋"/>
          <w:color w:val="auto"/>
          <w:highlight w:val="none"/>
        </w:rPr>
      </w:pPr>
      <w:r>
        <w:rPr>
          <w:rFonts w:cs="仿宋"/>
          <w:color w:val="auto"/>
          <w:highlight w:val="none"/>
        </w:rPr>
        <w:t>3.4.3</w:t>
      </w:r>
      <w:r>
        <w:rPr>
          <w:rFonts w:hint="eastAsia" w:cs="仿宋"/>
          <w:color w:val="auto"/>
          <w:highlight w:val="none"/>
        </w:rPr>
        <w:t>投标报价超过招标文件中规定的预算金额或者最高限价的，投标无效。</w:t>
      </w:r>
    </w:p>
    <w:p>
      <w:pPr>
        <w:pStyle w:val="63"/>
        <w:rPr>
          <w:color w:val="auto"/>
          <w:highlight w:val="none"/>
        </w:rPr>
      </w:pPr>
      <w:r>
        <w:rPr>
          <w:color w:val="auto"/>
          <w:highlight w:val="none"/>
        </w:rPr>
        <w:t>3.4.4</w:t>
      </w:r>
      <w:r>
        <w:rPr>
          <w:rFonts w:hint="eastAsia"/>
          <w:color w:val="auto"/>
          <w:highlight w:val="none"/>
        </w:rPr>
        <w:t>评标委员会认为投标人的报价明显低于其他通过符合性审查投标人的报价，有可能影响产品质量或者不能诚信履约的，应当要求其在合理的时间内提供书面说明，必要时提交相关证明材料</w:t>
      </w:r>
      <w:r>
        <w:rPr>
          <w:color w:val="auto"/>
          <w:highlight w:val="none"/>
        </w:rPr>
        <w:t>;投标人不能证明其报价合理性的，评标委员会应当将其作为无效投标处理。</w:t>
      </w:r>
    </w:p>
    <w:p>
      <w:pPr>
        <w:pStyle w:val="63"/>
        <w:rPr>
          <w:color w:val="auto"/>
          <w:highlight w:val="none"/>
        </w:rPr>
      </w:pPr>
      <w:r>
        <w:rPr>
          <w:color w:val="auto"/>
          <w:highlight w:val="none"/>
        </w:rPr>
        <w:t>3.4.5</w:t>
      </w:r>
      <w:r>
        <w:rPr>
          <w:rFonts w:hint="eastAsia"/>
          <w:color w:val="auto"/>
          <w:highlight w:val="none"/>
        </w:rPr>
        <w:t>对于未预留份额专门面向中小企业的政府采购货物或服务项目，以及预留份额政府采购货物或服务项目中的非预留部分标项，对小型和微型企业的投标报价给予2</w:t>
      </w:r>
      <w:r>
        <w:rPr>
          <w:color w:val="auto"/>
          <w:highlight w:val="none"/>
        </w:rPr>
        <w:t>0%的扣除，用扣除后的价格参与评审。接受大中型企业与小</w:t>
      </w:r>
      <w:r>
        <w:rPr>
          <w:rFonts w:hint="eastAsia"/>
          <w:color w:val="auto"/>
          <w:highlight w:val="none"/>
        </w:rPr>
        <w:t>微企业组成联合体或者允许大中型企业向一家或者多家小微企业分包的政府采购货物或服务项目，对于联合协议或者分包意向协议约定小微企业的合同份额占到合同总金额</w:t>
      </w:r>
      <w:r>
        <w:rPr>
          <w:color w:val="auto"/>
          <w:highlight w:val="none"/>
        </w:rPr>
        <w:t>30%以上的，对联合体或者大中型企业的报价给予</w:t>
      </w:r>
      <w:r>
        <w:rPr>
          <w:rFonts w:hint="eastAsia"/>
          <w:color w:val="auto"/>
          <w:highlight w:val="none"/>
        </w:rPr>
        <w:t>6</w:t>
      </w:r>
      <w:r>
        <w:rPr>
          <w:color w:val="auto"/>
          <w:highlight w:val="none"/>
        </w:rPr>
        <w:t>%的扣除，用扣除后的价格参加评审。组成联合体或者接受分包的小</w:t>
      </w:r>
      <w:r>
        <w:rPr>
          <w:rFonts w:hint="eastAsia"/>
          <w:color w:val="auto"/>
          <w:highlight w:val="none"/>
        </w:rPr>
        <w:t>微企业与联合体内其他企业、分包企业之间存在直接控股、管理关系的，不享受价格扣除优惠政策。</w:t>
      </w:r>
    </w:p>
    <w:p>
      <w:pPr>
        <w:spacing w:line="360" w:lineRule="auto"/>
        <w:ind w:firstLine="482" w:firstLineChars="200"/>
        <w:rPr>
          <w:rFonts w:ascii="仿宋_GB2312" w:eastAsia="仿宋_GB2312" w:cs="Arial"/>
          <w:color w:val="auto"/>
          <w:highlight w:val="none"/>
        </w:rPr>
      </w:pPr>
      <w:r>
        <w:rPr>
          <w:rStyle w:val="39"/>
          <w:color w:val="auto"/>
          <w:highlight w:val="none"/>
        </w:rPr>
        <w:t>3.5</w:t>
      </w:r>
      <w:r>
        <w:rPr>
          <w:rStyle w:val="39"/>
          <w:rFonts w:hint="eastAsia"/>
          <w:color w:val="auto"/>
          <w:highlight w:val="none"/>
        </w:rPr>
        <w:t>排序与推荐。</w:t>
      </w:r>
      <w:r>
        <w:rPr>
          <w:rFonts w:ascii="仿宋_GB2312" w:eastAsia="仿宋_GB2312" w:cs="Arial"/>
          <w:color w:val="auto"/>
          <w:highlight w:val="none"/>
        </w:rPr>
        <w:t>采用综合评分法的，评标结果按评审后得分由高到低顺序排列。得分相同的，按投标报价由低到高顺序排列。得分且投标报价相同的并列。投标文件满足招标文件全部实质性要求，且按照评审因素的量化指标评审得分最高的投标人为排名第一的中标候选人</w:t>
      </w:r>
      <w:r>
        <w:rPr>
          <w:rFonts w:hint="eastAsia" w:ascii="仿宋_GB2312" w:eastAsia="仿宋_GB2312" w:cs="Arial"/>
          <w:color w:val="auto"/>
          <w:highlight w:val="none"/>
        </w:rPr>
        <w:t>。</w:t>
      </w:r>
    </w:p>
    <w:p>
      <w:pPr>
        <w:spacing w:line="360" w:lineRule="auto"/>
        <w:rPr>
          <w:rFonts w:ascii="仿宋_GB2312" w:eastAsia="仿宋_GB2312" w:cs="Arial"/>
          <w:b/>
          <w:color w:val="auto"/>
          <w:highlight w:val="none"/>
        </w:rPr>
      </w:pPr>
      <w:r>
        <w:rPr>
          <w:rFonts w:hint="eastAsia" w:ascii="仿宋_GB2312" w:eastAsia="仿宋_GB2312" w:cs="Arial"/>
          <w:color w:val="auto"/>
          <w:highlight w:val="none"/>
        </w:rPr>
        <w:t>多家投标人提供相同品牌产品（单一产品采购项目中的该产品或者非单一产品采购项目的核心产品）且通过资格审查、符合性审查的不同投标人参加同一合同项下投标的，按一家投标人计算，评审后得分最高的同品牌投标人获得中标人推荐资格；评审得分相同的，采取随机抽取方式确定，其他同品牌投标人不作为中标候选人。</w:t>
      </w:r>
    </w:p>
    <w:p>
      <w:pPr>
        <w:spacing w:line="360" w:lineRule="auto"/>
        <w:ind w:firstLine="472" w:firstLineChars="196"/>
        <w:rPr>
          <w:rFonts w:ascii="仿宋_GB2312" w:eastAsia="仿宋_GB2312" w:cs="Arial"/>
          <w:color w:val="auto"/>
          <w:highlight w:val="none"/>
        </w:rPr>
      </w:pPr>
      <w:r>
        <w:rPr>
          <w:rStyle w:val="39"/>
          <w:color w:val="auto"/>
          <w:highlight w:val="none"/>
        </w:rPr>
        <w:t>3.6编写评标报告。</w:t>
      </w:r>
      <w:r>
        <w:rPr>
          <w:rFonts w:ascii="仿宋_GB2312" w:eastAsia="仿宋_GB2312" w:cs="Arial"/>
          <w:color w:val="auto"/>
          <w:highlight w:val="none"/>
        </w:rPr>
        <w:t>评标委员会根据全体评标成员签字的原始评标记录和评标结果编写评标报告。</w:t>
      </w:r>
      <w:r>
        <w:rPr>
          <w:rFonts w:hint="eastAsia" w:ascii="仿宋_GB2312" w:eastAsia="仿宋_GB2312" w:cs="Arial"/>
          <w:color w:val="auto"/>
          <w:highlight w:val="none"/>
        </w:rPr>
        <w:t>评标委员会成员对需要共同认定的事项存在争议的，应当按照少数服从多数的原则作出结论。持不同意见的评标委员会成员应当在评标报告上签署不同意见及理由，否则视为同意评标报告。</w:t>
      </w:r>
    </w:p>
    <w:p>
      <w:pPr>
        <w:pStyle w:val="2"/>
        <w:rPr>
          <w:color w:val="auto"/>
          <w:highlight w:val="none"/>
        </w:rPr>
      </w:pPr>
      <w:r>
        <w:rPr>
          <w:rFonts w:hint="eastAsia"/>
          <w:color w:val="auto"/>
          <w:highlight w:val="none"/>
        </w:rPr>
        <w:t>四、评标中的其他事项</w:t>
      </w:r>
    </w:p>
    <w:p>
      <w:pPr>
        <w:pStyle w:val="63"/>
        <w:rPr>
          <w:color w:val="auto"/>
          <w:highlight w:val="none"/>
        </w:rPr>
      </w:pPr>
      <w:r>
        <w:rPr>
          <w:rStyle w:val="39"/>
          <w:color w:val="auto"/>
          <w:highlight w:val="none"/>
        </w:rPr>
        <w:t>4.1</w:t>
      </w:r>
      <w:r>
        <w:rPr>
          <w:rStyle w:val="39"/>
          <w:rFonts w:hint="eastAsia"/>
          <w:color w:val="auto"/>
          <w:highlight w:val="none"/>
        </w:rPr>
        <w:t>投标人澄清、说明或者补正。</w:t>
      </w:r>
      <w:r>
        <w:rPr>
          <w:rFonts w:hint="eastAsia"/>
          <w:color w:val="auto"/>
          <w:highlight w:val="none"/>
        </w:rPr>
        <w:t>对于投标文件中含义不明确、同类问题表述不一致或者有明显文字和计算错误的内容需要投标人作出必要的澄清、说明或者补正的，评标委员会和投标人通过电子交易平台交换数据电文，投标人提交使用电子签名的相关数据电文或通过平台上传加盖公章的扫描件。给予投标人提交澄清、说明或补正的时间不得少于半小时，投标人已经明确表示澄清说明或补正完毕的除外。投标人的澄清、说明或者补正不得超出投标文件的范围或者改变投标文件的实质性内容。</w:t>
      </w:r>
    </w:p>
    <w:p>
      <w:pPr>
        <w:pStyle w:val="16"/>
        <w:spacing w:line="360" w:lineRule="auto"/>
        <w:ind w:left="1021" w:leftChars="226" w:hanging="479" w:firstLineChars="0"/>
        <w:rPr>
          <w:rFonts w:ascii="仿宋_GB2312" w:hAnsi="仿宋" w:eastAsia="仿宋_GB2312" w:cs="仿宋_GB2312"/>
          <w:color w:val="auto"/>
          <w:szCs w:val="21"/>
          <w:highlight w:val="none"/>
        </w:rPr>
      </w:pPr>
      <w:r>
        <w:rPr>
          <w:rStyle w:val="39"/>
          <w:color w:val="auto"/>
          <w:highlight w:val="none"/>
        </w:rPr>
        <w:t>4.2投标无效。</w:t>
      </w:r>
      <w:r>
        <w:rPr>
          <w:rFonts w:hint="eastAsia" w:ascii="仿宋_GB2312" w:hAnsi="仿宋" w:eastAsia="仿宋_GB2312" w:cs="仿宋_GB2312"/>
          <w:color w:val="auto"/>
          <w:szCs w:val="21"/>
          <w:highlight w:val="none"/>
        </w:rPr>
        <w:t>有下列情形之一的，投标无效：</w:t>
      </w:r>
    </w:p>
    <w:p>
      <w:pPr>
        <w:spacing w:line="360" w:lineRule="auto"/>
        <w:ind w:firstLine="480" w:firstLineChars="200"/>
        <w:rPr>
          <w:rFonts w:ascii="仿宋_GB2312" w:eastAsia="仿宋_GB2312" w:cs="Arial"/>
          <w:color w:val="auto"/>
          <w:highlight w:val="none"/>
        </w:rPr>
      </w:pPr>
      <w:r>
        <w:rPr>
          <w:rFonts w:ascii="仿宋_GB2312" w:eastAsia="仿宋_GB2312" w:cs="Arial"/>
          <w:color w:val="auto"/>
          <w:highlight w:val="none"/>
        </w:rPr>
        <w:t>4.2.1投标人不具备招标文件中规定的资格要求的（投标人未提供有效的资格文件的，视为投标人不具备招标文件中规定的资格要求）；</w:t>
      </w:r>
    </w:p>
    <w:p>
      <w:pPr>
        <w:spacing w:line="360" w:lineRule="auto"/>
        <w:ind w:firstLine="480" w:firstLineChars="200"/>
        <w:rPr>
          <w:rFonts w:ascii="仿宋_GB2312" w:eastAsia="仿宋_GB2312" w:cs="Arial"/>
          <w:color w:val="auto"/>
          <w:highlight w:val="none"/>
        </w:rPr>
      </w:pPr>
      <w:r>
        <w:rPr>
          <w:rFonts w:ascii="仿宋_GB2312" w:eastAsia="仿宋_GB2312" w:cs="Arial"/>
          <w:color w:val="auto"/>
          <w:highlight w:val="none"/>
        </w:rPr>
        <w:t>4.2.2投标文件未按照招标文件要求签署、盖章的；</w:t>
      </w:r>
    </w:p>
    <w:p>
      <w:pPr>
        <w:spacing w:line="360" w:lineRule="auto"/>
        <w:ind w:firstLine="480" w:firstLineChars="200"/>
        <w:rPr>
          <w:rFonts w:ascii="仿宋_GB2312" w:eastAsia="仿宋_GB2312" w:cs="Arial"/>
          <w:color w:val="auto"/>
          <w:highlight w:val="none"/>
        </w:rPr>
      </w:pPr>
      <w:r>
        <w:rPr>
          <w:rFonts w:ascii="仿宋_GB2312" w:eastAsia="仿宋_GB2312" w:cs="Arial"/>
          <w:color w:val="auto"/>
          <w:highlight w:val="none"/>
        </w:rPr>
        <w:t>4.2.3采购人拟采购的产品属于政府强制采购的节能产品品目清单范围的，投标人未按招标文件要求提供国家确定的认证机构出具的、处于有效期之内的节能产品认证证书</w:t>
      </w:r>
      <w:r>
        <w:rPr>
          <w:rFonts w:hint="eastAsia" w:ascii="仿宋_GB2312" w:eastAsia="仿宋_GB2312" w:cs="Arial"/>
          <w:color w:val="auto"/>
          <w:highlight w:val="none"/>
        </w:rPr>
        <w:t>的；</w:t>
      </w:r>
    </w:p>
    <w:p>
      <w:pPr>
        <w:spacing w:line="360" w:lineRule="auto"/>
        <w:ind w:firstLine="480" w:firstLineChars="200"/>
        <w:rPr>
          <w:rFonts w:ascii="仿宋_GB2312" w:eastAsia="仿宋_GB2312" w:cs="Arial"/>
          <w:color w:val="auto"/>
          <w:highlight w:val="none"/>
        </w:rPr>
      </w:pPr>
      <w:r>
        <w:rPr>
          <w:rFonts w:ascii="仿宋_GB2312" w:eastAsia="仿宋_GB2312" w:cs="Arial"/>
          <w:color w:val="auto"/>
          <w:highlight w:val="none"/>
        </w:rPr>
        <w:t>4.2.4投标文件含有采购人不能接受的附加条件的；</w:t>
      </w:r>
    </w:p>
    <w:p>
      <w:pPr>
        <w:spacing w:line="360" w:lineRule="auto"/>
        <w:ind w:firstLine="480" w:firstLineChars="200"/>
        <w:rPr>
          <w:rFonts w:ascii="仿宋_GB2312" w:eastAsia="仿宋_GB2312" w:cs="Arial"/>
          <w:color w:val="auto"/>
          <w:highlight w:val="none"/>
        </w:rPr>
      </w:pPr>
      <w:r>
        <w:rPr>
          <w:rFonts w:ascii="仿宋_GB2312" w:eastAsia="仿宋_GB2312" w:cs="Arial"/>
          <w:color w:val="auto"/>
          <w:highlight w:val="none"/>
        </w:rPr>
        <w:t>4.2.5投标文件中承诺的投标有效期少于招标文件中载明的投标有效期的；</w:t>
      </w:r>
    </w:p>
    <w:p>
      <w:pPr>
        <w:snapToGrid w:val="0"/>
        <w:spacing w:line="360" w:lineRule="auto"/>
        <w:ind w:firstLine="120" w:firstLineChars="50"/>
        <w:rPr>
          <w:rFonts w:ascii="仿宋_GB2312" w:eastAsia="仿宋_GB2312" w:cs="Arial"/>
          <w:color w:val="auto"/>
          <w:highlight w:val="none"/>
        </w:rPr>
      </w:pPr>
      <w:r>
        <w:rPr>
          <w:rFonts w:ascii="仿宋_GB2312" w:eastAsia="仿宋_GB2312" w:cs="Arial"/>
          <w:color w:val="auto"/>
          <w:highlight w:val="none"/>
        </w:rPr>
        <w:t xml:space="preserve">  </w:t>
      </w:r>
      <w:r>
        <w:rPr>
          <w:rFonts w:hint="eastAsia" w:ascii="仿宋_GB2312" w:eastAsia="仿宋_GB2312" w:cs="Arial"/>
          <w:color w:val="auto"/>
          <w:highlight w:val="none"/>
        </w:rPr>
        <w:t xml:space="preserve"> </w:t>
      </w:r>
      <w:r>
        <w:rPr>
          <w:rFonts w:ascii="仿宋_GB2312" w:eastAsia="仿宋_GB2312" w:cs="Arial"/>
          <w:color w:val="auto"/>
          <w:highlight w:val="none"/>
        </w:rPr>
        <w:t>4.2.6投标文件出现不是唯一的、有选择性投标报价的;</w:t>
      </w:r>
    </w:p>
    <w:p>
      <w:pPr>
        <w:spacing w:line="360" w:lineRule="auto"/>
        <w:ind w:firstLine="480" w:firstLineChars="200"/>
        <w:rPr>
          <w:rFonts w:ascii="仿宋_GB2312" w:eastAsia="仿宋_GB2312" w:cs="Arial"/>
          <w:color w:val="auto"/>
          <w:highlight w:val="none"/>
        </w:rPr>
      </w:pPr>
      <w:r>
        <w:rPr>
          <w:rFonts w:ascii="仿宋_GB2312" w:eastAsia="仿宋_GB2312" w:cs="Arial"/>
          <w:color w:val="auto"/>
          <w:highlight w:val="none"/>
        </w:rPr>
        <w:t>4.2.7投标报价超过招标文件中规定的预算金额或者最高限价的;</w:t>
      </w:r>
    </w:p>
    <w:p>
      <w:pPr>
        <w:spacing w:line="360" w:lineRule="auto"/>
        <w:ind w:firstLine="480" w:firstLineChars="200"/>
        <w:rPr>
          <w:rFonts w:ascii="仿宋_GB2312" w:eastAsia="仿宋_GB2312" w:cs="Arial"/>
          <w:color w:val="auto"/>
          <w:highlight w:val="none"/>
        </w:rPr>
      </w:pPr>
      <w:r>
        <w:rPr>
          <w:rFonts w:ascii="仿宋_GB2312" w:eastAsia="仿宋_GB2312" w:cs="Arial"/>
          <w:color w:val="auto"/>
          <w:highlight w:val="none"/>
        </w:rPr>
        <w:t>4.2.8报价明显低于其他通过符合性审查投标人的报价，有可能影响产品质量或者不能诚信履约的，未能按要求提供书面说明或者提交相关证明材料，不能证明其报价合理性的;</w:t>
      </w:r>
    </w:p>
    <w:p>
      <w:pPr>
        <w:spacing w:line="360" w:lineRule="auto"/>
        <w:ind w:firstLine="480" w:firstLineChars="200"/>
        <w:rPr>
          <w:rFonts w:ascii="仿宋_GB2312" w:eastAsia="仿宋_GB2312" w:cs="Arial"/>
          <w:color w:val="auto"/>
          <w:highlight w:val="none"/>
        </w:rPr>
      </w:pPr>
      <w:r>
        <w:rPr>
          <w:rFonts w:ascii="仿宋_GB2312" w:eastAsia="仿宋_GB2312" w:cs="Arial"/>
          <w:color w:val="auto"/>
          <w:highlight w:val="none"/>
        </w:rPr>
        <w:t>4.2.9投标人对根据修正原则修正后的报价不确认的；</w:t>
      </w:r>
    </w:p>
    <w:p>
      <w:pPr>
        <w:spacing w:line="360" w:lineRule="auto"/>
        <w:ind w:firstLine="480" w:firstLineChars="200"/>
        <w:rPr>
          <w:rFonts w:ascii="仿宋_GB2312" w:eastAsia="仿宋_GB2312" w:cs="Arial"/>
          <w:color w:val="auto"/>
          <w:highlight w:val="none"/>
        </w:rPr>
      </w:pPr>
      <w:r>
        <w:rPr>
          <w:rFonts w:ascii="仿宋_GB2312" w:eastAsia="仿宋_GB2312" w:cs="Arial"/>
          <w:color w:val="auto"/>
          <w:highlight w:val="none"/>
        </w:rPr>
        <w:t>4.2.10投标人提供虚假材料投标的；</w:t>
      </w:r>
    </w:p>
    <w:p>
      <w:pPr>
        <w:spacing w:line="360" w:lineRule="auto"/>
        <w:ind w:firstLine="240" w:firstLineChars="100"/>
        <w:rPr>
          <w:rFonts w:ascii="仿宋_GB2312" w:eastAsia="仿宋_GB2312" w:cs="Arial"/>
          <w:color w:val="auto"/>
          <w:highlight w:val="none"/>
        </w:rPr>
      </w:pPr>
      <w:r>
        <w:rPr>
          <w:rFonts w:ascii="仿宋_GB2312" w:eastAsia="仿宋_GB2312" w:cs="Arial"/>
          <w:color w:val="auto"/>
          <w:highlight w:val="none"/>
        </w:rPr>
        <w:t xml:space="preserve">  4.2.11投标人有恶意串通、妨碍其他投标人的竞争行为、损害采购人或者其他投标人的合法权益情形的；</w:t>
      </w:r>
    </w:p>
    <w:p>
      <w:pPr>
        <w:spacing w:line="360" w:lineRule="auto"/>
        <w:ind w:firstLine="480" w:firstLineChars="200"/>
        <w:rPr>
          <w:rFonts w:ascii="仿宋_GB2312" w:eastAsia="仿宋_GB2312" w:cs="Arial"/>
          <w:color w:val="auto"/>
          <w:highlight w:val="none"/>
        </w:rPr>
      </w:pPr>
      <w:r>
        <w:rPr>
          <w:rFonts w:ascii="仿宋_GB2312" w:eastAsia="仿宋_GB2312" w:cs="Arial"/>
          <w:color w:val="auto"/>
          <w:highlight w:val="none"/>
        </w:rPr>
        <w:t>4.2.12投标人仅提交备份投标文件，</w:t>
      </w:r>
      <w:r>
        <w:rPr>
          <w:rFonts w:hint="eastAsia" w:ascii="仿宋_GB2312" w:eastAsia="仿宋_GB2312" w:cs="Arial"/>
          <w:color w:val="auto"/>
          <w:highlight w:val="none"/>
        </w:rPr>
        <w:t>未</w:t>
      </w:r>
      <w:r>
        <w:rPr>
          <w:rFonts w:ascii="仿宋_GB2312" w:eastAsia="仿宋_GB2312" w:cs="Arial"/>
          <w:color w:val="auto"/>
          <w:highlight w:val="none"/>
        </w:rPr>
        <w:t>在电子交易平台传输递交投标文件的，投标无效；</w:t>
      </w:r>
    </w:p>
    <w:p>
      <w:pPr>
        <w:ind w:firstLine="480" w:firstLineChars="200"/>
        <w:rPr>
          <w:b/>
          <w:bCs/>
          <w:color w:val="auto"/>
          <w:highlight w:val="none"/>
        </w:rPr>
      </w:pPr>
      <w:r>
        <w:rPr>
          <w:color w:val="auto"/>
          <w:highlight w:val="none"/>
        </w:rPr>
        <w:t xml:space="preserve">4.2.13 </w:t>
      </w:r>
      <w:r>
        <w:rPr>
          <w:rFonts w:hint="eastAsia"/>
          <w:color w:val="auto"/>
          <w:highlight w:val="none"/>
        </w:rPr>
        <w:t>投标文件不满足招标文件的其它实质性要求的；</w:t>
      </w:r>
    </w:p>
    <w:p>
      <w:pPr>
        <w:spacing w:line="360" w:lineRule="auto"/>
        <w:ind w:firstLine="480" w:firstLineChars="200"/>
        <w:rPr>
          <w:rFonts w:ascii="仿宋_GB2312" w:eastAsia="仿宋_GB2312" w:cs="Arial"/>
          <w:color w:val="auto"/>
          <w:highlight w:val="none"/>
        </w:rPr>
      </w:pPr>
      <w:r>
        <w:rPr>
          <w:rFonts w:ascii="仿宋_GB2312" w:eastAsia="仿宋_GB2312" w:cs="Arial"/>
          <w:color w:val="auto"/>
          <w:highlight w:val="none"/>
        </w:rPr>
        <w:t>4.2.14法律、法规、规章（适用本市的）及省级以上规范性文件（适用本市的）规定的其他无效情形。</w:t>
      </w:r>
    </w:p>
    <w:p>
      <w:pPr>
        <w:pStyle w:val="16"/>
        <w:snapToGrid w:val="0"/>
        <w:spacing w:line="360" w:lineRule="auto"/>
        <w:ind w:firstLine="472" w:firstLineChars="196"/>
        <w:rPr>
          <w:rFonts w:ascii="仿宋_GB2312" w:hAnsi="仿宋" w:eastAsia="仿宋_GB2312" w:cs="仿宋_GB2312"/>
          <w:color w:val="auto"/>
          <w:highlight w:val="none"/>
        </w:rPr>
      </w:pPr>
      <w:r>
        <w:rPr>
          <w:rStyle w:val="39"/>
          <w:color w:val="auto"/>
          <w:highlight w:val="none"/>
        </w:rPr>
        <w:t>5.废标。</w:t>
      </w:r>
      <w:r>
        <w:rPr>
          <w:rFonts w:hint="eastAsia" w:ascii="仿宋_GB2312" w:hAnsi="仿宋" w:eastAsia="仿宋_GB2312" w:cs="仿宋_GB2312"/>
          <w:color w:val="auto"/>
          <w:highlight w:val="none"/>
        </w:rPr>
        <w:t>根据《中华人民共和国政府采购法》第三十六条之规定，在采购中，出现下列情形之一的，应予废标：</w:t>
      </w:r>
    </w:p>
    <w:p>
      <w:pPr>
        <w:pStyle w:val="16"/>
        <w:snapToGrid w:val="0"/>
        <w:spacing w:line="360" w:lineRule="auto"/>
        <w:rPr>
          <w:rFonts w:ascii="仿宋_GB2312" w:hAnsi="仿宋" w:eastAsia="仿宋_GB2312" w:cs="仿宋_GB2312"/>
          <w:color w:val="auto"/>
          <w:highlight w:val="none"/>
        </w:rPr>
      </w:pPr>
      <w:r>
        <w:rPr>
          <w:rFonts w:ascii="仿宋_GB2312" w:hAnsi="仿宋" w:eastAsia="仿宋_GB2312" w:cs="仿宋_GB2312"/>
          <w:color w:val="auto"/>
          <w:highlight w:val="none"/>
        </w:rPr>
        <w:t>5.1符合专业条件的供应商或者对招标文件作实质响应的供应商不足3家的；</w:t>
      </w:r>
    </w:p>
    <w:p>
      <w:pPr>
        <w:pStyle w:val="16"/>
        <w:snapToGrid w:val="0"/>
        <w:spacing w:line="360" w:lineRule="auto"/>
        <w:rPr>
          <w:rFonts w:ascii="仿宋_GB2312" w:hAnsi="仿宋" w:eastAsia="仿宋_GB2312" w:cs="仿宋_GB2312"/>
          <w:color w:val="auto"/>
          <w:highlight w:val="none"/>
        </w:rPr>
      </w:pPr>
      <w:r>
        <w:rPr>
          <w:rFonts w:ascii="仿宋_GB2312" w:hAnsi="仿宋" w:eastAsia="仿宋_GB2312" w:cs="仿宋_GB2312"/>
          <w:color w:val="auto"/>
          <w:highlight w:val="none"/>
        </w:rPr>
        <w:t>5.2出现影响采购公正的违法、违规行为的；</w:t>
      </w:r>
    </w:p>
    <w:p>
      <w:pPr>
        <w:pStyle w:val="16"/>
        <w:snapToGrid w:val="0"/>
        <w:spacing w:line="360" w:lineRule="auto"/>
        <w:rPr>
          <w:rFonts w:ascii="仿宋_GB2312" w:hAnsi="仿宋" w:eastAsia="仿宋_GB2312" w:cs="仿宋_GB2312"/>
          <w:color w:val="auto"/>
          <w:highlight w:val="none"/>
        </w:rPr>
      </w:pPr>
      <w:r>
        <w:rPr>
          <w:rFonts w:ascii="仿宋_GB2312" w:hAnsi="仿宋" w:eastAsia="仿宋_GB2312" w:cs="仿宋_GB2312"/>
          <w:color w:val="auto"/>
          <w:highlight w:val="none"/>
        </w:rPr>
        <w:t>5.3投标人的报价均超过了采购预算，采购人不能支付的；</w:t>
      </w:r>
    </w:p>
    <w:p>
      <w:pPr>
        <w:pStyle w:val="16"/>
        <w:snapToGrid w:val="0"/>
        <w:spacing w:line="360" w:lineRule="auto"/>
        <w:rPr>
          <w:rFonts w:ascii="仿宋_GB2312" w:hAnsi="仿宋" w:eastAsia="仿宋_GB2312" w:cs="仿宋_GB2312"/>
          <w:color w:val="auto"/>
          <w:highlight w:val="none"/>
        </w:rPr>
      </w:pPr>
      <w:r>
        <w:rPr>
          <w:rFonts w:ascii="仿宋_GB2312" w:hAnsi="仿宋" w:eastAsia="仿宋_GB2312" w:cs="仿宋_GB2312"/>
          <w:color w:val="auto"/>
          <w:highlight w:val="none"/>
        </w:rPr>
        <w:t>5.4因重大变故，采购任务取消的。</w:t>
      </w:r>
    </w:p>
    <w:p>
      <w:pPr>
        <w:pStyle w:val="16"/>
        <w:snapToGrid w:val="0"/>
        <w:spacing w:line="360" w:lineRule="auto"/>
        <w:rPr>
          <w:rFonts w:ascii="仿宋_GB2312" w:hAnsi="仿宋" w:eastAsia="仿宋_GB2312" w:cs="仿宋_GB2312"/>
          <w:color w:val="auto"/>
          <w:highlight w:val="none"/>
        </w:rPr>
      </w:pPr>
      <w:r>
        <w:rPr>
          <w:rFonts w:hint="eastAsia" w:ascii="仿宋_GB2312" w:hAnsi="仿宋" w:eastAsia="仿宋_GB2312" w:cs="仿宋_GB2312"/>
          <w:color w:val="auto"/>
          <w:highlight w:val="none"/>
        </w:rPr>
        <w:t>废标后，采购机构应当将废标理由通知所有投标人。</w:t>
      </w:r>
    </w:p>
    <w:p>
      <w:pPr>
        <w:pStyle w:val="16"/>
        <w:snapToGrid w:val="0"/>
        <w:spacing w:line="360" w:lineRule="auto"/>
        <w:ind w:firstLine="590" w:firstLineChars="245"/>
        <w:rPr>
          <w:rFonts w:ascii="仿宋_GB2312" w:hAnsi="仿宋" w:eastAsia="仿宋_GB2312" w:cs="仿宋_GB2312"/>
          <w:color w:val="auto"/>
          <w:highlight w:val="none"/>
        </w:rPr>
      </w:pPr>
      <w:r>
        <w:rPr>
          <w:rStyle w:val="39"/>
          <w:color w:val="auto"/>
          <w:highlight w:val="none"/>
        </w:rPr>
        <w:t>6.修改招标文件，重新组织采购活动。</w:t>
      </w:r>
      <w:r>
        <w:rPr>
          <w:rFonts w:hint="eastAsia" w:ascii="仿宋_GB2312" w:hAnsi="仿宋" w:eastAsia="仿宋_GB2312" w:cs="仿宋_GB2312"/>
          <w:color w:val="auto"/>
          <w:highlight w:val="none"/>
        </w:rPr>
        <w:t>评标委员会发现招标文件存在歧义、重大缺陷导致评标工作无法进行，或者招标文件内容违反国家有关强制性规定的，将停止评标工作，并与采购人、采购机构沟通并作书面记录。采购人、采购机构确认后，将修改招标文件，重新组织采购活动。</w:t>
      </w:r>
    </w:p>
    <w:p>
      <w:pPr>
        <w:pStyle w:val="16"/>
        <w:snapToGrid w:val="0"/>
        <w:spacing w:line="360" w:lineRule="auto"/>
        <w:ind w:firstLine="590" w:firstLineChars="245"/>
        <w:rPr>
          <w:rFonts w:ascii="仿宋_GB2312" w:hAnsi="仿宋" w:eastAsia="仿宋_GB2312" w:cs="仿宋_GB2312"/>
          <w:color w:val="auto"/>
          <w:highlight w:val="none"/>
        </w:rPr>
      </w:pPr>
      <w:r>
        <w:rPr>
          <w:rStyle w:val="39"/>
          <w:rFonts w:hint="eastAsia"/>
          <w:color w:val="auto"/>
          <w:highlight w:val="none"/>
        </w:rPr>
        <w:t>7.重新开展采购。</w:t>
      </w:r>
      <w:r>
        <w:rPr>
          <w:rFonts w:hint="eastAsia" w:ascii="仿宋_GB2312" w:hAnsi="仿宋" w:eastAsia="仿宋_GB2312" w:cs="仿宋_GB2312"/>
          <w:color w:val="auto"/>
          <w:highlight w:val="none"/>
        </w:rPr>
        <w:t>有政府采购法第七十一条、第七十二条规定的违法行为之一，影响或者可能影响中标、成交结果的，依照下列规定处理：</w:t>
      </w:r>
    </w:p>
    <w:p>
      <w:pPr>
        <w:pStyle w:val="16"/>
        <w:snapToGrid w:val="0"/>
        <w:spacing w:line="360" w:lineRule="auto"/>
        <w:ind w:firstLine="600" w:firstLineChars="250"/>
        <w:rPr>
          <w:rFonts w:ascii="仿宋_GB2312" w:hAnsi="仿宋" w:eastAsia="仿宋_GB2312" w:cs="仿宋_GB2312"/>
          <w:color w:val="auto"/>
          <w:highlight w:val="none"/>
        </w:rPr>
      </w:pPr>
      <w:r>
        <w:rPr>
          <w:rFonts w:ascii="仿宋_GB2312" w:hAnsi="仿宋" w:eastAsia="仿宋_GB2312" w:cs="仿宋_GB2312"/>
          <w:color w:val="auto"/>
          <w:highlight w:val="none"/>
        </w:rPr>
        <w:t>7.1未确定中标或者中标人的，终止本次政府采购活动，重新开展政府采购</w:t>
      </w:r>
      <w:r>
        <w:rPr>
          <w:rFonts w:hint="eastAsia" w:ascii="仿宋_GB2312" w:hAnsi="仿宋" w:eastAsia="仿宋_GB2312" w:cs="仿宋_GB2312"/>
          <w:color w:val="auto"/>
          <w:highlight w:val="none"/>
        </w:rPr>
        <w:t>活动。</w:t>
      </w:r>
    </w:p>
    <w:p>
      <w:pPr>
        <w:pStyle w:val="16"/>
        <w:snapToGrid w:val="0"/>
        <w:spacing w:line="360" w:lineRule="auto"/>
        <w:ind w:firstLine="600" w:firstLineChars="250"/>
        <w:rPr>
          <w:rFonts w:ascii="仿宋_GB2312" w:hAnsi="仿宋" w:eastAsia="仿宋_GB2312" w:cs="仿宋_GB2312"/>
          <w:color w:val="auto"/>
          <w:highlight w:val="none"/>
        </w:rPr>
      </w:pPr>
      <w:r>
        <w:rPr>
          <w:rFonts w:ascii="仿宋_GB2312" w:hAnsi="仿宋" w:eastAsia="仿宋_GB2312" w:cs="仿宋_GB2312"/>
          <w:color w:val="auto"/>
          <w:highlight w:val="none"/>
        </w:rPr>
        <w:t>7.2已确定中标或者中标人但尚未签订政府采购合同的，中标或者成交结果无效，从合格的中标或者成交候选人中另行确定中标或者中标人；没有合格的中标或者成交候选人的，重新开展政府采购活动。</w:t>
      </w:r>
    </w:p>
    <w:p>
      <w:pPr>
        <w:pStyle w:val="16"/>
        <w:snapToGrid w:val="0"/>
        <w:spacing w:line="360" w:lineRule="auto"/>
        <w:ind w:firstLine="600" w:firstLineChars="250"/>
        <w:rPr>
          <w:rFonts w:ascii="仿宋_GB2312" w:hAnsi="仿宋" w:eastAsia="仿宋_GB2312" w:cs="仿宋_GB2312"/>
          <w:color w:val="auto"/>
          <w:highlight w:val="none"/>
        </w:rPr>
      </w:pPr>
      <w:r>
        <w:rPr>
          <w:rFonts w:ascii="仿宋_GB2312" w:hAnsi="仿宋" w:eastAsia="仿宋_GB2312" w:cs="仿宋_GB2312"/>
          <w:color w:val="auto"/>
          <w:highlight w:val="none"/>
        </w:rPr>
        <w:t>7.3政府采购合同已签订但尚未履行的，撤销合同，从合格的中标或者成交候选人中另行确定中标或者中标人；没有合格的中标或者成交候选人的，重新开展政府采购活动。</w:t>
      </w:r>
    </w:p>
    <w:p>
      <w:pPr>
        <w:pStyle w:val="16"/>
        <w:snapToGrid w:val="0"/>
        <w:spacing w:line="360" w:lineRule="auto"/>
        <w:rPr>
          <w:rFonts w:ascii="仿宋_GB2312" w:hAnsi="仿宋" w:eastAsia="仿宋_GB2312" w:cs="仿宋_GB2312"/>
          <w:color w:val="auto"/>
          <w:highlight w:val="none"/>
        </w:rPr>
      </w:pPr>
      <w:r>
        <w:rPr>
          <w:rFonts w:ascii="仿宋_GB2312" w:hAnsi="仿宋" w:eastAsia="仿宋_GB2312" w:cs="仿宋_GB2312"/>
          <w:color w:val="auto"/>
          <w:highlight w:val="none"/>
        </w:rPr>
        <w:t>7.4政府采购合同已经履行，给采购人、供应</w:t>
      </w:r>
      <w:r>
        <w:rPr>
          <w:rFonts w:hint="eastAsia" w:ascii="仿宋_GB2312" w:hAnsi="仿宋" w:eastAsia="仿宋_GB2312" w:cs="仿宋_GB2312"/>
          <w:color w:val="auto"/>
          <w:highlight w:val="none"/>
        </w:rPr>
        <w:t>商造成损失的，由责任人承担赔偿责任。</w:t>
      </w:r>
    </w:p>
    <w:p>
      <w:pPr>
        <w:pStyle w:val="16"/>
        <w:snapToGrid w:val="0"/>
        <w:spacing w:line="360" w:lineRule="auto"/>
        <w:rPr>
          <w:rFonts w:ascii="仿宋_GB2312" w:hAnsi="仿宋" w:eastAsia="仿宋_GB2312" w:cs="仿宋_GB2312"/>
          <w:color w:val="auto"/>
          <w:highlight w:val="none"/>
        </w:rPr>
      </w:pPr>
      <w:r>
        <w:rPr>
          <w:rFonts w:ascii="仿宋_GB2312" w:hAnsi="仿宋" w:eastAsia="仿宋_GB2312" w:cs="仿宋_GB2312"/>
          <w:color w:val="auto"/>
          <w:highlight w:val="none"/>
        </w:rPr>
        <w:t>7.5政府采购当事人有其他违反政府采购</w:t>
      </w:r>
      <w:r>
        <w:rPr>
          <w:rFonts w:hint="eastAsia" w:ascii="仿宋_GB2312" w:hAnsi="仿宋" w:eastAsia="仿宋_GB2312" w:cs="仿宋_GB2312"/>
          <w:color w:val="auto"/>
          <w:highlight w:val="none"/>
        </w:rPr>
        <w:t>法</w:t>
      </w:r>
      <w:r>
        <w:rPr>
          <w:rFonts w:hint="eastAsia" w:ascii="仿宋_GB2312" w:hAnsi="仿宋" w:eastAsia="仿宋_GB2312" w:cs="Arial"/>
          <w:color w:val="auto"/>
          <w:kern w:val="0"/>
          <w:highlight w:val="none"/>
        </w:rPr>
        <w:t>或者政府采购法实施条例等法律法规规定</w:t>
      </w:r>
      <w:r>
        <w:rPr>
          <w:rFonts w:hint="eastAsia" w:ascii="仿宋_GB2312" w:hAnsi="仿宋" w:eastAsia="仿宋_GB2312" w:cs="仿宋_GB2312"/>
          <w:color w:val="auto"/>
          <w:highlight w:val="none"/>
        </w:rPr>
        <w:t>的行为，经改正后仍然影响或者可能影响中标、成交结果或者依法被认定为中标、成交无效的，依照</w:t>
      </w:r>
      <w:r>
        <w:rPr>
          <w:rFonts w:ascii="仿宋_GB2312" w:hAnsi="仿宋" w:eastAsia="仿宋_GB2312" w:cs="仿宋_GB2312"/>
          <w:color w:val="auto"/>
          <w:highlight w:val="none"/>
        </w:rPr>
        <w:t>7.1-7.4规定处理。</w:t>
      </w:r>
    </w:p>
    <w:p>
      <w:pPr>
        <w:spacing w:line="276" w:lineRule="auto"/>
        <w:rPr>
          <w:rFonts w:ascii="仿宋_GB2312" w:eastAsia="仿宋_GB2312"/>
          <w:b/>
          <w:smallCaps/>
          <w:color w:val="auto"/>
          <w:spacing w:val="5"/>
          <w:sz w:val="36"/>
          <w:szCs w:val="36"/>
          <w:highlight w:val="none"/>
        </w:rPr>
      </w:pPr>
      <w:r>
        <w:rPr>
          <w:color w:val="auto"/>
          <w:highlight w:val="none"/>
        </w:rPr>
        <w:br w:type="page"/>
      </w:r>
    </w:p>
    <w:p>
      <w:pPr>
        <w:pStyle w:val="3"/>
        <w:rPr>
          <w:rFonts w:cs="仿宋_GB2312"/>
          <w:color w:val="auto"/>
          <w:kern w:val="2"/>
          <w:highlight w:val="none"/>
        </w:rPr>
      </w:pPr>
      <w:r>
        <w:rPr>
          <w:rFonts w:hint="eastAsia"/>
          <w:color w:val="auto"/>
          <w:highlight w:val="none"/>
        </w:rPr>
        <w:t>第五部分</w:t>
      </w:r>
      <w:r>
        <w:rPr>
          <w:color w:val="auto"/>
          <w:highlight w:val="none"/>
        </w:rPr>
        <w:t xml:space="preserve"> </w:t>
      </w:r>
      <w:r>
        <w:rPr>
          <w:rFonts w:hint="eastAsia"/>
          <w:color w:val="auto"/>
          <w:highlight w:val="none"/>
        </w:rPr>
        <w:t>拟签订的合同文本</w:t>
      </w:r>
    </w:p>
    <w:p>
      <w:pPr>
        <w:rPr>
          <w:rFonts w:hint="eastAsia" w:asciiTheme="majorEastAsia" w:hAnsiTheme="majorEastAsia" w:eastAsiaTheme="majorEastAsia" w:cstheme="majorEastAsia"/>
          <w:color w:val="auto"/>
          <w:sz w:val="24"/>
          <w:highlight w:val="none"/>
          <w:u w:val="single"/>
        </w:rPr>
      </w:pPr>
      <w:r>
        <w:rPr>
          <w:rFonts w:hint="eastAsia" w:asciiTheme="majorEastAsia" w:hAnsiTheme="majorEastAsia" w:eastAsiaTheme="majorEastAsia" w:cstheme="majorEastAsia"/>
          <w:color w:val="auto"/>
          <w:sz w:val="24"/>
          <w:highlight w:val="none"/>
        </w:rPr>
        <w:t>合同编号：</w:t>
      </w:r>
    </w:p>
    <w:p>
      <w:pPr>
        <w:spacing w:line="480" w:lineRule="auto"/>
        <w:jc w:val="center"/>
        <w:rPr>
          <w:rFonts w:hint="eastAsia" w:asciiTheme="majorEastAsia" w:hAnsiTheme="majorEastAsia" w:eastAsiaTheme="majorEastAsia" w:cstheme="majorEastAsia"/>
          <w:b/>
          <w:color w:val="auto"/>
          <w:sz w:val="28"/>
          <w:szCs w:val="28"/>
          <w:highlight w:val="none"/>
        </w:rPr>
      </w:pPr>
    </w:p>
    <w:p>
      <w:pPr>
        <w:spacing w:line="480" w:lineRule="auto"/>
        <w:jc w:val="center"/>
        <w:rPr>
          <w:rFonts w:hint="eastAsia" w:asciiTheme="majorEastAsia" w:hAnsiTheme="majorEastAsia" w:eastAsiaTheme="majorEastAsia" w:cstheme="majorEastAsia"/>
          <w:b/>
          <w:color w:val="auto"/>
          <w:sz w:val="24"/>
          <w:highlight w:val="none"/>
        </w:rPr>
      </w:pPr>
    </w:p>
    <w:p>
      <w:pPr>
        <w:spacing w:line="480" w:lineRule="auto"/>
        <w:jc w:val="center"/>
        <w:rPr>
          <w:rFonts w:hint="eastAsia" w:asciiTheme="majorEastAsia" w:hAnsiTheme="majorEastAsia" w:eastAsiaTheme="majorEastAsia" w:cstheme="majorEastAsia"/>
          <w:b/>
          <w:color w:val="auto"/>
          <w:sz w:val="24"/>
          <w:highlight w:val="none"/>
        </w:rPr>
      </w:pPr>
    </w:p>
    <w:p>
      <w:pPr>
        <w:spacing w:line="480" w:lineRule="auto"/>
        <w:jc w:val="center"/>
        <w:rPr>
          <w:rFonts w:hint="eastAsia" w:asciiTheme="majorEastAsia" w:hAnsiTheme="majorEastAsia" w:eastAsiaTheme="majorEastAsia" w:cstheme="majorEastAsia"/>
          <w:b/>
          <w:color w:val="auto"/>
          <w:sz w:val="36"/>
          <w:szCs w:val="36"/>
          <w:highlight w:val="none"/>
        </w:rPr>
      </w:pPr>
      <w:r>
        <w:rPr>
          <w:rFonts w:hint="eastAsia" w:asciiTheme="majorEastAsia" w:hAnsiTheme="majorEastAsia" w:eastAsiaTheme="majorEastAsia" w:cstheme="majorEastAsia"/>
          <w:b/>
          <w:color w:val="auto"/>
          <w:sz w:val="36"/>
          <w:szCs w:val="36"/>
          <w:highlight w:val="none"/>
        </w:rPr>
        <w:t>政府采购合同参考范本</w:t>
      </w:r>
    </w:p>
    <w:p>
      <w:pPr>
        <w:spacing w:line="480" w:lineRule="auto"/>
        <w:jc w:val="center"/>
        <w:rPr>
          <w:rFonts w:hint="eastAsia" w:asciiTheme="majorEastAsia" w:hAnsiTheme="majorEastAsia" w:eastAsiaTheme="majorEastAsia" w:cstheme="majorEastAsia"/>
          <w:b/>
          <w:color w:val="auto"/>
          <w:sz w:val="36"/>
          <w:szCs w:val="36"/>
          <w:highlight w:val="none"/>
        </w:rPr>
      </w:pPr>
      <w:r>
        <w:rPr>
          <w:rFonts w:hint="eastAsia" w:asciiTheme="majorEastAsia" w:hAnsiTheme="majorEastAsia" w:eastAsiaTheme="majorEastAsia" w:cstheme="majorEastAsia"/>
          <w:b/>
          <w:color w:val="auto"/>
          <w:sz w:val="36"/>
          <w:szCs w:val="36"/>
          <w:highlight w:val="none"/>
        </w:rPr>
        <w:t>（服务类）</w:t>
      </w:r>
    </w:p>
    <w:p>
      <w:pPr>
        <w:pStyle w:val="74"/>
        <w:ind w:firstLine="2843" w:firstLineChars="1180"/>
        <w:rPr>
          <w:rFonts w:hint="eastAsia" w:asciiTheme="majorEastAsia" w:hAnsiTheme="majorEastAsia" w:eastAsiaTheme="majorEastAsia" w:cstheme="majorEastAsia"/>
          <w:b/>
          <w:color w:val="auto"/>
          <w:szCs w:val="24"/>
          <w:highlight w:val="none"/>
        </w:rPr>
      </w:pPr>
      <w:r>
        <w:rPr>
          <w:rFonts w:hint="eastAsia" w:asciiTheme="majorEastAsia" w:hAnsiTheme="majorEastAsia" w:eastAsiaTheme="majorEastAsia" w:cstheme="majorEastAsia"/>
          <w:b/>
          <w:color w:val="auto"/>
          <w:szCs w:val="24"/>
          <w:highlight w:val="none"/>
        </w:rPr>
        <w:t>第一部分 合同书</w:t>
      </w:r>
    </w:p>
    <w:p>
      <w:pPr>
        <w:spacing w:before="120" w:line="22" w:lineRule="atLeast"/>
        <w:rPr>
          <w:rFonts w:hint="eastAsia" w:asciiTheme="majorEastAsia" w:hAnsiTheme="majorEastAsia" w:eastAsiaTheme="majorEastAsia" w:cstheme="majorEastAsia"/>
          <w:color w:val="auto"/>
          <w:sz w:val="24"/>
          <w:highlight w:val="none"/>
        </w:rPr>
      </w:pPr>
    </w:p>
    <w:p>
      <w:pPr>
        <w:pStyle w:val="2"/>
        <w:tabs>
          <w:tab w:val="left" w:pos="432"/>
        </w:tabs>
        <w:rPr>
          <w:rFonts w:hint="eastAsia" w:asciiTheme="majorEastAsia" w:hAnsiTheme="majorEastAsia" w:eastAsiaTheme="majorEastAsia" w:cstheme="majorEastAsia"/>
          <w:color w:val="auto"/>
          <w:highlight w:val="none"/>
        </w:rPr>
      </w:pPr>
    </w:p>
    <w:p>
      <w:pPr>
        <w:spacing w:before="120" w:line="22" w:lineRule="atLeast"/>
        <w:ind w:left="960"/>
        <w:rPr>
          <w:rFonts w:hint="eastAsia" w:asciiTheme="majorEastAsia" w:hAnsiTheme="majorEastAsia" w:eastAsiaTheme="majorEastAsia" w:cstheme="majorEastAsia"/>
          <w:color w:val="auto"/>
          <w:sz w:val="24"/>
          <w:highlight w:val="none"/>
        </w:rPr>
      </w:pPr>
      <w:r>
        <w:rPr>
          <w:rFonts w:hint="eastAsia" w:asciiTheme="majorEastAsia" w:hAnsiTheme="majorEastAsia" w:eastAsiaTheme="majorEastAsia" w:cstheme="majorEastAsia"/>
          <w:color w:val="auto"/>
          <w:sz w:val="24"/>
          <w:highlight w:val="none"/>
        </w:rPr>
        <w:t>项目名称：</w:t>
      </w:r>
    </w:p>
    <w:p>
      <w:pPr>
        <w:pStyle w:val="73"/>
        <w:spacing w:before="120" w:line="22" w:lineRule="atLeast"/>
        <w:rPr>
          <w:rFonts w:hint="eastAsia" w:asciiTheme="majorEastAsia" w:hAnsiTheme="majorEastAsia" w:eastAsiaTheme="majorEastAsia" w:cstheme="majorEastAsia"/>
          <w:color w:val="auto"/>
          <w:szCs w:val="24"/>
          <w:highlight w:val="none"/>
        </w:rPr>
      </w:pPr>
    </w:p>
    <w:p>
      <w:pPr>
        <w:pStyle w:val="73"/>
        <w:spacing w:before="120" w:line="22" w:lineRule="atLeast"/>
        <w:rPr>
          <w:rFonts w:hint="eastAsia" w:asciiTheme="majorEastAsia" w:hAnsiTheme="majorEastAsia" w:eastAsiaTheme="majorEastAsia" w:cstheme="majorEastAsia"/>
          <w:color w:val="auto"/>
          <w:szCs w:val="24"/>
          <w:highlight w:val="none"/>
        </w:rPr>
      </w:pPr>
    </w:p>
    <w:p>
      <w:pPr>
        <w:rPr>
          <w:rFonts w:hint="eastAsia" w:asciiTheme="majorEastAsia" w:hAnsiTheme="majorEastAsia" w:eastAsiaTheme="majorEastAsia" w:cstheme="majorEastAsia"/>
          <w:color w:val="auto"/>
          <w:sz w:val="24"/>
          <w:highlight w:val="none"/>
        </w:rPr>
      </w:pPr>
    </w:p>
    <w:p>
      <w:pPr>
        <w:spacing w:before="120" w:line="22" w:lineRule="atLeast"/>
        <w:ind w:left="960"/>
        <w:rPr>
          <w:rFonts w:hint="eastAsia" w:asciiTheme="majorEastAsia" w:hAnsiTheme="majorEastAsia" w:eastAsiaTheme="majorEastAsia" w:cstheme="majorEastAsia"/>
          <w:color w:val="auto"/>
          <w:sz w:val="24"/>
          <w:highlight w:val="none"/>
          <w:u w:val="single"/>
        </w:rPr>
      </w:pPr>
      <w:r>
        <w:rPr>
          <w:rFonts w:hint="eastAsia" w:asciiTheme="majorEastAsia" w:hAnsiTheme="majorEastAsia" w:eastAsiaTheme="majorEastAsia" w:cstheme="majorEastAsia"/>
          <w:color w:val="auto"/>
          <w:sz w:val="24"/>
          <w:highlight w:val="none"/>
        </w:rPr>
        <w:t>甲方：</w:t>
      </w:r>
    </w:p>
    <w:p>
      <w:pPr>
        <w:spacing w:before="120" w:line="22" w:lineRule="atLeast"/>
        <w:rPr>
          <w:rFonts w:hint="eastAsia" w:asciiTheme="majorEastAsia" w:hAnsiTheme="majorEastAsia" w:eastAsiaTheme="majorEastAsia" w:cstheme="majorEastAsia"/>
          <w:color w:val="auto"/>
          <w:sz w:val="24"/>
          <w:highlight w:val="none"/>
        </w:rPr>
      </w:pPr>
    </w:p>
    <w:p>
      <w:pPr>
        <w:spacing w:before="120" w:line="22" w:lineRule="atLeast"/>
        <w:ind w:left="960"/>
        <w:rPr>
          <w:rFonts w:hint="eastAsia" w:asciiTheme="majorEastAsia" w:hAnsiTheme="majorEastAsia" w:eastAsiaTheme="majorEastAsia" w:cstheme="majorEastAsia"/>
          <w:color w:val="auto"/>
          <w:sz w:val="24"/>
          <w:highlight w:val="none"/>
          <w:u w:val="single"/>
        </w:rPr>
      </w:pPr>
      <w:r>
        <w:rPr>
          <w:rFonts w:hint="eastAsia" w:asciiTheme="majorEastAsia" w:hAnsiTheme="majorEastAsia" w:eastAsiaTheme="majorEastAsia" w:cstheme="majorEastAsia"/>
          <w:color w:val="auto"/>
          <w:sz w:val="24"/>
          <w:highlight w:val="none"/>
        </w:rPr>
        <w:t>乙方：</w:t>
      </w:r>
    </w:p>
    <w:p>
      <w:pPr>
        <w:spacing w:before="120" w:line="22" w:lineRule="atLeast"/>
        <w:rPr>
          <w:rFonts w:hint="eastAsia" w:asciiTheme="majorEastAsia" w:hAnsiTheme="majorEastAsia" w:eastAsiaTheme="majorEastAsia" w:cstheme="majorEastAsia"/>
          <w:color w:val="auto"/>
          <w:sz w:val="24"/>
          <w:highlight w:val="none"/>
        </w:rPr>
      </w:pPr>
    </w:p>
    <w:p>
      <w:pPr>
        <w:spacing w:before="120" w:line="22" w:lineRule="atLeast"/>
        <w:ind w:firstLine="960" w:firstLineChars="400"/>
        <w:rPr>
          <w:rFonts w:hint="eastAsia" w:asciiTheme="majorEastAsia" w:hAnsiTheme="majorEastAsia" w:eastAsiaTheme="majorEastAsia" w:cstheme="majorEastAsia"/>
          <w:color w:val="auto"/>
          <w:sz w:val="24"/>
          <w:highlight w:val="none"/>
          <w:u w:val="single"/>
        </w:rPr>
      </w:pPr>
      <w:r>
        <w:rPr>
          <w:rFonts w:hint="eastAsia" w:asciiTheme="majorEastAsia" w:hAnsiTheme="majorEastAsia" w:eastAsiaTheme="majorEastAsia" w:cstheme="majorEastAsia"/>
          <w:color w:val="auto"/>
          <w:sz w:val="24"/>
          <w:highlight w:val="none"/>
        </w:rPr>
        <w:t>签订地：</w:t>
      </w:r>
    </w:p>
    <w:p>
      <w:pPr>
        <w:spacing w:before="120" w:line="22" w:lineRule="atLeast"/>
        <w:rPr>
          <w:rFonts w:hint="eastAsia" w:asciiTheme="majorEastAsia" w:hAnsiTheme="majorEastAsia" w:eastAsiaTheme="majorEastAsia" w:cstheme="majorEastAsia"/>
          <w:color w:val="auto"/>
          <w:sz w:val="24"/>
          <w:highlight w:val="none"/>
        </w:rPr>
      </w:pPr>
    </w:p>
    <w:p>
      <w:pPr>
        <w:spacing w:before="120" w:line="22" w:lineRule="atLeast"/>
        <w:ind w:firstLine="960" w:firstLineChars="400"/>
        <w:rPr>
          <w:rFonts w:hint="eastAsia" w:asciiTheme="majorEastAsia" w:hAnsiTheme="majorEastAsia" w:eastAsiaTheme="majorEastAsia" w:cstheme="majorEastAsia"/>
          <w:color w:val="auto"/>
          <w:sz w:val="24"/>
          <w:highlight w:val="none"/>
          <w:u w:val="single"/>
        </w:rPr>
      </w:pPr>
      <w:r>
        <w:rPr>
          <w:rFonts w:hint="eastAsia" w:asciiTheme="majorEastAsia" w:hAnsiTheme="majorEastAsia" w:eastAsiaTheme="majorEastAsia" w:cstheme="majorEastAsia"/>
          <w:color w:val="auto"/>
          <w:sz w:val="24"/>
          <w:highlight w:val="none"/>
        </w:rPr>
        <w:t>签订日期：</w:t>
      </w:r>
      <w:r>
        <w:rPr>
          <w:rFonts w:hint="eastAsia" w:asciiTheme="majorEastAsia" w:hAnsiTheme="majorEastAsia" w:eastAsiaTheme="majorEastAsia" w:cstheme="majorEastAsia"/>
          <w:color w:val="auto"/>
          <w:sz w:val="24"/>
          <w:highlight w:val="none"/>
          <w:lang w:val="en-US" w:eastAsia="zh-CN"/>
        </w:rPr>
        <w:t xml:space="preserve">    </w:t>
      </w:r>
      <w:r>
        <w:rPr>
          <w:rFonts w:hint="eastAsia" w:asciiTheme="majorEastAsia" w:hAnsiTheme="majorEastAsia" w:eastAsiaTheme="majorEastAsia" w:cstheme="majorEastAsia"/>
          <w:color w:val="auto"/>
          <w:sz w:val="24"/>
          <w:highlight w:val="none"/>
        </w:rPr>
        <w:t>年</w:t>
      </w:r>
      <w:r>
        <w:rPr>
          <w:rFonts w:hint="eastAsia" w:asciiTheme="majorEastAsia" w:hAnsiTheme="majorEastAsia" w:eastAsiaTheme="majorEastAsia" w:cstheme="majorEastAsia"/>
          <w:color w:val="auto"/>
          <w:sz w:val="24"/>
          <w:highlight w:val="none"/>
          <w:lang w:val="en-US" w:eastAsia="zh-CN"/>
        </w:rPr>
        <w:t xml:space="preserve">  </w:t>
      </w:r>
      <w:r>
        <w:rPr>
          <w:rFonts w:hint="eastAsia" w:asciiTheme="majorEastAsia" w:hAnsiTheme="majorEastAsia" w:eastAsiaTheme="majorEastAsia" w:cstheme="majorEastAsia"/>
          <w:color w:val="auto"/>
          <w:sz w:val="24"/>
          <w:highlight w:val="none"/>
        </w:rPr>
        <w:t>月</w:t>
      </w:r>
      <w:r>
        <w:rPr>
          <w:rFonts w:hint="eastAsia" w:asciiTheme="majorEastAsia" w:hAnsiTheme="majorEastAsia" w:eastAsiaTheme="majorEastAsia" w:cstheme="majorEastAsia"/>
          <w:color w:val="auto"/>
          <w:sz w:val="24"/>
          <w:highlight w:val="none"/>
          <w:lang w:val="en-US" w:eastAsia="zh-CN"/>
        </w:rPr>
        <w:t xml:space="preserve">  </w:t>
      </w:r>
      <w:r>
        <w:rPr>
          <w:rFonts w:hint="eastAsia" w:asciiTheme="majorEastAsia" w:hAnsiTheme="majorEastAsia" w:eastAsiaTheme="majorEastAsia" w:cstheme="majorEastAsia"/>
          <w:color w:val="auto"/>
          <w:sz w:val="24"/>
          <w:highlight w:val="none"/>
        </w:rPr>
        <w:t>日</w:t>
      </w:r>
    </w:p>
    <w:p>
      <w:pPr>
        <w:rPr>
          <w:rFonts w:hint="eastAsia" w:asciiTheme="majorEastAsia" w:hAnsiTheme="majorEastAsia" w:eastAsiaTheme="majorEastAsia" w:cstheme="majorEastAsia"/>
          <w:b/>
          <w:color w:val="auto"/>
          <w:sz w:val="24"/>
          <w:highlight w:val="none"/>
        </w:rPr>
      </w:pPr>
    </w:p>
    <w:p>
      <w:pPr>
        <w:spacing w:line="560" w:lineRule="exact"/>
        <w:ind w:firstLine="480" w:firstLineChars="200"/>
        <w:rPr>
          <w:rFonts w:hint="eastAsia" w:asciiTheme="majorEastAsia" w:hAnsiTheme="majorEastAsia" w:eastAsiaTheme="majorEastAsia" w:cstheme="majorEastAsia"/>
          <w:color w:val="auto"/>
          <w:sz w:val="24"/>
          <w:highlight w:val="none"/>
        </w:rPr>
      </w:pPr>
      <w:r>
        <w:rPr>
          <w:rFonts w:hint="eastAsia" w:asciiTheme="majorEastAsia" w:hAnsiTheme="majorEastAsia" w:eastAsiaTheme="majorEastAsia" w:cstheme="majorEastAsia"/>
          <w:color w:val="auto"/>
          <w:sz w:val="24"/>
          <w:highlight w:val="none"/>
          <w:lang w:val="zh-CN"/>
        </w:rPr>
        <w:t>年月日</w:t>
      </w:r>
      <w:r>
        <w:rPr>
          <w:rFonts w:hint="eastAsia" w:asciiTheme="majorEastAsia" w:hAnsiTheme="majorEastAsia" w:eastAsiaTheme="majorEastAsia" w:cstheme="majorEastAsia"/>
          <w:color w:val="auto"/>
          <w:sz w:val="24"/>
          <w:highlight w:val="none"/>
        </w:rPr>
        <w:t>，</w:t>
      </w:r>
      <w:r>
        <w:rPr>
          <w:rFonts w:hint="eastAsia" w:asciiTheme="majorEastAsia" w:hAnsiTheme="majorEastAsia" w:eastAsiaTheme="majorEastAsia" w:cstheme="majorEastAsia"/>
          <w:color w:val="auto"/>
          <w:sz w:val="24"/>
          <w:highlight w:val="none"/>
          <w:u w:val="single"/>
        </w:rPr>
        <w:t>（采购人）</w:t>
      </w:r>
      <w:r>
        <w:rPr>
          <w:rFonts w:hint="eastAsia" w:asciiTheme="majorEastAsia" w:hAnsiTheme="majorEastAsia" w:eastAsiaTheme="majorEastAsia" w:cstheme="majorEastAsia"/>
          <w:color w:val="auto"/>
          <w:sz w:val="24"/>
          <w:highlight w:val="none"/>
        </w:rPr>
        <w:t>以</w:t>
      </w:r>
      <w:r>
        <w:rPr>
          <w:rFonts w:hint="eastAsia" w:asciiTheme="majorEastAsia" w:hAnsiTheme="majorEastAsia" w:eastAsiaTheme="majorEastAsia" w:cstheme="majorEastAsia"/>
          <w:color w:val="auto"/>
          <w:sz w:val="24"/>
          <w:highlight w:val="none"/>
          <w:u w:val="single"/>
        </w:rPr>
        <w:t xml:space="preserve">   （政府采购方式）  </w:t>
      </w:r>
      <w:r>
        <w:rPr>
          <w:rFonts w:hint="eastAsia" w:asciiTheme="majorEastAsia" w:hAnsiTheme="majorEastAsia" w:eastAsiaTheme="majorEastAsia" w:cstheme="majorEastAsia"/>
          <w:color w:val="auto"/>
          <w:sz w:val="24"/>
          <w:highlight w:val="none"/>
        </w:rPr>
        <w:t>对</w:t>
      </w:r>
      <w:r>
        <w:rPr>
          <w:rFonts w:hint="eastAsia" w:asciiTheme="majorEastAsia" w:hAnsiTheme="majorEastAsia" w:eastAsiaTheme="majorEastAsia" w:cstheme="majorEastAsia"/>
          <w:color w:val="auto"/>
          <w:sz w:val="24"/>
          <w:highlight w:val="none"/>
          <w:u w:val="single"/>
        </w:rPr>
        <w:t xml:space="preserve">（项目名称）  </w:t>
      </w:r>
      <w:r>
        <w:rPr>
          <w:rFonts w:hint="eastAsia" w:asciiTheme="majorEastAsia" w:hAnsiTheme="majorEastAsia" w:eastAsiaTheme="majorEastAsia" w:cstheme="majorEastAsia"/>
          <w:color w:val="auto"/>
          <w:sz w:val="24"/>
          <w:highlight w:val="none"/>
        </w:rPr>
        <w:t>项目进行了采购。经</w:t>
      </w:r>
      <w:r>
        <w:rPr>
          <w:rFonts w:hint="eastAsia" w:asciiTheme="majorEastAsia" w:hAnsiTheme="majorEastAsia" w:eastAsiaTheme="majorEastAsia" w:cstheme="majorEastAsia"/>
          <w:color w:val="auto"/>
          <w:sz w:val="24"/>
          <w:highlight w:val="none"/>
          <w:u w:val="single"/>
        </w:rPr>
        <w:t xml:space="preserve">   （相关评定主体名称）   </w:t>
      </w:r>
      <w:r>
        <w:rPr>
          <w:rFonts w:hint="eastAsia" w:asciiTheme="majorEastAsia" w:hAnsiTheme="majorEastAsia" w:eastAsiaTheme="majorEastAsia" w:cstheme="majorEastAsia"/>
          <w:color w:val="auto"/>
          <w:sz w:val="24"/>
          <w:highlight w:val="none"/>
        </w:rPr>
        <w:t>评定，</w:t>
      </w:r>
      <w:r>
        <w:rPr>
          <w:rFonts w:hint="eastAsia" w:asciiTheme="majorEastAsia" w:hAnsiTheme="majorEastAsia" w:eastAsiaTheme="majorEastAsia" w:cstheme="majorEastAsia"/>
          <w:color w:val="auto"/>
          <w:sz w:val="24"/>
          <w:highlight w:val="none"/>
          <w:u w:val="single"/>
        </w:rPr>
        <w:t xml:space="preserve">   （中标或者成交供应商名称） </w:t>
      </w:r>
      <w:r>
        <w:rPr>
          <w:rFonts w:hint="eastAsia" w:asciiTheme="majorEastAsia" w:hAnsiTheme="majorEastAsia" w:eastAsiaTheme="majorEastAsia" w:cstheme="majorEastAsia"/>
          <w:color w:val="auto"/>
          <w:sz w:val="24"/>
          <w:highlight w:val="none"/>
        </w:rPr>
        <w:t>为该项目中标或者成交供应商。现于中标或者成交通知书发出之日起10个工作日内，按照采购文件确定的事项签订本合同。</w:t>
      </w:r>
    </w:p>
    <w:p>
      <w:pPr>
        <w:spacing w:line="560" w:lineRule="exact"/>
        <w:ind w:firstLine="480" w:firstLineChars="200"/>
        <w:rPr>
          <w:rFonts w:hint="eastAsia" w:asciiTheme="majorEastAsia" w:hAnsiTheme="majorEastAsia" w:eastAsiaTheme="majorEastAsia" w:cstheme="majorEastAsia"/>
          <w:color w:val="auto"/>
          <w:sz w:val="24"/>
          <w:highlight w:val="none"/>
        </w:rPr>
      </w:pPr>
      <w:r>
        <w:rPr>
          <w:rFonts w:hint="eastAsia" w:asciiTheme="majorEastAsia" w:hAnsiTheme="majorEastAsia" w:eastAsiaTheme="majorEastAsia" w:cstheme="majorEastAsia"/>
          <w:color w:val="auto"/>
          <w:sz w:val="24"/>
          <w:highlight w:val="none"/>
          <w:lang w:val="zh-CN"/>
        </w:rPr>
        <w:t>根据《中华人民共和国民法典》《中华人民共和国政府采购法》等相关法律法规之规定，按照平等、自愿、公平和诚实信用的原则，经</w:t>
      </w:r>
      <w:r>
        <w:rPr>
          <w:rFonts w:hint="eastAsia" w:asciiTheme="majorEastAsia" w:hAnsiTheme="majorEastAsia" w:eastAsiaTheme="majorEastAsia" w:cstheme="majorEastAsia"/>
          <w:color w:val="auto"/>
          <w:sz w:val="24"/>
          <w:highlight w:val="none"/>
          <w:u w:val="single"/>
        </w:rPr>
        <w:t xml:space="preserve">（采购人） </w:t>
      </w:r>
      <w:r>
        <w:rPr>
          <w:rFonts w:hint="eastAsia" w:asciiTheme="majorEastAsia" w:hAnsiTheme="majorEastAsia" w:eastAsiaTheme="majorEastAsia" w:cstheme="majorEastAsia"/>
          <w:color w:val="auto"/>
          <w:sz w:val="24"/>
          <w:highlight w:val="none"/>
          <w:lang w:val="zh-CN"/>
        </w:rPr>
        <w:t>(以下简称：甲方)和</w:t>
      </w:r>
      <w:r>
        <w:rPr>
          <w:rFonts w:hint="eastAsia" w:asciiTheme="majorEastAsia" w:hAnsiTheme="majorEastAsia" w:eastAsiaTheme="majorEastAsia" w:cstheme="majorEastAsia"/>
          <w:color w:val="auto"/>
          <w:sz w:val="24"/>
          <w:highlight w:val="none"/>
          <w:u w:val="single"/>
        </w:rPr>
        <w:t xml:space="preserve">   （中或者成交标供应商名称）   </w:t>
      </w:r>
      <w:r>
        <w:rPr>
          <w:rFonts w:hint="eastAsia" w:asciiTheme="majorEastAsia" w:hAnsiTheme="majorEastAsia" w:eastAsiaTheme="majorEastAsia" w:cstheme="majorEastAsia"/>
          <w:color w:val="auto"/>
          <w:sz w:val="24"/>
          <w:highlight w:val="none"/>
          <w:lang w:val="zh-CN"/>
        </w:rPr>
        <w:t>(以下简称：乙方)协商一致，约定以下合同</w:t>
      </w:r>
      <w:r>
        <w:rPr>
          <w:rFonts w:hint="eastAsia" w:asciiTheme="majorEastAsia" w:hAnsiTheme="majorEastAsia" w:eastAsiaTheme="majorEastAsia" w:cstheme="majorEastAsia"/>
          <w:color w:val="auto"/>
          <w:sz w:val="24"/>
          <w:highlight w:val="none"/>
        </w:rPr>
        <w:t>条款，以兹共同遵守、全面履行。</w:t>
      </w:r>
    </w:p>
    <w:p>
      <w:pPr>
        <w:spacing w:line="560" w:lineRule="exact"/>
        <w:ind w:firstLine="482" w:firstLineChars="200"/>
        <w:outlineLvl w:val="0"/>
        <w:rPr>
          <w:rFonts w:hint="eastAsia" w:asciiTheme="majorEastAsia" w:hAnsiTheme="majorEastAsia" w:eastAsiaTheme="majorEastAsia" w:cstheme="majorEastAsia"/>
          <w:color w:val="auto"/>
          <w:sz w:val="24"/>
          <w:highlight w:val="none"/>
        </w:rPr>
      </w:pPr>
      <w:bookmarkStart w:id="367" w:name="_Toc15367"/>
      <w:bookmarkStart w:id="368" w:name="_Toc22967"/>
      <w:bookmarkStart w:id="369" w:name="_Toc19273"/>
      <w:bookmarkStart w:id="370" w:name="_Toc28855"/>
      <w:bookmarkStart w:id="371" w:name="_Toc20421"/>
      <w:r>
        <w:rPr>
          <w:rFonts w:hint="eastAsia" w:asciiTheme="majorEastAsia" w:hAnsiTheme="majorEastAsia" w:eastAsiaTheme="majorEastAsia" w:cstheme="majorEastAsia"/>
          <w:b/>
          <w:color w:val="auto"/>
          <w:sz w:val="24"/>
          <w:highlight w:val="none"/>
        </w:rPr>
        <w:t>1.1 合同组成部分</w:t>
      </w:r>
      <w:bookmarkEnd w:id="367"/>
      <w:bookmarkEnd w:id="368"/>
      <w:bookmarkEnd w:id="369"/>
      <w:bookmarkEnd w:id="370"/>
      <w:bookmarkEnd w:id="371"/>
    </w:p>
    <w:p>
      <w:pPr>
        <w:spacing w:line="560" w:lineRule="exact"/>
        <w:ind w:firstLine="480" w:firstLineChars="200"/>
        <w:rPr>
          <w:rFonts w:hint="eastAsia" w:asciiTheme="majorEastAsia" w:hAnsiTheme="majorEastAsia" w:eastAsiaTheme="majorEastAsia" w:cstheme="majorEastAsia"/>
          <w:color w:val="auto"/>
          <w:sz w:val="24"/>
          <w:highlight w:val="none"/>
        </w:rPr>
      </w:pPr>
      <w:r>
        <w:rPr>
          <w:rFonts w:hint="eastAsia" w:asciiTheme="majorEastAsia" w:hAnsiTheme="majorEastAsia" w:eastAsiaTheme="majorEastAsia" w:cstheme="majorEastAsia"/>
          <w:color w:val="auto"/>
          <w:sz w:val="24"/>
          <w:highlight w:val="none"/>
        </w:rPr>
        <w:t>下列文件为本合同的组成部分，并构成一个整体，需综合解释、相互补充。如果下列文件内容出现不一致的情形，那么在保证按照采购文件确定的事项的前提下，组成本合同的多个文件的优先适用顺序如下：</w:t>
      </w:r>
    </w:p>
    <w:p>
      <w:pPr>
        <w:spacing w:line="560" w:lineRule="exact"/>
        <w:ind w:firstLine="480" w:firstLineChars="200"/>
        <w:rPr>
          <w:rFonts w:hint="eastAsia" w:asciiTheme="majorEastAsia" w:hAnsiTheme="majorEastAsia" w:eastAsiaTheme="majorEastAsia" w:cstheme="majorEastAsia"/>
          <w:color w:val="auto"/>
          <w:sz w:val="24"/>
          <w:highlight w:val="none"/>
        </w:rPr>
      </w:pPr>
      <w:r>
        <w:rPr>
          <w:rFonts w:hint="eastAsia" w:asciiTheme="majorEastAsia" w:hAnsiTheme="majorEastAsia" w:eastAsiaTheme="majorEastAsia" w:cstheme="majorEastAsia"/>
          <w:color w:val="auto"/>
          <w:sz w:val="24"/>
          <w:highlight w:val="none"/>
        </w:rPr>
        <w:t>1.1.1 本合同及其补充合同、变更协议；</w:t>
      </w:r>
    </w:p>
    <w:p>
      <w:pPr>
        <w:spacing w:line="560" w:lineRule="exact"/>
        <w:ind w:firstLine="480" w:firstLineChars="200"/>
        <w:rPr>
          <w:rFonts w:hint="eastAsia" w:asciiTheme="majorEastAsia" w:hAnsiTheme="majorEastAsia" w:eastAsiaTheme="majorEastAsia" w:cstheme="majorEastAsia"/>
          <w:color w:val="auto"/>
          <w:sz w:val="24"/>
          <w:highlight w:val="none"/>
        </w:rPr>
      </w:pPr>
      <w:r>
        <w:rPr>
          <w:rFonts w:hint="eastAsia" w:asciiTheme="majorEastAsia" w:hAnsiTheme="majorEastAsia" w:eastAsiaTheme="majorEastAsia" w:cstheme="majorEastAsia"/>
          <w:color w:val="auto"/>
          <w:sz w:val="24"/>
          <w:highlight w:val="none"/>
        </w:rPr>
        <w:t>1.1.2 中标或者成交通知书；</w:t>
      </w:r>
    </w:p>
    <w:p>
      <w:pPr>
        <w:spacing w:line="560" w:lineRule="exact"/>
        <w:ind w:firstLine="480" w:firstLineChars="200"/>
        <w:rPr>
          <w:rFonts w:hint="eastAsia" w:asciiTheme="majorEastAsia" w:hAnsiTheme="majorEastAsia" w:eastAsiaTheme="majorEastAsia" w:cstheme="majorEastAsia"/>
          <w:color w:val="auto"/>
          <w:sz w:val="24"/>
          <w:highlight w:val="none"/>
        </w:rPr>
      </w:pPr>
      <w:r>
        <w:rPr>
          <w:rFonts w:hint="eastAsia" w:asciiTheme="majorEastAsia" w:hAnsiTheme="majorEastAsia" w:eastAsiaTheme="majorEastAsia" w:cstheme="majorEastAsia"/>
          <w:color w:val="auto"/>
          <w:sz w:val="24"/>
          <w:highlight w:val="none"/>
        </w:rPr>
        <w:t>1.1.3 投标或者响应文件（含澄清或者说明文件）；</w:t>
      </w:r>
    </w:p>
    <w:p>
      <w:pPr>
        <w:spacing w:line="560" w:lineRule="exact"/>
        <w:ind w:firstLine="480" w:firstLineChars="200"/>
        <w:rPr>
          <w:rFonts w:hint="eastAsia" w:asciiTheme="majorEastAsia" w:hAnsiTheme="majorEastAsia" w:eastAsiaTheme="majorEastAsia" w:cstheme="majorEastAsia"/>
          <w:color w:val="auto"/>
          <w:sz w:val="24"/>
          <w:highlight w:val="none"/>
        </w:rPr>
      </w:pPr>
      <w:r>
        <w:rPr>
          <w:rFonts w:hint="eastAsia" w:asciiTheme="majorEastAsia" w:hAnsiTheme="majorEastAsia" w:eastAsiaTheme="majorEastAsia" w:cstheme="majorEastAsia"/>
          <w:color w:val="auto"/>
          <w:sz w:val="24"/>
          <w:highlight w:val="none"/>
        </w:rPr>
        <w:t>1.1.4 采购文件（含澄清或者修改文件）；</w:t>
      </w:r>
    </w:p>
    <w:p>
      <w:pPr>
        <w:spacing w:line="560" w:lineRule="exact"/>
        <w:ind w:firstLine="480" w:firstLineChars="200"/>
        <w:rPr>
          <w:rFonts w:hint="eastAsia" w:asciiTheme="majorEastAsia" w:hAnsiTheme="majorEastAsia" w:eastAsiaTheme="majorEastAsia" w:cstheme="majorEastAsia"/>
          <w:color w:val="auto"/>
          <w:sz w:val="24"/>
          <w:highlight w:val="none"/>
        </w:rPr>
      </w:pPr>
      <w:r>
        <w:rPr>
          <w:rFonts w:hint="eastAsia" w:asciiTheme="majorEastAsia" w:hAnsiTheme="majorEastAsia" w:eastAsiaTheme="majorEastAsia" w:cstheme="majorEastAsia"/>
          <w:color w:val="auto"/>
          <w:sz w:val="24"/>
          <w:highlight w:val="none"/>
        </w:rPr>
        <w:t>1.1.5 其他相关采购文件。</w:t>
      </w:r>
    </w:p>
    <w:p>
      <w:pPr>
        <w:spacing w:line="560" w:lineRule="exact"/>
        <w:ind w:firstLine="482" w:firstLineChars="200"/>
        <w:outlineLvl w:val="0"/>
        <w:rPr>
          <w:rFonts w:hint="eastAsia" w:asciiTheme="majorEastAsia" w:hAnsiTheme="majorEastAsia" w:eastAsiaTheme="majorEastAsia" w:cstheme="majorEastAsia"/>
          <w:b/>
          <w:color w:val="auto"/>
          <w:sz w:val="24"/>
          <w:highlight w:val="none"/>
        </w:rPr>
      </w:pPr>
      <w:bookmarkStart w:id="372" w:name="_Toc6773"/>
      <w:bookmarkStart w:id="373" w:name="_Toc6311"/>
      <w:bookmarkStart w:id="374" w:name="_Toc2918"/>
      <w:bookmarkStart w:id="375" w:name="_Toc18585"/>
      <w:bookmarkStart w:id="376" w:name="_Toc22185"/>
      <w:r>
        <w:rPr>
          <w:rFonts w:hint="eastAsia" w:asciiTheme="majorEastAsia" w:hAnsiTheme="majorEastAsia" w:eastAsiaTheme="majorEastAsia" w:cstheme="majorEastAsia"/>
          <w:b/>
          <w:color w:val="auto"/>
          <w:sz w:val="24"/>
          <w:highlight w:val="none"/>
        </w:rPr>
        <w:t>1.2 标的</w:t>
      </w:r>
      <w:bookmarkEnd w:id="372"/>
      <w:bookmarkEnd w:id="373"/>
      <w:bookmarkEnd w:id="374"/>
      <w:bookmarkEnd w:id="375"/>
      <w:bookmarkEnd w:id="376"/>
    </w:p>
    <w:p>
      <w:pPr>
        <w:spacing w:line="560" w:lineRule="exact"/>
        <w:ind w:firstLine="480" w:firstLineChars="200"/>
        <w:rPr>
          <w:rFonts w:hint="eastAsia" w:asciiTheme="majorEastAsia" w:hAnsiTheme="majorEastAsia" w:eastAsiaTheme="majorEastAsia" w:cstheme="majorEastAsia"/>
          <w:color w:val="auto"/>
          <w:sz w:val="24"/>
          <w:highlight w:val="none"/>
          <w:u w:val="single"/>
        </w:rPr>
      </w:pPr>
      <w:r>
        <w:rPr>
          <w:rFonts w:hint="eastAsia" w:asciiTheme="majorEastAsia" w:hAnsiTheme="majorEastAsia" w:eastAsiaTheme="majorEastAsia" w:cstheme="majorEastAsia"/>
          <w:color w:val="auto"/>
          <w:sz w:val="24"/>
          <w:highlight w:val="none"/>
        </w:rPr>
        <w:t>1.2.1 服务内容：；</w:t>
      </w:r>
    </w:p>
    <w:p>
      <w:pPr>
        <w:spacing w:line="560" w:lineRule="exact"/>
        <w:ind w:firstLine="480" w:firstLineChars="200"/>
        <w:rPr>
          <w:rFonts w:hint="eastAsia" w:asciiTheme="majorEastAsia" w:hAnsiTheme="majorEastAsia" w:eastAsiaTheme="majorEastAsia" w:cstheme="majorEastAsia"/>
          <w:color w:val="auto"/>
          <w:sz w:val="24"/>
          <w:highlight w:val="none"/>
          <w:u w:val="single"/>
        </w:rPr>
      </w:pPr>
      <w:r>
        <w:rPr>
          <w:rFonts w:hint="eastAsia" w:asciiTheme="majorEastAsia" w:hAnsiTheme="majorEastAsia" w:eastAsiaTheme="majorEastAsia" w:cstheme="majorEastAsia"/>
          <w:color w:val="auto"/>
          <w:sz w:val="24"/>
          <w:highlight w:val="none"/>
        </w:rPr>
        <w:t>1.2.2 服务标准：；</w:t>
      </w:r>
    </w:p>
    <w:p>
      <w:pPr>
        <w:spacing w:line="560" w:lineRule="exact"/>
        <w:ind w:firstLine="480" w:firstLineChars="200"/>
        <w:rPr>
          <w:rFonts w:hint="eastAsia" w:asciiTheme="majorEastAsia" w:hAnsiTheme="majorEastAsia" w:eastAsiaTheme="majorEastAsia" w:cstheme="majorEastAsia"/>
          <w:color w:val="auto"/>
          <w:sz w:val="24"/>
          <w:highlight w:val="none"/>
          <w:u w:val="single"/>
        </w:rPr>
      </w:pPr>
      <w:r>
        <w:rPr>
          <w:rFonts w:hint="eastAsia" w:asciiTheme="majorEastAsia" w:hAnsiTheme="majorEastAsia" w:eastAsiaTheme="majorEastAsia" w:cstheme="majorEastAsia"/>
          <w:color w:val="auto"/>
          <w:sz w:val="24"/>
          <w:highlight w:val="none"/>
        </w:rPr>
        <w:t>1.2.3 技术保障：</w:t>
      </w:r>
      <w:r>
        <w:rPr>
          <w:rFonts w:hint="eastAsia" w:asciiTheme="majorEastAsia" w:hAnsiTheme="majorEastAsia" w:eastAsiaTheme="majorEastAsia" w:cstheme="majorEastAsia"/>
          <w:color w:val="auto"/>
          <w:sz w:val="24"/>
          <w:highlight w:val="none"/>
          <w:u w:val="single"/>
        </w:rPr>
        <w:t>　　　　　　　　　                      　      ；</w:t>
      </w:r>
    </w:p>
    <w:p>
      <w:pPr>
        <w:spacing w:line="560" w:lineRule="exact"/>
        <w:ind w:firstLine="480" w:firstLineChars="200"/>
        <w:jc w:val="left"/>
        <w:rPr>
          <w:rFonts w:hint="eastAsia" w:asciiTheme="majorEastAsia" w:hAnsiTheme="majorEastAsia" w:eastAsiaTheme="majorEastAsia" w:cstheme="majorEastAsia"/>
          <w:color w:val="auto"/>
          <w:sz w:val="24"/>
          <w:highlight w:val="none"/>
        </w:rPr>
      </w:pPr>
      <w:r>
        <w:rPr>
          <w:rFonts w:hint="eastAsia" w:asciiTheme="majorEastAsia" w:hAnsiTheme="majorEastAsia" w:eastAsiaTheme="majorEastAsia" w:cstheme="majorEastAsia"/>
          <w:color w:val="auto"/>
          <w:sz w:val="24"/>
          <w:highlight w:val="none"/>
        </w:rPr>
        <w:t>1.2.4 服务人员组成：</w:t>
      </w:r>
      <w:r>
        <w:rPr>
          <w:rFonts w:hint="eastAsia" w:asciiTheme="majorEastAsia" w:hAnsiTheme="majorEastAsia" w:eastAsiaTheme="majorEastAsia" w:cstheme="majorEastAsia"/>
          <w:color w:val="auto"/>
          <w:sz w:val="24"/>
          <w:highlight w:val="none"/>
          <w:u w:val="single"/>
        </w:rPr>
        <w:t xml:space="preserve">　　             　      </w:t>
      </w:r>
      <w:r>
        <w:rPr>
          <w:rFonts w:hint="eastAsia" w:asciiTheme="majorEastAsia" w:hAnsiTheme="majorEastAsia" w:eastAsiaTheme="majorEastAsia" w:cstheme="majorEastAsia"/>
          <w:color w:val="auto"/>
          <w:sz w:val="24"/>
          <w:highlight w:val="none"/>
        </w:rPr>
        <w:t>；</w:t>
      </w:r>
    </w:p>
    <w:p>
      <w:pPr>
        <w:pStyle w:val="75"/>
        <w:spacing w:before="0" w:beforeAutospacing="0" w:after="0" w:afterAutospacing="0" w:line="360" w:lineRule="auto"/>
        <w:ind w:firstLine="480"/>
        <w:rPr>
          <w:rFonts w:hint="eastAsia" w:asciiTheme="majorEastAsia" w:hAnsiTheme="majorEastAsia" w:eastAsiaTheme="majorEastAsia" w:cstheme="majorEastAsia"/>
          <w:color w:val="auto"/>
          <w:highlight w:val="none"/>
        </w:rPr>
      </w:pPr>
      <w:r>
        <w:rPr>
          <w:rFonts w:hint="eastAsia" w:asciiTheme="majorEastAsia" w:hAnsiTheme="majorEastAsia" w:eastAsiaTheme="majorEastAsia" w:cstheme="majorEastAsia"/>
          <w:color w:val="auto"/>
          <w:highlight w:val="none"/>
        </w:rPr>
        <w:t>1.2.5合同（是/否）涉及货物。若涉及货物的的，则：</w:t>
      </w:r>
    </w:p>
    <w:p>
      <w:pPr>
        <w:spacing w:line="560" w:lineRule="exact"/>
        <w:ind w:firstLine="480" w:firstLineChars="200"/>
        <w:rPr>
          <w:rFonts w:hint="eastAsia" w:asciiTheme="majorEastAsia" w:hAnsiTheme="majorEastAsia" w:eastAsiaTheme="majorEastAsia" w:cstheme="majorEastAsia"/>
          <w:color w:val="auto"/>
          <w:sz w:val="24"/>
          <w:highlight w:val="none"/>
          <w:u w:val="single"/>
        </w:rPr>
      </w:pPr>
      <w:bookmarkStart w:id="377" w:name="_Toc4929"/>
      <w:bookmarkStart w:id="378" w:name="_Toc5635"/>
      <w:bookmarkStart w:id="379" w:name="_Toc1386"/>
      <w:bookmarkStart w:id="380" w:name="_Toc21124"/>
      <w:bookmarkStart w:id="381" w:name="_Toc13918"/>
      <w:r>
        <w:rPr>
          <w:rFonts w:hint="eastAsia" w:asciiTheme="majorEastAsia" w:hAnsiTheme="majorEastAsia" w:eastAsiaTheme="majorEastAsia" w:cstheme="majorEastAsia"/>
          <w:color w:val="auto"/>
          <w:sz w:val="24"/>
          <w:highlight w:val="none"/>
        </w:rPr>
        <w:t>1.2.5.1 货物名称、品牌、规格型号、花色：；</w:t>
      </w:r>
    </w:p>
    <w:p>
      <w:pPr>
        <w:spacing w:line="560" w:lineRule="exact"/>
        <w:ind w:firstLine="480" w:firstLineChars="200"/>
        <w:rPr>
          <w:rFonts w:hint="eastAsia" w:asciiTheme="majorEastAsia" w:hAnsiTheme="majorEastAsia" w:eastAsiaTheme="majorEastAsia" w:cstheme="majorEastAsia"/>
          <w:color w:val="auto"/>
          <w:sz w:val="24"/>
          <w:highlight w:val="none"/>
          <w:u w:val="single"/>
        </w:rPr>
      </w:pPr>
      <w:r>
        <w:rPr>
          <w:rFonts w:hint="eastAsia" w:asciiTheme="majorEastAsia" w:hAnsiTheme="majorEastAsia" w:eastAsiaTheme="majorEastAsia" w:cstheme="majorEastAsia"/>
          <w:color w:val="auto"/>
          <w:sz w:val="24"/>
          <w:highlight w:val="none"/>
        </w:rPr>
        <w:t>1.2.5.2 货物数量：；</w:t>
      </w:r>
    </w:p>
    <w:p>
      <w:pPr>
        <w:spacing w:line="560" w:lineRule="exact"/>
        <w:ind w:firstLine="480" w:firstLineChars="200"/>
        <w:rPr>
          <w:rFonts w:hint="eastAsia" w:asciiTheme="majorEastAsia" w:hAnsiTheme="majorEastAsia" w:eastAsiaTheme="majorEastAsia" w:cstheme="majorEastAsia"/>
          <w:color w:val="auto"/>
          <w:sz w:val="24"/>
          <w:highlight w:val="none"/>
          <w:u w:val="single"/>
        </w:rPr>
      </w:pPr>
      <w:r>
        <w:rPr>
          <w:rFonts w:hint="eastAsia" w:asciiTheme="majorEastAsia" w:hAnsiTheme="majorEastAsia" w:eastAsiaTheme="majorEastAsia" w:cstheme="majorEastAsia"/>
          <w:color w:val="auto"/>
          <w:sz w:val="24"/>
          <w:highlight w:val="none"/>
        </w:rPr>
        <w:t>1.2.5.3 货物质量：</w:t>
      </w:r>
      <w:r>
        <w:rPr>
          <w:rFonts w:hint="eastAsia" w:asciiTheme="majorEastAsia" w:hAnsiTheme="majorEastAsia" w:eastAsiaTheme="majorEastAsia" w:cstheme="majorEastAsia"/>
          <w:color w:val="auto"/>
          <w:sz w:val="24"/>
          <w:highlight w:val="none"/>
          <w:u w:val="single"/>
        </w:rPr>
        <w:t xml:space="preserve">　　　　　　　　　                      　 </w:t>
      </w:r>
      <w:r>
        <w:rPr>
          <w:rFonts w:hint="eastAsia" w:asciiTheme="majorEastAsia" w:hAnsiTheme="majorEastAsia" w:eastAsiaTheme="majorEastAsia" w:cstheme="majorEastAsia"/>
          <w:color w:val="auto"/>
          <w:sz w:val="24"/>
          <w:highlight w:val="none"/>
        </w:rPr>
        <w:t>；</w:t>
      </w:r>
    </w:p>
    <w:p>
      <w:pPr>
        <w:spacing w:line="560" w:lineRule="exact"/>
        <w:ind w:firstLine="482" w:firstLineChars="200"/>
        <w:outlineLvl w:val="0"/>
        <w:rPr>
          <w:rFonts w:hint="eastAsia" w:asciiTheme="majorEastAsia" w:hAnsiTheme="majorEastAsia" w:eastAsiaTheme="majorEastAsia" w:cstheme="majorEastAsia"/>
          <w:b/>
          <w:color w:val="auto"/>
          <w:sz w:val="24"/>
          <w:highlight w:val="none"/>
        </w:rPr>
      </w:pPr>
      <w:r>
        <w:rPr>
          <w:rFonts w:hint="eastAsia" w:asciiTheme="majorEastAsia" w:hAnsiTheme="majorEastAsia" w:eastAsiaTheme="majorEastAsia" w:cstheme="majorEastAsia"/>
          <w:b/>
          <w:color w:val="auto"/>
          <w:sz w:val="24"/>
          <w:highlight w:val="none"/>
        </w:rPr>
        <w:t>1.3 价款</w:t>
      </w:r>
      <w:bookmarkEnd w:id="377"/>
      <w:bookmarkEnd w:id="378"/>
      <w:bookmarkEnd w:id="379"/>
      <w:bookmarkEnd w:id="380"/>
      <w:bookmarkEnd w:id="381"/>
    </w:p>
    <w:p>
      <w:pPr>
        <w:spacing w:line="560" w:lineRule="exact"/>
        <w:ind w:firstLine="480" w:firstLineChars="200"/>
        <w:rPr>
          <w:rFonts w:hint="eastAsia" w:asciiTheme="majorEastAsia" w:hAnsiTheme="majorEastAsia" w:eastAsiaTheme="majorEastAsia" w:cstheme="majorEastAsia"/>
          <w:color w:val="auto"/>
          <w:sz w:val="24"/>
          <w:highlight w:val="none"/>
        </w:rPr>
      </w:pPr>
      <w:r>
        <w:rPr>
          <w:rFonts w:hint="eastAsia" w:asciiTheme="majorEastAsia" w:hAnsiTheme="majorEastAsia" w:eastAsiaTheme="majorEastAsia" w:cstheme="majorEastAsia"/>
          <w:color w:val="auto"/>
          <w:sz w:val="24"/>
          <w:highlight w:val="none"/>
        </w:rPr>
        <w:t>本项目采用以下第条款规定的计价方式计价。</w:t>
      </w:r>
    </w:p>
    <w:p>
      <w:pPr>
        <w:spacing w:line="560" w:lineRule="exact"/>
        <w:ind w:firstLine="480" w:firstLineChars="200"/>
        <w:rPr>
          <w:rFonts w:hint="eastAsia" w:asciiTheme="majorEastAsia" w:hAnsiTheme="majorEastAsia" w:eastAsiaTheme="majorEastAsia" w:cstheme="majorEastAsia"/>
          <w:color w:val="auto"/>
          <w:sz w:val="24"/>
          <w:highlight w:val="none"/>
        </w:rPr>
      </w:pPr>
      <w:r>
        <w:rPr>
          <w:rFonts w:hint="eastAsia" w:asciiTheme="majorEastAsia" w:hAnsiTheme="majorEastAsia" w:eastAsiaTheme="majorEastAsia" w:cstheme="majorEastAsia"/>
          <w:color w:val="auto"/>
          <w:sz w:val="24"/>
          <w:highlight w:val="none"/>
        </w:rPr>
        <w:t>1.3.1总价合同，本合同总价（含税）为：￥元（大写：元人民币）。</w:t>
      </w:r>
    </w:p>
    <w:p>
      <w:pPr>
        <w:spacing w:line="560" w:lineRule="exact"/>
        <w:ind w:firstLine="480" w:firstLineChars="200"/>
        <w:rPr>
          <w:rFonts w:hint="eastAsia" w:asciiTheme="majorEastAsia" w:hAnsiTheme="majorEastAsia" w:eastAsiaTheme="majorEastAsia" w:cstheme="majorEastAsia"/>
          <w:color w:val="auto"/>
          <w:sz w:val="24"/>
          <w:highlight w:val="none"/>
          <w:u w:val="single"/>
        </w:rPr>
      </w:pPr>
      <w:r>
        <w:rPr>
          <w:rFonts w:hint="eastAsia" w:asciiTheme="majorEastAsia" w:hAnsiTheme="majorEastAsia" w:eastAsiaTheme="majorEastAsia" w:cstheme="majorEastAsia"/>
          <w:color w:val="auto"/>
          <w:sz w:val="24"/>
          <w:highlight w:val="none"/>
        </w:rPr>
        <w:t>分项价格：</w:t>
      </w:r>
    </w:p>
    <w:tbl>
      <w:tblPr>
        <w:tblStyle w:val="26"/>
        <w:tblW w:w="7155"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201"/>
        <w:gridCol w:w="3402"/>
        <w:gridCol w:w="255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pPr>
              <w:pStyle w:val="70"/>
              <w:keepNext w:val="0"/>
              <w:keepLines w:val="0"/>
              <w:suppressLineNumbers w:val="0"/>
              <w:spacing w:before="0" w:beforeAutospacing="0" w:afterAutospacing="0" w:line="560" w:lineRule="exact"/>
              <w:ind w:left="0" w:right="0"/>
              <w:jc w:val="center"/>
              <w:rPr>
                <w:rFonts w:hint="eastAsia" w:asciiTheme="majorEastAsia" w:hAnsiTheme="majorEastAsia" w:eastAsiaTheme="majorEastAsia" w:cstheme="majorEastAsia"/>
                <w:color w:val="auto"/>
                <w:sz w:val="24"/>
                <w:szCs w:val="24"/>
                <w:highlight w:val="none"/>
              </w:rPr>
            </w:pPr>
            <w:r>
              <w:rPr>
                <w:rFonts w:hint="eastAsia" w:asciiTheme="majorEastAsia" w:hAnsiTheme="majorEastAsia" w:eastAsiaTheme="majorEastAsia" w:cstheme="majorEastAsia"/>
                <w:color w:val="auto"/>
                <w:sz w:val="24"/>
                <w:szCs w:val="24"/>
                <w:highlight w:val="none"/>
              </w:rPr>
              <w:t>序号</w:t>
            </w:r>
          </w:p>
        </w:tc>
        <w:tc>
          <w:tcPr>
            <w:tcW w:w="3402" w:type="dxa"/>
            <w:vAlign w:val="center"/>
          </w:tcPr>
          <w:p>
            <w:pPr>
              <w:pStyle w:val="70"/>
              <w:keepNext w:val="0"/>
              <w:keepLines w:val="0"/>
              <w:suppressLineNumbers w:val="0"/>
              <w:spacing w:before="0" w:beforeAutospacing="0" w:afterAutospacing="0" w:line="560" w:lineRule="exact"/>
              <w:ind w:left="0" w:right="0" w:firstLine="200"/>
              <w:jc w:val="center"/>
              <w:rPr>
                <w:rFonts w:hint="eastAsia" w:asciiTheme="majorEastAsia" w:hAnsiTheme="majorEastAsia" w:eastAsiaTheme="majorEastAsia" w:cstheme="majorEastAsia"/>
                <w:color w:val="auto"/>
                <w:sz w:val="24"/>
                <w:szCs w:val="24"/>
                <w:highlight w:val="none"/>
              </w:rPr>
            </w:pPr>
            <w:r>
              <w:rPr>
                <w:rFonts w:hint="eastAsia" w:asciiTheme="majorEastAsia" w:hAnsiTheme="majorEastAsia" w:eastAsiaTheme="majorEastAsia" w:cstheme="majorEastAsia"/>
                <w:color w:val="auto"/>
                <w:sz w:val="24"/>
                <w:szCs w:val="24"/>
                <w:highlight w:val="none"/>
              </w:rPr>
              <w:t>分项名称</w:t>
            </w:r>
          </w:p>
        </w:tc>
        <w:tc>
          <w:tcPr>
            <w:tcW w:w="2552" w:type="dxa"/>
            <w:vAlign w:val="center"/>
          </w:tcPr>
          <w:p>
            <w:pPr>
              <w:pStyle w:val="70"/>
              <w:keepNext w:val="0"/>
              <w:keepLines w:val="0"/>
              <w:suppressLineNumbers w:val="0"/>
              <w:spacing w:before="0" w:beforeAutospacing="0" w:afterAutospacing="0" w:line="560" w:lineRule="exact"/>
              <w:ind w:left="0" w:right="0"/>
              <w:jc w:val="center"/>
              <w:rPr>
                <w:rFonts w:hint="eastAsia" w:asciiTheme="majorEastAsia" w:hAnsiTheme="majorEastAsia" w:eastAsiaTheme="majorEastAsia" w:cstheme="majorEastAsia"/>
                <w:color w:val="auto"/>
                <w:sz w:val="24"/>
                <w:szCs w:val="24"/>
                <w:highlight w:val="none"/>
              </w:rPr>
            </w:pPr>
            <w:r>
              <w:rPr>
                <w:rFonts w:hint="eastAsia" w:asciiTheme="majorEastAsia" w:hAnsiTheme="majorEastAsia" w:eastAsiaTheme="majorEastAsia" w:cstheme="majorEastAsia"/>
                <w:color w:val="auto"/>
                <w:sz w:val="24"/>
                <w:szCs w:val="24"/>
                <w:highlight w:val="none"/>
              </w:rPr>
              <w:t>分项价格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pPr>
              <w:pStyle w:val="70"/>
              <w:keepNext w:val="0"/>
              <w:keepLines w:val="0"/>
              <w:suppressLineNumbers w:val="0"/>
              <w:spacing w:before="0" w:beforeAutospacing="0" w:afterAutospacing="0" w:line="560" w:lineRule="exact"/>
              <w:ind w:left="0" w:right="0" w:firstLine="200"/>
              <w:jc w:val="center"/>
              <w:rPr>
                <w:rFonts w:hint="eastAsia" w:asciiTheme="majorEastAsia" w:hAnsiTheme="majorEastAsia" w:eastAsiaTheme="majorEastAsia" w:cstheme="majorEastAsia"/>
                <w:color w:val="auto"/>
                <w:sz w:val="24"/>
                <w:szCs w:val="24"/>
                <w:highlight w:val="none"/>
              </w:rPr>
            </w:pPr>
          </w:p>
        </w:tc>
        <w:tc>
          <w:tcPr>
            <w:tcW w:w="3402" w:type="dxa"/>
            <w:vAlign w:val="center"/>
          </w:tcPr>
          <w:p>
            <w:pPr>
              <w:pStyle w:val="70"/>
              <w:keepNext w:val="0"/>
              <w:keepLines w:val="0"/>
              <w:suppressLineNumbers w:val="0"/>
              <w:spacing w:before="0" w:beforeAutospacing="0" w:afterAutospacing="0" w:line="560" w:lineRule="exact"/>
              <w:ind w:left="0" w:right="0" w:firstLine="200"/>
              <w:jc w:val="center"/>
              <w:rPr>
                <w:rFonts w:hint="eastAsia" w:asciiTheme="majorEastAsia" w:hAnsiTheme="majorEastAsia" w:eastAsiaTheme="majorEastAsia" w:cstheme="majorEastAsia"/>
                <w:color w:val="auto"/>
                <w:sz w:val="24"/>
                <w:szCs w:val="24"/>
                <w:highlight w:val="none"/>
              </w:rPr>
            </w:pPr>
          </w:p>
        </w:tc>
        <w:tc>
          <w:tcPr>
            <w:tcW w:w="2552" w:type="dxa"/>
            <w:vAlign w:val="center"/>
          </w:tcPr>
          <w:p>
            <w:pPr>
              <w:pStyle w:val="70"/>
              <w:keepNext w:val="0"/>
              <w:keepLines w:val="0"/>
              <w:suppressLineNumbers w:val="0"/>
              <w:spacing w:before="0" w:beforeAutospacing="0" w:afterAutospacing="0" w:line="560" w:lineRule="exact"/>
              <w:ind w:left="0" w:right="0" w:firstLine="200"/>
              <w:jc w:val="center"/>
              <w:rPr>
                <w:rFonts w:hint="eastAsia" w:asciiTheme="majorEastAsia" w:hAnsiTheme="majorEastAsia" w:eastAsiaTheme="majorEastAsia" w:cstheme="majorEastAsia"/>
                <w:color w:val="auto"/>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pPr>
              <w:pStyle w:val="70"/>
              <w:keepNext w:val="0"/>
              <w:keepLines w:val="0"/>
              <w:suppressLineNumbers w:val="0"/>
              <w:spacing w:before="0" w:beforeAutospacing="0" w:afterAutospacing="0" w:line="560" w:lineRule="exact"/>
              <w:ind w:left="0" w:right="0" w:firstLine="200"/>
              <w:jc w:val="center"/>
              <w:rPr>
                <w:rFonts w:hint="eastAsia" w:asciiTheme="majorEastAsia" w:hAnsiTheme="majorEastAsia" w:eastAsiaTheme="majorEastAsia" w:cstheme="majorEastAsia"/>
                <w:color w:val="auto"/>
                <w:sz w:val="24"/>
                <w:szCs w:val="24"/>
                <w:highlight w:val="none"/>
              </w:rPr>
            </w:pPr>
          </w:p>
        </w:tc>
        <w:tc>
          <w:tcPr>
            <w:tcW w:w="3402" w:type="dxa"/>
            <w:vAlign w:val="center"/>
          </w:tcPr>
          <w:p>
            <w:pPr>
              <w:pStyle w:val="70"/>
              <w:keepNext w:val="0"/>
              <w:keepLines w:val="0"/>
              <w:suppressLineNumbers w:val="0"/>
              <w:spacing w:before="0" w:beforeAutospacing="0" w:afterAutospacing="0" w:line="560" w:lineRule="exact"/>
              <w:ind w:left="0" w:right="0" w:firstLine="200"/>
              <w:jc w:val="center"/>
              <w:rPr>
                <w:rFonts w:hint="eastAsia" w:asciiTheme="majorEastAsia" w:hAnsiTheme="majorEastAsia" w:eastAsiaTheme="majorEastAsia" w:cstheme="majorEastAsia"/>
                <w:color w:val="auto"/>
                <w:sz w:val="24"/>
                <w:szCs w:val="24"/>
                <w:highlight w:val="none"/>
              </w:rPr>
            </w:pPr>
          </w:p>
        </w:tc>
        <w:tc>
          <w:tcPr>
            <w:tcW w:w="2552" w:type="dxa"/>
            <w:vAlign w:val="center"/>
          </w:tcPr>
          <w:p>
            <w:pPr>
              <w:pStyle w:val="70"/>
              <w:keepNext w:val="0"/>
              <w:keepLines w:val="0"/>
              <w:suppressLineNumbers w:val="0"/>
              <w:spacing w:before="0" w:beforeAutospacing="0" w:afterAutospacing="0" w:line="560" w:lineRule="exact"/>
              <w:ind w:left="0" w:right="0" w:firstLine="200"/>
              <w:jc w:val="center"/>
              <w:rPr>
                <w:rFonts w:hint="eastAsia" w:asciiTheme="majorEastAsia" w:hAnsiTheme="majorEastAsia" w:eastAsiaTheme="majorEastAsia" w:cstheme="majorEastAsia"/>
                <w:color w:val="auto"/>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pPr>
              <w:pStyle w:val="70"/>
              <w:keepNext w:val="0"/>
              <w:keepLines w:val="0"/>
              <w:suppressLineNumbers w:val="0"/>
              <w:spacing w:before="0" w:beforeAutospacing="0" w:afterAutospacing="0" w:line="560" w:lineRule="exact"/>
              <w:ind w:left="0" w:right="0" w:firstLine="200"/>
              <w:jc w:val="center"/>
              <w:rPr>
                <w:rFonts w:hint="eastAsia" w:asciiTheme="majorEastAsia" w:hAnsiTheme="majorEastAsia" w:eastAsiaTheme="majorEastAsia" w:cstheme="majorEastAsia"/>
                <w:color w:val="auto"/>
                <w:sz w:val="24"/>
                <w:szCs w:val="24"/>
                <w:highlight w:val="none"/>
              </w:rPr>
            </w:pPr>
          </w:p>
        </w:tc>
        <w:tc>
          <w:tcPr>
            <w:tcW w:w="3402" w:type="dxa"/>
            <w:vAlign w:val="center"/>
          </w:tcPr>
          <w:p>
            <w:pPr>
              <w:pStyle w:val="70"/>
              <w:keepNext w:val="0"/>
              <w:keepLines w:val="0"/>
              <w:suppressLineNumbers w:val="0"/>
              <w:spacing w:before="0" w:beforeAutospacing="0" w:afterAutospacing="0" w:line="560" w:lineRule="exact"/>
              <w:ind w:left="0" w:right="0" w:firstLine="200"/>
              <w:jc w:val="center"/>
              <w:rPr>
                <w:rFonts w:hint="eastAsia" w:asciiTheme="majorEastAsia" w:hAnsiTheme="majorEastAsia" w:eastAsiaTheme="majorEastAsia" w:cstheme="majorEastAsia"/>
                <w:color w:val="auto"/>
                <w:sz w:val="24"/>
                <w:szCs w:val="24"/>
                <w:highlight w:val="none"/>
              </w:rPr>
            </w:pPr>
          </w:p>
        </w:tc>
        <w:tc>
          <w:tcPr>
            <w:tcW w:w="2552" w:type="dxa"/>
            <w:vAlign w:val="center"/>
          </w:tcPr>
          <w:p>
            <w:pPr>
              <w:pStyle w:val="70"/>
              <w:keepNext w:val="0"/>
              <w:keepLines w:val="0"/>
              <w:suppressLineNumbers w:val="0"/>
              <w:spacing w:before="0" w:beforeAutospacing="0" w:afterAutospacing="0" w:line="560" w:lineRule="exact"/>
              <w:ind w:left="0" w:right="0" w:firstLine="200"/>
              <w:jc w:val="center"/>
              <w:rPr>
                <w:rFonts w:hint="eastAsia" w:asciiTheme="majorEastAsia" w:hAnsiTheme="majorEastAsia" w:eastAsiaTheme="majorEastAsia" w:cstheme="majorEastAsia"/>
                <w:color w:val="auto"/>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pPr>
              <w:pStyle w:val="70"/>
              <w:keepNext w:val="0"/>
              <w:keepLines w:val="0"/>
              <w:suppressLineNumbers w:val="0"/>
              <w:spacing w:before="0" w:beforeAutospacing="0" w:afterAutospacing="0" w:line="560" w:lineRule="exact"/>
              <w:ind w:left="0" w:right="0" w:firstLine="200"/>
              <w:jc w:val="center"/>
              <w:rPr>
                <w:rFonts w:hint="eastAsia" w:asciiTheme="majorEastAsia" w:hAnsiTheme="majorEastAsia" w:eastAsiaTheme="majorEastAsia" w:cstheme="majorEastAsia"/>
                <w:color w:val="auto"/>
                <w:sz w:val="24"/>
                <w:szCs w:val="24"/>
                <w:highlight w:val="none"/>
              </w:rPr>
            </w:pPr>
          </w:p>
        </w:tc>
        <w:tc>
          <w:tcPr>
            <w:tcW w:w="3402" w:type="dxa"/>
            <w:vAlign w:val="center"/>
          </w:tcPr>
          <w:p>
            <w:pPr>
              <w:pStyle w:val="70"/>
              <w:keepNext w:val="0"/>
              <w:keepLines w:val="0"/>
              <w:suppressLineNumbers w:val="0"/>
              <w:spacing w:before="0" w:beforeAutospacing="0" w:afterAutospacing="0" w:line="560" w:lineRule="exact"/>
              <w:ind w:left="0" w:right="0" w:firstLine="200"/>
              <w:jc w:val="center"/>
              <w:rPr>
                <w:rFonts w:hint="eastAsia" w:asciiTheme="majorEastAsia" w:hAnsiTheme="majorEastAsia" w:eastAsiaTheme="majorEastAsia" w:cstheme="majorEastAsia"/>
                <w:color w:val="auto"/>
                <w:sz w:val="24"/>
                <w:szCs w:val="24"/>
                <w:highlight w:val="none"/>
              </w:rPr>
            </w:pPr>
          </w:p>
        </w:tc>
        <w:tc>
          <w:tcPr>
            <w:tcW w:w="2552" w:type="dxa"/>
            <w:vAlign w:val="center"/>
          </w:tcPr>
          <w:p>
            <w:pPr>
              <w:pStyle w:val="70"/>
              <w:keepNext w:val="0"/>
              <w:keepLines w:val="0"/>
              <w:suppressLineNumbers w:val="0"/>
              <w:spacing w:before="0" w:beforeAutospacing="0" w:afterAutospacing="0" w:line="560" w:lineRule="exact"/>
              <w:ind w:left="0" w:right="0" w:firstLine="200"/>
              <w:jc w:val="center"/>
              <w:rPr>
                <w:rFonts w:hint="eastAsia" w:asciiTheme="majorEastAsia" w:hAnsiTheme="majorEastAsia" w:eastAsiaTheme="majorEastAsia" w:cstheme="majorEastAsia"/>
                <w:color w:val="auto"/>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4603" w:type="dxa"/>
            <w:gridSpan w:val="2"/>
            <w:vAlign w:val="center"/>
          </w:tcPr>
          <w:p>
            <w:pPr>
              <w:pStyle w:val="70"/>
              <w:keepNext w:val="0"/>
              <w:keepLines w:val="0"/>
              <w:suppressLineNumbers w:val="0"/>
              <w:spacing w:before="0" w:beforeAutospacing="0" w:afterAutospacing="0" w:line="560" w:lineRule="exact"/>
              <w:ind w:left="0" w:right="0" w:firstLine="200"/>
              <w:jc w:val="center"/>
              <w:rPr>
                <w:rFonts w:hint="eastAsia" w:asciiTheme="majorEastAsia" w:hAnsiTheme="majorEastAsia" w:eastAsiaTheme="majorEastAsia" w:cstheme="majorEastAsia"/>
                <w:color w:val="auto"/>
                <w:sz w:val="24"/>
                <w:szCs w:val="24"/>
                <w:highlight w:val="none"/>
              </w:rPr>
            </w:pPr>
            <w:r>
              <w:rPr>
                <w:rFonts w:hint="eastAsia" w:asciiTheme="majorEastAsia" w:hAnsiTheme="majorEastAsia" w:eastAsiaTheme="majorEastAsia" w:cstheme="majorEastAsia"/>
                <w:color w:val="auto"/>
                <w:sz w:val="24"/>
                <w:szCs w:val="24"/>
                <w:highlight w:val="none"/>
              </w:rPr>
              <w:t>总价</w:t>
            </w:r>
          </w:p>
        </w:tc>
        <w:tc>
          <w:tcPr>
            <w:tcW w:w="2552" w:type="dxa"/>
            <w:vAlign w:val="center"/>
          </w:tcPr>
          <w:p>
            <w:pPr>
              <w:pStyle w:val="70"/>
              <w:keepNext w:val="0"/>
              <w:keepLines w:val="0"/>
              <w:suppressLineNumbers w:val="0"/>
              <w:spacing w:before="0" w:beforeAutospacing="0" w:afterAutospacing="0" w:line="560" w:lineRule="exact"/>
              <w:ind w:left="0" w:right="0" w:firstLine="200"/>
              <w:jc w:val="center"/>
              <w:rPr>
                <w:rFonts w:hint="eastAsia" w:asciiTheme="majorEastAsia" w:hAnsiTheme="majorEastAsia" w:eastAsiaTheme="majorEastAsia" w:cstheme="majorEastAsia"/>
                <w:color w:val="auto"/>
                <w:sz w:val="24"/>
                <w:szCs w:val="24"/>
                <w:highlight w:val="none"/>
              </w:rPr>
            </w:pPr>
          </w:p>
        </w:tc>
      </w:tr>
    </w:tbl>
    <w:p>
      <w:pPr>
        <w:spacing w:line="560" w:lineRule="exact"/>
        <w:ind w:firstLine="480" w:firstLineChars="200"/>
        <w:rPr>
          <w:rFonts w:hint="eastAsia" w:asciiTheme="majorEastAsia" w:hAnsiTheme="majorEastAsia" w:eastAsiaTheme="majorEastAsia" w:cstheme="majorEastAsia"/>
          <w:color w:val="auto"/>
          <w:sz w:val="24"/>
          <w:highlight w:val="none"/>
        </w:rPr>
      </w:pPr>
      <w:bookmarkStart w:id="382" w:name="_Toc14993"/>
      <w:bookmarkStart w:id="383" w:name="_Toc30506"/>
      <w:bookmarkStart w:id="384" w:name="_Toc30158"/>
      <w:bookmarkStart w:id="385" w:name="_Toc26916"/>
      <w:bookmarkStart w:id="386" w:name="_Toc3654"/>
      <w:r>
        <w:rPr>
          <w:rFonts w:hint="eastAsia" w:asciiTheme="majorEastAsia" w:hAnsiTheme="majorEastAsia" w:eastAsiaTheme="majorEastAsia" w:cstheme="majorEastAsia"/>
          <w:bCs/>
          <w:color w:val="auto"/>
          <w:sz w:val="24"/>
          <w:highlight w:val="none"/>
        </w:rPr>
        <w:t>1.3.2单价合同，本合同单价（含税）标准为：</w:t>
      </w:r>
      <w:r>
        <w:rPr>
          <w:rFonts w:hint="eastAsia" w:asciiTheme="majorEastAsia" w:hAnsiTheme="majorEastAsia" w:eastAsiaTheme="majorEastAsia" w:cstheme="majorEastAsia"/>
          <w:color w:val="auto"/>
          <w:sz w:val="24"/>
          <w:highlight w:val="none"/>
        </w:rPr>
        <w:t>。服务工作量的计量方式为：</w:t>
      </w:r>
      <w:r>
        <w:rPr>
          <w:rFonts w:hint="eastAsia" w:asciiTheme="majorEastAsia" w:hAnsiTheme="majorEastAsia" w:eastAsiaTheme="majorEastAsia" w:cstheme="majorEastAsia"/>
          <w:b/>
          <w:i/>
          <w:color w:val="auto"/>
          <w:sz w:val="24"/>
          <w:highlight w:val="none"/>
          <w:u w:val="single"/>
        </w:rPr>
        <w:t>合同专用条款</w:t>
      </w:r>
      <w:r>
        <w:rPr>
          <w:rFonts w:hint="eastAsia" w:asciiTheme="majorEastAsia" w:hAnsiTheme="majorEastAsia" w:eastAsiaTheme="majorEastAsia" w:cstheme="majorEastAsia"/>
          <w:color w:val="auto"/>
          <w:sz w:val="24"/>
          <w:highlight w:val="none"/>
        </w:rPr>
        <w:t>。单价合同，在合同履行期间内，根据实际完成的工作量据实结算，但结算总价上限不得超过预算金额或者双方确定的金额￥元（大写：元人民币）。</w:t>
      </w:r>
    </w:p>
    <w:p>
      <w:pPr>
        <w:pStyle w:val="2"/>
        <w:tabs>
          <w:tab w:val="left" w:pos="432"/>
        </w:tabs>
        <w:rPr>
          <w:rFonts w:hint="eastAsia" w:asciiTheme="majorEastAsia" w:hAnsiTheme="majorEastAsia" w:eastAsiaTheme="majorEastAsia" w:cstheme="majorEastAsia"/>
          <w:color w:val="auto"/>
          <w:highlight w:val="none"/>
          <w:lang w:val="en-US"/>
        </w:rPr>
      </w:pPr>
      <w:r>
        <w:rPr>
          <w:rFonts w:hint="eastAsia" w:asciiTheme="majorEastAsia" w:hAnsiTheme="majorEastAsia" w:eastAsiaTheme="majorEastAsia" w:cstheme="majorEastAsia"/>
          <w:b w:val="0"/>
          <w:bCs w:val="0"/>
          <w:color w:val="auto"/>
          <w:sz w:val="24"/>
          <w:highlight w:val="none"/>
          <w:lang w:val="en-US"/>
        </w:rPr>
        <w:t>1.3.3其他计价方式：</w:t>
      </w:r>
      <w:r>
        <w:rPr>
          <w:rFonts w:hint="eastAsia" w:asciiTheme="majorEastAsia" w:hAnsiTheme="majorEastAsia" w:eastAsiaTheme="majorEastAsia" w:cstheme="majorEastAsia"/>
          <w:b w:val="0"/>
          <w:bCs w:val="0"/>
          <w:color w:val="auto"/>
          <w:sz w:val="24"/>
          <w:highlight w:val="none"/>
        </w:rPr>
        <w:t>。</w:t>
      </w:r>
    </w:p>
    <w:bookmarkEnd w:id="382"/>
    <w:bookmarkEnd w:id="383"/>
    <w:bookmarkEnd w:id="384"/>
    <w:bookmarkEnd w:id="385"/>
    <w:bookmarkEnd w:id="386"/>
    <w:p>
      <w:pPr>
        <w:pStyle w:val="75"/>
        <w:spacing w:before="0" w:beforeAutospacing="0" w:after="0" w:afterAutospacing="0" w:line="360" w:lineRule="auto"/>
        <w:ind w:firstLine="480"/>
        <w:rPr>
          <w:rFonts w:hint="eastAsia" w:asciiTheme="majorEastAsia" w:hAnsiTheme="majorEastAsia" w:eastAsiaTheme="majorEastAsia" w:cstheme="majorEastAsia"/>
          <w:b/>
          <w:color w:val="auto"/>
          <w:highlight w:val="none"/>
        </w:rPr>
      </w:pPr>
      <w:bookmarkStart w:id="387" w:name="_Toc1814"/>
      <w:bookmarkStart w:id="388" w:name="_Toc22618"/>
      <w:bookmarkStart w:id="389" w:name="_Toc10340"/>
      <w:bookmarkStart w:id="390" w:name="_Toc31421"/>
      <w:bookmarkStart w:id="391" w:name="_Toc11108"/>
      <w:bookmarkStart w:id="392" w:name="_Toc8772"/>
      <w:bookmarkStart w:id="393" w:name="_Toc3625"/>
      <w:bookmarkStart w:id="394" w:name="_Toc4760"/>
      <w:r>
        <w:rPr>
          <w:rFonts w:hint="eastAsia" w:asciiTheme="majorEastAsia" w:hAnsiTheme="majorEastAsia" w:eastAsiaTheme="majorEastAsia" w:cstheme="majorEastAsia"/>
          <w:b/>
          <w:color w:val="auto"/>
          <w:highlight w:val="none"/>
        </w:rPr>
        <w:t>1.4履约保证金</w:t>
      </w:r>
    </w:p>
    <w:p>
      <w:pPr>
        <w:pStyle w:val="75"/>
        <w:spacing w:before="0" w:beforeAutospacing="0" w:after="0" w:afterAutospacing="0" w:line="360" w:lineRule="auto"/>
        <w:ind w:firstLine="480"/>
        <w:rPr>
          <w:rFonts w:hint="eastAsia" w:asciiTheme="majorEastAsia" w:hAnsiTheme="majorEastAsia" w:eastAsiaTheme="majorEastAsia" w:cstheme="majorEastAsia"/>
          <w:color w:val="auto"/>
          <w:highlight w:val="none"/>
        </w:rPr>
      </w:pPr>
      <w:r>
        <w:rPr>
          <w:rFonts w:hint="eastAsia" w:asciiTheme="majorEastAsia" w:hAnsiTheme="majorEastAsia" w:eastAsiaTheme="majorEastAsia" w:cstheme="majorEastAsia"/>
          <w:color w:val="auto"/>
          <w:highlight w:val="none"/>
        </w:rPr>
        <w:t>乙方（是/否）需要支付履约保证金。若需要支付履约保证金的，则：</w:t>
      </w:r>
    </w:p>
    <w:p>
      <w:pPr>
        <w:spacing w:line="560" w:lineRule="exact"/>
        <w:ind w:firstLine="480" w:firstLineChars="200"/>
        <w:outlineLvl w:val="0"/>
        <w:rPr>
          <w:rFonts w:hint="eastAsia" w:asciiTheme="majorEastAsia" w:hAnsiTheme="majorEastAsia" w:eastAsiaTheme="majorEastAsia" w:cstheme="majorEastAsia"/>
          <w:color w:val="auto"/>
          <w:kern w:val="0"/>
          <w:sz w:val="24"/>
          <w:highlight w:val="none"/>
        </w:rPr>
      </w:pPr>
      <w:r>
        <w:rPr>
          <w:rFonts w:hint="eastAsia" w:asciiTheme="majorEastAsia" w:hAnsiTheme="majorEastAsia" w:eastAsiaTheme="majorEastAsia" w:cstheme="majorEastAsia"/>
          <w:color w:val="auto"/>
          <w:kern w:val="0"/>
          <w:sz w:val="24"/>
          <w:highlight w:val="none"/>
        </w:rPr>
        <w:t>1.4.1履约保证金的比例为合同金额的%；</w:t>
      </w:r>
    </w:p>
    <w:p>
      <w:pPr>
        <w:spacing w:line="560" w:lineRule="exact"/>
        <w:ind w:firstLine="480" w:firstLineChars="200"/>
        <w:outlineLvl w:val="0"/>
        <w:rPr>
          <w:rFonts w:hint="eastAsia" w:asciiTheme="majorEastAsia" w:hAnsiTheme="majorEastAsia" w:eastAsiaTheme="majorEastAsia" w:cstheme="majorEastAsia"/>
          <w:color w:val="auto"/>
          <w:kern w:val="0"/>
          <w:sz w:val="24"/>
          <w:highlight w:val="none"/>
        </w:rPr>
      </w:pPr>
      <w:r>
        <w:rPr>
          <w:rFonts w:hint="eastAsia" w:asciiTheme="majorEastAsia" w:hAnsiTheme="majorEastAsia" w:eastAsiaTheme="majorEastAsia" w:cstheme="majorEastAsia"/>
          <w:color w:val="auto"/>
          <w:kern w:val="0"/>
          <w:sz w:val="24"/>
          <w:highlight w:val="none"/>
        </w:rPr>
        <w:t>1.4.2履约保证金支付方式详见</w:t>
      </w:r>
      <w:r>
        <w:rPr>
          <w:rFonts w:hint="eastAsia" w:asciiTheme="majorEastAsia" w:hAnsiTheme="majorEastAsia" w:eastAsiaTheme="majorEastAsia" w:cstheme="majorEastAsia"/>
          <w:b/>
          <w:i/>
          <w:color w:val="auto"/>
          <w:sz w:val="24"/>
          <w:highlight w:val="none"/>
          <w:u w:val="single"/>
        </w:rPr>
        <w:t>合同专用条款</w:t>
      </w:r>
      <w:r>
        <w:rPr>
          <w:rFonts w:hint="eastAsia" w:asciiTheme="majorEastAsia" w:hAnsiTheme="majorEastAsia" w:eastAsiaTheme="majorEastAsia" w:cstheme="majorEastAsia"/>
          <w:color w:val="auto"/>
          <w:kern w:val="0"/>
          <w:sz w:val="24"/>
          <w:highlight w:val="none"/>
        </w:rPr>
        <w:t>；</w:t>
      </w:r>
    </w:p>
    <w:p>
      <w:pPr>
        <w:pStyle w:val="2"/>
        <w:tabs>
          <w:tab w:val="left" w:pos="0"/>
          <w:tab w:val="left" w:pos="432"/>
        </w:tabs>
        <w:spacing w:line="560" w:lineRule="exact"/>
        <w:ind w:left="0" w:firstLine="480" w:firstLineChars="200"/>
        <w:rPr>
          <w:rFonts w:hint="eastAsia" w:asciiTheme="majorEastAsia" w:hAnsiTheme="majorEastAsia" w:eastAsiaTheme="majorEastAsia" w:cstheme="majorEastAsia"/>
          <w:color w:val="auto"/>
          <w:highlight w:val="none"/>
          <w:lang w:val="en-US"/>
        </w:rPr>
      </w:pPr>
      <w:r>
        <w:rPr>
          <w:rFonts w:hint="eastAsia" w:asciiTheme="majorEastAsia" w:hAnsiTheme="majorEastAsia" w:eastAsiaTheme="majorEastAsia" w:cstheme="majorEastAsia"/>
          <w:b w:val="0"/>
          <w:bCs w:val="0"/>
          <w:color w:val="auto"/>
          <w:kern w:val="0"/>
          <w:sz w:val="24"/>
          <w:szCs w:val="24"/>
          <w:highlight w:val="none"/>
          <w:lang w:val="en-US"/>
        </w:rPr>
        <w:t>1.4.3 如果乙方不履行合同，履约保证金不予退还；如果乙方未能按合同约定全面履行义务，那么甲方有权从履约保证金中取得补偿或赔偿，同时不影响甲方要求乙方承担合同约定的超过履约保证金的违约责任的权利；</w:t>
      </w:r>
    </w:p>
    <w:p>
      <w:pPr>
        <w:spacing w:line="560" w:lineRule="exact"/>
        <w:ind w:firstLine="480" w:firstLineChars="200"/>
        <w:outlineLvl w:val="0"/>
        <w:rPr>
          <w:rFonts w:hint="eastAsia" w:asciiTheme="majorEastAsia" w:hAnsiTheme="majorEastAsia" w:eastAsiaTheme="majorEastAsia" w:cstheme="majorEastAsia"/>
          <w:color w:val="auto"/>
          <w:kern w:val="0"/>
          <w:sz w:val="24"/>
          <w:highlight w:val="none"/>
        </w:rPr>
      </w:pPr>
      <w:r>
        <w:rPr>
          <w:rFonts w:hint="eastAsia" w:asciiTheme="majorEastAsia" w:hAnsiTheme="majorEastAsia" w:eastAsiaTheme="majorEastAsia" w:cstheme="majorEastAsia"/>
          <w:color w:val="auto"/>
          <w:kern w:val="0"/>
          <w:sz w:val="24"/>
          <w:highlight w:val="none"/>
        </w:rPr>
        <w:t>1.4.4甲方在项目验收结束后及时退还履约保证金。甲方在项目通过验收之日起个工作日内将履约保证金无息退还乙方，逾期退还的，乙方可要求甲方支付违约金，违约金按每迟延退还一日的应退还而未退还金额的</w:t>
      </w:r>
      <w:r>
        <w:rPr>
          <w:rFonts w:hint="eastAsia" w:asciiTheme="majorEastAsia" w:hAnsiTheme="majorEastAsia" w:eastAsiaTheme="majorEastAsia" w:cstheme="majorEastAsia"/>
          <w:color w:val="auto"/>
          <w:kern w:val="0"/>
          <w:sz w:val="24"/>
          <w:highlight w:val="none"/>
          <w:u w:val="single"/>
        </w:rPr>
        <w:t xml:space="preserve">  0.05（可根据情况修改）  </w:t>
      </w:r>
      <w:r>
        <w:rPr>
          <w:rFonts w:hint="eastAsia" w:asciiTheme="majorEastAsia" w:hAnsiTheme="majorEastAsia" w:eastAsiaTheme="majorEastAsia" w:cstheme="majorEastAsia"/>
          <w:color w:val="auto"/>
          <w:kern w:val="0"/>
          <w:sz w:val="24"/>
          <w:highlight w:val="none"/>
        </w:rPr>
        <w:t>%计算，最高限额为本合同履约保证金的</w:t>
      </w:r>
      <w:r>
        <w:rPr>
          <w:rFonts w:hint="eastAsia" w:asciiTheme="majorEastAsia" w:hAnsiTheme="majorEastAsia" w:eastAsiaTheme="majorEastAsia" w:cstheme="majorEastAsia"/>
          <w:color w:val="auto"/>
          <w:kern w:val="0"/>
          <w:sz w:val="24"/>
          <w:highlight w:val="none"/>
          <w:u w:val="single"/>
        </w:rPr>
        <w:t xml:space="preserve">  20  </w:t>
      </w:r>
      <w:r>
        <w:rPr>
          <w:rFonts w:hint="eastAsia" w:asciiTheme="majorEastAsia" w:hAnsiTheme="majorEastAsia" w:eastAsiaTheme="majorEastAsia" w:cstheme="majorEastAsia"/>
          <w:color w:val="auto"/>
          <w:kern w:val="0"/>
          <w:sz w:val="24"/>
          <w:highlight w:val="none"/>
        </w:rPr>
        <w:t xml:space="preserve"> %。</w:t>
      </w:r>
    </w:p>
    <w:p>
      <w:pPr>
        <w:spacing w:line="560" w:lineRule="exact"/>
        <w:ind w:firstLine="482" w:firstLineChars="200"/>
        <w:outlineLvl w:val="0"/>
        <w:rPr>
          <w:rFonts w:hint="eastAsia" w:asciiTheme="majorEastAsia" w:hAnsiTheme="majorEastAsia" w:eastAsiaTheme="majorEastAsia" w:cstheme="majorEastAsia"/>
          <w:b/>
          <w:color w:val="auto"/>
          <w:sz w:val="24"/>
          <w:highlight w:val="none"/>
        </w:rPr>
      </w:pPr>
      <w:r>
        <w:rPr>
          <w:rFonts w:hint="eastAsia" w:asciiTheme="majorEastAsia" w:hAnsiTheme="majorEastAsia" w:eastAsiaTheme="majorEastAsia" w:cstheme="majorEastAsia"/>
          <w:b/>
          <w:color w:val="auto"/>
          <w:sz w:val="24"/>
          <w:highlight w:val="none"/>
        </w:rPr>
        <w:t>1.5</w:t>
      </w:r>
      <w:bookmarkEnd w:id="387"/>
      <w:bookmarkEnd w:id="388"/>
      <w:bookmarkEnd w:id="389"/>
      <w:r>
        <w:rPr>
          <w:rFonts w:hint="eastAsia" w:asciiTheme="majorEastAsia" w:hAnsiTheme="majorEastAsia" w:eastAsiaTheme="majorEastAsia" w:cstheme="majorEastAsia"/>
          <w:b/>
          <w:color w:val="auto"/>
          <w:sz w:val="24"/>
          <w:highlight w:val="none"/>
        </w:rPr>
        <w:t>预付款</w:t>
      </w:r>
    </w:p>
    <w:p>
      <w:pPr>
        <w:pStyle w:val="75"/>
        <w:spacing w:before="0" w:beforeAutospacing="0" w:after="0" w:afterAutospacing="0" w:line="360" w:lineRule="auto"/>
        <w:ind w:firstLine="480"/>
        <w:rPr>
          <w:rFonts w:hint="eastAsia" w:asciiTheme="majorEastAsia" w:hAnsiTheme="majorEastAsia" w:eastAsiaTheme="majorEastAsia" w:cstheme="majorEastAsia"/>
          <w:color w:val="auto"/>
          <w:highlight w:val="none"/>
        </w:rPr>
      </w:pPr>
      <w:r>
        <w:rPr>
          <w:rFonts w:hint="eastAsia" w:asciiTheme="majorEastAsia" w:hAnsiTheme="majorEastAsia" w:eastAsiaTheme="majorEastAsia" w:cstheme="majorEastAsia"/>
          <w:color w:val="auto"/>
          <w:highlight w:val="none"/>
        </w:rPr>
        <w:t>甲方（是/否）需要支付预付款。若需要支付预付款的，则：</w:t>
      </w:r>
    </w:p>
    <w:p>
      <w:pPr>
        <w:spacing w:line="560" w:lineRule="exact"/>
        <w:ind w:firstLine="480" w:firstLineChars="200"/>
        <w:rPr>
          <w:rFonts w:hint="eastAsia" w:asciiTheme="majorEastAsia" w:hAnsiTheme="majorEastAsia" w:eastAsiaTheme="majorEastAsia" w:cstheme="majorEastAsia"/>
          <w:color w:val="auto"/>
          <w:kern w:val="0"/>
          <w:sz w:val="24"/>
          <w:highlight w:val="none"/>
        </w:rPr>
      </w:pPr>
      <w:r>
        <w:rPr>
          <w:rFonts w:hint="eastAsia" w:asciiTheme="majorEastAsia" w:hAnsiTheme="majorEastAsia" w:eastAsiaTheme="majorEastAsia" w:cstheme="majorEastAsia"/>
          <w:color w:val="auto"/>
          <w:kern w:val="0"/>
          <w:sz w:val="24"/>
          <w:highlight w:val="none"/>
        </w:rPr>
        <w:t>1.5.1预付款比例、支付方式、时间详见</w:t>
      </w:r>
      <w:r>
        <w:rPr>
          <w:rFonts w:hint="eastAsia" w:asciiTheme="majorEastAsia" w:hAnsiTheme="majorEastAsia" w:eastAsiaTheme="majorEastAsia" w:cstheme="majorEastAsia"/>
          <w:b/>
          <w:i/>
          <w:color w:val="auto"/>
          <w:sz w:val="24"/>
          <w:highlight w:val="none"/>
          <w:u w:val="single"/>
        </w:rPr>
        <w:t>合同专用条款</w:t>
      </w:r>
      <w:r>
        <w:rPr>
          <w:rFonts w:hint="eastAsia" w:asciiTheme="majorEastAsia" w:hAnsiTheme="majorEastAsia" w:eastAsiaTheme="majorEastAsia" w:cstheme="majorEastAsia"/>
          <w:color w:val="auto"/>
          <w:kern w:val="0"/>
          <w:sz w:val="24"/>
          <w:highlight w:val="none"/>
        </w:rPr>
        <w:t>；</w:t>
      </w:r>
    </w:p>
    <w:p>
      <w:pPr>
        <w:pStyle w:val="75"/>
        <w:spacing w:before="0" w:beforeAutospacing="0" w:after="0" w:afterAutospacing="0" w:line="360" w:lineRule="auto"/>
        <w:ind w:firstLine="480"/>
        <w:rPr>
          <w:rFonts w:hint="eastAsia" w:asciiTheme="majorEastAsia" w:hAnsiTheme="majorEastAsia" w:eastAsiaTheme="majorEastAsia" w:cstheme="majorEastAsia"/>
          <w:color w:val="auto"/>
          <w:highlight w:val="none"/>
        </w:rPr>
      </w:pPr>
      <w:r>
        <w:rPr>
          <w:rFonts w:hint="eastAsia" w:asciiTheme="majorEastAsia" w:hAnsiTheme="majorEastAsia" w:eastAsiaTheme="majorEastAsia" w:cstheme="majorEastAsia"/>
          <w:color w:val="auto"/>
          <w:highlight w:val="none"/>
        </w:rPr>
        <w:t>1.5.2预付款的扣回方式详见</w:t>
      </w:r>
      <w:r>
        <w:rPr>
          <w:rFonts w:hint="eastAsia" w:asciiTheme="majorEastAsia" w:hAnsiTheme="majorEastAsia" w:eastAsiaTheme="majorEastAsia" w:cstheme="majorEastAsia"/>
          <w:b/>
          <w:i/>
          <w:color w:val="auto"/>
          <w:highlight w:val="none"/>
          <w:u w:val="single"/>
        </w:rPr>
        <w:t>合同专用条款</w:t>
      </w:r>
      <w:r>
        <w:rPr>
          <w:rFonts w:hint="eastAsia" w:asciiTheme="majorEastAsia" w:hAnsiTheme="majorEastAsia" w:eastAsiaTheme="majorEastAsia" w:cstheme="majorEastAsia"/>
          <w:color w:val="auto"/>
          <w:highlight w:val="none"/>
        </w:rPr>
        <w:t>；</w:t>
      </w:r>
    </w:p>
    <w:p>
      <w:pPr>
        <w:pStyle w:val="75"/>
        <w:spacing w:before="0" w:beforeAutospacing="0" w:after="0" w:afterAutospacing="0" w:line="360" w:lineRule="auto"/>
        <w:ind w:firstLine="480"/>
        <w:rPr>
          <w:rFonts w:hint="eastAsia" w:asciiTheme="majorEastAsia" w:hAnsiTheme="majorEastAsia" w:eastAsiaTheme="majorEastAsia" w:cstheme="majorEastAsia"/>
          <w:color w:val="auto"/>
          <w:highlight w:val="none"/>
          <w:u w:val="single"/>
        </w:rPr>
      </w:pPr>
      <w:r>
        <w:rPr>
          <w:rFonts w:hint="eastAsia" w:asciiTheme="majorEastAsia" w:hAnsiTheme="majorEastAsia" w:eastAsiaTheme="majorEastAsia" w:cstheme="majorEastAsia"/>
          <w:color w:val="auto"/>
          <w:highlight w:val="none"/>
        </w:rPr>
        <w:t>1.5.3预付款的担保措施详见</w:t>
      </w:r>
      <w:r>
        <w:rPr>
          <w:rFonts w:hint="eastAsia" w:asciiTheme="majorEastAsia" w:hAnsiTheme="majorEastAsia" w:eastAsiaTheme="majorEastAsia" w:cstheme="majorEastAsia"/>
          <w:b/>
          <w:i/>
          <w:color w:val="auto"/>
          <w:highlight w:val="none"/>
          <w:u w:val="single"/>
        </w:rPr>
        <w:t>合同专用条款</w:t>
      </w:r>
      <w:r>
        <w:rPr>
          <w:rFonts w:hint="eastAsia" w:asciiTheme="majorEastAsia" w:hAnsiTheme="majorEastAsia" w:eastAsiaTheme="majorEastAsia" w:cstheme="majorEastAsia"/>
          <w:color w:val="auto"/>
          <w:highlight w:val="none"/>
        </w:rPr>
        <w:t>。</w:t>
      </w:r>
    </w:p>
    <w:p>
      <w:pPr>
        <w:pStyle w:val="75"/>
        <w:spacing w:before="0" w:beforeAutospacing="0" w:after="0" w:afterAutospacing="0" w:line="360" w:lineRule="auto"/>
        <w:ind w:firstLine="480"/>
        <w:rPr>
          <w:rFonts w:hint="eastAsia" w:asciiTheme="majorEastAsia" w:hAnsiTheme="majorEastAsia" w:eastAsiaTheme="majorEastAsia" w:cstheme="majorEastAsia"/>
          <w:b/>
          <w:bCs/>
          <w:color w:val="auto"/>
          <w:highlight w:val="none"/>
        </w:rPr>
      </w:pPr>
      <w:r>
        <w:rPr>
          <w:rFonts w:hint="eastAsia" w:asciiTheme="majorEastAsia" w:hAnsiTheme="majorEastAsia" w:eastAsiaTheme="majorEastAsia" w:cstheme="majorEastAsia"/>
          <w:b/>
          <w:bCs/>
          <w:color w:val="auto"/>
          <w:highlight w:val="none"/>
        </w:rPr>
        <w:t>1.6资金支付</w:t>
      </w:r>
    </w:p>
    <w:p>
      <w:pPr>
        <w:pStyle w:val="75"/>
        <w:spacing w:before="0" w:beforeAutospacing="0" w:after="0" w:afterAutospacing="0" w:line="360" w:lineRule="auto"/>
        <w:ind w:firstLine="480"/>
        <w:rPr>
          <w:rFonts w:hint="eastAsia" w:asciiTheme="majorEastAsia" w:hAnsiTheme="majorEastAsia" w:eastAsiaTheme="majorEastAsia" w:cstheme="majorEastAsia"/>
          <w:color w:val="auto"/>
          <w:highlight w:val="none"/>
        </w:rPr>
      </w:pPr>
      <w:r>
        <w:rPr>
          <w:rFonts w:hint="eastAsia" w:asciiTheme="majorEastAsia" w:hAnsiTheme="majorEastAsia" w:eastAsiaTheme="majorEastAsia" w:cstheme="majorEastAsia"/>
          <w:color w:val="auto"/>
          <w:highlight w:val="none"/>
        </w:rPr>
        <w:t>1.6.1甲方应严格履行合同，及时组织验收，验收合格后及时将合同款支付完毕。对于满足合同约定支付条件的，甲方自收到发票后5个工作日内将资金支付到合同约定的乙方账户，有条件的甲方可以即时支付。甲方不得以机构变动、人员更替、政策调整、单位放假等为由延迟付款。</w:t>
      </w:r>
    </w:p>
    <w:p>
      <w:pPr>
        <w:spacing w:line="560" w:lineRule="exact"/>
        <w:ind w:firstLine="480" w:firstLineChars="200"/>
        <w:outlineLvl w:val="0"/>
        <w:rPr>
          <w:rFonts w:hint="eastAsia" w:asciiTheme="majorEastAsia" w:hAnsiTheme="majorEastAsia" w:eastAsiaTheme="majorEastAsia" w:cstheme="majorEastAsia"/>
          <w:color w:val="auto"/>
          <w:sz w:val="24"/>
          <w:highlight w:val="none"/>
        </w:rPr>
      </w:pPr>
      <w:r>
        <w:rPr>
          <w:rFonts w:hint="eastAsia" w:asciiTheme="majorEastAsia" w:hAnsiTheme="majorEastAsia" w:eastAsiaTheme="majorEastAsia" w:cstheme="majorEastAsia"/>
          <w:color w:val="auto"/>
          <w:sz w:val="24"/>
          <w:highlight w:val="none"/>
        </w:rPr>
        <w:t>1.6.2资金支付的方式、时间和条件详见</w:t>
      </w:r>
      <w:r>
        <w:rPr>
          <w:rFonts w:hint="eastAsia" w:asciiTheme="majorEastAsia" w:hAnsiTheme="majorEastAsia" w:eastAsiaTheme="majorEastAsia" w:cstheme="majorEastAsia"/>
          <w:b/>
          <w:i/>
          <w:color w:val="auto"/>
          <w:sz w:val="24"/>
          <w:highlight w:val="none"/>
          <w:u w:val="single"/>
        </w:rPr>
        <w:t>合同专用条款</w:t>
      </w:r>
      <w:r>
        <w:rPr>
          <w:rFonts w:hint="eastAsia" w:asciiTheme="majorEastAsia" w:hAnsiTheme="majorEastAsia" w:eastAsiaTheme="majorEastAsia" w:cstheme="majorEastAsia"/>
          <w:color w:val="auto"/>
          <w:sz w:val="24"/>
          <w:highlight w:val="none"/>
        </w:rPr>
        <w:t>。</w:t>
      </w:r>
    </w:p>
    <w:p>
      <w:pPr>
        <w:spacing w:line="560" w:lineRule="exact"/>
        <w:ind w:firstLine="482" w:firstLineChars="200"/>
        <w:outlineLvl w:val="0"/>
        <w:rPr>
          <w:rFonts w:hint="eastAsia" w:asciiTheme="majorEastAsia" w:hAnsiTheme="majorEastAsia" w:eastAsiaTheme="majorEastAsia" w:cstheme="majorEastAsia"/>
          <w:b/>
          <w:color w:val="auto"/>
          <w:sz w:val="24"/>
          <w:highlight w:val="none"/>
        </w:rPr>
      </w:pPr>
      <w:r>
        <w:rPr>
          <w:rFonts w:hint="eastAsia" w:asciiTheme="majorEastAsia" w:hAnsiTheme="majorEastAsia" w:eastAsiaTheme="majorEastAsia" w:cstheme="majorEastAsia"/>
          <w:b/>
          <w:color w:val="auto"/>
          <w:sz w:val="24"/>
          <w:highlight w:val="none"/>
        </w:rPr>
        <w:t>1.7 履行期限、地点和方式</w:t>
      </w:r>
      <w:bookmarkEnd w:id="390"/>
      <w:bookmarkEnd w:id="391"/>
      <w:bookmarkEnd w:id="392"/>
      <w:bookmarkEnd w:id="393"/>
      <w:bookmarkEnd w:id="394"/>
    </w:p>
    <w:p>
      <w:pPr>
        <w:spacing w:line="560" w:lineRule="exact"/>
        <w:ind w:firstLine="480" w:firstLineChars="200"/>
        <w:rPr>
          <w:rFonts w:hint="eastAsia" w:asciiTheme="majorEastAsia" w:hAnsiTheme="majorEastAsia" w:eastAsiaTheme="majorEastAsia" w:cstheme="majorEastAsia"/>
          <w:color w:val="auto"/>
          <w:sz w:val="24"/>
          <w:highlight w:val="none"/>
          <w:u w:val="single"/>
        </w:rPr>
      </w:pPr>
      <w:r>
        <w:rPr>
          <w:rFonts w:hint="eastAsia" w:asciiTheme="majorEastAsia" w:hAnsiTheme="majorEastAsia" w:eastAsiaTheme="majorEastAsia" w:cstheme="majorEastAsia"/>
          <w:color w:val="auto"/>
          <w:sz w:val="24"/>
          <w:highlight w:val="none"/>
        </w:rPr>
        <w:t>1.7.1 服务交付（实施）的时间（期限）：</w:t>
      </w:r>
      <w:r>
        <w:rPr>
          <w:rFonts w:hint="eastAsia" w:asciiTheme="majorEastAsia" w:hAnsiTheme="majorEastAsia" w:eastAsiaTheme="majorEastAsia" w:cstheme="majorEastAsia"/>
          <w:b/>
          <w:i/>
          <w:color w:val="auto"/>
          <w:sz w:val="24"/>
          <w:highlight w:val="none"/>
          <w:u w:val="single"/>
        </w:rPr>
        <w:t>合同专用条款</w:t>
      </w:r>
      <w:r>
        <w:rPr>
          <w:rFonts w:hint="eastAsia" w:asciiTheme="majorEastAsia" w:hAnsiTheme="majorEastAsia" w:eastAsiaTheme="majorEastAsia" w:cstheme="majorEastAsia"/>
          <w:color w:val="auto"/>
          <w:sz w:val="24"/>
          <w:highlight w:val="none"/>
        </w:rPr>
        <w:t>；</w:t>
      </w:r>
    </w:p>
    <w:p>
      <w:pPr>
        <w:spacing w:line="560" w:lineRule="exact"/>
        <w:ind w:firstLine="480" w:firstLineChars="200"/>
        <w:rPr>
          <w:rFonts w:hint="eastAsia" w:asciiTheme="majorEastAsia" w:hAnsiTheme="majorEastAsia" w:eastAsiaTheme="majorEastAsia" w:cstheme="majorEastAsia"/>
          <w:color w:val="auto"/>
          <w:sz w:val="24"/>
          <w:highlight w:val="none"/>
        </w:rPr>
      </w:pPr>
      <w:r>
        <w:rPr>
          <w:rFonts w:hint="eastAsia" w:asciiTheme="majorEastAsia" w:hAnsiTheme="majorEastAsia" w:eastAsiaTheme="majorEastAsia" w:cstheme="majorEastAsia"/>
          <w:color w:val="auto"/>
          <w:sz w:val="24"/>
          <w:highlight w:val="none"/>
        </w:rPr>
        <w:t>1.7.2 服务交付（实施）的地点（地域范围）：</w:t>
      </w:r>
      <w:r>
        <w:rPr>
          <w:rFonts w:hint="eastAsia" w:asciiTheme="majorEastAsia" w:hAnsiTheme="majorEastAsia" w:eastAsiaTheme="majorEastAsia" w:cstheme="majorEastAsia"/>
          <w:b/>
          <w:i/>
          <w:color w:val="auto"/>
          <w:sz w:val="24"/>
          <w:highlight w:val="none"/>
          <w:u w:val="single"/>
        </w:rPr>
        <w:t>合同专用条款</w:t>
      </w:r>
      <w:r>
        <w:rPr>
          <w:rFonts w:hint="eastAsia" w:asciiTheme="majorEastAsia" w:hAnsiTheme="majorEastAsia" w:eastAsiaTheme="majorEastAsia" w:cstheme="majorEastAsia"/>
          <w:color w:val="auto"/>
          <w:sz w:val="24"/>
          <w:highlight w:val="none"/>
        </w:rPr>
        <w:t>；</w:t>
      </w:r>
    </w:p>
    <w:p>
      <w:pPr>
        <w:spacing w:line="560" w:lineRule="exact"/>
        <w:ind w:firstLine="480" w:firstLineChars="200"/>
        <w:rPr>
          <w:rFonts w:hint="eastAsia" w:asciiTheme="majorEastAsia" w:hAnsiTheme="majorEastAsia" w:eastAsiaTheme="majorEastAsia" w:cstheme="majorEastAsia"/>
          <w:color w:val="auto"/>
          <w:sz w:val="24"/>
          <w:highlight w:val="none"/>
        </w:rPr>
      </w:pPr>
      <w:r>
        <w:rPr>
          <w:rFonts w:hint="eastAsia" w:asciiTheme="majorEastAsia" w:hAnsiTheme="majorEastAsia" w:eastAsiaTheme="majorEastAsia" w:cstheme="majorEastAsia"/>
          <w:color w:val="auto"/>
          <w:sz w:val="24"/>
          <w:highlight w:val="none"/>
        </w:rPr>
        <w:t>1.7.3 服务交付（实施）的方式：</w:t>
      </w:r>
      <w:r>
        <w:rPr>
          <w:rFonts w:hint="eastAsia" w:asciiTheme="majorEastAsia" w:hAnsiTheme="majorEastAsia" w:eastAsiaTheme="majorEastAsia" w:cstheme="majorEastAsia"/>
          <w:b/>
          <w:i/>
          <w:color w:val="auto"/>
          <w:sz w:val="24"/>
          <w:highlight w:val="none"/>
          <w:u w:val="single"/>
        </w:rPr>
        <w:t>合同专用条款</w:t>
      </w:r>
      <w:r>
        <w:rPr>
          <w:rFonts w:hint="eastAsia" w:asciiTheme="majorEastAsia" w:hAnsiTheme="majorEastAsia" w:eastAsiaTheme="majorEastAsia" w:cstheme="majorEastAsia"/>
          <w:color w:val="auto"/>
          <w:sz w:val="24"/>
          <w:highlight w:val="none"/>
        </w:rPr>
        <w:t>。</w:t>
      </w:r>
    </w:p>
    <w:p>
      <w:pPr>
        <w:spacing w:line="560" w:lineRule="exact"/>
        <w:ind w:firstLine="480" w:firstLineChars="200"/>
        <w:outlineLvl w:val="0"/>
        <w:rPr>
          <w:rFonts w:hint="eastAsia" w:asciiTheme="majorEastAsia" w:hAnsiTheme="majorEastAsia" w:eastAsiaTheme="majorEastAsia" w:cstheme="majorEastAsia"/>
          <w:bCs/>
          <w:color w:val="auto"/>
          <w:sz w:val="24"/>
          <w:highlight w:val="none"/>
        </w:rPr>
      </w:pPr>
      <w:bookmarkStart w:id="395" w:name="_Toc2375"/>
      <w:bookmarkStart w:id="396" w:name="_Toc3079"/>
      <w:bookmarkStart w:id="397" w:name="_Toc8586"/>
      <w:bookmarkStart w:id="398" w:name="_Toc24662"/>
      <w:bookmarkStart w:id="399" w:name="_Toc5698"/>
      <w:r>
        <w:rPr>
          <w:rFonts w:hint="eastAsia" w:asciiTheme="majorEastAsia" w:hAnsiTheme="majorEastAsia" w:eastAsiaTheme="majorEastAsia" w:cstheme="majorEastAsia"/>
          <w:bCs/>
          <w:color w:val="auto"/>
          <w:sz w:val="24"/>
          <w:highlight w:val="none"/>
        </w:rPr>
        <w:t>1.7.4若服务涉及货物的，则货物的：</w:t>
      </w:r>
    </w:p>
    <w:p>
      <w:pPr>
        <w:spacing w:line="560" w:lineRule="exact"/>
        <w:ind w:firstLine="480" w:firstLineChars="200"/>
        <w:rPr>
          <w:rFonts w:hint="eastAsia" w:asciiTheme="majorEastAsia" w:hAnsiTheme="majorEastAsia" w:eastAsiaTheme="majorEastAsia" w:cstheme="majorEastAsia"/>
          <w:color w:val="auto"/>
          <w:sz w:val="24"/>
          <w:highlight w:val="none"/>
          <w:u w:val="single"/>
        </w:rPr>
      </w:pPr>
      <w:r>
        <w:rPr>
          <w:rFonts w:hint="eastAsia" w:asciiTheme="majorEastAsia" w:hAnsiTheme="majorEastAsia" w:eastAsiaTheme="majorEastAsia" w:cstheme="majorEastAsia"/>
          <w:color w:val="auto"/>
          <w:sz w:val="24"/>
          <w:highlight w:val="none"/>
        </w:rPr>
        <w:t>1.7.4.1 交付期限：详见</w:t>
      </w:r>
      <w:r>
        <w:rPr>
          <w:rFonts w:hint="eastAsia" w:asciiTheme="majorEastAsia" w:hAnsiTheme="majorEastAsia" w:eastAsiaTheme="majorEastAsia" w:cstheme="majorEastAsia"/>
          <w:b/>
          <w:i/>
          <w:color w:val="auto"/>
          <w:sz w:val="24"/>
          <w:highlight w:val="none"/>
          <w:u w:val="single"/>
        </w:rPr>
        <w:t>合同专用条款</w:t>
      </w:r>
      <w:r>
        <w:rPr>
          <w:rFonts w:hint="eastAsia" w:asciiTheme="majorEastAsia" w:hAnsiTheme="majorEastAsia" w:eastAsiaTheme="majorEastAsia" w:cstheme="majorEastAsia"/>
          <w:color w:val="auto"/>
          <w:sz w:val="24"/>
          <w:highlight w:val="none"/>
        </w:rPr>
        <w:t>；</w:t>
      </w:r>
    </w:p>
    <w:p>
      <w:pPr>
        <w:spacing w:line="560" w:lineRule="exact"/>
        <w:ind w:firstLine="480" w:firstLineChars="200"/>
        <w:rPr>
          <w:rFonts w:hint="eastAsia" w:asciiTheme="majorEastAsia" w:hAnsiTheme="majorEastAsia" w:eastAsiaTheme="majorEastAsia" w:cstheme="majorEastAsia"/>
          <w:color w:val="auto"/>
          <w:sz w:val="24"/>
          <w:highlight w:val="none"/>
        </w:rPr>
      </w:pPr>
      <w:r>
        <w:rPr>
          <w:rFonts w:hint="eastAsia" w:asciiTheme="majorEastAsia" w:hAnsiTheme="majorEastAsia" w:eastAsiaTheme="majorEastAsia" w:cstheme="majorEastAsia"/>
          <w:color w:val="auto"/>
          <w:sz w:val="24"/>
          <w:highlight w:val="none"/>
        </w:rPr>
        <w:t>1.7.4.2 交付地点：</w:t>
      </w:r>
      <w:r>
        <w:rPr>
          <w:rFonts w:hint="eastAsia" w:asciiTheme="majorEastAsia" w:hAnsiTheme="majorEastAsia" w:eastAsiaTheme="majorEastAsia" w:cstheme="majorEastAsia"/>
          <w:b/>
          <w:i/>
          <w:color w:val="auto"/>
          <w:sz w:val="24"/>
          <w:highlight w:val="none"/>
          <w:u w:val="single"/>
        </w:rPr>
        <w:t>合同专用条款</w:t>
      </w:r>
      <w:r>
        <w:rPr>
          <w:rFonts w:hint="eastAsia" w:asciiTheme="majorEastAsia" w:hAnsiTheme="majorEastAsia" w:eastAsiaTheme="majorEastAsia" w:cstheme="majorEastAsia"/>
          <w:color w:val="auto"/>
          <w:sz w:val="24"/>
          <w:highlight w:val="none"/>
        </w:rPr>
        <w:t>；</w:t>
      </w:r>
    </w:p>
    <w:p>
      <w:pPr>
        <w:spacing w:line="560" w:lineRule="exact"/>
        <w:ind w:firstLine="480" w:firstLineChars="200"/>
        <w:rPr>
          <w:rFonts w:hint="eastAsia" w:asciiTheme="majorEastAsia" w:hAnsiTheme="majorEastAsia" w:eastAsiaTheme="majorEastAsia" w:cstheme="majorEastAsia"/>
          <w:color w:val="auto"/>
          <w:sz w:val="24"/>
          <w:highlight w:val="none"/>
        </w:rPr>
      </w:pPr>
      <w:r>
        <w:rPr>
          <w:rFonts w:hint="eastAsia" w:asciiTheme="majorEastAsia" w:hAnsiTheme="majorEastAsia" w:eastAsiaTheme="majorEastAsia" w:cstheme="majorEastAsia"/>
          <w:color w:val="auto"/>
          <w:sz w:val="24"/>
          <w:highlight w:val="none"/>
        </w:rPr>
        <w:t>1.7.4.3 交付方式：</w:t>
      </w:r>
      <w:r>
        <w:rPr>
          <w:rFonts w:hint="eastAsia" w:asciiTheme="majorEastAsia" w:hAnsiTheme="majorEastAsia" w:eastAsiaTheme="majorEastAsia" w:cstheme="majorEastAsia"/>
          <w:b/>
          <w:i/>
          <w:color w:val="auto"/>
          <w:sz w:val="24"/>
          <w:highlight w:val="none"/>
          <w:u w:val="single"/>
        </w:rPr>
        <w:t>合同专用条款</w:t>
      </w:r>
      <w:r>
        <w:rPr>
          <w:rFonts w:hint="eastAsia" w:asciiTheme="majorEastAsia" w:hAnsiTheme="majorEastAsia" w:eastAsiaTheme="majorEastAsia" w:cstheme="majorEastAsia"/>
          <w:color w:val="auto"/>
          <w:sz w:val="24"/>
          <w:highlight w:val="none"/>
        </w:rPr>
        <w:t>。</w:t>
      </w:r>
    </w:p>
    <w:p>
      <w:pPr>
        <w:spacing w:line="560" w:lineRule="exact"/>
        <w:ind w:firstLine="482" w:firstLineChars="200"/>
        <w:outlineLvl w:val="0"/>
        <w:rPr>
          <w:rFonts w:hint="eastAsia" w:asciiTheme="majorEastAsia" w:hAnsiTheme="majorEastAsia" w:eastAsiaTheme="majorEastAsia" w:cstheme="majorEastAsia"/>
          <w:color w:val="auto"/>
          <w:sz w:val="24"/>
          <w:highlight w:val="none"/>
          <w:u w:val="single"/>
        </w:rPr>
      </w:pPr>
      <w:r>
        <w:rPr>
          <w:rFonts w:hint="eastAsia" w:asciiTheme="majorEastAsia" w:hAnsiTheme="majorEastAsia" w:eastAsiaTheme="majorEastAsia" w:cstheme="majorEastAsia"/>
          <w:b/>
          <w:color w:val="auto"/>
          <w:sz w:val="24"/>
          <w:highlight w:val="none"/>
        </w:rPr>
        <w:t>1.8违约责任</w:t>
      </w:r>
      <w:bookmarkEnd w:id="395"/>
      <w:bookmarkEnd w:id="396"/>
      <w:bookmarkEnd w:id="397"/>
      <w:bookmarkEnd w:id="398"/>
      <w:bookmarkEnd w:id="399"/>
    </w:p>
    <w:p>
      <w:pPr>
        <w:spacing w:line="560" w:lineRule="exact"/>
        <w:ind w:firstLine="480" w:firstLineChars="200"/>
        <w:rPr>
          <w:rFonts w:hint="eastAsia" w:asciiTheme="majorEastAsia" w:hAnsiTheme="majorEastAsia" w:eastAsiaTheme="majorEastAsia" w:cstheme="majorEastAsia"/>
          <w:color w:val="auto"/>
          <w:sz w:val="24"/>
          <w:highlight w:val="none"/>
        </w:rPr>
      </w:pPr>
      <w:r>
        <w:rPr>
          <w:rFonts w:hint="eastAsia" w:asciiTheme="majorEastAsia" w:hAnsiTheme="majorEastAsia" w:eastAsiaTheme="majorEastAsia" w:cstheme="majorEastAsia"/>
          <w:color w:val="auto"/>
          <w:sz w:val="24"/>
          <w:highlight w:val="none"/>
        </w:rPr>
        <w:t>1.8.1 除不可抗力外，如果乙方没有按照本合同约定的期限、地点和方式交付服务成果或者实施服务，那么甲方可要求乙方支付违约金，迟延履行违约金按每迟延履行一日的应提供而未提供服务价格的</w:t>
      </w:r>
      <w:r>
        <w:rPr>
          <w:rFonts w:hint="eastAsia" w:asciiTheme="majorEastAsia" w:hAnsiTheme="majorEastAsia" w:eastAsiaTheme="majorEastAsia" w:cstheme="majorEastAsia"/>
          <w:color w:val="auto"/>
          <w:sz w:val="24"/>
          <w:highlight w:val="none"/>
          <w:u w:val="single"/>
        </w:rPr>
        <w:t>0.05</w:t>
      </w:r>
      <w:r>
        <w:rPr>
          <w:rFonts w:hint="eastAsia" w:asciiTheme="majorEastAsia" w:hAnsiTheme="majorEastAsia" w:eastAsiaTheme="majorEastAsia" w:cstheme="majorEastAsia"/>
          <w:color w:val="auto"/>
          <w:sz w:val="24"/>
          <w:highlight w:val="none"/>
        </w:rPr>
        <w:t>%计算，最高限额为本合同总价的</w:t>
      </w:r>
      <w:r>
        <w:rPr>
          <w:rFonts w:hint="eastAsia" w:asciiTheme="majorEastAsia" w:hAnsiTheme="majorEastAsia" w:eastAsiaTheme="majorEastAsia" w:cstheme="majorEastAsia"/>
          <w:color w:val="auto"/>
          <w:sz w:val="24"/>
          <w:highlight w:val="none"/>
          <w:u w:val="single"/>
        </w:rPr>
        <w:t xml:space="preserve">  20   </w:t>
      </w:r>
      <w:r>
        <w:rPr>
          <w:rFonts w:hint="eastAsia" w:asciiTheme="majorEastAsia" w:hAnsiTheme="majorEastAsia" w:eastAsiaTheme="majorEastAsia" w:cstheme="majorEastAsia"/>
          <w:color w:val="auto"/>
          <w:sz w:val="24"/>
          <w:highlight w:val="none"/>
        </w:rPr>
        <w:t>%；迟延履行的违约金计算数额达到前述最高限额之日起，甲方有权在要求乙方支付违约金的同时，书面通知乙方解除本合同；</w:t>
      </w:r>
    </w:p>
    <w:p>
      <w:pPr>
        <w:pStyle w:val="2"/>
        <w:tabs>
          <w:tab w:val="left" w:pos="432"/>
        </w:tabs>
        <w:ind w:left="0" w:firstLine="480" w:firstLineChars="200"/>
        <w:rPr>
          <w:rFonts w:hint="eastAsia" w:asciiTheme="majorEastAsia" w:hAnsiTheme="majorEastAsia" w:eastAsiaTheme="majorEastAsia" w:cstheme="majorEastAsia"/>
          <w:b w:val="0"/>
          <w:bCs w:val="0"/>
          <w:color w:val="auto"/>
          <w:sz w:val="24"/>
          <w:szCs w:val="24"/>
          <w:highlight w:val="none"/>
          <w:lang w:val="en-US"/>
        </w:rPr>
      </w:pPr>
      <w:r>
        <w:rPr>
          <w:rFonts w:hint="eastAsia" w:asciiTheme="majorEastAsia" w:hAnsiTheme="majorEastAsia" w:eastAsiaTheme="majorEastAsia" w:cstheme="majorEastAsia"/>
          <w:b w:val="0"/>
          <w:bCs w:val="0"/>
          <w:color w:val="auto"/>
          <w:sz w:val="24"/>
          <w:szCs w:val="24"/>
          <w:highlight w:val="none"/>
          <w:lang w:val="en-US"/>
        </w:rPr>
        <w:t>1.8.2服务中涉及的货物，除不可抗力外，如果乙方没有按照本合同约定的期限、地点和方式交付货物，那么甲方可要求乙方支付违约金，违约金按每迟延交付货物一日的应交付而未交付货物价格的</w:t>
      </w:r>
      <w:r>
        <w:rPr>
          <w:rFonts w:hint="eastAsia" w:asciiTheme="majorEastAsia" w:hAnsiTheme="majorEastAsia" w:eastAsiaTheme="majorEastAsia" w:cstheme="majorEastAsia"/>
          <w:b w:val="0"/>
          <w:bCs w:val="0"/>
          <w:color w:val="auto"/>
          <w:sz w:val="24"/>
          <w:szCs w:val="24"/>
          <w:highlight w:val="none"/>
          <w:u w:val="single"/>
          <w:lang w:val="en-US"/>
        </w:rPr>
        <w:t xml:space="preserve">  0.0</w:t>
      </w:r>
      <w:r>
        <w:rPr>
          <w:rFonts w:hint="eastAsia" w:asciiTheme="majorEastAsia" w:hAnsiTheme="majorEastAsia" w:eastAsiaTheme="majorEastAsia" w:cstheme="majorEastAsia"/>
          <w:b w:val="0"/>
          <w:bCs w:val="0"/>
          <w:color w:val="auto"/>
          <w:sz w:val="24"/>
          <w:szCs w:val="24"/>
          <w:highlight w:val="none"/>
          <w:lang w:val="en-US"/>
        </w:rPr>
        <w:t>5（可根据情况修改） %计算，最高限额为本合同总价的</w:t>
      </w:r>
      <w:r>
        <w:rPr>
          <w:rFonts w:hint="eastAsia" w:asciiTheme="majorEastAsia" w:hAnsiTheme="majorEastAsia" w:eastAsiaTheme="majorEastAsia" w:cstheme="majorEastAsia"/>
          <w:b w:val="0"/>
          <w:bCs w:val="0"/>
          <w:color w:val="auto"/>
          <w:sz w:val="24"/>
          <w:szCs w:val="24"/>
          <w:highlight w:val="none"/>
          <w:u w:val="single"/>
          <w:lang w:val="en-US"/>
        </w:rPr>
        <w:t xml:space="preserve">  20  </w:t>
      </w:r>
      <w:r>
        <w:rPr>
          <w:rFonts w:hint="eastAsia" w:asciiTheme="majorEastAsia" w:hAnsiTheme="majorEastAsia" w:eastAsiaTheme="majorEastAsia" w:cstheme="majorEastAsia"/>
          <w:b w:val="0"/>
          <w:bCs w:val="0"/>
          <w:color w:val="auto"/>
          <w:sz w:val="24"/>
          <w:szCs w:val="24"/>
          <w:highlight w:val="none"/>
          <w:lang w:val="en-US"/>
        </w:rPr>
        <w:t>%；迟延交付货物的违约金计算数额达到前述最高限额之日起，甲方有权在要求乙方支付违约金的同时，书面通知乙方解除本合同；</w:t>
      </w:r>
    </w:p>
    <w:p>
      <w:pPr>
        <w:spacing w:line="560" w:lineRule="exact"/>
        <w:ind w:firstLine="480" w:firstLineChars="200"/>
        <w:rPr>
          <w:rFonts w:hint="eastAsia" w:asciiTheme="majorEastAsia" w:hAnsiTheme="majorEastAsia" w:eastAsiaTheme="majorEastAsia" w:cstheme="majorEastAsia"/>
          <w:color w:val="auto"/>
          <w:sz w:val="24"/>
          <w:highlight w:val="none"/>
        </w:rPr>
      </w:pPr>
      <w:r>
        <w:rPr>
          <w:rFonts w:hint="eastAsia" w:asciiTheme="majorEastAsia" w:hAnsiTheme="majorEastAsia" w:eastAsiaTheme="majorEastAsia" w:cstheme="majorEastAsia"/>
          <w:color w:val="auto"/>
          <w:sz w:val="24"/>
          <w:highlight w:val="none"/>
        </w:rPr>
        <w:t>1.8.3除不可抗力外，如果甲方没有按照本合同约定的付款方式付款，那么乙方可要求甲方支付违约金，违约金按每迟延付款一日的应付而未付款的</w:t>
      </w:r>
      <w:r>
        <w:rPr>
          <w:rFonts w:hint="eastAsia" w:asciiTheme="majorEastAsia" w:hAnsiTheme="majorEastAsia" w:eastAsiaTheme="majorEastAsia" w:cstheme="majorEastAsia"/>
          <w:color w:val="auto"/>
          <w:sz w:val="24"/>
          <w:highlight w:val="none"/>
          <w:u w:val="single"/>
        </w:rPr>
        <w:t xml:space="preserve">   0.05   </w:t>
      </w:r>
      <w:r>
        <w:rPr>
          <w:rFonts w:hint="eastAsia" w:asciiTheme="majorEastAsia" w:hAnsiTheme="majorEastAsia" w:eastAsiaTheme="majorEastAsia" w:cstheme="majorEastAsia"/>
          <w:color w:val="auto"/>
          <w:sz w:val="24"/>
          <w:highlight w:val="none"/>
        </w:rPr>
        <w:t>%计算，最高限额为本合同总价的</w:t>
      </w:r>
      <w:r>
        <w:rPr>
          <w:rFonts w:hint="eastAsia" w:asciiTheme="majorEastAsia" w:hAnsiTheme="majorEastAsia" w:eastAsiaTheme="majorEastAsia" w:cstheme="majorEastAsia"/>
          <w:color w:val="auto"/>
          <w:sz w:val="24"/>
          <w:highlight w:val="none"/>
          <w:u w:val="single"/>
        </w:rPr>
        <w:t xml:space="preserve">   20</w:t>
      </w:r>
      <w:r>
        <w:rPr>
          <w:rFonts w:hint="eastAsia" w:asciiTheme="majorEastAsia" w:hAnsiTheme="majorEastAsia" w:eastAsiaTheme="majorEastAsia" w:cstheme="majorEastAsia"/>
          <w:color w:val="auto"/>
          <w:kern w:val="0"/>
          <w:sz w:val="24"/>
          <w:highlight w:val="none"/>
          <w:u w:val="single"/>
        </w:rPr>
        <w:t>（可根据情况修改）</w:t>
      </w:r>
      <w:r>
        <w:rPr>
          <w:rFonts w:hint="eastAsia" w:asciiTheme="majorEastAsia" w:hAnsiTheme="majorEastAsia" w:eastAsiaTheme="majorEastAsia" w:cstheme="majorEastAsia"/>
          <w:color w:val="auto"/>
          <w:sz w:val="24"/>
          <w:highlight w:val="none"/>
        </w:rPr>
        <w:t>%；迟延付款的违约金计算数额达到前述最高限额之日起，乙方有权在要求甲方支付违约金的同时，书面通知甲方解除本合同；</w:t>
      </w:r>
    </w:p>
    <w:p>
      <w:pPr>
        <w:spacing w:line="560" w:lineRule="exact"/>
        <w:ind w:firstLine="480" w:firstLineChars="200"/>
        <w:rPr>
          <w:rFonts w:hint="eastAsia" w:asciiTheme="majorEastAsia" w:hAnsiTheme="majorEastAsia" w:eastAsiaTheme="majorEastAsia" w:cstheme="majorEastAsia"/>
          <w:color w:val="auto"/>
          <w:sz w:val="24"/>
          <w:highlight w:val="none"/>
        </w:rPr>
      </w:pPr>
      <w:bookmarkStart w:id="400" w:name="_Toc18683"/>
      <w:bookmarkStart w:id="401" w:name="_Toc26807"/>
      <w:bookmarkStart w:id="402" w:name="_Toc9497"/>
      <w:bookmarkStart w:id="403" w:name="_Toc32454"/>
      <w:bookmarkStart w:id="404" w:name="_Toc30329"/>
      <w:r>
        <w:rPr>
          <w:rFonts w:hint="eastAsia" w:asciiTheme="majorEastAsia" w:hAnsiTheme="majorEastAsia" w:eastAsiaTheme="majorEastAsia" w:cstheme="majorEastAsia"/>
          <w:color w:val="auto"/>
          <w:sz w:val="24"/>
          <w:highlight w:val="none"/>
        </w:rPr>
        <w:t>1.8.4 除不可抗力外，任何一方未能履行本合同约定的其他主要义务，经催告后在合理期限内仍未履行的，或者任何一方有其他违约行为致使不能实现合同目的的，或者任何一方有腐败行为（即：提供或给予或接受或索取任何财物或其他好处或者采取其他不正当手段影响对方当事人在合同签订、履行过程中的行为）或者欺诈行为（即：以谎报事实或者隐瞒真相的方法来影响对方当事人在合同签订、履行过程中的行为）的，对方当事人可以书面通知违约方解除本合同；</w:t>
      </w:r>
    </w:p>
    <w:p>
      <w:pPr>
        <w:spacing w:line="560" w:lineRule="exact"/>
        <w:ind w:firstLine="480" w:firstLineChars="200"/>
        <w:rPr>
          <w:rFonts w:hint="eastAsia" w:asciiTheme="majorEastAsia" w:hAnsiTheme="majorEastAsia" w:eastAsiaTheme="majorEastAsia" w:cstheme="majorEastAsia"/>
          <w:color w:val="auto"/>
          <w:sz w:val="24"/>
          <w:highlight w:val="none"/>
        </w:rPr>
      </w:pPr>
      <w:r>
        <w:rPr>
          <w:rFonts w:hint="eastAsia" w:asciiTheme="majorEastAsia" w:hAnsiTheme="majorEastAsia" w:eastAsiaTheme="majorEastAsia" w:cstheme="majorEastAsia"/>
          <w:color w:val="auto"/>
          <w:sz w:val="24"/>
          <w:highlight w:val="none"/>
        </w:rPr>
        <w:t>1.8.5 除前述约定外，任何一方未能履行本合同约定的义务，对方当事人均有权要求继续履行、采取补救措施或者赔偿损失等，且对方当事人行使的任何权利救济方式均不视为其放弃了其他法定或者约定的权利救济方式；</w:t>
      </w:r>
    </w:p>
    <w:p>
      <w:pPr>
        <w:spacing w:line="560" w:lineRule="exact"/>
        <w:ind w:firstLine="480" w:firstLineChars="200"/>
        <w:rPr>
          <w:rFonts w:hint="eastAsia" w:asciiTheme="majorEastAsia" w:hAnsiTheme="majorEastAsia" w:eastAsiaTheme="majorEastAsia" w:cstheme="majorEastAsia"/>
          <w:color w:val="auto"/>
          <w:sz w:val="24"/>
          <w:highlight w:val="none"/>
        </w:rPr>
      </w:pPr>
      <w:r>
        <w:rPr>
          <w:rFonts w:hint="eastAsia" w:asciiTheme="majorEastAsia" w:hAnsiTheme="majorEastAsia" w:eastAsiaTheme="majorEastAsia" w:cstheme="majorEastAsia"/>
          <w:color w:val="auto"/>
          <w:sz w:val="24"/>
          <w:highlight w:val="none"/>
        </w:rPr>
        <w:t>1.8.6如果出现政府采购监督管理部门在处理投诉事项期间，书面通知甲方暂停采购活动的情形，或者询问或质疑事项可能影响中标或者成交结果的，导致甲方中止履行合同的情形，均不视为甲方违约。</w:t>
      </w:r>
    </w:p>
    <w:p>
      <w:pPr>
        <w:spacing w:line="560" w:lineRule="exact"/>
        <w:ind w:right="-480" w:rightChars="-200" w:firstLine="480" w:firstLineChars="200"/>
        <w:rPr>
          <w:rFonts w:hint="eastAsia" w:asciiTheme="majorEastAsia" w:hAnsiTheme="majorEastAsia" w:eastAsiaTheme="majorEastAsia" w:cstheme="majorEastAsia"/>
          <w:color w:val="auto"/>
          <w:highlight w:val="none"/>
        </w:rPr>
      </w:pPr>
      <w:r>
        <w:rPr>
          <w:rFonts w:hint="eastAsia" w:asciiTheme="majorEastAsia" w:hAnsiTheme="majorEastAsia" w:eastAsiaTheme="majorEastAsia" w:cstheme="majorEastAsia"/>
          <w:color w:val="auto"/>
          <w:sz w:val="24"/>
          <w:highlight w:val="none"/>
        </w:rPr>
        <w:t>1.8.7违约责任</w:t>
      </w:r>
      <w:r>
        <w:rPr>
          <w:rFonts w:hint="eastAsia" w:asciiTheme="majorEastAsia" w:hAnsiTheme="majorEastAsia" w:eastAsiaTheme="majorEastAsia" w:cstheme="majorEastAsia"/>
          <w:b/>
          <w:i/>
          <w:color w:val="auto"/>
          <w:sz w:val="24"/>
          <w:highlight w:val="none"/>
          <w:u w:val="single"/>
        </w:rPr>
        <w:t>合同专用条款</w:t>
      </w:r>
      <w:r>
        <w:rPr>
          <w:rFonts w:hint="eastAsia" w:asciiTheme="majorEastAsia" w:hAnsiTheme="majorEastAsia" w:eastAsiaTheme="majorEastAsia" w:cstheme="majorEastAsia"/>
          <w:color w:val="auto"/>
          <w:sz w:val="24"/>
          <w:highlight w:val="none"/>
        </w:rPr>
        <w:t>另有约定的，从其约定。</w:t>
      </w:r>
    </w:p>
    <w:bookmarkEnd w:id="400"/>
    <w:bookmarkEnd w:id="401"/>
    <w:bookmarkEnd w:id="402"/>
    <w:bookmarkEnd w:id="403"/>
    <w:bookmarkEnd w:id="404"/>
    <w:p>
      <w:pPr>
        <w:spacing w:line="560" w:lineRule="exact"/>
        <w:ind w:firstLine="482" w:firstLineChars="200"/>
        <w:outlineLvl w:val="0"/>
        <w:rPr>
          <w:rFonts w:hint="eastAsia" w:asciiTheme="majorEastAsia" w:hAnsiTheme="majorEastAsia" w:eastAsiaTheme="majorEastAsia" w:cstheme="majorEastAsia"/>
          <w:b/>
          <w:color w:val="auto"/>
          <w:sz w:val="24"/>
          <w:highlight w:val="none"/>
        </w:rPr>
      </w:pPr>
      <w:bookmarkStart w:id="405" w:name="_Toc16021"/>
      <w:bookmarkStart w:id="406" w:name="_Toc15583"/>
      <w:bookmarkStart w:id="407" w:name="_Toc28375"/>
      <w:r>
        <w:rPr>
          <w:rFonts w:hint="eastAsia" w:asciiTheme="majorEastAsia" w:hAnsiTheme="majorEastAsia" w:eastAsiaTheme="majorEastAsia" w:cstheme="majorEastAsia"/>
          <w:b/>
          <w:color w:val="auto"/>
          <w:sz w:val="24"/>
          <w:highlight w:val="none"/>
        </w:rPr>
        <w:t>1.9合同争议的解决</w:t>
      </w:r>
      <w:bookmarkEnd w:id="405"/>
      <w:bookmarkEnd w:id="406"/>
      <w:bookmarkEnd w:id="407"/>
    </w:p>
    <w:p>
      <w:pPr>
        <w:spacing w:line="560" w:lineRule="exact"/>
        <w:ind w:left="-70" w:leftChars="-29" w:right="-480" w:rightChars="-200" w:firstLine="240" w:firstLineChars="100"/>
        <w:rPr>
          <w:rFonts w:hint="eastAsia" w:asciiTheme="majorEastAsia" w:hAnsiTheme="majorEastAsia" w:eastAsiaTheme="majorEastAsia" w:cstheme="majorEastAsia"/>
          <w:color w:val="auto"/>
          <w:sz w:val="24"/>
          <w:highlight w:val="none"/>
        </w:rPr>
      </w:pPr>
      <w:r>
        <w:rPr>
          <w:rFonts w:hint="eastAsia" w:asciiTheme="majorEastAsia" w:hAnsiTheme="majorEastAsia" w:eastAsiaTheme="majorEastAsia" w:cstheme="majorEastAsia"/>
          <w:color w:val="auto"/>
          <w:sz w:val="24"/>
          <w:highlight w:val="none"/>
        </w:rPr>
        <w:t xml:space="preserve">  本合同履行过程中发生的任何争议，双方当事人均可通过和解或者调解解决；不愿和解、调解或者和解、调解不成的，可以选择以下第条款规定的方式解决：</w:t>
      </w:r>
    </w:p>
    <w:p>
      <w:pPr>
        <w:spacing w:line="560" w:lineRule="exact"/>
        <w:ind w:left="-480" w:leftChars="-200" w:right="-480" w:rightChars="-200" w:firstLine="600" w:firstLineChars="250"/>
        <w:rPr>
          <w:rFonts w:hint="eastAsia" w:asciiTheme="majorEastAsia" w:hAnsiTheme="majorEastAsia" w:eastAsiaTheme="majorEastAsia" w:cstheme="majorEastAsia"/>
          <w:color w:val="auto"/>
          <w:sz w:val="24"/>
          <w:highlight w:val="none"/>
        </w:rPr>
      </w:pPr>
      <w:r>
        <w:rPr>
          <w:rFonts w:hint="eastAsia" w:asciiTheme="majorEastAsia" w:hAnsiTheme="majorEastAsia" w:eastAsiaTheme="majorEastAsia" w:cstheme="majorEastAsia"/>
          <w:color w:val="auto"/>
          <w:sz w:val="24"/>
          <w:highlight w:val="none"/>
        </w:rPr>
        <w:t>1.9.1 将争议提交</w:t>
      </w:r>
      <w:r>
        <w:rPr>
          <w:rFonts w:hint="eastAsia" w:asciiTheme="majorEastAsia" w:hAnsiTheme="majorEastAsia" w:eastAsiaTheme="majorEastAsia" w:cstheme="majorEastAsia"/>
          <w:b/>
          <w:i/>
          <w:color w:val="auto"/>
          <w:sz w:val="24"/>
          <w:highlight w:val="none"/>
          <w:u w:val="single"/>
        </w:rPr>
        <w:t>合同专用条款</w:t>
      </w:r>
      <w:r>
        <w:rPr>
          <w:rFonts w:hint="eastAsia" w:asciiTheme="majorEastAsia" w:hAnsiTheme="majorEastAsia" w:eastAsiaTheme="majorEastAsia" w:cstheme="majorEastAsia"/>
          <w:color w:val="auto"/>
          <w:sz w:val="24"/>
          <w:highlight w:val="none"/>
        </w:rPr>
        <w:t>仲裁委员会依申请仲裁时其现行有效的仲裁规则裁决；</w:t>
      </w:r>
    </w:p>
    <w:p>
      <w:pPr>
        <w:spacing w:line="560" w:lineRule="exact"/>
        <w:ind w:left="-480" w:leftChars="-200" w:right="-480" w:rightChars="-200" w:firstLine="600" w:firstLineChars="250"/>
        <w:rPr>
          <w:rFonts w:hint="eastAsia" w:asciiTheme="majorEastAsia" w:hAnsiTheme="majorEastAsia" w:eastAsiaTheme="majorEastAsia" w:cstheme="majorEastAsia"/>
          <w:color w:val="auto"/>
          <w:sz w:val="24"/>
          <w:highlight w:val="none"/>
        </w:rPr>
      </w:pPr>
      <w:r>
        <w:rPr>
          <w:rFonts w:hint="eastAsia" w:asciiTheme="majorEastAsia" w:hAnsiTheme="majorEastAsia" w:eastAsiaTheme="majorEastAsia" w:cstheme="majorEastAsia"/>
          <w:color w:val="auto"/>
          <w:sz w:val="24"/>
          <w:highlight w:val="none"/>
        </w:rPr>
        <w:t>1.9.2 向</w:t>
      </w:r>
      <w:r>
        <w:rPr>
          <w:rFonts w:hint="eastAsia" w:asciiTheme="majorEastAsia" w:hAnsiTheme="majorEastAsia" w:eastAsiaTheme="majorEastAsia" w:cstheme="majorEastAsia"/>
          <w:b/>
          <w:i/>
          <w:color w:val="auto"/>
          <w:sz w:val="24"/>
          <w:highlight w:val="none"/>
          <w:u w:val="single"/>
        </w:rPr>
        <w:t>合同专用条款</w:t>
      </w:r>
      <w:r>
        <w:rPr>
          <w:rFonts w:hint="eastAsia" w:asciiTheme="majorEastAsia" w:hAnsiTheme="majorEastAsia" w:eastAsiaTheme="majorEastAsia" w:cstheme="majorEastAsia"/>
          <w:color w:val="auto"/>
          <w:sz w:val="24"/>
          <w:highlight w:val="none"/>
        </w:rPr>
        <w:t>人民法院起诉。</w:t>
      </w:r>
    </w:p>
    <w:p>
      <w:pPr>
        <w:spacing w:line="560" w:lineRule="exact"/>
        <w:ind w:firstLine="482" w:firstLineChars="200"/>
        <w:outlineLvl w:val="0"/>
        <w:rPr>
          <w:rFonts w:hint="eastAsia" w:asciiTheme="majorEastAsia" w:hAnsiTheme="majorEastAsia" w:eastAsiaTheme="majorEastAsia" w:cstheme="majorEastAsia"/>
          <w:b/>
          <w:color w:val="auto"/>
          <w:sz w:val="24"/>
          <w:highlight w:val="none"/>
        </w:rPr>
      </w:pPr>
      <w:bookmarkStart w:id="408" w:name="_Toc11173"/>
      <w:bookmarkStart w:id="409" w:name="_Toc15322"/>
      <w:bookmarkStart w:id="410" w:name="_Toc7245"/>
      <w:r>
        <w:rPr>
          <w:rFonts w:hint="eastAsia" w:asciiTheme="majorEastAsia" w:hAnsiTheme="majorEastAsia" w:eastAsiaTheme="majorEastAsia" w:cstheme="majorEastAsia"/>
          <w:b/>
          <w:color w:val="auto"/>
          <w:sz w:val="24"/>
          <w:highlight w:val="none"/>
        </w:rPr>
        <w:t>2.0 合同生效</w:t>
      </w:r>
      <w:bookmarkEnd w:id="408"/>
      <w:bookmarkEnd w:id="409"/>
      <w:bookmarkEnd w:id="410"/>
    </w:p>
    <w:p>
      <w:pPr>
        <w:spacing w:line="560" w:lineRule="exact"/>
        <w:ind w:firstLine="480" w:firstLineChars="200"/>
        <w:rPr>
          <w:rFonts w:hint="eastAsia" w:asciiTheme="majorEastAsia" w:hAnsiTheme="majorEastAsia" w:eastAsiaTheme="majorEastAsia" w:cstheme="majorEastAsia"/>
          <w:b/>
          <w:color w:val="auto"/>
          <w:sz w:val="24"/>
          <w:highlight w:val="none"/>
        </w:rPr>
      </w:pPr>
      <w:r>
        <w:rPr>
          <w:rFonts w:hint="eastAsia" w:asciiTheme="majorEastAsia" w:hAnsiTheme="majorEastAsia" w:eastAsiaTheme="majorEastAsia" w:cstheme="majorEastAsia"/>
          <w:color w:val="auto"/>
          <w:sz w:val="24"/>
          <w:highlight w:val="none"/>
        </w:rPr>
        <w:t>本合同自双方当事人盖章签字时生效。</w:t>
      </w:r>
    </w:p>
    <w:p>
      <w:pPr>
        <w:autoSpaceDE w:val="0"/>
        <w:autoSpaceDN w:val="0"/>
        <w:spacing w:line="560" w:lineRule="exact"/>
        <w:rPr>
          <w:rFonts w:hint="eastAsia" w:asciiTheme="majorEastAsia" w:hAnsiTheme="majorEastAsia" w:eastAsiaTheme="majorEastAsia" w:cstheme="majorEastAsia"/>
          <w:color w:val="auto"/>
          <w:sz w:val="24"/>
          <w:highlight w:val="none"/>
          <w:lang w:val="zh-CN"/>
        </w:rPr>
      </w:pPr>
    </w:p>
    <w:p>
      <w:pPr>
        <w:autoSpaceDE w:val="0"/>
        <w:autoSpaceDN w:val="0"/>
        <w:spacing w:line="560" w:lineRule="exact"/>
        <w:rPr>
          <w:rFonts w:hint="eastAsia" w:asciiTheme="majorEastAsia" w:hAnsiTheme="majorEastAsia" w:eastAsiaTheme="majorEastAsia" w:cstheme="majorEastAsia"/>
          <w:color w:val="auto"/>
          <w:sz w:val="24"/>
          <w:highlight w:val="none"/>
          <w:lang w:val="zh-CN"/>
        </w:rPr>
      </w:pPr>
      <w:r>
        <w:rPr>
          <w:rFonts w:hint="eastAsia" w:asciiTheme="majorEastAsia" w:hAnsiTheme="majorEastAsia" w:eastAsiaTheme="majorEastAsia" w:cstheme="majorEastAsia"/>
          <w:b/>
          <w:color w:val="auto"/>
          <w:sz w:val="24"/>
          <w:highlight w:val="none"/>
          <w:lang w:val="zh-CN"/>
        </w:rPr>
        <w:t>甲方</w:t>
      </w:r>
      <w:r>
        <w:rPr>
          <w:rFonts w:hint="eastAsia" w:asciiTheme="majorEastAsia" w:hAnsiTheme="majorEastAsia" w:eastAsiaTheme="majorEastAsia" w:cstheme="majorEastAsia"/>
          <w:color w:val="auto"/>
          <w:sz w:val="24"/>
          <w:highlight w:val="none"/>
          <w:lang w:val="zh-CN"/>
        </w:rPr>
        <w:t>：</w:t>
      </w:r>
      <w:r>
        <w:rPr>
          <w:rFonts w:hint="eastAsia" w:asciiTheme="majorEastAsia" w:hAnsiTheme="majorEastAsia" w:eastAsiaTheme="majorEastAsia" w:cstheme="majorEastAsia"/>
          <w:b/>
          <w:color w:val="auto"/>
          <w:sz w:val="24"/>
          <w:highlight w:val="none"/>
          <w:lang w:val="zh-CN"/>
        </w:rPr>
        <w:t xml:space="preserve">      乙方</w:t>
      </w:r>
      <w:r>
        <w:rPr>
          <w:rFonts w:hint="eastAsia" w:asciiTheme="majorEastAsia" w:hAnsiTheme="majorEastAsia" w:eastAsiaTheme="majorEastAsia" w:cstheme="majorEastAsia"/>
          <w:color w:val="auto"/>
          <w:sz w:val="24"/>
          <w:highlight w:val="none"/>
          <w:lang w:val="zh-CN"/>
        </w:rPr>
        <w:t>：</w:t>
      </w:r>
    </w:p>
    <w:p>
      <w:pPr>
        <w:autoSpaceDE w:val="0"/>
        <w:autoSpaceDN w:val="0"/>
        <w:spacing w:line="560" w:lineRule="exact"/>
        <w:rPr>
          <w:rFonts w:hint="eastAsia" w:asciiTheme="majorEastAsia" w:hAnsiTheme="majorEastAsia" w:eastAsiaTheme="majorEastAsia" w:cstheme="majorEastAsia"/>
          <w:color w:val="auto"/>
          <w:sz w:val="24"/>
          <w:highlight w:val="none"/>
          <w:lang w:val="zh-CN"/>
        </w:rPr>
      </w:pPr>
      <w:r>
        <w:rPr>
          <w:rFonts w:hint="eastAsia" w:asciiTheme="majorEastAsia" w:hAnsiTheme="majorEastAsia" w:eastAsiaTheme="majorEastAsia" w:cstheme="majorEastAsia"/>
          <w:color w:val="auto"/>
          <w:sz w:val="24"/>
          <w:highlight w:val="none"/>
          <w:lang w:val="zh-CN"/>
        </w:rPr>
        <w:t>统一社会信用代码：统一社会信用代码或身份证号码：</w:t>
      </w:r>
    </w:p>
    <w:p>
      <w:pPr>
        <w:autoSpaceDE w:val="0"/>
        <w:autoSpaceDN w:val="0"/>
        <w:spacing w:line="560" w:lineRule="exact"/>
        <w:rPr>
          <w:rFonts w:hint="eastAsia" w:asciiTheme="majorEastAsia" w:hAnsiTheme="majorEastAsia" w:eastAsiaTheme="majorEastAsia" w:cstheme="majorEastAsia"/>
          <w:color w:val="auto"/>
          <w:sz w:val="24"/>
          <w:highlight w:val="none"/>
          <w:lang w:val="zh-CN"/>
        </w:rPr>
      </w:pPr>
    </w:p>
    <w:p>
      <w:pPr>
        <w:autoSpaceDE w:val="0"/>
        <w:autoSpaceDN w:val="0"/>
        <w:spacing w:line="560" w:lineRule="exact"/>
        <w:rPr>
          <w:rFonts w:hint="eastAsia" w:asciiTheme="majorEastAsia" w:hAnsiTheme="majorEastAsia" w:eastAsiaTheme="majorEastAsia" w:cstheme="majorEastAsia"/>
          <w:color w:val="auto"/>
          <w:sz w:val="24"/>
          <w:highlight w:val="none"/>
          <w:lang w:val="zh-CN"/>
        </w:rPr>
      </w:pPr>
      <w:r>
        <w:rPr>
          <w:rFonts w:hint="eastAsia" w:asciiTheme="majorEastAsia" w:hAnsiTheme="majorEastAsia" w:eastAsiaTheme="majorEastAsia" w:cstheme="majorEastAsia"/>
          <w:color w:val="auto"/>
          <w:sz w:val="24"/>
          <w:highlight w:val="none"/>
          <w:lang w:val="zh-CN"/>
        </w:rPr>
        <w:t>住所：住所：</w:t>
      </w:r>
    </w:p>
    <w:p>
      <w:pPr>
        <w:autoSpaceDE w:val="0"/>
        <w:autoSpaceDN w:val="0"/>
        <w:spacing w:line="560" w:lineRule="exact"/>
        <w:rPr>
          <w:rFonts w:hint="eastAsia" w:asciiTheme="majorEastAsia" w:hAnsiTheme="majorEastAsia" w:eastAsiaTheme="majorEastAsia" w:cstheme="majorEastAsia"/>
          <w:color w:val="auto"/>
          <w:sz w:val="24"/>
          <w:highlight w:val="none"/>
          <w:lang w:val="zh-CN"/>
        </w:rPr>
      </w:pPr>
      <w:r>
        <w:rPr>
          <w:rFonts w:hint="eastAsia" w:asciiTheme="majorEastAsia" w:hAnsiTheme="majorEastAsia" w:eastAsiaTheme="majorEastAsia" w:cstheme="majorEastAsia"/>
          <w:color w:val="auto"/>
          <w:sz w:val="24"/>
          <w:highlight w:val="none"/>
          <w:lang w:val="zh-CN"/>
        </w:rPr>
        <w:t>法定代表人或法定代表人或</w:t>
      </w:r>
    </w:p>
    <w:p>
      <w:pPr>
        <w:autoSpaceDE w:val="0"/>
        <w:autoSpaceDN w:val="0"/>
        <w:spacing w:line="560" w:lineRule="exact"/>
        <w:rPr>
          <w:rFonts w:hint="eastAsia" w:asciiTheme="majorEastAsia" w:hAnsiTheme="majorEastAsia" w:eastAsiaTheme="majorEastAsia" w:cstheme="majorEastAsia"/>
          <w:color w:val="auto"/>
          <w:sz w:val="24"/>
          <w:highlight w:val="none"/>
          <w:lang w:val="zh-CN"/>
        </w:rPr>
      </w:pPr>
      <w:r>
        <w:rPr>
          <w:rFonts w:hint="eastAsia" w:asciiTheme="majorEastAsia" w:hAnsiTheme="majorEastAsia" w:eastAsiaTheme="majorEastAsia" w:cstheme="majorEastAsia"/>
          <w:color w:val="auto"/>
          <w:sz w:val="24"/>
          <w:highlight w:val="none"/>
          <w:lang w:val="zh-CN"/>
        </w:rPr>
        <w:t xml:space="preserve">授权代表（签字）：                       授权代表（签字）: </w:t>
      </w:r>
    </w:p>
    <w:p>
      <w:pPr>
        <w:autoSpaceDE w:val="0"/>
        <w:autoSpaceDN w:val="0"/>
        <w:spacing w:line="560" w:lineRule="exact"/>
        <w:rPr>
          <w:rFonts w:hint="eastAsia" w:asciiTheme="majorEastAsia" w:hAnsiTheme="majorEastAsia" w:eastAsiaTheme="majorEastAsia" w:cstheme="majorEastAsia"/>
          <w:color w:val="auto"/>
          <w:sz w:val="24"/>
          <w:highlight w:val="none"/>
          <w:lang w:val="zh-CN"/>
        </w:rPr>
      </w:pPr>
      <w:r>
        <w:rPr>
          <w:rFonts w:hint="eastAsia" w:asciiTheme="majorEastAsia" w:hAnsiTheme="majorEastAsia" w:eastAsiaTheme="majorEastAsia" w:cstheme="majorEastAsia"/>
          <w:color w:val="auto"/>
          <w:sz w:val="24"/>
          <w:highlight w:val="none"/>
          <w:lang w:val="zh-CN"/>
        </w:rPr>
        <w:t>联系人：联系人：</w:t>
      </w:r>
    </w:p>
    <w:p>
      <w:pPr>
        <w:autoSpaceDE w:val="0"/>
        <w:autoSpaceDN w:val="0"/>
        <w:spacing w:line="560" w:lineRule="exact"/>
        <w:rPr>
          <w:rFonts w:hint="eastAsia" w:asciiTheme="majorEastAsia" w:hAnsiTheme="majorEastAsia" w:eastAsiaTheme="majorEastAsia" w:cstheme="majorEastAsia"/>
          <w:color w:val="auto"/>
          <w:sz w:val="24"/>
          <w:highlight w:val="none"/>
          <w:lang w:val="zh-CN"/>
        </w:rPr>
      </w:pPr>
      <w:r>
        <w:rPr>
          <w:rFonts w:hint="eastAsia" w:asciiTheme="majorEastAsia" w:hAnsiTheme="majorEastAsia" w:eastAsiaTheme="majorEastAsia" w:cstheme="majorEastAsia"/>
          <w:color w:val="auto"/>
          <w:sz w:val="24"/>
          <w:highlight w:val="none"/>
          <w:lang w:val="zh-CN"/>
        </w:rPr>
        <w:t>约定送达地址：约定送达地址：</w:t>
      </w:r>
    </w:p>
    <w:p>
      <w:pPr>
        <w:autoSpaceDE w:val="0"/>
        <w:autoSpaceDN w:val="0"/>
        <w:spacing w:line="560" w:lineRule="exact"/>
        <w:rPr>
          <w:rFonts w:hint="eastAsia" w:asciiTheme="majorEastAsia" w:hAnsiTheme="majorEastAsia" w:eastAsiaTheme="majorEastAsia" w:cstheme="majorEastAsia"/>
          <w:color w:val="auto"/>
          <w:sz w:val="24"/>
          <w:highlight w:val="none"/>
          <w:lang w:val="zh-CN"/>
        </w:rPr>
      </w:pPr>
      <w:r>
        <w:rPr>
          <w:rFonts w:hint="eastAsia" w:asciiTheme="majorEastAsia" w:hAnsiTheme="majorEastAsia" w:eastAsiaTheme="majorEastAsia" w:cstheme="majorEastAsia"/>
          <w:color w:val="auto"/>
          <w:sz w:val="24"/>
          <w:highlight w:val="none"/>
          <w:lang w:val="zh-CN"/>
        </w:rPr>
        <w:t>邮政编码：邮政编码：</w:t>
      </w:r>
    </w:p>
    <w:p>
      <w:pPr>
        <w:autoSpaceDE w:val="0"/>
        <w:autoSpaceDN w:val="0"/>
        <w:spacing w:line="560" w:lineRule="exact"/>
        <w:rPr>
          <w:rFonts w:hint="eastAsia" w:asciiTheme="majorEastAsia" w:hAnsiTheme="majorEastAsia" w:eastAsiaTheme="majorEastAsia" w:cstheme="majorEastAsia"/>
          <w:color w:val="auto"/>
          <w:sz w:val="24"/>
          <w:highlight w:val="none"/>
          <w:lang w:val="zh-CN"/>
        </w:rPr>
      </w:pPr>
      <w:r>
        <w:rPr>
          <w:rFonts w:hint="eastAsia" w:asciiTheme="majorEastAsia" w:hAnsiTheme="majorEastAsia" w:eastAsiaTheme="majorEastAsia" w:cstheme="majorEastAsia"/>
          <w:color w:val="auto"/>
          <w:sz w:val="24"/>
          <w:highlight w:val="none"/>
          <w:lang w:val="zh-CN"/>
        </w:rPr>
        <w:t xml:space="preserve">电话:                                    电话: </w:t>
      </w:r>
    </w:p>
    <w:p>
      <w:pPr>
        <w:autoSpaceDE w:val="0"/>
        <w:autoSpaceDN w:val="0"/>
        <w:spacing w:line="560" w:lineRule="exact"/>
        <w:rPr>
          <w:rFonts w:hint="eastAsia" w:asciiTheme="majorEastAsia" w:hAnsiTheme="majorEastAsia" w:eastAsiaTheme="majorEastAsia" w:cstheme="majorEastAsia"/>
          <w:color w:val="auto"/>
          <w:sz w:val="24"/>
          <w:highlight w:val="none"/>
          <w:lang w:val="zh-CN"/>
        </w:rPr>
      </w:pPr>
      <w:r>
        <w:rPr>
          <w:rFonts w:hint="eastAsia" w:asciiTheme="majorEastAsia" w:hAnsiTheme="majorEastAsia" w:eastAsiaTheme="majorEastAsia" w:cstheme="majorEastAsia"/>
          <w:color w:val="auto"/>
          <w:sz w:val="24"/>
          <w:highlight w:val="none"/>
          <w:lang w:val="zh-CN"/>
        </w:rPr>
        <w:t>传真:                                    传真:</w:t>
      </w:r>
    </w:p>
    <w:p>
      <w:pPr>
        <w:autoSpaceDE w:val="0"/>
        <w:autoSpaceDN w:val="0"/>
        <w:spacing w:line="560" w:lineRule="exact"/>
        <w:rPr>
          <w:rFonts w:hint="eastAsia" w:asciiTheme="majorEastAsia" w:hAnsiTheme="majorEastAsia" w:eastAsiaTheme="majorEastAsia" w:cstheme="majorEastAsia"/>
          <w:color w:val="auto"/>
          <w:sz w:val="24"/>
          <w:highlight w:val="none"/>
        </w:rPr>
      </w:pPr>
      <w:r>
        <w:rPr>
          <w:rFonts w:hint="eastAsia" w:asciiTheme="majorEastAsia" w:hAnsiTheme="majorEastAsia" w:eastAsiaTheme="majorEastAsia" w:cstheme="majorEastAsia"/>
          <w:color w:val="auto"/>
          <w:sz w:val="24"/>
          <w:highlight w:val="none"/>
          <w:lang w:val="zh-CN"/>
        </w:rPr>
        <w:t>电子邮箱：电子邮箱：</w:t>
      </w:r>
    </w:p>
    <w:p>
      <w:pPr>
        <w:autoSpaceDE w:val="0"/>
        <w:autoSpaceDN w:val="0"/>
        <w:spacing w:line="560" w:lineRule="exact"/>
        <w:rPr>
          <w:rFonts w:hint="eastAsia" w:asciiTheme="majorEastAsia" w:hAnsiTheme="majorEastAsia" w:eastAsiaTheme="majorEastAsia" w:cstheme="majorEastAsia"/>
          <w:color w:val="auto"/>
          <w:sz w:val="24"/>
          <w:highlight w:val="none"/>
        </w:rPr>
      </w:pPr>
      <w:r>
        <w:rPr>
          <w:rFonts w:hint="eastAsia" w:asciiTheme="majorEastAsia" w:hAnsiTheme="majorEastAsia" w:eastAsiaTheme="majorEastAsia" w:cstheme="majorEastAsia"/>
          <w:color w:val="auto"/>
          <w:sz w:val="24"/>
          <w:highlight w:val="none"/>
        </w:rPr>
        <w:t xml:space="preserve">开户银行：                               开户银行： </w:t>
      </w:r>
    </w:p>
    <w:p>
      <w:pPr>
        <w:autoSpaceDE w:val="0"/>
        <w:autoSpaceDN w:val="0"/>
        <w:spacing w:line="560" w:lineRule="exact"/>
        <w:rPr>
          <w:rFonts w:hint="eastAsia" w:asciiTheme="majorEastAsia" w:hAnsiTheme="majorEastAsia" w:eastAsiaTheme="majorEastAsia" w:cstheme="majorEastAsia"/>
          <w:color w:val="auto"/>
          <w:sz w:val="24"/>
          <w:highlight w:val="none"/>
        </w:rPr>
      </w:pPr>
      <w:r>
        <w:rPr>
          <w:rFonts w:hint="eastAsia" w:asciiTheme="majorEastAsia" w:hAnsiTheme="majorEastAsia" w:eastAsiaTheme="majorEastAsia" w:cstheme="majorEastAsia"/>
          <w:color w:val="auto"/>
          <w:sz w:val="24"/>
          <w:highlight w:val="none"/>
        </w:rPr>
        <w:t xml:space="preserve">开户名称：                               开户名称： </w:t>
      </w:r>
    </w:p>
    <w:p>
      <w:pPr>
        <w:autoSpaceDE w:val="0"/>
        <w:autoSpaceDN w:val="0"/>
        <w:spacing w:line="560" w:lineRule="exact"/>
        <w:rPr>
          <w:rFonts w:hint="eastAsia" w:asciiTheme="majorEastAsia" w:hAnsiTheme="majorEastAsia" w:eastAsiaTheme="majorEastAsia" w:cstheme="majorEastAsia"/>
          <w:color w:val="auto"/>
          <w:sz w:val="24"/>
          <w:highlight w:val="none"/>
        </w:rPr>
      </w:pPr>
      <w:r>
        <w:rPr>
          <w:rFonts w:hint="eastAsia" w:asciiTheme="majorEastAsia" w:hAnsiTheme="majorEastAsia" w:eastAsiaTheme="majorEastAsia" w:cstheme="majorEastAsia"/>
          <w:color w:val="auto"/>
          <w:sz w:val="24"/>
          <w:highlight w:val="none"/>
        </w:rPr>
        <w:t>开户账号：开户账号：</w:t>
      </w:r>
    </w:p>
    <w:p>
      <w:pPr>
        <w:widowControl/>
        <w:spacing w:line="560" w:lineRule="exact"/>
        <w:jc w:val="left"/>
        <w:rPr>
          <w:rFonts w:hint="eastAsia" w:asciiTheme="majorEastAsia" w:hAnsiTheme="majorEastAsia" w:eastAsiaTheme="majorEastAsia" w:cstheme="majorEastAsia"/>
          <w:b/>
          <w:color w:val="auto"/>
          <w:sz w:val="24"/>
          <w:highlight w:val="none"/>
        </w:rPr>
      </w:pPr>
    </w:p>
    <w:p>
      <w:pPr>
        <w:widowControl/>
        <w:adjustRightInd/>
        <w:jc w:val="left"/>
        <w:rPr>
          <w:rFonts w:hint="eastAsia" w:asciiTheme="majorEastAsia" w:hAnsiTheme="majorEastAsia" w:eastAsiaTheme="majorEastAsia" w:cstheme="majorEastAsia"/>
          <w:b/>
          <w:color w:val="auto"/>
          <w:sz w:val="24"/>
          <w:highlight w:val="none"/>
        </w:rPr>
      </w:pPr>
      <w:r>
        <w:rPr>
          <w:rFonts w:hint="eastAsia" w:asciiTheme="majorEastAsia" w:hAnsiTheme="majorEastAsia" w:eastAsiaTheme="majorEastAsia" w:cstheme="majorEastAsia"/>
          <w:b/>
          <w:color w:val="auto"/>
          <w:highlight w:val="none"/>
        </w:rPr>
        <w:br w:type="page"/>
      </w:r>
    </w:p>
    <w:p>
      <w:pPr>
        <w:pStyle w:val="74"/>
        <w:spacing w:line="560" w:lineRule="exact"/>
        <w:ind w:firstLine="482"/>
        <w:jc w:val="center"/>
        <w:rPr>
          <w:rFonts w:hint="eastAsia" w:asciiTheme="majorEastAsia" w:hAnsiTheme="majorEastAsia" w:eastAsiaTheme="majorEastAsia" w:cstheme="majorEastAsia"/>
          <w:b/>
          <w:color w:val="auto"/>
          <w:szCs w:val="24"/>
          <w:highlight w:val="none"/>
        </w:rPr>
      </w:pPr>
      <w:r>
        <w:rPr>
          <w:rFonts w:hint="eastAsia" w:asciiTheme="majorEastAsia" w:hAnsiTheme="majorEastAsia" w:eastAsiaTheme="majorEastAsia" w:cstheme="majorEastAsia"/>
          <w:b/>
          <w:color w:val="auto"/>
          <w:szCs w:val="24"/>
          <w:highlight w:val="none"/>
        </w:rPr>
        <w:t>第二部分合同一般条款</w:t>
      </w:r>
    </w:p>
    <w:p>
      <w:pPr>
        <w:spacing w:line="560" w:lineRule="exact"/>
        <w:ind w:firstLine="482" w:firstLineChars="200"/>
        <w:outlineLvl w:val="0"/>
        <w:rPr>
          <w:rFonts w:hint="eastAsia" w:asciiTheme="majorEastAsia" w:hAnsiTheme="majorEastAsia" w:eastAsiaTheme="majorEastAsia" w:cstheme="majorEastAsia"/>
          <w:b/>
          <w:color w:val="auto"/>
          <w:sz w:val="24"/>
          <w:highlight w:val="none"/>
        </w:rPr>
      </w:pPr>
      <w:bookmarkStart w:id="411" w:name="_Toc19680"/>
      <w:bookmarkStart w:id="412" w:name="_Toc31297"/>
      <w:bookmarkStart w:id="413" w:name="_Toc5228"/>
      <w:bookmarkStart w:id="414" w:name="_Toc14021"/>
      <w:bookmarkStart w:id="415" w:name="_Toc25079"/>
      <w:r>
        <w:rPr>
          <w:rFonts w:hint="eastAsia" w:asciiTheme="majorEastAsia" w:hAnsiTheme="majorEastAsia" w:eastAsiaTheme="majorEastAsia" w:cstheme="majorEastAsia"/>
          <w:b/>
          <w:color w:val="auto"/>
          <w:sz w:val="24"/>
          <w:highlight w:val="none"/>
        </w:rPr>
        <w:t>2.1 定义</w:t>
      </w:r>
      <w:bookmarkEnd w:id="411"/>
      <w:bookmarkEnd w:id="412"/>
      <w:bookmarkEnd w:id="413"/>
      <w:bookmarkEnd w:id="414"/>
      <w:bookmarkEnd w:id="415"/>
    </w:p>
    <w:p>
      <w:pPr>
        <w:spacing w:line="560" w:lineRule="exact"/>
        <w:ind w:firstLine="480" w:firstLineChars="200"/>
        <w:rPr>
          <w:rFonts w:hint="eastAsia" w:asciiTheme="majorEastAsia" w:hAnsiTheme="majorEastAsia" w:eastAsiaTheme="majorEastAsia" w:cstheme="majorEastAsia"/>
          <w:color w:val="auto"/>
          <w:sz w:val="24"/>
          <w:highlight w:val="none"/>
        </w:rPr>
      </w:pPr>
      <w:r>
        <w:rPr>
          <w:rFonts w:hint="eastAsia" w:asciiTheme="majorEastAsia" w:hAnsiTheme="majorEastAsia" w:eastAsiaTheme="majorEastAsia" w:cstheme="majorEastAsia"/>
          <w:color w:val="auto"/>
          <w:sz w:val="24"/>
          <w:highlight w:val="none"/>
        </w:rPr>
        <w:t>本合同中的下列词语应按以下内容进行解释：</w:t>
      </w:r>
    </w:p>
    <w:p>
      <w:pPr>
        <w:spacing w:line="560" w:lineRule="exact"/>
        <w:ind w:firstLine="480" w:firstLineChars="200"/>
        <w:rPr>
          <w:rFonts w:hint="eastAsia" w:asciiTheme="majorEastAsia" w:hAnsiTheme="majorEastAsia" w:eastAsiaTheme="majorEastAsia" w:cstheme="majorEastAsia"/>
          <w:color w:val="auto"/>
          <w:sz w:val="24"/>
          <w:highlight w:val="none"/>
        </w:rPr>
      </w:pPr>
      <w:r>
        <w:rPr>
          <w:rFonts w:hint="eastAsia" w:asciiTheme="majorEastAsia" w:hAnsiTheme="majorEastAsia" w:eastAsiaTheme="majorEastAsia" w:cstheme="majorEastAsia"/>
          <w:color w:val="auto"/>
          <w:sz w:val="24"/>
          <w:highlight w:val="none"/>
        </w:rPr>
        <w:t>2.1.1 “合同”系指采购人和中标或成交供应商签订的载明双方当事人所达成的协议，并包括所有的附件、附录和构成合同的其他文件。</w:t>
      </w:r>
    </w:p>
    <w:p>
      <w:pPr>
        <w:spacing w:line="560" w:lineRule="exact"/>
        <w:ind w:firstLine="480" w:firstLineChars="200"/>
        <w:rPr>
          <w:rFonts w:hint="eastAsia" w:asciiTheme="majorEastAsia" w:hAnsiTheme="majorEastAsia" w:eastAsiaTheme="majorEastAsia" w:cstheme="majorEastAsia"/>
          <w:color w:val="auto"/>
          <w:sz w:val="24"/>
          <w:highlight w:val="none"/>
        </w:rPr>
      </w:pPr>
      <w:r>
        <w:rPr>
          <w:rFonts w:hint="eastAsia" w:asciiTheme="majorEastAsia" w:hAnsiTheme="majorEastAsia" w:eastAsiaTheme="majorEastAsia" w:cstheme="majorEastAsia"/>
          <w:color w:val="auto"/>
          <w:sz w:val="24"/>
          <w:highlight w:val="none"/>
        </w:rPr>
        <w:t>2.1.2 “合同价”系指根据合同约定，中标或成交供应商在完全履行合同义务后，采购人应支付给中标或成交供应商的价格。</w:t>
      </w:r>
    </w:p>
    <w:p>
      <w:pPr>
        <w:spacing w:line="560" w:lineRule="exact"/>
        <w:ind w:firstLine="480" w:firstLineChars="200"/>
        <w:rPr>
          <w:rFonts w:hint="eastAsia" w:asciiTheme="majorEastAsia" w:hAnsiTheme="majorEastAsia" w:eastAsiaTheme="majorEastAsia" w:cstheme="majorEastAsia"/>
          <w:color w:val="auto"/>
          <w:sz w:val="24"/>
          <w:highlight w:val="none"/>
        </w:rPr>
      </w:pPr>
      <w:r>
        <w:rPr>
          <w:rFonts w:hint="eastAsia" w:asciiTheme="majorEastAsia" w:hAnsiTheme="majorEastAsia" w:eastAsiaTheme="majorEastAsia" w:cstheme="majorEastAsia"/>
          <w:color w:val="auto"/>
          <w:sz w:val="24"/>
          <w:highlight w:val="none"/>
        </w:rPr>
        <w:t>2.1.3 “服务”系指中标或成交供应商根据合同约定应向采购人履行的除货物和工程以外的其他政府采购对象，包括采购人自身需要的服务和向社会公众提供的公共服务。</w:t>
      </w:r>
    </w:p>
    <w:p>
      <w:pPr>
        <w:spacing w:line="560" w:lineRule="exact"/>
        <w:ind w:firstLine="480" w:firstLineChars="200"/>
        <w:rPr>
          <w:rFonts w:hint="eastAsia" w:asciiTheme="majorEastAsia" w:hAnsiTheme="majorEastAsia" w:eastAsiaTheme="majorEastAsia" w:cstheme="majorEastAsia"/>
          <w:color w:val="auto"/>
          <w:sz w:val="24"/>
          <w:highlight w:val="none"/>
        </w:rPr>
      </w:pPr>
      <w:r>
        <w:rPr>
          <w:rFonts w:hint="eastAsia" w:asciiTheme="majorEastAsia" w:hAnsiTheme="majorEastAsia" w:eastAsiaTheme="majorEastAsia" w:cstheme="majorEastAsia"/>
          <w:color w:val="auto"/>
          <w:sz w:val="24"/>
          <w:highlight w:val="none"/>
        </w:rPr>
        <w:t>2.1.4 “甲方”系指与中标或成交供应商签署合同的采购人；采购人委托采购代理机构代表其与乙方签订合同的，采购人的授权委托书作为合同附件。</w:t>
      </w:r>
    </w:p>
    <w:p>
      <w:pPr>
        <w:spacing w:line="560" w:lineRule="exact"/>
        <w:ind w:firstLine="480" w:firstLineChars="200"/>
        <w:rPr>
          <w:rFonts w:hint="eastAsia" w:asciiTheme="majorEastAsia" w:hAnsiTheme="majorEastAsia" w:eastAsiaTheme="majorEastAsia" w:cstheme="majorEastAsia"/>
          <w:color w:val="auto"/>
          <w:sz w:val="24"/>
          <w:highlight w:val="none"/>
        </w:rPr>
      </w:pPr>
      <w:r>
        <w:rPr>
          <w:rFonts w:hint="eastAsia" w:asciiTheme="majorEastAsia" w:hAnsiTheme="majorEastAsia" w:eastAsiaTheme="majorEastAsia" w:cstheme="majorEastAsia"/>
          <w:color w:val="auto"/>
          <w:sz w:val="24"/>
          <w:highlight w:val="none"/>
        </w:rPr>
        <w:t>2.1.5 “乙方”系指根据合同约定提供服务的中标或成交供应商；两个以上的自然人、法人或者其他组织组成一个联合体，以一个供应商的身份共同参加政府采购的，联合体各方均应为乙方或者与乙方相同地位的合同当事人，并就合同约定的事项对甲方承担连带责任。</w:t>
      </w:r>
    </w:p>
    <w:p>
      <w:pPr>
        <w:spacing w:line="560" w:lineRule="exact"/>
        <w:ind w:firstLine="480" w:firstLineChars="200"/>
        <w:rPr>
          <w:rFonts w:hint="eastAsia" w:asciiTheme="majorEastAsia" w:hAnsiTheme="majorEastAsia" w:eastAsiaTheme="majorEastAsia" w:cstheme="majorEastAsia"/>
          <w:color w:val="auto"/>
          <w:sz w:val="24"/>
          <w:highlight w:val="none"/>
        </w:rPr>
      </w:pPr>
      <w:r>
        <w:rPr>
          <w:rFonts w:hint="eastAsia" w:asciiTheme="majorEastAsia" w:hAnsiTheme="majorEastAsia" w:eastAsiaTheme="majorEastAsia" w:cstheme="majorEastAsia"/>
          <w:color w:val="auto"/>
          <w:sz w:val="24"/>
          <w:highlight w:val="none"/>
        </w:rPr>
        <w:t>2.1.6 “现场”系指合同约定提供服务的地点。</w:t>
      </w:r>
    </w:p>
    <w:p>
      <w:pPr>
        <w:spacing w:line="560" w:lineRule="exact"/>
        <w:ind w:firstLine="482" w:firstLineChars="200"/>
        <w:outlineLvl w:val="0"/>
        <w:rPr>
          <w:rFonts w:hint="eastAsia" w:asciiTheme="majorEastAsia" w:hAnsiTheme="majorEastAsia" w:eastAsiaTheme="majorEastAsia" w:cstheme="majorEastAsia"/>
          <w:b/>
          <w:color w:val="auto"/>
          <w:sz w:val="24"/>
          <w:highlight w:val="none"/>
        </w:rPr>
      </w:pPr>
      <w:bookmarkStart w:id="416" w:name="_Toc31402"/>
      <w:bookmarkStart w:id="417" w:name="_Toc3769"/>
      <w:bookmarkStart w:id="418" w:name="_Toc23289"/>
      <w:bookmarkStart w:id="419" w:name="_Toc16752"/>
      <w:bookmarkStart w:id="420" w:name="_Toc19539"/>
      <w:r>
        <w:rPr>
          <w:rFonts w:hint="eastAsia" w:asciiTheme="majorEastAsia" w:hAnsiTheme="majorEastAsia" w:eastAsiaTheme="majorEastAsia" w:cstheme="majorEastAsia"/>
          <w:b/>
          <w:color w:val="auto"/>
          <w:sz w:val="24"/>
          <w:highlight w:val="none"/>
        </w:rPr>
        <w:t>2.2 技术规范</w:t>
      </w:r>
      <w:bookmarkEnd w:id="416"/>
      <w:bookmarkEnd w:id="417"/>
      <w:bookmarkEnd w:id="418"/>
      <w:bookmarkEnd w:id="419"/>
      <w:bookmarkEnd w:id="420"/>
    </w:p>
    <w:p>
      <w:pPr>
        <w:spacing w:line="560" w:lineRule="exact"/>
        <w:ind w:firstLine="480" w:firstLineChars="200"/>
        <w:rPr>
          <w:rFonts w:hint="eastAsia" w:asciiTheme="majorEastAsia" w:hAnsiTheme="majorEastAsia" w:eastAsiaTheme="majorEastAsia" w:cstheme="majorEastAsia"/>
          <w:color w:val="auto"/>
          <w:sz w:val="24"/>
          <w:highlight w:val="none"/>
        </w:rPr>
      </w:pPr>
      <w:r>
        <w:rPr>
          <w:rFonts w:hint="eastAsia" w:asciiTheme="majorEastAsia" w:hAnsiTheme="majorEastAsia" w:eastAsiaTheme="majorEastAsia" w:cstheme="majorEastAsia"/>
          <w:color w:val="auto"/>
          <w:sz w:val="24"/>
          <w:highlight w:val="none"/>
        </w:rPr>
        <w:t>服务所应遵守的技术规范应与采购文件规定的技术规范和技术规范附件(如果有的话)及其技术规范偏差表(如果被甲方接受的话)相一致；如果采购文件中没有技术规范的相应说明，那么应以国家有关部门最新颁布的相应标准和规范为准。</w:t>
      </w:r>
    </w:p>
    <w:p>
      <w:pPr>
        <w:spacing w:line="560" w:lineRule="exact"/>
        <w:ind w:firstLine="482" w:firstLineChars="200"/>
        <w:outlineLvl w:val="0"/>
        <w:rPr>
          <w:rFonts w:hint="eastAsia" w:asciiTheme="majorEastAsia" w:hAnsiTheme="majorEastAsia" w:eastAsiaTheme="majorEastAsia" w:cstheme="majorEastAsia"/>
          <w:b/>
          <w:color w:val="auto"/>
          <w:sz w:val="24"/>
          <w:highlight w:val="none"/>
        </w:rPr>
      </w:pPr>
      <w:bookmarkStart w:id="421" w:name="_Toc13673"/>
      <w:bookmarkStart w:id="422" w:name="_Toc12412"/>
      <w:bookmarkStart w:id="423" w:name="_Toc27945"/>
      <w:bookmarkStart w:id="424" w:name="_Toc9161"/>
      <w:bookmarkStart w:id="425" w:name="_Toc4133"/>
      <w:r>
        <w:rPr>
          <w:rFonts w:hint="eastAsia" w:asciiTheme="majorEastAsia" w:hAnsiTheme="majorEastAsia" w:eastAsiaTheme="majorEastAsia" w:cstheme="majorEastAsia"/>
          <w:b/>
          <w:color w:val="auto"/>
          <w:sz w:val="24"/>
          <w:highlight w:val="none"/>
        </w:rPr>
        <w:t>2.3 知识产权</w:t>
      </w:r>
      <w:bookmarkEnd w:id="421"/>
      <w:bookmarkEnd w:id="422"/>
      <w:bookmarkEnd w:id="423"/>
      <w:bookmarkEnd w:id="424"/>
      <w:bookmarkEnd w:id="425"/>
    </w:p>
    <w:p>
      <w:pPr>
        <w:spacing w:line="560" w:lineRule="exact"/>
        <w:ind w:firstLine="480" w:firstLineChars="200"/>
        <w:rPr>
          <w:rFonts w:hint="eastAsia" w:asciiTheme="majorEastAsia" w:hAnsiTheme="majorEastAsia" w:eastAsiaTheme="majorEastAsia" w:cstheme="majorEastAsia"/>
          <w:color w:val="auto"/>
          <w:sz w:val="24"/>
          <w:highlight w:val="none"/>
        </w:rPr>
      </w:pPr>
      <w:r>
        <w:rPr>
          <w:rFonts w:hint="eastAsia" w:asciiTheme="majorEastAsia" w:hAnsiTheme="majorEastAsia" w:eastAsiaTheme="majorEastAsia" w:cstheme="majorEastAsia"/>
          <w:color w:val="auto"/>
          <w:sz w:val="24"/>
          <w:highlight w:val="none"/>
        </w:rPr>
        <w:t>2.3.1 乙方应保证其提供的服务不受任何第三方提出的侵犯其著作权、商标权、专利权等知识产权方面的起诉；如果任何第三方提出侵权指控，那么乙方须与该第三方交涉并承担由此发生的一切责任、费用和赔偿，乙方还应及时澄清相关信息，使甲方声誉免受损害，甲方保留追责的权利。</w:t>
      </w:r>
    </w:p>
    <w:p>
      <w:pPr>
        <w:spacing w:line="560" w:lineRule="exact"/>
        <w:ind w:firstLine="480" w:firstLineChars="200"/>
        <w:rPr>
          <w:rFonts w:hint="eastAsia" w:asciiTheme="majorEastAsia" w:hAnsiTheme="majorEastAsia" w:eastAsiaTheme="majorEastAsia" w:cstheme="majorEastAsia"/>
          <w:color w:val="auto"/>
          <w:sz w:val="24"/>
          <w:highlight w:val="none"/>
        </w:rPr>
      </w:pPr>
      <w:r>
        <w:rPr>
          <w:rFonts w:hint="eastAsia" w:asciiTheme="majorEastAsia" w:hAnsiTheme="majorEastAsia" w:eastAsiaTheme="majorEastAsia" w:cstheme="majorEastAsia"/>
          <w:color w:val="auto"/>
          <w:sz w:val="24"/>
          <w:highlight w:val="none"/>
        </w:rPr>
        <w:t>2.3.2 合同涉及技术成果的归属和收益的分成办法的，详见</w:t>
      </w:r>
      <w:r>
        <w:rPr>
          <w:rFonts w:hint="eastAsia" w:asciiTheme="majorEastAsia" w:hAnsiTheme="majorEastAsia" w:eastAsiaTheme="majorEastAsia" w:cstheme="majorEastAsia"/>
          <w:b/>
          <w:i/>
          <w:color w:val="auto"/>
          <w:sz w:val="24"/>
          <w:highlight w:val="none"/>
          <w:u w:val="single"/>
        </w:rPr>
        <w:t>合同专用条款</w:t>
      </w:r>
      <w:r>
        <w:rPr>
          <w:rFonts w:hint="eastAsia" w:asciiTheme="majorEastAsia" w:hAnsiTheme="majorEastAsia" w:eastAsiaTheme="majorEastAsia" w:cstheme="majorEastAsia"/>
          <w:color w:val="auto"/>
          <w:sz w:val="24"/>
          <w:highlight w:val="none"/>
        </w:rPr>
        <w:t>。</w:t>
      </w:r>
    </w:p>
    <w:p>
      <w:pPr>
        <w:spacing w:line="560" w:lineRule="exact"/>
        <w:ind w:firstLine="482" w:firstLineChars="200"/>
        <w:rPr>
          <w:rFonts w:hint="eastAsia" w:asciiTheme="majorEastAsia" w:hAnsiTheme="majorEastAsia" w:eastAsiaTheme="majorEastAsia" w:cstheme="majorEastAsia"/>
          <w:b/>
          <w:color w:val="auto"/>
          <w:sz w:val="24"/>
          <w:highlight w:val="none"/>
        </w:rPr>
      </w:pPr>
      <w:r>
        <w:rPr>
          <w:rFonts w:hint="eastAsia" w:asciiTheme="majorEastAsia" w:hAnsiTheme="majorEastAsia" w:eastAsiaTheme="majorEastAsia" w:cstheme="majorEastAsia"/>
          <w:b/>
          <w:color w:val="auto"/>
          <w:sz w:val="24"/>
          <w:highlight w:val="none"/>
        </w:rPr>
        <w:t>2.4 履约检查和问题反馈</w:t>
      </w:r>
    </w:p>
    <w:p>
      <w:pPr>
        <w:spacing w:line="560" w:lineRule="exact"/>
        <w:ind w:firstLine="480" w:firstLineChars="200"/>
        <w:rPr>
          <w:rFonts w:hint="eastAsia" w:asciiTheme="majorEastAsia" w:hAnsiTheme="majorEastAsia" w:eastAsiaTheme="majorEastAsia" w:cstheme="majorEastAsia"/>
          <w:color w:val="auto"/>
          <w:sz w:val="24"/>
          <w:highlight w:val="none"/>
        </w:rPr>
      </w:pPr>
      <w:r>
        <w:rPr>
          <w:rFonts w:hint="eastAsia" w:asciiTheme="majorEastAsia" w:hAnsiTheme="majorEastAsia" w:eastAsiaTheme="majorEastAsia" w:cstheme="majorEastAsia"/>
          <w:color w:val="auto"/>
          <w:sz w:val="24"/>
          <w:highlight w:val="none"/>
        </w:rPr>
        <w:t>2.4.1甲方有权在其认为必要时，对乙方是否能够按照合同约定提供服务进行履约检查，以确保乙方所提供的服务能够依约满足甲方之项目需求，但不得因履约检查妨碍乙方的正常工作，乙方应予积极配合；</w:t>
      </w:r>
    </w:p>
    <w:p>
      <w:pPr>
        <w:spacing w:line="560" w:lineRule="exact"/>
        <w:ind w:firstLine="480" w:firstLineChars="200"/>
        <w:rPr>
          <w:rFonts w:hint="eastAsia" w:asciiTheme="majorEastAsia" w:hAnsiTheme="majorEastAsia" w:eastAsiaTheme="majorEastAsia" w:cstheme="majorEastAsia"/>
          <w:color w:val="auto"/>
          <w:sz w:val="24"/>
          <w:highlight w:val="none"/>
        </w:rPr>
      </w:pPr>
      <w:r>
        <w:rPr>
          <w:rFonts w:hint="eastAsia" w:asciiTheme="majorEastAsia" w:hAnsiTheme="majorEastAsia" w:eastAsiaTheme="majorEastAsia" w:cstheme="majorEastAsia"/>
          <w:color w:val="auto"/>
          <w:sz w:val="24"/>
          <w:highlight w:val="none"/>
        </w:rPr>
        <w:t>2.4.2 合同履行期间，甲方有权将履行过程中出现的问题反馈给乙方，双方当事人应以书面形式约定需要完善和改进的内容。</w:t>
      </w:r>
    </w:p>
    <w:p>
      <w:pPr>
        <w:spacing w:line="560" w:lineRule="exact"/>
        <w:ind w:firstLine="482" w:firstLineChars="200"/>
        <w:outlineLvl w:val="0"/>
        <w:rPr>
          <w:rFonts w:hint="eastAsia" w:asciiTheme="majorEastAsia" w:hAnsiTheme="majorEastAsia" w:eastAsiaTheme="majorEastAsia" w:cstheme="majorEastAsia"/>
          <w:b/>
          <w:color w:val="auto"/>
          <w:sz w:val="24"/>
          <w:highlight w:val="none"/>
        </w:rPr>
      </w:pPr>
      <w:bookmarkStart w:id="426" w:name="_Toc31233"/>
      <w:bookmarkStart w:id="427" w:name="_Toc15447"/>
      <w:bookmarkStart w:id="428" w:name="_Toc32670"/>
      <w:bookmarkStart w:id="429" w:name="_Toc22011"/>
      <w:bookmarkStart w:id="430" w:name="_Toc26555"/>
      <w:r>
        <w:rPr>
          <w:rFonts w:hint="eastAsia" w:asciiTheme="majorEastAsia" w:hAnsiTheme="majorEastAsia" w:eastAsiaTheme="majorEastAsia" w:cstheme="majorEastAsia"/>
          <w:b/>
          <w:color w:val="auto"/>
          <w:sz w:val="24"/>
          <w:highlight w:val="none"/>
        </w:rPr>
        <w:t>2.5 结算方式和付款条件</w:t>
      </w:r>
      <w:bookmarkEnd w:id="426"/>
      <w:bookmarkEnd w:id="427"/>
      <w:bookmarkEnd w:id="428"/>
      <w:bookmarkEnd w:id="429"/>
      <w:bookmarkEnd w:id="430"/>
    </w:p>
    <w:p>
      <w:pPr>
        <w:spacing w:line="560" w:lineRule="exact"/>
        <w:ind w:firstLine="480" w:firstLineChars="200"/>
        <w:rPr>
          <w:rFonts w:hint="eastAsia" w:asciiTheme="majorEastAsia" w:hAnsiTheme="majorEastAsia" w:eastAsiaTheme="majorEastAsia" w:cstheme="majorEastAsia"/>
          <w:color w:val="auto"/>
          <w:sz w:val="24"/>
          <w:highlight w:val="none"/>
        </w:rPr>
      </w:pPr>
      <w:r>
        <w:rPr>
          <w:rFonts w:hint="eastAsia" w:asciiTheme="majorEastAsia" w:hAnsiTheme="majorEastAsia" w:eastAsiaTheme="majorEastAsia" w:cstheme="majorEastAsia"/>
          <w:color w:val="auto"/>
          <w:sz w:val="24"/>
          <w:highlight w:val="none"/>
        </w:rPr>
        <w:t>详见</w:t>
      </w:r>
      <w:r>
        <w:rPr>
          <w:rFonts w:hint="eastAsia" w:asciiTheme="majorEastAsia" w:hAnsiTheme="majorEastAsia" w:eastAsiaTheme="majorEastAsia" w:cstheme="majorEastAsia"/>
          <w:b/>
          <w:i/>
          <w:color w:val="auto"/>
          <w:sz w:val="24"/>
          <w:highlight w:val="none"/>
          <w:u w:val="single"/>
        </w:rPr>
        <w:t>合同专用条款</w:t>
      </w:r>
      <w:r>
        <w:rPr>
          <w:rFonts w:hint="eastAsia" w:asciiTheme="majorEastAsia" w:hAnsiTheme="majorEastAsia" w:eastAsiaTheme="majorEastAsia" w:cstheme="majorEastAsia"/>
          <w:color w:val="auto"/>
          <w:sz w:val="24"/>
          <w:highlight w:val="none"/>
        </w:rPr>
        <w:t>。</w:t>
      </w:r>
    </w:p>
    <w:p>
      <w:pPr>
        <w:spacing w:line="560" w:lineRule="exact"/>
        <w:ind w:firstLine="482" w:firstLineChars="200"/>
        <w:outlineLvl w:val="0"/>
        <w:rPr>
          <w:rFonts w:hint="eastAsia" w:asciiTheme="majorEastAsia" w:hAnsiTheme="majorEastAsia" w:eastAsiaTheme="majorEastAsia" w:cstheme="majorEastAsia"/>
          <w:b/>
          <w:color w:val="auto"/>
          <w:sz w:val="24"/>
          <w:highlight w:val="none"/>
        </w:rPr>
      </w:pPr>
      <w:bookmarkStart w:id="431" w:name="_Toc16163"/>
      <w:bookmarkStart w:id="432" w:name="_Toc30507"/>
      <w:bookmarkStart w:id="433" w:name="_Toc18990"/>
      <w:bookmarkStart w:id="434" w:name="_Toc13467"/>
      <w:bookmarkStart w:id="435" w:name="_Toc13154"/>
      <w:r>
        <w:rPr>
          <w:rFonts w:hint="eastAsia" w:asciiTheme="majorEastAsia" w:hAnsiTheme="majorEastAsia" w:eastAsiaTheme="majorEastAsia" w:cstheme="majorEastAsia"/>
          <w:b/>
          <w:color w:val="auto"/>
          <w:sz w:val="24"/>
          <w:highlight w:val="none"/>
        </w:rPr>
        <w:t>2.6 技术资料和保密义务</w:t>
      </w:r>
      <w:bookmarkEnd w:id="431"/>
      <w:bookmarkEnd w:id="432"/>
      <w:bookmarkEnd w:id="433"/>
      <w:bookmarkEnd w:id="434"/>
      <w:bookmarkEnd w:id="435"/>
    </w:p>
    <w:p>
      <w:pPr>
        <w:spacing w:line="560" w:lineRule="exact"/>
        <w:ind w:firstLine="480" w:firstLineChars="200"/>
        <w:rPr>
          <w:rFonts w:hint="eastAsia" w:asciiTheme="majorEastAsia" w:hAnsiTheme="majorEastAsia" w:eastAsiaTheme="majorEastAsia" w:cstheme="majorEastAsia"/>
          <w:color w:val="auto"/>
          <w:sz w:val="24"/>
          <w:highlight w:val="none"/>
        </w:rPr>
      </w:pPr>
      <w:r>
        <w:rPr>
          <w:rFonts w:hint="eastAsia" w:asciiTheme="majorEastAsia" w:hAnsiTheme="majorEastAsia" w:eastAsiaTheme="majorEastAsia" w:cstheme="majorEastAsia"/>
          <w:color w:val="auto"/>
          <w:sz w:val="24"/>
          <w:highlight w:val="none"/>
        </w:rPr>
        <w:t>2.6.1 乙方有权依据合同约定和项目需要，向甲方了解有关情况，调阅有关资料等，甲方应予积极配合；</w:t>
      </w:r>
    </w:p>
    <w:p>
      <w:pPr>
        <w:spacing w:line="560" w:lineRule="exact"/>
        <w:ind w:firstLine="480" w:firstLineChars="200"/>
        <w:rPr>
          <w:rFonts w:hint="eastAsia" w:asciiTheme="majorEastAsia" w:hAnsiTheme="majorEastAsia" w:eastAsiaTheme="majorEastAsia" w:cstheme="majorEastAsia"/>
          <w:color w:val="auto"/>
          <w:sz w:val="24"/>
          <w:highlight w:val="none"/>
        </w:rPr>
      </w:pPr>
      <w:r>
        <w:rPr>
          <w:rFonts w:hint="eastAsia" w:asciiTheme="majorEastAsia" w:hAnsiTheme="majorEastAsia" w:eastAsiaTheme="majorEastAsia" w:cstheme="majorEastAsia"/>
          <w:color w:val="auto"/>
          <w:sz w:val="24"/>
          <w:highlight w:val="none"/>
        </w:rPr>
        <w:t>2.6.2 乙方有义务妥善保管和保护由甲方提供的前款信息和资料等；</w:t>
      </w:r>
    </w:p>
    <w:p>
      <w:pPr>
        <w:spacing w:line="560" w:lineRule="exact"/>
        <w:ind w:firstLine="480" w:firstLineChars="200"/>
        <w:rPr>
          <w:rFonts w:hint="eastAsia" w:asciiTheme="majorEastAsia" w:hAnsiTheme="majorEastAsia" w:eastAsiaTheme="majorEastAsia" w:cstheme="majorEastAsia"/>
          <w:color w:val="auto"/>
          <w:sz w:val="24"/>
          <w:highlight w:val="none"/>
        </w:rPr>
      </w:pPr>
      <w:r>
        <w:rPr>
          <w:rFonts w:hint="eastAsia" w:asciiTheme="majorEastAsia" w:hAnsiTheme="majorEastAsia" w:eastAsiaTheme="majorEastAsia" w:cstheme="majorEastAsia"/>
          <w:color w:val="auto"/>
          <w:sz w:val="24"/>
          <w:highlight w:val="none"/>
        </w:rPr>
        <w:t>2.6.3 除非依照法律规定或者对方当事人的书面同意，任何一方均应保证不向任何第三方提供或披露有关合同的或者履行合同过程中知悉的对方当事人任何未公开的信息和资料，包括但不限于技术情报、技术资料、商业秘密和商业信息等，并采取一切合理和必要措施和方式防止任何第三方接触到对方当事人的上述保密信息和资料。</w:t>
      </w:r>
    </w:p>
    <w:p>
      <w:pPr>
        <w:spacing w:line="560" w:lineRule="exact"/>
        <w:ind w:firstLine="482" w:firstLineChars="200"/>
        <w:outlineLvl w:val="0"/>
        <w:rPr>
          <w:rFonts w:hint="eastAsia" w:asciiTheme="majorEastAsia" w:hAnsiTheme="majorEastAsia" w:eastAsiaTheme="majorEastAsia" w:cstheme="majorEastAsia"/>
          <w:b/>
          <w:color w:val="auto"/>
          <w:sz w:val="24"/>
          <w:highlight w:val="none"/>
        </w:rPr>
      </w:pPr>
      <w:bookmarkStart w:id="436" w:name="_Toc19069"/>
      <w:r>
        <w:rPr>
          <w:rFonts w:hint="eastAsia" w:asciiTheme="majorEastAsia" w:hAnsiTheme="majorEastAsia" w:eastAsiaTheme="majorEastAsia" w:cstheme="majorEastAsia"/>
          <w:b/>
          <w:color w:val="auto"/>
          <w:sz w:val="24"/>
          <w:highlight w:val="none"/>
        </w:rPr>
        <w:t>2.7 质量保证</w:t>
      </w:r>
      <w:bookmarkEnd w:id="436"/>
    </w:p>
    <w:p>
      <w:pPr>
        <w:spacing w:line="560" w:lineRule="exact"/>
        <w:ind w:firstLine="480" w:firstLineChars="200"/>
        <w:rPr>
          <w:rFonts w:hint="eastAsia" w:asciiTheme="majorEastAsia" w:hAnsiTheme="majorEastAsia" w:eastAsiaTheme="majorEastAsia" w:cstheme="majorEastAsia"/>
          <w:color w:val="auto"/>
          <w:sz w:val="24"/>
          <w:highlight w:val="none"/>
        </w:rPr>
      </w:pPr>
      <w:r>
        <w:rPr>
          <w:rFonts w:hint="eastAsia" w:asciiTheme="majorEastAsia" w:hAnsiTheme="majorEastAsia" w:eastAsiaTheme="majorEastAsia" w:cstheme="majorEastAsia"/>
          <w:color w:val="auto"/>
          <w:sz w:val="24"/>
          <w:highlight w:val="none"/>
        </w:rPr>
        <w:t>2.7.1 乙方应建立和完善履行合同的内部质量保证体系，并提供相关内部规章制度给甲方，以便甲方进行监督检查；</w:t>
      </w:r>
    </w:p>
    <w:p>
      <w:pPr>
        <w:spacing w:line="560" w:lineRule="exact"/>
        <w:ind w:firstLine="480" w:firstLineChars="200"/>
        <w:rPr>
          <w:rFonts w:hint="eastAsia" w:asciiTheme="majorEastAsia" w:hAnsiTheme="majorEastAsia" w:eastAsiaTheme="majorEastAsia" w:cstheme="majorEastAsia"/>
          <w:color w:val="auto"/>
          <w:sz w:val="24"/>
          <w:highlight w:val="none"/>
        </w:rPr>
      </w:pPr>
      <w:r>
        <w:rPr>
          <w:rFonts w:hint="eastAsia" w:asciiTheme="majorEastAsia" w:hAnsiTheme="majorEastAsia" w:eastAsiaTheme="majorEastAsia" w:cstheme="majorEastAsia"/>
          <w:color w:val="auto"/>
          <w:sz w:val="24"/>
          <w:highlight w:val="none"/>
        </w:rPr>
        <w:t>2.7.2 乙方应保证履行合同的人员数量和素质、软件和硬件设备的配置、场地、环境和设施等满足全面履行合同的要求，并应接受甲方的监督检查。</w:t>
      </w:r>
    </w:p>
    <w:p>
      <w:pPr>
        <w:spacing w:line="560" w:lineRule="exact"/>
        <w:ind w:firstLine="482" w:firstLineChars="200"/>
        <w:outlineLvl w:val="0"/>
        <w:rPr>
          <w:rFonts w:hint="eastAsia" w:asciiTheme="majorEastAsia" w:hAnsiTheme="majorEastAsia" w:eastAsiaTheme="majorEastAsia" w:cstheme="majorEastAsia"/>
          <w:b/>
          <w:color w:val="auto"/>
          <w:sz w:val="24"/>
          <w:highlight w:val="none"/>
        </w:rPr>
      </w:pPr>
      <w:bookmarkStart w:id="437" w:name="_Toc22267"/>
      <w:r>
        <w:rPr>
          <w:rFonts w:hint="eastAsia" w:asciiTheme="majorEastAsia" w:hAnsiTheme="majorEastAsia" w:eastAsiaTheme="majorEastAsia" w:cstheme="majorEastAsia"/>
          <w:b/>
          <w:color w:val="auto"/>
          <w:sz w:val="24"/>
          <w:highlight w:val="none"/>
        </w:rPr>
        <w:t>2.8 延迟履行</w:t>
      </w:r>
      <w:bookmarkEnd w:id="437"/>
    </w:p>
    <w:p>
      <w:pPr>
        <w:spacing w:line="560" w:lineRule="exact"/>
        <w:ind w:firstLine="480" w:firstLineChars="200"/>
        <w:rPr>
          <w:rFonts w:hint="eastAsia" w:asciiTheme="majorEastAsia" w:hAnsiTheme="majorEastAsia" w:eastAsiaTheme="majorEastAsia" w:cstheme="majorEastAsia"/>
          <w:color w:val="auto"/>
          <w:sz w:val="24"/>
          <w:highlight w:val="none"/>
        </w:rPr>
      </w:pPr>
      <w:r>
        <w:rPr>
          <w:rFonts w:hint="eastAsia" w:asciiTheme="majorEastAsia" w:hAnsiTheme="majorEastAsia" w:eastAsiaTheme="majorEastAsia" w:cstheme="majorEastAsia"/>
          <w:color w:val="auto"/>
          <w:sz w:val="24"/>
          <w:highlight w:val="none"/>
        </w:rPr>
        <w:t>甲乙双方签订合同后，乙方应按照合同约定履行合同义务，除不可抗力外，乙方不得延迟履行。在合同履行过程中，如果因不可抗力，乙方遇到不能按时提供服务的情况，应及时以书面形式将不能按时提供服务的理由、预期延误时间通知甲方；甲方收到乙方通知后，认为其理由正当的，可以书面形式酌情同意乙方可以延长履行的具体时间。</w:t>
      </w:r>
    </w:p>
    <w:p>
      <w:pPr>
        <w:spacing w:line="560" w:lineRule="exact"/>
        <w:ind w:firstLine="482" w:firstLineChars="200"/>
        <w:outlineLvl w:val="0"/>
        <w:rPr>
          <w:rFonts w:hint="eastAsia" w:asciiTheme="majorEastAsia" w:hAnsiTheme="majorEastAsia" w:eastAsiaTheme="majorEastAsia" w:cstheme="majorEastAsia"/>
          <w:b/>
          <w:color w:val="auto"/>
          <w:sz w:val="24"/>
          <w:highlight w:val="none"/>
        </w:rPr>
      </w:pPr>
      <w:bookmarkStart w:id="438" w:name="_Toc10611"/>
      <w:r>
        <w:rPr>
          <w:rFonts w:hint="eastAsia" w:asciiTheme="majorEastAsia" w:hAnsiTheme="majorEastAsia" w:eastAsiaTheme="majorEastAsia" w:cstheme="majorEastAsia"/>
          <w:b/>
          <w:color w:val="auto"/>
          <w:sz w:val="24"/>
          <w:highlight w:val="none"/>
        </w:rPr>
        <w:t>2.9 合同变更</w:t>
      </w:r>
      <w:bookmarkEnd w:id="438"/>
    </w:p>
    <w:p>
      <w:pPr>
        <w:spacing w:line="560" w:lineRule="exact"/>
        <w:ind w:firstLine="480" w:firstLineChars="200"/>
        <w:rPr>
          <w:rFonts w:hint="eastAsia" w:asciiTheme="majorEastAsia" w:hAnsiTheme="majorEastAsia" w:eastAsiaTheme="majorEastAsia" w:cstheme="majorEastAsia"/>
          <w:color w:val="auto"/>
          <w:sz w:val="24"/>
          <w:highlight w:val="none"/>
        </w:rPr>
      </w:pPr>
      <w:r>
        <w:rPr>
          <w:rFonts w:hint="eastAsia" w:asciiTheme="majorEastAsia" w:hAnsiTheme="majorEastAsia" w:eastAsiaTheme="majorEastAsia" w:cstheme="majorEastAsia"/>
          <w:color w:val="auto"/>
          <w:sz w:val="24"/>
          <w:highlight w:val="none"/>
        </w:rPr>
        <w:t>合同继续履行将损害国家利益和社会公共利益的，双方当事人应当以书面形式变更合同。有过错的一方应当承担赔偿责任，双方当事人都有过错的，各自承担相应的责任。</w:t>
      </w:r>
    </w:p>
    <w:p>
      <w:pPr>
        <w:spacing w:line="560" w:lineRule="exact"/>
        <w:ind w:firstLine="482" w:firstLineChars="200"/>
        <w:outlineLvl w:val="0"/>
        <w:rPr>
          <w:rFonts w:hint="eastAsia" w:asciiTheme="majorEastAsia" w:hAnsiTheme="majorEastAsia" w:eastAsiaTheme="majorEastAsia" w:cstheme="majorEastAsia"/>
          <w:b/>
          <w:color w:val="auto"/>
          <w:sz w:val="24"/>
          <w:highlight w:val="none"/>
        </w:rPr>
      </w:pPr>
      <w:bookmarkStart w:id="439" w:name="_Toc42"/>
      <w:bookmarkStart w:id="440" w:name="_Toc10663"/>
      <w:bookmarkStart w:id="441" w:name="_Toc23368"/>
      <w:bookmarkStart w:id="442" w:name="_Toc21830"/>
      <w:bookmarkStart w:id="443" w:name="_Toc26689"/>
      <w:r>
        <w:rPr>
          <w:rFonts w:hint="eastAsia" w:asciiTheme="majorEastAsia" w:hAnsiTheme="majorEastAsia" w:eastAsiaTheme="majorEastAsia" w:cstheme="majorEastAsia"/>
          <w:b/>
          <w:color w:val="auto"/>
          <w:sz w:val="24"/>
          <w:highlight w:val="none"/>
        </w:rPr>
        <w:t>2.10 合同转让和分包</w:t>
      </w:r>
      <w:bookmarkEnd w:id="439"/>
      <w:bookmarkEnd w:id="440"/>
      <w:bookmarkEnd w:id="441"/>
      <w:bookmarkEnd w:id="442"/>
      <w:bookmarkEnd w:id="443"/>
    </w:p>
    <w:p>
      <w:pPr>
        <w:spacing w:line="560" w:lineRule="exact"/>
        <w:ind w:firstLine="480" w:firstLineChars="200"/>
        <w:rPr>
          <w:rFonts w:hint="eastAsia" w:asciiTheme="majorEastAsia" w:hAnsiTheme="majorEastAsia" w:eastAsiaTheme="majorEastAsia" w:cstheme="majorEastAsia"/>
          <w:color w:val="auto"/>
          <w:sz w:val="24"/>
          <w:highlight w:val="none"/>
        </w:rPr>
      </w:pPr>
      <w:r>
        <w:rPr>
          <w:rFonts w:hint="eastAsia" w:asciiTheme="majorEastAsia" w:hAnsiTheme="majorEastAsia" w:eastAsiaTheme="majorEastAsia" w:cstheme="majorEastAsia"/>
          <w:color w:val="auto"/>
          <w:sz w:val="24"/>
          <w:highlight w:val="none"/>
        </w:rPr>
        <w:t>合同的权利义务依法不得转让，但经甲方同意，乙方可以依法采取分包方式履行合同，即：依法可以将合同项下的部分非主体、非关键性工作分包给他人完成，接受分包的人应当具备相应的资格条件，并不得再次分包，且乙方应就分包项目向甲方负责，并与分包供应商就分包项目向甲方承担连带责任。</w:t>
      </w:r>
    </w:p>
    <w:p>
      <w:pPr>
        <w:spacing w:line="560" w:lineRule="exact"/>
        <w:ind w:firstLine="482" w:firstLineChars="200"/>
        <w:outlineLvl w:val="0"/>
        <w:rPr>
          <w:rFonts w:hint="eastAsia" w:asciiTheme="majorEastAsia" w:hAnsiTheme="majorEastAsia" w:eastAsiaTheme="majorEastAsia" w:cstheme="majorEastAsia"/>
          <w:b/>
          <w:color w:val="auto"/>
          <w:sz w:val="24"/>
          <w:highlight w:val="none"/>
        </w:rPr>
      </w:pPr>
      <w:bookmarkStart w:id="444" w:name="_Toc26633"/>
      <w:bookmarkStart w:id="445" w:name="_Toc32494"/>
      <w:bookmarkStart w:id="446" w:name="_Toc4720"/>
      <w:bookmarkStart w:id="447" w:name="_Toc25571"/>
      <w:bookmarkStart w:id="448" w:name="_Toc14371"/>
      <w:r>
        <w:rPr>
          <w:rFonts w:hint="eastAsia" w:asciiTheme="majorEastAsia" w:hAnsiTheme="majorEastAsia" w:eastAsiaTheme="majorEastAsia" w:cstheme="majorEastAsia"/>
          <w:b/>
          <w:color w:val="auto"/>
          <w:sz w:val="24"/>
          <w:highlight w:val="none"/>
        </w:rPr>
        <w:t>2.11 不可抗力</w:t>
      </w:r>
      <w:bookmarkEnd w:id="444"/>
      <w:bookmarkEnd w:id="445"/>
      <w:bookmarkEnd w:id="446"/>
      <w:bookmarkEnd w:id="447"/>
      <w:bookmarkEnd w:id="448"/>
    </w:p>
    <w:p>
      <w:pPr>
        <w:spacing w:line="560" w:lineRule="exact"/>
        <w:ind w:firstLine="480" w:firstLineChars="200"/>
        <w:rPr>
          <w:rFonts w:hint="eastAsia" w:asciiTheme="majorEastAsia" w:hAnsiTheme="majorEastAsia" w:eastAsiaTheme="majorEastAsia" w:cstheme="majorEastAsia"/>
          <w:color w:val="auto"/>
          <w:sz w:val="24"/>
          <w:highlight w:val="none"/>
        </w:rPr>
      </w:pPr>
      <w:r>
        <w:rPr>
          <w:rFonts w:hint="eastAsia" w:asciiTheme="majorEastAsia" w:hAnsiTheme="majorEastAsia" w:eastAsiaTheme="majorEastAsia" w:cstheme="majorEastAsia"/>
          <w:color w:val="auto"/>
          <w:sz w:val="24"/>
          <w:highlight w:val="none"/>
        </w:rPr>
        <w:t>2.11.1如果任何一方遭遇法律规定的不可抗力，致使合同履行受阻时，履行合同的期限应予延长，延长的期限应相当于不可抗力所影响的时间；</w:t>
      </w:r>
    </w:p>
    <w:p>
      <w:pPr>
        <w:spacing w:line="560" w:lineRule="exact"/>
        <w:ind w:firstLine="480" w:firstLineChars="200"/>
        <w:rPr>
          <w:rFonts w:hint="eastAsia" w:asciiTheme="majorEastAsia" w:hAnsiTheme="majorEastAsia" w:eastAsiaTheme="majorEastAsia" w:cstheme="majorEastAsia"/>
          <w:color w:val="auto"/>
          <w:sz w:val="24"/>
          <w:highlight w:val="none"/>
        </w:rPr>
      </w:pPr>
      <w:r>
        <w:rPr>
          <w:rFonts w:hint="eastAsia" w:asciiTheme="majorEastAsia" w:hAnsiTheme="majorEastAsia" w:eastAsiaTheme="majorEastAsia" w:cstheme="majorEastAsia"/>
          <w:color w:val="auto"/>
          <w:sz w:val="24"/>
          <w:highlight w:val="none"/>
        </w:rPr>
        <w:t>2.11.2 因不可抗力致使不能实现合同目的的，当事人可以解除合同；</w:t>
      </w:r>
    </w:p>
    <w:p>
      <w:pPr>
        <w:spacing w:line="560" w:lineRule="exact"/>
        <w:ind w:firstLine="480" w:firstLineChars="200"/>
        <w:rPr>
          <w:rFonts w:hint="eastAsia" w:asciiTheme="majorEastAsia" w:hAnsiTheme="majorEastAsia" w:eastAsiaTheme="majorEastAsia" w:cstheme="majorEastAsia"/>
          <w:color w:val="auto"/>
          <w:sz w:val="24"/>
          <w:highlight w:val="none"/>
        </w:rPr>
      </w:pPr>
      <w:r>
        <w:rPr>
          <w:rFonts w:hint="eastAsia" w:asciiTheme="majorEastAsia" w:hAnsiTheme="majorEastAsia" w:eastAsiaTheme="majorEastAsia" w:cstheme="majorEastAsia"/>
          <w:color w:val="auto"/>
          <w:sz w:val="24"/>
          <w:highlight w:val="none"/>
        </w:rPr>
        <w:t>2.11.3 因不可抗力致使合同有变更必要的，双方当事人应在</w:t>
      </w:r>
      <w:r>
        <w:rPr>
          <w:rFonts w:hint="eastAsia" w:asciiTheme="majorEastAsia" w:hAnsiTheme="majorEastAsia" w:eastAsiaTheme="majorEastAsia" w:cstheme="majorEastAsia"/>
          <w:b/>
          <w:i/>
          <w:color w:val="auto"/>
          <w:sz w:val="24"/>
          <w:highlight w:val="none"/>
          <w:u w:val="single"/>
        </w:rPr>
        <w:t>合同专用条款</w:t>
      </w:r>
      <w:r>
        <w:rPr>
          <w:rFonts w:hint="eastAsia" w:asciiTheme="majorEastAsia" w:hAnsiTheme="majorEastAsia" w:eastAsiaTheme="majorEastAsia" w:cstheme="majorEastAsia"/>
          <w:color w:val="auto"/>
          <w:sz w:val="24"/>
          <w:highlight w:val="none"/>
        </w:rPr>
        <w:t>约定时间内以书面形式变更合同；</w:t>
      </w:r>
    </w:p>
    <w:p>
      <w:pPr>
        <w:spacing w:line="560" w:lineRule="exact"/>
        <w:ind w:firstLine="480" w:firstLineChars="200"/>
        <w:rPr>
          <w:rFonts w:hint="eastAsia" w:asciiTheme="majorEastAsia" w:hAnsiTheme="majorEastAsia" w:eastAsiaTheme="majorEastAsia" w:cstheme="majorEastAsia"/>
          <w:color w:val="auto"/>
          <w:sz w:val="24"/>
          <w:highlight w:val="none"/>
        </w:rPr>
      </w:pPr>
      <w:r>
        <w:rPr>
          <w:rFonts w:hint="eastAsia" w:asciiTheme="majorEastAsia" w:hAnsiTheme="majorEastAsia" w:eastAsiaTheme="majorEastAsia" w:cstheme="majorEastAsia"/>
          <w:color w:val="auto"/>
          <w:sz w:val="24"/>
          <w:highlight w:val="none"/>
        </w:rPr>
        <w:t>2.11.4受不可抗力影响的一方在不可抗力发生后，应在</w:t>
      </w:r>
      <w:r>
        <w:rPr>
          <w:rFonts w:hint="eastAsia" w:asciiTheme="majorEastAsia" w:hAnsiTheme="majorEastAsia" w:eastAsiaTheme="majorEastAsia" w:cstheme="majorEastAsia"/>
          <w:b/>
          <w:i/>
          <w:color w:val="auto"/>
          <w:sz w:val="24"/>
          <w:highlight w:val="none"/>
          <w:u w:val="single"/>
        </w:rPr>
        <w:t>合同专用条款</w:t>
      </w:r>
      <w:r>
        <w:rPr>
          <w:rFonts w:hint="eastAsia" w:asciiTheme="majorEastAsia" w:hAnsiTheme="majorEastAsia" w:eastAsiaTheme="majorEastAsia" w:cstheme="majorEastAsia"/>
          <w:color w:val="auto"/>
          <w:sz w:val="24"/>
          <w:highlight w:val="none"/>
        </w:rPr>
        <w:t>约定时间内以书面形式通知对方当事人，并在</w:t>
      </w:r>
      <w:r>
        <w:rPr>
          <w:rFonts w:hint="eastAsia" w:asciiTheme="majorEastAsia" w:hAnsiTheme="majorEastAsia" w:eastAsiaTheme="majorEastAsia" w:cstheme="majorEastAsia"/>
          <w:b/>
          <w:i/>
          <w:color w:val="auto"/>
          <w:sz w:val="24"/>
          <w:highlight w:val="none"/>
          <w:u w:val="single"/>
        </w:rPr>
        <w:t>合同专用条款</w:t>
      </w:r>
      <w:r>
        <w:rPr>
          <w:rFonts w:hint="eastAsia" w:asciiTheme="majorEastAsia" w:hAnsiTheme="majorEastAsia" w:eastAsiaTheme="majorEastAsia" w:cstheme="majorEastAsia"/>
          <w:color w:val="auto"/>
          <w:sz w:val="24"/>
          <w:highlight w:val="none"/>
        </w:rPr>
        <w:t>约定时间内，将有关部门出具的证明文件送达对方当事人。</w:t>
      </w:r>
    </w:p>
    <w:p>
      <w:pPr>
        <w:spacing w:line="560" w:lineRule="exact"/>
        <w:ind w:firstLine="482" w:firstLineChars="200"/>
        <w:outlineLvl w:val="0"/>
        <w:rPr>
          <w:rFonts w:hint="eastAsia" w:asciiTheme="majorEastAsia" w:hAnsiTheme="majorEastAsia" w:eastAsiaTheme="majorEastAsia" w:cstheme="majorEastAsia"/>
          <w:b/>
          <w:color w:val="auto"/>
          <w:sz w:val="24"/>
          <w:highlight w:val="none"/>
        </w:rPr>
      </w:pPr>
      <w:bookmarkStart w:id="449" w:name="_Toc23854"/>
      <w:bookmarkStart w:id="450" w:name="_Toc14115"/>
      <w:bookmarkStart w:id="451" w:name="_Toc25783"/>
      <w:bookmarkStart w:id="452" w:name="_Toc24465"/>
      <w:bookmarkStart w:id="453" w:name="_Toc3638"/>
      <w:r>
        <w:rPr>
          <w:rFonts w:hint="eastAsia" w:asciiTheme="majorEastAsia" w:hAnsiTheme="majorEastAsia" w:eastAsiaTheme="majorEastAsia" w:cstheme="majorEastAsia"/>
          <w:b/>
          <w:color w:val="auto"/>
          <w:sz w:val="24"/>
          <w:highlight w:val="none"/>
        </w:rPr>
        <w:t>2.12 税费</w:t>
      </w:r>
      <w:bookmarkEnd w:id="449"/>
      <w:bookmarkEnd w:id="450"/>
      <w:bookmarkEnd w:id="451"/>
      <w:bookmarkEnd w:id="452"/>
      <w:bookmarkEnd w:id="453"/>
    </w:p>
    <w:p>
      <w:pPr>
        <w:spacing w:line="560" w:lineRule="exact"/>
        <w:ind w:firstLine="480" w:firstLineChars="200"/>
        <w:rPr>
          <w:rFonts w:hint="eastAsia" w:asciiTheme="majorEastAsia" w:hAnsiTheme="majorEastAsia" w:eastAsiaTheme="majorEastAsia" w:cstheme="majorEastAsia"/>
          <w:color w:val="auto"/>
          <w:sz w:val="24"/>
          <w:highlight w:val="none"/>
        </w:rPr>
      </w:pPr>
      <w:r>
        <w:rPr>
          <w:rFonts w:hint="eastAsia" w:asciiTheme="majorEastAsia" w:hAnsiTheme="majorEastAsia" w:eastAsiaTheme="majorEastAsia" w:cstheme="majorEastAsia"/>
          <w:color w:val="auto"/>
          <w:sz w:val="24"/>
          <w:highlight w:val="none"/>
        </w:rPr>
        <w:t>与合同有关的一切税费，均按照中华人民共和国法律的相关规定缴纳。</w:t>
      </w:r>
    </w:p>
    <w:p>
      <w:pPr>
        <w:spacing w:line="560" w:lineRule="exact"/>
        <w:ind w:firstLine="482" w:firstLineChars="200"/>
        <w:outlineLvl w:val="0"/>
        <w:rPr>
          <w:rFonts w:hint="eastAsia" w:asciiTheme="majorEastAsia" w:hAnsiTheme="majorEastAsia" w:eastAsiaTheme="majorEastAsia" w:cstheme="majorEastAsia"/>
          <w:b/>
          <w:color w:val="auto"/>
          <w:sz w:val="24"/>
          <w:highlight w:val="none"/>
        </w:rPr>
      </w:pPr>
      <w:bookmarkStart w:id="454" w:name="_Toc30105"/>
      <w:bookmarkStart w:id="455" w:name="_Toc14814"/>
      <w:bookmarkStart w:id="456" w:name="_Toc26883"/>
      <w:bookmarkStart w:id="457" w:name="_Toc25525"/>
      <w:bookmarkStart w:id="458" w:name="_Toc7315"/>
      <w:r>
        <w:rPr>
          <w:rFonts w:hint="eastAsia" w:asciiTheme="majorEastAsia" w:hAnsiTheme="majorEastAsia" w:eastAsiaTheme="majorEastAsia" w:cstheme="majorEastAsia"/>
          <w:b/>
          <w:color w:val="auto"/>
          <w:sz w:val="24"/>
          <w:highlight w:val="none"/>
        </w:rPr>
        <w:t>2.13 乙方破产</w:t>
      </w:r>
      <w:bookmarkEnd w:id="454"/>
      <w:bookmarkEnd w:id="455"/>
      <w:bookmarkEnd w:id="456"/>
      <w:bookmarkEnd w:id="457"/>
      <w:bookmarkEnd w:id="458"/>
    </w:p>
    <w:p>
      <w:pPr>
        <w:spacing w:line="560" w:lineRule="exact"/>
        <w:ind w:firstLine="480" w:firstLineChars="200"/>
        <w:rPr>
          <w:rFonts w:hint="eastAsia" w:asciiTheme="majorEastAsia" w:hAnsiTheme="majorEastAsia" w:eastAsiaTheme="majorEastAsia" w:cstheme="majorEastAsia"/>
          <w:color w:val="auto"/>
          <w:sz w:val="24"/>
          <w:highlight w:val="none"/>
        </w:rPr>
      </w:pPr>
      <w:r>
        <w:rPr>
          <w:rFonts w:hint="eastAsia" w:asciiTheme="majorEastAsia" w:hAnsiTheme="majorEastAsia" w:eastAsiaTheme="majorEastAsia" w:cstheme="majorEastAsia"/>
          <w:color w:val="auto"/>
          <w:sz w:val="24"/>
          <w:highlight w:val="none"/>
        </w:rPr>
        <w:t>如果乙方破产导致合同无法履行时，甲方可以书面形式通知乙方终止合同且不给予乙方任何补偿和赔偿，但合同的终止不损害或不影响甲方已经采取或将要采取的任何要求乙方支付违约金、赔偿损失等的行动或补救措施的权利。</w:t>
      </w:r>
    </w:p>
    <w:p>
      <w:pPr>
        <w:spacing w:line="560" w:lineRule="exact"/>
        <w:ind w:firstLine="482" w:firstLineChars="200"/>
        <w:outlineLvl w:val="0"/>
        <w:rPr>
          <w:rFonts w:hint="eastAsia" w:asciiTheme="majorEastAsia" w:hAnsiTheme="majorEastAsia" w:eastAsiaTheme="majorEastAsia" w:cstheme="majorEastAsia"/>
          <w:b/>
          <w:color w:val="auto"/>
          <w:sz w:val="24"/>
          <w:highlight w:val="none"/>
        </w:rPr>
      </w:pPr>
      <w:bookmarkStart w:id="459" w:name="_Toc23323"/>
      <w:bookmarkStart w:id="460" w:name="_Toc2016"/>
      <w:bookmarkStart w:id="461" w:name="_Toc1123"/>
      <w:r>
        <w:rPr>
          <w:rFonts w:hint="eastAsia" w:asciiTheme="majorEastAsia" w:hAnsiTheme="majorEastAsia" w:eastAsiaTheme="majorEastAsia" w:cstheme="majorEastAsia"/>
          <w:b/>
          <w:color w:val="auto"/>
          <w:sz w:val="24"/>
          <w:highlight w:val="none"/>
        </w:rPr>
        <w:t>2.14 合同中止、终止</w:t>
      </w:r>
      <w:bookmarkEnd w:id="459"/>
      <w:bookmarkEnd w:id="460"/>
      <w:bookmarkEnd w:id="461"/>
    </w:p>
    <w:p>
      <w:pPr>
        <w:spacing w:line="560" w:lineRule="exact"/>
        <w:ind w:firstLine="480" w:firstLineChars="200"/>
        <w:rPr>
          <w:rFonts w:hint="eastAsia" w:asciiTheme="majorEastAsia" w:hAnsiTheme="majorEastAsia" w:eastAsiaTheme="majorEastAsia" w:cstheme="majorEastAsia"/>
          <w:color w:val="auto"/>
          <w:sz w:val="24"/>
          <w:highlight w:val="none"/>
        </w:rPr>
      </w:pPr>
      <w:r>
        <w:rPr>
          <w:rFonts w:hint="eastAsia" w:asciiTheme="majorEastAsia" w:hAnsiTheme="majorEastAsia" w:eastAsiaTheme="majorEastAsia" w:cstheme="majorEastAsia"/>
          <w:color w:val="auto"/>
          <w:sz w:val="24"/>
          <w:highlight w:val="none"/>
        </w:rPr>
        <w:t>2.14.1 双方当事人不得擅自中止或者终止合同；</w:t>
      </w:r>
    </w:p>
    <w:p>
      <w:pPr>
        <w:spacing w:line="560" w:lineRule="exact"/>
        <w:ind w:firstLine="480" w:firstLineChars="200"/>
        <w:rPr>
          <w:rFonts w:hint="eastAsia" w:asciiTheme="majorEastAsia" w:hAnsiTheme="majorEastAsia" w:eastAsiaTheme="majorEastAsia" w:cstheme="majorEastAsia"/>
          <w:color w:val="auto"/>
          <w:sz w:val="24"/>
          <w:highlight w:val="none"/>
        </w:rPr>
      </w:pPr>
      <w:r>
        <w:rPr>
          <w:rFonts w:hint="eastAsia" w:asciiTheme="majorEastAsia" w:hAnsiTheme="majorEastAsia" w:eastAsiaTheme="majorEastAsia" w:cstheme="majorEastAsia"/>
          <w:color w:val="auto"/>
          <w:sz w:val="24"/>
          <w:highlight w:val="none"/>
        </w:rPr>
        <w:t>2.14.2合同继续履行将损害国家利益和社会公共利益的，双方当事人应当中止或者终止合同。有过错的一方应当承担赔偿责任，双方当事人都有过错的，各自承担相应的责任。</w:t>
      </w:r>
    </w:p>
    <w:p>
      <w:pPr>
        <w:spacing w:line="560" w:lineRule="exact"/>
        <w:ind w:firstLine="482" w:firstLineChars="200"/>
        <w:outlineLvl w:val="0"/>
        <w:rPr>
          <w:rFonts w:hint="eastAsia" w:asciiTheme="majorEastAsia" w:hAnsiTheme="majorEastAsia" w:eastAsiaTheme="majorEastAsia" w:cstheme="majorEastAsia"/>
          <w:b/>
          <w:color w:val="auto"/>
          <w:sz w:val="24"/>
          <w:highlight w:val="none"/>
        </w:rPr>
      </w:pPr>
      <w:bookmarkStart w:id="462" w:name="_Toc1969"/>
      <w:bookmarkStart w:id="463" w:name="_Toc17363"/>
      <w:bookmarkStart w:id="464" w:name="_Toc14525"/>
      <w:r>
        <w:rPr>
          <w:rFonts w:hint="eastAsia" w:asciiTheme="majorEastAsia" w:hAnsiTheme="majorEastAsia" w:eastAsiaTheme="majorEastAsia" w:cstheme="majorEastAsia"/>
          <w:b/>
          <w:color w:val="auto"/>
          <w:sz w:val="24"/>
          <w:highlight w:val="none"/>
        </w:rPr>
        <w:t>2.15 检验和验收</w:t>
      </w:r>
      <w:bookmarkEnd w:id="462"/>
      <w:bookmarkEnd w:id="463"/>
      <w:bookmarkEnd w:id="464"/>
    </w:p>
    <w:p>
      <w:pPr>
        <w:tabs>
          <w:tab w:val="left" w:pos="360"/>
          <w:tab w:val="left" w:pos="540"/>
          <w:tab w:val="left" w:pos="1080"/>
        </w:tabs>
        <w:spacing w:line="560" w:lineRule="exact"/>
        <w:ind w:firstLine="480" w:firstLineChars="200"/>
        <w:rPr>
          <w:rFonts w:hint="eastAsia" w:asciiTheme="majorEastAsia" w:hAnsiTheme="majorEastAsia" w:eastAsiaTheme="majorEastAsia" w:cstheme="majorEastAsia"/>
          <w:color w:val="auto"/>
          <w:sz w:val="24"/>
          <w:highlight w:val="none"/>
        </w:rPr>
      </w:pPr>
      <w:r>
        <w:rPr>
          <w:rFonts w:hint="eastAsia" w:asciiTheme="majorEastAsia" w:hAnsiTheme="majorEastAsia" w:eastAsiaTheme="majorEastAsia" w:cstheme="majorEastAsia"/>
          <w:color w:val="auto"/>
          <w:sz w:val="24"/>
          <w:highlight w:val="none"/>
        </w:rPr>
        <w:t>2.15.1 乙方按照</w:t>
      </w:r>
      <w:r>
        <w:rPr>
          <w:rFonts w:hint="eastAsia" w:asciiTheme="majorEastAsia" w:hAnsiTheme="majorEastAsia" w:eastAsiaTheme="majorEastAsia" w:cstheme="majorEastAsia"/>
          <w:b/>
          <w:i/>
          <w:color w:val="auto"/>
          <w:sz w:val="24"/>
          <w:highlight w:val="none"/>
          <w:u w:val="single"/>
        </w:rPr>
        <w:t>合同专用条款</w:t>
      </w:r>
      <w:r>
        <w:rPr>
          <w:rFonts w:hint="eastAsia" w:asciiTheme="majorEastAsia" w:hAnsiTheme="majorEastAsia" w:eastAsiaTheme="majorEastAsia" w:cstheme="majorEastAsia"/>
          <w:color w:val="auto"/>
          <w:sz w:val="24"/>
          <w:highlight w:val="none"/>
        </w:rPr>
        <w:t>的约定，定期提交服务报告，甲方按照</w:t>
      </w:r>
      <w:r>
        <w:rPr>
          <w:rFonts w:hint="eastAsia" w:asciiTheme="majorEastAsia" w:hAnsiTheme="majorEastAsia" w:eastAsiaTheme="majorEastAsia" w:cstheme="majorEastAsia"/>
          <w:b/>
          <w:i/>
          <w:color w:val="auto"/>
          <w:sz w:val="24"/>
          <w:highlight w:val="none"/>
          <w:u w:val="single"/>
        </w:rPr>
        <w:t>合同专用条款</w:t>
      </w:r>
      <w:r>
        <w:rPr>
          <w:rFonts w:hint="eastAsia" w:asciiTheme="majorEastAsia" w:hAnsiTheme="majorEastAsia" w:eastAsiaTheme="majorEastAsia" w:cstheme="majorEastAsia"/>
          <w:color w:val="auto"/>
          <w:sz w:val="24"/>
          <w:highlight w:val="none"/>
        </w:rPr>
        <w:t>的约定进行定期验收；</w:t>
      </w:r>
    </w:p>
    <w:p>
      <w:pPr>
        <w:tabs>
          <w:tab w:val="left" w:pos="360"/>
          <w:tab w:val="left" w:pos="540"/>
          <w:tab w:val="left" w:pos="1080"/>
        </w:tabs>
        <w:spacing w:line="560" w:lineRule="exact"/>
        <w:ind w:firstLine="480" w:firstLineChars="200"/>
        <w:rPr>
          <w:rFonts w:hint="eastAsia" w:asciiTheme="majorEastAsia" w:hAnsiTheme="majorEastAsia" w:eastAsiaTheme="majorEastAsia" w:cstheme="majorEastAsia"/>
          <w:color w:val="auto"/>
          <w:sz w:val="24"/>
          <w:highlight w:val="none"/>
        </w:rPr>
      </w:pPr>
      <w:r>
        <w:rPr>
          <w:rFonts w:hint="eastAsia" w:asciiTheme="majorEastAsia" w:hAnsiTheme="majorEastAsia" w:eastAsiaTheme="majorEastAsia" w:cstheme="majorEastAsia"/>
          <w:color w:val="auto"/>
          <w:sz w:val="24"/>
          <w:highlight w:val="none"/>
        </w:rPr>
        <w:t>2.15.2 合同期满或者履行完毕后，甲方有权组织（包括依法邀请国家认可的质量检测机构参加）对乙方履约的验收，即：按照合同约定的标准，组织对乙方履约情况的验收，并出具验收书；向社会公众提供的公共服务项目，验收时应当邀请服务对象参与并出具意见，验收结果应当向社会公告；</w:t>
      </w:r>
    </w:p>
    <w:p>
      <w:pPr>
        <w:tabs>
          <w:tab w:val="left" w:pos="360"/>
          <w:tab w:val="left" w:pos="540"/>
          <w:tab w:val="left" w:pos="1080"/>
        </w:tabs>
        <w:spacing w:line="560" w:lineRule="exact"/>
        <w:ind w:firstLine="480" w:firstLineChars="200"/>
        <w:rPr>
          <w:rFonts w:hint="eastAsia" w:asciiTheme="majorEastAsia" w:hAnsiTheme="majorEastAsia" w:eastAsiaTheme="majorEastAsia" w:cstheme="majorEastAsia"/>
          <w:color w:val="auto"/>
          <w:sz w:val="24"/>
          <w:highlight w:val="none"/>
        </w:rPr>
      </w:pPr>
      <w:r>
        <w:rPr>
          <w:rFonts w:hint="eastAsia" w:asciiTheme="majorEastAsia" w:hAnsiTheme="majorEastAsia" w:eastAsiaTheme="majorEastAsia" w:cstheme="majorEastAsia"/>
          <w:color w:val="auto"/>
          <w:sz w:val="24"/>
          <w:highlight w:val="none"/>
        </w:rPr>
        <w:t>2.15.3 检验和验收标准、程序等具体内容以及前述验收书的效力详见</w:t>
      </w:r>
      <w:r>
        <w:rPr>
          <w:rFonts w:hint="eastAsia" w:asciiTheme="majorEastAsia" w:hAnsiTheme="majorEastAsia" w:eastAsiaTheme="majorEastAsia" w:cstheme="majorEastAsia"/>
          <w:b/>
          <w:i/>
          <w:color w:val="auto"/>
          <w:sz w:val="24"/>
          <w:highlight w:val="none"/>
          <w:u w:val="single"/>
        </w:rPr>
        <w:t>合同专用条款</w:t>
      </w:r>
      <w:r>
        <w:rPr>
          <w:rFonts w:hint="eastAsia" w:asciiTheme="majorEastAsia" w:hAnsiTheme="majorEastAsia" w:eastAsiaTheme="majorEastAsia" w:cstheme="majorEastAsia"/>
          <w:i/>
          <w:color w:val="auto"/>
          <w:sz w:val="24"/>
          <w:highlight w:val="none"/>
        </w:rPr>
        <w:t>。</w:t>
      </w:r>
    </w:p>
    <w:p>
      <w:pPr>
        <w:spacing w:line="560" w:lineRule="exact"/>
        <w:ind w:firstLine="482" w:firstLineChars="200"/>
        <w:outlineLvl w:val="0"/>
        <w:rPr>
          <w:rFonts w:hint="eastAsia" w:asciiTheme="majorEastAsia" w:hAnsiTheme="majorEastAsia" w:eastAsiaTheme="majorEastAsia" w:cstheme="majorEastAsia"/>
          <w:b/>
          <w:color w:val="auto"/>
          <w:sz w:val="24"/>
          <w:highlight w:val="none"/>
        </w:rPr>
      </w:pPr>
      <w:bookmarkStart w:id="465" w:name="_Toc31892"/>
      <w:bookmarkStart w:id="466" w:name="_Toc9808"/>
      <w:bookmarkStart w:id="467" w:name="_Toc25198"/>
      <w:bookmarkStart w:id="468" w:name="_Toc2308"/>
      <w:bookmarkStart w:id="469" w:name="_Toc12666"/>
      <w:r>
        <w:rPr>
          <w:rFonts w:hint="eastAsia" w:asciiTheme="majorEastAsia" w:hAnsiTheme="majorEastAsia" w:eastAsiaTheme="majorEastAsia" w:cstheme="majorEastAsia"/>
          <w:b/>
          <w:color w:val="auto"/>
          <w:sz w:val="24"/>
          <w:highlight w:val="none"/>
        </w:rPr>
        <w:t>2.16 通知和送达</w:t>
      </w:r>
      <w:bookmarkEnd w:id="465"/>
      <w:bookmarkEnd w:id="466"/>
      <w:bookmarkEnd w:id="467"/>
      <w:bookmarkEnd w:id="468"/>
      <w:bookmarkEnd w:id="469"/>
    </w:p>
    <w:p>
      <w:pPr>
        <w:spacing w:line="560" w:lineRule="exact"/>
        <w:ind w:firstLine="480" w:firstLineChars="200"/>
        <w:rPr>
          <w:rFonts w:hint="eastAsia" w:asciiTheme="majorEastAsia" w:hAnsiTheme="majorEastAsia" w:eastAsiaTheme="majorEastAsia" w:cstheme="majorEastAsia"/>
          <w:color w:val="auto"/>
          <w:sz w:val="24"/>
          <w:highlight w:val="none"/>
        </w:rPr>
      </w:pPr>
      <w:bookmarkStart w:id="470" w:name="_Toc18401"/>
      <w:bookmarkStart w:id="471" w:name="_Toc27674"/>
      <w:r>
        <w:rPr>
          <w:rFonts w:hint="eastAsia" w:asciiTheme="majorEastAsia" w:hAnsiTheme="majorEastAsia" w:eastAsiaTheme="majorEastAsia" w:cstheme="majorEastAsia"/>
          <w:color w:val="auto"/>
          <w:sz w:val="24"/>
          <w:highlight w:val="none"/>
        </w:rPr>
        <w:t>2.17.1任何一方因履行合同而以合同第一部分尾部所列明的传真或电子邮件发出的所有通知、文件、材料，均视为已向对方当事人送达；任何一方变更上述送达方式或者地址的，应于</w:t>
      </w:r>
      <w:r>
        <w:rPr>
          <w:rFonts w:hint="eastAsia" w:asciiTheme="majorEastAsia" w:hAnsiTheme="majorEastAsia" w:eastAsiaTheme="majorEastAsia" w:cstheme="majorEastAsia"/>
          <w:color w:val="auto"/>
          <w:sz w:val="24"/>
          <w:highlight w:val="none"/>
          <w:u w:val="single"/>
        </w:rPr>
        <w:t>3</w:t>
      </w:r>
      <w:r>
        <w:rPr>
          <w:rFonts w:hint="eastAsia" w:asciiTheme="majorEastAsia" w:hAnsiTheme="majorEastAsia" w:eastAsiaTheme="majorEastAsia" w:cstheme="majorEastAsia"/>
          <w:color w:val="auto"/>
          <w:sz w:val="24"/>
          <w:highlight w:val="none"/>
        </w:rPr>
        <w:t>个工作日内书面通知对方当事人，在对方当事人收到有关变更通知之前，变更前的约定送达方式或者地址仍视为有效。</w:t>
      </w:r>
    </w:p>
    <w:p>
      <w:pPr>
        <w:spacing w:line="560" w:lineRule="exact"/>
        <w:ind w:firstLine="480" w:firstLineChars="200"/>
        <w:rPr>
          <w:rFonts w:hint="eastAsia" w:asciiTheme="majorEastAsia" w:hAnsiTheme="majorEastAsia" w:eastAsiaTheme="majorEastAsia" w:cstheme="majorEastAsia"/>
          <w:color w:val="auto"/>
          <w:sz w:val="24"/>
          <w:highlight w:val="none"/>
        </w:rPr>
      </w:pPr>
      <w:r>
        <w:rPr>
          <w:rFonts w:hint="eastAsia" w:asciiTheme="majorEastAsia" w:hAnsiTheme="majorEastAsia" w:eastAsiaTheme="majorEastAsia" w:cstheme="majorEastAsia"/>
          <w:color w:val="auto"/>
          <w:sz w:val="24"/>
          <w:highlight w:val="none"/>
        </w:rPr>
        <w:t>2.17.2以当面交付方式送达的，交付之时视为送达；以电子邮件方式送达的，发出电子邮件之时视为送达；以传真方式送达的，发出传真之时视为送达；以邮寄方式送达的，邮件挂号寄出或者交邮之日之次日视为送达。</w:t>
      </w:r>
      <w:bookmarkEnd w:id="470"/>
      <w:bookmarkEnd w:id="471"/>
    </w:p>
    <w:p>
      <w:pPr>
        <w:spacing w:line="560" w:lineRule="exact"/>
        <w:ind w:firstLine="482" w:firstLineChars="200"/>
        <w:outlineLvl w:val="0"/>
        <w:rPr>
          <w:rFonts w:hint="eastAsia" w:asciiTheme="majorEastAsia" w:hAnsiTheme="majorEastAsia" w:eastAsiaTheme="majorEastAsia" w:cstheme="majorEastAsia"/>
          <w:b/>
          <w:color w:val="auto"/>
          <w:sz w:val="24"/>
          <w:highlight w:val="none"/>
        </w:rPr>
      </w:pPr>
      <w:bookmarkStart w:id="472" w:name="_Toc12254"/>
      <w:bookmarkStart w:id="473" w:name="_Toc5063"/>
      <w:bookmarkStart w:id="474" w:name="_Toc27644"/>
      <w:bookmarkStart w:id="475" w:name="_Toc28906"/>
      <w:bookmarkStart w:id="476" w:name="_Toc20808"/>
      <w:r>
        <w:rPr>
          <w:rFonts w:hint="eastAsia" w:asciiTheme="majorEastAsia" w:hAnsiTheme="majorEastAsia" w:eastAsiaTheme="majorEastAsia" w:cstheme="majorEastAsia"/>
          <w:b/>
          <w:color w:val="auto"/>
          <w:sz w:val="24"/>
          <w:highlight w:val="none"/>
        </w:rPr>
        <w:t>2.17 合同使用的文字和适用的法律</w:t>
      </w:r>
      <w:bookmarkEnd w:id="472"/>
      <w:bookmarkEnd w:id="473"/>
      <w:bookmarkEnd w:id="474"/>
      <w:bookmarkEnd w:id="475"/>
      <w:bookmarkEnd w:id="476"/>
    </w:p>
    <w:p>
      <w:pPr>
        <w:spacing w:line="560" w:lineRule="exact"/>
        <w:ind w:firstLine="480" w:firstLineChars="200"/>
        <w:rPr>
          <w:rFonts w:hint="eastAsia" w:asciiTheme="majorEastAsia" w:hAnsiTheme="majorEastAsia" w:eastAsiaTheme="majorEastAsia" w:cstheme="majorEastAsia"/>
          <w:color w:val="auto"/>
          <w:sz w:val="24"/>
          <w:highlight w:val="none"/>
        </w:rPr>
      </w:pPr>
      <w:r>
        <w:rPr>
          <w:rFonts w:hint="eastAsia" w:asciiTheme="majorEastAsia" w:hAnsiTheme="majorEastAsia" w:eastAsiaTheme="majorEastAsia" w:cstheme="majorEastAsia"/>
          <w:color w:val="auto"/>
          <w:sz w:val="24"/>
          <w:highlight w:val="none"/>
        </w:rPr>
        <w:t>2.17.1 合同使用汉语书就、变更和解释；</w:t>
      </w:r>
    </w:p>
    <w:p>
      <w:pPr>
        <w:spacing w:line="560" w:lineRule="exact"/>
        <w:ind w:firstLine="480" w:firstLineChars="200"/>
        <w:rPr>
          <w:rFonts w:hint="eastAsia" w:asciiTheme="majorEastAsia" w:hAnsiTheme="majorEastAsia" w:eastAsiaTheme="majorEastAsia" w:cstheme="majorEastAsia"/>
          <w:color w:val="auto"/>
          <w:sz w:val="24"/>
          <w:highlight w:val="none"/>
        </w:rPr>
      </w:pPr>
      <w:r>
        <w:rPr>
          <w:rFonts w:hint="eastAsia" w:asciiTheme="majorEastAsia" w:hAnsiTheme="majorEastAsia" w:eastAsiaTheme="majorEastAsia" w:cstheme="majorEastAsia"/>
          <w:color w:val="auto"/>
          <w:sz w:val="24"/>
          <w:highlight w:val="none"/>
        </w:rPr>
        <w:t>2.17.2 合同适用中华人民共和国法律。</w:t>
      </w:r>
    </w:p>
    <w:p>
      <w:pPr>
        <w:spacing w:line="560" w:lineRule="exact"/>
        <w:ind w:firstLine="482" w:firstLineChars="200"/>
        <w:outlineLvl w:val="0"/>
        <w:rPr>
          <w:rFonts w:hint="eastAsia" w:asciiTheme="majorEastAsia" w:hAnsiTheme="majorEastAsia" w:eastAsiaTheme="majorEastAsia" w:cstheme="majorEastAsia"/>
          <w:b/>
          <w:color w:val="auto"/>
          <w:sz w:val="24"/>
          <w:highlight w:val="none"/>
        </w:rPr>
      </w:pPr>
      <w:bookmarkStart w:id="477" w:name="_Toc4355"/>
      <w:bookmarkStart w:id="478" w:name="_Toc18540"/>
      <w:bookmarkStart w:id="479" w:name="_Toc30599"/>
      <w:r>
        <w:rPr>
          <w:rFonts w:hint="eastAsia" w:asciiTheme="majorEastAsia" w:hAnsiTheme="majorEastAsia" w:eastAsiaTheme="majorEastAsia" w:cstheme="majorEastAsia"/>
          <w:b/>
          <w:color w:val="auto"/>
          <w:sz w:val="24"/>
          <w:highlight w:val="none"/>
        </w:rPr>
        <w:t>2.18 计量单位</w:t>
      </w:r>
      <w:bookmarkEnd w:id="477"/>
      <w:bookmarkEnd w:id="478"/>
      <w:bookmarkEnd w:id="479"/>
    </w:p>
    <w:p>
      <w:pPr>
        <w:spacing w:line="560" w:lineRule="exact"/>
        <w:ind w:firstLine="480" w:firstLineChars="200"/>
        <w:rPr>
          <w:rFonts w:hint="eastAsia" w:asciiTheme="majorEastAsia" w:hAnsiTheme="majorEastAsia" w:eastAsiaTheme="majorEastAsia" w:cstheme="majorEastAsia"/>
          <w:color w:val="auto"/>
          <w:sz w:val="24"/>
          <w:highlight w:val="none"/>
        </w:rPr>
      </w:pPr>
      <w:r>
        <w:rPr>
          <w:rFonts w:hint="eastAsia" w:asciiTheme="majorEastAsia" w:hAnsiTheme="majorEastAsia" w:eastAsiaTheme="majorEastAsia" w:cstheme="majorEastAsia"/>
          <w:color w:val="auto"/>
          <w:sz w:val="24"/>
          <w:highlight w:val="none"/>
        </w:rPr>
        <w:t>除技术规范中另有规定外,合同的计量单位均使用国家法定计量单位。</w:t>
      </w:r>
    </w:p>
    <w:p>
      <w:pPr>
        <w:spacing w:line="560" w:lineRule="exact"/>
        <w:ind w:firstLine="482" w:firstLineChars="200"/>
        <w:rPr>
          <w:rFonts w:hint="eastAsia" w:asciiTheme="majorEastAsia" w:hAnsiTheme="majorEastAsia" w:eastAsiaTheme="majorEastAsia" w:cstheme="majorEastAsia"/>
          <w:b/>
          <w:color w:val="auto"/>
          <w:sz w:val="24"/>
          <w:highlight w:val="none"/>
        </w:rPr>
      </w:pPr>
      <w:r>
        <w:rPr>
          <w:rFonts w:hint="eastAsia" w:asciiTheme="majorEastAsia" w:hAnsiTheme="majorEastAsia" w:eastAsiaTheme="majorEastAsia" w:cstheme="majorEastAsia"/>
          <w:b/>
          <w:color w:val="auto"/>
          <w:sz w:val="24"/>
          <w:highlight w:val="none"/>
        </w:rPr>
        <w:t>2.19合同份数</w:t>
      </w:r>
    </w:p>
    <w:p>
      <w:pPr>
        <w:spacing w:line="560" w:lineRule="exact"/>
        <w:ind w:firstLine="480" w:firstLineChars="200"/>
        <w:rPr>
          <w:rFonts w:hint="eastAsia" w:asciiTheme="majorEastAsia" w:hAnsiTheme="majorEastAsia" w:eastAsiaTheme="majorEastAsia" w:cstheme="majorEastAsia"/>
          <w:color w:val="auto"/>
          <w:sz w:val="24"/>
          <w:highlight w:val="none"/>
        </w:rPr>
      </w:pPr>
      <w:r>
        <w:rPr>
          <w:rFonts w:hint="eastAsia" w:asciiTheme="majorEastAsia" w:hAnsiTheme="majorEastAsia" w:eastAsiaTheme="majorEastAsia" w:cstheme="majorEastAsia"/>
          <w:color w:val="auto"/>
          <w:sz w:val="24"/>
          <w:highlight w:val="none"/>
        </w:rPr>
        <w:t>合同份数按</w:t>
      </w:r>
      <w:r>
        <w:rPr>
          <w:rFonts w:hint="eastAsia" w:asciiTheme="majorEastAsia" w:hAnsiTheme="majorEastAsia" w:eastAsiaTheme="majorEastAsia" w:cstheme="majorEastAsia"/>
          <w:b/>
          <w:i/>
          <w:color w:val="auto"/>
          <w:sz w:val="24"/>
          <w:highlight w:val="none"/>
          <w:u w:val="single"/>
        </w:rPr>
        <w:t>合同专用条款</w:t>
      </w:r>
      <w:r>
        <w:rPr>
          <w:rFonts w:hint="eastAsia" w:asciiTheme="majorEastAsia" w:hAnsiTheme="majorEastAsia" w:eastAsiaTheme="majorEastAsia" w:cstheme="majorEastAsia"/>
          <w:color w:val="auto"/>
          <w:sz w:val="24"/>
          <w:highlight w:val="none"/>
        </w:rPr>
        <w:t>规定，每份均具有同等法律效力。</w:t>
      </w:r>
    </w:p>
    <w:p>
      <w:pPr>
        <w:spacing w:line="360" w:lineRule="auto"/>
        <w:jc w:val="center"/>
        <w:outlineLvl w:val="0"/>
        <w:rPr>
          <w:rFonts w:hint="eastAsia" w:asciiTheme="majorEastAsia" w:hAnsiTheme="majorEastAsia" w:eastAsiaTheme="majorEastAsia" w:cstheme="majorEastAsia"/>
          <w:b/>
          <w:color w:val="auto"/>
          <w:sz w:val="24"/>
          <w:highlight w:val="none"/>
        </w:rPr>
      </w:pPr>
      <w:r>
        <w:rPr>
          <w:rFonts w:hint="eastAsia" w:asciiTheme="majorEastAsia" w:hAnsiTheme="majorEastAsia" w:eastAsiaTheme="majorEastAsia" w:cstheme="majorEastAsia"/>
          <w:color w:val="auto"/>
          <w:kern w:val="0"/>
          <w:highlight w:val="none"/>
        </w:rPr>
        <w:br w:type="page"/>
      </w:r>
      <w:bookmarkStart w:id="480" w:name="_Toc331685784"/>
      <w:bookmarkEnd w:id="480"/>
      <w:r>
        <w:rPr>
          <w:rFonts w:hint="eastAsia" w:asciiTheme="majorEastAsia" w:hAnsiTheme="majorEastAsia" w:eastAsiaTheme="majorEastAsia" w:cstheme="majorEastAsia"/>
          <w:b/>
          <w:color w:val="auto"/>
          <w:sz w:val="24"/>
          <w:highlight w:val="none"/>
        </w:rPr>
        <w:t>第三部分  合同专用条款</w:t>
      </w:r>
    </w:p>
    <w:p>
      <w:pPr>
        <w:spacing w:line="560" w:lineRule="exact"/>
        <w:ind w:left="-480" w:leftChars="-200" w:right="-480" w:rightChars="-200" w:firstLine="480" w:firstLineChars="200"/>
        <w:rPr>
          <w:rFonts w:hint="eastAsia" w:asciiTheme="majorEastAsia" w:hAnsiTheme="majorEastAsia" w:eastAsiaTheme="majorEastAsia" w:cstheme="majorEastAsia"/>
          <w:color w:val="auto"/>
          <w:highlight w:val="none"/>
        </w:rPr>
      </w:pPr>
      <w:r>
        <w:rPr>
          <w:rFonts w:hint="eastAsia" w:asciiTheme="majorEastAsia" w:hAnsiTheme="majorEastAsia" w:eastAsiaTheme="majorEastAsia" w:cstheme="majorEastAsia"/>
          <w:color w:val="auto"/>
          <w:sz w:val="24"/>
          <w:highlight w:val="none"/>
        </w:rPr>
        <w:t>本部分是对前两部分的补充和修改，如果前两部分和本部分的约定不一致，应以本部分的约定为准。本部分的条款号应与前两部分的条款号保持对应；与前两部分无对应关系的内容可另行编制条款号。</w:t>
      </w:r>
    </w:p>
    <w:tbl>
      <w:tblPr>
        <w:tblStyle w:val="26"/>
        <w:tblW w:w="9126" w:type="dxa"/>
        <w:tblInd w:w="0" w:type="dxa"/>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28" w:type="dxa"/>
          <w:bottom w:w="0" w:type="dxa"/>
          <w:right w:w="28" w:type="dxa"/>
        </w:tblCellMar>
      </w:tblPr>
      <w:tblGrid>
        <w:gridCol w:w="977"/>
        <w:gridCol w:w="8149"/>
      </w:tblGrid>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227" w:hRule="atLeast"/>
        </w:trPr>
        <w:tc>
          <w:tcPr>
            <w:tcW w:w="977" w:type="dxa"/>
            <w:tcBorders>
              <w:left w:val="single" w:color="auto" w:sz="4" w:space="0"/>
            </w:tcBorders>
            <w:vAlign w:val="center"/>
          </w:tcPr>
          <w:p>
            <w:pPr>
              <w:keepNext w:val="0"/>
              <w:keepLines w:val="0"/>
              <w:widowControl w:val="0"/>
              <w:suppressLineNumbers w:val="0"/>
              <w:adjustRightInd w:val="0"/>
              <w:spacing w:before="0" w:beforeAutospacing="0" w:after="0" w:afterAutospacing="0" w:line="360" w:lineRule="auto"/>
              <w:ind w:left="0" w:right="0"/>
              <w:jc w:val="center"/>
              <w:rPr>
                <w:rFonts w:hint="eastAsia" w:asciiTheme="majorEastAsia" w:hAnsiTheme="majorEastAsia" w:eastAsiaTheme="majorEastAsia" w:cstheme="majorEastAsia"/>
                <w:b/>
                <w:color w:val="auto"/>
                <w:kern w:val="2"/>
                <w:sz w:val="24"/>
                <w:highlight w:val="none"/>
              </w:rPr>
            </w:pPr>
            <w:r>
              <w:rPr>
                <w:rFonts w:hint="eastAsia" w:asciiTheme="majorEastAsia" w:hAnsiTheme="majorEastAsia" w:eastAsiaTheme="majorEastAsia" w:cstheme="majorEastAsia"/>
                <w:b/>
                <w:color w:val="auto"/>
                <w:kern w:val="2"/>
                <w:sz w:val="24"/>
                <w:highlight w:val="none"/>
              </w:rPr>
              <w:t>条款号</w:t>
            </w:r>
          </w:p>
        </w:tc>
        <w:tc>
          <w:tcPr>
            <w:tcW w:w="8149" w:type="dxa"/>
            <w:vAlign w:val="center"/>
          </w:tcPr>
          <w:p>
            <w:pPr>
              <w:keepNext w:val="0"/>
              <w:keepLines w:val="0"/>
              <w:widowControl w:val="0"/>
              <w:suppressLineNumbers w:val="0"/>
              <w:adjustRightInd w:val="0"/>
              <w:spacing w:before="0" w:beforeAutospacing="0" w:after="0" w:afterAutospacing="0" w:line="360" w:lineRule="auto"/>
              <w:ind w:left="0" w:right="0"/>
              <w:jc w:val="center"/>
              <w:rPr>
                <w:rFonts w:hint="eastAsia" w:asciiTheme="majorEastAsia" w:hAnsiTheme="majorEastAsia" w:eastAsiaTheme="majorEastAsia" w:cstheme="majorEastAsia"/>
                <w:b/>
                <w:color w:val="auto"/>
                <w:kern w:val="2"/>
                <w:sz w:val="24"/>
                <w:highlight w:val="none"/>
              </w:rPr>
            </w:pPr>
            <w:r>
              <w:rPr>
                <w:rFonts w:hint="eastAsia" w:asciiTheme="majorEastAsia" w:hAnsiTheme="majorEastAsia" w:eastAsiaTheme="majorEastAsia" w:cstheme="majorEastAsia"/>
                <w:b/>
                <w:color w:val="auto"/>
                <w:kern w:val="2"/>
                <w:sz w:val="24"/>
                <w:highlight w:val="none"/>
              </w:rPr>
              <w:t>约定内容</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227" w:hRule="atLeast"/>
        </w:trPr>
        <w:tc>
          <w:tcPr>
            <w:tcW w:w="977" w:type="dxa"/>
            <w:tcBorders>
              <w:left w:val="single" w:color="auto" w:sz="4" w:space="0"/>
            </w:tcBorders>
            <w:vAlign w:val="center"/>
          </w:tcPr>
          <w:p>
            <w:pPr>
              <w:keepNext w:val="0"/>
              <w:keepLines w:val="0"/>
              <w:widowControl w:val="0"/>
              <w:suppressLineNumbers w:val="0"/>
              <w:adjustRightInd w:val="0"/>
              <w:spacing w:before="0" w:beforeAutospacing="0" w:after="0" w:afterAutospacing="0" w:line="360" w:lineRule="auto"/>
              <w:ind w:left="0" w:right="0"/>
              <w:jc w:val="center"/>
              <w:rPr>
                <w:rFonts w:hint="eastAsia" w:asciiTheme="majorEastAsia" w:hAnsiTheme="majorEastAsia" w:eastAsiaTheme="majorEastAsia" w:cstheme="majorEastAsia"/>
                <w:b w:val="0"/>
                <w:bCs/>
                <w:color w:val="auto"/>
                <w:kern w:val="2"/>
                <w:sz w:val="24"/>
                <w:highlight w:val="none"/>
              </w:rPr>
            </w:pPr>
            <w:r>
              <w:rPr>
                <w:rFonts w:hint="eastAsia" w:asciiTheme="majorEastAsia" w:hAnsiTheme="majorEastAsia" w:eastAsiaTheme="majorEastAsia" w:cstheme="majorEastAsia"/>
                <w:b w:val="0"/>
                <w:bCs/>
                <w:color w:val="auto"/>
                <w:kern w:val="2"/>
                <w:sz w:val="24"/>
                <w:highlight w:val="none"/>
              </w:rPr>
              <w:t>1.3.2</w:t>
            </w:r>
          </w:p>
        </w:tc>
        <w:tc>
          <w:tcPr>
            <w:tcW w:w="8149" w:type="dxa"/>
            <w:vAlign w:val="center"/>
          </w:tcPr>
          <w:p>
            <w:pPr>
              <w:keepNext w:val="0"/>
              <w:keepLines w:val="0"/>
              <w:widowControl w:val="0"/>
              <w:suppressLineNumbers w:val="0"/>
              <w:adjustRightInd w:val="0"/>
              <w:spacing w:before="0" w:beforeAutospacing="0" w:after="0" w:afterAutospacing="0" w:line="360" w:lineRule="auto"/>
              <w:ind w:left="0" w:right="0"/>
              <w:jc w:val="center"/>
              <w:rPr>
                <w:rFonts w:hint="eastAsia" w:asciiTheme="majorEastAsia" w:hAnsiTheme="majorEastAsia" w:eastAsiaTheme="majorEastAsia" w:cstheme="majorEastAsia"/>
                <w:b w:val="0"/>
                <w:bCs/>
                <w:color w:val="auto"/>
                <w:kern w:val="2"/>
                <w:sz w:val="24"/>
                <w:highlight w:val="none"/>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227" w:hRule="atLeast"/>
        </w:trPr>
        <w:tc>
          <w:tcPr>
            <w:tcW w:w="977" w:type="dxa"/>
            <w:tcBorders>
              <w:left w:val="single" w:color="auto" w:sz="4" w:space="0"/>
            </w:tcBorders>
            <w:vAlign w:val="center"/>
          </w:tcPr>
          <w:p>
            <w:pPr>
              <w:keepNext w:val="0"/>
              <w:keepLines w:val="0"/>
              <w:widowControl w:val="0"/>
              <w:suppressLineNumbers w:val="0"/>
              <w:adjustRightInd w:val="0"/>
              <w:spacing w:before="0" w:beforeAutospacing="0" w:after="0" w:afterAutospacing="0" w:line="360" w:lineRule="auto"/>
              <w:ind w:left="0" w:right="0"/>
              <w:jc w:val="center"/>
              <w:rPr>
                <w:rFonts w:hint="eastAsia" w:asciiTheme="majorEastAsia" w:hAnsiTheme="majorEastAsia" w:eastAsiaTheme="majorEastAsia" w:cstheme="majorEastAsia"/>
                <w:b w:val="0"/>
                <w:bCs/>
                <w:color w:val="auto"/>
                <w:kern w:val="2"/>
                <w:sz w:val="24"/>
                <w:highlight w:val="none"/>
              </w:rPr>
            </w:pPr>
            <w:r>
              <w:rPr>
                <w:rFonts w:hint="eastAsia" w:asciiTheme="majorEastAsia" w:hAnsiTheme="majorEastAsia" w:eastAsiaTheme="majorEastAsia" w:cstheme="majorEastAsia"/>
                <w:b w:val="0"/>
                <w:bCs/>
                <w:color w:val="auto"/>
                <w:kern w:val="2"/>
                <w:sz w:val="24"/>
                <w:highlight w:val="none"/>
              </w:rPr>
              <w:t>1.4.2</w:t>
            </w:r>
          </w:p>
        </w:tc>
        <w:tc>
          <w:tcPr>
            <w:tcW w:w="8149" w:type="dxa"/>
            <w:vAlign w:val="center"/>
          </w:tcPr>
          <w:p>
            <w:pPr>
              <w:keepNext w:val="0"/>
              <w:keepLines w:val="0"/>
              <w:widowControl w:val="0"/>
              <w:suppressLineNumbers w:val="0"/>
              <w:adjustRightInd w:val="0"/>
              <w:spacing w:before="0" w:beforeAutospacing="0" w:after="0" w:afterAutospacing="0" w:line="360" w:lineRule="auto"/>
              <w:ind w:left="0" w:right="0"/>
              <w:jc w:val="center"/>
              <w:rPr>
                <w:rFonts w:hint="eastAsia" w:asciiTheme="majorEastAsia" w:hAnsiTheme="majorEastAsia" w:eastAsiaTheme="majorEastAsia" w:cstheme="majorEastAsia"/>
                <w:b w:val="0"/>
                <w:bCs/>
                <w:color w:val="auto"/>
                <w:kern w:val="2"/>
                <w:sz w:val="24"/>
                <w:highlight w:val="none"/>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227" w:hRule="atLeast"/>
        </w:trPr>
        <w:tc>
          <w:tcPr>
            <w:tcW w:w="977" w:type="dxa"/>
            <w:tcBorders>
              <w:left w:val="single" w:color="auto" w:sz="4" w:space="0"/>
            </w:tcBorders>
            <w:vAlign w:val="center"/>
          </w:tcPr>
          <w:p>
            <w:pPr>
              <w:keepNext w:val="0"/>
              <w:keepLines w:val="0"/>
              <w:widowControl w:val="0"/>
              <w:suppressLineNumbers w:val="0"/>
              <w:adjustRightInd w:val="0"/>
              <w:spacing w:before="0" w:beforeAutospacing="0" w:after="0" w:afterAutospacing="0" w:line="360" w:lineRule="auto"/>
              <w:ind w:left="0" w:right="0"/>
              <w:jc w:val="center"/>
              <w:rPr>
                <w:rFonts w:hint="eastAsia" w:asciiTheme="majorEastAsia" w:hAnsiTheme="majorEastAsia" w:eastAsiaTheme="majorEastAsia" w:cstheme="majorEastAsia"/>
                <w:b w:val="0"/>
                <w:bCs/>
                <w:color w:val="auto"/>
                <w:kern w:val="2"/>
                <w:sz w:val="24"/>
                <w:highlight w:val="none"/>
              </w:rPr>
            </w:pPr>
            <w:r>
              <w:rPr>
                <w:rFonts w:hint="eastAsia" w:asciiTheme="majorEastAsia" w:hAnsiTheme="majorEastAsia" w:eastAsiaTheme="majorEastAsia" w:cstheme="majorEastAsia"/>
                <w:b w:val="0"/>
                <w:bCs/>
                <w:color w:val="auto"/>
                <w:kern w:val="2"/>
                <w:sz w:val="24"/>
                <w:highlight w:val="none"/>
              </w:rPr>
              <w:t xml:space="preserve">1.5.1 </w:t>
            </w:r>
          </w:p>
        </w:tc>
        <w:tc>
          <w:tcPr>
            <w:tcW w:w="8149" w:type="dxa"/>
            <w:vAlign w:val="center"/>
          </w:tcPr>
          <w:p>
            <w:pPr>
              <w:keepNext w:val="0"/>
              <w:keepLines w:val="0"/>
              <w:widowControl w:val="0"/>
              <w:suppressLineNumbers w:val="0"/>
              <w:adjustRightInd w:val="0"/>
              <w:spacing w:before="0" w:beforeAutospacing="0" w:after="0" w:afterAutospacing="0" w:line="360" w:lineRule="auto"/>
              <w:ind w:left="0" w:right="0"/>
              <w:jc w:val="center"/>
              <w:rPr>
                <w:rFonts w:hint="eastAsia" w:asciiTheme="majorEastAsia" w:hAnsiTheme="majorEastAsia" w:eastAsiaTheme="majorEastAsia" w:cstheme="majorEastAsia"/>
                <w:b w:val="0"/>
                <w:bCs/>
                <w:color w:val="auto"/>
                <w:kern w:val="2"/>
                <w:sz w:val="24"/>
                <w:highlight w:val="none"/>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227" w:hRule="atLeast"/>
        </w:trPr>
        <w:tc>
          <w:tcPr>
            <w:tcW w:w="977" w:type="dxa"/>
            <w:tcBorders>
              <w:left w:val="single" w:color="auto" w:sz="4" w:space="0"/>
            </w:tcBorders>
            <w:vAlign w:val="center"/>
          </w:tcPr>
          <w:p>
            <w:pPr>
              <w:keepNext w:val="0"/>
              <w:keepLines w:val="0"/>
              <w:widowControl w:val="0"/>
              <w:suppressLineNumbers w:val="0"/>
              <w:adjustRightInd w:val="0"/>
              <w:spacing w:before="0" w:beforeAutospacing="0" w:after="0" w:afterAutospacing="0" w:line="360" w:lineRule="auto"/>
              <w:ind w:left="0" w:right="0"/>
              <w:jc w:val="center"/>
              <w:rPr>
                <w:rFonts w:hint="eastAsia" w:asciiTheme="majorEastAsia" w:hAnsiTheme="majorEastAsia" w:eastAsiaTheme="majorEastAsia" w:cstheme="majorEastAsia"/>
                <w:b w:val="0"/>
                <w:bCs/>
                <w:color w:val="auto"/>
                <w:kern w:val="2"/>
                <w:sz w:val="24"/>
                <w:highlight w:val="none"/>
              </w:rPr>
            </w:pPr>
            <w:r>
              <w:rPr>
                <w:rFonts w:hint="eastAsia" w:asciiTheme="majorEastAsia" w:hAnsiTheme="majorEastAsia" w:eastAsiaTheme="majorEastAsia" w:cstheme="majorEastAsia"/>
                <w:b w:val="0"/>
                <w:bCs/>
                <w:color w:val="auto"/>
                <w:kern w:val="2"/>
                <w:sz w:val="24"/>
                <w:highlight w:val="none"/>
              </w:rPr>
              <w:t>1.5.2</w:t>
            </w:r>
          </w:p>
        </w:tc>
        <w:tc>
          <w:tcPr>
            <w:tcW w:w="8149" w:type="dxa"/>
            <w:vAlign w:val="center"/>
          </w:tcPr>
          <w:p>
            <w:pPr>
              <w:keepNext w:val="0"/>
              <w:keepLines w:val="0"/>
              <w:widowControl w:val="0"/>
              <w:suppressLineNumbers w:val="0"/>
              <w:adjustRightInd w:val="0"/>
              <w:spacing w:before="0" w:beforeAutospacing="0" w:after="0" w:afterAutospacing="0" w:line="360" w:lineRule="auto"/>
              <w:ind w:left="0" w:right="0"/>
              <w:jc w:val="center"/>
              <w:rPr>
                <w:rFonts w:hint="eastAsia" w:asciiTheme="majorEastAsia" w:hAnsiTheme="majorEastAsia" w:eastAsiaTheme="majorEastAsia" w:cstheme="majorEastAsia"/>
                <w:b w:val="0"/>
                <w:bCs/>
                <w:color w:val="auto"/>
                <w:kern w:val="2"/>
                <w:sz w:val="24"/>
                <w:highlight w:val="none"/>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227" w:hRule="atLeast"/>
        </w:trPr>
        <w:tc>
          <w:tcPr>
            <w:tcW w:w="977" w:type="dxa"/>
            <w:tcBorders>
              <w:left w:val="single" w:color="auto" w:sz="4" w:space="0"/>
            </w:tcBorders>
            <w:vAlign w:val="center"/>
          </w:tcPr>
          <w:p>
            <w:pPr>
              <w:keepNext w:val="0"/>
              <w:keepLines w:val="0"/>
              <w:widowControl w:val="0"/>
              <w:suppressLineNumbers w:val="0"/>
              <w:adjustRightInd w:val="0"/>
              <w:spacing w:before="0" w:beforeAutospacing="0" w:after="0" w:afterAutospacing="0" w:line="360" w:lineRule="auto"/>
              <w:ind w:left="0" w:right="0"/>
              <w:jc w:val="center"/>
              <w:rPr>
                <w:rFonts w:hint="eastAsia" w:asciiTheme="majorEastAsia" w:hAnsiTheme="majorEastAsia" w:eastAsiaTheme="majorEastAsia" w:cstheme="majorEastAsia"/>
                <w:b w:val="0"/>
                <w:bCs/>
                <w:color w:val="auto"/>
                <w:kern w:val="2"/>
                <w:sz w:val="24"/>
                <w:highlight w:val="none"/>
              </w:rPr>
            </w:pPr>
            <w:r>
              <w:rPr>
                <w:rFonts w:hint="eastAsia" w:asciiTheme="majorEastAsia" w:hAnsiTheme="majorEastAsia" w:eastAsiaTheme="majorEastAsia" w:cstheme="majorEastAsia"/>
                <w:b w:val="0"/>
                <w:bCs/>
                <w:color w:val="auto"/>
                <w:kern w:val="2"/>
                <w:sz w:val="24"/>
                <w:highlight w:val="none"/>
              </w:rPr>
              <w:t xml:space="preserve">1.5.3 </w:t>
            </w:r>
          </w:p>
        </w:tc>
        <w:tc>
          <w:tcPr>
            <w:tcW w:w="8149" w:type="dxa"/>
            <w:vAlign w:val="center"/>
          </w:tcPr>
          <w:p>
            <w:pPr>
              <w:keepNext w:val="0"/>
              <w:keepLines w:val="0"/>
              <w:widowControl w:val="0"/>
              <w:suppressLineNumbers w:val="0"/>
              <w:adjustRightInd w:val="0"/>
              <w:spacing w:before="0" w:beforeAutospacing="0" w:after="0" w:afterAutospacing="0" w:line="360" w:lineRule="auto"/>
              <w:ind w:left="0" w:right="0"/>
              <w:jc w:val="center"/>
              <w:rPr>
                <w:rFonts w:hint="eastAsia" w:asciiTheme="majorEastAsia" w:hAnsiTheme="majorEastAsia" w:eastAsiaTheme="majorEastAsia" w:cstheme="majorEastAsia"/>
                <w:b w:val="0"/>
                <w:bCs/>
                <w:color w:val="auto"/>
                <w:kern w:val="2"/>
                <w:sz w:val="24"/>
                <w:highlight w:val="none"/>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227" w:hRule="atLeast"/>
        </w:trPr>
        <w:tc>
          <w:tcPr>
            <w:tcW w:w="977" w:type="dxa"/>
            <w:tcBorders>
              <w:left w:val="single" w:color="auto" w:sz="4" w:space="0"/>
            </w:tcBorders>
            <w:vAlign w:val="center"/>
          </w:tcPr>
          <w:p>
            <w:pPr>
              <w:keepNext w:val="0"/>
              <w:keepLines w:val="0"/>
              <w:widowControl w:val="0"/>
              <w:suppressLineNumbers w:val="0"/>
              <w:adjustRightInd w:val="0"/>
              <w:spacing w:before="0" w:beforeAutospacing="0" w:after="0" w:afterAutospacing="0" w:line="360" w:lineRule="auto"/>
              <w:ind w:left="0" w:right="0"/>
              <w:jc w:val="center"/>
              <w:rPr>
                <w:rFonts w:hint="eastAsia" w:asciiTheme="majorEastAsia" w:hAnsiTheme="majorEastAsia" w:eastAsiaTheme="majorEastAsia" w:cstheme="majorEastAsia"/>
                <w:b w:val="0"/>
                <w:bCs/>
                <w:color w:val="auto"/>
                <w:kern w:val="2"/>
                <w:sz w:val="24"/>
                <w:highlight w:val="none"/>
              </w:rPr>
            </w:pPr>
            <w:r>
              <w:rPr>
                <w:rFonts w:hint="eastAsia" w:asciiTheme="majorEastAsia" w:hAnsiTheme="majorEastAsia" w:eastAsiaTheme="majorEastAsia" w:cstheme="majorEastAsia"/>
                <w:b w:val="0"/>
                <w:bCs/>
                <w:color w:val="auto"/>
                <w:kern w:val="2"/>
                <w:sz w:val="24"/>
                <w:highlight w:val="none"/>
              </w:rPr>
              <w:t>1.6.2</w:t>
            </w:r>
          </w:p>
        </w:tc>
        <w:tc>
          <w:tcPr>
            <w:tcW w:w="8149" w:type="dxa"/>
            <w:vAlign w:val="center"/>
          </w:tcPr>
          <w:p>
            <w:pPr>
              <w:keepNext w:val="0"/>
              <w:keepLines w:val="0"/>
              <w:widowControl w:val="0"/>
              <w:suppressLineNumbers w:val="0"/>
              <w:adjustRightInd w:val="0"/>
              <w:spacing w:before="0" w:beforeAutospacing="0" w:after="0" w:afterAutospacing="0" w:line="360" w:lineRule="auto"/>
              <w:ind w:left="0" w:right="0"/>
              <w:jc w:val="center"/>
              <w:rPr>
                <w:rFonts w:hint="eastAsia" w:asciiTheme="majorEastAsia" w:hAnsiTheme="majorEastAsia" w:eastAsiaTheme="majorEastAsia" w:cstheme="majorEastAsia"/>
                <w:b w:val="0"/>
                <w:bCs/>
                <w:color w:val="auto"/>
                <w:kern w:val="2"/>
                <w:sz w:val="24"/>
                <w:highlight w:val="none"/>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227" w:hRule="atLeast"/>
        </w:trPr>
        <w:tc>
          <w:tcPr>
            <w:tcW w:w="977" w:type="dxa"/>
            <w:tcBorders>
              <w:left w:val="single" w:color="auto" w:sz="4" w:space="0"/>
            </w:tcBorders>
            <w:vAlign w:val="center"/>
          </w:tcPr>
          <w:p>
            <w:pPr>
              <w:keepNext w:val="0"/>
              <w:keepLines w:val="0"/>
              <w:widowControl w:val="0"/>
              <w:suppressLineNumbers w:val="0"/>
              <w:adjustRightInd w:val="0"/>
              <w:spacing w:before="0" w:beforeAutospacing="0" w:after="0" w:afterAutospacing="0" w:line="360" w:lineRule="auto"/>
              <w:ind w:left="0" w:right="0"/>
              <w:jc w:val="center"/>
              <w:rPr>
                <w:rFonts w:hint="eastAsia" w:asciiTheme="majorEastAsia" w:hAnsiTheme="majorEastAsia" w:eastAsiaTheme="majorEastAsia" w:cstheme="majorEastAsia"/>
                <w:b w:val="0"/>
                <w:bCs/>
                <w:color w:val="auto"/>
                <w:kern w:val="2"/>
                <w:sz w:val="24"/>
                <w:highlight w:val="none"/>
              </w:rPr>
            </w:pPr>
            <w:r>
              <w:rPr>
                <w:rFonts w:hint="eastAsia" w:asciiTheme="majorEastAsia" w:hAnsiTheme="majorEastAsia" w:eastAsiaTheme="majorEastAsia" w:cstheme="majorEastAsia"/>
                <w:b w:val="0"/>
                <w:bCs/>
                <w:color w:val="auto"/>
                <w:kern w:val="2"/>
                <w:sz w:val="24"/>
                <w:highlight w:val="none"/>
              </w:rPr>
              <w:t>1.7.1</w:t>
            </w:r>
          </w:p>
        </w:tc>
        <w:tc>
          <w:tcPr>
            <w:tcW w:w="8149" w:type="dxa"/>
            <w:vAlign w:val="center"/>
          </w:tcPr>
          <w:p>
            <w:pPr>
              <w:keepNext w:val="0"/>
              <w:keepLines w:val="0"/>
              <w:widowControl w:val="0"/>
              <w:suppressLineNumbers w:val="0"/>
              <w:adjustRightInd w:val="0"/>
              <w:spacing w:before="0" w:beforeAutospacing="0" w:after="0" w:afterAutospacing="0" w:line="360" w:lineRule="auto"/>
              <w:ind w:left="0" w:right="0"/>
              <w:jc w:val="center"/>
              <w:rPr>
                <w:rFonts w:hint="eastAsia" w:asciiTheme="majorEastAsia" w:hAnsiTheme="majorEastAsia" w:eastAsiaTheme="majorEastAsia" w:cstheme="majorEastAsia"/>
                <w:b w:val="0"/>
                <w:bCs/>
                <w:color w:val="auto"/>
                <w:kern w:val="2"/>
                <w:sz w:val="24"/>
                <w:highlight w:val="none"/>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227" w:hRule="atLeast"/>
        </w:trPr>
        <w:tc>
          <w:tcPr>
            <w:tcW w:w="977" w:type="dxa"/>
            <w:tcBorders>
              <w:left w:val="single" w:color="auto" w:sz="4" w:space="0"/>
            </w:tcBorders>
            <w:vAlign w:val="center"/>
          </w:tcPr>
          <w:p>
            <w:pPr>
              <w:keepNext w:val="0"/>
              <w:keepLines w:val="0"/>
              <w:widowControl w:val="0"/>
              <w:suppressLineNumbers w:val="0"/>
              <w:adjustRightInd w:val="0"/>
              <w:spacing w:before="0" w:beforeAutospacing="0" w:after="0" w:afterAutospacing="0" w:line="360" w:lineRule="auto"/>
              <w:ind w:left="0" w:right="0"/>
              <w:jc w:val="center"/>
              <w:rPr>
                <w:rFonts w:hint="eastAsia" w:asciiTheme="majorEastAsia" w:hAnsiTheme="majorEastAsia" w:eastAsiaTheme="majorEastAsia" w:cstheme="majorEastAsia"/>
                <w:b w:val="0"/>
                <w:bCs/>
                <w:color w:val="auto"/>
                <w:kern w:val="2"/>
                <w:sz w:val="24"/>
                <w:highlight w:val="none"/>
              </w:rPr>
            </w:pPr>
            <w:r>
              <w:rPr>
                <w:rFonts w:hint="eastAsia" w:asciiTheme="majorEastAsia" w:hAnsiTheme="majorEastAsia" w:eastAsiaTheme="majorEastAsia" w:cstheme="majorEastAsia"/>
                <w:b w:val="0"/>
                <w:bCs/>
                <w:color w:val="auto"/>
                <w:kern w:val="2"/>
                <w:sz w:val="24"/>
                <w:highlight w:val="none"/>
              </w:rPr>
              <w:t>1.7.2</w:t>
            </w:r>
          </w:p>
        </w:tc>
        <w:tc>
          <w:tcPr>
            <w:tcW w:w="8149" w:type="dxa"/>
            <w:vAlign w:val="center"/>
          </w:tcPr>
          <w:p>
            <w:pPr>
              <w:keepNext w:val="0"/>
              <w:keepLines w:val="0"/>
              <w:widowControl w:val="0"/>
              <w:suppressLineNumbers w:val="0"/>
              <w:adjustRightInd w:val="0"/>
              <w:spacing w:before="0" w:beforeAutospacing="0" w:after="0" w:afterAutospacing="0" w:line="360" w:lineRule="auto"/>
              <w:ind w:left="0" w:right="0"/>
              <w:jc w:val="center"/>
              <w:rPr>
                <w:rFonts w:hint="eastAsia" w:asciiTheme="majorEastAsia" w:hAnsiTheme="majorEastAsia" w:eastAsiaTheme="majorEastAsia" w:cstheme="majorEastAsia"/>
                <w:b w:val="0"/>
                <w:bCs/>
                <w:color w:val="auto"/>
                <w:kern w:val="2"/>
                <w:sz w:val="24"/>
                <w:highlight w:val="none"/>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227" w:hRule="atLeast"/>
        </w:trPr>
        <w:tc>
          <w:tcPr>
            <w:tcW w:w="977" w:type="dxa"/>
            <w:tcBorders>
              <w:left w:val="single" w:color="auto" w:sz="4" w:space="0"/>
            </w:tcBorders>
            <w:vAlign w:val="center"/>
          </w:tcPr>
          <w:p>
            <w:pPr>
              <w:keepNext w:val="0"/>
              <w:keepLines w:val="0"/>
              <w:widowControl w:val="0"/>
              <w:suppressLineNumbers w:val="0"/>
              <w:adjustRightInd w:val="0"/>
              <w:spacing w:before="0" w:beforeAutospacing="0" w:after="0" w:afterAutospacing="0" w:line="360" w:lineRule="auto"/>
              <w:ind w:left="0" w:right="0"/>
              <w:jc w:val="center"/>
              <w:rPr>
                <w:rFonts w:hint="eastAsia" w:asciiTheme="majorEastAsia" w:hAnsiTheme="majorEastAsia" w:eastAsiaTheme="majorEastAsia" w:cstheme="majorEastAsia"/>
                <w:b w:val="0"/>
                <w:bCs/>
                <w:color w:val="auto"/>
                <w:kern w:val="2"/>
                <w:sz w:val="24"/>
                <w:highlight w:val="none"/>
              </w:rPr>
            </w:pPr>
            <w:r>
              <w:rPr>
                <w:rFonts w:hint="eastAsia" w:asciiTheme="majorEastAsia" w:hAnsiTheme="majorEastAsia" w:eastAsiaTheme="majorEastAsia" w:cstheme="majorEastAsia"/>
                <w:b w:val="0"/>
                <w:bCs/>
                <w:color w:val="auto"/>
                <w:kern w:val="2"/>
                <w:sz w:val="24"/>
                <w:highlight w:val="none"/>
              </w:rPr>
              <w:t>1.7.3</w:t>
            </w:r>
          </w:p>
        </w:tc>
        <w:tc>
          <w:tcPr>
            <w:tcW w:w="8149" w:type="dxa"/>
            <w:vAlign w:val="center"/>
          </w:tcPr>
          <w:p>
            <w:pPr>
              <w:keepNext w:val="0"/>
              <w:keepLines w:val="0"/>
              <w:widowControl w:val="0"/>
              <w:suppressLineNumbers w:val="0"/>
              <w:adjustRightInd w:val="0"/>
              <w:spacing w:before="0" w:beforeAutospacing="0" w:after="0" w:afterAutospacing="0" w:line="360" w:lineRule="auto"/>
              <w:ind w:left="0" w:right="0"/>
              <w:jc w:val="center"/>
              <w:rPr>
                <w:rFonts w:hint="eastAsia" w:asciiTheme="majorEastAsia" w:hAnsiTheme="majorEastAsia" w:eastAsiaTheme="majorEastAsia" w:cstheme="majorEastAsia"/>
                <w:b w:val="0"/>
                <w:bCs/>
                <w:color w:val="auto"/>
                <w:kern w:val="2"/>
                <w:sz w:val="24"/>
                <w:highlight w:val="none"/>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227" w:hRule="atLeast"/>
        </w:trPr>
        <w:tc>
          <w:tcPr>
            <w:tcW w:w="977" w:type="dxa"/>
            <w:tcBorders>
              <w:left w:val="single" w:color="auto" w:sz="4" w:space="0"/>
            </w:tcBorders>
            <w:vAlign w:val="center"/>
          </w:tcPr>
          <w:p>
            <w:pPr>
              <w:keepNext w:val="0"/>
              <w:keepLines w:val="0"/>
              <w:widowControl w:val="0"/>
              <w:suppressLineNumbers w:val="0"/>
              <w:adjustRightInd w:val="0"/>
              <w:spacing w:before="0" w:beforeAutospacing="0" w:after="0" w:afterAutospacing="0" w:line="360" w:lineRule="auto"/>
              <w:ind w:left="0" w:right="0"/>
              <w:jc w:val="center"/>
              <w:rPr>
                <w:rFonts w:hint="eastAsia" w:asciiTheme="majorEastAsia" w:hAnsiTheme="majorEastAsia" w:eastAsiaTheme="majorEastAsia" w:cstheme="majorEastAsia"/>
                <w:b w:val="0"/>
                <w:bCs/>
                <w:color w:val="auto"/>
                <w:kern w:val="2"/>
                <w:sz w:val="24"/>
                <w:highlight w:val="none"/>
              </w:rPr>
            </w:pPr>
            <w:r>
              <w:rPr>
                <w:rFonts w:hint="eastAsia" w:asciiTheme="majorEastAsia" w:hAnsiTheme="majorEastAsia" w:eastAsiaTheme="majorEastAsia" w:cstheme="majorEastAsia"/>
                <w:b w:val="0"/>
                <w:bCs/>
                <w:color w:val="auto"/>
                <w:kern w:val="2"/>
                <w:sz w:val="24"/>
                <w:highlight w:val="none"/>
              </w:rPr>
              <w:t>1.7.4.1</w:t>
            </w:r>
          </w:p>
        </w:tc>
        <w:tc>
          <w:tcPr>
            <w:tcW w:w="8149" w:type="dxa"/>
            <w:vAlign w:val="center"/>
          </w:tcPr>
          <w:p>
            <w:pPr>
              <w:keepNext w:val="0"/>
              <w:keepLines w:val="0"/>
              <w:widowControl w:val="0"/>
              <w:suppressLineNumbers w:val="0"/>
              <w:adjustRightInd w:val="0"/>
              <w:spacing w:before="0" w:beforeAutospacing="0" w:after="0" w:afterAutospacing="0" w:line="360" w:lineRule="auto"/>
              <w:ind w:left="0" w:right="0"/>
              <w:jc w:val="center"/>
              <w:rPr>
                <w:rFonts w:hint="eastAsia" w:asciiTheme="majorEastAsia" w:hAnsiTheme="majorEastAsia" w:eastAsiaTheme="majorEastAsia" w:cstheme="majorEastAsia"/>
                <w:b w:val="0"/>
                <w:bCs/>
                <w:color w:val="auto"/>
                <w:kern w:val="2"/>
                <w:sz w:val="24"/>
                <w:highlight w:val="none"/>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227" w:hRule="atLeast"/>
        </w:trPr>
        <w:tc>
          <w:tcPr>
            <w:tcW w:w="977" w:type="dxa"/>
            <w:tcBorders>
              <w:left w:val="single" w:color="auto" w:sz="4" w:space="0"/>
            </w:tcBorders>
            <w:vAlign w:val="center"/>
          </w:tcPr>
          <w:p>
            <w:pPr>
              <w:keepNext w:val="0"/>
              <w:keepLines w:val="0"/>
              <w:widowControl w:val="0"/>
              <w:suppressLineNumbers w:val="0"/>
              <w:adjustRightInd w:val="0"/>
              <w:spacing w:before="0" w:beforeAutospacing="0" w:after="0" w:afterAutospacing="0" w:line="360" w:lineRule="auto"/>
              <w:ind w:left="0" w:right="0"/>
              <w:jc w:val="center"/>
              <w:rPr>
                <w:rFonts w:hint="eastAsia" w:asciiTheme="majorEastAsia" w:hAnsiTheme="majorEastAsia" w:eastAsiaTheme="majorEastAsia" w:cstheme="majorEastAsia"/>
                <w:b w:val="0"/>
                <w:bCs/>
                <w:color w:val="auto"/>
                <w:kern w:val="2"/>
                <w:sz w:val="24"/>
                <w:highlight w:val="none"/>
              </w:rPr>
            </w:pPr>
            <w:r>
              <w:rPr>
                <w:rFonts w:hint="eastAsia" w:asciiTheme="majorEastAsia" w:hAnsiTheme="majorEastAsia" w:eastAsiaTheme="majorEastAsia" w:cstheme="majorEastAsia"/>
                <w:b w:val="0"/>
                <w:bCs/>
                <w:color w:val="auto"/>
                <w:kern w:val="2"/>
                <w:sz w:val="24"/>
                <w:highlight w:val="none"/>
              </w:rPr>
              <w:t>1.7.4.2</w:t>
            </w:r>
          </w:p>
        </w:tc>
        <w:tc>
          <w:tcPr>
            <w:tcW w:w="8149" w:type="dxa"/>
            <w:vAlign w:val="center"/>
          </w:tcPr>
          <w:p>
            <w:pPr>
              <w:keepNext w:val="0"/>
              <w:keepLines w:val="0"/>
              <w:widowControl w:val="0"/>
              <w:suppressLineNumbers w:val="0"/>
              <w:adjustRightInd w:val="0"/>
              <w:spacing w:before="0" w:beforeAutospacing="0" w:after="0" w:afterAutospacing="0" w:line="360" w:lineRule="auto"/>
              <w:ind w:left="0" w:right="0"/>
              <w:jc w:val="center"/>
              <w:rPr>
                <w:rFonts w:hint="eastAsia" w:asciiTheme="majorEastAsia" w:hAnsiTheme="majorEastAsia" w:eastAsiaTheme="majorEastAsia" w:cstheme="majorEastAsia"/>
                <w:b w:val="0"/>
                <w:bCs/>
                <w:color w:val="auto"/>
                <w:kern w:val="2"/>
                <w:sz w:val="24"/>
                <w:highlight w:val="none"/>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227" w:hRule="atLeast"/>
        </w:trPr>
        <w:tc>
          <w:tcPr>
            <w:tcW w:w="977" w:type="dxa"/>
            <w:tcBorders>
              <w:left w:val="single" w:color="auto" w:sz="4" w:space="0"/>
            </w:tcBorders>
            <w:vAlign w:val="center"/>
          </w:tcPr>
          <w:p>
            <w:pPr>
              <w:keepNext w:val="0"/>
              <w:keepLines w:val="0"/>
              <w:widowControl w:val="0"/>
              <w:suppressLineNumbers w:val="0"/>
              <w:adjustRightInd w:val="0"/>
              <w:spacing w:before="0" w:beforeAutospacing="0" w:after="0" w:afterAutospacing="0" w:line="360" w:lineRule="auto"/>
              <w:ind w:left="0" w:right="0"/>
              <w:jc w:val="center"/>
              <w:rPr>
                <w:rFonts w:hint="eastAsia" w:asciiTheme="majorEastAsia" w:hAnsiTheme="majorEastAsia" w:eastAsiaTheme="majorEastAsia" w:cstheme="majorEastAsia"/>
                <w:b w:val="0"/>
                <w:bCs/>
                <w:color w:val="auto"/>
                <w:kern w:val="2"/>
                <w:sz w:val="24"/>
                <w:highlight w:val="none"/>
              </w:rPr>
            </w:pPr>
            <w:r>
              <w:rPr>
                <w:rFonts w:hint="eastAsia" w:asciiTheme="majorEastAsia" w:hAnsiTheme="majorEastAsia" w:eastAsiaTheme="majorEastAsia" w:cstheme="majorEastAsia"/>
                <w:b w:val="0"/>
                <w:bCs/>
                <w:color w:val="auto"/>
                <w:kern w:val="2"/>
                <w:sz w:val="24"/>
                <w:highlight w:val="none"/>
              </w:rPr>
              <w:t>1.7.4.3</w:t>
            </w:r>
          </w:p>
        </w:tc>
        <w:tc>
          <w:tcPr>
            <w:tcW w:w="8149" w:type="dxa"/>
            <w:vAlign w:val="center"/>
          </w:tcPr>
          <w:p>
            <w:pPr>
              <w:keepNext w:val="0"/>
              <w:keepLines w:val="0"/>
              <w:widowControl w:val="0"/>
              <w:suppressLineNumbers w:val="0"/>
              <w:adjustRightInd w:val="0"/>
              <w:spacing w:before="0" w:beforeAutospacing="0" w:after="0" w:afterAutospacing="0" w:line="360" w:lineRule="auto"/>
              <w:ind w:left="0" w:right="0"/>
              <w:jc w:val="center"/>
              <w:rPr>
                <w:rFonts w:hint="eastAsia" w:asciiTheme="majorEastAsia" w:hAnsiTheme="majorEastAsia" w:eastAsiaTheme="majorEastAsia" w:cstheme="majorEastAsia"/>
                <w:b w:val="0"/>
                <w:bCs/>
                <w:color w:val="auto"/>
                <w:kern w:val="2"/>
                <w:sz w:val="24"/>
                <w:highlight w:val="none"/>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227" w:hRule="atLeast"/>
        </w:trPr>
        <w:tc>
          <w:tcPr>
            <w:tcW w:w="977" w:type="dxa"/>
            <w:tcBorders>
              <w:left w:val="single" w:color="auto" w:sz="4" w:space="0"/>
            </w:tcBorders>
            <w:vAlign w:val="center"/>
          </w:tcPr>
          <w:p>
            <w:pPr>
              <w:keepNext w:val="0"/>
              <w:keepLines w:val="0"/>
              <w:widowControl w:val="0"/>
              <w:suppressLineNumbers w:val="0"/>
              <w:adjustRightInd w:val="0"/>
              <w:spacing w:before="0" w:beforeAutospacing="0" w:after="0" w:afterAutospacing="0" w:line="360" w:lineRule="auto"/>
              <w:ind w:left="0" w:right="0"/>
              <w:jc w:val="center"/>
              <w:rPr>
                <w:rFonts w:hint="eastAsia" w:asciiTheme="majorEastAsia" w:hAnsiTheme="majorEastAsia" w:eastAsiaTheme="majorEastAsia" w:cstheme="majorEastAsia"/>
                <w:b w:val="0"/>
                <w:bCs/>
                <w:color w:val="auto"/>
                <w:kern w:val="2"/>
                <w:sz w:val="24"/>
                <w:highlight w:val="none"/>
              </w:rPr>
            </w:pPr>
            <w:r>
              <w:rPr>
                <w:rFonts w:hint="eastAsia" w:asciiTheme="majorEastAsia" w:hAnsiTheme="majorEastAsia" w:eastAsiaTheme="majorEastAsia" w:cstheme="majorEastAsia"/>
                <w:b w:val="0"/>
                <w:bCs/>
                <w:color w:val="auto"/>
                <w:kern w:val="2"/>
                <w:sz w:val="24"/>
                <w:highlight w:val="none"/>
              </w:rPr>
              <w:t>1.8.7</w:t>
            </w:r>
          </w:p>
        </w:tc>
        <w:tc>
          <w:tcPr>
            <w:tcW w:w="8149" w:type="dxa"/>
            <w:vAlign w:val="center"/>
          </w:tcPr>
          <w:p>
            <w:pPr>
              <w:keepNext w:val="0"/>
              <w:keepLines w:val="0"/>
              <w:widowControl w:val="0"/>
              <w:suppressLineNumbers w:val="0"/>
              <w:adjustRightInd w:val="0"/>
              <w:spacing w:before="0" w:beforeAutospacing="0" w:after="0" w:afterAutospacing="0" w:line="360" w:lineRule="auto"/>
              <w:ind w:left="0" w:right="0"/>
              <w:jc w:val="center"/>
              <w:rPr>
                <w:rFonts w:hint="eastAsia" w:asciiTheme="majorEastAsia" w:hAnsiTheme="majorEastAsia" w:eastAsiaTheme="majorEastAsia" w:cstheme="majorEastAsia"/>
                <w:b w:val="0"/>
                <w:bCs/>
                <w:color w:val="auto"/>
                <w:kern w:val="2"/>
                <w:sz w:val="24"/>
                <w:highlight w:val="none"/>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227" w:hRule="atLeast"/>
        </w:trPr>
        <w:tc>
          <w:tcPr>
            <w:tcW w:w="977" w:type="dxa"/>
            <w:tcBorders>
              <w:left w:val="single" w:color="auto" w:sz="4" w:space="0"/>
            </w:tcBorders>
            <w:vAlign w:val="center"/>
          </w:tcPr>
          <w:p>
            <w:pPr>
              <w:keepNext w:val="0"/>
              <w:keepLines w:val="0"/>
              <w:widowControl w:val="0"/>
              <w:suppressLineNumbers w:val="0"/>
              <w:adjustRightInd w:val="0"/>
              <w:spacing w:before="0" w:beforeAutospacing="0" w:after="0" w:afterAutospacing="0" w:line="360" w:lineRule="auto"/>
              <w:ind w:left="0" w:right="0"/>
              <w:jc w:val="center"/>
              <w:rPr>
                <w:rFonts w:hint="eastAsia" w:asciiTheme="majorEastAsia" w:hAnsiTheme="majorEastAsia" w:eastAsiaTheme="majorEastAsia" w:cstheme="majorEastAsia"/>
                <w:b w:val="0"/>
                <w:bCs/>
                <w:color w:val="auto"/>
                <w:kern w:val="2"/>
                <w:sz w:val="24"/>
                <w:highlight w:val="none"/>
              </w:rPr>
            </w:pPr>
            <w:r>
              <w:rPr>
                <w:rFonts w:hint="eastAsia" w:asciiTheme="majorEastAsia" w:hAnsiTheme="majorEastAsia" w:eastAsiaTheme="majorEastAsia" w:cstheme="majorEastAsia"/>
                <w:b w:val="0"/>
                <w:bCs/>
                <w:color w:val="auto"/>
                <w:kern w:val="2"/>
                <w:sz w:val="24"/>
                <w:highlight w:val="none"/>
              </w:rPr>
              <w:t>1.9.1</w:t>
            </w:r>
          </w:p>
        </w:tc>
        <w:tc>
          <w:tcPr>
            <w:tcW w:w="8149" w:type="dxa"/>
            <w:vAlign w:val="center"/>
          </w:tcPr>
          <w:p>
            <w:pPr>
              <w:keepNext w:val="0"/>
              <w:keepLines w:val="0"/>
              <w:widowControl w:val="0"/>
              <w:suppressLineNumbers w:val="0"/>
              <w:adjustRightInd w:val="0"/>
              <w:spacing w:before="0" w:beforeAutospacing="0" w:after="0" w:afterAutospacing="0" w:line="360" w:lineRule="auto"/>
              <w:ind w:left="0" w:right="0"/>
              <w:jc w:val="center"/>
              <w:rPr>
                <w:rFonts w:hint="eastAsia" w:asciiTheme="majorEastAsia" w:hAnsiTheme="majorEastAsia" w:eastAsiaTheme="majorEastAsia" w:cstheme="majorEastAsia"/>
                <w:b w:val="0"/>
                <w:bCs/>
                <w:color w:val="auto"/>
                <w:kern w:val="2"/>
                <w:sz w:val="24"/>
                <w:highlight w:val="none"/>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227" w:hRule="atLeast"/>
        </w:trPr>
        <w:tc>
          <w:tcPr>
            <w:tcW w:w="977" w:type="dxa"/>
            <w:tcBorders>
              <w:left w:val="single" w:color="auto" w:sz="4" w:space="0"/>
            </w:tcBorders>
            <w:vAlign w:val="center"/>
          </w:tcPr>
          <w:p>
            <w:pPr>
              <w:keepNext w:val="0"/>
              <w:keepLines w:val="0"/>
              <w:widowControl w:val="0"/>
              <w:suppressLineNumbers w:val="0"/>
              <w:adjustRightInd w:val="0"/>
              <w:spacing w:before="0" w:beforeAutospacing="0" w:after="0" w:afterAutospacing="0" w:line="360" w:lineRule="auto"/>
              <w:ind w:left="0" w:right="0"/>
              <w:jc w:val="center"/>
              <w:rPr>
                <w:rFonts w:hint="eastAsia" w:asciiTheme="majorEastAsia" w:hAnsiTheme="majorEastAsia" w:eastAsiaTheme="majorEastAsia" w:cstheme="majorEastAsia"/>
                <w:b w:val="0"/>
                <w:bCs/>
                <w:color w:val="auto"/>
                <w:kern w:val="2"/>
                <w:sz w:val="24"/>
                <w:highlight w:val="none"/>
              </w:rPr>
            </w:pPr>
            <w:r>
              <w:rPr>
                <w:rFonts w:hint="eastAsia" w:asciiTheme="majorEastAsia" w:hAnsiTheme="majorEastAsia" w:eastAsiaTheme="majorEastAsia" w:cstheme="majorEastAsia"/>
                <w:b w:val="0"/>
                <w:bCs/>
                <w:color w:val="auto"/>
                <w:kern w:val="2"/>
                <w:sz w:val="24"/>
                <w:highlight w:val="none"/>
              </w:rPr>
              <w:t>1.9.2</w:t>
            </w:r>
          </w:p>
        </w:tc>
        <w:tc>
          <w:tcPr>
            <w:tcW w:w="8149" w:type="dxa"/>
            <w:vAlign w:val="center"/>
          </w:tcPr>
          <w:p>
            <w:pPr>
              <w:keepNext w:val="0"/>
              <w:keepLines w:val="0"/>
              <w:widowControl w:val="0"/>
              <w:suppressLineNumbers w:val="0"/>
              <w:adjustRightInd w:val="0"/>
              <w:spacing w:before="0" w:beforeAutospacing="0" w:after="0" w:afterAutospacing="0" w:line="360" w:lineRule="auto"/>
              <w:ind w:left="0" w:right="0"/>
              <w:jc w:val="center"/>
              <w:rPr>
                <w:rFonts w:hint="eastAsia" w:asciiTheme="majorEastAsia" w:hAnsiTheme="majorEastAsia" w:eastAsiaTheme="majorEastAsia" w:cstheme="majorEastAsia"/>
                <w:b w:val="0"/>
                <w:bCs/>
                <w:color w:val="auto"/>
                <w:kern w:val="2"/>
                <w:sz w:val="24"/>
                <w:highlight w:val="none"/>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227" w:hRule="atLeast"/>
        </w:trPr>
        <w:tc>
          <w:tcPr>
            <w:tcW w:w="977" w:type="dxa"/>
            <w:tcBorders>
              <w:left w:val="single" w:color="auto" w:sz="4" w:space="0"/>
            </w:tcBorders>
            <w:vAlign w:val="center"/>
          </w:tcPr>
          <w:p>
            <w:pPr>
              <w:keepNext w:val="0"/>
              <w:keepLines w:val="0"/>
              <w:widowControl w:val="0"/>
              <w:suppressLineNumbers w:val="0"/>
              <w:adjustRightInd w:val="0"/>
              <w:spacing w:before="0" w:beforeAutospacing="0" w:after="0" w:afterAutospacing="0" w:line="360" w:lineRule="auto"/>
              <w:ind w:left="0" w:right="0"/>
              <w:jc w:val="center"/>
              <w:rPr>
                <w:rFonts w:hint="eastAsia" w:asciiTheme="majorEastAsia" w:hAnsiTheme="majorEastAsia" w:eastAsiaTheme="majorEastAsia" w:cstheme="majorEastAsia"/>
                <w:b w:val="0"/>
                <w:bCs/>
                <w:color w:val="auto"/>
                <w:kern w:val="2"/>
                <w:sz w:val="24"/>
                <w:highlight w:val="none"/>
              </w:rPr>
            </w:pPr>
            <w:r>
              <w:rPr>
                <w:rFonts w:hint="eastAsia" w:asciiTheme="majorEastAsia" w:hAnsiTheme="majorEastAsia" w:eastAsiaTheme="majorEastAsia" w:cstheme="majorEastAsia"/>
                <w:b w:val="0"/>
                <w:bCs/>
                <w:color w:val="auto"/>
                <w:kern w:val="2"/>
                <w:sz w:val="24"/>
                <w:highlight w:val="none"/>
              </w:rPr>
              <w:t>2.3.2</w:t>
            </w:r>
          </w:p>
        </w:tc>
        <w:tc>
          <w:tcPr>
            <w:tcW w:w="8149" w:type="dxa"/>
            <w:vAlign w:val="center"/>
          </w:tcPr>
          <w:p>
            <w:pPr>
              <w:keepNext w:val="0"/>
              <w:keepLines w:val="0"/>
              <w:widowControl w:val="0"/>
              <w:suppressLineNumbers w:val="0"/>
              <w:adjustRightInd w:val="0"/>
              <w:spacing w:before="0" w:beforeAutospacing="0" w:after="0" w:afterAutospacing="0" w:line="360" w:lineRule="auto"/>
              <w:ind w:left="0" w:right="0"/>
              <w:jc w:val="center"/>
              <w:rPr>
                <w:rFonts w:hint="eastAsia" w:asciiTheme="majorEastAsia" w:hAnsiTheme="majorEastAsia" w:eastAsiaTheme="majorEastAsia" w:cstheme="majorEastAsia"/>
                <w:b w:val="0"/>
                <w:bCs/>
                <w:color w:val="auto"/>
                <w:kern w:val="2"/>
                <w:sz w:val="24"/>
                <w:highlight w:val="none"/>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227" w:hRule="atLeast"/>
        </w:trPr>
        <w:tc>
          <w:tcPr>
            <w:tcW w:w="977" w:type="dxa"/>
            <w:tcBorders>
              <w:left w:val="single" w:color="auto" w:sz="4" w:space="0"/>
            </w:tcBorders>
            <w:vAlign w:val="center"/>
          </w:tcPr>
          <w:p>
            <w:pPr>
              <w:keepNext w:val="0"/>
              <w:keepLines w:val="0"/>
              <w:widowControl w:val="0"/>
              <w:suppressLineNumbers w:val="0"/>
              <w:adjustRightInd w:val="0"/>
              <w:spacing w:before="0" w:beforeAutospacing="0" w:after="0" w:afterAutospacing="0" w:line="360" w:lineRule="auto"/>
              <w:ind w:left="0" w:right="0"/>
              <w:jc w:val="center"/>
              <w:rPr>
                <w:rFonts w:hint="eastAsia" w:asciiTheme="majorEastAsia" w:hAnsiTheme="majorEastAsia" w:eastAsiaTheme="majorEastAsia" w:cstheme="majorEastAsia"/>
                <w:b w:val="0"/>
                <w:bCs/>
                <w:color w:val="auto"/>
                <w:kern w:val="2"/>
                <w:sz w:val="24"/>
                <w:highlight w:val="none"/>
              </w:rPr>
            </w:pPr>
            <w:r>
              <w:rPr>
                <w:rFonts w:hint="eastAsia" w:asciiTheme="majorEastAsia" w:hAnsiTheme="majorEastAsia" w:eastAsiaTheme="majorEastAsia" w:cstheme="majorEastAsia"/>
                <w:b w:val="0"/>
                <w:bCs/>
                <w:color w:val="auto"/>
                <w:kern w:val="2"/>
                <w:sz w:val="24"/>
                <w:highlight w:val="none"/>
              </w:rPr>
              <w:t>2.5</w:t>
            </w:r>
          </w:p>
        </w:tc>
        <w:tc>
          <w:tcPr>
            <w:tcW w:w="8149" w:type="dxa"/>
            <w:vAlign w:val="center"/>
          </w:tcPr>
          <w:p>
            <w:pPr>
              <w:keepNext w:val="0"/>
              <w:keepLines w:val="0"/>
              <w:widowControl w:val="0"/>
              <w:suppressLineNumbers w:val="0"/>
              <w:adjustRightInd w:val="0"/>
              <w:spacing w:before="0" w:beforeAutospacing="0" w:after="0" w:afterAutospacing="0" w:line="360" w:lineRule="auto"/>
              <w:ind w:left="0" w:right="0"/>
              <w:jc w:val="center"/>
              <w:rPr>
                <w:rFonts w:hint="eastAsia" w:asciiTheme="majorEastAsia" w:hAnsiTheme="majorEastAsia" w:eastAsiaTheme="majorEastAsia" w:cstheme="majorEastAsia"/>
                <w:b w:val="0"/>
                <w:bCs/>
                <w:color w:val="auto"/>
                <w:kern w:val="2"/>
                <w:sz w:val="24"/>
                <w:highlight w:val="none"/>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227" w:hRule="atLeast"/>
        </w:trPr>
        <w:tc>
          <w:tcPr>
            <w:tcW w:w="977" w:type="dxa"/>
            <w:tcBorders>
              <w:left w:val="single" w:color="auto" w:sz="4" w:space="0"/>
            </w:tcBorders>
            <w:vAlign w:val="center"/>
          </w:tcPr>
          <w:p>
            <w:pPr>
              <w:keepNext w:val="0"/>
              <w:keepLines w:val="0"/>
              <w:widowControl w:val="0"/>
              <w:suppressLineNumbers w:val="0"/>
              <w:adjustRightInd w:val="0"/>
              <w:spacing w:before="0" w:beforeAutospacing="0" w:after="0" w:afterAutospacing="0" w:line="360" w:lineRule="auto"/>
              <w:ind w:left="0" w:right="0"/>
              <w:jc w:val="center"/>
              <w:rPr>
                <w:rFonts w:hint="eastAsia" w:asciiTheme="majorEastAsia" w:hAnsiTheme="majorEastAsia" w:eastAsiaTheme="majorEastAsia" w:cstheme="majorEastAsia"/>
                <w:b w:val="0"/>
                <w:bCs/>
                <w:color w:val="auto"/>
                <w:kern w:val="2"/>
                <w:sz w:val="24"/>
                <w:highlight w:val="none"/>
              </w:rPr>
            </w:pPr>
            <w:r>
              <w:rPr>
                <w:rFonts w:hint="eastAsia" w:asciiTheme="majorEastAsia" w:hAnsiTheme="majorEastAsia" w:eastAsiaTheme="majorEastAsia" w:cstheme="majorEastAsia"/>
                <w:b w:val="0"/>
                <w:bCs/>
                <w:color w:val="auto"/>
                <w:kern w:val="2"/>
                <w:sz w:val="24"/>
                <w:highlight w:val="none"/>
              </w:rPr>
              <w:t>2.11.3</w:t>
            </w:r>
          </w:p>
        </w:tc>
        <w:tc>
          <w:tcPr>
            <w:tcW w:w="8149" w:type="dxa"/>
            <w:vAlign w:val="center"/>
          </w:tcPr>
          <w:p>
            <w:pPr>
              <w:keepNext w:val="0"/>
              <w:keepLines w:val="0"/>
              <w:widowControl w:val="0"/>
              <w:suppressLineNumbers w:val="0"/>
              <w:adjustRightInd w:val="0"/>
              <w:spacing w:before="0" w:beforeAutospacing="0" w:after="0" w:afterAutospacing="0" w:line="360" w:lineRule="auto"/>
              <w:ind w:left="0" w:right="0"/>
              <w:jc w:val="center"/>
              <w:rPr>
                <w:rFonts w:hint="eastAsia" w:asciiTheme="majorEastAsia" w:hAnsiTheme="majorEastAsia" w:eastAsiaTheme="majorEastAsia" w:cstheme="majorEastAsia"/>
                <w:b w:val="0"/>
                <w:bCs/>
                <w:color w:val="auto"/>
                <w:kern w:val="2"/>
                <w:sz w:val="24"/>
                <w:highlight w:val="none"/>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227" w:hRule="atLeast"/>
        </w:trPr>
        <w:tc>
          <w:tcPr>
            <w:tcW w:w="977" w:type="dxa"/>
            <w:tcBorders>
              <w:left w:val="single" w:color="auto" w:sz="4" w:space="0"/>
            </w:tcBorders>
          </w:tcPr>
          <w:p>
            <w:pPr>
              <w:keepNext w:val="0"/>
              <w:keepLines w:val="0"/>
              <w:widowControl w:val="0"/>
              <w:suppressLineNumbers w:val="0"/>
              <w:adjustRightInd w:val="0"/>
              <w:spacing w:before="0" w:beforeAutospacing="0" w:after="0" w:afterAutospacing="0" w:line="360" w:lineRule="auto"/>
              <w:ind w:left="0" w:right="0"/>
              <w:jc w:val="center"/>
              <w:rPr>
                <w:rFonts w:hint="eastAsia" w:asciiTheme="majorEastAsia" w:hAnsiTheme="majorEastAsia" w:eastAsiaTheme="majorEastAsia" w:cstheme="majorEastAsia"/>
                <w:b w:val="0"/>
                <w:bCs/>
                <w:color w:val="auto"/>
                <w:kern w:val="2"/>
                <w:sz w:val="24"/>
                <w:highlight w:val="none"/>
              </w:rPr>
            </w:pPr>
            <w:r>
              <w:rPr>
                <w:rFonts w:hint="eastAsia" w:asciiTheme="majorEastAsia" w:hAnsiTheme="majorEastAsia" w:eastAsiaTheme="majorEastAsia" w:cstheme="majorEastAsia"/>
                <w:b w:val="0"/>
                <w:bCs/>
                <w:color w:val="auto"/>
                <w:kern w:val="2"/>
                <w:sz w:val="24"/>
                <w:highlight w:val="none"/>
              </w:rPr>
              <w:t>2.11.4</w:t>
            </w:r>
          </w:p>
        </w:tc>
        <w:tc>
          <w:tcPr>
            <w:tcW w:w="8149" w:type="dxa"/>
          </w:tcPr>
          <w:p>
            <w:pPr>
              <w:keepNext w:val="0"/>
              <w:keepLines w:val="0"/>
              <w:widowControl w:val="0"/>
              <w:suppressLineNumbers w:val="0"/>
              <w:adjustRightInd w:val="0"/>
              <w:spacing w:before="0" w:beforeAutospacing="0" w:after="0" w:afterAutospacing="0" w:line="360" w:lineRule="auto"/>
              <w:ind w:left="0" w:right="0"/>
              <w:jc w:val="center"/>
              <w:rPr>
                <w:rFonts w:hint="eastAsia" w:asciiTheme="majorEastAsia" w:hAnsiTheme="majorEastAsia" w:eastAsiaTheme="majorEastAsia" w:cstheme="majorEastAsia"/>
                <w:b w:val="0"/>
                <w:bCs/>
                <w:color w:val="auto"/>
                <w:kern w:val="2"/>
                <w:sz w:val="24"/>
                <w:highlight w:val="none"/>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227" w:hRule="atLeast"/>
        </w:trPr>
        <w:tc>
          <w:tcPr>
            <w:tcW w:w="977" w:type="dxa"/>
            <w:tcBorders>
              <w:left w:val="single" w:color="auto" w:sz="4" w:space="0"/>
            </w:tcBorders>
            <w:vAlign w:val="center"/>
          </w:tcPr>
          <w:p>
            <w:pPr>
              <w:keepNext w:val="0"/>
              <w:keepLines w:val="0"/>
              <w:widowControl w:val="0"/>
              <w:suppressLineNumbers w:val="0"/>
              <w:adjustRightInd w:val="0"/>
              <w:spacing w:before="0" w:beforeAutospacing="0" w:after="0" w:afterAutospacing="0" w:line="360" w:lineRule="auto"/>
              <w:ind w:left="0" w:right="0"/>
              <w:jc w:val="center"/>
              <w:rPr>
                <w:rFonts w:hint="eastAsia" w:asciiTheme="majorEastAsia" w:hAnsiTheme="majorEastAsia" w:eastAsiaTheme="majorEastAsia" w:cstheme="majorEastAsia"/>
                <w:b w:val="0"/>
                <w:bCs/>
                <w:color w:val="auto"/>
                <w:kern w:val="2"/>
                <w:sz w:val="24"/>
                <w:highlight w:val="none"/>
              </w:rPr>
            </w:pPr>
            <w:r>
              <w:rPr>
                <w:rFonts w:hint="eastAsia" w:asciiTheme="majorEastAsia" w:hAnsiTheme="majorEastAsia" w:eastAsiaTheme="majorEastAsia" w:cstheme="majorEastAsia"/>
                <w:b w:val="0"/>
                <w:bCs/>
                <w:color w:val="auto"/>
                <w:kern w:val="2"/>
                <w:sz w:val="24"/>
                <w:highlight w:val="none"/>
              </w:rPr>
              <w:t>2.15.1</w:t>
            </w:r>
          </w:p>
        </w:tc>
        <w:tc>
          <w:tcPr>
            <w:tcW w:w="8149" w:type="dxa"/>
            <w:vAlign w:val="center"/>
          </w:tcPr>
          <w:p>
            <w:pPr>
              <w:keepNext w:val="0"/>
              <w:keepLines w:val="0"/>
              <w:widowControl w:val="0"/>
              <w:suppressLineNumbers w:val="0"/>
              <w:adjustRightInd w:val="0"/>
              <w:spacing w:before="0" w:beforeAutospacing="0" w:after="0" w:afterAutospacing="0" w:line="360" w:lineRule="auto"/>
              <w:ind w:left="0" w:right="0"/>
              <w:jc w:val="center"/>
              <w:rPr>
                <w:rFonts w:hint="eastAsia" w:asciiTheme="majorEastAsia" w:hAnsiTheme="majorEastAsia" w:eastAsiaTheme="majorEastAsia" w:cstheme="majorEastAsia"/>
                <w:b w:val="0"/>
                <w:bCs/>
                <w:color w:val="auto"/>
                <w:kern w:val="2"/>
                <w:sz w:val="24"/>
                <w:highlight w:val="none"/>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227" w:hRule="atLeast"/>
        </w:trPr>
        <w:tc>
          <w:tcPr>
            <w:tcW w:w="977" w:type="dxa"/>
            <w:tcBorders>
              <w:left w:val="single" w:color="auto" w:sz="4" w:space="0"/>
            </w:tcBorders>
            <w:vAlign w:val="center"/>
          </w:tcPr>
          <w:p>
            <w:pPr>
              <w:keepNext w:val="0"/>
              <w:keepLines w:val="0"/>
              <w:widowControl w:val="0"/>
              <w:suppressLineNumbers w:val="0"/>
              <w:adjustRightInd w:val="0"/>
              <w:spacing w:before="0" w:beforeAutospacing="0" w:after="0" w:afterAutospacing="0" w:line="360" w:lineRule="auto"/>
              <w:ind w:left="0" w:right="0"/>
              <w:jc w:val="center"/>
              <w:rPr>
                <w:rFonts w:hint="eastAsia" w:asciiTheme="majorEastAsia" w:hAnsiTheme="majorEastAsia" w:eastAsiaTheme="majorEastAsia" w:cstheme="majorEastAsia"/>
                <w:b w:val="0"/>
                <w:bCs/>
                <w:color w:val="auto"/>
                <w:kern w:val="2"/>
                <w:sz w:val="24"/>
                <w:highlight w:val="none"/>
              </w:rPr>
            </w:pPr>
            <w:r>
              <w:rPr>
                <w:rFonts w:hint="eastAsia" w:asciiTheme="majorEastAsia" w:hAnsiTheme="majorEastAsia" w:eastAsiaTheme="majorEastAsia" w:cstheme="majorEastAsia"/>
                <w:b w:val="0"/>
                <w:bCs/>
                <w:color w:val="auto"/>
                <w:kern w:val="2"/>
                <w:sz w:val="24"/>
                <w:highlight w:val="none"/>
              </w:rPr>
              <w:t>2.15.3</w:t>
            </w:r>
          </w:p>
        </w:tc>
        <w:tc>
          <w:tcPr>
            <w:tcW w:w="8149" w:type="dxa"/>
            <w:vAlign w:val="center"/>
          </w:tcPr>
          <w:p>
            <w:pPr>
              <w:keepNext w:val="0"/>
              <w:keepLines w:val="0"/>
              <w:widowControl w:val="0"/>
              <w:suppressLineNumbers w:val="0"/>
              <w:adjustRightInd w:val="0"/>
              <w:spacing w:before="0" w:beforeAutospacing="0" w:after="0" w:afterAutospacing="0" w:line="360" w:lineRule="auto"/>
              <w:ind w:left="0" w:right="0"/>
              <w:jc w:val="center"/>
              <w:rPr>
                <w:rFonts w:hint="eastAsia" w:asciiTheme="majorEastAsia" w:hAnsiTheme="majorEastAsia" w:eastAsiaTheme="majorEastAsia" w:cstheme="majorEastAsia"/>
                <w:b w:val="0"/>
                <w:bCs/>
                <w:color w:val="auto"/>
                <w:kern w:val="2"/>
                <w:sz w:val="24"/>
                <w:highlight w:val="none"/>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227" w:hRule="atLeast"/>
        </w:trPr>
        <w:tc>
          <w:tcPr>
            <w:tcW w:w="977" w:type="dxa"/>
            <w:tcBorders>
              <w:left w:val="single" w:color="auto" w:sz="4" w:space="0"/>
            </w:tcBorders>
          </w:tcPr>
          <w:p>
            <w:pPr>
              <w:keepNext w:val="0"/>
              <w:keepLines w:val="0"/>
              <w:widowControl w:val="0"/>
              <w:suppressLineNumbers w:val="0"/>
              <w:adjustRightInd w:val="0"/>
              <w:spacing w:before="0" w:beforeAutospacing="0" w:after="0" w:afterAutospacing="0" w:line="360" w:lineRule="auto"/>
              <w:ind w:left="0" w:right="0"/>
              <w:jc w:val="center"/>
              <w:rPr>
                <w:rFonts w:hint="eastAsia" w:asciiTheme="majorEastAsia" w:hAnsiTheme="majorEastAsia" w:eastAsiaTheme="majorEastAsia" w:cstheme="majorEastAsia"/>
                <w:b w:val="0"/>
                <w:bCs/>
                <w:color w:val="auto"/>
                <w:kern w:val="2"/>
                <w:sz w:val="24"/>
                <w:highlight w:val="none"/>
              </w:rPr>
            </w:pPr>
            <w:r>
              <w:rPr>
                <w:rFonts w:hint="eastAsia" w:asciiTheme="majorEastAsia" w:hAnsiTheme="majorEastAsia" w:eastAsiaTheme="majorEastAsia" w:cstheme="majorEastAsia"/>
                <w:b w:val="0"/>
                <w:bCs/>
                <w:color w:val="auto"/>
                <w:kern w:val="2"/>
                <w:sz w:val="24"/>
                <w:highlight w:val="none"/>
              </w:rPr>
              <w:t>2.19</w:t>
            </w:r>
          </w:p>
        </w:tc>
        <w:tc>
          <w:tcPr>
            <w:tcW w:w="8149" w:type="dxa"/>
          </w:tcPr>
          <w:p>
            <w:pPr>
              <w:keepNext w:val="0"/>
              <w:keepLines w:val="0"/>
              <w:widowControl w:val="0"/>
              <w:suppressLineNumbers w:val="0"/>
              <w:adjustRightInd w:val="0"/>
              <w:spacing w:before="0" w:beforeAutospacing="0" w:after="0" w:afterAutospacing="0" w:line="360" w:lineRule="auto"/>
              <w:ind w:left="0" w:right="0"/>
              <w:jc w:val="center"/>
              <w:rPr>
                <w:rFonts w:hint="eastAsia" w:asciiTheme="majorEastAsia" w:hAnsiTheme="majorEastAsia" w:eastAsiaTheme="majorEastAsia" w:cstheme="majorEastAsia"/>
                <w:b w:val="0"/>
                <w:bCs/>
                <w:color w:val="auto"/>
                <w:kern w:val="2"/>
                <w:sz w:val="24"/>
                <w:highlight w:val="none"/>
              </w:rPr>
            </w:pPr>
          </w:p>
        </w:tc>
      </w:tr>
    </w:tbl>
    <w:p>
      <w:pPr>
        <w:widowControl w:val="0"/>
        <w:adjustRightInd w:val="0"/>
        <w:spacing w:after="0" w:line="360" w:lineRule="auto"/>
        <w:jc w:val="center"/>
        <w:rPr>
          <w:rFonts w:hint="eastAsia" w:asciiTheme="majorEastAsia" w:hAnsiTheme="majorEastAsia" w:eastAsiaTheme="majorEastAsia" w:cstheme="majorEastAsia"/>
          <w:b w:val="0"/>
          <w:bCs/>
          <w:color w:val="auto"/>
          <w:kern w:val="2"/>
          <w:sz w:val="24"/>
          <w:highlight w:val="none"/>
        </w:rPr>
      </w:pPr>
    </w:p>
    <w:p>
      <w:pPr>
        <w:spacing w:line="276" w:lineRule="auto"/>
        <w:rPr>
          <w:color w:val="auto"/>
          <w:highlight w:val="none"/>
        </w:rPr>
      </w:pPr>
    </w:p>
    <w:p>
      <w:pPr>
        <w:pStyle w:val="3"/>
        <w:rPr>
          <w:color w:val="auto"/>
          <w:highlight w:val="none"/>
        </w:rPr>
      </w:pPr>
      <w:r>
        <w:rPr>
          <w:rFonts w:hint="eastAsia"/>
          <w:color w:val="auto"/>
          <w:highlight w:val="none"/>
        </w:rPr>
        <w:t>第六部分</w:t>
      </w:r>
      <w:r>
        <w:rPr>
          <w:color w:val="auto"/>
          <w:highlight w:val="none"/>
        </w:rPr>
        <w:t xml:space="preserve"> </w:t>
      </w:r>
      <w:r>
        <w:rPr>
          <w:rFonts w:hint="eastAsia"/>
          <w:color w:val="auto"/>
          <w:highlight w:val="none"/>
        </w:rPr>
        <w:t>应提交的有关格式范例</w:t>
      </w:r>
    </w:p>
    <w:p>
      <w:pPr>
        <w:pStyle w:val="2"/>
        <w:rPr>
          <w:color w:val="auto"/>
          <w:highlight w:val="none"/>
        </w:rPr>
      </w:pPr>
      <w:r>
        <w:rPr>
          <w:rFonts w:hint="eastAsia"/>
          <w:color w:val="auto"/>
          <w:highlight w:val="none"/>
        </w:rPr>
        <w:t>资格文件部分</w:t>
      </w:r>
    </w:p>
    <w:p>
      <w:pPr>
        <w:jc w:val="center"/>
        <w:rPr>
          <w:b/>
          <w:color w:val="auto"/>
          <w:sz w:val="40"/>
          <w:highlight w:val="none"/>
        </w:rPr>
      </w:pPr>
      <w:r>
        <w:rPr>
          <w:rFonts w:hint="eastAsia"/>
          <w:b/>
          <w:color w:val="auto"/>
          <w:sz w:val="40"/>
          <w:highlight w:val="none"/>
        </w:rPr>
        <w:t>目录</w:t>
      </w:r>
    </w:p>
    <w:p>
      <w:pPr>
        <w:snapToGrid w:val="0"/>
        <w:spacing w:line="360" w:lineRule="auto"/>
        <w:rPr>
          <w:rFonts w:ascii="仿宋_GB2312" w:eastAsia="仿宋_GB2312" w:cs="仿宋_GB2312"/>
          <w:color w:val="auto"/>
          <w:highlight w:val="none"/>
        </w:rPr>
      </w:pPr>
      <w:r>
        <w:rPr>
          <w:rFonts w:hint="eastAsia" w:ascii="仿宋_GB2312" w:eastAsia="仿宋_GB2312" w:cs="仿宋_GB2312"/>
          <w:color w:val="auto"/>
          <w:highlight w:val="none"/>
        </w:rPr>
        <w:t>（</w:t>
      </w:r>
      <w:r>
        <w:rPr>
          <w:rFonts w:ascii="仿宋_GB2312" w:eastAsia="仿宋_GB2312" w:cs="仿宋_GB2312"/>
          <w:color w:val="auto"/>
          <w:highlight w:val="none"/>
        </w:rPr>
        <w:t>1）符合参加政府采购活动应当具备的一般条件的承诺函……</w:t>
      </w:r>
      <w:r>
        <w:rPr>
          <w:rFonts w:hint="eastAsia" w:ascii="仿宋_GB2312" w:eastAsia="仿宋_GB2312" w:cs="仿宋_GB2312"/>
          <w:color w:val="auto"/>
          <w:highlight w:val="none"/>
        </w:rPr>
        <w:t>………（页码）</w:t>
      </w:r>
    </w:p>
    <w:p>
      <w:pPr>
        <w:snapToGrid w:val="0"/>
        <w:spacing w:line="360" w:lineRule="auto"/>
        <w:rPr>
          <w:rFonts w:ascii="仿宋_GB2312" w:eastAsia="仿宋_GB2312" w:cs="仿宋_GB2312"/>
          <w:color w:val="auto"/>
          <w:highlight w:val="none"/>
        </w:rPr>
      </w:pPr>
      <w:r>
        <w:rPr>
          <w:rFonts w:hint="eastAsia" w:ascii="仿宋_GB2312" w:eastAsia="仿宋_GB2312" w:cs="仿宋_GB2312"/>
          <w:color w:val="auto"/>
          <w:highlight w:val="none"/>
        </w:rPr>
        <w:t>（</w:t>
      </w:r>
      <w:r>
        <w:rPr>
          <w:rFonts w:ascii="仿宋_GB2312" w:eastAsia="仿宋_GB2312" w:cs="仿宋_GB2312"/>
          <w:color w:val="auto"/>
          <w:highlight w:val="none"/>
        </w:rPr>
        <w:t>2）落实政府采购政策需满足的资格要求……</w:t>
      </w:r>
      <w:r>
        <w:rPr>
          <w:rFonts w:hint="eastAsia" w:ascii="仿宋_GB2312" w:eastAsia="仿宋_GB2312" w:cs="仿宋_GB2312"/>
          <w:color w:val="auto"/>
          <w:highlight w:val="none"/>
        </w:rPr>
        <w:t>…………………………（页码）</w:t>
      </w:r>
    </w:p>
    <w:p>
      <w:pPr>
        <w:snapToGrid w:val="0"/>
        <w:spacing w:line="360" w:lineRule="auto"/>
        <w:rPr>
          <w:rFonts w:ascii="仿宋_GB2312" w:eastAsia="仿宋_GB2312" w:cs="仿宋_GB2312"/>
          <w:color w:val="auto"/>
          <w:highlight w:val="none"/>
        </w:rPr>
      </w:pPr>
      <w:r>
        <w:rPr>
          <w:rFonts w:hint="eastAsia" w:ascii="仿宋_GB2312" w:eastAsia="仿宋_GB2312" w:cs="仿宋_GB2312"/>
          <w:color w:val="auto"/>
          <w:highlight w:val="none"/>
        </w:rPr>
        <w:t>（</w:t>
      </w:r>
      <w:r>
        <w:rPr>
          <w:rFonts w:ascii="仿宋_GB2312" w:eastAsia="仿宋_GB2312" w:cs="仿宋_GB2312"/>
          <w:color w:val="auto"/>
          <w:highlight w:val="none"/>
        </w:rPr>
        <w:t>3）本项目的特定资格要求……</w:t>
      </w:r>
      <w:r>
        <w:rPr>
          <w:rFonts w:hint="eastAsia" w:ascii="仿宋_GB2312" w:eastAsia="仿宋_GB2312" w:cs="仿宋_GB2312"/>
          <w:color w:val="auto"/>
          <w:highlight w:val="none"/>
        </w:rPr>
        <w:t>…………………………………………（页码）</w:t>
      </w:r>
    </w:p>
    <w:p>
      <w:pPr>
        <w:spacing w:line="276" w:lineRule="auto"/>
        <w:rPr>
          <w:rFonts w:ascii="仿宋_GB2312" w:eastAsia="仿宋_GB2312" w:cs="仿宋_GB2312"/>
          <w:color w:val="auto"/>
          <w:highlight w:val="none"/>
        </w:rPr>
      </w:pPr>
      <w:r>
        <w:rPr>
          <w:rFonts w:ascii="仿宋_GB2312" w:eastAsia="仿宋_GB2312" w:cs="仿宋_GB2312"/>
          <w:color w:val="auto"/>
          <w:highlight w:val="none"/>
        </w:rPr>
        <w:br w:type="page"/>
      </w:r>
    </w:p>
    <w:p>
      <w:pPr>
        <w:pStyle w:val="2"/>
        <w:rPr>
          <w:color w:val="auto"/>
          <w:highlight w:val="none"/>
        </w:rPr>
      </w:pPr>
      <w:r>
        <w:rPr>
          <w:color w:val="auto"/>
          <w:highlight w:val="none"/>
        </w:rPr>
        <w:t>一、 符合参加政府采购活动应当具备的一般条件的承诺函</w:t>
      </w:r>
    </w:p>
    <w:p>
      <w:pPr>
        <w:snapToGrid w:val="0"/>
        <w:spacing w:line="360" w:lineRule="auto"/>
        <w:rPr>
          <w:rFonts w:ascii="仿宋_GB2312" w:eastAsia="仿宋_GB2312" w:cs="仿宋_GB2312"/>
          <w:color w:val="auto"/>
          <w:highlight w:val="none"/>
        </w:rPr>
      </w:pPr>
      <w:r>
        <w:rPr>
          <w:rFonts w:hint="eastAsia" w:ascii="仿宋_GB2312" w:eastAsia="仿宋_GB2312" w:cs="仿宋_GB2312"/>
          <w:color w:val="auto"/>
          <w:highlight w:val="none"/>
        </w:rPr>
        <w:t>（采购人）、（采购代理机构）：</w:t>
      </w:r>
    </w:p>
    <w:p>
      <w:pPr>
        <w:snapToGrid w:val="0"/>
        <w:spacing w:line="360" w:lineRule="auto"/>
        <w:ind w:firstLine="480" w:firstLineChars="200"/>
        <w:rPr>
          <w:rFonts w:ascii="仿宋_GB2312" w:eastAsia="仿宋_GB2312" w:cs="仿宋_GB2312"/>
          <w:color w:val="auto"/>
          <w:highlight w:val="none"/>
        </w:rPr>
      </w:pPr>
      <w:r>
        <w:rPr>
          <w:rFonts w:hint="eastAsia" w:ascii="仿宋_GB2312" w:eastAsia="仿宋_GB2312" w:cs="仿宋_GB2312"/>
          <w:color w:val="auto"/>
          <w:highlight w:val="none"/>
        </w:rPr>
        <w:t>我方参与（项目名称）【招标编号：</w:t>
      </w:r>
      <w:r>
        <w:rPr>
          <w:rFonts w:hint="eastAsia" w:ascii="仿宋_GB2312" w:eastAsia="仿宋_GB2312"/>
          <w:color w:val="auto"/>
          <w:highlight w:val="none"/>
        </w:rPr>
        <w:t>（采购编号）</w:t>
      </w:r>
      <w:r>
        <w:rPr>
          <w:rFonts w:hint="eastAsia" w:ascii="仿宋_GB2312" w:eastAsia="仿宋_GB2312" w:cs="仿宋_GB2312"/>
          <w:color w:val="auto"/>
          <w:highlight w:val="none"/>
        </w:rPr>
        <w:t>】政府采购活动，郑重承诺：</w:t>
      </w:r>
    </w:p>
    <w:p>
      <w:pPr>
        <w:snapToGrid w:val="0"/>
        <w:spacing w:line="360" w:lineRule="auto"/>
        <w:ind w:firstLine="360" w:firstLineChars="150"/>
        <w:rPr>
          <w:rFonts w:ascii="仿宋_GB2312" w:eastAsia="仿宋_GB2312" w:cs="仿宋_GB2312"/>
          <w:color w:val="auto"/>
          <w:highlight w:val="none"/>
        </w:rPr>
      </w:pPr>
      <w:r>
        <w:rPr>
          <w:rFonts w:hint="eastAsia" w:ascii="仿宋_GB2312" w:eastAsia="仿宋_GB2312" w:cs="仿宋_GB2312"/>
          <w:color w:val="auto"/>
          <w:highlight w:val="none"/>
        </w:rPr>
        <w:t>（一）具备《中华人民共和国政府采购法》第二十二条第一款规定的条件：</w:t>
      </w:r>
    </w:p>
    <w:p>
      <w:pPr>
        <w:snapToGrid w:val="0"/>
        <w:spacing w:line="360" w:lineRule="auto"/>
        <w:ind w:firstLine="480" w:firstLineChars="200"/>
        <w:rPr>
          <w:rFonts w:ascii="仿宋_GB2312" w:eastAsia="仿宋_GB2312" w:cs="仿宋_GB2312"/>
          <w:color w:val="auto"/>
          <w:highlight w:val="none"/>
        </w:rPr>
      </w:pPr>
      <w:r>
        <w:rPr>
          <w:rFonts w:hint="eastAsia" w:ascii="仿宋_GB2312" w:eastAsia="仿宋_GB2312" w:cs="仿宋_GB2312"/>
          <w:color w:val="auto"/>
          <w:highlight w:val="none"/>
        </w:rPr>
        <w:t>1、</w:t>
      </w:r>
      <w:r>
        <w:rPr>
          <w:rFonts w:ascii="仿宋_GB2312" w:eastAsia="仿宋_GB2312" w:cs="仿宋_GB2312"/>
          <w:color w:val="auto"/>
          <w:highlight w:val="none"/>
        </w:rPr>
        <w:t>具有独立承担民事责任的能力；</w:t>
      </w:r>
    </w:p>
    <w:p>
      <w:pPr>
        <w:snapToGrid w:val="0"/>
        <w:spacing w:line="360" w:lineRule="auto"/>
        <w:ind w:firstLine="480" w:firstLineChars="200"/>
        <w:rPr>
          <w:rFonts w:ascii="仿宋_GB2312" w:eastAsia="仿宋_GB2312"/>
          <w:color w:val="auto"/>
          <w:highlight w:val="none"/>
        </w:rPr>
      </w:pPr>
      <w:r>
        <w:rPr>
          <w:rFonts w:hint="eastAsia" w:ascii="仿宋_GB2312" w:eastAsia="仿宋_GB2312"/>
          <w:color w:val="auto"/>
          <w:highlight w:val="none"/>
        </w:rPr>
        <w:t>2、</w:t>
      </w:r>
      <w:r>
        <w:rPr>
          <w:rFonts w:ascii="仿宋_GB2312" w:eastAsia="仿宋_GB2312"/>
          <w:color w:val="auto"/>
          <w:highlight w:val="none"/>
        </w:rPr>
        <w:t xml:space="preserve">具有良好的商业信誉和健全的财务会计制度； </w:t>
      </w:r>
    </w:p>
    <w:p>
      <w:pPr>
        <w:snapToGrid w:val="0"/>
        <w:spacing w:line="360" w:lineRule="auto"/>
        <w:ind w:firstLine="480" w:firstLineChars="200"/>
        <w:rPr>
          <w:rFonts w:ascii="仿宋_GB2312" w:eastAsia="仿宋_GB2312"/>
          <w:color w:val="auto"/>
          <w:highlight w:val="none"/>
        </w:rPr>
      </w:pPr>
      <w:r>
        <w:rPr>
          <w:rFonts w:hint="eastAsia" w:ascii="仿宋_GB2312" w:eastAsia="仿宋_GB2312"/>
          <w:color w:val="auto"/>
          <w:highlight w:val="none"/>
        </w:rPr>
        <w:t>3、</w:t>
      </w:r>
      <w:r>
        <w:rPr>
          <w:rFonts w:ascii="仿宋_GB2312" w:eastAsia="仿宋_GB2312"/>
          <w:color w:val="auto"/>
          <w:highlight w:val="none"/>
        </w:rPr>
        <w:t>具有履行合同所必需的设备和专业技术能力；</w:t>
      </w:r>
    </w:p>
    <w:p>
      <w:pPr>
        <w:snapToGrid w:val="0"/>
        <w:spacing w:line="360" w:lineRule="auto"/>
        <w:ind w:firstLine="480" w:firstLineChars="200"/>
        <w:rPr>
          <w:rFonts w:ascii="仿宋_GB2312" w:eastAsia="仿宋_GB2312"/>
          <w:color w:val="auto"/>
          <w:highlight w:val="none"/>
        </w:rPr>
      </w:pPr>
      <w:r>
        <w:rPr>
          <w:rFonts w:hint="eastAsia" w:ascii="仿宋_GB2312" w:eastAsia="仿宋_GB2312"/>
          <w:color w:val="auto"/>
          <w:highlight w:val="none"/>
        </w:rPr>
        <w:t>4、</w:t>
      </w:r>
      <w:r>
        <w:rPr>
          <w:rFonts w:ascii="仿宋_GB2312" w:eastAsia="仿宋_GB2312"/>
          <w:color w:val="auto"/>
          <w:highlight w:val="none"/>
        </w:rPr>
        <w:t>有依法缴纳税收和社会保障资金的良好记录；</w:t>
      </w:r>
    </w:p>
    <w:p>
      <w:pPr>
        <w:snapToGrid w:val="0"/>
        <w:spacing w:line="360" w:lineRule="auto"/>
        <w:ind w:firstLine="480" w:firstLineChars="200"/>
        <w:rPr>
          <w:rFonts w:ascii="仿宋_GB2312" w:eastAsia="仿宋_GB2312"/>
          <w:color w:val="auto"/>
          <w:highlight w:val="none"/>
        </w:rPr>
      </w:pPr>
      <w:r>
        <w:rPr>
          <w:rFonts w:hint="eastAsia" w:ascii="仿宋_GB2312" w:eastAsia="仿宋_GB2312"/>
          <w:color w:val="auto"/>
          <w:highlight w:val="none"/>
        </w:rPr>
        <w:t>5、</w:t>
      </w:r>
      <w:r>
        <w:rPr>
          <w:rFonts w:ascii="仿宋_GB2312" w:eastAsia="仿宋_GB2312"/>
          <w:color w:val="auto"/>
          <w:highlight w:val="none"/>
        </w:rPr>
        <w:t>参加政府采购活动前三年内，在经营活动中没有重大违法记录；</w:t>
      </w:r>
    </w:p>
    <w:p>
      <w:pPr>
        <w:snapToGrid w:val="0"/>
        <w:spacing w:line="360" w:lineRule="auto"/>
        <w:ind w:firstLine="480" w:firstLineChars="200"/>
        <w:rPr>
          <w:rFonts w:ascii="仿宋_GB2312" w:eastAsia="仿宋_GB2312"/>
          <w:color w:val="auto"/>
          <w:highlight w:val="none"/>
        </w:rPr>
      </w:pPr>
      <w:r>
        <w:rPr>
          <w:rFonts w:hint="eastAsia" w:ascii="仿宋_GB2312" w:eastAsia="仿宋_GB2312"/>
          <w:color w:val="auto"/>
          <w:highlight w:val="none"/>
        </w:rPr>
        <w:t>6、</w:t>
      </w:r>
      <w:r>
        <w:rPr>
          <w:rFonts w:ascii="仿宋_GB2312" w:eastAsia="仿宋_GB2312"/>
          <w:color w:val="auto"/>
          <w:highlight w:val="none"/>
        </w:rPr>
        <w:t>具有法律、行政法规规定的其他条件。</w:t>
      </w:r>
    </w:p>
    <w:p>
      <w:pPr>
        <w:snapToGrid w:val="0"/>
        <w:spacing w:line="360" w:lineRule="auto"/>
        <w:ind w:firstLine="480" w:firstLineChars="200"/>
        <w:rPr>
          <w:rFonts w:ascii="仿宋_GB2312" w:eastAsia="仿宋_GB2312"/>
          <w:color w:val="auto"/>
          <w:highlight w:val="none"/>
        </w:rPr>
      </w:pPr>
      <w:r>
        <w:rPr>
          <w:rFonts w:hint="eastAsia" w:ascii="仿宋_GB2312" w:eastAsia="仿宋_GB2312"/>
          <w:color w:val="auto"/>
          <w:highlight w:val="none"/>
        </w:rPr>
        <w:t>（二）未被信用中国（</w:t>
      </w:r>
      <w:r>
        <w:rPr>
          <w:rFonts w:ascii="仿宋_GB2312" w:eastAsia="仿宋_GB2312"/>
          <w:color w:val="auto"/>
          <w:highlight w:val="none"/>
        </w:rPr>
        <w:t>www.creditchina.gov.cn)、中国政府采购网（www.ccgp.gov.cn）列入失信被执行人、重大税收违法案件当事人名单、政府采购严重违法失信行为记录名单。</w:t>
      </w:r>
    </w:p>
    <w:p>
      <w:pPr>
        <w:snapToGrid w:val="0"/>
        <w:spacing w:line="360" w:lineRule="auto"/>
        <w:ind w:firstLine="480" w:firstLineChars="200"/>
        <w:rPr>
          <w:rFonts w:ascii="仿宋_GB2312" w:eastAsia="仿宋_GB2312"/>
          <w:color w:val="auto"/>
          <w:highlight w:val="none"/>
        </w:rPr>
      </w:pPr>
      <w:r>
        <w:rPr>
          <w:rFonts w:hint="eastAsia" w:ascii="仿宋_GB2312" w:eastAsia="仿宋_GB2312"/>
          <w:color w:val="auto"/>
          <w:highlight w:val="none"/>
        </w:rPr>
        <w:t>（三）不存在以下情况：</w:t>
      </w:r>
    </w:p>
    <w:p>
      <w:pPr>
        <w:snapToGrid w:val="0"/>
        <w:spacing w:line="360" w:lineRule="auto"/>
        <w:ind w:firstLine="480" w:firstLineChars="200"/>
        <w:rPr>
          <w:rFonts w:ascii="仿宋_GB2312" w:eastAsia="仿宋_GB2312" w:cs="仿宋_GB2312"/>
          <w:color w:val="auto"/>
          <w:highlight w:val="none"/>
        </w:rPr>
      </w:pPr>
      <w:r>
        <w:rPr>
          <w:rFonts w:hint="eastAsia" w:ascii="仿宋_GB2312" w:eastAsia="仿宋_GB2312" w:cs="仿宋_GB2312"/>
          <w:color w:val="auto"/>
          <w:highlight w:val="none"/>
        </w:rPr>
        <w:t>1、</w:t>
      </w:r>
      <w:r>
        <w:rPr>
          <w:rFonts w:ascii="仿宋_GB2312" w:eastAsia="仿宋_GB2312" w:cs="仿宋_GB2312"/>
          <w:color w:val="auto"/>
          <w:highlight w:val="none"/>
        </w:rPr>
        <w:t>单位负责人为同一人或者存在直接控股、管理关系的不同供应商参加同一合同项下的政府采购活动的；</w:t>
      </w:r>
    </w:p>
    <w:p>
      <w:pPr>
        <w:snapToGrid w:val="0"/>
        <w:spacing w:line="360" w:lineRule="auto"/>
        <w:ind w:firstLine="480" w:firstLineChars="200"/>
        <w:rPr>
          <w:rFonts w:ascii="仿宋_GB2312" w:eastAsia="仿宋_GB2312" w:cs="仿宋_GB2312"/>
          <w:color w:val="auto"/>
          <w:highlight w:val="none"/>
        </w:rPr>
      </w:pPr>
      <w:r>
        <w:rPr>
          <w:rFonts w:hint="eastAsia" w:ascii="仿宋_GB2312" w:eastAsia="仿宋_GB2312" w:cs="仿宋_GB2312"/>
          <w:color w:val="auto"/>
          <w:highlight w:val="none"/>
        </w:rPr>
        <w:t>2、</w:t>
      </w:r>
      <w:r>
        <w:rPr>
          <w:rFonts w:ascii="仿宋_GB2312" w:eastAsia="仿宋_GB2312" w:cs="仿宋_GB2312"/>
          <w:color w:val="auto"/>
          <w:highlight w:val="none"/>
        </w:rPr>
        <w:t>为采购项目提供整体设计、规范编制或者项目管理、监理、检测等服务后再参加该采购项目的其他采购活动的。</w:t>
      </w:r>
    </w:p>
    <w:p>
      <w:pPr>
        <w:snapToGrid w:val="0"/>
        <w:spacing w:line="360" w:lineRule="auto"/>
        <w:ind w:firstLine="5520" w:firstLineChars="2300"/>
        <w:rPr>
          <w:rFonts w:ascii="仿宋_GB2312" w:eastAsia="仿宋_GB2312" w:cs="仿宋_GB2312"/>
          <w:color w:val="auto"/>
          <w:highlight w:val="none"/>
        </w:rPr>
      </w:pPr>
      <w:r>
        <w:rPr>
          <w:rFonts w:hint="eastAsia" w:ascii="仿宋_GB2312" w:eastAsia="仿宋_GB2312" w:cs="仿宋_GB2312"/>
          <w:color w:val="auto"/>
          <w:highlight w:val="none"/>
          <w:lang w:val="zh-CN"/>
        </w:rPr>
        <w:t>投标人名称</w:t>
      </w:r>
      <w:r>
        <w:rPr>
          <w:rFonts w:ascii="仿宋_GB2312" w:eastAsia="仿宋_GB2312" w:cs="仿宋_GB2312"/>
          <w:color w:val="auto"/>
          <w:highlight w:val="none"/>
          <w:lang w:val="zh-CN"/>
        </w:rPr>
        <w:t>(电子签名)：</w:t>
      </w:r>
    </w:p>
    <w:p>
      <w:pPr>
        <w:snapToGrid w:val="0"/>
        <w:spacing w:line="360" w:lineRule="auto"/>
        <w:rPr>
          <w:rFonts w:ascii="仿宋_GB2312" w:eastAsia="仿宋_GB2312" w:cs="仿宋_GB2312"/>
          <w:color w:val="auto"/>
          <w:highlight w:val="none"/>
        </w:rPr>
      </w:pPr>
      <w:r>
        <w:rPr>
          <w:rFonts w:ascii="仿宋_GB2312" w:eastAsia="仿宋_GB2312" w:cs="仿宋_GB2312"/>
          <w:color w:val="auto"/>
          <w:highlight w:val="none"/>
          <w:lang w:val="zh-CN"/>
        </w:rPr>
        <w:t xml:space="preserve">                        </w:t>
      </w:r>
      <w:r>
        <w:rPr>
          <w:rFonts w:ascii="仿宋_GB2312" w:eastAsia="仿宋_GB2312" w:cs="仿宋_GB2312"/>
          <w:color w:val="auto"/>
          <w:highlight w:val="none"/>
        </w:rPr>
        <w:t xml:space="preserve">                      </w:t>
      </w:r>
      <w:r>
        <w:rPr>
          <w:rFonts w:hint="eastAsia" w:ascii="仿宋_GB2312" w:eastAsia="仿宋_GB2312" w:cs="仿宋_GB2312"/>
          <w:color w:val="auto"/>
          <w:highlight w:val="none"/>
          <w:lang w:val="zh-CN"/>
        </w:rPr>
        <w:t>日期</w:t>
      </w:r>
      <w:r>
        <w:rPr>
          <w:rFonts w:hint="eastAsia" w:ascii="仿宋_GB2312" w:eastAsia="仿宋_GB2312" w:cs="仿宋_GB2312"/>
          <w:color w:val="auto"/>
          <w:highlight w:val="none"/>
        </w:rPr>
        <w:t>：</w:t>
      </w:r>
      <w:r>
        <w:rPr>
          <w:rFonts w:ascii="仿宋_GB2312" w:eastAsia="仿宋_GB2312" w:cs="仿宋_GB2312"/>
          <w:color w:val="auto"/>
          <w:highlight w:val="none"/>
        </w:rPr>
        <w:t xml:space="preserve">  年  </w:t>
      </w:r>
      <w:r>
        <w:rPr>
          <w:rFonts w:hint="eastAsia" w:ascii="仿宋_GB2312" w:eastAsia="仿宋_GB2312" w:cs="仿宋_GB2312"/>
          <w:color w:val="auto"/>
          <w:highlight w:val="none"/>
          <w:lang w:val="zh-CN"/>
        </w:rPr>
        <w:t>月</w:t>
      </w:r>
      <w:r>
        <w:rPr>
          <w:rFonts w:ascii="仿宋_GB2312" w:eastAsia="仿宋_GB2312" w:cs="仿宋_GB2312"/>
          <w:color w:val="auto"/>
          <w:highlight w:val="none"/>
        </w:rPr>
        <w:t xml:space="preserve">   </w:t>
      </w:r>
      <w:r>
        <w:rPr>
          <w:rFonts w:hint="eastAsia" w:ascii="仿宋_GB2312" w:eastAsia="仿宋_GB2312" w:cs="仿宋_GB2312"/>
          <w:color w:val="auto"/>
          <w:highlight w:val="none"/>
          <w:lang w:val="zh-CN"/>
        </w:rPr>
        <w:t>日</w:t>
      </w:r>
    </w:p>
    <w:p>
      <w:pPr>
        <w:snapToGrid w:val="0"/>
        <w:spacing w:line="360" w:lineRule="auto"/>
        <w:ind w:right="480"/>
        <w:jc w:val="center"/>
        <w:rPr>
          <w:rFonts w:ascii="仿宋_GB2312" w:eastAsia="仿宋_GB2312" w:cs="仿宋_GB2312"/>
          <w:b/>
          <w:color w:val="auto"/>
          <w:sz w:val="32"/>
          <w:szCs w:val="32"/>
          <w:highlight w:val="none"/>
        </w:rPr>
      </w:pPr>
    </w:p>
    <w:p>
      <w:pPr>
        <w:pStyle w:val="2"/>
        <w:rPr>
          <w:color w:val="auto"/>
          <w:highlight w:val="none"/>
        </w:rPr>
      </w:pPr>
      <w:r>
        <w:rPr>
          <w:rFonts w:hint="eastAsia"/>
          <w:color w:val="auto"/>
          <w:highlight w:val="none"/>
        </w:rPr>
        <w:t>二、落实政府采购政策需满足的资格要求</w:t>
      </w:r>
    </w:p>
    <w:p>
      <w:pPr>
        <w:rPr>
          <w:color w:val="auto"/>
          <w:highlight w:val="none"/>
        </w:rPr>
      </w:pPr>
      <w:r>
        <w:rPr>
          <w:rFonts w:hint="eastAsia" w:cs="仿宋_GB2312"/>
          <w:color w:val="auto"/>
          <w:highlight w:val="none"/>
        </w:rPr>
        <w:t>（根据招标公告</w:t>
      </w:r>
      <w:r>
        <w:rPr>
          <w:rFonts w:hint="eastAsia"/>
          <w:color w:val="auto"/>
          <w:highlight w:val="none"/>
        </w:rPr>
        <w:t>落实政府采购政策需满足的资格要求选择提供相应的材料；未要求的，无需提供</w:t>
      </w:r>
      <w:r>
        <w:rPr>
          <w:rFonts w:hint="eastAsia" w:cs="仿宋_GB2312"/>
          <w:color w:val="auto"/>
          <w:highlight w:val="none"/>
        </w:rPr>
        <w:t>）</w:t>
      </w:r>
    </w:p>
    <w:p>
      <w:pPr>
        <w:rPr>
          <w:rFonts w:cs="仿宋_GB2312"/>
          <w:color w:val="auto"/>
          <w:highlight w:val="none"/>
        </w:rPr>
      </w:pPr>
      <w:r>
        <w:rPr>
          <w:rFonts w:cs="仿宋_GB2312"/>
          <w:b/>
          <w:color w:val="auto"/>
          <w:highlight w:val="none"/>
        </w:rPr>
        <w:t>A</w:t>
      </w:r>
      <w:r>
        <w:rPr>
          <w:rFonts w:cs="仿宋_GB2312"/>
          <w:color w:val="auto"/>
          <w:highlight w:val="none"/>
        </w:rPr>
        <w:t>.</w:t>
      </w:r>
      <w:r>
        <w:rPr>
          <w:rFonts w:hint="eastAsia" w:cs="仿宋_GB2312"/>
          <w:color w:val="auto"/>
          <w:highlight w:val="none"/>
        </w:rPr>
        <w:t>专门面向中小企业，货物全部由符合政策要求的中小企业（或小微企业）制造或者服务全部由符合政策要求的中小企业（或小微企业）承接的，提供相应的中小企业声明函（附件</w:t>
      </w:r>
      <w:r>
        <w:rPr>
          <w:rFonts w:cs="仿宋_GB2312"/>
          <w:color w:val="auto"/>
          <w:highlight w:val="none"/>
        </w:rPr>
        <w:t>5</w:t>
      </w:r>
      <w:r>
        <w:rPr>
          <w:rFonts w:hint="eastAsia" w:cs="仿宋_GB2312"/>
          <w:color w:val="auto"/>
          <w:highlight w:val="none"/>
        </w:rPr>
        <w:t>）。</w:t>
      </w:r>
      <w:r>
        <w:rPr>
          <w:rFonts w:cs="仿宋_GB2312"/>
          <w:color w:val="auto"/>
          <w:highlight w:val="none"/>
        </w:rPr>
        <w:t xml:space="preserve"> </w:t>
      </w:r>
    </w:p>
    <w:p>
      <w:pPr>
        <w:rPr>
          <w:rFonts w:cs="仿宋_GB2312"/>
          <w:color w:val="auto"/>
          <w:highlight w:val="none"/>
        </w:rPr>
      </w:pPr>
      <w:r>
        <w:rPr>
          <w:rFonts w:cs="仿宋_GB2312"/>
          <w:b/>
          <w:color w:val="auto"/>
          <w:highlight w:val="none"/>
        </w:rPr>
        <w:t>B.</w:t>
      </w:r>
      <w:r>
        <w:rPr>
          <w:rFonts w:hint="eastAsia" w:cs="仿宋_GB2312"/>
          <w:color w:val="auto"/>
          <w:highlight w:val="none"/>
        </w:rPr>
        <w:t>要求以联合体形式参加的，提供联合协议和中小企业声明函（附件</w:t>
      </w:r>
      <w:r>
        <w:rPr>
          <w:rFonts w:cs="仿宋_GB2312"/>
          <w:color w:val="auto"/>
          <w:highlight w:val="none"/>
        </w:rPr>
        <w:t>5</w:t>
      </w:r>
      <w:r>
        <w:rPr>
          <w:rFonts w:hint="eastAsia" w:cs="仿宋_GB2312"/>
          <w:color w:val="auto"/>
          <w:highlight w:val="none"/>
        </w:rPr>
        <w:t>），联合协议中中小企业合同金额应当达到招标公告载明的比例；如果供应商本身提供所有标的均由中小企业制造或承接的，视同符合了资格条件，无需再与其他中小企业组成联合体参加政府采购活动，无需提供联合协议。</w:t>
      </w:r>
    </w:p>
    <w:p>
      <w:pPr>
        <w:rPr>
          <w:color w:val="auto"/>
          <w:highlight w:val="none"/>
        </w:rPr>
      </w:pPr>
      <w:r>
        <w:rPr>
          <w:rFonts w:cs="仿宋_GB2312"/>
          <w:b/>
          <w:color w:val="auto"/>
          <w:highlight w:val="none"/>
        </w:rPr>
        <w:t>C、</w:t>
      </w:r>
      <w:r>
        <w:rPr>
          <w:rFonts w:hint="eastAsia" w:cs="仿宋_GB2312"/>
          <w:color w:val="auto"/>
          <w:highlight w:val="none"/>
        </w:rPr>
        <w:t>要求合同分包的，提供分包意向协议和中小企业声明函（附件</w:t>
      </w:r>
      <w:r>
        <w:rPr>
          <w:rFonts w:cs="仿宋_GB2312"/>
          <w:color w:val="auto"/>
          <w:highlight w:val="none"/>
        </w:rPr>
        <w:t>5</w:t>
      </w:r>
      <w:r>
        <w:rPr>
          <w:rFonts w:hint="eastAsia" w:cs="仿宋_GB2312"/>
          <w:color w:val="auto"/>
          <w:highlight w:val="none"/>
        </w:rPr>
        <w:t>），分包意向协议中中小企业合同金额应当达到招标公告载明的比例；如果供应商本身提供所有标的均由中小企业制造或承接，视同符合了资格条件，无需再向中小企业分包，无需提供分包意向协议。</w:t>
      </w:r>
    </w:p>
    <w:p>
      <w:pPr>
        <w:jc w:val="center"/>
        <w:rPr>
          <w:rFonts w:cs="仿宋_GB2312"/>
          <w:b/>
          <w:color w:val="auto"/>
          <w:sz w:val="32"/>
          <w:szCs w:val="32"/>
          <w:highlight w:val="none"/>
          <w:lang w:val="zh-CN"/>
        </w:rPr>
      </w:pPr>
      <w:r>
        <w:rPr>
          <w:rFonts w:hint="eastAsia" w:cs="仿宋_GB2312"/>
          <w:b/>
          <w:color w:val="auto"/>
          <w:sz w:val="32"/>
          <w:szCs w:val="32"/>
          <w:highlight w:val="none"/>
          <w:lang w:val="zh-CN"/>
        </w:rPr>
        <w:t>联合协议</w:t>
      </w:r>
    </w:p>
    <w:p>
      <w:pPr>
        <w:rPr>
          <w:rFonts w:cs="仿宋_GB2312"/>
          <w:color w:val="auto"/>
          <w:highlight w:val="none"/>
          <w:lang w:val="zh-CN"/>
        </w:rPr>
      </w:pPr>
      <w:r>
        <w:rPr>
          <w:rFonts w:hint="eastAsia" w:cs="仿宋_GB2312"/>
          <w:color w:val="auto"/>
          <w:highlight w:val="none"/>
          <w:u w:val="single"/>
        </w:rPr>
        <w:t>（联合体所有成员名称）</w:t>
      </w:r>
      <w:r>
        <w:rPr>
          <w:rFonts w:hint="eastAsia" w:cs="仿宋_GB2312"/>
          <w:color w:val="auto"/>
          <w:highlight w:val="none"/>
        </w:rPr>
        <w:t>自愿</w:t>
      </w:r>
      <w:r>
        <w:rPr>
          <w:rFonts w:hint="eastAsia" w:cs="仿宋_GB2312"/>
          <w:color w:val="auto"/>
          <w:highlight w:val="none"/>
          <w:lang w:val="zh-CN"/>
        </w:rPr>
        <w:t>组成一个联合体，以一个投标人的身份</w:t>
      </w:r>
      <w:r>
        <w:rPr>
          <w:rFonts w:hint="eastAsia" w:cs="仿宋_GB2312"/>
          <w:color w:val="auto"/>
          <w:highlight w:val="none"/>
        </w:rPr>
        <w:t>参加（项目名称）【招标编号：</w:t>
      </w:r>
      <w:r>
        <w:rPr>
          <w:rFonts w:hint="eastAsia"/>
          <w:color w:val="auto"/>
          <w:highlight w:val="none"/>
        </w:rPr>
        <w:t>（采购编号）</w:t>
      </w:r>
      <w:r>
        <w:rPr>
          <w:rFonts w:hint="eastAsia" w:cs="仿宋_GB2312"/>
          <w:color w:val="auto"/>
          <w:highlight w:val="none"/>
        </w:rPr>
        <w:t>】</w:t>
      </w:r>
      <w:r>
        <w:rPr>
          <w:rFonts w:hint="eastAsia" w:cs="仿宋_GB2312"/>
          <w:color w:val="auto"/>
          <w:highlight w:val="none"/>
          <w:lang w:val="zh-CN"/>
        </w:rPr>
        <w:t>投标。</w:t>
      </w:r>
      <w:r>
        <w:rPr>
          <w:rFonts w:cs="仿宋_GB2312"/>
          <w:color w:val="auto"/>
          <w:highlight w:val="none"/>
          <w:lang w:val="zh-CN"/>
        </w:rPr>
        <w:t xml:space="preserve"> </w:t>
      </w:r>
    </w:p>
    <w:p>
      <w:pPr>
        <w:rPr>
          <w:rFonts w:cs="仿宋_GB2312"/>
          <w:color w:val="auto"/>
          <w:highlight w:val="none"/>
          <w:lang w:val="zh-CN"/>
        </w:rPr>
      </w:pPr>
      <w:r>
        <w:rPr>
          <w:rFonts w:hint="eastAsia" w:cs="仿宋_GB2312"/>
          <w:color w:val="auto"/>
          <w:highlight w:val="none"/>
          <w:lang w:val="zh-CN"/>
        </w:rPr>
        <w:t>一、各方一致决定，</w:t>
      </w:r>
      <w:r>
        <w:rPr>
          <w:rFonts w:hint="eastAsia" w:cs="仿宋_GB2312"/>
          <w:color w:val="auto"/>
          <w:highlight w:val="none"/>
          <w:u w:val="single"/>
        </w:rPr>
        <w:t>（某联合体成员名称）</w:t>
      </w:r>
      <w:r>
        <w:rPr>
          <w:rFonts w:hint="eastAsia" w:cs="仿宋_GB2312"/>
          <w:color w:val="auto"/>
          <w:highlight w:val="none"/>
        </w:rPr>
        <w:t>为联合体</w:t>
      </w:r>
      <w:r>
        <w:rPr>
          <w:rFonts w:hint="eastAsia" w:cs="仿宋_GB2312"/>
          <w:color w:val="auto"/>
          <w:highlight w:val="none"/>
          <w:lang w:val="zh-CN"/>
        </w:rPr>
        <w:t>牵头人</w:t>
      </w:r>
      <w:r>
        <w:rPr>
          <w:rFonts w:hint="eastAsia" w:cs="Arial"/>
          <w:color w:val="auto"/>
          <w:highlight w:val="none"/>
        </w:rPr>
        <w:t>，代表所有联合体成员负责投标和合同实施阶段的主办、协调工作</w:t>
      </w:r>
      <w:r>
        <w:rPr>
          <w:rFonts w:hint="eastAsia" w:cs="仿宋_GB2312"/>
          <w:color w:val="auto"/>
          <w:highlight w:val="none"/>
          <w:lang w:val="zh-CN"/>
        </w:rPr>
        <w:t>。</w:t>
      </w:r>
    </w:p>
    <w:p>
      <w:pPr>
        <w:rPr>
          <w:rFonts w:cs="仿宋_GB2312"/>
          <w:color w:val="auto"/>
          <w:highlight w:val="none"/>
          <w:lang w:val="zh-CN"/>
        </w:rPr>
      </w:pPr>
      <w:r>
        <w:rPr>
          <w:rFonts w:hint="eastAsia" w:cs="仿宋_GB2312"/>
          <w:color w:val="auto"/>
          <w:highlight w:val="none"/>
          <w:lang w:val="zh-CN"/>
        </w:rPr>
        <w:t>二、</w:t>
      </w:r>
      <w:r>
        <w:rPr>
          <w:rFonts w:hint="eastAsia" w:cs="Arial"/>
          <w:color w:val="auto"/>
          <w:highlight w:val="none"/>
        </w:rPr>
        <w:t>所有联合体成员各方签署授权书，授权书载明的</w:t>
      </w:r>
      <w:r>
        <w:rPr>
          <w:rFonts w:hint="eastAsia" w:cs="仿宋_GB2312"/>
          <w:color w:val="auto"/>
          <w:highlight w:val="none"/>
          <w:lang w:val="zh-CN"/>
        </w:rPr>
        <w:t>授权代表根据招标文件规定及投标内容而对采购人、采购机构所作的任何合法承诺，包括书面澄清及相应等均对联合投标各方产生约束力。</w:t>
      </w:r>
    </w:p>
    <w:p>
      <w:pPr>
        <w:rPr>
          <w:rFonts w:cs="仿宋_GB2312"/>
          <w:color w:val="auto"/>
          <w:highlight w:val="none"/>
          <w:lang w:val="zh-CN"/>
        </w:rPr>
      </w:pPr>
      <w:r>
        <w:rPr>
          <w:rFonts w:hint="eastAsia" w:cs="仿宋_GB2312"/>
          <w:color w:val="auto"/>
          <w:highlight w:val="none"/>
          <w:lang w:val="zh-CN"/>
        </w:rPr>
        <w:t>三、本次联合投标中，分工如下：</w:t>
      </w:r>
      <w:r>
        <w:rPr>
          <w:rFonts w:hint="eastAsia" w:cs="仿宋_GB2312"/>
          <w:color w:val="auto"/>
          <w:highlight w:val="none"/>
          <w:u w:val="single"/>
        </w:rPr>
        <w:t>（联合体其中一方成员名称）</w:t>
      </w:r>
      <w:r>
        <w:rPr>
          <w:rFonts w:hint="eastAsia" w:cs="仿宋_GB2312"/>
          <w:color w:val="auto"/>
          <w:highlight w:val="none"/>
          <w:lang w:val="zh-CN"/>
        </w:rPr>
        <w:t>承担的工作和义务为：</w:t>
      </w:r>
      <w:r>
        <w:rPr>
          <w:color w:val="auto"/>
          <w:highlight w:val="none"/>
          <w:u w:val="single"/>
        </w:rPr>
        <w:t xml:space="preserve">             </w:t>
      </w:r>
      <w:r>
        <w:rPr>
          <w:rFonts w:hint="eastAsia" w:cs="仿宋_GB2312"/>
          <w:color w:val="auto"/>
          <w:highlight w:val="none"/>
          <w:lang w:val="zh-CN"/>
        </w:rPr>
        <w:t>；</w:t>
      </w:r>
      <w:r>
        <w:rPr>
          <w:rFonts w:hint="eastAsia" w:cs="仿宋_GB2312"/>
          <w:color w:val="auto"/>
          <w:highlight w:val="none"/>
          <w:u w:val="single"/>
        </w:rPr>
        <w:t>（联合体其中一方成员名称）</w:t>
      </w:r>
      <w:r>
        <w:rPr>
          <w:rFonts w:hint="eastAsia" w:cs="仿宋_GB2312"/>
          <w:color w:val="auto"/>
          <w:highlight w:val="none"/>
          <w:lang w:val="zh-CN"/>
        </w:rPr>
        <w:t>承担的工作和义务为：</w:t>
      </w:r>
      <w:r>
        <w:rPr>
          <w:color w:val="auto"/>
          <w:highlight w:val="none"/>
          <w:u w:val="single"/>
        </w:rPr>
        <w:t xml:space="preserve">            </w:t>
      </w:r>
      <w:r>
        <w:rPr>
          <w:rFonts w:cs="仿宋_GB2312"/>
          <w:color w:val="auto"/>
          <w:highlight w:val="none"/>
          <w:lang w:val="zh-CN"/>
        </w:rPr>
        <w:t xml:space="preserve"> ；……。</w:t>
      </w:r>
    </w:p>
    <w:p>
      <w:pPr>
        <w:rPr>
          <w:rFonts w:cs="仿宋_GB2312"/>
          <w:color w:val="auto"/>
          <w:highlight w:val="none"/>
          <w:lang w:val="zh-CN"/>
        </w:rPr>
      </w:pPr>
      <w:r>
        <w:rPr>
          <w:rFonts w:hint="eastAsia" w:cs="仿宋_GB2312"/>
          <w:color w:val="auto"/>
          <w:highlight w:val="none"/>
          <w:lang w:val="zh-CN"/>
        </w:rPr>
        <w:t>四、</w:t>
      </w:r>
      <w:r>
        <w:rPr>
          <w:rFonts w:hint="eastAsia"/>
          <w:color w:val="auto"/>
          <w:highlight w:val="none"/>
        </w:rPr>
        <w:t>中小企业合同金额达到</w:t>
      </w:r>
      <w:r>
        <w:rPr>
          <w:color w:val="auto"/>
          <w:highlight w:val="none"/>
          <w:u w:val="single"/>
        </w:rPr>
        <w:t xml:space="preserve">  </w:t>
      </w:r>
      <w:r>
        <w:rPr>
          <w:color w:val="auto"/>
          <w:highlight w:val="none"/>
        </w:rPr>
        <w:t>%，小</w:t>
      </w:r>
      <w:r>
        <w:rPr>
          <w:rFonts w:hint="eastAsia"/>
          <w:color w:val="auto"/>
          <w:highlight w:val="none"/>
        </w:rPr>
        <w:t>微企业合同金额达到</w:t>
      </w:r>
      <w:r>
        <w:rPr>
          <w:color w:val="auto"/>
          <w:highlight w:val="none"/>
          <w:u w:val="single"/>
        </w:rPr>
        <w:t xml:space="preserve"> </w:t>
      </w:r>
      <w:r>
        <w:rPr>
          <w:color w:val="auto"/>
          <w:highlight w:val="none"/>
        </w:rPr>
        <w:t>%</w:t>
      </w:r>
      <w:r>
        <w:rPr>
          <w:rFonts w:hint="eastAsia" w:cs="仿宋_GB2312"/>
          <w:color w:val="auto"/>
          <w:highlight w:val="none"/>
          <w:lang w:val="zh-CN"/>
        </w:rPr>
        <w:t>。</w:t>
      </w:r>
    </w:p>
    <w:p>
      <w:pPr>
        <w:rPr>
          <w:rFonts w:cs="仿宋_GB2312"/>
          <w:color w:val="auto"/>
          <w:highlight w:val="none"/>
          <w:lang w:val="zh-CN"/>
        </w:rPr>
      </w:pPr>
      <w:r>
        <w:rPr>
          <w:rFonts w:hint="eastAsia" w:cs="仿宋_GB2312"/>
          <w:color w:val="auto"/>
          <w:highlight w:val="none"/>
          <w:lang w:val="zh-CN"/>
        </w:rPr>
        <w:t>五、如果中标，</w:t>
      </w:r>
      <w:r>
        <w:rPr>
          <w:rFonts w:hint="eastAsia"/>
          <w:color w:val="auto"/>
          <w:highlight w:val="none"/>
        </w:rPr>
        <w:t>联合体各成员方共同与采购人签订合同，并就采购合同约定的事项对采购人承担连带责任。</w:t>
      </w:r>
    </w:p>
    <w:p>
      <w:pPr>
        <w:rPr>
          <w:rFonts w:cs="仿宋_GB2312"/>
          <w:color w:val="auto"/>
          <w:highlight w:val="none"/>
          <w:lang w:val="zh-CN"/>
        </w:rPr>
      </w:pPr>
      <w:r>
        <w:rPr>
          <w:rFonts w:hint="eastAsia" w:cs="仿宋_GB2312"/>
          <w:color w:val="auto"/>
          <w:highlight w:val="none"/>
          <w:lang w:val="zh-CN"/>
        </w:rPr>
        <w:t>六、有关本次联合投标的其他事宜：</w:t>
      </w:r>
    </w:p>
    <w:p>
      <w:pPr>
        <w:rPr>
          <w:rFonts w:cs="仿宋_GB2312"/>
          <w:color w:val="auto"/>
          <w:highlight w:val="none"/>
          <w:lang w:val="zh-CN"/>
        </w:rPr>
      </w:pPr>
      <w:r>
        <w:rPr>
          <w:rFonts w:cs="仿宋_GB2312"/>
          <w:color w:val="auto"/>
          <w:highlight w:val="none"/>
          <w:lang w:val="zh-CN"/>
        </w:rPr>
        <w:t>1、联合体各方不再单独参加或者与其</w:t>
      </w:r>
      <w:r>
        <w:rPr>
          <w:rFonts w:hint="eastAsia" w:cs="仿宋_GB2312"/>
          <w:color w:val="auto"/>
          <w:highlight w:val="none"/>
          <w:lang w:val="zh-CN"/>
        </w:rPr>
        <w:t>他供应商另外组成联合体参加同一合同项下的政府采购活动。</w:t>
      </w:r>
    </w:p>
    <w:p>
      <w:pPr>
        <w:rPr>
          <w:rFonts w:cs="仿宋_GB2312"/>
          <w:color w:val="auto"/>
          <w:highlight w:val="none"/>
          <w:lang w:val="zh-CN"/>
        </w:rPr>
      </w:pPr>
      <w:r>
        <w:rPr>
          <w:rFonts w:cs="仿宋_GB2312"/>
          <w:color w:val="auto"/>
          <w:highlight w:val="none"/>
          <w:lang w:val="zh-CN"/>
        </w:rPr>
        <w:t>2、联合体中有同类资质的各方按照联合体分工承担相同工作的，按照资质等级较低的供应商确定资质等级。</w:t>
      </w:r>
    </w:p>
    <w:p>
      <w:pPr>
        <w:rPr>
          <w:rFonts w:cs="仿宋_GB2312"/>
          <w:color w:val="auto"/>
          <w:highlight w:val="none"/>
          <w:lang w:val="zh-CN"/>
        </w:rPr>
      </w:pPr>
      <w:r>
        <w:rPr>
          <w:rFonts w:cs="仿宋_GB2312"/>
          <w:color w:val="auto"/>
          <w:highlight w:val="none"/>
          <w:lang w:val="zh-CN"/>
        </w:rPr>
        <w:t>3、本协议提交采购人、采购机构后，联合体各方不得以任何形式对上述内容进行修改或撤销。</w:t>
      </w:r>
    </w:p>
    <w:p>
      <w:pPr>
        <w:rPr>
          <w:rFonts w:cs="仿宋_GB2312"/>
          <w:color w:val="auto"/>
          <w:highlight w:val="none"/>
          <w:lang w:val="zh-CN"/>
        </w:rPr>
      </w:pPr>
      <w:r>
        <w:rPr>
          <w:rFonts w:hint="eastAsia" w:cs="仿宋_GB2312"/>
          <w:color w:val="auto"/>
          <w:highlight w:val="none"/>
          <w:lang w:val="zh-CN"/>
        </w:rPr>
        <w:t>联合体成员名称</w:t>
      </w:r>
      <w:r>
        <w:rPr>
          <w:rFonts w:cs="仿宋_GB2312"/>
          <w:color w:val="auto"/>
          <w:highlight w:val="none"/>
          <w:lang w:val="zh-CN"/>
        </w:rPr>
        <w:t>(电子签名/公章)：</w:t>
      </w:r>
    </w:p>
    <w:p>
      <w:pPr>
        <w:rPr>
          <w:rFonts w:cs="仿宋_GB2312"/>
          <w:color w:val="auto"/>
          <w:highlight w:val="none"/>
          <w:lang w:val="zh-CN"/>
        </w:rPr>
      </w:pPr>
      <w:r>
        <w:rPr>
          <w:rFonts w:hint="eastAsia" w:cs="仿宋_GB2312"/>
          <w:color w:val="auto"/>
          <w:highlight w:val="none"/>
          <w:lang w:val="zh-CN"/>
        </w:rPr>
        <w:t>联合体成员名称</w:t>
      </w:r>
      <w:r>
        <w:rPr>
          <w:rFonts w:cs="仿宋_GB2312"/>
          <w:color w:val="auto"/>
          <w:highlight w:val="none"/>
          <w:lang w:val="zh-CN"/>
        </w:rPr>
        <w:t>(电子签名/公章)：</w:t>
      </w:r>
    </w:p>
    <w:p>
      <w:pPr>
        <w:rPr>
          <w:rFonts w:cs="仿宋_GB2312"/>
          <w:color w:val="auto"/>
          <w:highlight w:val="none"/>
          <w:lang w:val="zh-CN"/>
        </w:rPr>
      </w:pPr>
      <w:r>
        <w:rPr>
          <w:rFonts w:cs="仿宋_GB2312"/>
          <w:color w:val="auto"/>
          <w:highlight w:val="none"/>
          <w:lang w:val="zh-CN"/>
        </w:rPr>
        <w:t xml:space="preserve">                                               日期：  年  月   日</w:t>
      </w:r>
    </w:p>
    <w:p>
      <w:pPr>
        <w:jc w:val="center"/>
        <w:rPr>
          <w:rFonts w:cs="仿宋_GB2312"/>
          <w:b/>
          <w:color w:val="auto"/>
          <w:sz w:val="32"/>
          <w:szCs w:val="32"/>
          <w:highlight w:val="none"/>
        </w:rPr>
      </w:pPr>
      <w:r>
        <w:rPr>
          <w:rFonts w:hint="eastAsia" w:cs="仿宋_GB2312"/>
          <w:b/>
          <w:color w:val="auto"/>
          <w:sz w:val="32"/>
          <w:szCs w:val="32"/>
          <w:highlight w:val="none"/>
        </w:rPr>
        <w:t>分包意向协议</w:t>
      </w:r>
    </w:p>
    <w:p>
      <w:pPr>
        <w:rPr>
          <w:rFonts w:cs="仿宋_GB2312"/>
          <w:color w:val="auto"/>
          <w:highlight w:val="none"/>
        </w:rPr>
      </w:pPr>
      <w:r>
        <w:rPr>
          <w:rFonts w:hint="eastAsia" w:cs="仿宋_GB2312"/>
          <w:color w:val="auto"/>
          <w:highlight w:val="none"/>
        </w:rPr>
        <w:t>（</w:t>
      </w:r>
      <w:r>
        <w:rPr>
          <w:rFonts w:hint="eastAsia" w:cs="仿宋_GB2312"/>
          <w:b/>
          <w:color w:val="auto"/>
          <w:highlight w:val="none"/>
        </w:rPr>
        <w:t>中标后以分包方式履行合同的，提供分包意向协议；采购人不同意分包或者投标人中标后不以分包方式履行合同的，则不需要提供。</w:t>
      </w:r>
      <w:r>
        <w:rPr>
          <w:rFonts w:hint="eastAsia" w:cs="仿宋_GB2312"/>
          <w:color w:val="auto"/>
          <w:highlight w:val="none"/>
        </w:rPr>
        <w:t>）</w:t>
      </w:r>
    </w:p>
    <w:p>
      <w:pPr>
        <w:rPr>
          <w:rFonts w:cs="仿宋_GB2312"/>
          <w:color w:val="auto"/>
          <w:highlight w:val="none"/>
          <w:lang w:val="zh-CN"/>
        </w:rPr>
      </w:pPr>
      <w:r>
        <w:rPr>
          <w:rFonts w:hint="eastAsia" w:cs="仿宋_GB2312"/>
          <w:color w:val="auto"/>
          <w:highlight w:val="none"/>
          <w:u w:val="single"/>
        </w:rPr>
        <w:t>（投标人名称）</w:t>
      </w:r>
      <w:r>
        <w:rPr>
          <w:rFonts w:hint="eastAsia" w:cs="仿宋_GB2312"/>
          <w:color w:val="auto"/>
          <w:highlight w:val="none"/>
          <w:lang w:val="zh-CN"/>
        </w:rPr>
        <w:t>若成为</w:t>
      </w:r>
      <w:r>
        <w:rPr>
          <w:rFonts w:hint="eastAsia" w:cs="仿宋_GB2312"/>
          <w:color w:val="auto"/>
          <w:highlight w:val="none"/>
        </w:rPr>
        <w:t>（项目名称）【招标编号：</w:t>
      </w:r>
      <w:r>
        <w:rPr>
          <w:rFonts w:hint="eastAsia"/>
          <w:color w:val="auto"/>
          <w:highlight w:val="none"/>
        </w:rPr>
        <w:t>（采购编号）</w:t>
      </w:r>
      <w:r>
        <w:rPr>
          <w:rFonts w:hint="eastAsia" w:cs="仿宋_GB2312"/>
          <w:color w:val="auto"/>
          <w:highlight w:val="none"/>
        </w:rPr>
        <w:t>】</w:t>
      </w:r>
      <w:r>
        <w:rPr>
          <w:rFonts w:hint="eastAsia" w:cs="仿宋_GB2312"/>
          <w:color w:val="auto"/>
          <w:highlight w:val="none"/>
          <w:lang w:val="zh-CN"/>
        </w:rPr>
        <w:t>的中标供应商，将依法采取分包方式履行合同。</w:t>
      </w:r>
      <w:r>
        <w:rPr>
          <w:rFonts w:hint="eastAsia" w:cs="仿宋_GB2312"/>
          <w:color w:val="auto"/>
          <w:highlight w:val="none"/>
          <w:u w:val="single"/>
        </w:rPr>
        <w:t>（投标人名称）</w:t>
      </w:r>
      <w:r>
        <w:rPr>
          <w:rFonts w:hint="eastAsia" w:cs="仿宋_GB2312"/>
          <w:color w:val="auto"/>
          <w:highlight w:val="none"/>
        </w:rPr>
        <w:t>与</w:t>
      </w:r>
      <w:r>
        <w:rPr>
          <w:rFonts w:hint="eastAsia" w:cs="仿宋_GB2312"/>
          <w:color w:val="auto"/>
          <w:highlight w:val="none"/>
          <w:u w:val="single"/>
        </w:rPr>
        <w:t>（所有分包供应商名称）</w:t>
      </w:r>
      <w:r>
        <w:rPr>
          <w:rFonts w:hint="eastAsia" w:cs="仿宋_GB2312"/>
          <w:color w:val="auto"/>
          <w:highlight w:val="none"/>
        </w:rPr>
        <w:t>达成分包意向协议</w:t>
      </w:r>
      <w:r>
        <w:rPr>
          <w:rFonts w:hint="eastAsia" w:cs="仿宋_GB2312"/>
          <w:color w:val="auto"/>
          <w:highlight w:val="none"/>
          <w:lang w:val="zh-CN"/>
        </w:rPr>
        <w:t>。</w:t>
      </w:r>
      <w:r>
        <w:rPr>
          <w:rFonts w:cs="仿宋_GB2312"/>
          <w:color w:val="auto"/>
          <w:highlight w:val="none"/>
          <w:lang w:val="zh-CN"/>
        </w:rPr>
        <w:t xml:space="preserve"> </w:t>
      </w:r>
    </w:p>
    <w:p>
      <w:pPr>
        <w:rPr>
          <w:rFonts w:cs="仿宋_GB2312"/>
          <w:color w:val="auto"/>
          <w:highlight w:val="none"/>
          <w:lang w:val="zh-CN"/>
        </w:rPr>
      </w:pPr>
      <w:r>
        <w:rPr>
          <w:rFonts w:hint="eastAsia" w:cs="仿宋_GB2312"/>
          <w:color w:val="auto"/>
          <w:highlight w:val="none"/>
          <w:lang w:val="zh-CN"/>
        </w:rPr>
        <w:t>一、分包标的及数量</w:t>
      </w:r>
    </w:p>
    <w:p>
      <w:pPr>
        <w:rPr>
          <w:rFonts w:cs="仿宋_GB2312"/>
          <w:color w:val="auto"/>
          <w:highlight w:val="none"/>
          <w:lang w:val="zh-CN"/>
        </w:rPr>
      </w:pPr>
      <w:r>
        <w:rPr>
          <w:rFonts w:hint="eastAsia" w:cs="仿宋_GB2312"/>
          <w:color w:val="auto"/>
          <w:highlight w:val="none"/>
          <w:u w:val="single"/>
        </w:rPr>
        <w:t>（投标人名称）</w:t>
      </w:r>
      <w:r>
        <w:rPr>
          <w:rFonts w:hint="eastAsia" w:cs="仿宋_GB2312"/>
          <w:color w:val="auto"/>
          <w:highlight w:val="none"/>
          <w:lang w:val="zh-CN"/>
        </w:rPr>
        <w:t>将</w:t>
      </w:r>
      <w:r>
        <w:rPr>
          <w:color w:val="auto"/>
          <w:highlight w:val="none"/>
          <w:u w:val="single"/>
        </w:rPr>
        <w:t xml:space="preserve">   XX工作内容   </w:t>
      </w:r>
      <w:r>
        <w:rPr>
          <w:rFonts w:hint="eastAsia" w:cs="Arial"/>
          <w:color w:val="auto"/>
          <w:highlight w:val="none"/>
        </w:rPr>
        <w:t>分包给</w:t>
      </w:r>
      <w:r>
        <w:rPr>
          <w:rFonts w:hint="eastAsia" w:cs="仿宋_GB2312"/>
          <w:color w:val="auto"/>
          <w:highlight w:val="none"/>
          <w:u w:val="single"/>
        </w:rPr>
        <w:t>（某分包供应商名称）</w:t>
      </w:r>
      <w:r>
        <w:rPr>
          <w:rFonts w:hint="eastAsia" w:cs="仿宋_GB2312"/>
          <w:color w:val="auto"/>
          <w:highlight w:val="none"/>
          <w:lang w:val="zh-CN"/>
        </w:rPr>
        <w:t>，</w:t>
      </w:r>
      <w:r>
        <w:rPr>
          <w:rFonts w:hint="eastAsia" w:cs="仿宋_GB2312"/>
          <w:color w:val="auto"/>
          <w:highlight w:val="none"/>
          <w:u w:val="single"/>
        </w:rPr>
        <w:t>（某分包供应商名称），</w:t>
      </w:r>
      <w:r>
        <w:rPr>
          <w:rFonts w:hint="eastAsia" w:cs="仿宋_GB2312"/>
          <w:color w:val="auto"/>
          <w:highlight w:val="none"/>
          <w:lang w:val="zh-CN"/>
        </w:rPr>
        <w:t>具备承</w:t>
      </w:r>
      <w:r>
        <w:rPr>
          <w:rFonts w:hint="eastAsia" w:cs="仿宋_GB2312"/>
          <w:color w:val="auto"/>
          <w:highlight w:val="none"/>
        </w:rPr>
        <w:t>担</w:t>
      </w:r>
      <w:r>
        <w:rPr>
          <w:rFonts w:cs="仿宋_GB2312"/>
          <w:color w:val="auto"/>
          <w:highlight w:val="none"/>
          <w:u w:val="single"/>
          <w:lang w:val="zh-CN"/>
        </w:rPr>
        <w:t>XX工作内容</w:t>
      </w:r>
      <w:r>
        <w:rPr>
          <w:rFonts w:hint="eastAsia" w:cs="仿宋_GB2312"/>
          <w:color w:val="auto"/>
          <w:highlight w:val="none"/>
          <w:lang w:val="zh-CN"/>
        </w:rPr>
        <w:t>相应资质条件且不得再次分包；</w:t>
      </w:r>
    </w:p>
    <w:p>
      <w:pPr>
        <w:rPr>
          <w:rFonts w:cs="仿宋_GB2312"/>
          <w:color w:val="auto"/>
          <w:highlight w:val="none"/>
          <w:lang w:val="zh-CN"/>
        </w:rPr>
      </w:pPr>
      <w:r>
        <w:rPr>
          <w:rFonts w:hint="eastAsia" w:cs="仿宋_GB2312"/>
          <w:color w:val="auto"/>
          <w:highlight w:val="none"/>
          <w:lang w:val="zh-CN"/>
        </w:rPr>
        <w:t>二、分包工作履行期限、地点、方式</w:t>
      </w:r>
    </w:p>
    <w:p>
      <w:pPr>
        <w:rPr>
          <w:color w:val="auto"/>
          <w:highlight w:val="none"/>
          <w:u w:val="single"/>
        </w:rPr>
      </w:pPr>
      <w:r>
        <w:rPr>
          <w:color w:val="auto"/>
          <w:highlight w:val="none"/>
          <w:u w:val="single"/>
        </w:rPr>
        <w:t xml:space="preserve">                                                                                  </w:t>
      </w:r>
    </w:p>
    <w:p>
      <w:pPr>
        <w:rPr>
          <w:rFonts w:cs="仿宋_GB2312"/>
          <w:color w:val="auto"/>
          <w:highlight w:val="none"/>
          <w:lang w:val="zh-CN"/>
        </w:rPr>
      </w:pPr>
      <w:r>
        <w:rPr>
          <w:rFonts w:hint="eastAsia" w:cs="仿宋_GB2312"/>
          <w:color w:val="auto"/>
          <w:highlight w:val="none"/>
          <w:lang w:val="zh-CN"/>
        </w:rPr>
        <w:t>三、质量</w:t>
      </w:r>
    </w:p>
    <w:p>
      <w:pPr>
        <w:rPr>
          <w:rFonts w:cs="仿宋_GB2312"/>
          <w:color w:val="auto"/>
          <w:highlight w:val="none"/>
          <w:lang w:val="zh-CN"/>
        </w:rPr>
      </w:pPr>
      <w:r>
        <w:rPr>
          <w:color w:val="auto"/>
          <w:highlight w:val="none"/>
          <w:u w:val="single"/>
        </w:rPr>
        <w:t xml:space="preserve">                                                                                       </w:t>
      </w:r>
    </w:p>
    <w:p>
      <w:pPr>
        <w:rPr>
          <w:rFonts w:cs="仿宋_GB2312"/>
          <w:color w:val="auto"/>
          <w:highlight w:val="none"/>
          <w:lang w:val="zh-CN"/>
        </w:rPr>
      </w:pPr>
      <w:r>
        <w:rPr>
          <w:rFonts w:hint="eastAsia" w:cs="仿宋_GB2312"/>
          <w:color w:val="auto"/>
          <w:highlight w:val="none"/>
          <w:lang w:val="zh-CN"/>
        </w:rPr>
        <w:t>四、价款或者报酬</w:t>
      </w:r>
    </w:p>
    <w:p>
      <w:pPr>
        <w:rPr>
          <w:rFonts w:cs="仿宋_GB2312"/>
          <w:color w:val="auto"/>
          <w:highlight w:val="none"/>
          <w:lang w:val="zh-CN"/>
        </w:rPr>
      </w:pPr>
      <w:r>
        <w:rPr>
          <w:color w:val="auto"/>
          <w:highlight w:val="none"/>
          <w:u w:val="single"/>
        </w:rPr>
        <w:t xml:space="preserve">                                                                                     </w:t>
      </w:r>
    </w:p>
    <w:p>
      <w:pPr>
        <w:rPr>
          <w:rFonts w:cs="仿宋_GB2312"/>
          <w:color w:val="auto"/>
          <w:highlight w:val="none"/>
          <w:lang w:val="zh-CN"/>
        </w:rPr>
      </w:pPr>
      <w:r>
        <w:rPr>
          <w:rFonts w:hint="eastAsia" w:cs="仿宋_GB2312"/>
          <w:color w:val="auto"/>
          <w:highlight w:val="none"/>
          <w:lang w:val="zh-CN"/>
        </w:rPr>
        <w:t>五、违约责任</w:t>
      </w:r>
    </w:p>
    <w:p>
      <w:pPr>
        <w:rPr>
          <w:rFonts w:cs="仿宋_GB2312"/>
          <w:color w:val="auto"/>
          <w:highlight w:val="none"/>
          <w:lang w:val="zh-CN"/>
        </w:rPr>
      </w:pPr>
      <w:r>
        <w:rPr>
          <w:color w:val="auto"/>
          <w:highlight w:val="none"/>
          <w:u w:val="single"/>
        </w:rPr>
        <w:t xml:space="preserve">                                                                                     </w:t>
      </w:r>
    </w:p>
    <w:p>
      <w:pPr>
        <w:rPr>
          <w:rFonts w:cs="仿宋_GB2312"/>
          <w:color w:val="auto"/>
          <w:highlight w:val="none"/>
          <w:lang w:val="zh-CN"/>
        </w:rPr>
      </w:pPr>
      <w:r>
        <w:rPr>
          <w:rFonts w:hint="eastAsia" w:cs="仿宋_GB2312"/>
          <w:color w:val="auto"/>
          <w:highlight w:val="none"/>
          <w:lang w:val="zh-CN"/>
        </w:rPr>
        <w:t>六、争议解决的办法</w:t>
      </w:r>
    </w:p>
    <w:p>
      <w:pPr>
        <w:rPr>
          <w:rFonts w:cs="仿宋_GB2312"/>
          <w:color w:val="auto"/>
          <w:highlight w:val="none"/>
          <w:lang w:val="zh-CN"/>
        </w:rPr>
      </w:pPr>
      <w:r>
        <w:rPr>
          <w:color w:val="auto"/>
          <w:highlight w:val="none"/>
          <w:u w:val="single"/>
        </w:rPr>
        <w:t xml:space="preserve">                                                                                  </w:t>
      </w:r>
    </w:p>
    <w:p>
      <w:pPr>
        <w:rPr>
          <w:rFonts w:cs="仿宋_GB2312"/>
          <w:color w:val="auto"/>
          <w:highlight w:val="none"/>
          <w:lang w:val="zh-CN"/>
        </w:rPr>
      </w:pPr>
      <w:r>
        <w:rPr>
          <w:rFonts w:hint="eastAsia" w:cs="仿宋_GB2312"/>
          <w:color w:val="auto"/>
          <w:highlight w:val="none"/>
          <w:lang w:val="zh-CN"/>
        </w:rPr>
        <w:t>七、其他</w:t>
      </w:r>
    </w:p>
    <w:p>
      <w:pPr>
        <w:rPr>
          <w:rFonts w:cs="仿宋_GB2312"/>
          <w:color w:val="auto"/>
          <w:highlight w:val="none"/>
          <w:lang w:val="zh-CN"/>
        </w:rPr>
      </w:pPr>
      <w:r>
        <w:rPr>
          <w:rFonts w:hint="eastAsia"/>
          <w:color w:val="auto"/>
          <w:highlight w:val="none"/>
        </w:rPr>
        <w:t>中小企业合同金额达到</w:t>
      </w:r>
      <w:r>
        <w:rPr>
          <w:color w:val="auto"/>
          <w:highlight w:val="none"/>
          <w:u w:val="single"/>
        </w:rPr>
        <w:t xml:space="preserve">  </w:t>
      </w:r>
      <w:r>
        <w:rPr>
          <w:color w:val="auto"/>
          <w:highlight w:val="none"/>
        </w:rPr>
        <w:t>%，小</w:t>
      </w:r>
      <w:r>
        <w:rPr>
          <w:rFonts w:hint="eastAsia"/>
          <w:color w:val="auto"/>
          <w:highlight w:val="none"/>
        </w:rPr>
        <w:t>微企业合同金额达到</w:t>
      </w:r>
      <w:r>
        <w:rPr>
          <w:color w:val="auto"/>
          <w:highlight w:val="none"/>
          <w:u w:val="single"/>
        </w:rPr>
        <w:t xml:space="preserve"> </w:t>
      </w:r>
      <w:r>
        <w:rPr>
          <w:color w:val="auto"/>
          <w:highlight w:val="none"/>
        </w:rPr>
        <w:t>%</w:t>
      </w:r>
      <w:r>
        <w:rPr>
          <w:rFonts w:cs="仿宋_GB2312"/>
          <w:color w:val="auto"/>
          <w:highlight w:val="none"/>
          <w:lang w:val="zh-CN"/>
        </w:rPr>
        <w:t xml:space="preserve">  。                                           投标人名称(电子签名)：</w:t>
      </w:r>
    </w:p>
    <w:p>
      <w:pPr>
        <w:rPr>
          <w:rFonts w:cs="仿宋_GB2312"/>
          <w:color w:val="auto"/>
          <w:highlight w:val="none"/>
          <w:lang w:val="zh-CN"/>
        </w:rPr>
      </w:pPr>
      <w:r>
        <w:rPr>
          <w:rFonts w:hint="eastAsia" w:cs="仿宋_GB2312"/>
          <w:color w:val="auto"/>
          <w:highlight w:val="none"/>
          <w:lang w:val="zh-CN"/>
        </w:rPr>
        <w:t>分包供应商名称：</w:t>
      </w:r>
    </w:p>
    <w:p>
      <w:pPr>
        <w:jc w:val="right"/>
        <w:rPr>
          <w:color w:val="auto"/>
          <w:highlight w:val="none"/>
        </w:rPr>
      </w:pPr>
      <w:r>
        <w:rPr>
          <w:rFonts w:hint="eastAsia" w:cs="仿宋_GB2312"/>
          <w:color w:val="auto"/>
          <w:highlight w:val="none"/>
          <w:lang w:val="zh-CN"/>
        </w:rPr>
        <w:t>……</w:t>
      </w:r>
      <w:r>
        <w:rPr>
          <w:rFonts w:cs="仿宋_GB2312"/>
          <w:color w:val="auto"/>
          <w:highlight w:val="none"/>
          <w:lang w:val="zh-CN"/>
        </w:rPr>
        <w:t xml:space="preserve">    日期：  年  月   日</w:t>
      </w:r>
    </w:p>
    <w:p>
      <w:pPr>
        <w:pStyle w:val="2"/>
        <w:rPr>
          <w:color w:val="auto"/>
          <w:highlight w:val="none"/>
        </w:rPr>
      </w:pPr>
      <w:r>
        <w:rPr>
          <w:rFonts w:hint="eastAsia"/>
          <w:color w:val="auto"/>
          <w:highlight w:val="none"/>
        </w:rPr>
        <w:t>三、本项目的特定资格要求</w:t>
      </w:r>
    </w:p>
    <w:p>
      <w:pPr>
        <w:spacing w:line="360" w:lineRule="auto"/>
        <w:jc w:val="center"/>
        <w:rPr>
          <w:rFonts w:ascii="仿宋_GB2312" w:eastAsia="仿宋_GB2312"/>
          <w:color w:val="auto"/>
          <w:highlight w:val="none"/>
        </w:rPr>
      </w:pPr>
      <w:r>
        <w:rPr>
          <w:rFonts w:hint="eastAsia" w:ascii="仿宋_GB2312" w:eastAsia="仿宋_GB2312" w:cs="仿宋_GB2312"/>
          <w:color w:val="auto"/>
          <w:highlight w:val="none"/>
        </w:rPr>
        <w:t>（根据招标公告本项目的特定资格要求</w:t>
      </w:r>
      <w:r>
        <w:rPr>
          <w:rFonts w:hint="eastAsia" w:ascii="仿宋_GB2312" w:eastAsia="仿宋_GB2312"/>
          <w:color w:val="auto"/>
          <w:highlight w:val="none"/>
        </w:rPr>
        <w:t>提供相应的材料；未要求的，无需提供</w:t>
      </w:r>
      <w:r>
        <w:rPr>
          <w:rFonts w:hint="eastAsia" w:ascii="仿宋_GB2312" w:eastAsia="仿宋_GB2312" w:cs="仿宋_GB2312"/>
          <w:color w:val="auto"/>
          <w:highlight w:val="none"/>
        </w:rPr>
        <w:t>）</w:t>
      </w:r>
    </w:p>
    <w:p>
      <w:pPr>
        <w:spacing w:line="276" w:lineRule="auto"/>
        <w:rPr>
          <w:color w:val="auto"/>
          <w:highlight w:val="none"/>
        </w:rPr>
      </w:pPr>
      <w:r>
        <w:rPr>
          <w:color w:val="auto"/>
          <w:highlight w:val="none"/>
        </w:rPr>
        <w:br w:type="page"/>
      </w:r>
    </w:p>
    <w:p>
      <w:pPr>
        <w:pStyle w:val="2"/>
        <w:rPr>
          <w:color w:val="auto"/>
          <w:highlight w:val="none"/>
        </w:rPr>
      </w:pPr>
      <w:r>
        <w:rPr>
          <w:rFonts w:hint="eastAsia"/>
          <w:color w:val="auto"/>
          <w:highlight w:val="none"/>
        </w:rPr>
        <w:t>商务技术文件部分</w:t>
      </w:r>
    </w:p>
    <w:p>
      <w:pPr>
        <w:jc w:val="center"/>
        <w:rPr>
          <w:color w:val="auto"/>
          <w:sz w:val="40"/>
          <w:highlight w:val="none"/>
        </w:rPr>
      </w:pPr>
      <w:r>
        <w:rPr>
          <w:rFonts w:hint="eastAsia"/>
          <w:color w:val="auto"/>
          <w:sz w:val="40"/>
          <w:highlight w:val="none"/>
        </w:rPr>
        <w:t>目录</w:t>
      </w:r>
    </w:p>
    <w:p>
      <w:pPr>
        <w:spacing w:line="360" w:lineRule="auto"/>
        <w:rPr>
          <w:color w:val="auto"/>
          <w:highlight w:val="none"/>
        </w:rPr>
      </w:pPr>
      <w:r>
        <w:rPr>
          <w:rFonts w:hint="eastAsia" w:ascii="仿宋_GB2312" w:eastAsia="仿宋_GB2312"/>
          <w:color w:val="auto"/>
          <w:highlight w:val="none"/>
        </w:rPr>
        <w:t>（</w:t>
      </w:r>
      <w:r>
        <w:rPr>
          <w:rFonts w:ascii="仿宋_GB2312" w:eastAsia="仿宋_GB2312"/>
          <w:color w:val="auto"/>
          <w:highlight w:val="none"/>
        </w:rPr>
        <w:t>1）投标函</w:t>
      </w:r>
      <w:r>
        <w:rPr>
          <w:rFonts w:hint="eastAsia"/>
          <w:color w:val="auto"/>
          <w:highlight w:val="none"/>
        </w:rPr>
        <w:t>……………………………………………………………………（页码）</w:t>
      </w:r>
    </w:p>
    <w:p>
      <w:pPr>
        <w:spacing w:line="360" w:lineRule="auto"/>
        <w:rPr>
          <w:color w:val="auto"/>
          <w:highlight w:val="none"/>
        </w:rPr>
      </w:pPr>
      <w:r>
        <w:rPr>
          <w:rFonts w:hint="eastAsia" w:ascii="仿宋_GB2312" w:eastAsia="仿宋_GB2312"/>
          <w:color w:val="auto"/>
          <w:highlight w:val="none"/>
        </w:rPr>
        <w:t>（</w:t>
      </w:r>
      <w:r>
        <w:rPr>
          <w:rFonts w:ascii="仿宋_GB2312" w:eastAsia="仿宋_GB2312"/>
          <w:color w:val="auto"/>
          <w:highlight w:val="none"/>
        </w:rPr>
        <w:t>2）授权委托书或法定代表人（单位负责人、自然人本人）身份证明</w:t>
      </w:r>
      <w:r>
        <w:rPr>
          <w:rFonts w:hint="eastAsia"/>
          <w:color w:val="auto"/>
          <w:highlight w:val="none"/>
        </w:rPr>
        <w:t>……（页码）</w:t>
      </w:r>
    </w:p>
    <w:p>
      <w:pPr>
        <w:spacing w:line="360" w:lineRule="auto"/>
        <w:rPr>
          <w:color w:val="auto"/>
          <w:highlight w:val="none"/>
        </w:rPr>
      </w:pPr>
      <w:r>
        <w:rPr>
          <w:rFonts w:hint="eastAsia" w:ascii="仿宋_GB2312" w:eastAsia="仿宋_GB2312"/>
          <w:color w:val="auto"/>
          <w:highlight w:val="none"/>
        </w:rPr>
        <w:t>（</w:t>
      </w:r>
      <w:r>
        <w:rPr>
          <w:rFonts w:ascii="仿宋_GB2312" w:eastAsia="仿宋_GB2312"/>
          <w:color w:val="auto"/>
          <w:highlight w:val="none"/>
        </w:rPr>
        <w:t>3）联合协议</w:t>
      </w:r>
      <w:r>
        <w:rPr>
          <w:rFonts w:hint="eastAsia"/>
          <w:color w:val="auto"/>
          <w:highlight w:val="none"/>
        </w:rPr>
        <w:t>……………………………………………………………………（页码）</w:t>
      </w:r>
    </w:p>
    <w:p>
      <w:pPr>
        <w:spacing w:line="360" w:lineRule="auto"/>
        <w:rPr>
          <w:color w:val="auto"/>
          <w:highlight w:val="none"/>
        </w:rPr>
      </w:pPr>
      <w:r>
        <w:rPr>
          <w:rFonts w:hint="eastAsia" w:ascii="仿宋_GB2312" w:eastAsia="仿宋_GB2312"/>
          <w:color w:val="auto"/>
          <w:highlight w:val="none"/>
        </w:rPr>
        <w:t>（</w:t>
      </w:r>
      <w:r>
        <w:rPr>
          <w:rFonts w:ascii="仿宋_GB2312" w:eastAsia="仿宋_GB2312"/>
          <w:color w:val="auto"/>
          <w:highlight w:val="none"/>
        </w:rPr>
        <w:t>4）分包意向协议</w:t>
      </w:r>
      <w:r>
        <w:rPr>
          <w:rFonts w:hint="eastAsia"/>
          <w:color w:val="auto"/>
          <w:highlight w:val="none"/>
        </w:rPr>
        <w:t>………………………………………………………………（页码）</w:t>
      </w:r>
    </w:p>
    <w:p>
      <w:pPr>
        <w:spacing w:line="360" w:lineRule="auto"/>
        <w:rPr>
          <w:color w:val="auto"/>
          <w:highlight w:val="none"/>
        </w:rPr>
      </w:pPr>
      <w:r>
        <w:rPr>
          <w:rFonts w:hint="eastAsia" w:ascii="仿宋_GB2312" w:eastAsia="仿宋_GB2312"/>
          <w:color w:val="auto"/>
          <w:highlight w:val="none"/>
        </w:rPr>
        <w:t>（</w:t>
      </w:r>
      <w:r>
        <w:rPr>
          <w:rFonts w:ascii="仿宋_GB2312" w:eastAsia="仿宋_GB2312"/>
          <w:color w:val="auto"/>
          <w:highlight w:val="none"/>
        </w:rPr>
        <w:t>5）符合性审查资料</w:t>
      </w:r>
      <w:r>
        <w:rPr>
          <w:rFonts w:hint="eastAsia"/>
          <w:color w:val="auto"/>
          <w:highlight w:val="none"/>
        </w:rPr>
        <w:t>…………………………………………………………（页码）</w:t>
      </w:r>
    </w:p>
    <w:p>
      <w:pPr>
        <w:spacing w:line="360" w:lineRule="auto"/>
        <w:rPr>
          <w:color w:val="auto"/>
          <w:highlight w:val="none"/>
        </w:rPr>
      </w:pPr>
      <w:r>
        <w:rPr>
          <w:rFonts w:hint="eastAsia" w:ascii="仿宋_GB2312" w:eastAsia="仿宋_GB2312"/>
          <w:color w:val="auto"/>
          <w:highlight w:val="none"/>
        </w:rPr>
        <w:t>（</w:t>
      </w:r>
      <w:r>
        <w:rPr>
          <w:rFonts w:ascii="仿宋_GB2312" w:eastAsia="仿宋_GB2312"/>
          <w:color w:val="auto"/>
          <w:highlight w:val="none"/>
        </w:rPr>
        <w:t>6）评标标准相应的商务技术资料</w:t>
      </w:r>
      <w:r>
        <w:rPr>
          <w:rFonts w:hint="eastAsia"/>
          <w:color w:val="auto"/>
          <w:highlight w:val="none"/>
        </w:rPr>
        <w:t>…………………………</w:t>
      </w:r>
      <w:r>
        <w:rPr>
          <w:rFonts w:hint="eastAsia" w:ascii="仿宋_GB2312" w:eastAsia="仿宋_GB2312"/>
          <w:color w:val="auto"/>
          <w:highlight w:val="none"/>
        </w:rPr>
        <w:t>………</w:t>
      </w:r>
      <w:r>
        <w:rPr>
          <w:rFonts w:hint="eastAsia"/>
          <w:color w:val="auto"/>
          <w:highlight w:val="none"/>
        </w:rPr>
        <w:t>…………（页码）（</w:t>
      </w:r>
      <w:r>
        <w:rPr>
          <w:color w:val="auto"/>
          <w:highlight w:val="none"/>
        </w:rPr>
        <w:t>7）</w:t>
      </w:r>
      <w:r>
        <w:rPr>
          <w:rFonts w:hint="eastAsia"/>
          <w:color w:val="auto"/>
          <w:highlight w:val="none"/>
        </w:rPr>
        <w:t>投标标的清单………………………………………………………………（页码）</w:t>
      </w:r>
      <w:r>
        <w:rPr>
          <w:rFonts w:hint="eastAsia" w:ascii="仿宋_GB2312" w:eastAsia="仿宋_GB2312"/>
          <w:color w:val="auto"/>
          <w:highlight w:val="none"/>
        </w:rPr>
        <w:t>（8</w:t>
      </w:r>
      <w:r>
        <w:rPr>
          <w:rFonts w:ascii="仿宋_GB2312" w:eastAsia="仿宋_GB2312"/>
          <w:color w:val="auto"/>
          <w:highlight w:val="none"/>
        </w:rPr>
        <w:t>）商务技术偏离表</w:t>
      </w:r>
      <w:r>
        <w:rPr>
          <w:rFonts w:hint="eastAsia"/>
          <w:color w:val="auto"/>
          <w:highlight w:val="none"/>
        </w:rPr>
        <w:t>……………………………………………………………（页码）</w:t>
      </w:r>
    </w:p>
    <w:p>
      <w:pPr>
        <w:spacing w:line="360" w:lineRule="auto"/>
        <w:rPr>
          <w:color w:val="auto"/>
          <w:highlight w:val="none"/>
        </w:rPr>
      </w:pPr>
      <w:r>
        <w:rPr>
          <w:rFonts w:hint="eastAsia" w:ascii="仿宋_GB2312" w:eastAsia="仿宋_GB2312"/>
          <w:color w:val="auto"/>
          <w:highlight w:val="none"/>
          <w:lang w:val="zh-CN"/>
        </w:rPr>
        <w:t>（</w:t>
      </w:r>
      <w:r>
        <w:rPr>
          <w:rFonts w:hint="eastAsia" w:ascii="仿宋_GB2312" w:eastAsia="仿宋_GB2312"/>
          <w:color w:val="auto"/>
          <w:highlight w:val="none"/>
        </w:rPr>
        <w:t>9</w:t>
      </w:r>
      <w:r>
        <w:rPr>
          <w:rFonts w:hint="eastAsia" w:ascii="仿宋_GB2312" w:eastAsia="仿宋_GB2312"/>
          <w:color w:val="auto"/>
          <w:highlight w:val="none"/>
          <w:lang w:val="zh-CN"/>
        </w:rPr>
        <w:t>）政府采购供应商廉洁自律承诺书</w:t>
      </w:r>
      <w:r>
        <w:rPr>
          <w:rFonts w:hint="eastAsia"/>
          <w:color w:val="auto"/>
          <w:highlight w:val="none"/>
        </w:rPr>
        <w:t>…………………………………………（页码）</w:t>
      </w:r>
    </w:p>
    <w:p>
      <w:pPr>
        <w:spacing w:line="360" w:lineRule="auto"/>
        <w:rPr>
          <w:color w:val="auto"/>
          <w:highlight w:val="none"/>
        </w:rPr>
      </w:pPr>
      <w:r>
        <w:rPr>
          <w:color w:val="auto"/>
          <w:highlight w:val="none"/>
        </w:rPr>
        <w:br w:type="page"/>
      </w:r>
    </w:p>
    <w:p>
      <w:pPr>
        <w:pStyle w:val="2"/>
        <w:rPr>
          <w:color w:val="auto"/>
          <w:highlight w:val="none"/>
        </w:rPr>
      </w:pPr>
      <w:r>
        <w:rPr>
          <w:rFonts w:hint="eastAsia"/>
          <w:color w:val="auto"/>
          <w:highlight w:val="none"/>
        </w:rPr>
        <w:t>一、投标函</w:t>
      </w:r>
    </w:p>
    <w:p>
      <w:pPr>
        <w:rPr>
          <w:color w:val="auto"/>
          <w:highlight w:val="none"/>
        </w:rPr>
      </w:pPr>
      <w:r>
        <w:rPr>
          <w:rFonts w:hint="eastAsia"/>
          <w:color w:val="auto"/>
          <w:highlight w:val="none"/>
        </w:rPr>
        <w:t>（采购人）、（采购代理机构）：</w:t>
      </w:r>
    </w:p>
    <w:p>
      <w:pPr>
        <w:rPr>
          <w:color w:val="auto"/>
          <w:highlight w:val="none"/>
        </w:rPr>
      </w:pPr>
      <w:r>
        <w:rPr>
          <w:rFonts w:hint="eastAsia"/>
          <w:color w:val="auto"/>
          <w:highlight w:val="none"/>
        </w:rPr>
        <w:t>我方参加你方组织的（项目名称）【招标编号：（采购编号）】招标的有关活动，并对此项目进行投标。为此：</w:t>
      </w:r>
    </w:p>
    <w:p>
      <w:pPr>
        <w:rPr>
          <w:color w:val="auto"/>
          <w:highlight w:val="none"/>
        </w:rPr>
      </w:pPr>
      <w:r>
        <w:rPr>
          <w:color w:val="auto"/>
          <w:highlight w:val="none"/>
        </w:rPr>
        <w:t>1、我方承诺投标有效期从提交投标文件的截止之日起</w:t>
      </w:r>
      <w:r>
        <w:rPr>
          <w:color w:val="auto"/>
          <w:highlight w:val="none"/>
          <w:u w:val="single"/>
        </w:rPr>
        <w:t xml:space="preserve">     </w:t>
      </w:r>
      <w:r>
        <w:rPr>
          <w:rFonts w:hint="eastAsia"/>
          <w:color w:val="auto"/>
          <w:highlight w:val="none"/>
        </w:rPr>
        <w:t>天（不少于</w:t>
      </w:r>
      <w:r>
        <w:rPr>
          <w:color w:val="auto"/>
          <w:highlight w:val="none"/>
        </w:rPr>
        <w:t>90天）</w:t>
      </w:r>
      <w:r>
        <w:rPr>
          <w:rFonts w:hint="eastAsia"/>
          <w:color w:val="auto"/>
          <w:highlight w:val="none"/>
        </w:rPr>
        <w:t>，本投标文件在投标有效期满之前均具有约束力。</w:t>
      </w:r>
    </w:p>
    <w:p>
      <w:pPr>
        <w:rPr>
          <w:color w:val="auto"/>
          <w:highlight w:val="none"/>
        </w:rPr>
      </w:pPr>
      <w:r>
        <w:rPr>
          <w:color w:val="auto"/>
          <w:highlight w:val="none"/>
        </w:rPr>
        <w:t>2、我方的投标文件包括以下内容：</w:t>
      </w:r>
    </w:p>
    <w:p>
      <w:pPr>
        <w:rPr>
          <w:color w:val="auto"/>
          <w:highlight w:val="none"/>
        </w:rPr>
      </w:pPr>
      <w:r>
        <w:rPr>
          <w:color w:val="auto"/>
          <w:highlight w:val="none"/>
        </w:rPr>
        <w:t>2.1资格文件：</w:t>
      </w:r>
    </w:p>
    <w:p>
      <w:pPr>
        <w:rPr>
          <w:color w:val="auto"/>
          <w:highlight w:val="none"/>
        </w:rPr>
      </w:pPr>
      <w:r>
        <w:rPr>
          <w:color w:val="auto"/>
          <w:highlight w:val="none"/>
        </w:rPr>
        <w:t>2.1.1</w:t>
      </w:r>
      <w:r>
        <w:rPr>
          <w:rFonts w:hint="eastAsia"/>
          <w:color w:val="auto"/>
          <w:highlight w:val="none"/>
        </w:rPr>
        <w:t>承诺函；</w:t>
      </w:r>
    </w:p>
    <w:p>
      <w:pPr>
        <w:rPr>
          <w:color w:val="auto"/>
          <w:highlight w:val="none"/>
        </w:rPr>
      </w:pPr>
      <w:r>
        <w:rPr>
          <w:color w:val="auto"/>
          <w:highlight w:val="none"/>
        </w:rPr>
        <w:t>2.1.2落实政府采购政策需满足的资格要求</w:t>
      </w:r>
      <w:r>
        <w:rPr>
          <w:rFonts w:hint="eastAsia"/>
          <w:color w:val="auto"/>
          <w:highlight w:val="none"/>
        </w:rPr>
        <w:t>（如果有）；</w:t>
      </w:r>
    </w:p>
    <w:p>
      <w:pPr>
        <w:rPr>
          <w:color w:val="auto"/>
          <w:highlight w:val="none"/>
        </w:rPr>
      </w:pPr>
      <w:r>
        <w:rPr>
          <w:color w:val="auto"/>
          <w:highlight w:val="none"/>
        </w:rPr>
        <w:t>2.1.3本项目的特定资格要求</w:t>
      </w:r>
      <w:r>
        <w:rPr>
          <w:rFonts w:hint="eastAsia"/>
          <w:color w:val="auto"/>
          <w:highlight w:val="none"/>
        </w:rPr>
        <w:t>（如果有）。</w:t>
      </w:r>
    </w:p>
    <w:p>
      <w:pPr>
        <w:rPr>
          <w:color w:val="auto"/>
          <w:highlight w:val="none"/>
          <w:lang w:val="zh-CN"/>
        </w:rPr>
      </w:pPr>
      <w:r>
        <w:rPr>
          <w:color w:val="auto"/>
          <w:highlight w:val="none"/>
        </w:rPr>
        <w:t>2</w:t>
      </w:r>
      <w:r>
        <w:rPr>
          <w:color w:val="auto"/>
          <w:highlight w:val="none"/>
          <w:lang w:val="zh-CN"/>
        </w:rPr>
        <w:t>.</w:t>
      </w:r>
      <w:r>
        <w:rPr>
          <w:color w:val="auto"/>
          <w:highlight w:val="none"/>
        </w:rPr>
        <w:t>2</w:t>
      </w:r>
      <w:r>
        <w:rPr>
          <w:color w:val="auto"/>
          <w:highlight w:val="none"/>
          <w:lang w:val="zh-CN"/>
        </w:rPr>
        <w:t xml:space="preserve"> </w:t>
      </w:r>
      <w:r>
        <w:rPr>
          <w:rFonts w:hint="eastAsia"/>
          <w:color w:val="auto"/>
          <w:highlight w:val="none"/>
        </w:rPr>
        <w:t>商务技术</w:t>
      </w:r>
      <w:r>
        <w:rPr>
          <w:rFonts w:hint="eastAsia"/>
          <w:color w:val="auto"/>
          <w:highlight w:val="none"/>
          <w:lang w:val="zh-CN"/>
        </w:rPr>
        <w:t>文件：</w:t>
      </w:r>
    </w:p>
    <w:p>
      <w:pPr>
        <w:rPr>
          <w:color w:val="auto"/>
          <w:highlight w:val="none"/>
        </w:rPr>
      </w:pPr>
      <w:r>
        <w:rPr>
          <w:color w:val="auto"/>
          <w:highlight w:val="none"/>
        </w:rPr>
        <w:t>2.2.1投标函；</w:t>
      </w:r>
      <w:r>
        <w:rPr>
          <w:color w:val="auto"/>
          <w:highlight w:val="none"/>
          <w:lang w:val="zh-CN"/>
        </w:rPr>
        <w:t xml:space="preserve"> </w:t>
      </w:r>
    </w:p>
    <w:p>
      <w:pPr>
        <w:rPr>
          <w:color w:val="auto"/>
          <w:highlight w:val="none"/>
        </w:rPr>
      </w:pPr>
      <w:r>
        <w:rPr>
          <w:color w:val="auto"/>
          <w:highlight w:val="none"/>
        </w:rPr>
        <w:t>2.2.2授权委托书或法定代表人（单位负责人）身份证明；</w:t>
      </w:r>
    </w:p>
    <w:p>
      <w:pPr>
        <w:rPr>
          <w:color w:val="auto"/>
          <w:highlight w:val="none"/>
        </w:rPr>
      </w:pPr>
      <w:r>
        <w:rPr>
          <w:color w:val="auto"/>
          <w:highlight w:val="none"/>
        </w:rPr>
        <w:t>2.2.3联合协议</w:t>
      </w:r>
      <w:r>
        <w:rPr>
          <w:rFonts w:hint="eastAsia"/>
          <w:color w:val="auto"/>
          <w:highlight w:val="none"/>
        </w:rPr>
        <w:t>（如果有）；</w:t>
      </w:r>
    </w:p>
    <w:p>
      <w:pPr>
        <w:rPr>
          <w:color w:val="auto"/>
          <w:highlight w:val="none"/>
        </w:rPr>
      </w:pPr>
      <w:r>
        <w:rPr>
          <w:color w:val="auto"/>
          <w:highlight w:val="none"/>
        </w:rPr>
        <w:t>2.2.4分包意向协议</w:t>
      </w:r>
      <w:r>
        <w:rPr>
          <w:rFonts w:hint="eastAsia"/>
          <w:color w:val="auto"/>
          <w:highlight w:val="none"/>
        </w:rPr>
        <w:t>（如果有）；</w:t>
      </w:r>
    </w:p>
    <w:p>
      <w:pPr>
        <w:rPr>
          <w:color w:val="auto"/>
          <w:highlight w:val="none"/>
        </w:rPr>
      </w:pPr>
      <w:r>
        <w:rPr>
          <w:color w:val="auto"/>
          <w:highlight w:val="none"/>
        </w:rPr>
        <w:t>2.2.5符合性审查资料；</w:t>
      </w:r>
    </w:p>
    <w:p>
      <w:pPr>
        <w:rPr>
          <w:color w:val="auto"/>
          <w:highlight w:val="none"/>
        </w:rPr>
      </w:pPr>
      <w:r>
        <w:rPr>
          <w:color w:val="auto"/>
          <w:highlight w:val="none"/>
        </w:rPr>
        <w:t>2.2.6评标标准相应的商务技术资料；</w:t>
      </w:r>
    </w:p>
    <w:p>
      <w:pPr>
        <w:rPr>
          <w:color w:val="auto"/>
          <w:highlight w:val="none"/>
        </w:rPr>
      </w:pPr>
      <w:r>
        <w:rPr>
          <w:rFonts w:hint="eastAsia"/>
          <w:color w:val="auto"/>
          <w:highlight w:val="none"/>
        </w:rPr>
        <w:t>2.2.7投标标的清单；</w:t>
      </w:r>
    </w:p>
    <w:p>
      <w:pPr>
        <w:rPr>
          <w:color w:val="auto"/>
          <w:highlight w:val="none"/>
        </w:rPr>
      </w:pPr>
      <w:r>
        <w:rPr>
          <w:color w:val="auto"/>
          <w:highlight w:val="none"/>
        </w:rPr>
        <w:t>2.2.</w:t>
      </w:r>
      <w:r>
        <w:rPr>
          <w:rFonts w:hint="eastAsia"/>
          <w:color w:val="auto"/>
          <w:highlight w:val="none"/>
        </w:rPr>
        <w:t>8</w:t>
      </w:r>
      <w:r>
        <w:rPr>
          <w:color w:val="auto"/>
          <w:highlight w:val="none"/>
        </w:rPr>
        <w:t>商务技术偏离表；</w:t>
      </w:r>
    </w:p>
    <w:p>
      <w:pPr>
        <w:rPr>
          <w:color w:val="auto"/>
          <w:highlight w:val="none"/>
          <w:lang w:val="zh-CN"/>
        </w:rPr>
      </w:pPr>
      <w:r>
        <w:rPr>
          <w:color w:val="auto"/>
          <w:highlight w:val="none"/>
        </w:rPr>
        <w:t>2</w:t>
      </w:r>
      <w:r>
        <w:rPr>
          <w:color w:val="auto"/>
          <w:highlight w:val="none"/>
          <w:lang w:val="zh-CN"/>
        </w:rPr>
        <w:t>.</w:t>
      </w:r>
      <w:r>
        <w:rPr>
          <w:color w:val="auto"/>
          <w:highlight w:val="none"/>
        </w:rPr>
        <w:t>2</w:t>
      </w:r>
      <w:r>
        <w:rPr>
          <w:color w:val="auto"/>
          <w:highlight w:val="none"/>
          <w:lang w:val="zh-CN"/>
        </w:rPr>
        <w:t>.</w:t>
      </w:r>
      <w:r>
        <w:rPr>
          <w:rFonts w:hint="eastAsia"/>
          <w:color w:val="auto"/>
          <w:highlight w:val="none"/>
        </w:rPr>
        <w:t>9</w:t>
      </w:r>
      <w:r>
        <w:rPr>
          <w:rFonts w:hint="eastAsia"/>
          <w:color w:val="auto"/>
          <w:highlight w:val="none"/>
          <w:lang w:val="zh-CN"/>
        </w:rPr>
        <w:t>政府采购供应商廉洁自律承诺书；</w:t>
      </w:r>
    </w:p>
    <w:p>
      <w:pPr>
        <w:rPr>
          <w:color w:val="auto"/>
          <w:highlight w:val="none"/>
        </w:rPr>
      </w:pPr>
      <w:r>
        <w:rPr>
          <w:color w:val="auto"/>
          <w:highlight w:val="none"/>
        </w:rPr>
        <w:t>2</w:t>
      </w:r>
      <w:r>
        <w:rPr>
          <w:color w:val="auto"/>
          <w:highlight w:val="none"/>
          <w:lang w:val="zh-CN"/>
        </w:rPr>
        <w:t>.</w:t>
      </w:r>
      <w:r>
        <w:rPr>
          <w:color w:val="auto"/>
          <w:highlight w:val="none"/>
        </w:rPr>
        <w:t>3报价文件</w:t>
      </w:r>
    </w:p>
    <w:p>
      <w:pPr>
        <w:rPr>
          <w:color w:val="auto"/>
          <w:highlight w:val="none"/>
        </w:rPr>
      </w:pPr>
      <w:r>
        <w:rPr>
          <w:color w:val="auto"/>
          <w:highlight w:val="none"/>
        </w:rPr>
        <w:t>2.3.1开标一览表（报价表）；</w:t>
      </w:r>
    </w:p>
    <w:p>
      <w:pPr>
        <w:rPr>
          <w:color w:val="auto"/>
          <w:highlight w:val="none"/>
        </w:rPr>
      </w:pPr>
      <w:r>
        <w:rPr>
          <w:color w:val="auto"/>
          <w:highlight w:val="none"/>
        </w:rPr>
        <w:t>2.3.2中小企业声明函</w:t>
      </w:r>
      <w:r>
        <w:rPr>
          <w:rFonts w:hint="eastAsia"/>
          <w:color w:val="auto"/>
          <w:highlight w:val="none"/>
        </w:rPr>
        <w:t>（如果有）。</w:t>
      </w:r>
    </w:p>
    <w:p>
      <w:pPr>
        <w:rPr>
          <w:color w:val="auto"/>
          <w:highlight w:val="none"/>
        </w:rPr>
      </w:pPr>
      <w:r>
        <w:rPr>
          <w:color w:val="auto"/>
          <w:highlight w:val="none"/>
        </w:rPr>
        <w:t>3、我方承诺除商务技术偏离表列出的偏离外，我方响应招标文件的全部要求。</w:t>
      </w:r>
    </w:p>
    <w:p>
      <w:pPr>
        <w:rPr>
          <w:color w:val="auto"/>
          <w:highlight w:val="none"/>
        </w:rPr>
      </w:pPr>
      <w:r>
        <w:rPr>
          <w:color w:val="auto"/>
          <w:highlight w:val="none"/>
        </w:rPr>
        <w:t>4、如我方中标，我方承诺：</w:t>
      </w:r>
    </w:p>
    <w:p>
      <w:pPr>
        <w:rPr>
          <w:color w:val="auto"/>
          <w:highlight w:val="none"/>
        </w:rPr>
      </w:pPr>
      <w:r>
        <w:rPr>
          <w:color w:val="auto"/>
          <w:highlight w:val="none"/>
        </w:rPr>
        <w:t xml:space="preserve">4.1在收到中标通知书后，在中标通知书规定的期限内与你方签订合同； </w:t>
      </w:r>
    </w:p>
    <w:p>
      <w:pPr>
        <w:rPr>
          <w:color w:val="auto"/>
          <w:highlight w:val="none"/>
        </w:rPr>
      </w:pPr>
      <w:r>
        <w:rPr>
          <w:color w:val="auto"/>
          <w:highlight w:val="none"/>
        </w:rPr>
        <w:t xml:space="preserve">4.2在签订合同时不向你方提出附加条件； </w:t>
      </w:r>
    </w:p>
    <w:p>
      <w:pPr>
        <w:rPr>
          <w:color w:val="auto"/>
          <w:highlight w:val="none"/>
        </w:rPr>
      </w:pPr>
      <w:r>
        <w:rPr>
          <w:color w:val="auto"/>
          <w:highlight w:val="none"/>
        </w:rPr>
        <w:t xml:space="preserve">4.3按照招标文件要求提交履约保证金； </w:t>
      </w:r>
    </w:p>
    <w:p>
      <w:pPr>
        <w:rPr>
          <w:color w:val="auto"/>
          <w:highlight w:val="none"/>
        </w:rPr>
      </w:pPr>
      <w:r>
        <w:rPr>
          <w:color w:val="auto"/>
          <w:highlight w:val="none"/>
        </w:rPr>
        <w:t xml:space="preserve">4.4在合同约定的期限内完成合同规定的全部义务。 </w:t>
      </w:r>
    </w:p>
    <w:p>
      <w:pPr>
        <w:rPr>
          <w:color w:val="auto"/>
          <w:highlight w:val="none"/>
        </w:rPr>
      </w:pPr>
      <w:r>
        <w:rPr>
          <w:color w:val="auto"/>
          <w:highlight w:val="none"/>
        </w:rPr>
        <w:t>5、其他补充说明:</w:t>
      </w:r>
      <w:r>
        <w:rPr>
          <w:color w:val="auto"/>
          <w:highlight w:val="none"/>
          <w:u w:val="single"/>
        </w:rPr>
        <w:t xml:space="preserve">                                        </w:t>
      </w:r>
      <w:r>
        <w:rPr>
          <w:rFonts w:hint="eastAsia"/>
          <w:color w:val="auto"/>
          <w:highlight w:val="none"/>
        </w:rPr>
        <w:t>。</w:t>
      </w:r>
    </w:p>
    <w:p>
      <w:pPr>
        <w:rPr>
          <w:color w:val="auto"/>
          <w:highlight w:val="none"/>
        </w:rPr>
      </w:pPr>
      <w:r>
        <w:rPr>
          <w:rFonts w:hint="eastAsia"/>
          <w:color w:val="auto"/>
          <w:highlight w:val="none"/>
        </w:rPr>
        <w:t>投标人名称（电子签名）：</w:t>
      </w:r>
      <w:r>
        <w:rPr>
          <w:color w:val="auto"/>
          <w:highlight w:val="none"/>
        </w:rPr>
        <w:t xml:space="preserve">                          </w:t>
      </w:r>
    </w:p>
    <w:p>
      <w:pPr>
        <w:rPr>
          <w:color w:val="auto"/>
          <w:highlight w:val="none"/>
        </w:rPr>
      </w:pPr>
      <w:r>
        <w:rPr>
          <w:color w:val="auto"/>
          <w:highlight w:val="none"/>
        </w:rPr>
        <w:t xml:space="preserve">     日期：  年   月   日</w:t>
      </w:r>
    </w:p>
    <w:p>
      <w:pPr>
        <w:rPr>
          <w:color w:val="auto"/>
          <w:highlight w:val="none"/>
          <w:u w:val="single"/>
        </w:rPr>
      </w:pPr>
    </w:p>
    <w:p>
      <w:pPr>
        <w:rPr>
          <w:color w:val="auto"/>
          <w:highlight w:val="none"/>
        </w:rPr>
      </w:pPr>
      <w:r>
        <w:rPr>
          <w:color w:val="auto"/>
          <w:highlight w:val="none"/>
        </w:rPr>
        <w:t>注：</w:t>
      </w:r>
      <w:r>
        <w:rPr>
          <w:rFonts w:hint="eastAsia"/>
          <w:color w:val="auto"/>
          <w:highlight w:val="none"/>
        </w:rPr>
        <w:t>按本格式和要求提供。</w:t>
      </w:r>
    </w:p>
    <w:p>
      <w:pPr>
        <w:spacing w:line="276" w:lineRule="auto"/>
        <w:rPr>
          <w:color w:val="auto"/>
          <w:highlight w:val="none"/>
        </w:rPr>
      </w:pPr>
      <w:r>
        <w:rPr>
          <w:color w:val="auto"/>
          <w:highlight w:val="none"/>
        </w:rPr>
        <w:br w:type="page"/>
      </w:r>
    </w:p>
    <w:p>
      <w:pPr>
        <w:pStyle w:val="2"/>
        <w:rPr>
          <w:color w:val="auto"/>
          <w:highlight w:val="none"/>
          <w:lang w:val="zh-CN"/>
        </w:rPr>
      </w:pPr>
      <w:r>
        <w:rPr>
          <w:rFonts w:hint="eastAsia"/>
          <w:color w:val="auto"/>
          <w:highlight w:val="none"/>
          <w:lang w:val="zh-CN"/>
        </w:rPr>
        <w:t>二、授权委托书或法定代表人（单位负责人、自然人本人）身份证明</w:t>
      </w:r>
    </w:p>
    <w:p>
      <w:pPr>
        <w:snapToGrid w:val="0"/>
        <w:spacing w:line="360" w:lineRule="auto"/>
        <w:rPr>
          <w:rFonts w:ascii="仿宋_GB2312" w:eastAsia="仿宋_GB2312" w:cs="仿宋_GB2312"/>
          <w:color w:val="auto"/>
          <w:highlight w:val="none"/>
        </w:rPr>
      </w:pPr>
      <w:r>
        <w:rPr>
          <w:rFonts w:ascii="仿宋_GB2312" w:eastAsia="仿宋_GB2312" w:cs="仿宋_GB2312"/>
          <w:color w:val="auto"/>
          <w:highlight w:val="none"/>
        </w:rPr>
        <w:t xml:space="preserve">                                </w:t>
      </w:r>
    </w:p>
    <w:p>
      <w:pPr>
        <w:snapToGrid w:val="0"/>
        <w:spacing w:line="360" w:lineRule="auto"/>
        <w:jc w:val="center"/>
        <w:rPr>
          <w:color w:val="auto"/>
          <w:highlight w:val="none"/>
        </w:rPr>
      </w:pPr>
      <w:r>
        <w:rPr>
          <w:rFonts w:hint="eastAsia" w:ascii="仿宋_GB2312" w:eastAsia="仿宋_GB2312" w:cs="仿宋_GB2312"/>
          <w:b/>
          <w:color w:val="auto"/>
          <w:sz w:val="32"/>
          <w:szCs w:val="32"/>
          <w:highlight w:val="none"/>
          <w:lang w:val="zh-CN"/>
        </w:rPr>
        <w:t>授权委托书（适用于非联合体投标）</w:t>
      </w:r>
    </w:p>
    <w:p>
      <w:pPr>
        <w:rPr>
          <w:color w:val="auto"/>
          <w:highlight w:val="none"/>
        </w:rPr>
      </w:pPr>
      <w:r>
        <w:rPr>
          <w:rFonts w:hint="eastAsia"/>
          <w:color w:val="auto"/>
          <w:highlight w:val="none"/>
        </w:rPr>
        <w:t>（采购人）、（采购代理机构）</w:t>
      </w:r>
      <w:r>
        <w:rPr>
          <w:rFonts w:hint="eastAsia"/>
          <w:color w:val="auto"/>
          <w:highlight w:val="none"/>
          <w:lang w:val="zh-CN"/>
        </w:rPr>
        <w:t>：</w:t>
      </w:r>
    </w:p>
    <w:p>
      <w:pPr>
        <w:rPr>
          <w:color w:val="auto"/>
          <w:highlight w:val="none"/>
        </w:rPr>
      </w:pPr>
      <w:r>
        <w:rPr>
          <w:rFonts w:hint="eastAsia"/>
          <w:color w:val="auto"/>
          <w:highlight w:val="none"/>
        </w:rPr>
        <w:t>现</w:t>
      </w:r>
      <w:r>
        <w:rPr>
          <w:rFonts w:hint="eastAsia"/>
          <w:color w:val="auto"/>
          <w:highlight w:val="none"/>
          <w:lang w:val="zh-CN"/>
        </w:rPr>
        <w:t>委托</w:t>
      </w:r>
      <w:r>
        <w:rPr>
          <w:color w:val="auto"/>
          <w:highlight w:val="none"/>
          <w:u w:val="single"/>
          <w:lang w:val="zh-CN"/>
        </w:rPr>
        <w:t xml:space="preserve">          </w:t>
      </w:r>
      <w:r>
        <w:rPr>
          <w:rFonts w:hint="eastAsia"/>
          <w:color w:val="auto"/>
          <w:highlight w:val="none"/>
          <w:lang w:val="zh-CN"/>
        </w:rPr>
        <w:t>（姓名）为我方代理人（身份证号码：</w:t>
      </w:r>
      <w:r>
        <w:rPr>
          <w:color w:val="auto"/>
          <w:highlight w:val="none"/>
          <w:u w:val="single"/>
          <w:lang w:val="zh-CN"/>
        </w:rPr>
        <w:t xml:space="preserve">          </w:t>
      </w:r>
      <w:r>
        <w:rPr>
          <w:rFonts w:hint="eastAsia"/>
          <w:color w:val="auto"/>
          <w:highlight w:val="none"/>
          <w:lang w:val="zh-CN"/>
        </w:rPr>
        <w:t>，手机：</w:t>
      </w:r>
      <w:r>
        <w:rPr>
          <w:color w:val="auto"/>
          <w:highlight w:val="none"/>
          <w:u w:val="single"/>
          <w:lang w:val="zh-CN"/>
        </w:rPr>
        <w:t xml:space="preserve">          </w:t>
      </w:r>
      <w:r>
        <w:rPr>
          <w:rFonts w:hint="eastAsia"/>
          <w:color w:val="auto"/>
          <w:highlight w:val="none"/>
          <w:lang w:val="zh-CN"/>
        </w:rPr>
        <w:t>），以我方名义处理</w:t>
      </w:r>
      <w:r>
        <w:rPr>
          <w:rFonts w:hint="eastAsia"/>
          <w:color w:val="auto"/>
          <w:highlight w:val="none"/>
        </w:rPr>
        <w:t>（项目名称）【招标编号：（采购编号）】</w:t>
      </w:r>
      <w:r>
        <w:rPr>
          <w:rFonts w:hint="eastAsia"/>
          <w:color w:val="auto"/>
          <w:highlight w:val="none"/>
          <w:lang w:val="zh-CN"/>
        </w:rPr>
        <w:t>政府采购投标的一切事项，其法律后果由我方承担。</w:t>
      </w:r>
    </w:p>
    <w:p>
      <w:pPr>
        <w:rPr>
          <w:color w:val="auto"/>
          <w:highlight w:val="none"/>
        </w:rPr>
      </w:pPr>
      <w:r>
        <w:rPr>
          <w:color w:val="auto"/>
          <w:highlight w:val="none"/>
        </w:rPr>
        <w:t xml:space="preserve">    </w:t>
      </w:r>
      <w:r>
        <w:rPr>
          <w:rFonts w:hint="eastAsia"/>
          <w:color w:val="auto"/>
          <w:highlight w:val="none"/>
          <w:lang w:val="zh-CN"/>
        </w:rPr>
        <w:t>委托期限</w:t>
      </w:r>
      <w:r>
        <w:rPr>
          <w:rFonts w:hint="eastAsia"/>
          <w:color w:val="auto"/>
          <w:highlight w:val="none"/>
        </w:rPr>
        <w:t>：</w:t>
      </w:r>
      <w:r>
        <w:rPr>
          <w:rFonts w:hint="eastAsia"/>
          <w:color w:val="auto"/>
          <w:highlight w:val="none"/>
          <w:lang w:val="zh-CN"/>
        </w:rPr>
        <w:t>自</w:t>
      </w:r>
      <w:r>
        <w:rPr>
          <w:color w:val="auto"/>
          <w:highlight w:val="none"/>
        </w:rPr>
        <w:t xml:space="preserve">   </w:t>
      </w:r>
      <w:r>
        <w:rPr>
          <w:rFonts w:hint="eastAsia"/>
          <w:color w:val="auto"/>
          <w:highlight w:val="none"/>
          <w:lang w:val="zh-CN"/>
        </w:rPr>
        <w:t>年</w:t>
      </w:r>
      <w:r>
        <w:rPr>
          <w:color w:val="auto"/>
          <w:highlight w:val="none"/>
        </w:rPr>
        <w:t xml:space="preserve"> </w:t>
      </w:r>
      <w:r>
        <w:rPr>
          <w:rFonts w:hint="eastAsia"/>
          <w:color w:val="auto"/>
          <w:highlight w:val="none"/>
          <w:lang w:val="zh-CN"/>
        </w:rPr>
        <w:t>月</w:t>
      </w:r>
      <w:r>
        <w:rPr>
          <w:color w:val="auto"/>
          <w:highlight w:val="none"/>
        </w:rPr>
        <w:t xml:space="preserve">  </w:t>
      </w:r>
      <w:r>
        <w:rPr>
          <w:rFonts w:hint="eastAsia"/>
          <w:color w:val="auto"/>
          <w:highlight w:val="none"/>
          <w:lang w:val="zh-CN"/>
        </w:rPr>
        <w:t>日起至</w:t>
      </w:r>
      <w:r>
        <w:rPr>
          <w:color w:val="auto"/>
          <w:highlight w:val="none"/>
        </w:rPr>
        <w:t xml:space="preserve">  </w:t>
      </w:r>
      <w:r>
        <w:rPr>
          <w:rFonts w:hint="eastAsia"/>
          <w:color w:val="auto"/>
          <w:highlight w:val="none"/>
          <w:lang w:val="zh-CN"/>
        </w:rPr>
        <w:t>年</w:t>
      </w:r>
      <w:r>
        <w:rPr>
          <w:color w:val="auto"/>
          <w:highlight w:val="none"/>
        </w:rPr>
        <w:t xml:space="preserve">  </w:t>
      </w:r>
      <w:r>
        <w:rPr>
          <w:rFonts w:hint="eastAsia"/>
          <w:color w:val="auto"/>
          <w:highlight w:val="none"/>
          <w:lang w:val="zh-CN"/>
        </w:rPr>
        <w:t>月</w:t>
      </w:r>
      <w:r>
        <w:rPr>
          <w:color w:val="auto"/>
          <w:highlight w:val="none"/>
        </w:rPr>
        <w:t xml:space="preserve">  </w:t>
      </w:r>
      <w:r>
        <w:rPr>
          <w:rFonts w:hint="eastAsia"/>
          <w:color w:val="auto"/>
          <w:highlight w:val="none"/>
          <w:lang w:val="zh-CN"/>
        </w:rPr>
        <w:t>日止。</w:t>
      </w:r>
    </w:p>
    <w:p>
      <w:pPr>
        <w:rPr>
          <w:color w:val="auto"/>
          <w:highlight w:val="none"/>
        </w:rPr>
      </w:pPr>
      <w:r>
        <w:rPr>
          <w:color w:val="auto"/>
          <w:highlight w:val="none"/>
        </w:rPr>
        <w:t xml:space="preserve">    </w:t>
      </w:r>
      <w:r>
        <w:rPr>
          <w:rFonts w:hint="eastAsia"/>
          <w:color w:val="auto"/>
          <w:highlight w:val="none"/>
          <w:lang w:val="zh-CN"/>
        </w:rPr>
        <w:t>特此告知。</w:t>
      </w:r>
    </w:p>
    <w:p>
      <w:pPr>
        <w:rPr>
          <w:color w:val="auto"/>
          <w:highlight w:val="none"/>
        </w:rPr>
      </w:pPr>
      <w:r>
        <w:rPr>
          <w:color w:val="auto"/>
          <w:highlight w:val="none"/>
          <w:lang w:val="zh-CN"/>
        </w:rPr>
        <w:t xml:space="preserve">                                                 投标人名称(电子签名)：</w:t>
      </w:r>
    </w:p>
    <w:p>
      <w:pPr>
        <w:rPr>
          <w:color w:val="auto"/>
          <w:highlight w:val="none"/>
          <w:lang w:val="zh-CN"/>
        </w:rPr>
      </w:pPr>
      <w:r>
        <w:rPr>
          <w:color w:val="auto"/>
          <w:highlight w:val="none"/>
          <w:lang w:val="zh-CN"/>
        </w:rPr>
        <w:t xml:space="preserve">                                                签发日期：  年  月   日</w:t>
      </w:r>
    </w:p>
    <w:p>
      <w:pPr>
        <w:jc w:val="center"/>
        <w:rPr>
          <w:rFonts w:ascii="仿宋_GB2312" w:eastAsia="仿宋_GB2312" w:cs="仿宋_GB2312"/>
          <w:b/>
          <w:color w:val="auto"/>
          <w:sz w:val="32"/>
          <w:szCs w:val="32"/>
          <w:highlight w:val="none"/>
        </w:rPr>
      </w:pPr>
      <w:r>
        <w:rPr>
          <w:rFonts w:hint="eastAsia" w:ascii="仿宋_GB2312" w:eastAsia="仿宋_GB2312" w:cs="仿宋_GB2312"/>
          <w:b/>
          <w:color w:val="auto"/>
          <w:sz w:val="32"/>
          <w:szCs w:val="32"/>
          <w:highlight w:val="none"/>
          <w:lang w:val="zh-CN"/>
        </w:rPr>
        <w:t>授权委托书（适用于联合体投标）</w:t>
      </w:r>
    </w:p>
    <w:p>
      <w:pPr>
        <w:rPr>
          <w:color w:val="auto"/>
          <w:highlight w:val="none"/>
        </w:rPr>
      </w:pPr>
      <w:r>
        <w:rPr>
          <w:rFonts w:hint="eastAsia"/>
          <w:color w:val="auto"/>
          <w:highlight w:val="none"/>
        </w:rPr>
        <w:t>（采购人）、（采购代理机构）</w:t>
      </w:r>
      <w:r>
        <w:rPr>
          <w:rFonts w:hint="eastAsia"/>
          <w:color w:val="auto"/>
          <w:highlight w:val="none"/>
          <w:lang w:val="zh-CN"/>
        </w:rPr>
        <w:t>：</w:t>
      </w:r>
    </w:p>
    <w:p>
      <w:pPr>
        <w:rPr>
          <w:color w:val="auto"/>
          <w:highlight w:val="none"/>
        </w:rPr>
      </w:pPr>
      <w:r>
        <w:rPr>
          <w:rFonts w:hint="eastAsia"/>
          <w:color w:val="auto"/>
          <w:highlight w:val="none"/>
        </w:rPr>
        <w:t>现</w:t>
      </w:r>
      <w:r>
        <w:rPr>
          <w:rFonts w:hint="eastAsia"/>
          <w:color w:val="auto"/>
          <w:highlight w:val="none"/>
          <w:lang w:val="zh-CN"/>
        </w:rPr>
        <w:t>委托</w:t>
      </w:r>
      <w:r>
        <w:rPr>
          <w:color w:val="auto"/>
          <w:highlight w:val="none"/>
          <w:u w:val="single"/>
          <w:lang w:val="zh-CN"/>
        </w:rPr>
        <w:t xml:space="preserve">          </w:t>
      </w:r>
      <w:r>
        <w:rPr>
          <w:rFonts w:hint="eastAsia"/>
          <w:color w:val="auto"/>
          <w:highlight w:val="none"/>
          <w:lang w:val="zh-CN"/>
        </w:rPr>
        <w:t>（姓名）为我方代理人（身份证号码：</w:t>
      </w:r>
      <w:r>
        <w:rPr>
          <w:color w:val="auto"/>
          <w:highlight w:val="none"/>
          <w:u w:val="single"/>
          <w:lang w:val="zh-CN"/>
        </w:rPr>
        <w:t xml:space="preserve">          </w:t>
      </w:r>
      <w:r>
        <w:rPr>
          <w:rFonts w:hint="eastAsia"/>
          <w:color w:val="auto"/>
          <w:highlight w:val="none"/>
          <w:lang w:val="zh-CN"/>
        </w:rPr>
        <w:t>，手机：</w:t>
      </w:r>
      <w:r>
        <w:rPr>
          <w:color w:val="auto"/>
          <w:highlight w:val="none"/>
          <w:u w:val="single"/>
          <w:lang w:val="zh-CN"/>
        </w:rPr>
        <w:t xml:space="preserve">          </w:t>
      </w:r>
      <w:r>
        <w:rPr>
          <w:rFonts w:hint="eastAsia"/>
          <w:color w:val="auto"/>
          <w:highlight w:val="none"/>
          <w:lang w:val="zh-CN"/>
        </w:rPr>
        <w:t>），以我方名义处理</w:t>
      </w:r>
      <w:r>
        <w:rPr>
          <w:rFonts w:hint="eastAsia"/>
          <w:color w:val="auto"/>
          <w:highlight w:val="none"/>
        </w:rPr>
        <w:t>（项目名称）【招标编号：（采购编号）】</w:t>
      </w:r>
      <w:r>
        <w:rPr>
          <w:rFonts w:hint="eastAsia"/>
          <w:color w:val="auto"/>
          <w:highlight w:val="none"/>
          <w:lang w:val="zh-CN"/>
        </w:rPr>
        <w:t>政府采购投标的一切事项，其法律后果由我方承担。</w:t>
      </w:r>
    </w:p>
    <w:p>
      <w:pPr>
        <w:rPr>
          <w:color w:val="auto"/>
          <w:highlight w:val="none"/>
        </w:rPr>
      </w:pPr>
      <w:r>
        <w:rPr>
          <w:color w:val="auto"/>
          <w:highlight w:val="none"/>
        </w:rPr>
        <w:t xml:space="preserve">    </w:t>
      </w:r>
      <w:r>
        <w:rPr>
          <w:rFonts w:hint="eastAsia"/>
          <w:color w:val="auto"/>
          <w:highlight w:val="none"/>
          <w:lang w:val="zh-CN"/>
        </w:rPr>
        <w:t>委托期限</w:t>
      </w:r>
      <w:r>
        <w:rPr>
          <w:rFonts w:hint="eastAsia"/>
          <w:color w:val="auto"/>
          <w:highlight w:val="none"/>
        </w:rPr>
        <w:t>：</w:t>
      </w:r>
      <w:r>
        <w:rPr>
          <w:rFonts w:hint="eastAsia"/>
          <w:color w:val="auto"/>
          <w:highlight w:val="none"/>
          <w:lang w:val="zh-CN"/>
        </w:rPr>
        <w:t>自</w:t>
      </w:r>
      <w:r>
        <w:rPr>
          <w:color w:val="auto"/>
          <w:highlight w:val="none"/>
        </w:rPr>
        <w:t xml:space="preserve">   </w:t>
      </w:r>
      <w:r>
        <w:rPr>
          <w:rFonts w:hint="eastAsia"/>
          <w:color w:val="auto"/>
          <w:highlight w:val="none"/>
          <w:lang w:val="zh-CN"/>
        </w:rPr>
        <w:t>年</w:t>
      </w:r>
      <w:r>
        <w:rPr>
          <w:color w:val="auto"/>
          <w:highlight w:val="none"/>
        </w:rPr>
        <w:t xml:space="preserve"> </w:t>
      </w:r>
      <w:r>
        <w:rPr>
          <w:rFonts w:hint="eastAsia"/>
          <w:color w:val="auto"/>
          <w:highlight w:val="none"/>
          <w:lang w:val="zh-CN"/>
        </w:rPr>
        <w:t>月</w:t>
      </w:r>
      <w:r>
        <w:rPr>
          <w:color w:val="auto"/>
          <w:highlight w:val="none"/>
        </w:rPr>
        <w:t xml:space="preserve">  </w:t>
      </w:r>
      <w:r>
        <w:rPr>
          <w:rFonts w:hint="eastAsia"/>
          <w:color w:val="auto"/>
          <w:highlight w:val="none"/>
          <w:lang w:val="zh-CN"/>
        </w:rPr>
        <w:t>日起至</w:t>
      </w:r>
      <w:r>
        <w:rPr>
          <w:color w:val="auto"/>
          <w:highlight w:val="none"/>
        </w:rPr>
        <w:t xml:space="preserve">  </w:t>
      </w:r>
      <w:r>
        <w:rPr>
          <w:rFonts w:hint="eastAsia"/>
          <w:color w:val="auto"/>
          <w:highlight w:val="none"/>
          <w:lang w:val="zh-CN"/>
        </w:rPr>
        <w:t>年</w:t>
      </w:r>
      <w:r>
        <w:rPr>
          <w:color w:val="auto"/>
          <w:highlight w:val="none"/>
        </w:rPr>
        <w:t xml:space="preserve">  </w:t>
      </w:r>
      <w:r>
        <w:rPr>
          <w:rFonts w:hint="eastAsia"/>
          <w:color w:val="auto"/>
          <w:highlight w:val="none"/>
          <w:lang w:val="zh-CN"/>
        </w:rPr>
        <w:t>月</w:t>
      </w:r>
      <w:r>
        <w:rPr>
          <w:color w:val="auto"/>
          <w:highlight w:val="none"/>
        </w:rPr>
        <w:t xml:space="preserve">  </w:t>
      </w:r>
      <w:r>
        <w:rPr>
          <w:rFonts w:hint="eastAsia"/>
          <w:color w:val="auto"/>
          <w:highlight w:val="none"/>
          <w:lang w:val="zh-CN"/>
        </w:rPr>
        <w:t>日止。</w:t>
      </w:r>
    </w:p>
    <w:p>
      <w:pPr>
        <w:rPr>
          <w:color w:val="auto"/>
          <w:highlight w:val="none"/>
        </w:rPr>
      </w:pPr>
      <w:r>
        <w:rPr>
          <w:color w:val="auto"/>
          <w:highlight w:val="none"/>
        </w:rPr>
        <w:t xml:space="preserve">    </w:t>
      </w:r>
      <w:r>
        <w:rPr>
          <w:rFonts w:hint="eastAsia"/>
          <w:color w:val="auto"/>
          <w:highlight w:val="none"/>
          <w:lang w:val="zh-CN"/>
        </w:rPr>
        <w:t>特此告知。</w:t>
      </w:r>
    </w:p>
    <w:p>
      <w:pPr>
        <w:rPr>
          <w:color w:val="auto"/>
          <w:highlight w:val="none"/>
        </w:rPr>
      </w:pPr>
    </w:p>
    <w:p>
      <w:pPr>
        <w:snapToGrid w:val="0"/>
        <w:spacing w:line="360" w:lineRule="auto"/>
        <w:rPr>
          <w:rFonts w:ascii="仿宋_GB2312" w:eastAsia="仿宋_GB2312" w:cs="仿宋_GB2312"/>
          <w:color w:val="auto"/>
          <w:highlight w:val="none"/>
          <w:lang w:val="zh-CN"/>
        </w:rPr>
      </w:pPr>
      <w:r>
        <w:rPr>
          <w:rFonts w:hint="eastAsia" w:ascii="仿宋_GB2312" w:eastAsia="仿宋_GB2312" w:cs="仿宋_GB2312"/>
          <w:color w:val="auto"/>
          <w:highlight w:val="none"/>
          <w:lang w:val="zh-CN"/>
        </w:rPr>
        <w:t>联合体成员名称</w:t>
      </w:r>
      <w:r>
        <w:rPr>
          <w:rFonts w:ascii="仿宋_GB2312" w:eastAsia="仿宋_GB2312" w:cs="仿宋_GB2312"/>
          <w:color w:val="auto"/>
          <w:highlight w:val="none"/>
          <w:lang w:val="zh-CN"/>
        </w:rPr>
        <w:t>(电子签名/公章)：</w:t>
      </w:r>
    </w:p>
    <w:p>
      <w:pPr>
        <w:snapToGrid w:val="0"/>
        <w:spacing w:line="360" w:lineRule="auto"/>
        <w:rPr>
          <w:rFonts w:ascii="仿宋_GB2312" w:eastAsia="仿宋_GB2312" w:cs="仿宋_GB2312"/>
          <w:color w:val="auto"/>
          <w:highlight w:val="none"/>
          <w:lang w:val="zh-CN"/>
        </w:rPr>
      </w:pPr>
      <w:r>
        <w:rPr>
          <w:rFonts w:hint="eastAsia" w:ascii="仿宋_GB2312" w:eastAsia="仿宋_GB2312" w:cs="仿宋_GB2312"/>
          <w:color w:val="auto"/>
          <w:highlight w:val="none"/>
          <w:lang w:val="zh-CN"/>
        </w:rPr>
        <w:t>联合体成员名称</w:t>
      </w:r>
      <w:r>
        <w:rPr>
          <w:rFonts w:ascii="仿宋_GB2312" w:eastAsia="仿宋_GB2312" w:cs="仿宋_GB2312"/>
          <w:color w:val="auto"/>
          <w:highlight w:val="none"/>
          <w:lang w:val="zh-CN"/>
        </w:rPr>
        <w:t>(电子签名/公章)：</w:t>
      </w:r>
    </w:p>
    <w:p>
      <w:pPr>
        <w:snapToGrid w:val="0"/>
        <w:spacing w:line="360" w:lineRule="auto"/>
        <w:rPr>
          <w:rFonts w:ascii="仿宋_GB2312" w:eastAsia="仿宋_GB2312" w:cs="仿宋_GB2312"/>
          <w:color w:val="auto"/>
          <w:highlight w:val="none"/>
          <w:lang w:val="zh-CN"/>
        </w:rPr>
      </w:pPr>
      <w:r>
        <w:rPr>
          <w:rFonts w:ascii="仿宋_GB2312" w:eastAsia="仿宋_GB2312" w:cs="仿宋_GB2312"/>
          <w:color w:val="auto"/>
          <w:highlight w:val="none"/>
          <w:lang w:val="zh-CN"/>
        </w:rPr>
        <w:t xml:space="preserve">                                               日期：  年  月   日</w:t>
      </w:r>
    </w:p>
    <w:p>
      <w:pPr>
        <w:spacing w:line="276" w:lineRule="auto"/>
        <w:rPr>
          <w:rFonts w:ascii="仿宋_GB2312" w:eastAsia="仿宋_GB2312" w:cs="仿宋_GB2312"/>
          <w:b/>
          <w:color w:val="auto"/>
          <w:sz w:val="32"/>
          <w:szCs w:val="32"/>
          <w:highlight w:val="none"/>
          <w:lang w:val="zh-CN"/>
        </w:rPr>
      </w:pPr>
      <w:r>
        <w:rPr>
          <w:rFonts w:ascii="仿宋_GB2312" w:eastAsia="仿宋_GB2312" w:cs="仿宋_GB2312"/>
          <w:b/>
          <w:color w:val="auto"/>
          <w:sz w:val="32"/>
          <w:szCs w:val="32"/>
          <w:highlight w:val="none"/>
          <w:lang w:val="zh-CN"/>
        </w:rPr>
        <w:br w:type="page"/>
      </w:r>
    </w:p>
    <w:p>
      <w:pPr>
        <w:autoSpaceDE w:val="0"/>
        <w:autoSpaceDN w:val="0"/>
        <w:spacing w:line="360" w:lineRule="auto"/>
        <w:jc w:val="center"/>
        <w:rPr>
          <w:rFonts w:ascii="仿宋_GB2312" w:eastAsia="仿宋_GB2312" w:cs="仿宋_GB2312"/>
          <w:b/>
          <w:color w:val="auto"/>
          <w:highlight w:val="none"/>
        </w:rPr>
      </w:pPr>
      <w:r>
        <w:rPr>
          <w:rFonts w:hint="eastAsia" w:ascii="仿宋_GB2312" w:eastAsia="仿宋_GB2312" w:cs="仿宋_GB2312"/>
          <w:b/>
          <w:color w:val="auto"/>
          <w:sz w:val="32"/>
          <w:szCs w:val="32"/>
          <w:highlight w:val="none"/>
          <w:lang w:val="zh-CN"/>
        </w:rPr>
        <w:t>法定代表人、单位负责人或自然人本人</w:t>
      </w:r>
      <w:r>
        <w:rPr>
          <w:rFonts w:hint="eastAsia" w:ascii="仿宋_GB2312" w:eastAsia="仿宋_GB2312" w:cs="仿宋_GB2312"/>
          <w:b/>
          <w:color w:val="auto"/>
          <w:sz w:val="30"/>
          <w:szCs w:val="30"/>
          <w:highlight w:val="none"/>
        </w:rPr>
        <w:t>的身份证明（适用于法定代表人、单位负责人或者自然人本人代表投标人参加投标）</w:t>
      </w:r>
    </w:p>
    <w:p>
      <w:pPr>
        <w:pStyle w:val="77"/>
        <w:spacing w:line="360" w:lineRule="auto"/>
        <w:rPr>
          <w:rFonts w:ascii="仿宋_GB2312" w:hAnsi="仿宋" w:eastAsia="仿宋_GB2312"/>
          <w:bCs/>
          <w:color w:val="auto"/>
          <w:sz w:val="24"/>
          <w:highlight w:val="none"/>
        </w:rPr>
      </w:pPr>
      <w:r>
        <w:rPr>
          <w:rFonts w:hint="eastAsia" w:ascii="仿宋_GB2312" w:hAnsi="仿宋" w:eastAsia="仿宋_GB2312"/>
          <w:bCs/>
          <w:color w:val="auto"/>
          <w:sz w:val="24"/>
          <w:highlight w:val="none"/>
        </w:rPr>
        <w:t>身份证件扫描件：</w:t>
      </w:r>
    </w:p>
    <w:tbl>
      <w:tblPr>
        <w:tblStyle w:val="26"/>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20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12" w:hRule="atLeast"/>
          <w:jc w:val="center"/>
        </w:trPr>
        <w:tc>
          <w:tcPr>
            <w:tcW w:w="9207" w:type="dxa"/>
          </w:tcPr>
          <w:p>
            <w:pPr>
              <w:pStyle w:val="77"/>
              <w:keepNext w:val="0"/>
              <w:keepLines w:val="0"/>
              <w:suppressLineNumbers w:val="0"/>
              <w:adjustRightInd w:val="0"/>
              <w:spacing w:before="0" w:beforeAutospacing="0" w:afterAutospacing="0" w:line="360" w:lineRule="auto"/>
              <w:ind w:left="0" w:right="0"/>
              <w:rPr>
                <w:rFonts w:hint="default" w:ascii="仿宋_GB2312" w:hAnsi="仿宋" w:eastAsia="仿宋_GB2312"/>
                <w:bCs/>
                <w:color w:val="auto"/>
                <w:sz w:val="24"/>
                <w:highlight w:val="none"/>
              </w:rPr>
            </w:pPr>
            <w:r>
              <w:rPr>
                <w:rFonts w:hint="eastAsia" w:ascii="仿宋_GB2312" w:hAnsi="仿宋" w:eastAsia="仿宋_GB2312"/>
                <w:bCs/>
                <w:color w:val="auto"/>
                <w:sz w:val="24"/>
                <w:highlight w:val="none"/>
              </w:rPr>
              <w:t>正面：</w:t>
            </w:r>
            <w:r>
              <w:rPr>
                <w:rFonts w:hint="default" w:ascii="仿宋_GB2312" w:hAnsi="仿宋" w:eastAsia="仿宋_GB2312"/>
                <w:bCs/>
                <w:color w:val="auto"/>
                <w:sz w:val="24"/>
                <w:highlight w:val="none"/>
              </w:rPr>
              <w:t xml:space="preserve">                                 </w:t>
            </w:r>
            <w:r>
              <w:rPr>
                <w:rFonts w:hint="eastAsia" w:ascii="仿宋_GB2312" w:hAnsi="仿宋" w:eastAsia="仿宋_GB2312"/>
                <w:bCs/>
                <w:color w:val="auto"/>
                <w:sz w:val="24"/>
                <w:highlight w:val="none"/>
              </w:rPr>
              <w:t>反面：</w:t>
            </w:r>
          </w:p>
          <w:p>
            <w:pPr>
              <w:pStyle w:val="77"/>
              <w:keepNext w:val="0"/>
              <w:keepLines w:val="0"/>
              <w:suppressLineNumbers w:val="0"/>
              <w:adjustRightInd w:val="0"/>
              <w:spacing w:before="0" w:beforeAutospacing="0" w:afterAutospacing="0" w:line="360" w:lineRule="auto"/>
              <w:ind w:left="0" w:right="0"/>
              <w:rPr>
                <w:rFonts w:hint="default" w:ascii="仿宋_GB2312" w:hAnsi="仿宋" w:eastAsia="仿宋_GB2312"/>
                <w:bCs/>
                <w:color w:val="auto"/>
                <w:sz w:val="24"/>
                <w:highlight w:val="none"/>
              </w:rPr>
            </w:pPr>
          </w:p>
        </w:tc>
      </w:tr>
    </w:tbl>
    <w:p>
      <w:pPr>
        <w:snapToGrid w:val="0"/>
        <w:spacing w:line="360" w:lineRule="auto"/>
        <w:ind w:firstLine="576"/>
        <w:jc w:val="center"/>
        <w:rPr>
          <w:rFonts w:ascii="仿宋_GB2312" w:eastAsia="仿宋_GB2312" w:cs="仿宋_GB2312"/>
          <w:color w:val="auto"/>
          <w:highlight w:val="none"/>
          <w:lang w:val="zh-CN"/>
        </w:rPr>
      </w:pPr>
      <w:r>
        <w:rPr>
          <w:rFonts w:ascii="仿宋_GB2312" w:eastAsia="仿宋_GB2312" w:cs="仿宋_GB2312"/>
          <w:color w:val="auto"/>
          <w:highlight w:val="none"/>
          <w:lang w:val="zh-CN"/>
        </w:rPr>
        <w:t xml:space="preserve">                 </w:t>
      </w:r>
    </w:p>
    <w:p>
      <w:pPr>
        <w:snapToGrid w:val="0"/>
        <w:spacing w:line="360" w:lineRule="auto"/>
        <w:ind w:firstLine="576"/>
        <w:jc w:val="center"/>
        <w:rPr>
          <w:rFonts w:ascii="仿宋_GB2312" w:eastAsia="仿宋_GB2312" w:cs="仿宋_GB2312"/>
          <w:color w:val="auto"/>
          <w:highlight w:val="none"/>
          <w:lang w:val="zh-CN"/>
        </w:rPr>
      </w:pPr>
      <w:r>
        <w:rPr>
          <w:rFonts w:ascii="仿宋_GB2312" w:eastAsia="仿宋_GB2312" w:cs="仿宋_GB2312"/>
          <w:color w:val="auto"/>
          <w:highlight w:val="none"/>
          <w:lang w:val="zh-CN"/>
        </w:rPr>
        <w:t xml:space="preserve">                  投标人名称(电子签名)：                              </w:t>
      </w:r>
    </w:p>
    <w:p>
      <w:pPr>
        <w:spacing w:line="360" w:lineRule="auto"/>
        <w:jc w:val="center"/>
        <w:rPr>
          <w:rFonts w:ascii="仿宋_GB2312" w:eastAsia="仿宋_GB2312" w:cs="仿宋_GB2312"/>
          <w:color w:val="auto"/>
          <w:highlight w:val="none"/>
          <w:lang w:val="zh-CN"/>
        </w:rPr>
      </w:pPr>
      <w:r>
        <w:rPr>
          <w:rFonts w:ascii="仿宋_GB2312" w:eastAsia="仿宋_GB2312" w:cs="仿宋_GB2312"/>
          <w:color w:val="auto"/>
          <w:highlight w:val="none"/>
          <w:lang w:val="zh-CN"/>
        </w:rPr>
        <w:t xml:space="preserve">                   日期：  年  月  日</w:t>
      </w:r>
    </w:p>
    <w:p>
      <w:pPr>
        <w:spacing w:line="276" w:lineRule="auto"/>
        <w:rPr>
          <w:rFonts w:ascii="仿宋_GB2312" w:eastAsia="仿宋_GB2312" w:cs="仿宋_GB2312"/>
          <w:color w:val="auto"/>
          <w:highlight w:val="none"/>
          <w:lang w:val="zh-CN"/>
        </w:rPr>
      </w:pPr>
      <w:r>
        <w:rPr>
          <w:rFonts w:ascii="仿宋_GB2312" w:eastAsia="仿宋_GB2312" w:cs="仿宋_GB2312"/>
          <w:color w:val="auto"/>
          <w:highlight w:val="none"/>
          <w:lang w:val="zh-CN"/>
        </w:rPr>
        <w:br w:type="page"/>
      </w:r>
    </w:p>
    <w:p>
      <w:pPr>
        <w:pStyle w:val="2"/>
        <w:rPr>
          <w:color w:val="auto"/>
          <w:highlight w:val="none"/>
          <w:lang w:val="zh-CN"/>
        </w:rPr>
      </w:pPr>
      <w:r>
        <w:rPr>
          <w:rFonts w:hint="eastAsia"/>
          <w:color w:val="auto"/>
          <w:highlight w:val="none"/>
        </w:rPr>
        <w:t>三、</w:t>
      </w:r>
      <w:r>
        <w:rPr>
          <w:rFonts w:hint="eastAsia"/>
          <w:color w:val="auto"/>
          <w:highlight w:val="none"/>
          <w:lang w:val="zh-CN"/>
        </w:rPr>
        <w:t>联合协议</w:t>
      </w:r>
    </w:p>
    <w:p>
      <w:pPr>
        <w:rPr>
          <w:color w:val="auto"/>
          <w:highlight w:val="none"/>
        </w:rPr>
      </w:pPr>
      <w:r>
        <w:rPr>
          <w:rFonts w:hint="eastAsia"/>
          <w:color w:val="auto"/>
          <w:highlight w:val="none"/>
        </w:rPr>
        <w:t>（以联合体形式投标的，提供联合协议；本项目不接受联合体投标或者投标人不以联合体形式投标的，则不需要提供）</w:t>
      </w:r>
    </w:p>
    <w:p>
      <w:pPr>
        <w:rPr>
          <w:color w:val="auto"/>
          <w:highlight w:val="none"/>
          <w:lang w:val="zh-CN"/>
        </w:rPr>
      </w:pPr>
      <w:r>
        <w:rPr>
          <w:rFonts w:hint="eastAsia"/>
          <w:color w:val="auto"/>
          <w:highlight w:val="none"/>
          <w:u w:val="single"/>
        </w:rPr>
        <w:t>（联合体所有成员名称）</w:t>
      </w:r>
      <w:r>
        <w:rPr>
          <w:rFonts w:hint="eastAsia"/>
          <w:color w:val="auto"/>
          <w:highlight w:val="none"/>
        </w:rPr>
        <w:t>自愿</w:t>
      </w:r>
      <w:r>
        <w:rPr>
          <w:rFonts w:hint="eastAsia"/>
          <w:color w:val="auto"/>
          <w:highlight w:val="none"/>
          <w:lang w:val="zh-CN"/>
        </w:rPr>
        <w:t>组成一个联合体，以一个投标人的身份</w:t>
      </w:r>
      <w:r>
        <w:rPr>
          <w:rFonts w:hint="eastAsia"/>
          <w:color w:val="auto"/>
          <w:highlight w:val="none"/>
        </w:rPr>
        <w:t>参加（项目名称）【招标编号：（采购编号）】</w:t>
      </w:r>
      <w:r>
        <w:rPr>
          <w:rFonts w:hint="eastAsia"/>
          <w:color w:val="auto"/>
          <w:highlight w:val="none"/>
          <w:lang w:val="zh-CN"/>
        </w:rPr>
        <w:t>投标。</w:t>
      </w:r>
      <w:r>
        <w:rPr>
          <w:color w:val="auto"/>
          <w:highlight w:val="none"/>
          <w:lang w:val="zh-CN"/>
        </w:rPr>
        <w:t xml:space="preserve"> </w:t>
      </w:r>
    </w:p>
    <w:p>
      <w:pPr>
        <w:rPr>
          <w:color w:val="auto"/>
          <w:highlight w:val="none"/>
          <w:lang w:val="zh-CN"/>
        </w:rPr>
      </w:pPr>
      <w:r>
        <w:rPr>
          <w:rFonts w:hint="eastAsia"/>
          <w:color w:val="auto"/>
          <w:highlight w:val="none"/>
          <w:lang w:val="zh-CN"/>
        </w:rPr>
        <w:t>一、各方一致决定，</w:t>
      </w:r>
      <w:r>
        <w:rPr>
          <w:rFonts w:hint="eastAsia"/>
          <w:color w:val="auto"/>
          <w:highlight w:val="none"/>
          <w:u w:val="single"/>
        </w:rPr>
        <w:t>（某联合体成员名称）</w:t>
      </w:r>
      <w:r>
        <w:rPr>
          <w:rFonts w:hint="eastAsia"/>
          <w:color w:val="auto"/>
          <w:highlight w:val="none"/>
        </w:rPr>
        <w:t>为联合体</w:t>
      </w:r>
      <w:r>
        <w:rPr>
          <w:rFonts w:hint="eastAsia"/>
          <w:color w:val="auto"/>
          <w:highlight w:val="none"/>
          <w:lang w:val="zh-CN"/>
        </w:rPr>
        <w:t>牵头人</w:t>
      </w:r>
      <w:r>
        <w:rPr>
          <w:rFonts w:hint="eastAsia" w:cs="Arial"/>
          <w:color w:val="auto"/>
          <w:highlight w:val="none"/>
        </w:rPr>
        <w:t>，代表所有联合体成员负责投标和合同实施阶段的主办、协调工作</w:t>
      </w:r>
      <w:r>
        <w:rPr>
          <w:rFonts w:hint="eastAsia"/>
          <w:color w:val="auto"/>
          <w:highlight w:val="none"/>
          <w:lang w:val="zh-CN"/>
        </w:rPr>
        <w:t>。</w:t>
      </w:r>
    </w:p>
    <w:p>
      <w:pPr>
        <w:rPr>
          <w:color w:val="auto"/>
          <w:highlight w:val="none"/>
          <w:lang w:val="zh-CN"/>
        </w:rPr>
      </w:pPr>
      <w:r>
        <w:rPr>
          <w:rFonts w:hint="eastAsia"/>
          <w:color w:val="auto"/>
          <w:highlight w:val="none"/>
          <w:lang w:val="zh-CN"/>
        </w:rPr>
        <w:t>二、</w:t>
      </w:r>
      <w:r>
        <w:rPr>
          <w:rFonts w:hint="eastAsia" w:cs="Arial"/>
          <w:color w:val="auto"/>
          <w:highlight w:val="none"/>
        </w:rPr>
        <w:t>所有联合体成员各方签署授权书，授权书载明的</w:t>
      </w:r>
      <w:r>
        <w:rPr>
          <w:rFonts w:hint="eastAsia"/>
          <w:color w:val="auto"/>
          <w:highlight w:val="none"/>
          <w:lang w:val="zh-CN"/>
        </w:rPr>
        <w:t>授权代表根据招标文件规定及投标内容而对采购人、采购机构所作的任何合法承诺，包括书面澄清及相应等均对联合投标各方产生约束力。</w:t>
      </w:r>
    </w:p>
    <w:p>
      <w:pPr>
        <w:rPr>
          <w:color w:val="auto"/>
          <w:highlight w:val="none"/>
          <w:lang w:val="zh-CN"/>
        </w:rPr>
      </w:pPr>
      <w:r>
        <w:rPr>
          <w:rFonts w:hint="eastAsia"/>
          <w:color w:val="auto"/>
          <w:highlight w:val="none"/>
          <w:lang w:val="zh-CN"/>
        </w:rPr>
        <w:t>三、本次联合投标中，分工如下：</w:t>
      </w:r>
      <w:r>
        <w:rPr>
          <w:rFonts w:hint="eastAsia"/>
          <w:color w:val="auto"/>
          <w:highlight w:val="none"/>
          <w:u w:val="single"/>
        </w:rPr>
        <w:t>（联合体其中一方成员名称）</w:t>
      </w:r>
      <w:r>
        <w:rPr>
          <w:rFonts w:hint="eastAsia"/>
          <w:color w:val="auto"/>
          <w:highlight w:val="none"/>
          <w:lang w:val="zh-CN"/>
        </w:rPr>
        <w:t>承担的工作和义务为：</w:t>
      </w:r>
      <w:r>
        <w:rPr>
          <w:color w:val="auto"/>
          <w:highlight w:val="none"/>
          <w:u w:val="single"/>
        </w:rPr>
        <w:t xml:space="preserve">             </w:t>
      </w:r>
      <w:r>
        <w:rPr>
          <w:rFonts w:hint="eastAsia"/>
          <w:color w:val="auto"/>
          <w:highlight w:val="none"/>
          <w:lang w:val="zh-CN"/>
        </w:rPr>
        <w:t>；</w:t>
      </w:r>
      <w:r>
        <w:rPr>
          <w:color w:val="auto"/>
          <w:highlight w:val="none"/>
          <w:lang w:val="zh-CN"/>
        </w:rPr>
        <w:t>……。</w:t>
      </w:r>
    </w:p>
    <w:p>
      <w:pPr>
        <w:rPr>
          <w:color w:val="auto"/>
          <w:highlight w:val="none"/>
          <w:lang w:val="zh-CN"/>
        </w:rPr>
      </w:pPr>
      <w:r>
        <w:rPr>
          <w:rFonts w:hint="eastAsia"/>
          <w:color w:val="auto"/>
          <w:highlight w:val="none"/>
          <w:lang w:val="zh-CN"/>
        </w:rPr>
        <w:t>四、</w:t>
      </w:r>
      <w:r>
        <w:rPr>
          <w:rFonts w:hint="eastAsia"/>
          <w:color w:val="auto"/>
          <w:highlight w:val="none"/>
          <w:u w:val="single"/>
        </w:rPr>
        <w:t>（联合体其中一方成员名称）</w:t>
      </w:r>
      <w:r>
        <w:rPr>
          <w:rFonts w:hint="eastAsia"/>
          <w:color w:val="auto"/>
          <w:highlight w:val="none"/>
        </w:rPr>
        <w:t>提供的全部货物由小微企业制造，其合同份额占到合同总金额</w:t>
      </w:r>
      <w:r>
        <w:rPr>
          <w:color w:val="auto"/>
          <w:highlight w:val="none"/>
          <w:u w:val="single"/>
        </w:rPr>
        <w:t xml:space="preserve">     </w:t>
      </w:r>
      <w:r>
        <w:rPr>
          <w:color w:val="auto"/>
          <w:highlight w:val="none"/>
        </w:rPr>
        <w:t>%以上；</w:t>
      </w:r>
      <w:r>
        <w:rPr>
          <w:rFonts w:hint="eastAsia"/>
          <w:color w:val="auto"/>
          <w:highlight w:val="none"/>
          <w:lang w:val="zh-CN"/>
        </w:rPr>
        <w:t>……。（未预留份额专门面向中小企业采购的的采购项目，以及预留份额中的非预留部分采购包，接受联合体投标的，联合体其中一方提供的货物全部由小微企业制造，且其合同份额占到合同总金额</w:t>
      </w:r>
      <w:r>
        <w:rPr>
          <w:color w:val="auto"/>
          <w:highlight w:val="none"/>
          <w:lang w:val="zh-CN"/>
        </w:rPr>
        <w:t xml:space="preserve"> 30%以上</w:t>
      </w:r>
      <w:r>
        <w:rPr>
          <w:rFonts w:hint="eastAsia"/>
          <w:color w:val="auto"/>
          <w:highlight w:val="none"/>
          <w:lang w:val="zh-CN"/>
        </w:rPr>
        <w:t>，对联合体报价给予6</w:t>
      </w:r>
      <w:r>
        <w:rPr>
          <w:color w:val="auto"/>
          <w:highlight w:val="none"/>
          <w:lang w:val="zh-CN"/>
        </w:rPr>
        <w:t>%的扣除</w:t>
      </w:r>
      <w:r>
        <w:rPr>
          <w:rFonts w:hint="eastAsia"/>
          <w:color w:val="auto"/>
          <w:highlight w:val="none"/>
          <w:lang w:val="zh-CN"/>
        </w:rPr>
        <w:t>）</w:t>
      </w:r>
    </w:p>
    <w:p>
      <w:pPr>
        <w:rPr>
          <w:color w:val="auto"/>
          <w:highlight w:val="none"/>
          <w:lang w:val="zh-CN"/>
        </w:rPr>
      </w:pPr>
      <w:r>
        <w:rPr>
          <w:rFonts w:hint="eastAsia"/>
          <w:color w:val="auto"/>
          <w:highlight w:val="none"/>
          <w:lang w:val="zh-CN"/>
        </w:rPr>
        <w:t>五、如果中标，</w:t>
      </w:r>
      <w:r>
        <w:rPr>
          <w:rFonts w:hint="eastAsia"/>
          <w:color w:val="auto"/>
          <w:highlight w:val="none"/>
        </w:rPr>
        <w:t>联合体各成员方共同与采购人签订合同，并就采购合同约定的事项对采购人承担连带责任。</w:t>
      </w:r>
    </w:p>
    <w:p>
      <w:pPr>
        <w:rPr>
          <w:color w:val="auto"/>
          <w:highlight w:val="none"/>
          <w:lang w:val="zh-CN"/>
        </w:rPr>
      </w:pPr>
      <w:r>
        <w:rPr>
          <w:rFonts w:hint="eastAsia"/>
          <w:color w:val="auto"/>
          <w:highlight w:val="none"/>
          <w:lang w:val="zh-CN"/>
        </w:rPr>
        <w:t>六、有关本次联合投标的其他事宜：</w:t>
      </w:r>
    </w:p>
    <w:p>
      <w:pPr>
        <w:rPr>
          <w:color w:val="auto"/>
          <w:highlight w:val="none"/>
          <w:lang w:val="zh-CN"/>
        </w:rPr>
      </w:pPr>
      <w:r>
        <w:rPr>
          <w:color w:val="auto"/>
          <w:highlight w:val="none"/>
          <w:lang w:val="zh-CN"/>
        </w:rPr>
        <w:t>1、联合体各方不再单独参加或者与其</w:t>
      </w:r>
      <w:r>
        <w:rPr>
          <w:rFonts w:hint="eastAsia"/>
          <w:color w:val="auto"/>
          <w:highlight w:val="none"/>
          <w:lang w:val="zh-CN"/>
        </w:rPr>
        <w:t>他供应商另外组成联合体参加同一合同项下的政府采购活动。</w:t>
      </w:r>
    </w:p>
    <w:p>
      <w:pPr>
        <w:rPr>
          <w:color w:val="auto"/>
          <w:highlight w:val="none"/>
          <w:lang w:val="zh-CN"/>
        </w:rPr>
      </w:pPr>
      <w:r>
        <w:rPr>
          <w:color w:val="auto"/>
          <w:highlight w:val="none"/>
          <w:lang w:val="zh-CN"/>
        </w:rPr>
        <w:t>2、联合体中有同类资质的各方按照联合体分工承担相同工作的，按照资质等级较低的供应商确定资质等级。</w:t>
      </w:r>
    </w:p>
    <w:p>
      <w:pPr>
        <w:rPr>
          <w:color w:val="auto"/>
          <w:highlight w:val="none"/>
          <w:lang w:val="zh-CN"/>
        </w:rPr>
      </w:pPr>
      <w:r>
        <w:rPr>
          <w:color w:val="auto"/>
          <w:highlight w:val="none"/>
          <w:lang w:val="zh-CN"/>
        </w:rPr>
        <w:t>3、本协议提交采购人、采购机构后，联合体各方不得以任何形式对上述内容进行修改或撤销。</w:t>
      </w:r>
    </w:p>
    <w:p>
      <w:pPr>
        <w:rPr>
          <w:color w:val="auto"/>
          <w:highlight w:val="none"/>
          <w:lang w:val="zh-CN"/>
        </w:rPr>
      </w:pPr>
      <w:r>
        <w:rPr>
          <w:rFonts w:hint="eastAsia"/>
          <w:color w:val="auto"/>
          <w:highlight w:val="none"/>
          <w:lang w:val="zh-CN"/>
        </w:rPr>
        <w:t>联合体成员名称</w:t>
      </w:r>
      <w:r>
        <w:rPr>
          <w:color w:val="auto"/>
          <w:highlight w:val="none"/>
          <w:lang w:val="zh-CN"/>
        </w:rPr>
        <w:t>(电子签名/公章)：</w:t>
      </w:r>
    </w:p>
    <w:p>
      <w:pPr>
        <w:rPr>
          <w:color w:val="auto"/>
          <w:highlight w:val="none"/>
          <w:lang w:val="zh-CN"/>
        </w:rPr>
      </w:pPr>
      <w:r>
        <w:rPr>
          <w:color w:val="auto"/>
          <w:highlight w:val="none"/>
          <w:lang w:val="zh-CN"/>
        </w:rPr>
        <w:t xml:space="preserve">                                               日期：  年  月   日</w:t>
      </w:r>
    </w:p>
    <w:p>
      <w:pPr>
        <w:rPr>
          <w:color w:val="auto"/>
          <w:highlight w:val="none"/>
        </w:rPr>
      </w:pPr>
      <w:r>
        <w:rPr>
          <w:color w:val="auto"/>
          <w:highlight w:val="none"/>
        </w:rPr>
        <w:t>注：</w:t>
      </w:r>
      <w:r>
        <w:rPr>
          <w:rFonts w:hint="eastAsia"/>
          <w:color w:val="auto"/>
          <w:highlight w:val="none"/>
        </w:rPr>
        <w:t>按本格式和要求提供。</w:t>
      </w:r>
    </w:p>
    <w:p>
      <w:pPr>
        <w:spacing w:line="276" w:lineRule="auto"/>
        <w:rPr>
          <w:color w:val="auto"/>
          <w:highlight w:val="none"/>
        </w:rPr>
      </w:pPr>
      <w:r>
        <w:rPr>
          <w:color w:val="auto"/>
          <w:highlight w:val="none"/>
        </w:rPr>
        <w:br w:type="page"/>
      </w:r>
    </w:p>
    <w:p>
      <w:pPr>
        <w:pStyle w:val="2"/>
        <w:rPr>
          <w:color w:val="auto"/>
          <w:highlight w:val="none"/>
        </w:rPr>
      </w:pPr>
      <w:r>
        <w:rPr>
          <w:rFonts w:hint="eastAsia"/>
          <w:color w:val="auto"/>
          <w:highlight w:val="none"/>
        </w:rPr>
        <w:t>四、分包意向协议</w:t>
      </w:r>
    </w:p>
    <w:p>
      <w:pPr>
        <w:rPr>
          <w:b/>
          <w:color w:val="auto"/>
          <w:highlight w:val="none"/>
        </w:rPr>
      </w:pPr>
      <w:r>
        <w:rPr>
          <w:rFonts w:hint="eastAsia"/>
          <w:b/>
          <w:color w:val="auto"/>
          <w:highlight w:val="none"/>
        </w:rPr>
        <w:t>（中标后以分包方式履行合同的，提供分包意向协议；采购人不同意分包或者投标人中标后不以分包方式履行合同的，则不需要提供。）</w:t>
      </w:r>
    </w:p>
    <w:p>
      <w:pPr>
        <w:rPr>
          <w:color w:val="auto"/>
          <w:highlight w:val="none"/>
          <w:lang w:val="zh-CN"/>
        </w:rPr>
      </w:pPr>
      <w:r>
        <w:rPr>
          <w:rFonts w:hint="eastAsia"/>
          <w:color w:val="auto"/>
          <w:highlight w:val="none"/>
          <w:u w:val="single"/>
        </w:rPr>
        <w:t>（投标人名称）</w:t>
      </w:r>
      <w:r>
        <w:rPr>
          <w:rFonts w:hint="eastAsia"/>
          <w:color w:val="auto"/>
          <w:highlight w:val="none"/>
          <w:lang w:val="zh-CN"/>
        </w:rPr>
        <w:t>若成为</w:t>
      </w:r>
      <w:r>
        <w:rPr>
          <w:rFonts w:hint="eastAsia"/>
          <w:color w:val="auto"/>
          <w:highlight w:val="none"/>
        </w:rPr>
        <w:t>（项目名称）【招标编号：（采购编号）】</w:t>
      </w:r>
      <w:r>
        <w:rPr>
          <w:rFonts w:hint="eastAsia"/>
          <w:color w:val="auto"/>
          <w:highlight w:val="none"/>
          <w:lang w:val="zh-CN"/>
        </w:rPr>
        <w:t>的中标供应商，将依法采取分包方式履行合同。</w:t>
      </w:r>
      <w:r>
        <w:rPr>
          <w:rFonts w:hint="eastAsia"/>
          <w:color w:val="auto"/>
          <w:highlight w:val="none"/>
          <w:u w:val="single"/>
        </w:rPr>
        <w:t>（投标人名称）</w:t>
      </w:r>
      <w:r>
        <w:rPr>
          <w:rFonts w:hint="eastAsia"/>
          <w:color w:val="auto"/>
          <w:highlight w:val="none"/>
        </w:rPr>
        <w:t>与</w:t>
      </w:r>
      <w:r>
        <w:rPr>
          <w:rFonts w:hint="eastAsia"/>
          <w:color w:val="auto"/>
          <w:highlight w:val="none"/>
          <w:u w:val="single"/>
        </w:rPr>
        <w:t>（所有分包供应商名称）</w:t>
      </w:r>
      <w:r>
        <w:rPr>
          <w:rFonts w:hint="eastAsia"/>
          <w:color w:val="auto"/>
          <w:highlight w:val="none"/>
        </w:rPr>
        <w:t>达成分包意向协议</w:t>
      </w:r>
      <w:r>
        <w:rPr>
          <w:rFonts w:hint="eastAsia"/>
          <w:color w:val="auto"/>
          <w:highlight w:val="none"/>
          <w:lang w:val="zh-CN"/>
        </w:rPr>
        <w:t>。</w:t>
      </w:r>
      <w:r>
        <w:rPr>
          <w:color w:val="auto"/>
          <w:highlight w:val="none"/>
          <w:lang w:val="zh-CN"/>
        </w:rPr>
        <w:t xml:space="preserve"> </w:t>
      </w:r>
    </w:p>
    <w:p>
      <w:pPr>
        <w:rPr>
          <w:color w:val="auto"/>
          <w:highlight w:val="none"/>
          <w:lang w:val="zh-CN"/>
        </w:rPr>
      </w:pPr>
      <w:r>
        <w:rPr>
          <w:rFonts w:hint="eastAsia"/>
          <w:color w:val="auto"/>
          <w:highlight w:val="none"/>
          <w:lang w:val="zh-CN"/>
        </w:rPr>
        <w:t>一、分包标的及数量</w:t>
      </w:r>
    </w:p>
    <w:p>
      <w:pPr>
        <w:rPr>
          <w:color w:val="auto"/>
          <w:highlight w:val="none"/>
          <w:lang w:val="zh-CN"/>
        </w:rPr>
      </w:pPr>
      <w:r>
        <w:rPr>
          <w:rFonts w:hint="eastAsia"/>
          <w:color w:val="auto"/>
          <w:highlight w:val="none"/>
          <w:u w:val="single"/>
        </w:rPr>
        <w:t>（投标人名称）</w:t>
      </w:r>
      <w:r>
        <w:rPr>
          <w:rFonts w:hint="eastAsia"/>
          <w:color w:val="auto"/>
          <w:highlight w:val="none"/>
          <w:lang w:val="zh-CN"/>
        </w:rPr>
        <w:t>将</w:t>
      </w:r>
      <w:r>
        <w:rPr>
          <w:color w:val="auto"/>
          <w:highlight w:val="none"/>
          <w:u w:val="single"/>
        </w:rPr>
        <w:t xml:space="preserve">   XX工作内容   </w:t>
      </w:r>
      <w:r>
        <w:rPr>
          <w:rFonts w:hint="eastAsia" w:cs="Arial"/>
          <w:color w:val="auto"/>
          <w:highlight w:val="none"/>
        </w:rPr>
        <w:t>分包给</w:t>
      </w:r>
      <w:r>
        <w:rPr>
          <w:rFonts w:hint="eastAsia"/>
          <w:color w:val="auto"/>
          <w:highlight w:val="none"/>
          <w:u w:val="single"/>
        </w:rPr>
        <w:t>（某分包供应商名称）</w:t>
      </w:r>
      <w:r>
        <w:rPr>
          <w:rFonts w:hint="eastAsia"/>
          <w:color w:val="auto"/>
          <w:highlight w:val="none"/>
          <w:lang w:val="zh-CN"/>
        </w:rPr>
        <w:t>，</w:t>
      </w:r>
      <w:r>
        <w:rPr>
          <w:rFonts w:hint="eastAsia"/>
          <w:color w:val="auto"/>
          <w:highlight w:val="none"/>
          <w:u w:val="single"/>
        </w:rPr>
        <w:t>（某分包供应商名称），</w:t>
      </w:r>
      <w:r>
        <w:rPr>
          <w:rFonts w:hint="eastAsia"/>
          <w:color w:val="auto"/>
          <w:highlight w:val="none"/>
          <w:lang w:val="zh-CN"/>
        </w:rPr>
        <w:t>具备承</w:t>
      </w:r>
      <w:r>
        <w:rPr>
          <w:rFonts w:hint="eastAsia"/>
          <w:color w:val="auto"/>
          <w:highlight w:val="none"/>
        </w:rPr>
        <w:t>担</w:t>
      </w:r>
      <w:r>
        <w:rPr>
          <w:color w:val="auto"/>
          <w:highlight w:val="none"/>
          <w:u w:val="single"/>
          <w:lang w:val="zh-CN"/>
        </w:rPr>
        <w:t>XX工作内容</w:t>
      </w:r>
      <w:r>
        <w:rPr>
          <w:rFonts w:hint="eastAsia"/>
          <w:color w:val="auto"/>
          <w:highlight w:val="none"/>
          <w:lang w:val="zh-CN"/>
        </w:rPr>
        <w:t>相应资质条件且不得再次分包；</w:t>
      </w:r>
    </w:p>
    <w:p>
      <w:pPr>
        <w:rPr>
          <w:color w:val="auto"/>
          <w:highlight w:val="none"/>
        </w:rPr>
      </w:pPr>
      <w:r>
        <w:rPr>
          <w:rFonts w:hint="eastAsia"/>
          <w:color w:val="auto"/>
          <w:highlight w:val="none"/>
        </w:rPr>
        <w:t>……</w:t>
      </w:r>
    </w:p>
    <w:p>
      <w:pPr>
        <w:rPr>
          <w:color w:val="auto"/>
          <w:highlight w:val="none"/>
          <w:lang w:val="zh-CN"/>
        </w:rPr>
      </w:pPr>
      <w:r>
        <w:rPr>
          <w:rFonts w:hint="eastAsia"/>
          <w:color w:val="auto"/>
          <w:highlight w:val="none"/>
          <w:lang w:val="zh-CN"/>
        </w:rPr>
        <w:t>二、分包工作履行期限、地点、方式</w:t>
      </w:r>
    </w:p>
    <w:p>
      <w:pPr>
        <w:rPr>
          <w:color w:val="auto"/>
          <w:highlight w:val="none"/>
          <w:u w:val="single"/>
        </w:rPr>
      </w:pPr>
      <w:r>
        <w:rPr>
          <w:color w:val="auto"/>
          <w:highlight w:val="none"/>
          <w:u w:val="single"/>
        </w:rPr>
        <w:t xml:space="preserve">                                                                                  </w:t>
      </w:r>
    </w:p>
    <w:p>
      <w:pPr>
        <w:rPr>
          <w:color w:val="auto"/>
          <w:highlight w:val="none"/>
          <w:lang w:val="zh-CN"/>
        </w:rPr>
      </w:pPr>
      <w:r>
        <w:rPr>
          <w:rFonts w:hint="eastAsia"/>
          <w:color w:val="auto"/>
          <w:highlight w:val="none"/>
          <w:lang w:val="zh-CN"/>
        </w:rPr>
        <w:t>三、质量</w:t>
      </w:r>
    </w:p>
    <w:p>
      <w:pPr>
        <w:rPr>
          <w:color w:val="auto"/>
          <w:highlight w:val="none"/>
          <w:lang w:val="zh-CN"/>
        </w:rPr>
      </w:pPr>
      <w:r>
        <w:rPr>
          <w:color w:val="auto"/>
          <w:highlight w:val="none"/>
          <w:u w:val="single"/>
        </w:rPr>
        <w:t xml:space="preserve">                                                                                       </w:t>
      </w:r>
    </w:p>
    <w:p>
      <w:pPr>
        <w:rPr>
          <w:color w:val="auto"/>
          <w:highlight w:val="none"/>
          <w:lang w:val="zh-CN"/>
        </w:rPr>
      </w:pPr>
      <w:r>
        <w:rPr>
          <w:rFonts w:hint="eastAsia"/>
          <w:color w:val="auto"/>
          <w:highlight w:val="none"/>
          <w:lang w:val="zh-CN"/>
        </w:rPr>
        <w:t>四、价款或者报酬</w:t>
      </w:r>
    </w:p>
    <w:p>
      <w:pPr>
        <w:rPr>
          <w:color w:val="auto"/>
          <w:highlight w:val="none"/>
          <w:lang w:val="zh-CN"/>
        </w:rPr>
      </w:pPr>
      <w:r>
        <w:rPr>
          <w:color w:val="auto"/>
          <w:highlight w:val="none"/>
          <w:u w:val="single"/>
        </w:rPr>
        <w:t xml:space="preserve">                                                                                     </w:t>
      </w:r>
    </w:p>
    <w:p>
      <w:pPr>
        <w:rPr>
          <w:color w:val="auto"/>
          <w:highlight w:val="none"/>
          <w:lang w:val="zh-CN"/>
        </w:rPr>
      </w:pPr>
      <w:r>
        <w:rPr>
          <w:rFonts w:hint="eastAsia"/>
          <w:color w:val="auto"/>
          <w:highlight w:val="none"/>
          <w:lang w:val="zh-CN"/>
        </w:rPr>
        <w:t>五、违约责任</w:t>
      </w:r>
    </w:p>
    <w:p>
      <w:pPr>
        <w:rPr>
          <w:color w:val="auto"/>
          <w:highlight w:val="none"/>
          <w:lang w:val="zh-CN"/>
        </w:rPr>
      </w:pPr>
      <w:r>
        <w:rPr>
          <w:color w:val="auto"/>
          <w:highlight w:val="none"/>
          <w:u w:val="single"/>
        </w:rPr>
        <w:t xml:space="preserve">                                                                                     </w:t>
      </w:r>
    </w:p>
    <w:p>
      <w:pPr>
        <w:rPr>
          <w:color w:val="auto"/>
          <w:highlight w:val="none"/>
          <w:lang w:val="zh-CN"/>
        </w:rPr>
      </w:pPr>
      <w:r>
        <w:rPr>
          <w:rFonts w:hint="eastAsia"/>
          <w:color w:val="auto"/>
          <w:highlight w:val="none"/>
          <w:lang w:val="zh-CN"/>
        </w:rPr>
        <w:t>六、争议解决的办法</w:t>
      </w:r>
    </w:p>
    <w:p>
      <w:pPr>
        <w:rPr>
          <w:color w:val="auto"/>
          <w:highlight w:val="none"/>
          <w:lang w:val="zh-CN"/>
        </w:rPr>
      </w:pPr>
      <w:r>
        <w:rPr>
          <w:color w:val="auto"/>
          <w:highlight w:val="none"/>
          <w:u w:val="single"/>
        </w:rPr>
        <w:t xml:space="preserve">                                                                                  </w:t>
      </w:r>
    </w:p>
    <w:p>
      <w:pPr>
        <w:rPr>
          <w:color w:val="auto"/>
          <w:highlight w:val="none"/>
          <w:lang w:val="zh-CN"/>
        </w:rPr>
      </w:pPr>
      <w:r>
        <w:rPr>
          <w:rFonts w:hint="eastAsia"/>
          <w:color w:val="auto"/>
          <w:highlight w:val="none"/>
          <w:lang w:val="zh-CN"/>
        </w:rPr>
        <w:t>七、其他</w:t>
      </w:r>
    </w:p>
    <w:p>
      <w:pPr>
        <w:rPr>
          <w:color w:val="auto"/>
          <w:highlight w:val="none"/>
          <w:lang w:val="zh-CN"/>
        </w:rPr>
      </w:pPr>
      <w:r>
        <w:rPr>
          <w:rFonts w:hint="eastAsia"/>
          <w:color w:val="auto"/>
          <w:highlight w:val="none"/>
          <w:u w:val="single"/>
        </w:rPr>
        <w:t>（分包供应商名称）提供的货物全部由小微企业制造，</w:t>
      </w:r>
      <w:r>
        <w:rPr>
          <w:rFonts w:hint="eastAsia"/>
          <w:color w:val="auto"/>
          <w:highlight w:val="none"/>
        </w:rPr>
        <w:t>其合同份额占到合同总金额</w:t>
      </w:r>
      <w:r>
        <w:rPr>
          <w:color w:val="auto"/>
          <w:highlight w:val="none"/>
          <w:u w:val="single"/>
        </w:rPr>
        <w:t xml:space="preserve">     </w:t>
      </w:r>
      <w:r>
        <w:rPr>
          <w:color w:val="auto"/>
          <w:highlight w:val="none"/>
        </w:rPr>
        <w:t>%以上</w:t>
      </w:r>
      <w:r>
        <w:rPr>
          <w:rFonts w:hint="eastAsia"/>
          <w:color w:val="auto"/>
          <w:highlight w:val="none"/>
        </w:rPr>
        <w:t>。</w:t>
      </w:r>
      <w:r>
        <w:rPr>
          <w:rFonts w:hint="eastAsia"/>
          <w:color w:val="auto"/>
          <w:highlight w:val="none"/>
          <w:lang w:val="zh-CN"/>
        </w:rPr>
        <w:t>（未预留份额专门面向中小企业采购的的采购项目，以及预留份额中的非预留部分采购包，允许分包的，分包供应商提供的货物全部由小微企业制造，且其合同份额占到合同总金额</w:t>
      </w:r>
      <w:r>
        <w:rPr>
          <w:color w:val="auto"/>
          <w:highlight w:val="none"/>
          <w:lang w:val="zh-CN"/>
        </w:rPr>
        <w:t xml:space="preserve"> 30%以上</w:t>
      </w:r>
      <w:r>
        <w:rPr>
          <w:rFonts w:hint="eastAsia"/>
          <w:color w:val="auto"/>
          <w:highlight w:val="none"/>
          <w:lang w:val="zh-CN"/>
        </w:rPr>
        <w:t>的，对大中型企业的报价给予6</w:t>
      </w:r>
      <w:r>
        <w:rPr>
          <w:color w:val="auto"/>
          <w:highlight w:val="none"/>
          <w:lang w:val="zh-CN"/>
        </w:rPr>
        <w:t>%的扣除</w:t>
      </w:r>
      <w:r>
        <w:rPr>
          <w:rFonts w:hint="eastAsia"/>
          <w:color w:val="auto"/>
          <w:highlight w:val="none"/>
          <w:lang w:val="zh-CN"/>
        </w:rPr>
        <w:t>）</w:t>
      </w:r>
    </w:p>
    <w:p>
      <w:pPr>
        <w:rPr>
          <w:color w:val="auto"/>
          <w:highlight w:val="none"/>
          <w:lang w:val="zh-CN"/>
        </w:rPr>
      </w:pPr>
      <w:r>
        <w:rPr>
          <w:color w:val="auto"/>
          <w:highlight w:val="none"/>
          <w:lang w:val="zh-CN"/>
        </w:rPr>
        <w:t xml:space="preserve">                                               投标人名称(电子签名)：</w:t>
      </w:r>
    </w:p>
    <w:p>
      <w:pPr>
        <w:rPr>
          <w:color w:val="auto"/>
          <w:highlight w:val="none"/>
          <w:lang w:val="zh-CN"/>
        </w:rPr>
      </w:pPr>
      <w:r>
        <w:rPr>
          <w:rFonts w:hint="eastAsia"/>
          <w:color w:val="auto"/>
          <w:highlight w:val="none"/>
          <w:lang w:val="zh-CN"/>
        </w:rPr>
        <w:t>分包供应商名称：</w:t>
      </w:r>
    </w:p>
    <w:p>
      <w:pPr>
        <w:rPr>
          <w:color w:val="auto"/>
          <w:highlight w:val="none"/>
          <w:lang w:val="zh-CN"/>
        </w:rPr>
      </w:pPr>
      <w:r>
        <w:rPr>
          <w:color w:val="auto"/>
          <w:highlight w:val="none"/>
          <w:lang w:val="zh-CN"/>
        </w:rPr>
        <w:t xml:space="preserve">                                               日期：  年  月   日</w:t>
      </w:r>
    </w:p>
    <w:p>
      <w:pPr>
        <w:rPr>
          <w:color w:val="auto"/>
          <w:highlight w:val="none"/>
        </w:rPr>
      </w:pPr>
      <w:r>
        <w:rPr>
          <w:color w:val="auto"/>
          <w:highlight w:val="none"/>
        </w:rPr>
        <w:t>注：</w:t>
      </w:r>
      <w:r>
        <w:rPr>
          <w:rFonts w:hint="eastAsia"/>
          <w:color w:val="auto"/>
          <w:highlight w:val="none"/>
        </w:rPr>
        <w:t>按本格式和要求提供。</w:t>
      </w:r>
    </w:p>
    <w:p>
      <w:pPr>
        <w:pStyle w:val="2"/>
        <w:rPr>
          <w:color w:val="auto"/>
          <w:highlight w:val="none"/>
        </w:rPr>
      </w:pPr>
      <w:r>
        <w:rPr>
          <w:color w:val="auto"/>
          <w:highlight w:val="none"/>
        </w:rPr>
        <w:br w:type="page"/>
      </w:r>
      <w:r>
        <w:rPr>
          <w:rFonts w:hint="eastAsia"/>
          <w:color w:val="auto"/>
          <w:highlight w:val="none"/>
        </w:rPr>
        <w:t>五、符合性审查资料</w:t>
      </w:r>
    </w:p>
    <w:tbl>
      <w:tblPr>
        <w:tblStyle w:val="26"/>
        <w:tblW w:w="8897"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46"/>
        <w:gridCol w:w="4140"/>
        <w:gridCol w:w="2410"/>
        <w:gridCol w:w="170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82" w:hRule="atLeast"/>
        </w:trPr>
        <w:tc>
          <w:tcPr>
            <w:tcW w:w="646" w:type="dxa"/>
            <w:vAlign w:val="center"/>
          </w:tcPr>
          <w:p>
            <w:pPr>
              <w:keepNext w:val="0"/>
              <w:keepLines w:val="0"/>
              <w:widowControl/>
              <w:suppressLineNumbers w:val="0"/>
              <w:snapToGrid w:val="0"/>
              <w:spacing w:before="0" w:beforeAutospacing="0" w:afterAutospacing="0" w:line="240" w:lineRule="atLeast"/>
              <w:ind w:left="0" w:right="0"/>
              <w:jc w:val="center"/>
              <w:rPr>
                <w:rFonts w:hint="default"/>
                <w:b/>
                <w:color w:val="auto"/>
                <w:highlight w:val="none"/>
              </w:rPr>
            </w:pPr>
            <w:r>
              <w:rPr>
                <w:rFonts w:hint="eastAsia"/>
                <w:b/>
                <w:color w:val="auto"/>
                <w:highlight w:val="none"/>
              </w:rPr>
              <w:t>序号</w:t>
            </w:r>
          </w:p>
        </w:tc>
        <w:tc>
          <w:tcPr>
            <w:tcW w:w="4140" w:type="dxa"/>
            <w:vAlign w:val="center"/>
          </w:tcPr>
          <w:p>
            <w:pPr>
              <w:keepNext w:val="0"/>
              <w:keepLines w:val="0"/>
              <w:widowControl/>
              <w:suppressLineNumbers w:val="0"/>
              <w:snapToGrid w:val="0"/>
              <w:spacing w:before="0" w:beforeAutospacing="0" w:afterAutospacing="0" w:line="240" w:lineRule="atLeast"/>
              <w:ind w:left="0" w:right="0"/>
              <w:jc w:val="center"/>
              <w:rPr>
                <w:rFonts w:hint="default"/>
                <w:b/>
                <w:color w:val="auto"/>
                <w:highlight w:val="none"/>
              </w:rPr>
            </w:pPr>
            <w:r>
              <w:rPr>
                <w:rFonts w:hint="eastAsia"/>
                <w:b/>
                <w:color w:val="auto"/>
                <w:highlight w:val="none"/>
              </w:rPr>
              <w:t>实质性要求</w:t>
            </w:r>
          </w:p>
        </w:tc>
        <w:tc>
          <w:tcPr>
            <w:tcW w:w="2410" w:type="dxa"/>
            <w:vAlign w:val="center"/>
          </w:tcPr>
          <w:p>
            <w:pPr>
              <w:keepNext w:val="0"/>
              <w:keepLines w:val="0"/>
              <w:widowControl/>
              <w:suppressLineNumbers w:val="0"/>
              <w:snapToGrid w:val="0"/>
              <w:spacing w:before="0" w:beforeAutospacing="0" w:afterAutospacing="0" w:line="240" w:lineRule="atLeast"/>
              <w:ind w:left="0" w:right="0"/>
              <w:jc w:val="center"/>
              <w:rPr>
                <w:rFonts w:hint="default"/>
                <w:b/>
                <w:color w:val="auto"/>
                <w:highlight w:val="none"/>
              </w:rPr>
            </w:pPr>
            <w:r>
              <w:rPr>
                <w:rFonts w:hint="eastAsia"/>
                <w:b/>
                <w:color w:val="auto"/>
                <w:highlight w:val="none"/>
              </w:rPr>
              <w:t>需要提供的符合性审查资料</w:t>
            </w:r>
          </w:p>
        </w:tc>
        <w:tc>
          <w:tcPr>
            <w:tcW w:w="1701" w:type="dxa"/>
            <w:vAlign w:val="center"/>
          </w:tcPr>
          <w:p>
            <w:pPr>
              <w:keepNext w:val="0"/>
              <w:keepLines w:val="0"/>
              <w:widowControl/>
              <w:suppressLineNumbers w:val="0"/>
              <w:snapToGrid w:val="0"/>
              <w:spacing w:before="0" w:beforeAutospacing="0" w:afterAutospacing="0" w:line="240" w:lineRule="atLeast"/>
              <w:ind w:left="0" w:right="0"/>
              <w:jc w:val="center"/>
              <w:rPr>
                <w:rFonts w:hint="default"/>
                <w:b/>
                <w:color w:val="auto"/>
                <w:highlight w:val="none"/>
              </w:rPr>
            </w:pPr>
            <w:r>
              <w:rPr>
                <w:rFonts w:hint="eastAsia"/>
                <w:b/>
                <w:color w:val="auto"/>
                <w:highlight w:val="none"/>
              </w:rPr>
              <w:t>投标文件中的</w:t>
            </w:r>
          </w:p>
          <w:p>
            <w:pPr>
              <w:keepNext w:val="0"/>
              <w:keepLines w:val="0"/>
              <w:widowControl/>
              <w:suppressLineNumbers w:val="0"/>
              <w:snapToGrid w:val="0"/>
              <w:spacing w:before="0" w:beforeAutospacing="0" w:afterAutospacing="0" w:line="240" w:lineRule="atLeast"/>
              <w:ind w:left="0" w:right="0"/>
              <w:jc w:val="center"/>
              <w:rPr>
                <w:rFonts w:hint="default"/>
                <w:b/>
                <w:color w:val="auto"/>
                <w:highlight w:val="none"/>
              </w:rPr>
            </w:pPr>
            <w:r>
              <w:rPr>
                <w:rFonts w:hint="eastAsia"/>
                <w:b/>
                <w:color w:val="auto"/>
                <w:highlight w:val="none"/>
              </w:rPr>
              <w:t>页码位置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pPr>
              <w:keepNext w:val="0"/>
              <w:keepLines w:val="0"/>
              <w:widowControl/>
              <w:suppressLineNumbers w:val="0"/>
              <w:spacing w:before="0" w:beforeAutospacing="0" w:afterAutospacing="0"/>
              <w:ind w:left="0" w:right="0"/>
              <w:rPr>
                <w:rFonts w:hint="default"/>
                <w:color w:val="auto"/>
                <w:highlight w:val="none"/>
              </w:rPr>
            </w:pPr>
            <w:r>
              <w:rPr>
                <w:rFonts w:hint="default"/>
                <w:color w:val="auto"/>
                <w:highlight w:val="none"/>
              </w:rPr>
              <w:t>1</w:t>
            </w:r>
          </w:p>
        </w:tc>
        <w:tc>
          <w:tcPr>
            <w:tcW w:w="4140" w:type="dxa"/>
          </w:tcPr>
          <w:p>
            <w:pPr>
              <w:keepNext w:val="0"/>
              <w:keepLines w:val="0"/>
              <w:widowControl/>
              <w:suppressLineNumbers w:val="0"/>
              <w:spacing w:before="0" w:beforeAutospacing="0" w:afterAutospacing="0"/>
              <w:ind w:left="0" w:right="0"/>
              <w:rPr>
                <w:rFonts w:hint="default" w:ascii="仿宋_GB2312" w:eastAsia="仿宋_GB2312" w:cs="仿宋_GB2312"/>
                <w:color w:val="auto"/>
                <w:highlight w:val="none"/>
              </w:rPr>
            </w:pPr>
            <w:r>
              <w:rPr>
                <w:rFonts w:hint="eastAsia" w:ascii="仿宋_GB2312" w:eastAsia="仿宋_GB2312" w:cs="仿宋_GB2312"/>
                <w:color w:val="auto"/>
                <w:highlight w:val="none"/>
              </w:rPr>
              <w:t>投标文件按照招标文件要求签署、盖章。</w:t>
            </w:r>
          </w:p>
        </w:tc>
        <w:tc>
          <w:tcPr>
            <w:tcW w:w="2410" w:type="dxa"/>
            <w:vAlign w:val="center"/>
          </w:tcPr>
          <w:p>
            <w:pPr>
              <w:keepNext w:val="0"/>
              <w:keepLines w:val="0"/>
              <w:widowControl/>
              <w:suppressLineNumbers w:val="0"/>
              <w:spacing w:before="0" w:beforeAutospacing="0" w:afterAutospacing="0"/>
              <w:ind w:left="0" w:right="0"/>
              <w:rPr>
                <w:rFonts w:hint="default"/>
                <w:color w:val="auto"/>
                <w:highlight w:val="none"/>
              </w:rPr>
            </w:pPr>
            <w:r>
              <w:rPr>
                <w:rFonts w:hint="eastAsia"/>
                <w:color w:val="auto"/>
                <w:highlight w:val="none"/>
              </w:rPr>
              <w:t>需要使用电子签名或者签字盖章的投标文件的组成部分</w:t>
            </w:r>
          </w:p>
        </w:tc>
        <w:tc>
          <w:tcPr>
            <w:tcW w:w="1701" w:type="dxa"/>
          </w:tcPr>
          <w:p>
            <w:pPr>
              <w:keepNext w:val="0"/>
              <w:keepLines w:val="0"/>
              <w:widowControl/>
              <w:suppressLineNumbers w:val="0"/>
              <w:spacing w:before="0" w:beforeAutospacing="0" w:afterAutospacing="0"/>
              <w:ind w:left="0" w:right="0"/>
              <w:rPr>
                <w:rFonts w:hint="default" w:cs="仿宋_GB2312"/>
                <w:color w:val="auto"/>
                <w:highlight w:val="none"/>
              </w:rPr>
            </w:pPr>
          </w:p>
          <w:p>
            <w:pPr>
              <w:keepNext w:val="0"/>
              <w:keepLines w:val="0"/>
              <w:widowControl/>
              <w:suppressLineNumbers w:val="0"/>
              <w:spacing w:before="0" w:beforeAutospacing="0" w:afterAutospacing="0"/>
              <w:ind w:left="0" w:right="0"/>
              <w:rPr>
                <w:rFonts w:hint="default" w:cs="仿宋_GB2312"/>
                <w:color w:val="auto"/>
                <w:highlight w:val="none"/>
              </w:rPr>
            </w:pPr>
            <w:r>
              <w:rPr>
                <w:rFonts w:hint="eastAsia" w:cs="仿宋_GB2312"/>
                <w:color w:val="auto"/>
                <w:highlight w:val="none"/>
              </w:rPr>
              <w:t>见投标文件</w:t>
            </w:r>
          </w:p>
          <w:p>
            <w:pPr>
              <w:keepNext w:val="0"/>
              <w:keepLines w:val="0"/>
              <w:widowControl/>
              <w:suppressLineNumbers w:val="0"/>
              <w:spacing w:before="0" w:beforeAutospacing="0" w:afterAutospacing="0"/>
              <w:ind w:left="0" w:right="0"/>
              <w:rPr>
                <w:rFonts w:hint="default"/>
                <w:color w:val="auto"/>
                <w:highlight w:val="none"/>
              </w:rPr>
            </w:pPr>
            <w:r>
              <w:rPr>
                <w:rFonts w:hint="eastAsia" w:cs="仿宋_GB2312"/>
                <w:color w:val="auto"/>
                <w:highlight w:val="none"/>
              </w:rPr>
              <w:t>第</w:t>
            </w:r>
            <w:r>
              <w:rPr>
                <w:rFonts w:hint="default" w:cs="仿宋_GB2312"/>
                <w:color w:val="auto"/>
                <w:highlight w:val="none"/>
                <w:u w:val="single"/>
              </w:rPr>
              <w:t xml:space="preserve">  </w:t>
            </w:r>
            <w:r>
              <w:rPr>
                <w:rFonts w:hint="eastAsia" w:cs="仿宋_GB2312"/>
                <w:color w:val="auto"/>
                <w:highlight w:val="none"/>
              </w:rPr>
              <w:t>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pPr>
              <w:keepNext w:val="0"/>
              <w:keepLines w:val="0"/>
              <w:widowControl/>
              <w:suppressLineNumbers w:val="0"/>
              <w:spacing w:before="0" w:beforeAutospacing="0" w:afterAutospacing="0"/>
              <w:ind w:left="0" w:right="0"/>
              <w:rPr>
                <w:rFonts w:hint="default" w:ascii="仿宋_GB2312" w:eastAsia="仿宋_GB2312"/>
                <w:color w:val="auto"/>
                <w:highlight w:val="none"/>
              </w:rPr>
            </w:pPr>
            <w:r>
              <w:rPr>
                <w:rFonts w:hint="default" w:ascii="仿宋_GB2312" w:eastAsia="仿宋_GB2312"/>
                <w:color w:val="auto"/>
                <w:highlight w:val="none"/>
              </w:rPr>
              <w:t>2</w:t>
            </w:r>
          </w:p>
        </w:tc>
        <w:tc>
          <w:tcPr>
            <w:tcW w:w="4140" w:type="dxa"/>
          </w:tcPr>
          <w:p>
            <w:pPr>
              <w:keepNext w:val="0"/>
              <w:keepLines w:val="0"/>
              <w:widowControl/>
              <w:suppressLineNumbers w:val="0"/>
              <w:spacing w:before="0" w:beforeAutospacing="0" w:afterAutospacing="0"/>
              <w:ind w:left="0" w:right="0"/>
              <w:rPr>
                <w:rFonts w:hint="default" w:ascii="仿宋_GB2312" w:eastAsia="仿宋_GB2312"/>
                <w:color w:val="auto"/>
                <w:highlight w:val="none"/>
              </w:rPr>
            </w:pPr>
            <w:r>
              <w:rPr>
                <w:rFonts w:hint="eastAsia" w:ascii="仿宋_GB2312" w:eastAsia="仿宋_GB2312"/>
                <w:color w:val="auto"/>
                <w:highlight w:val="none"/>
              </w:rPr>
              <w:t>采购人拟采购的产品属于政府强制采购的节能产品品目清单范围的，投标人按招标文件要求提供国家确定的认证机构出具的、处于有效期之内的节能产品认证证书。</w:t>
            </w:r>
          </w:p>
        </w:tc>
        <w:tc>
          <w:tcPr>
            <w:tcW w:w="2410" w:type="dxa"/>
            <w:vAlign w:val="center"/>
          </w:tcPr>
          <w:p>
            <w:pPr>
              <w:keepNext w:val="0"/>
              <w:keepLines w:val="0"/>
              <w:widowControl/>
              <w:suppressLineNumbers w:val="0"/>
              <w:spacing w:before="0" w:beforeAutospacing="0" w:afterAutospacing="0"/>
              <w:ind w:left="0" w:right="0"/>
              <w:rPr>
                <w:rFonts w:hint="default"/>
                <w:color w:val="auto"/>
                <w:highlight w:val="none"/>
              </w:rPr>
            </w:pPr>
            <w:r>
              <w:rPr>
                <w:rFonts w:hint="eastAsia" w:ascii="仿宋_GB2312" w:eastAsia="仿宋_GB2312" w:cs="仿宋_GB2312"/>
                <w:color w:val="auto"/>
                <w:highlight w:val="none"/>
              </w:rPr>
              <w:t>节能产品认证证书（本项目</w:t>
            </w:r>
            <w:r>
              <w:rPr>
                <w:rFonts w:hint="eastAsia" w:ascii="仿宋_GB2312" w:eastAsia="仿宋_GB2312"/>
                <w:color w:val="auto"/>
                <w:highlight w:val="none"/>
              </w:rPr>
              <w:t>拟采购的产品不属于政府强制采购的节能产品品目清单范围的</w:t>
            </w:r>
            <w:r>
              <w:rPr>
                <w:rFonts w:hint="eastAsia" w:ascii="仿宋_GB2312" w:eastAsia="仿宋_GB2312" w:cs="仿宋_GB2312"/>
                <w:color w:val="auto"/>
                <w:highlight w:val="none"/>
              </w:rPr>
              <w:t>，无需提供）</w:t>
            </w:r>
          </w:p>
        </w:tc>
        <w:tc>
          <w:tcPr>
            <w:tcW w:w="1701" w:type="dxa"/>
          </w:tcPr>
          <w:p>
            <w:pPr>
              <w:keepNext w:val="0"/>
              <w:keepLines w:val="0"/>
              <w:widowControl/>
              <w:suppressLineNumbers w:val="0"/>
              <w:spacing w:before="0" w:beforeAutospacing="0" w:afterAutospacing="0"/>
              <w:ind w:left="0" w:right="0"/>
              <w:rPr>
                <w:rFonts w:hint="default" w:cs="仿宋_GB2312"/>
                <w:color w:val="auto"/>
                <w:highlight w:val="none"/>
              </w:rPr>
            </w:pPr>
          </w:p>
          <w:p>
            <w:pPr>
              <w:keepNext w:val="0"/>
              <w:keepLines w:val="0"/>
              <w:widowControl/>
              <w:suppressLineNumbers w:val="0"/>
              <w:spacing w:before="0" w:beforeAutospacing="0" w:afterAutospacing="0"/>
              <w:ind w:left="0" w:right="0"/>
              <w:rPr>
                <w:rFonts w:hint="default" w:cs="仿宋_GB2312"/>
                <w:color w:val="auto"/>
                <w:highlight w:val="none"/>
              </w:rPr>
            </w:pPr>
          </w:p>
          <w:p>
            <w:pPr>
              <w:keepNext w:val="0"/>
              <w:keepLines w:val="0"/>
              <w:widowControl/>
              <w:suppressLineNumbers w:val="0"/>
              <w:spacing w:before="0" w:beforeAutospacing="0" w:afterAutospacing="0"/>
              <w:ind w:left="0" w:right="0"/>
              <w:rPr>
                <w:rFonts w:hint="default" w:cs="仿宋_GB2312"/>
                <w:color w:val="auto"/>
                <w:highlight w:val="none"/>
              </w:rPr>
            </w:pPr>
            <w:r>
              <w:rPr>
                <w:rFonts w:hint="eastAsia" w:cs="仿宋_GB2312"/>
                <w:color w:val="auto"/>
                <w:highlight w:val="none"/>
              </w:rPr>
              <w:t>见投标文件</w:t>
            </w:r>
          </w:p>
          <w:p>
            <w:pPr>
              <w:keepNext w:val="0"/>
              <w:keepLines w:val="0"/>
              <w:widowControl/>
              <w:suppressLineNumbers w:val="0"/>
              <w:spacing w:before="0" w:beforeAutospacing="0" w:afterAutospacing="0"/>
              <w:ind w:left="0" w:right="0"/>
              <w:rPr>
                <w:rFonts w:hint="default"/>
                <w:color w:val="auto"/>
                <w:highlight w:val="none"/>
              </w:rPr>
            </w:pPr>
            <w:r>
              <w:rPr>
                <w:rFonts w:hint="eastAsia" w:cs="仿宋_GB2312"/>
                <w:color w:val="auto"/>
                <w:highlight w:val="none"/>
              </w:rPr>
              <w:t>第</w:t>
            </w:r>
            <w:r>
              <w:rPr>
                <w:rFonts w:hint="default" w:cs="仿宋_GB2312"/>
                <w:color w:val="auto"/>
                <w:highlight w:val="none"/>
                <w:u w:val="single"/>
              </w:rPr>
              <w:t xml:space="preserve">  </w:t>
            </w:r>
            <w:r>
              <w:rPr>
                <w:rFonts w:hint="eastAsia" w:cs="仿宋_GB2312"/>
                <w:color w:val="auto"/>
                <w:highlight w:val="none"/>
              </w:rPr>
              <w:t>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pPr>
              <w:keepNext w:val="0"/>
              <w:keepLines w:val="0"/>
              <w:widowControl/>
              <w:suppressLineNumbers w:val="0"/>
              <w:spacing w:before="0" w:beforeAutospacing="0" w:afterAutospacing="0"/>
              <w:ind w:left="0" w:right="0"/>
              <w:rPr>
                <w:rFonts w:hint="default"/>
                <w:color w:val="auto"/>
                <w:highlight w:val="none"/>
              </w:rPr>
            </w:pPr>
            <w:r>
              <w:rPr>
                <w:rFonts w:hint="default"/>
                <w:color w:val="auto"/>
                <w:highlight w:val="none"/>
              </w:rPr>
              <w:t>3</w:t>
            </w:r>
          </w:p>
        </w:tc>
        <w:tc>
          <w:tcPr>
            <w:tcW w:w="4140" w:type="dxa"/>
          </w:tcPr>
          <w:p>
            <w:pPr>
              <w:keepNext w:val="0"/>
              <w:keepLines w:val="0"/>
              <w:widowControl/>
              <w:suppressLineNumbers w:val="0"/>
              <w:spacing w:before="0" w:beforeAutospacing="0" w:afterAutospacing="0"/>
              <w:ind w:left="0" w:right="0"/>
              <w:rPr>
                <w:rFonts w:hint="default" w:ascii="仿宋_GB2312" w:eastAsia="仿宋_GB2312" w:cs="仿宋_GB2312"/>
                <w:color w:val="auto"/>
                <w:highlight w:val="none"/>
              </w:rPr>
            </w:pPr>
            <w:r>
              <w:rPr>
                <w:rFonts w:hint="eastAsia" w:ascii="仿宋_GB2312" w:eastAsia="仿宋_GB2312"/>
                <w:color w:val="auto"/>
                <w:highlight w:val="none"/>
              </w:rPr>
              <w:t>投标文件中承诺的投标有效期不少于招标文件中载明的投标有效期。</w:t>
            </w:r>
          </w:p>
        </w:tc>
        <w:tc>
          <w:tcPr>
            <w:tcW w:w="2410" w:type="dxa"/>
            <w:vAlign w:val="center"/>
          </w:tcPr>
          <w:p>
            <w:pPr>
              <w:keepNext w:val="0"/>
              <w:keepLines w:val="0"/>
              <w:widowControl/>
              <w:suppressLineNumbers w:val="0"/>
              <w:spacing w:before="0" w:beforeAutospacing="0" w:afterAutospacing="0"/>
              <w:ind w:left="0" w:right="0"/>
              <w:rPr>
                <w:rFonts w:hint="default"/>
                <w:color w:val="auto"/>
                <w:highlight w:val="none"/>
              </w:rPr>
            </w:pPr>
            <w:r>
              <w:rPr>
                <w:rFonts w:hint="eastAsia"/>
                <w:color w:val="auto"/>
                <w:highlight w:val="none"/>
              </w:rPr>
              <w:t>投标函</w:t>
            </w:r>
          </w:p>
        </w:tc>
        <w:tc>
          <w:tcPr>
            <w:tcW w:w="1701" w:type="dxa"/>
          </w:tcPr>
          <w:p>
            <w:pPr>
              <w:keepNext w:val="0"/>
              <w:keepLines w:val="0"/>
              <w:widowControl/>
              <w:suppressLineNumbers w:val="0"/>
              <w:spacing w:before="0" w:beforeAutospacing="0" w:afterAutospacing="0"/>
              <w:ind w:left="0" w:right="0"/>
              <w:rPr>
                <w:rFonts w:hint="default"/>
                <w:color w:val="auto"/>
                <w:highlight w:val="none"/>
              </w:rPr>
            </w:pPr>
            <w:r>
              <w:rPr>
                <w:rFonts w:hint="eastAsia" w:cs="仿宋_GB2312"/>
                <w:color w:val="auto"/>
                <w:highlight w:val="none"/>
              </w:rPr>
              <w:t>见投标文件第</w:t>
            </w:r>
            <w:r>
              <w:rPr>
                <w:rFonts w:hint="default" w:cs="仿宋_GB2312"/>
                <w:color w:val="auto"/>
                <w:highlight w:val="none"/>
                <w:u w:val="single"/>
              </w:rPr>
              <w:t xml:space="preserve">  </w:t>
            </w:r>
            <w:r>
              <w:rPr>
                <w:rFonts w:hint="eastAsia" w:cs="仿宋_GB2312"/>
                <w:color w:val="auto"/>
                <w:highlight w:val="none"/>
              </w:rPr>
              <w:t>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pPr>
              <w:keepNext w:val="0"/>
              <w:keepLines w:val="0"/>
              <w:widowControl/>
              <w:suppressLineNumbers w:val="0"/>
              <w:spacing w:before="0" w:beforeAutospacing="0" w:afterAutospacing="0"/>
              <w:ind w:left="0" w:right="0"/>
              <w:rPr>
                <w:rFonts w:hint="default"/>
                <w:color w:val="auto"/>
                <w:highlight w:val="none"/>
              </w:rPr>
            </w:pPr>
            <w:r>
              <w:rPr>
                <w:rFonts w:hint="default"/>
                <w:color w:val="auto"/>
                <w:highlight w:val="none"/>
              </w:rPr>
              <w:t>4</w:t>
            </w:r>
          </w:p>
        </w:tc>
        <w:tc>
          <w:tcPr>
            <w:tcW w:w="4140" w:type="dxa"/>
          </w:tcPr>
          <w:p>
            <w:pPr>
              <w:keepNext w:val="0"/>
              <w:keepLines w:val="0"/>
              <w:widowControl/>
              <w:suppressLineNumbers w:val="0"/>
              <w:spacing w:before="0" w:beforeAutospacing="0" w:afterAutospacing="0"/>
              <w:ind w:left="0" w:right="0"/>
              <w:rPr>
                <w:rFonts w:hint="default" w:ascii="仿宋_GB2312" w:eastAsia="仿宋_GB2312"/>
                <w:color w:val="auto"/>
                <w:highlight w:val="none"/>
              </w:rPr>
            </w:pPr>
            <w:r>
              <w:rPr>
                <w:rFonts w:hint="eastAsia" w:ascii="仿宋_GB2312" w:eastAsia="仿宋_GB2312"/>
                <w:color w:val="auto"/>
                <w:highlight w:val="none"/>
              </w:rPr>
              <w:t>投标文件满足招标文件的其它实质性要求。</w:t>
            </w:r>
          </w:p>
        </w:tc>
        <w:tc>
          <w:tcPr>
            <w:tcW w:w="2410" w:type="dxa"/>
            <w:vAlign w:val="center"/>
          </w:tcPr>
          <w:p>
            <w:pPr>
              <w:keepNext w:val="0"/>
              <w:keepLines w:val="0"/>
              <w:widowControl/>
              <w:suppressLineNumbers w:val="0"/>
              <w:spacing w:before="0" w:beforeAutospacing="0" w:afterAutospacing="0"/>
              <w:ind w:left="0" w:right="0"/>
              <w:rPr>
                <w:rFonts w:hint="default"/>
                <w:color w:val="auto"/>
                <w:highlight w:val="none"/>
              </w:rPr>
            </w:pPr>
            <w:r>
              <w:rPr>
                <w:rFonts w:hint="eastAsia" w:ascii="仿宋_GB2312" w:eastAsia="仿宋_GB2312" w:cs="仿宋_GB2312"/>
                <w:color w:val="auto"/>
                <w:highlight w:val="none"/>
              </w:rPr>
              <w:t>招标文件其它实质性要求相应的材料（“▲”</w:t>
            </w:r>
            <w:r>
              <w:rPr>
                <w:rFonts w:hint="default" w:ascii="仿宋_GB2312" w:eastAsia="仿宋_GB2312" w:cs="仿宋_GB2312"/>
                <w:color w:val="auto"/>
                <w:highlight w:val="none"/>
              </w:rPr>
              <w:t xml:space="preserve"> </w:t>
            </w:r>
            <w:r>
              <w:rPr>
                <w:rFonts w:hint="eastAsia" w:ascii="仿宋_GB2312" w:eastAsia="仿宋_GB2312" w:cs="仿宋_GB2312"/>
                <w:color w:val="auto"/>
                <w:highlight w:val="none"/>
              </w:rPr>
              <w:t>系指实质性要求条款，招标文件无其它实质性要求的，无需提供）</w:t>
            </w:r>
          </w:p>
        </w:tc>
        <w:tc>
          <w:tcPr>
            <w:tcW w:w="1701" w:type="dxa"/>
          </w:tcPr>
          <w:p>
            <w:pPr>
              <w:keepNext w:val="0"/>
              <w:keepLines w:val="0"/>
              <w:widowControl/>
              <w:suppressLineNumbers w:val="0"/>
              <w:spacing w:before="0" w:beforeAutospacing="0" w:afterAutospacing="0"/>
              <w:ind w:left="0" w:right="0"/>
              <w:rPr>
                <w:rFonts w:hint="default"/>
                <w:color w:val="auto"/>
                <w:highlight w:val="none"/>
              </w:rPr>
            </w:pPr>
            <w:r>
              <w:rPr>
                <w:rFonts w:hint="eastAsia" w:cs="仿宋_GB2312"/>
                <w:color w:val="auto"/>
                <w:highlight w:val="none"/>
              </w:rPr>
              <w:t>见投标文件第</w:t>
            </w:r>
            <w:r>
              <w:rPr>
                <w:rFonts w:hint="default" w:cs="仿宋_GB2312"/>
                <w:color w:val="auto"/>
                <w:highlight w:val="none"/>
                <w:u w:val="single"/>
              </w:rPr>
              <w:t xml:space="preserve">  </w:t>
            </w:r>
            <w:r>
              <w:rPr>
                <w:rFonts w:hint="eastAsia" w:cs="仿宋_GB2312"/>
                <w:color w:val="auto"/>
                <w:highlight w:val="none"/>
              </w:rPr>
              <w:t>页</w:t>
            </w:r>
          </w:p>
        </w:tc>
      </w:tr>
    </w:tbl>
    <w:p>
      <w:pPr>
        <w:rPr>
          <w:rFonts w:ascii="仿宋_GB2312" w:eastAsia="仿宋_GB2312" w:cs="仿宋_GB2312"/>
          <w:color w:val="auto"/>
          <w:highlight w:val="none"/>
        </w:rPr>
      </w:pPr>
      <w:r>
        <w:rPr>
          <w:rFonts w:ascii="仿宋_GB2312" w:eastAsia="仿宋_GB2312" w:cs="仿宋_GB2312"/>
          <w:color w:val="auto"/>
          <w:highlight w:val="none"/>
        </w:rPr>
        <w:t>注：</w:t>
      </w:r>
      <w:r>
        <w:rPr>
          <w:rFonts w:hint="eastAsia" w:ascii="仿宋_GB2312" w:eastAsia="仿宋_GB2312" w:cs="仿宋_GB2312"/>
          <w:color w:val="auto"/>
          <w:highlight w:val="none"/>
        </w:rPr>
        <w:t>按本格式和要求提供。</w:t>
      </w:r>
    </w:p>
    <w:p>
      <w:pPr>
        <w:rPr>
          <w:rFonts w:ascii="仿宋_GB2312" w:eastAsia="仿宋_GB2312" w:cs="仿宋_GB2312"/>
          <w:color w:val="auto"/>
          <w:highlight w:val="none"/>
        </w:rPr>
      </w:pPr>
      <w:r>
        <w:rPr>
          <w:rFonts w:ascii="仿宋_GB2312" w:eastAsia="仿宋_GB2312" w:cs="仿宋_GB2312"/>
          <w:color w:val="auto"/>
          <w:highlight w:val="none"/>
        </w:rPr>
        <w:br w:type="page"/>
      </w:r>
    </w:p>
    <w:p>
      <w:pPr>
        <w:pStyle w:val="2"/>
        <w:rPr>
          <w:color w:val="auto"/>
          <w:highlight w:val="none"/>
        </w:rPr>
      </w:pPr>
      <w:r>
        <w:rPr>
          <w:rFonts w:hint="eastAsia"/>
          <w:color w:val="auto"/>
          <w:highlight w:val="none"/>
        </w:rPr>
        <w:t>六、评标标准相应的商务技术资料</w:t>
      </w:r>
    </w:p>
    <w:p>
      <w:pPr>
        <w:snapToGrid w:val="0"/>
        <w:spacing w:line="360" w:lineRule="auto"/>
        <w:rPr>
          <w:rFonts w:ascii="仿宋_GB2312" w:eastAsia="仿宋_GB2312" w:cs="仿宋_GB2312"/>
          <w:b/>
          <w:color w:val="auto"/>
          <w:highlight w:val="none"/>
        </w:rPr>
      </w:pPr>
      <w:r>
        <w:rPr>
          <w:rFonts w:hint="eastAsia" w:ascii="仿宋_GB2312" w:eastAsia="仿宋_GB2312" w:cs="仿宋_GB2312"/>
          <w:b/>
          <w:color w:val="auto"/>
          <w:highlight w:val="none"/>
        </w:rPr>
        <w:t>（按招标文件第四部分评标办法前附表中“投标文件中评标标准相应的商务技术资料目录”提供资料。）</w:t>
      </w:r>
    </w:p>
    <w:p>
      <w:pPr>
        <w:spacing w:line="276" w:lineRule="auto"/>
        <w:rPr>
          <w:rFonts w:ascii="仿宋_GB2312" w:eastAsia="仿宋_GB2312" w:cs="仿宋_GB2312"/>
          <w:b/>
          <w:color w:val="auto"/>
          <w:highlight w:val="none"/>
        </w:rPr>
      </w:pPr>
      <w:r>
        <w:rPr>
          <w:rFonts w:ascii="仿宋_GB2312" w:eastAsia="仿宋_GB2312" w:cs="仿宋_GB2312"/>
          <w:b/>
          <w:color w:val="auto"/>
          <w:highlight w:val="none"/>
        </w:rPr>
        <w:br w:type="page"/>
      </w:r>
    </w:p>
    <w:p>
      <w:pPr>
        <w:pStyle w:val="2"/>
        <w:rPr>
          <w:color w:val="auto"/>
          <w:highlight w:val="none"/>
        </w:rPr>
      </w:pPr>
      <w:r>
        <w:rPr>
          <w:rFonts w:hint="eastAsia"/>
          <w:color w:val="auto"/>
          <w:highlight w:val="none"/>
        </w:rPr>
        <w:t>七、投标标的清单</w:t>
      </w:r>
    </w:p>
    <w:tbl>
      <w:tblPr>
        <w:tblStyle w:val="26"/>
        <w:tblW w:w="9711"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37"/>
        <w:gridCol w:w="1369"/>
        <w:gridCol w:w="1114"/>
        <w:gridCol w:w="1260"/>
        <w:gridCol w:w="2775"/>
        <w:gridCol w:w="930"/>
        <w:gridCol w:w="152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3"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pPr>
              <w:keepNext w:val="0"/>
              <w:keepLines w:val="0"/>
              <w:widowControl/>
              <w:suppressLineNumbers w:val="0"/>
              <w:spacing w:before="0" w:beforeAutospacing="0" w:afterAutospacing="0"/>
              <w:ind w:left="0" w:right="0"/>
              <w:rPr>
                <w:rFonts w:hint="default"/>
                <w:color w:val="auto"/>
                <w:highlight w:val="none"/>
              </w:rPr>
            </w:pPr>
            <w:r>
              <w:rPr>
                <w:rFonts w:hint="eastAsia"/>
                <w:color w:val="auto"/>
                <w:highlight w:val="none"/>
              </w:rPr>
              <w:t>序号</w:t>
            </w:r>
          </w:p>
        </w:tc>
        <w:tc>
          <w:tcPr>
            <w:tcW w:w="1369" w:type="dxa"/>
            <w:tcBorders>
              <w:top w:val="single" w:color="auto" w:sz="4" w:space="0"/>
              <w:left w:val="single" w:color="auto" w:sz="4" w:space="0"/>
              <w:bottom w:val="single" w:color="auto" w:sz="4" w:space="0"/>
              <w:right w:val="single" w:color="auto" w:sz="4" w:space="0"/>
            </w:tcBorders>
            <w:vAlign w:val="center"/>
          </w:tcPr>
          <w:p>
            <w:pPr>
              <w:keepNext w:val="0"/>
              <w:keepLines w:val="0"/>
              <w:widowControl/>
              <w:suppressLineNumbers w:val="0"/>
              <w:spacing w:before="0" w:beforeAutospacing="0" w:afterAutospacing="0"/>
              <w:ind w:left="0" w:right="0"/>
              <w:rPr>
                <w:rFonts w:hint="default"/>
                <w:color w:val="auto"/>
                <w:highlight w:val="none"/>
              </w:rPr>
            </w:pPr>
            <w:r>
              <w:rPr>
                <w:rFonts w:hint="eastAsia"/>
                <w:color w:val="auto"/>
                <w:highlight w:val="none"/>
              </w:rPr>
              <w:t>名称</w:t>
            </w:r>
          </w:p>
        </w:tc>
        <w:tc>
          <w:tcPr>
            <w:tcW w:w="1114" w:type="dxa"/>
            <w:tcBorders>
              <w:top w:val="single" w:color="auto" w:sz="4" w:space="0"/>
              <w:left w:val="single" w:color="auto" w:sz="4" w:space="0"/>
              <w:bottom w:val="single" w:color="auto" w:sz="4" w:space="0"/>
              <w:right w:val="single" w:color="auto" w:sz="4" w:space="0"/>
            </w:tcBorders>
            <w:vAlign w:val="center"/>
          </w:tcPr>
          <w:p>
            <w:pPr>
              <w:keepNext w:val="0"/>
              <w:keepLines w:val="0"/>
              <w:widowControl/>
              <w:suppressLineNumbers w:val="0"/>
              <w:spacing w:before="0" w:beforeAutospacing="0" w:afterAutospacing="0"/>
              <w:ind w:left="0" w:right="0"/>
              <w:rPr>
                <w:rFonts w:hint="default"/>
                <w:color w:val="auto"/>
                <w:highlight w:val="none"/>
              </w:rPr>
            </w:pPr>
            <w:r>
              <w:rPr>
                <w:rFonts w:hint="eastAsia"/>
                <w:color w:val="auto"/>
                <w:highlight w:val="none"/>
              </w:rPr>
              <w:t>品牌（如果有）</w:t>
            </w:r>
          </w:p>
        </w:tc>
        <w:tc>
          <w:tcPr>
            <w:tcW w:w="1260" w:type="dxa"/>
            <w:tcBorders>
              <w:top w:val="single" w:color="auto" w:sz="4" w:space="0"/>
              <w:left w:val="single" w:color="auto" w:sz="4" w:space="0"/>
              <w:bottom w:val="single" w:color="auto" w:sz="4" w:space="0"/>
              <w:right w:val="single" w:color="auto" w:sz="4" w:space="0"/>
            </w:tcBorders>
            <w:vAlign w:val="center"/>
          </w:tcPr>
          <w:p>
            <w:pPr>
              <w:keepNext w:val="0"/>
              <w:keepLines w:val="0"/>
              <w:widowControl/>
              <w:suppressLineNumbers w:val="0"/>
              <w:spacing w:before="0" w:beforeAutospacing="0" w:afterAutospacing="0"/>
              <w:ind w:left="0" w:right="0"/>
              <w:rPr>
                <w:rFonts w:hint="default"/>
                <w:color w:val="auto"/>
                <w:highlight w:val="none"/>
              </w:rPr>
            </w:pPr>
            <w:r>
              <w:rPr>
                <w:rFonts w:hint="eastAsia"/>
                <w:color w:val="auto"/>
                <w:highlight w:val="none"/>
              </w:rPr>
              <w:t>型号（如果有）</w:t>
            </w:r>
          </w:p>
        </w:tc>
        <w:tc>
          <w:tcPr>
            <w:tcW w:w="2775" w:type="dxa"/>
            <w:tcBorders>
              <w:top w:val="single" w:color="auto" w:sz="4" w:space="0"/>
              <w:left w:val="single" w:color="auto" w:sz="4" w:space="0"/>
              <w:bottom w:val="single" w:color="auto" w:sz="4" w:space="0"/>
              <w:right w:val="single" w:color="auto" w:sz="4" w:space="0"/>
            </w:tcBorders>
            <w:vAlign w:val="center"/>
          </w:tcPr>
          <w:p>
            <w:pPr>
              <w:keepNext w:val="0"/>
              <w:keepLines w:val="0"/>
              <w:widowControl/>
              <w:suppressLineNumbers w:val="0"/>
              <w:spacing w:before="0" w:beforeAutospacing="0" w:afterAutospacing="0"/>
              <w:ind w:left="0" w:right="0"/>
              <w:rPr>
                <w:rFonts w:hint="default"/>
                <w:color w:val="auto"/>
                <w:highlight w:val="none"/>
              </w:rPr>
            </w:pPr>
            <w:r>
              <w:rPr>
                <w:rFonts w:hint="eastAsia"/>
                <w:color w:val="auto"/>
                <w:highlight w:val="none"/>
              </w:rPr>
              <w:t>规格配置详细说明</w:t>
            </w:r>
          </w:p>
        </w:tc>
        <w:tc>
          <w:tcPr>
            <w:tcW w:w="930" w:type="dxa"/>
            <w:tcBorders>
              <w:top w:val="single" w:color="auto" w:sz="4" w:space="0"/>
              <w:left w:val="single" w:color="auto" w:sz="4" w:space="0"/>
              <w:bottom w:val="single" w:color="auto" w:sz="4" w:space="0"/>
              <w:right w:val="single" w:color="auto" w:sz="4" w:space="0"/>
            </w:tcBorders>
            <w:vAlign w:val="center"/>
          </w:tcPr>
          <w:p>
            <w:pPr>
              <w:keepNext w:val="0"/>
              <w:keepLines w:val="0"/>
              <w:widowControl/>
              <w:suppressLineNumbers w:val="0"/>
              <w:spacing w:before="0" w:beforeAutospacing="0" w:afterAutospacing="0"/>
              <w:ind w:left="0" w:right="0"/>
              <w:rPr>
                <w:rFonts w:hint="default"/>
                <w:color w:val="auto"/>
                <w:highlight w:val="none"/>
              </w:rPr>
            </w:pPr>
            <w:r>
              <w:rPr>
                <w:rFonts w:hint="eastAsia"/>
                <w:color w:val="auto"/>
                <w:highlight w:val="none"/>
              </w:rPr>
              <w:t>数量</w:t>
            </w:r>
          </w:p>
        </w:tc>
        <w:tc>
          <w:tcPr>
            <w:tcW w:w="1526" w:type="dxa"/>
            <w:tcBorders>
              <w:top w:val="single" w:color="auto" w:sz="4" w:space="0"/>
              <w:left w:val="single" w:color="auto" w:sz="4" w:space="0"/>
              <w:bottom w:val="single" w:color="auto" w:sz="4" w:space="0"/>
              <w:right w:val="single" w:color="auto" w:sz="4" w:space="0"/>
            </w:tcBorders>
            <w:vAlign w:val="center"/>
          </w:tcPr>
          <w:p>
            <w:pPr>
              <w:keepNext w:val="0"/>
              <w:keepLines w:val="0"/>
              <w:widowControl/>
              <w:suppressLineNumbers w:val="0"/>
              <w:spacing w:before="0" w:beforeAutospacing="0" w:afterAutospacing="0"/>
              <w:ind w:left="0" w:right="0"/>
              <w:rPr>
                <w:rFonts w:hint="default"/>
                <w:color w:val="auto"/>
                <w:highlight w:val="none"/>
              </w:rPr>
            </w:pPr>
            <w:r>
              <w:rPr>
                <w:rFonts w:hint="eastAsia"/>
                <w:color w:val="auto"/>
                <w:highlight w:val="none"/>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1"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pPr>
              <w:keepNext w:val="0"/>
              <w:keepLines w:val="0"/>
              <w:widowControl/>
              <w:suppressLineNumbers w:val="0"/>
              <w:spacing w:before="0" w:beforeAutospacing="0" w:afterAutospacing="0"/>
              <w:ind w:left="0" w:right="0"/>
              <w:rPr>
                <w:rFonts w:hint="default"/>
                <w:color w:val="auto"/>
                <w:highlight w:val="none"/>
              </w:rPr>
            </w:pPr>
            <w:r>
              <w:rPr>
                <w:rFonts w:hint="eastAsia"/>
                <w:color w:val="auto"/>
                <w:highlight w:val="none"/>
              </w:rPr>
              <w:t>1</w:t>
            </w:r>
          </w:p>
        </w:tc>
        <w:tc>
          <w:tcPr>
            <w:tcW w:w="1369" w:type="dxa"/>
            <w:tcBorders>
              <w:top w:val="single" w:color="auto" w:sz="4" w:space="0"/>
              <w:left w:val="single" w:color="auto" w:sz="4" w:space="0"/>
              <w:bottom w:val="single" w:color="auto" w:sz="4" w:space="0"/>
              <w:right w:val="single" w:color="auto" w:sz="4" w:space="0"/>
            </w:tcBorders>
            <w:vAlign w:val="center"/>
          </w:tcPr>
          <w:p>
            <w:pPr>
              <w:keepNext w:val="0"/>
              <w:keepLines w:val="0"/>
              <w:widowControl/>
              <w:suppressLineNumbers w:val="0"/>
              <w:spacing w:before="0" w:beforeAutospacing="0" w:afterAutospacing="0"/>
              <w:ind w:left="0" w:right="0"/>
              <w:rPr>
                <w:rFonts w:hint="default"/>
                <w:color w:val="auto"/>
                <w:highlight w:val="none"/>
              </w:rPr>
            </w:pPr>
          </w:p>
        </w:tc>
        <w:tc>
          <w:tcPr>
            <w:tcW w:w="1114" w:type="dxa"/>
            <w:tcBorders>
              <w:top w:val="single" w:color="auto" w:sz="4" w:space="0"/>
              <w:left w:val="single" w:color="auto" w:sz="4" w:space="0"/>
              <w:bottom w:val="single" w:color="auto" w:sz="4" w:space="0"/>
              <w:right w:val="single" w:color="auto" w:sz="4" w:space="0"/>
            </w:tcBorders>
            <w:vAlign w:val="center"/>
          </w:tcPr>
          <w:p>
            <w:pPr>
              <w:keepNext w:val="0"/>
              <w:keepLines w:val="0"/>
              <w:widowControl/>
              <w:suppressLineNumbers w:val="0"/>
              <w:spacing w:before="0" w:beforeAutospacing="0" w:afterAutospacing="0"/>
              <w:ind w:left="0" w:right="0"/>
              <w:rPr>
                <w:rFonts w:hint="default"/>
                <w:color w:val="auto"/>
                <w:highlight w:val="none"/>
              </w:rPr>
            </w:pPr>
          </w:p>
        </w:tc>
        <w:tc>
          <w:tcPr>
            <w:tcW w:w="1260" w:type="dxa"/>
            <w:tcBorders>
              <w:top w:val="single" w:color="auto" w:sz="4" w:space="0"/>
              <w:left w:val="single" w:color="auto" w:sz="4" w:space="0"/>
              <w:bottom w:val="single" w:color="auto" w:sz="4" w:space="0"/>
              <w:right w:val="single" w:color="auto" w:sz="4" w:space="0"/>
            </w:tcBorders>
            <w:vAlign w:val="center"/>
          </w:tcPr>
          <w:p>
            <w:pPr>
              <w:keepNext w:val="0"/>
              <w:keepLines w:val="0"/>
              <w:widowControl/>
              <w:suppressLineNumbers w:val="0"/>
              <w:spacing w:before="0" w:beforeAutospacing="0" w:afterAutospacing="0"/>
              <w:ind w:left="0" w:right="0"/>
              <w:rPr>
                <w:rFonts w:hint="default"/>
                <w:color w:val="auto"/>
                <w:highlight w:val="none"/>
              </w:rPr>
            </w:pPr>
          </w:p>
        </w:tc>
        <w:tc>
          <w:tcPr>
            <w:tcW w:w="2775" w:type="dxa"/>
            <w:tcBorders>
              <w:top w:val="single" w:color="auto" w:sz="4" w:space="0"/>
              <w:left w:val="single" w:color="auto" w:sz="4" w:space="0"/>
              <w:bottom w:val="single" w:color="auto" w:sz="4" w:space="0"/>
              <w:right w:val="single" w:color="auto" w:sz="4" w:space="0"/>
            </w:tcBorders>
            <w:vAlign w:val="center"/>
          </w:tcPr>
          <w:p>
            <w:pPr>
              <w:keepNext w:val="0"/>
              <w:keepLines w:val="0"/>
              <w:widowControl/>
              <w:suppressLineNumbers w:val="0"/>
              <w:spacing w:before="0" w:beforeAutospacing="0" w:afterAutospacing="0"/>
              <w:ind w:left="0" w:right="0"/>
              <w:rPr>
                <w:rFonts w:hint="default"/>
                <w:color w:val="auto"/>
                <w:highlight w:val="none"/>
              </w:rPr>
            </w:pPr>
          </w:p>
        </w:tc>
        <w:tc>
          <w:tcPr>
            <w:tcW w:w="930" w:type="dxa"/>
            <w:tcBorders>
              <w:top w:val="single" w:color="auto" w:sz="4" w:space="0"/>
              <w:left w:val="single" w:color="auto" w:sz="4" w:space="0"/>
              <w:bottom w:val="single" w:color="auto" w:sz="4" w:space="0"/>
              <w:right w:val="single" w:color="auto" w:sz="4" w:space="0"/>
            </w:tcBorders>
            <w:vAlign w:val="center"/>
          </w:tcPr>
          <w:p>
            <w:pPr>
              <w:keepNext w:val="0"/>
              <w:keepLines w:val="0"/>
              <w:widowControl/>
              <w:suppressLineNumbers w:val="0"/>
              <w:spacing w:before="0" w:beforeAutospacing="0" w:afterAutospacing="0"/>
              <w:ind w:left="0" w:right="0"/>
              <w:rPr>
                <w:rFonts w:hint="default"/>
                <w:color w:val="auto"/>
                <w:highlight w:val="none"/>
              </w:rPr>
            </w:pPr>
          </w:p>
        </w:tc>
        <w:tc>
          <w:tcPr>
            <w:tcW w:w="1526" w:type="dxa"/>
            <w:tcBorders>
              <w:top w:val="single" w:color="auto" w:sz="4" w:space="0"/>
              <w:left w:val="single" w:color="auto" w:sz="4" w:space="0"/>
              <w:bottom w:val="single" w:color="auto" w:sz="4" w:space="0"/>
              <w:right w:val="single" w:color="auto" w:sz="4" w:space="0"/>
            </w:tcBorders>
            <w:vAlign w:val="center"/>
          </w:tcPr>
          <w:p>
            <w:pPr>
              <w:keepNext w:val="0"/>
              <w:keepLines w:val="0"/>
              <w:widowControl/>
              <w:suppressLineNumbers w:val="0"/>
              <w:spacing w:before="0" w:beforeAutospacing="0" w:afterAutospacing="0"/>
              <w:ind w:left="0" w:right="0"/>
              <w:rPr>
                <w:rFonts w:hint="default"/>
                <w:color w:val="auto"/>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pPr>
              <w:keepNext w:val="0"/>
              <w:keepLines w:val="0"/>
              <w:widowControl/>
              <w:suppressLineNumbers w:val="0"/>
              <w:spacing w:before="0" w:beforeAutospacing="0" w:afterAutospacing="0"/>
              <w:ind w:left="0" w:right="0"/>
              <w:rPr>
                <w:rFonts w:hint="default"/>
                <w:color w:val="auto"/>
                <w:highlight w:val="none"/>
              </w:rPr>
            </w:pPr>
            <w:r>
              <w:rPr>
                <w:rFonts w:hint="eastAsia"/>
                <w:color w:val="auto"/>
                <w:highlight w:val="none"/>
              </w:rPr>
              <w:t>2</w:t>
            </w:r>
          </w:p>
        </w:tc>
        <w:tc>
          <w:tcPr>
            <w:tcW w:w="1369" w:type="dxa"/>
            <w:tcBorders>
              <w:top w:val="single" w:color="auto" w:sz="4" w:space="0"/>
              <w:left w:val="single" w:color="auto" w:sz="4" w:space="0"/>
              <w:bottom w:val="single" w:color="auto" w:sz="4" w:space="0"/>
              <w:right w:val="single" w:color="auto" w:sz="4" w:space="0"/>
            </w:tcBorders>
            <w:vAlign w:val="center"/>
          </w:tcPr>
          <w:p>
            <w:pPr>
              <w:keepNext w:val="0"/>
              <w:keepLines w:val="0"/>
              <w:widowControl/>
              <w:suppressLineNumbers w:val="0"/>
              <w:spacing w:before="0" w:beforeAutospacing="0" w:afterAutospacing="0"/>
              <w:ind w:left="0" w:right="0"/>
              <w:rPr>
                <w:rFonts w:hint="default"/>
                <w:color w:val="auto"/>
                <w:highlight w:val="none"/>
              </w:rPr>
            </w:pPr>
          </w:p>
        </w:tc>
        <w:tc>
          <w:tcPr>
            <w:tcW w:w="1114" w:type="dxa"/>
            <w:tcBorders>
              <w:top w:val="single" w:color="auto" w:sz="4" w:space="0"/>
              <w:left w:val="single" w:color="auto" w:sz="4" w:space="0"/>
              <w:bottom w:val="single" w:color="auto" w:sz="4" w:space="0"/>
              <w:right w:val="single" w:color="auto" w:sz="4" w:space="0"/>
            </w:tcBorders>
            <w:vAlign w:val="center"/>
          </w:tcPr>
          <w:p>
            <w:pPr>
              <w:keepNext w:val="0"/>
              <w:keepLines w:val="0"/>
              <w:widowControl/>
              <w:suppressLineNumbers w:val="0"/>
              <w:spacing w:before="0" w:beforeAutospacing="0" w:afterAutospacing="0"/>
              <w:ind w:left="0" w:right="0"/>
              <w:rPr>
                <w:rFonts w:hint="default"/>
                <w:color w:val="auto"/>
                <w:highlight w:val="none"/>
              </w:rPr>
            </w:pPr>
          </w:p>
        </w:tc>
        <w:tc>
          <w:tcPr>
            <w:tcW w:w="1260" w:type="dxa"/>
            <w:tcBorders>
              <w:top w:val="single" w:color="auto" w:sz="4" w:space="0"/>
              <w:left w:val="single" w:color="auto" w:sz="4" w:space="0"/>
              <w:bottom w:val="single" w:color="auto" w:sz="4" w:space="0"/>
              <w:right w:val="single" w:color="auto" w:sz="4" w:space="0"/>
            </w:tcBorders>
            <w:vAlign w:val="center"/>
          </w:tcPr>
          <w:p>
            <w:pPr>
              <w:keepNext w:val="0"/>
              <w:keepLines w:val="0"/>
              <w:widowControl/>
              <w:suppressLineNumbers w:val="0"/>
              <w:spacing w:before="0" w:beforeAutospacing="0" w:afterAutospacing="0"/>
              <w:ind w:left="0" w:right="0"/>
              <w:rPr>
                <w:rFonts w:hint="default"/>
                <w:color w:val="auto"/>
                <w:highlight w:val="none"/>
              </w:rPr>
            </w:pPr>
          </w:p>
        </w:tc>
        <w:tc>
          <w:tcPr>
            <w:tcW w:w="2775" w:type="dxa"/>
            <w:tcBorders>
              <w:top w:val="single" w:color="auto" w:sz="4" w:space="0"/>
              <w:left w:val="single" w:color="auto" w:sz="4" w:space="0"/>
              <w:bottom w:val="single" w:color="auto" w:sz="4" w:space="0"/>
              <w:right w:val="single" w:color="auto" w:sz="4" w:space="0"/>
            </w:tcBorders>
            <w:vAlign w:val="center"/>
          </w:tcPr>
          <w:p>
            <w:pPr>
              <w:keepNext w:val="0"/>
              <w:keepLines w:val="0"/>
              <w:widowControl/>
              <w:suppressLineNumbers w:val="0"/>
              <w:spacing w:before="0" w:beforeAutospacing="0" w:afterAutospacing="0"/>
              <w:ind w:left="0" w:right="0"/>
              <w:rPr>
                <w:rFonts w:hint="default"/>
                <w:color w:val="auto"/>
                <w:highlight w:val="none"/>
              </w:rPr>
            </w:pPr>
          </w:p>
        </w:tc>
        <w:tc>
          <w:tcPr>
            <w:tcW w:w="930" w:type="dxa"/>
            <w:tcBorders>
              <w:top w:val="single" w:color="auto" w:sz="4" w:space="0"/>
              <w:left w:val="single" w:color="auto" w:sz="4" w:space="0"/>
              <w:bottom w:val="single" w:color="auto" w:sz="4" w:space="0"/>
              <w:right w:val="single" w:color="auto" w:sz="4" w:space="0"/>
            </w:tcBorders>
            <w:vAlign w:val="center"/>
          </w:tcPr>
          <w:p>
            <w:pPr>
              <w:keepNext w:val="0"/>
              <w:keepLines w:val="0"/>
              <w:widowControl/>
              <w:suppressLineNumbers w:val="0"/>
              <w:spacing w:before="0" w:beforeAutospacing="0" w:afterAutospacing="0"/>
              <w:ind w:left="0" w:right="0"/>
              <w:rPr>
                <w:rFonts w:hint="default"/>
                <w:color w:val="auto"/>
                <w:highlight w:val="none"/>
              </w:rPr>
            </w:pPr>
          </w:p>
        </w:tc>
        <w:tc>
          <w:tcPr>
            <w:tcW w:w="1526" w:type="dxa"/>
            <w:tcBorders>
              <w:top w:val="single" w:color="auto" w:sz="4" w:space="0"/>
              <w:left w:val="single" w:color="auto" w:sz="4" w:space="0"/>
              <w:bottom w:val="single" w:color="auto" w:sz="4" w:space="0"/>
              <w:right w:val="single" w:color="auto" w:sz="4" w:space="0"/>
            </w:tcBorders>
            <w:vAlign w:val="center"/>
          </w:tcPr>
          <w:p>
            <w:pPr>
              <w:keepNext w:val="0"/>
              <w:keepLines w:val="0"/>
              <w:widowControl/>
              <w:suppressLineNumbers w:val="0"/>
              <w:spacing w:before="0" w:beforeAutospacing="0" w:afterAutospacing="0"/>
              <w:ind w:left="0" w:right="0"/>
              <w:rPr>
                <w:rFonts w:hint="default"/>
                <w:color w:val="auto"/>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pPr>
              <w:keepNext w:val="0"/>
              <w:keepLines w:val="0"/>
              <w:widowControl/>
              <w:suppressLineNumbers w:val="0"/>
              <w:spacing w:before="0" w:beforeAutospacing="0" w:afterAutospacing="0"/>
              <w:ind w:left="0" w:right="0"/>
              <w:rPr>
                <w:rFonts w:hint="default"/>
                <w:color w:val="auto"/>
                <w:highlight w:val="none"/>
              </w:rPr>
            </w:pPr>
            <w:r>
              <w:rPr>
                <w:rFonts w:hint="eastAsia"/>
                <w:color w:val="auto"/>
                <w:highlight w:val="none"/>
              </w:rPr>
              <w:t>……</w:t>
            </w:r>
          </w:p>
        </w:tc>
        <w:tc>
          <w:tcPr>
            <w:tcW w:w="1369" w:type="dxa"/>
            <w:tcBorders>
              <w:top w:val="single" w:color="auto" w:sz="4" w:space="0"/>
              <w:left w:val="single" w:color="auto" w:sz="4" w:space="0"/>
              <w:bottom w:val="single" w:color="auto" w:sz="4" w:space="0"/>
              <w:right w:val="single" w:color="auto" w:sz="4" w:space="0"/>
            </w:tcBorders>
            <w:vAlign w:val="center"/>
          </w:tcPr>
          <w:p>
            <w:pPr>
              <w:keepNext w:val="0"/>
              <w:keepLines w:val="0"/>
              <w:widowControl/>
              <w:suppressLineNumbers w:val="0"/>
              <w:spacing w:before="0" w:beforeAutospacing="0" w:afterAutospacing="0"/>
              <w:ind w:left="0" w:right="0"/>
              <w:rPr>
                <w:rFonts w:hint="default"/>
                <w:color w:val="auto"/>
                <w:highlight w:val="none"/>
              </w:rPr>
            </w:pPr>
          </w:p>
        </w:tc>
        <w:tc>
          <w:tcPr>
            <w:tcW w:w="1114" w:type="dxa"/>
            <w:tcBorders>
              <w:top w:val="single" w:color="auto" w:sz="4" w:space="0"/>
              <w:left w:val="single" w:color="auto" w:sz="4" w:space="0"/>
              <w:bottom w:val="single" w:color="auto" w:sz="4" w:space="0"/>
              <w:right w:val="single" w:color="auto" w:sz="4" w:space="0"/>
            </w:tcBorders>
            <w:vAlign w:val="center"/>
          </w:tcPr>
          <w:p>
            <w:pPr>
              <w:keepNext w:val="0"/>
              <w:keepLines w:val="0"/>
              <w:widowControl/>
              <w:suppressLineNumbers w:val="0"/>
              <w:spacing w:before="0" w:beforeAutospacing="0" w:afterAutospacing="0"/>
              <w:ind w:left="0" w:right="0"/>
              <w:rPr>
                <w:rFonts w:hint="default"/>
                <w:color w:val="auto"/>
                <w:highlight w:val="none"/>
              </w:rPr>
            </w:pPr>
          </w:p>
        </w:tc>
        <w:tc>
          <w:tcPr>
            <w:tcW w:w="1260" w:type="dxa"/>
            <w:tcBorders>
              <w:top w:val="single" w:color="auto" w:sz="4" w:space="0"/>
              <w:left w:val="single" w:color="auto" w:sz="4" w:space="0"/>
              <w:bottom w:val="single" w:color="auto" w:sz="4" w:space="0"/>
              <w:right w:val="single" w:color="auto" w:sz="4" w:space="0"/>
            </w:tcBorders>
            <w:vAlign w:val="center"/>
          </w:tcPr>
          <w:p>
            <w:pPr>
              <w:keepNext w:val="0"/>
              <w:keepLines w:val="0"/>
              <w:widowControl/>
              <w:suppressLineNumbers w:val="0"/>
              <w:spacing w:before="0" w:beforeAutospacing="0" w:afterAutospacing="0"/>
              <w:ind w:left="0" w:right="0"/>
              <w:rPr>
                <w:rFonts w:hint="default"/>
                <w:color w:val="auto"/>
                <w:highlight w:val="none"/>
              </w:rPr>
            </w:pPr>
          </w:p>
        </w:tc>
        <w:tc>
          <w:tcPr>
            <w:tcW w:w="2775" w:type="dxa"/>
            <w:tcBorders>
              <w:top w:val="single" w:color="auto" w:sz="4" w:space="0"/>
              <w:left w:val="single" w:color="auto" w:sz="4" w:space="0"/>
              <w:bottom w:val="single" w:color="auto" w:sz="4" w:space="0"/>
              <w:right w:val="single" w:color="auto" w:sz="4" w:space="0"/>
            </w:tcBorders>
            <w:vAlign w:val="center"/>
          </w:tcPr>
          <w:p>
            <w:pPr>
              <w:keepNext w:val="0"/>
              <w:keepLines w:val="0"/>
              <w:widowControl/>
              <w:suppressLineNumbers w:val="0"/>
              <w:spacing w:before="0" w:beforeAutospacing="0" w:afterAutospacing="0"/>
              <w:ind w:left="0" w:right="0"/>
              <w:rPr>
                <w:rFonts w:hint="default"/>
                <w:color w:val="auto"/>
                <w:highlight w:val="none"/>
              </w:rPr>
            </w:pPr>
          </w:p>
        </w:tc>
        <w:tc>
          <w:tcPr>
            <w:tcW w:w="930" w:type="dxa"/>
            <w:tcBorders>
              <w:top w:val="single" w:color="auto" w:sz="4" w:space="0"/>
              <w:left w:val="single" w:color="auto" w:sz="4" w:space="0"/>
              <w:bottom w:val="single" w:color="auto" w:sz="4" w:space="0"/>
              <w:right w:val="single" w:color="auto" w:sz="4" w:space="0"/>
            </w:tcBorders>
            <w:vAlign w:val="center"/>
          </w:tcPr>
          <w:p>
            <w:pPr>
              <w:keepNext w:val="0"/>
              <w:keepLines w:val="0"/>
              <w:widowControl/>
              <w:suppressLineNumbers w:val="0"/>
              <w:spacing w:before="0" w:beforeAutospacing="0" w:afterAutospacing="0"/>
              <w:ind w:left="0" w:right="0"/>
              <w:rPr>
                <w:rFonts w:hint="default"/>
                <w:color w:val="auto"/>
                <w:highlight w:val="none"/>
              </w:rPr>
            </w:pPr>
          </w:p>
        </w:tc>
        <w:tc>
          <w:tcPr>
            <w:tcW w:w="1526" w:type="dxa"/>
            <w:tcBorders>
              <w:top w:val="single" w:color="auto" w:sz="4" w:space="0"/>
              <w:left w:val="single" w:color="auto" w:sz="4" w:space="0"/>
              <w:bottom w:val="single" w:color="auto" w:sz="4" w:space="0"/>
              <w:right w:val="single" w:color="auto" w:sz="4" w:space="0"/>
            </w:tcBorders>
            <w:vAlign w:val="center"/>
          </w:tcPr>
          <w:p>
            <w:pPr>
              <w:keepNext w:val="0"/>
              <w:keepLines w:val="0"/>
              <w:widowControl/>
              <w:suppressLineNumbers w:val="0"/>
              <w:spacing w:before="0" w:beforeAutospacing="0" w:afterAutospacing="0"/>
              <w:ind w:left="0" w:right="0"/>
              <w:rPr>
                <w:rFonts w:hint="default"/>
                <w:color w:val="auto"/>
                <w:highlight w:val="none"/>
              </w:rPr>
            </w:pPr>
          </w:p>
        </w:tc>
      </w:tr>
    </w:tbl>
    <w:p>
      <w:pPr>
        <w:rPr>
          <w:rFonts w:cs="仿宋_GB2312"/>
          <w:color w:val="auto"/>
          <w:highlight w:val="none"/>
        </w:rPr>
      </w:pPr>
      <w:r>
        <w:rPr>
          <w:rFonts w:cs="仿宋_GB2312"/>
          <w:color w:val="auto"/>
          <w:highlight w:val="none"/>
        </w:rPr>
        <w:t>注：</w:t>
      </w:r>
      <w:r>
        <w:rPr>
          <w:rFonts w:hint="eastAsia" w:cs="仿宋_GB2312"/>
          <w:color w:val="auto"/>
          <w:highlight w:val="none"/>
        </w:rPr>
        <w:t>按本格式和要求提供。</w:t>
      </w:r>
    </w:p>
    <w:p>
      <w:pPr>
        <w:pStyle w:val="2"/>
        <w:rPr>
          <w:color w:val="auto"/>
          <w:highlight w:val="none"/>
        </w:rPr>
      </w:pPr>
      <w:r>
        <w:rPr>
          <w:rFonts w:hint="eastAsia"/>
          <w:color w:val="auto"/>
          <w:highlight w:val="none"/>
        </w:rPr>
        <w:t>八、商务技术偏离表</w:t>
      </w:r>
    </w:p>
    <w:tbl>
      <w:tblPr>
        <w:tblStyle w:val="27"/>
        <w:tblW w:w="9464" w:type="dxa"/>
        <w:tblInd w:w="-581"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959"/>
        <w:gridCol w:w="3683"/>
        <w:gridCol w:w="3546"/>
        <w:gridCol w:w="127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pPr>
              <w:keepNext w:val="0"/>
              <w:keepLines w:val="0"/>
              <w:widowControl/>
              <w:suppressLineNumbers w:val="0"/>
              <w:spacing w:before="0" w:beforeAutospacing="0" w:after="0" w:afterAutospacing="0"/>
              <w:ind w:left="0" w:right="0"/>
              <w:jc w:val="center"/>
              <w:rPr>
                <w:rFonts w:hint="default" w:ascii="仿宋_GB2312" w:eastAsia="仿宋_GB2312"/>
                <w:b/>
                <w:bCs/>
                <w:color w:val="auto"/>
                <w:highlight w:val="none"/>
              </w:rPr>
            </w:pPr>
            <w:r>
              <w:rPr>
                <w:rFonts w:hint="eastAsia" w:ascii="仿宋_GB2312" w:eastAsia="仿宋_GB2312"/>
                <w:b/>
                <w:bCs/>
                <w:color w:val="auto"/>
                <w:highlight w:val="none"/>
              </w:rPr>
              <w:t>序号</w:t>
            </w:r>
          </w:p>
        </w:tc>
        <w:tc>
          <w:tcPr>
            <w:tcW w:w="3683" w:type="dxa"/>
          </w:tcPr>
          <w:p>
            <w:pPr>
              <w:keepNext w:val="0"/>
              <w:keepLines w:val="0"/>
              <w:widowControl/>
              <w:suppressLineNumbers w:val="0"/>
              <w:spacing w:before="0" w:beforeAutospacing="0" w:after="0" w:afterAutospacing="0"/>
              <w:ind w:left="0" w:right="0"/>
              <w:jc w:val="center"/>
              <w:rPr>
                <w:rFonts w:hint="default" w:ascii="仿宋_GB2312" w:eastAsia="仿宋_GB2312"/>
                <w:b/>
                <w:bCs/>
                <w:color w:val="auto"/>
                <w:highlight w:val="none"/>
              </w:rPr>
            </w:pPr>
            <w:r>
              <w:rPr>
                <w:rFonts w:hint="eastAsia" w:ascii="仿宋_GB2312" w:eastAsia="仿宋_GB2312"/>
                <w:b/>
                <w:bCs/>
                <w:color w:val="auto"/>
                <w:highlight w:val="none"/>
              </w:rPr>
              <w:t>招标文件章节及具体内容</w:t>
            </w:r>
          </w:p>
        </w:tc>
        <w:tc>
          <w:tcPr>
            <w:tcW w:w="3546" w:type="dxa"/>
          </w:tcPr>
          <w:p>
            <w:pPr>
              <w:keepNext w:val="0"/>
              <w:keepLines w:val="0"/>
              <w:widowControl/>
              <w:suppressLineNumbers w:val="0"/>
              <w:spacing w:before="0" w:beforeAutospacing="0" w:after="0" w:afterAutospacing="0"/>
              <w:ind w:left="0" w:right="0"/>
              <w:jc w:val="center"/>
              <w:rPr>
                <w:rFonts w:hint="default" w:ascii="仿宋_GB2312" w:eastAsia="仿宋_GB2312"/>
                <w:b/>
                <w:bCs/>
                <w:color w:val="auto"/>
                <w:highlight w:val="none"/>
              </w:rPr>
            </w:pPr>
            <w:r>
              <w:rPr>
                <w:rFonts w:hint="eastAsia" w:ascii="仿宋_GB2312" w:eastAsia="仿宋_GB2312"/>
                <w:b/>
                <w:bCs/>
                <w:color w:val="auto"/>
                <w:highlight w:val="none"/>
              </w:rPr>
              <w:t>投标文件章节及具体内容</w:t>
            </w:r>
          </w:p>
        </w:tc>
        <w:tc>
          <w:tcPr>
            <w:tcW w:w="1276" w:type="dxa"/>
          </w:tcPr>
          <w:p>
            <w:pPr>
              <w:keepNext w:val="0"/>
              <w:keepLines w:val="0"/>
              <w:widowControl/>
              <w:suppressLineNumbers w:val="0"/>
              <w:spacing w:before="0" w:beforeAutospacing="0" w:after="0" w:afterAutospacing="0"/>
              <w:ind w:left="0" w:right="0"/>
              <w:jc w:val="center"/>
              <w:rPr>
                <w:rFonts w:hint="default" w:ascii="仿宋_GB2312" w:eastAsia="仿宋_GB2312"/>
                <w:b/>
                <w:bCs/>
                <w:color w:val="auto"/>
                <w:highlight w:val="none"/>
              </w:rPr>
            </w:pPr>
            <w:r>
              <w:rPr>
                <w:rFonts w:hint="eastAsia" w:ascii="仿宋_GB2312" w:eastAsia="仿宋_GB2312"/>
                <w:b/>
                <w:bCs/>
                <w:color w:val="auto"/>
                <w:highlight w:val="none"/>
              </w:rPr>
              <w:t>偏离说明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pPr>
              <w:keepNext w:val="0"/>
              <w:keepLines w:val="0"/>
              <w:widowControl/>
              <w:suppressLineNumbers w:val="0"/>
              <w:spacing w:before="0" w:beforeAutospacing="0" w:after="0" w:afterAutospacing="0"/>
              <w:ind w:left="0" w:right="0"/>
              <w:jc w:val="center"/>
              <w:rPr>
                <w:rFonts w:hint="default" w:ascii="仿宋_GB2312" w:eastAsia="仿宋_GB2312" w:cs="仿宋_GB2312"/>
                <w:color w:val="auto"/>
                <w:highlight w:val="none"/>
              </w:rPr>
            </w:pPr>
            <w:r>
              <w:rPr>
                <w:rFonts w:hint="default" w:ascii="仿宋_GB2312" w:eastAsia="仿宋_GB2312" w:cs="仿宋_GB2312"/>
                <w:color w:val="auto"/>
                <w:highlight w:val="none"/>
              </w:rPr>
              <w:t>1</w:t>
            </w:r>
          </w:p>
        </w:tc>
        <w:tc>
          <w:tcPr>
            <w:tcW w:w="3683" w:type="dxa"/>
          </w:tcPr>
          <w:p>
            <w:pPr>
              <w:keepNext w:val="0"/>
              <w:keepLines w:val="0"/>
              <w:widowControl/>
              <w:suppressLineNumbers w:val="0"/>
              <w:spacing w:before="0" w:beforeAutospacing="0" w:after="0" w:afterAutospacing="0"/>
              <w:ind w:left="0" w:right="0"/>
              <w:jc w:val="center"/>
              <w:rPr>
                <w:rFonts w:hint="default" w:ascii="仿宋_GB2312" w:eastAsia="仿宋_GB2312" w:cs="仿宋_GB2312"/>
                <w:b/>
                <w:color w:val="auto"/>
                <w:sz w:val="32"/>
                <w:szCs w:val="32"/>
                <w:highlight w:val="none"/>
              </w:rPr>
            </w:pPr>
          </w:p>
        </w:tc>
        <w:tc>
          <w:tcPr>
            <w:tcW w:w="3546" w:type="dxa"/>
          </w:tcPr>
          <w:p>
            <w:pPr>
              <w:keepNext w:val="0"/>
              <w:keepLines w:val="0"/>
              <w:widowControl/>
              <w:suppressLineNumbers w:val="0"/>
              <w:spacing w:before="0" w:beforeAutospacing="0" w:after="0" w:afterAutospacing="0"/>
              <w:ind w:left="0" w:right="0"/>
              <w:jc w:val="center"/>
              <w:rPr>
                <w:rFonts w:hint="default" w:ascii="仿宋_GB2312" w:eastAsia="仿宋_GB2312" w:cs="仿宋_GB2312"/>
                <w:b/>
                <w:color w:val="auto"/>
                <w:sz w:val="32"/>
                <w:szCs w:val="32"/>
                <w:highlight w:val="none"/>
              </w:rPr>
            </w:pPr>
          </w:p>
        </w:tc>
        <w:tc>
          <w:tcPr>
            <w:tcW w:w="1276" w:type="dxa"/>
          </w:tcPr>
          <w:p>
            <w:pPr>
              <w:keepNext w:val="0"/>
              <w:keepLines w:val="0"/>
              <w:widowControl/>
              <w:suppressLineNumbers w:val="0"/>
              <w:spacing w:before="0" w:beforeAutospacing="0" w:after="0" w:afterAutospacing="0"/>
              <w:ind w:left="0" w:right="0"/>
              <w:jc w:val="center"/>
              <w:rPr>
                <w:rFonts w:hint="default" w:ascii="仿宋_GB2312" w:eastAsia="仿宋_GB2312" w:cs="仿宋_GB2312"/>
                <w:b/>
                <w:color w:val="auto"/>
                <w:sz w:val="32"/>
                <w:szCs w:val="32"/>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pPr>
              <w:keepNext w:val="0"/>
              <w:keepLines w:val="0"/>
              <w:widowControl/>
              <w:suppressLineNumbers w:val="0"/>
              <w:spacing w:before="0" w:beforeAutospacing="0" w:after="0" w:afterAutospacing="0"/>
              <w:ind w:left="0" w:right="0"/>
              <w:jc w:val="center"/>
              <w:rPr>
                <w:rFonts w:hint="default" w:ascii="仿宋_GB2312" w:eastAsia="仿宋_GB2312" w:cs="仿宋_GB2312"/>
                <w:color w:val="auto"/>
                <w:highlight w:val="none"/>
              </w:rPr>
            </w:pPr>
            <w:r>
              <w:rPr>
                <w:rFonts w:hint="default" w:ascii="仿宋_GB2312" w:eastAsia="仿宋_GB2312" w:cs="仿宋_GB2312"/>
                <w:color w:val="auto"/>
                <w:highlight w:val="none"/>
              </w:rPr>
              <w:t>2</w:t>
            </w:r>
          </w:p>
        </w:tc>
        <w:tc>
          <w:tcPr>
            <w:tcW w:w="3683" w:type="dxa"/>
          </w:tcPr>
          <w:p>
            <w:pPr>
              <w:keepNext w:val="0"/>
              <w:keepLines w:val="0"/>
              <w:widowControl/>
              <w:suppressLineNumbers w:val="0"/>
              <w:spacing w:before="0" w:beforeAutospacing="0" w:after="0" w:afterAutospacing="0"/>
              <w:ind w:left="0" w:right="0"/>
              <w:jc w:val="center"/>
              <w:rPr>
                <w:rFonts w:hint="default" w:ascii="仿宋_GB2312" w:eastAsia="仿宋_GB2312" w:cs="仿宋_GB2312"/>
                <w:b/>
                <w:color w:val="auto"/>
                <w:sz w:val="32"/>
                <w:szCs w:val="32"/>
                <w:highlight w:val="none"/>
              </w:rPr>
            </w:pPr>
          </w:p>
        </w:tc>
        <w:tc>
          <w:tcPr>
            <w:tcW w:w="3546" w:type="dxa"/>
          </w:tcPr>
          <w:p>
            <w:pPr>
              <w:keepNext w:val="0"/>
              <w:keepLines w:val="0"/>
              <w:widowControl/>
              <w:suppressLineNumbers w:val="0"/>
              <w:spacing w:before="0" w:beforeAutospacing="0" w:after="0" w:afterAutospacing="0"/>
              <w:ind w:left="0" w:right="0"/>
              <w:jc w:val="center"/>
              <w:rPr>
                <w:rFonts w:hint="default" w:ascii="仿宋_GB2312" w:eastAsia="仿宋_GB2312" w:cs="仿宋_GB2312"/>
                <w:b/>
                <w:color w:val="auto"/>
                <w:sz w:val="32"/>
                <w:szCs w:val="32"/>
                <w:highlight w:val="none"/>
              </w:rPr>
            </w:pPr>
          </w:p>
        </w:tc>
        <w:tc>
          <w:tcPr>
            <w:tcW w:w="1276" w:type="dxa"/>
          </w:tcPr>
          <w:p>
            <w:pPr>
              <w:keepNext w:val="0"/>
              <w:keepLines w:val="0"/>
              <w:widowControl/>
              <w:suppressLineNumbers w:val="0"/>
              <w:spacing w:before="0" w:beforeAutospacing="0" w:after="0" w:afterAutospacing="0"/>
              <w:ind w:left="0" w:right="0"/>
              <w:jc w:val="center"/>
              <w:rPr>
                <w:rFonts w:hint="default" w:ascii="仿宋_GB2312" w:eastAsia="仿宋_GB2312" w:cs="仿宋_GB2312"/>
                <w:b/>
                <w:color w:val="auto"/>
                <w:sz w:val="32"/>
                <w:szCs w:val="32"/>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959" w:type="dxa"/>
          </w:tcPr>
          <w:p>
            <w:pPr>
              <w:keepNext w:val="0"/>
              <w:keepLines w:val="0"/>
              <w:widowControl/>
              <w:suppressLineNumbers w:val="0"/>
              <w:spacing w:before="0" w:beforeAutospacing="0" w:after="0" w:afterAutospacing="0"/>
              <w:ind w:left="0" w:right="0"/>
              <w:jc w:val="center"/>
              <w:rPr>
                <w:rFonts w:hint="default" w:ascii="仿宋_GB2312" w:eastAsia="仿宋_GB2312" w:cs="仿宋_GB2312"/>
                <w:color w:val="auto"/>
                <w:highlight w:val="none"/>
              </w:rPr>
            </w:pPr>
            <w:r>
              <w:rPr>
                <w:rFonts w:hint="eastAsia" w:ascii="仿宋_GB2312" w:eastAsia="仿宋_GB2312" w:cs="仿宋_GB2312"/>
                <w:color w:val="auto"/>
                <w:highlight w:val="none"/>
              </w:rPr>
              <w:t>……</w:t>
            </w:r>
          </w:p>
        </w:tc>
        <w:tc>
          <w:tcPr>
            <w:tcW w:w="3683" w:type="dxa"/>
          </w:tcPr>
          <w:p>
            <w:pPr>
              <w:keepNext w:val="0"/>
              <w:keepLines w:val="0"/>
              <w:widowControl/>
              <w:suppressLineNumbers w:val="0"/>
              <w:spacing w:before="0" w:beforeAutospacing="0" w:after="0" w:afterAutospacing="0"/>
              <w:ind w:left="0" w:right="0"/>
              <w:jc w:val="center"/>
              <w:rPr>
                <w:rFonts w:hint="default" w:ascii="仿宋_GB2312" w:eastAsia="仿宋_GB2312" w:cs="仿宋_GB2312"/>
                <w:b/>
                <w:color w:val="auto"/>
                <w:sz w:val="32"/>
                <w:szCs w:val="32"/>
                <w:highlight w:val="none"/>
              </w:rPr>
            </w:pPr>
          </w:p>
        </w:tc>
        <w:tc>
          <w:tcPr>
            <w:tcW w:w="3546" w:type="dxa"/>
          </w:tcPr>
          <w:p>
            <w:pPr>
              <w:keepNext w:val="0"/>
              <w:keepLines w:val="0"/>
              <w:widowControl/>
              <w:suppressLineNumbers w:val="0"/>
              <w:spacing w:before="0" w:beforeAutospacing="0" w:after="0" w:afterAutospacing="0"/>
              <w:ind w:left="0" w:right="0"/>
              <w:jc w:val="center"/>
              <w:rPr>
                <w:rFonts w:hint="default" w:ascii="仿宋_GB2312" w:eastAsia="仿宋_GB2312" w:cs="仿宋_GB2312"/>
                <w:b/>
                <w:color w:val="auto"/>
                <w:sz w:val="32"/>
                <w:szCs w:val="32"/>
                <w:highlight w:val="none"/>
              </w:rPr>
            </w:pPr>
          </w:p>
        </w:tc>
        <w:tc>
          <w:tcPr>
            <w:tcW w:w="1276" w:type="dxa"/>
          </w:tcPr>
          <w:p>
            <w:pPr>
              <w:keepNext w:val="0"/>
              <w:keepLines w:val="0"/>
              <w:widowControl/>
              <w:suppressLineNumbers w:val="0"/>
              <w:spacing w:before="0" w:beforeAutospacing="0" w:after="0" w:afterAutospacing="0"/>
              <w:ind w:left="0" w:right="0"/>
              <w:jc w:val="center"/>
              <w:rPr>
                <w:rFonts w:hint="default" w:ascii="仿宋_GB2312" w:eastAsia="仿宋_GB2312" w:cs="仿宋_GB2312"/>
                <w:b/>
                <w:color w:val="auto"/>
                <w:sz w:val="32"/>
                <w:szCs w:val="32"/>
                <w:highlight w:val="none"/>
              </w:rPr>
            </w:pPr>
          </w:p>
        </w:tc>
      </w:tr>
    </w:tbl>
    <w:p>
      <w:pPr>
        <w:rPr>
          <w:rFonts w:ascii="仿宋_GB2312" w:eastAsia="仿宋_GB2312" w:cs="仿宋_GB2312"/>
          <w:color w:val="auto"/>
          <w:highlight w:val="none"/>
        </w:rPr>
      </w:pPr>
      <w:r>
        <w:rPr>
          <w:rFonts w:hint="eastAsia" w:ascii="仿宋_GB2312" w:eastAsia="仿宋_GB2312" w:cs="仿宋_GB2312"/>
          <w:color w:val="auto"/>
          <w:highlight w:val="none"/>
        </w:rPr>
        <w:t>投标人保证：除商务技术偏离表列出的偏离外，投标人响应招标文件的全部要求</w:t>
      </w:r>
    </w:p>
    <w:p>
      <w:pPr>
        <w:spacing w:line="360" w:lineRule="auto"/>
        <w:ind w:right="420"/>
        <w:rPr>
          <w:rFonts w:ascii="仿宋_GB2312" w:eastAsia="仿宋_GB2312" w:cs="仿宋_GB2312"/>
          <w:color w:val="auto"/>
          <w:highlight w:val="none"/>
        </w:rPr>
      </w:pPr>
      <w:r>
        <w:rPr>
          <w:rFonts w:ascii="仿宋_GB2312" w:eastAsia="仿宋_GB2312" w:cs="仿宋_GB2312"/>
          <w:color w:val="auto"/>
          <w:highlight w:val="none"/>
        </w:rPr>
        <w:t>注：</w:t>
      </w:r>
      <w:r>
        <w:rPr>
          <w:rFonts w:hint="eastAsia" w:ascii="仿宋_GB2312" w:eastAsia="仿宋_GB2312" w:cs="仿宋_GB2312"/>
          <w:color w:val="auto"/>
          <w:highlight w:val="none"/>
        </w:rPr>
        <w:t>按本格式和要求提供。</w:t>
      </w:r>
    </w:p>
    <w:p>
      <w:pPr>
        <w:spacing w:line="276" w:lineRule="auto"/>
        <w:rPr>
          <w:rFonts w:ascii="仿宋_GB2312" w:eastAsia="仿宋_GB2312" w:cs="仿宋_GB2312"/>
          <w:b/>
          <w:color w:val="auto"/>
          <w:highlight w:val="none"/>
        </w:rPr>
      </w:pPr>
      <w:r>
        <w:rPr>
          <w:rFonts w:ascii="仿宋_GB2312" w:eastAsia="仿宋_GB2312" w:cs="仿宋_GB2312"/>
          <w:b/>
          <w:color w:val="auto"/>
          <w:highlight w:val="none"/>
        </w:rPr>
        <w:br w:type="page"/>
      </w:r>
    </w:p>
    <w:p>
      <w:pPr>
        <w:pStyle w:val="2"/>
        <w:rPr>
          <w:color w:val="auto"/>
          <w:highlight w:val="none"/>
        </w:rPr>
      </w:pPr>
      <w:r>
        <w:rPr>
          <w:rFonts w:hint="eastAsia"/>
          <w:bCs/>
          <w:color w:val="auto"/>
          <w:highlight w:val="none"/>
        </w:rPr>
        <w:t>九</w:t>
      </w:r>
      <w:r>
        <w:rPr>
          <w:rFonts w:hint="eastAsia"/>
          <w:color w:val="auto"/>
          <w:highlight w:val="none"/>
        </w:rPr>
        <w:t>、</w:t>
      </w:r>
      <w:r>
        <w:rPr>
          <w:rFonts w:hint="eastAsia"/>
          <w:color w:val="auto"/>
          <w:highlight w:val="none"/>
          <w:lang w:val="zh-CN"/>
        </w:rPr>
        <w:t>政府采购供应商廉洁自律承诺书</w:t>
      </w:r>
    </w:p>
    <w:p>
      <w:pPr>
        <w:rPr>
          <w:color w:val="auto"/>
          <w:highlight w:val="none"/>
        </w:rPr>
      </w:pPr>
      <w:r>
        <w:rPr>
          <w:rFonts w:hint="eastAsia"/>
          <w:color w:val="auto"/>
          <w:highlight w:val="none"/>
        </w:rPr>
        <w:t>（采购人）、（采购代理机构）</w:t>
      </w:r>
      <w:r>
        <w:rPr>
          <w:rFonts w:hint="eastAsia"/>
          <w:color w:val="auto"/>
          <w:highlight w:val="none"/>
          <w:lang w:val="zh-CN"/>
        </w:rPr>
        <w:t>：</w:t>
      </w:r>
    </w:p>
    <w:p>
      <w:pPr>
        <w:rPr>
          <w:rFonts w:hAnsi="仿宋_GB2312"/>
          <w:color w:val="auto"/>
          <w:highlight w:val="none"/>
          <w:lang w:val="zh-CN"/>
        </w:rPr>
      </w:pPr>
      <w:r>
        <w:rPr>
          <w:rFonts w:hint="eastAsia" w:hAnsi="仿宋_GB2312"/>
          <w:color w:val="auto"/>
          <w:highlight w:val="none"/>
          <w:lang w:val="zh-CN"/>
        </w:rPr>
        <w:t>我单位响应你</w:t>
      </w:r>
      <w:r>
        <w:rPr>
          <w:rFonts w:hint="eastAsia" w:hAnsi="仿宋_GB2312"/>
          <w:color w:val="auto"/>
          <w:highlight w:val="none"/>
        </w:rPr>
        <w:t>单位</w:t>
      </w:r>
      <w:r>
        <w:rPr>
          <w:rFonts w:hint="eastAsia" w:hAnsi="仿宋_GB2312"/>
          <w:color w:val="auto"/>
          <w:highlight w:val="none"/>
          <w:lang w:val="zh-CN"/>
        </w:rPr>
        <w:t>项目招标要求参加投标。在这次投标过程中和中标后，我们将严格遵守国家法律法规要求，并郑重承诺：</w:t>
      </w:r>
    </w:p>
    <w:p>
      <w:pPr>
        <w:rPr>
          <w:rFonts w:hAnsi="仿宋_GB2312"/>
          <w:color w:val="auto"/>
          <w:highlight w:val="none"/>
          <w:lang w:val="zh-CN"/>
        </w:rPr>
      </w:pPr>
      <w:r>
        <w:rPr>
          <w:rFonts w:hint="eastAsia" w:hAnsi="仿宋_GB2312"/>
          <w:color w:val="auto"/>
          <w:highlight w:val="none"/>
          <w:lang w:val="zh-CN"/>
        </w:rPr>
        <w:t>一、不向项目有关人员及部门赠送礼金礼物、有价证券、回扣以及中介费、介绍费、咨询费等好处费；</w:t>
      </w:r>
      <w:r>
        <w:rPr>
          <w:rFonts w:hAnsi="仿宋_GB2312"/>
          <w:color w:val="auto"/>
          <w:highlight w:val="none"/>
          <w:lang w:val="zh-CN"/>
        </w:rPr>
        <w:t xml:space="preserve"> </w:t>
      </w:r>
    </w:p>
    <w:p>
      <w:pPr>
        <w:rPr>
          <w:rFonts w:hAnsi="仿宋_GB2312"/>
          <w:color w:val="auto"/>
          <w:highlight w:val="none"/>
          <w:lang w:val="zh-CN"/>
        </w:rPr>
      </w:pPr>
      <w:r>
        <w:rPr>
          <w:rFonts w:hint="eastAsia" w:hAnsi="仿宋_GB2312"/>
          <w:color w:val="auto"/>
          <w:highlight w:val="none"/>
          <w:lang w:val="zh-CN"/>
        </w:rPr>
        <w:t>二、不为项目有关人员及部门报销应由你方单位或个人支付的费用；</w:t>
      </w:r>
      <w:r>
        <w:rPr>
          <w:rFonts w:hAnsi="仿宋_GB2312"/>
          <w:color w:val="auto"/>
          <w:highlight w:val="none"/>
          <w:lang w:val="zh-CN"/>
        </w:rPr>
        <w:t xml:space="preserve"> </w:t>
      </w:r>
    </w:p>
    <w:p>
      <w:pPr>
        <w:rPr>
          <w:rFonts w:hAnsi="仿宋_GB2312"/>
          <w:color w:val="auto"/>
          <w:highlight w:val="none"/>
          <w:lang w:val="zh-CN"/>
        </w:rPr>
      </w:pPr>
      <w:r>
        <w:rPr>
          <w:rFonts w:hint="eastAsia" w:hAnsi="仿宋_GB2312"/>
          <w:color w:val="auto"/>
          <w:highlight w:val="none"/>
          <w:lang w:val="zh-CN"/>
        </w:rPr>
        <w:t>三、不向项目有关人员及部门提供有可能影响公正的宴请和健身娱乐等活动；</w:t>
      </w:r>
      <w:r>
        <w:rPr>
          <w:rFonts w:hAnsi="仿宋_GB2312"/>
          <w:color w:val="auto"/>
          <w:highlight w:val="none"/>
          <w:lang w:val="zh-CN"/>
        </w:rPr>
        <w:t xml:space="preserve"> </w:t>
      </w:r>
    </w:p>
    <w:p>
      <w:pPr>
        <w:rPr>
          <w:rFonts w:hAnsi="仿宋_GB2312"/>
          <w:color w:val="auto"/>
          <w:highlight w:val="none"/>
          <w:lang w:val="zh-CN"/>
        </w:rPr>
      </w:pPr>
      <w:r>
        <w:rPr>
          <w:rFonts w:hint="eastAsia" w:hAnsi="仿宋_GB2312"/>
          <w:color w:val="auto"/>
          <w:highlight w:val="none"/>
          <w:lang w:val="zh-CN"/>
        </w:rPr>
        <w:t>四、不为项目有关人员及部门出国（境）、旅游等提供方便；</w:t>
      </w:r>
    </w:p>
    <w:p>
      <w:pPr>
        <w:rPr>
          <w:rFonts w:hAnsi="仿宋_GB2312"/>
          <w:color w:val="auto"/>
          <w:highlight w:val="none"/>
          <w:lang w:val="zh-CN"/>
        </w:rPr>
      </w:pPr>
      <w:r>
        <w:rPr>
          <w:rFonts w:hint="eastAsia" w:hAnsi="仿宋_GB2312"/>
          <w:color w:val="auto"/>
          <w:highlight w:val="none"/>
          <w:lang w:val="zh-CN"/>
        </w:rPr>
        <w:t>五、不为项目有关人员个人装修住房、婚丧嫁娶、配偶子女工作安排等提供</w:t>
      </w:r>
    </w:p>
    <w:p>
      <w:pPr>
        <w:rPr>
          <w:rFonts w:hAnsi="仿宋_GB2312"/>
          <w:color w:val="auto"/>
          <w:highlight w:val="none"/>
          <w:lang w:val="zh-CN"/>
        </w:rPr>
      </w:pPr>
      <w:r>
        <w:rPr>
          <w:rFonts w:hint="eastAsia" w:hAnsi="仿宋_GB2312"/>
          <w:color w:val="auto"/>
          <w:highlight w:val="none"/>
          <w:lang w:val="zh-CN"/>
        </w:rPr>
        <w:t>好处；</w:t>
      </w:r>
    </w:p>
    <w:p>
      <w:pPr>
        <w:rPr>
          <w:rFonts w:hAnsi="仿宋_GB2312"/>
          <w:color w:val="auto"/>
          <w:highlight w:val="none"/>
          <w:lang w:val="zh-CN"/>
        </w:rPr>
      </w:pPr>
      <w:r>
        <w:rPr>
          <w:rFonts w:hint="eastAsia" w:hAnsi="仿宋_GB2312"/>
          <w:color w:val="auto"/>
          <w:highlight w:val="none"/>
          <w:lang w:val="zh-CN"/>
        </w:rPr>
        <w:t>六、严格遵守《</w:t>
      </w:r>
      <w:r>
        <w:rPr>
          <w:rFonts w:hint="eastAsia" w:hAnsi="楷体"/>
          <w:color w:val="auto"/>
          <w:highlight w:val="none"/>
          <w:lang w:val="zh-CN"/>
        </w:rPr>
        <w:t>中华人民共和国</w:t>
      </w:r>
      <w:r>
        <w:rPr>
          <w:rFonts w:hint="eastAsia" w:hAnsi="仿宋_GB2312"/>
          <w:color w:val="auto"/>
          <w:highlight w:val="none"/>
          <w:lang w:val="zh-CN"/>
        </w:rPr>
        <w:t>政府采购法》《</w:t>
      </w:r>
      <w:r>
        <w:rPr>
          <w:rFonts w:hint="eastAsia" w:hAnsi="楷体"/>
          <w:color w:val="auto"/>
          <w:highlight w:val="none"/>
          <w:lang w:val="zh-CN"/>
        </w:rPr>
        <w:t>中华人民共和国</w:t>
      </w:r>
      <w:r>
        <w:rPr>
          <w:rFonts w:hint="eastAsia" w:hAnsi="仿宋_GB2312"/>
          <w:color w:val="auto"/>
          <w:highlight w:val="none"/>
          <w:lang w:val="zh-CN"/>
        </w:rPr>
        <w:t>招标投标</w:t>
      </w:r>
    </w:p>
    <w:p>
      <w:pPr>
        <w:rPr>
          <w:rFonts w:hAnsi="仿宋_GB2312"/>
          <w:color w:val="auto"/>
          <w:highlight w:val="none"/>
          <w:lang w:val="zh-CN"/>
        </w:rPr>
      </w:pPr>
      <w:r>
        <w:rPr>
          <w:rFonts w:hint="eastAsia" w:hAnsi="仿宋_GB2312"/>
          <w:color w:val="auto"/>
          <w:highlight w:val="none"/>
          <w:lang w:val="zh-CN"/>
        </w:rPr>
        <w:t>法》</w:t>
      </w:r>
      <w:r>
        <w:rPr>
          <w:rFonts w:hint="eastAsia" w:hAnsi="楷体"/>
          <w:color w:val="auto"/>
          <w:highlight w:val="none"/>
          <w:lang w:val="zh-CN"/>
        </w:rPr>
        <w:t>《中华人民共和国民法典》</w:t>
      </w:r>
      <w:r>
        <w:rPr>
          <w:rFonts w:hint="eastAsia" w:hAnsi="仿宋_GB2312"/>
          <w:color w:val="auto"/>
          <w:highlight w:val="none"/>
          <w:lang w:val="zh-CN"/>
        </w:rPr>
        <w:t>等法律法规，诚实守信，合法经营，坚决抵制各种违法违纪行为。</w:t>
      </w:r>
      <w:r>
        <w:rPr>
          <w:rFonts w:hAnsi="仿宋_GB2312"/>
          <w:color w:val="auto"/>
          <w:highlight w:val="none"/>
          <w:lang w:val="zh-CN"/>
        </w:rPr>
        <w:t xml:space="preserve"> </w:t>
      </w:r>
    </w:p>
    <w:p>
      <w:pPr>
        <w:rPr>
          <w:rFonts w:hAnsi="仿宋_GB2312"/>
          <w:color w:val="auto"/>
          <w:highlight w:val="none"/>
          <w:lang w:val="zh-CN"/>
        </w:rPr>
      </w:pPr>
      <w:r>
        <w:rPr>
          <w:rFonts w:hint="eastAsia" w:hAnsi="仿宋_GB2312"/>
          <w:color w:val="auto"/>
          <w:highlight w:val="none"/>
          <w:lang w:val="zh-CN"/>
        </w:rPr>
        <w:t>如违反上述承诺，你</w:t>
      </w:r>
      <w:r>
        <w:rPr>
          <w:rFonts w:hint="eastAsia" w:hAnsi="仿宋_GB2312"/>
          <w:color w:val="auto"/>
          <w:highlight w:val="none"/>
        </w:rPr>
        <w:t>单位</w:t>
      </w:r>
      <w:r>
        <w:rPr>
          <w:rFonts w:hint="eastAsia" w:hAnsi="仿宋_GB2312"/>
          <w:color w:val="auto"/>
          <w:highlight w:val="none"/>
          <w:lang w:val="zh-CN"/>
        </w:rPr>
        <w:t>有权立即取消我单位投标、中标或在建项目的建设资格，有权拒绝我单位在一定时期内进入你</w:t>
      </w:r>
      <w:r>
        <w:rPr>
          <w:rFonts w:hint="eastAsia" w:hAnsi="仿宋_GB2312"/>
          <w:color w:val="auto"/>
          <w:highlight w:val="none"/>
        </w:rPr>
        <w:t>单位</w:t>
      </w:r>
      <w:r>
        <w:rPr>
          <w:rFonts w:hint="eastAsia" w:hAnsi="仿宋_GB2312"/>
          <w:color w:val="auto"/>
          <w:highlight w:val="none"/>
          <w:lang w:val="zh-CN"/>
        </w:rPr>
        <w:t>进行项目建设或其他经营活动，并通报市财政局。由此引起的相应损失均由我单位承担。</w:t>
      </w:r>
    </w:p>
    <w:p>
      <w:pPr>
        <w:rPr>
          <w:rFonts w:hAnsi="仿宋_GB2312"/>
          <w:color w:val="auto"/>
          <w:highlight w:val="none"/>
          <w:lang w:val="zh-CN"/>
        </w:rPr>
      </w:pPr>
    </w:p>
    <w:p>
      <w:pPr>
        <w:rPr>
          <w:rFonts w:hAnsi="仿宋_GB2312"/>
          <w:color w:val="auto"/>
          <w:highlight w:val="none"/>
          <w:lang w:val="zh-CN"/>
        </w:rPr>
      </w:pPr>
    </w:p>
    <w:p>
      <w:pPr>
        <w:jc w:val="right"/>
        <w:rPr>
          <w:rFonts w:hAnsi="仿宋_GB2312"/>
          <w:color w:val="auto"/>
          <w:highlight w:val="none"/>
          <w:lang w:val="zh-CN"/>
        </w:rPr>
      </w:pPr>
      <w:r>
        <w:rPr>
          <w:rFonts w:hint="eastAsia" w:hAnsi="仿宋_GB2312"/>
          <w:color w:val="auto"/>
          <w:highlight w:val="none"/>
          <w:lang w:val="zh-CN"/>
        </w:rPr>
        <w:t>投标人名称（</w:t>
      </w:r>
      <w:r>
        <w:rPr>
          <w:rFonts w:hint="eastAsia"/>
          <w:color w:val="auto"/>
          <w:highlight w:val="none"/>
        </w:rPr>
        <w:t>电子签名</w:t>
      </w:r>
      <w:r>
        <w:rPr>
          <w:rFonts w:hint="eastAsia" w:hAnsi="仿宋_GB2312"/>
          <w:color w:val="auto"/>
          <w:highlight w:val="none"/>
          <w:lang w:val="zh-CN"/>
        </w:rPr>
        <w:t>）：</w:t>
      </w:r>
      <w:r>
        <w:rPr>
          <w:rFonts w:hAnsi="仿宋_GB2312"/>
          <w:color w:val="auto"/>
          <w:highlight w:val="none"/>
          <w:lang w:val="zh-CN"/>
        </w:rPr>
        <w:t xml:space="preserve"> </w:t>
      </w:r>
    </w:p>
    <w:p>
      <w:pPr>
        <w:jc w:val="right"/>
        <w:rPr>
          <w:color w:val="auto"/>
          <w:highlight w:val="none"/>
        </w:rPr>
      </w:pPr>
      <w:r>
        <w:rPr>
          <w:rFonts w:hint="eastAsia" w:hAnsi="仿宋_GB2312"/>
          <w:color w:val="auto"/>
          <w:highlight w:val="none"/>
          <w:lang w:val="zh-CN"/>
        </w:rPr>
        <w:t>日期</w:t>
      </w:r>
      <w:r>
        <w:rPr>
          <w:rFonts w:hint="eastAsia" w:hAnsi="仿宋_GB2312"/>
          <w:color w:val="auto"/>
          <w:highlight w:val="none"/>
        </w:rPr>
        <w:t>：</w:t>
      </w:r>
      <w:r>
        <w:rPr>
          <w:rFonts w:hAnsi="仿宋_GB2312"/>
          <w:color w:val="auto"/>
          <w:highlight w:val="none"/>
          <w:lang w:val="zh-CN"/>
        </w:rPr>
        <w:t xml:space="preserve">   年   月   日</w:t>
      </w:r>
    </w:p>
    <w:p>
      <w:pPr>
        <w:rPr>
          <w:b/>
          <w:bCs/>
          <w:color w:val="auto"/>
          <w:highlight w:val="none"/>
        </w:rPr>
      </w:pPr>
    </w:p>
    <w:p>
      <w:pPr>
        <w:rPr>
          <w:color w:val="auto"/>
          <w:highlight w:val="none"/>
        </w:rPr>
      </w:pPr>
      <w:r>
        <w:rPr>
          <w:color w:val="auto"/>
          <w:highlight w:val="none"/>
        </w:rPr>
        <w:t>注：</w:t>
      </w:r>
      <w:r>
        <w:rPr>
          <w:rFonts w:hint="eastAsia"/>
          <w:color w:val="auto"/>
          <w:highlight w:val="none"/>
        </w:rPr>
        <w:t>按本格式和要求提供。</w:t>
      </w:r>
    </w:p>
    <w:p>
      <w:pPr>
        <w:spacing w:line="276" w:lineRule="auto"/>
        <w:rPr>
          <w:color w:val="auto"/>
          <w:highlight w:val="none"/>
        </w:rPr>
      </w:pPr>
      <w:r>
        <w:rPr>
          <w:color w:val="auto"/>
          <w:highlight w:val="none"/>
        </w:rPr>
        <w:br w:type="page"/>
      </w:r>
    </w:p>
    <w:p>
      <w:pPr>
        <w:pStyle w:val="2"/>
        <w:rPr>
          <w:color w:val="auto"/>
          <w:highlight w:val="none"/>
        </w:rPr>
      </w:pPr>
      <w:r>
        <w:rPr>
          <w:rFonts w:hint="eastAsia"/>
          <w:color w:val="auto"/>
          <w:highlight w:val="none"/>
        </w:rPr>
        <w:t>报价文件部分</w:t>
      </w:r>
    </w:p>
    <w:p>
      <w:pPr>
        <w:jc w:val="center"/>
        <w:rPr>
          <w:color w:val="auto"/>
          <w:sz w:val="40"/>
          <w:highlight w:val="none"/>
        </w:rPr>
      </w:pPr>
      <w:r>
        <w:rPr>
          <w:rFonts w:hint="eastAsia"/>
          <w:color w:val="auto"/>
          <w:sz w:val="40"/>
          <w:highlight w:val="none"/>
        </w:rPr>
        <w:t>目录</w:t>
      </w:r>
    </w:p>
    <w:p>
      <w:pPr>
        <w:rPr>
          <w:color w:val="auto"/>
          <w:highlight w:val="none"/>
        </w:rPr>
      </w:pPr>
      <w:r>
        <w:rPr>
          <w:rFonts w:hint="eastAsia"/>
          <w:color w:val="auto"/>
          <w:highlight w:val="none"/>
        </w:rPr>
        <w:t>（</w:t>
      </w:r>
      <w:r>
        <w:rPr>
          <w:color w:val="auto"/>
          <w:highlight w:val="none"/>
        </w:rPr>
        <w:t>1）开标一览表（报价表）……</w:t>
      </w:r>
      <w:r>
        <w:rPr>
          <w:rFonts w:hint="eastAsia"/>
          <w:color w:val="auto"/>
          <w:highlight w:val="none"/>
        </w:rPr>
        <w:t>……………………………………………（页码）</w:t>
      </w:r>
    </w:p>
    <w:p>
      <w:pPr>
        <w:rPr>
          <w:color w:val="auto"/>
          <w:highlight w:val="none"/>
        </w:rPr>
      </w:pPr>
      <w:r>
        <w:rPr>
          <w:rFonts w:hint="eastAsia"/>
          <w:color w:val="auto"/>
          <w:highlight w:val="none"/>
        </w:rPr>
        <w:t>（</w:t>
      </w:r>
      <w:r>
        <w:rPr>
          <w:color w:val="auto"/>
          <w:highlight w:val="none"/>
        </w:rPr>
        <w:t>2）中小企业声明函……</w:t>
      </w:r>
      <w:r>
        <w:rPr>
          <w:rFonts w:hint="eastAsia"/>
          <w:color w:val="auto"/>
          <w:highlight w:val="none"/>
        </w:rPr>
        <w:t>……………………………………………………（页码）</w:t>
      </w:r>
    </w:p>
    <w:p>
      <w:pPr>
        <w:snapToGrid w:val="0"/>
        <w:spacing w:line="360" w:lineRule="auto"/>
        <w:ind w:right="480"/>
        <w:jc w:val="center"/>
        <w:rPr>
          <w:rFonts w:ascii="仿宋_GB2312" w:eastAsia="仿宋_GB2312" w:cs="仿宋_GB2312"/>
          <w:b/>
          <w:color w:val="auto"/>
          <w:sz w:val="32"/>
          <w:szCs w:val="32"/>
          <w:highlight w:val="none"/>
        </w:rPr>
      </w:pPr>
    </w:p>
    <w:p>
      <w:pPr>
        <w:pStyle w:val="78"/>
        <w:keepNext w:val="0"/>
        <w:pageBreakBefore w:val="0"/>
        <w:tabs>
          <w:tab w:val="clear" w:pos="720"/>
        </w:tabs>
        <w:snapToGrid w:val="0"/>
        <w:spacing w:before="120" w:after="120"/>
        <w:ind w:firstLine="643"/>
        <w:outlineLvl w:val="9"/>
        <w:rPr>
          <w:rFonts w:ascii="仿宋_GB2312" w:hAnsi="仿宋" w:eastAsia="仿宋_GB2312" w:cs="仿宋_GB2312"/>
          <w:color w:val="auto"/>
          <w:kern w:val="2"/>
          <w:sz w:val="32"/>
          <w:szCs w:val="32"/>
          <w:highlight w:val="none"/>
        </w:rPr>
        <w:sectPr>
          <w:footerReference r:id="rId3" w:type="default"/>
          <w:pgSz w:w="11906" w:h="16838"/>
          <w:pgMar w:top="1440" w:right="1700" w:bottom="1440" w:left="1800" w:header="851" w:footer="992" w:gutter="0"/>
          <w:cols w:space="425" w:num="1"/>
          <w:docGrid w:type="lines" w:linePitch="312" w:charSpace="0"/>
        </w:sectPr>
      </w:pPr>
    </w:p>
    <w:p>
      <w:pPr>
        <w:pStyle w:val="2"/>
        <w:rPr>
          <w:color w:val="auto"/>
          <w:highlight w:val="none"/>
        </w:rPr>
      </w:pPr>
      <w:r>
        <w:rPr>
          <w:rFonts w:hint="eastAsia"/>
          <w:color w:val="auto"/>
          <w:highlight w:val="none"/>
        </w:rPr>
        <w:t>一、开标一览表（报价表）</w:t>
      </w:r>
    </w:p>
    <w:p>
      <w:pPr>
        <w:rPr>
          <w:color w:val="auto"/>
          <w:highlight w:val="none"/>
        </w:rPr>
      </w:pPr>
      <w:r>
        <w:rPr>
          <w:rFonts w:hint="eastAsia"/>
          <w:color w:val="auto"/>
          <w:highlight w:val="none"/>
        </w:rPr>
        <w:t>（采购人）、（采购代理机构）</w:t>
      </w:r>
      <w:r>
        <w:rPr>
          <w:rFonts w:hint="eastAsia"/>
          <w:color w:val="auto"/>
          <w:highlight w:val="none"/>
          <w:lang w:val="zh-CN"/>
        </w:rPr>
        <w:t>：</w:t>
      </w:r>
    </w:p>
    <w:p>
      <w:pPr>
        <w:rPr>
          <w:color w:val="auto"/>
          <w:highlight w:val="none"/>
          <w:lang w:val="zh-CN"/>
        </w:rPr>
      </w:pPr>
      <w:r>
        <w:rPr>
          <w:rFonts w:hint="eastAsia"/>
          <w:color w:val="auto"/>
          <w:highlight w:val="none"/>
          <w:lang w:val="zh-CN"/>
        </w:rPr>
        <w:t>按你方招标文件要求，我们，本投标文件签字方，谨此向你方发出要约如下：如你方接受本投标，我方承诺按照如下开标一览表（报价表）的价格完成</w:t>
      </w:r>
      <w:r>
        <w:rPr>
          <w:rFonts w:hint="eastAsia"/>
          <w:color w:val="auto"/>
          <w:highlight w:val="none"/>
          <w:u w:val="single"/>
        </w:rPr>
        <w:t>（项目名称）</w:t>
      </w:r>
      <w:r>
        <w:rPr>
          <w:rFonts w:hint="eastAsia"/>
          <w:color w:val="auto"/>
          <w:highlight w:val="none"/>
          <w:u w:val="single"/>
          <w:lang w:val="en-US" w:eastAsia="zh-CN"/>
        </w:rPr>
        <w:t xml:space="preserve">            </w:t>
      </w:r>
      <w:r>
        <w:rPr>
          <w:rFonts w:hint="eastAsia"/>
          <w:color w:val="auto"/>
          <w:highlight w:val="none"/>
          <w:lang w:val="zh-CN"/>
        </w:rPr>
        <w:t>【招标编号：</w:t>
      </w:r>
      <w:r>
        <w:rPr>
          <w:rFonts w:hint="eastAsia"/>
          <w:color w:val="auto"/>
          <w:highlight w:val="none"/>
          <w:u w:val="single"/>
        </w:rPr>
        <w:t>（采购编号）</w:t>
      </w:r>
      <w:r>
        <w:rPr>
          <w:rFonts w:hint="eastAsia"/>
          <w:color w:val="auto"/>
          <w:highlight w:val="none"/>
          <w:u w:val="single"/>
          <w:lang w:val="en-US" w:eastAsia="zh-CN"/>
        </w:rPr>
        <w:t xml:space="preserve">               </w:t>
      </w:r>
      <w:r>
        <w:rPr>
          <w:rFonts w:hint="eastAsia"/>
          <w:color w:val="auto"/>
          <w:highlight w:val="none"/>
        </w:rPr>
        <w:t>】的实施</w:t>
      </w:r>
      <w:r>
        <w:rPr>
          <w:rFonts w:hint="eastAsia"/>
          <w:color w:val="auto"/>
          <w:highlight w:val="none"/>
          <w:lang w:val="zh-CN"/>
        </w:rPr>
        <w:t>。</w:t>
      </w:r>
    </w:p>
    <w:p>
      <w:pPr>
        <w:rPr>
          <w:b/>
          <w:color w:val="auto"/>
          <w:highlight w:val="none"/>
          <w:lang w:val="zh-CN"/>
        </w:rPr>
      </w:pPr>
      <w:r>
        <w:rPr>
          <w:rFonts w:hint="eastAsia"/>
          <w:b/>
          <w:color w:val="auto"/>
          <w:highlight w:val="none"/>
          <w:lang w:val="zh-CN"/>
        </w:rPr>
        <w:t>开标一览表（报价表）</w:t>
      </w:r>
      <w:r>
        <w:rPr>
          <w:b/>
          <w:color w:val="auto"/>
          <w:highlight w:val="none"/>
          <w:lang w:val="zh-CN"/>
        </w:rPr>
        <w:t>(单位均为人民币元)</w:t>
      </w:r>
    </w:p>
    <w:tbl>
      <w:tblPr>
        <w:tblStyle w:val="26"/>
        <w:tblW w:w="14567"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34"/>
        <w:gridCol w:w="1417"/>
        <w:gridCol w:w="1843"/>
        <w:gridCol w:w="2868"/>
        <w:gridCol w:w="1217"/>
        <w:gridCol w:w="1585"/>
        <w:gridCol w:w="1984"/>
        <w:gridCol w:w="311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73" w:hRule="atLeast"/>
        </w:trPr>
        <w:tc>
          <w:tcPr>
            <w:tcW w:w="534" w:type="dxa"/>
            <w:vAlign w:val="center"/>
          </w:tcPr>
          <w:p>
            <w:pPr>
              <w:keepNext w:val="0"/>
              <w:keepLines w:val="0"/>
              <w:widowControl/>
              <w:suppressLineNumbers w:val="0"/>
              <w:spacing w:before="0" w:beforeAutospacing="0" w:afterAutospacing="0"/>
              <w:ind w:left="0" w:right="0"/>
              <w:jc w:val="center"/>
              <w:rPr>
                <w:rFonts w:hint="default"/>
                <w:b/>
                <w:color w:val="auto"/>
                <w:highlight w:val="none"/>
              </w:rPr>
            </w:pPr>
            <w:r>
              <w:rPr>
                <w:rFonts w:hint="eastAsia"/>
                <w:b/>
                <w:color w:val="auto"/>
                <w:highlight w:val="none"/>
              </w:rPr>
              <w:t>序号</w:t>
            </w:r>
          </w:p>
        </w:tc>
        <w:tc>
          <w:tcPr>
            <w:tcW w:w="1417" w:type="dxa"/>
            <w:vAlign w:val="center"/>
          </w:tcPr>
          <w:p>
            <w:pPr>
              <w:keepNext w:val="0"/>
              <w:keepLines w:val="0"/>
              <w:widowControl/>
              <w:suppressLineNumbers w:val="0"/>
              <w:spacing w:before="0" w:beforeAutospacing="0" w:afterAutospacing="0"/>
              <w:ind w:left="0" w:right="0"/>
              <w:jc w:val="center"/>
              <w:rPr>
                <w:rFonts w:hint="default"/>
                <w:b/>
                <w:color w:val="auto"/>
                <w:highlight w:val="none"/>
              </w:rPr>
            </w:pPr>
            <w:r>
              <w:rPr>
                <w:rFonts w:hint="eastAsia"/>
                <w:b/>
                <w:color w:val="auto"/>
                <w:highlight w:val="none"/>
              </w:rPr>
              <w:t>名称</w:t>
            </w:r>
          </w:p>
        </w:tc>
        <w:tc>
          <w:tcPr>
            <w:tcW w:w="1843" w:type="dxa"/>
            <w:vAlign w:val="center"/>
          </w:tcPr>
          <w:p>
            <w:pPr>
              <w:keepNext w:val="0"/>
              <w:keepLines w:val="0"/>
              <w:widowControl/>
              <w:suppressLineNumbers w:val="0"/>
              <w:spacing w:before="0" w:beforeAutospacing="0" w:afterAutospacing="0"/>
              <w:ind w:left="0" w:right="0"/>
              <w:jc w:val="center"/>
              <w:rPr>
                <w:rFonts w:hint="default"/>
                <w:b/>
                <w:color w:val="auto"/>
                <w:highlight w:val="none"/>
              </w:rPr>
            </w:pPr>
            <w:r>
              <w:rPr>
                <w:rFonts w:hint="eastAsia"/>
                <w:b/>
                <w:color w:val="auto"/>
                <w:highlight w:val="none"/>
              </w:rPr>
              <w:t>品牌（如果有）</w:t>
            </w:r>
          </w:p>
        </w:tc>
        <w:tc>
          <w:tcPr>
            <w:tcW w:w="2868" w:type="dxa"/>
            <w:vAlign w:val="center"/>
          </w:tcPr>
          <w:p>
            <w:pPr>
              <w:keepNext w:val="0"/>
              <w:keepLines w:val="0"/>
              <w:widowControl/>
              <w:suppressLineNumbers w:val="0"/>
              <w:spacing w:before="0" w:beforeAutospacing="0" w:afterAutospacing="0"/>
              <w:ind w:left="0" w:right="0"/>
              <w:jc w:val="center"/>
              <w:rPr>
                <w:rFonts w:hint="default"/>
                <w:b/>
                <w:color w:val="auto"/>
                <w:highlight w:val="none"/>
              </w:rPr>
            </w:pPr>
            <w:r>
              <w:rPr>
                <w:rFonts w:hint="eastAsia"/>
                <w:b/>
                <w:color w:val="auto"/>
                <w:highlight w:val="none"/>
              </w:rPr>
              <w:t>规格型号（或具体服务）</w:t>
            </w:r>
          </w:p>
        </w:tc>
        <w:tc>
          <w:tcPr>
            <w:tcW w:w="1217" w:type="dxa"/>
            <w:vAlign w:val="center"/>
          </w:tcPr>
          <w:p>
            <w:pPr>
              <w:keepNext w:val="0"/>
              <w:keepLines w:val="0"/>
              <w:widowControl/>
              <w:suppressLineNumbers w:val="0"/>
              <w:spacing w:before="0" w:beforeAutospacing="0" w:afterAutospacing="0"/>
              <w:ind w:left="0" w:right="0"/>
              <w:jc w:val="center"/>
              <w:rPr>
                <w:rFonts w:hint="default"/>
                <w:b/>
                <w:color w:val="auto"/>
                <w:highlight w:val="none"/>
              </w:rPr>
            </w:pPr>
            <w:r>
              <w:rPr>
                <w:rFonts w:hint="eastAsia"/>
                <w:b/>
                <w:color w:val="auto"/>
                <w:highlight w:val="none"/>
              </w:rPr>
              <w:t>数量</w:t>
            </w:r>
          </w:p>
        </w:tc>
        <w:tc>
          <w:tcPr>
            <w:tcW w:w="1585" w:type="dxa"/>
            <w:vAlign w:val="center"/>
          </w:tcPr>
          <w:p>
            <w:pPr>
              <w:keepNext w:val="0"/>
              <w:keepLines w:val="0"/>
              <w:widowControl/>
              <w:suppressLineNumbers w:val="0"/>
              <w:spacing w:before="0" w:beforeAutospacing="0" w:afterAutospacing="0"/>
              <w:ind w:left="0" w:right="0"/>
              <w:jc w:val="center"/>
              <w:rPr>
                <w:rFonts w:hint="default"/>
                <w:b/>
                <w:color w:val="auto"/>
                <w:highlight w:val="none"/>
              </w:rPr>
            </w:pPr>
            <w:r>
              <w:rPr>
                <w:rFonts w:hint="eastAsia"/>
                <w:b/>
                <w:color w:val="auto"/>
                <w:highlight w:val="none"/>
              </w:rPr>
              <w:t>单价</w:t>
            </w:r>
          </w:p>
        </w:tc>
        <w:tc>
          <w:tcPr>
            <w:tcW w:w="1984" w:type="dxa"/>
            <w:vAlign w:val="center"/>
          </w:tcPr>
          <w:p>
            <w:pPr>
              <w:keepNext w:val="0"/>
              <w:keepLines w:val="0"/>
              <w:widowControl/>
              <w:suppressLineNumbers w:val="0"/>
              <w:spacing w:before="0" w:beforeAutospacing="0" w:afterAutospacing="0"/>
              <w:ind w:left="0" w:right="0"/>
              <w:jc w:val="center"/>
              <w:rPr>
                <w:rFonts w:hint="default"/>
                <w:b/>
                <w:color w:val="auto"/>
                <w:highlight w:val="none"/>
              </w:rPr>
            </w:pPr>
            <w:r>
              <w:rPr>
                <w:rFonts w:hint="eastAsia"/>
                <w:b/>
                <w:color w:val="auto"/>
                <w:highlight w:val="none"/>
              </w:rPr>
              <w:t>总价</w:t>
            </w:r>
          </w:p>
        </w:tc>
        <w:tc>
          <w:tcPr>
            <w:tcW w:w="3119" w:type="dxa"/>
            <w:vAlign w:val="center"/>
          </w:tcPr>
          <w:p>
            <w:pPr>
              <w:keepNext w:val="0"/>
              <w:keepLines w:val="0"/>
              <w:widowControl/>
              <w:suppressLineNumbers w:val="0"/>
              <w:spacing w:before="0" w:beforeAutospacing="0" w:afterAutospacing="0"/>
              <w:ind w:left="0" w:right="0"/>
              <w:jc w:val="center"/>
              <w:rPr>
                <w:rFonts w:hint="default"/>
                <w:b/>
                <w:color w:val="auto"/>
                <w:highlight w:val="none"/>
              </w:rPr>
            </w:pPr>
          </w:p>
          <w:p>
            <w:pPr>
              <w:keepNext w:val="0"/>
              <w:keepLines w:val="0"/>
              <w:widowControl/>
              <w:suppressLineNumbers w:val="0"/>
              <w:spacing w:before="0" w:beforeAutospacing="0" w:afterAutospacing="0"/>
              <w:ind w:left="0" w:right="0"/>
              <w:jc w:val="center"/>
              <w:rPr>
                <w:rFonts w:hint="default"/>
                <w:b/>
                <w:color w:val="auto"/>
                <w:highlight w:val="none"/>
              </w:rPr>
            </w:pPr>
            <w:r>
              <w:rPr>
                <w:rFonts w:hint="eastAsia"/>
                <w:b/>
                <w:color w:val="auto"/>
                <w:highlight w:val="none"/>
              </w:rPr>
              <w:t>质保或服务</w:t>
            </w:r>
            <w:r>
              <w:rPr>
                <w:rFonts w:hint="eastAsia"/>
                <w:b/>
                <w:color w:val="auto"/>
                <w:highlight w:val="none"/>
                <w:lang w:eastAsia="zh-CN"/>
              </w:rPr>
              <w:t>期</w:t>
            </w:r>
            <w:r>
              <w:rPr>
                <w:rFonts w:hint="eastAsia"/>
                <w:b/>
                <w:color w:val="auto"/>
                <w:highlight w:val="none"/>
              </w:rPr>
              <w:t>限</w:t>
            </w:r>
          </w:p>
          <w:p>
            <w:pPr>
              <w:keepNext w:val="0"/>
              <w:keepLines w:val="0"/>
              <w:widowControl/>
              <w:suppressLineNumbers w:val="0"/>
              <w:spacing w:before="0" w:beforeAutospacing="0" w:afterAutospacing="0"/>
              <w:ind w:left="0" w:right="0"/>
              <w:jc w:val="center"/>
              <w:rPr>
                <w:rFonts w:hint="default"/>
                <w:b/>
                <w:color w:val="auto"/>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1" w:hRule="atLeast"/>
        </w:trPr>
        <w:tc>
          <w:tcPr>
            <w:tcW w:w="534" w:type="dxa"/>
            <w:vAlign w:val="center"/>
          </w:tcPr>
          <w:p>
            <w:pPr>
              <w:keepNext w:val="0"/>
              <w:keepLines w:val="0"/>
              <w:widowControl/>
              <w:suppressLineNumbers w:val="0"/>
              <w:spacing w:before="0" w:beforeAutospacing="0" w:afterAutospacing="0"/>
              <w:ind w:left="0" w:right="0"/>
              <w:jc w:val="center"/>
              <w:rPr>
                <w:rFonts w:hint="default"/>
                <w:color w:val="auto"/>
                <w:highlight w:val="none"/>
              </w:rPr>
            </w:pPr>
            <w:r>
              <w:rPr>
                <w:rFonts w:hint="default"/>
                <w:color w:val="auto"/>
                <w:highlight w:val="none"/>
              </w:rPr>
              <w:t>1</w:t>
            </w:r>
          </w:p>
        </w:tc>
        <w:tc>
          <w:tcPr>
            <w:tcW w:w="1417" w:type="dxa"/>
            <w:vAlign w:val="center"/>
          </w:tcPr>
          <w:p>
            <w:pPr>
              <w:keepNext w:val="0"/>
              <w:keepLines w:val="0"/>
              <w:widowControl/>
              <w:suppressLineNumbers w:val="0"/>
              <w:spacing w:before="0" w:beforeAutospacing="0" w:afterAutospacing="0"/>
              <w:ind w:left="0" w:right="0"/>
              <w:jc w:val="center"/>
              <w:rPr>
                <w:rFonts w:hint="default"/>
                <w:color w:val="auto"/>
                <w:highlight w:val="none"/>
              </w:rPr>
            </w:pPr>
          </w:p>
        </w:tc>
        <w:tc>
          <w:tcPr>
            <w:tcW w:w="1843" w:type="dxa"/>
            <w:vAlign w:val="center"/>
          </w:tcPr>
          <w:p>
            <w:pPr>
              <w:keepNext w:val="0"/>
              <w:keepLines w:val="0"/>
              <w:widowControl/>
              <w:suppressLineNumbers w:val="0"/>
              <w:spacing w:before="0" w:beforeAutospacing="0" w:afterAutospacing="0"/>
              <w:ind w:left="0" w:right="0"/>
              <w:jc w:val="center"/>
              <w:rPr>
                <w:rFonts w:hint="default"/>
                <w:color w:val="auto"/>
                <w:highlight w:val="none"/>
              </w:rPr>
            </w:pPr>
          </w:p>
        </w:tc>
        <w:tc>
          <w:tcPr>
            <w:tcW w:w="2868" w:type="dxa"/>
            <w:vAlign w:val="center"/>
          </w:tcPr>
          <w:p>
            <w:pPr>
              <w:keepNext w:val="0"/>
              <w:keepLines w:val="0"/>
              <w:widowControl/>
              <w:suppressLineNumbers w:val="0"/>
              <w:spacing w:before="0" w:beforeAutospacing="0" w:afterAutospacing="0"/>
              <w:ind w:left="0" w:right="0"/>
              <w:jc w:val="center"/>
              <w:rPr>
                <w:rFonts w:hint="default"/>
                <w:color w:val="auto"/>
                <w:highlight w:val="none"/>
              </w:rPr>
            </w:pPr>
          </w:p>
        </w:tc>
        <w:tc>
          <w:tcPr>
            <w:tcW w:w="1217" w:type="dxa"/>
            <w:vAlign w:val="center"/>
          </w:tcPr>
          <w:p>
            <w:pPr>
              <w:keepNext w:val="0"/>
              <w:keepLines w:val="0"/>
              <w:widowControl/>
              <w:suppressLineNumbers w:val="0"/>
              <w:spacing w:before="0" w:beforeAutospacing="0" w:afterAutospacing="0"/>
              <w:ind w:left="0" w:right="0"/>
              <w:jc w:val="center"/>
              <w:rPr>
                <w:rFonts w:hint="default"/>
                <w:color w:val="auto"/>
                <w:highlight w:val="none"/>
              </w:rPr>
            </w:pPr>
          </w:p>
        </w:tc>
        <w:tc>
          <w:tcPr>
            <w:tcW w:w="1585" w:type="dxa"/>
            <w:vAlign w:val="center"/>
          </w:tcPr>
          <w:p>
            <w:pPr>
              <w:keepNext w:val="0"/>
              <w:keepLines w:val="0"/>
              <w:widowControl/>
              <w:suppressLineNumbers w:val="0"/>
              <w:spacing w:before="0" w:beforeAutospacing="0" w:afterAutospacing="0"/>
              <w:ind w:left="0" w:right="0"/>
              <w:jc w:val="center"/>
              <w:rPr>
                <w:rFonts w:hint="default"/>
                <w:color w:val="auto"/>
                <w:highlight w:val="none"/>
              </w:rPr>
            </w:pPr>
          </w:p>
        </w:tc>
        <w:tc>
          <w:tcPr>
            <w:tcW w:w="1984" w:type="dxa"/>
            <w:vAlign w:val="center"/>
          </w:tcPr>
          <w:p>
            <w:pPr>
              <w:keepNext w:val="0"/>
              <w:keepLines w:val="0"/>
              <w:widowControl/>
              <w:suppressLineNumbers w:val="0"/>
              <w:spacing w:before="0" w:beforeAutospacing="0" w:afterAutospacing="0"/>
              <w:ind w:left="0" w:right="0"/>
              <w:jc w:val="center"/>
              <w:rPr>
                <w:rFonts w:hint="default"/>
                <w:color w:val="auto"/>
                <w:highlight w:val="none"/>
              </w:rPr>
            </w:pPr>
          </w:p>
        </w:tc>
        <w:tc>
          <w:tcPr>
            <w:tcW w:w="3119" w:type="dxa"/>
            <w:vAlign w:val="center"/>
          </w:tcPr>
          <w:p>
            <w:pPr>
              <w:keepNext w:val="0"/>
              <w:keepLines w:val="0"/>
              <w:widowControl/>
              <w:suppressLineNumbers w:val="0"/>
              <w:spacing w:before="0" w:beforeAutospacing="0" w:afterAutospacing="0"/>
              <w:ind w:left="0" w:right="0"/>
              <w:jc w:val="center"/>
              <w:rPr>
                <w:rFonts w:hint="default"/>
                <w:color w:val="auto"/>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534" w:type="dxa"/>
            <w:vAlign w:val="center"/>
          </w:tcPr>
          <w:p>
            <w:pPr>
              <w:keepNext w:val="0"/>
              <w:keepLines w:val="0"/>
              <w:widowControl/>
              <w:suppressLineNumbers w:val="0"/>
              <w:spacing w:before="0" w:beforeAutospacing="0" w:afterAutospacing="0"/>
              <w:ind w:left="0" w:right="0"/>
              <w:jc w:val="center"/>
              <w:rPr>
                <w:rFonts w:hint="default"/>
                <w:color w:val="auto"/>
                <w:highlight w:val="none"/>
              </w:rPr>
            </w:pPr>
            <w:r>
              <w:rPr>
                <w:rFonts w:hint="default"/>
                <w:color w:val="auto"/>
                <w:highlight w:val="none"/>
              </w:rPr>
              <w:t>2</w:t>
            </w:r>
          </w:p>
        </w:tc>
        <w:tc>
          <w:tcPr>
            <w:tcW w:w="1417" w:type="dxa"/>
            <w:vAlign w:val="center"/>
          </w:tcPr>
          <w:p>
            <w:pPr>
              <w:keepNext w:val="0"/>
              <w:keepLines w:val="0"/>
              <w:widowControl/>
              <w:suppressLineNumbers w:val="0"/>
              <w:spacing w:before="0" w:beforeAutospacing="0" w:afterAutospacing="0"/>
              <w:ind w:left="0" w:right="0"/>
              <w:jc w:val="center"/>
              <w:rPr>
                <w:rFonts w:hint="default"/>
                <w:color w:val="auto"/>
                <w:highlight w:val="none"/>
              </w:rPr>
            </w:pPr>
          </w:p>
        </w:tc>
        <w:tc>
          <w:tcPr>
            <w:tcW w:w="1843" w:type="dxa"/>
            <w:vAlign w:val="center"/>
          </w:tcPr>
          <w:p>
            <w:pPr>
              <w:keepNext w:val="0"/>
              <w:keepLines w:val="0"/>
              <w:widowControl/>
              <w:suppressLineNumbers w:val="0"/>
              <w:spacing w:before="0" w:beforeAutospacing="0" w:afterAutospacing="0"/>
              <w:ind w:left="0" w:right="0"/>
              <w:jc w:val="center"/>
              <w:rPr>
                <w:rFonts w:hint="default"/>
                <w:color w:val="auto"/>
                <w:highlight w:val="none"/>
              </w:rPr>
            </w:pPr>
          </w:p>
        </w:tc>
        <w:tc>
          <w:tcPr>
            <w:tcW w:w="2868" w:type="dxa"/>
            <w:vAlign w:val="center"/>
          </w:tcPr>
          <w:p>
            <w:pPr>
              <w:keepNext w:val="0"/>
              <w:keepLines w:val="0"/>
              <w:widowControl/>
              <w:suppressLineNumbers w:val="0"/>
              <w:spacing w:before="0" w:beforeAutospacing="0" w:afterAutospacing="0"/>
              <w:ind w:left="0" w:right="0"/>
              <w:jc w:val="center"/>
              <w:rPr>
                <w:rFonts w:hint="default"/>
                <w:color w:val="auto"/>
                <w:highlight w:val="none"/>
              </w:rPr>
            </w:pPr>
          </w:p>
        </w:tc>
        <w:tc>
          <w:tcPr>
            <w:tcW w:w="1217" w:type="dxa"/>
            <w:vAlign w:val="center"/>
          </w:tcPr>
          <w:p>
            <w:pPr>
              <w:keepNext w:val="0"/>
              <w:keepLines w:val="0"/>
              <w:widowControl/>
              <w:suppressLineNumbers w:val="0"/>
              <w:spacing w:before="0" w:beforeAutospacing="0" w:afterAutospacing="0"/>
              <w:ind w:left="0" w:right="0"/>
              <w:jc w:val="center"/>
              <w:rPr>
                <w:rFonts w:hint="default"/>
                <w:color w:val="auto"/>
                <w:highlight w:val="none"/>
              </w:rPr>
            </w:pPr>
          </w:p>
        </w:tc>
        <w:tc>
          <w:tcPr>
            <w:tcW w:w="1585" w:type="dxa"/>
            <w:vAlign w:val="center"/>
          </w:tcPr>
          <w:p>
            <w:pPr>
              <w:keepNext w:val="0"/>
              <w:keepLines w:val="0"/>
              <w:widowControl/>
              <w:suppressLineNumbers w:val="0"/>
              <w:spacing w:before="0" w:beforeAutospacing="0" w:afterAutospacing="0"/>
              <w:ind w:left="0" w:right="0"/>
              <w:jc w:val="center"/>
              <w:rPr>
                <w:rFonts w:hint="default"/>
                <w:color w:val="auto"/>
                <w:highlight w:val="none"/>
              </w:rPr>
            </w:pPr>
          </w:p>
        </w:tc>
        <w:tc>
          <w:tcPr>
            <w:tcW w:w="1984" w:type="dxa"/>
            <w:vAlign w:val="center"/>
          </w:tcPr>
          <w:p>
            <w:pPr>
              <w:keepNext w:val="0"/>
              <w:keepLines w:val="0"/>
              <w:widowControl/>
              <w:suppressLineNumbers w:val="0"/>
              <w:spacing w:before="0" w:beforeAutospacing="0" w:afterAutospacing="0"/>
              <w:ind w:left="0" w:right="0"/>
              <w:jc w:val="center"/>
              <w:rPr>
                <w:rFonts w:hint="default"/>
                <w:color w:val="auto"/>
                <w:highlight w:val="none"/>
              </w:rPr>
            </w:pPr>
          </w:p>
        </w:tc>
        <w:tc>
          <w:tcPr>
            <w:tcW w:w="3119" w:type="dxa"/>
            <w:vAlign w:val="center"/>
          </w:tcPr>
          <w:p>
            <w:pPr>
              <w:keepNext w:val="0"/>
              <w:keepLines w:val="0"/>
              <w:widowControl/>
              <w:suppressLineNumbers w:val="0"/>
              <w:spacing w:before="0" w:beforeAutospacing="0" w:afterAutospacing="0"/>
              <w:ind w:left="0" w:right="0"/>
              <w:jc w:val="center"/>
              <w:rPr>
                <w:rFonts w:hint="default"/>
                <w:color w:val="auto"/>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534" w:type="dxa"/>
            <w:vAlign w:val="center"/>
          </w:tcPr>
          <w:p>
            <w:pPr>
              <w:keepNext w:val="0"/>
              <w:keepLines w:val="0"/>
              <w:widowControl/>
              <w:suppressLineNumbers w:val="0"/>
              <w:spacing w:before="0" w:beforeAutospacing="0" w:afterAutospacing="0"/>
              <w:ind w:left="0" w:right="0"/>
              <w:jc w:val="center"/>
              <w:rPr>
                <w:rFonts w:hint="default"/>
                <w:color w:val="auto"/>
                <w:highlight w:val="none"/>
              </w:rPr>
            </w:pPr>
            <w:r>
              <w:rPr>
                <w:rFonts w:hint="eastAsia"/>
                <w:color w:val="auto"/>
                <w:highlight w:val="none"/>
              </w:rPr>
              <w:t>…</w:t>
            </w:r>
          </w:p>
        </w:tc>
        <w:tc>
          <w:tcPr>
            <w:tcW w:w="1417" w:type="dxa"/>
            <w:vAlign w:val="center"/>
          </w:tcPr>
          <w:p>
            <w:pPr>
              <w:keepNext w:val="0"/>
              <w:keepLines w:val="0"/>
              <w:widowControl/>
              <w:suppressLineNumbers w:val="0"/>
              <w:spacing w:before="0" w:beforeAutospacing="0" w:afterAutospacing="0"/>
              <w:ind w:left="0" w:right="0"/>
              <w:jc w:val="center"/>
              <w:rPr>
                <w:rFonts w:hint="default"/>
                <w:color w:val="auto"/>
                <w:highlight w:val="none"/>
              </w:rPr>
            </w:pPr>
          </w:p>
        </w:tc>
        <w:tc>
          <w:tcPr>
            <w:tcW w:w="1843" w:type="dxa"/>
            <w:vAlign w:val="center"/>
          </w:tcPr>
          <w:p>
            <w:pPr>
              <w:keepNext w:val="0"/>
              <w:keepLines w:val="0"/>
              <w:widowControl/>
              <w:suppressLineNumbers w:val="0"/>
              <w:spacing w:before="0" w:beforeAutospacing="0" w:afterAutospacing="0"/>
              <w:ind w:left="0" w:right="0"/>
              <w:jc w:val="center"/>
              <w:rPr>
                <w:rFonts w:hint="default"/>
                <w:color w:val="auto"/>
                <w:highlight w:val="none"/>
              </w:rPr>
            </w:pPr>
          </w:p>
        </w:tc>
        <w:tc>
          <w:tcPr>
            <w:tcW w:w="2868" w:type="dxa"/>
            <w:vAlign w:val="center"/>
          </w:tcPr>
          <w:p>
            <w:pPr>
              <w:keepNext w:val="0"/>
              <w:keepLines w:val="0"/>
              <w:widowControl/>
              <w:suppressLineNumbers w:val="0"/>
              <w:spacing w:before="0" w:beforeAutospacing="0" w:afterAutospacing="0"/>
              <w:ind w:left="0" w:right="0"/>
              <w:jc w:val="center"/>
              <w:rPr>
                <w:rFonts w:hint="default"/>
                <w:color w:val="auto"/>
                <w:highlight w:val="none"/>
              </w:rPr>
            </w:pPr>
          </w:p>
        </w:tc>
        <w:tc>
          <w:tcPr>
            <w:tcW w:w="1217" w:type="dxa"/>
            <w:vAlign w:val="center"/>
          </w:tcPr>
          <w:p>
            <w:pPr>
              <w:keepNext w:val="0"/>
              <w:keepLines w:val="0"/>
              <w:widowControl/>
              <w:suppressLineNumbers w:val="0"/>
              <w:spacing w:before="0" w:beforeAutospacing="0" w:afterAutospacing="0"/>
              <w:ind w:left="0" w:right="0"/>
              <w:jc w:val="center"/>
              <w:rPr>
                <w:rFonts w:hint="default"/>
                <w:color w:val="auto"/>
                <w:highlight w:val="none"/>
              </w:rPr>
            </w:pPr>
          </w:p>
        </w:tc>
        <w:tc>
          <w:tcPr>
            <w:tcW w:w="1585" w:type="dxa"/>
            <w:vAlign w:val="center"/>
          </w:tcPr>
          <w:p>
            <w:pPr>
              <w:keepNext w:val="0"/>
              <w:keepLines w:val="0"/>
              <w:widowControl/>
              <w:suppressLineNumbers w:val="0"/>
              <w:spacing w:before="0" w:beforeAutospacing="0" w:afterAutospacing="0"/>
              <w:ind w:left="0" w:right="0"/>
              <w:jc w:val="center"/>
              <w:rPr>
                <w:rFonts w:hint="default"/>
                <w:color w:val="auto"/>
                <w:highlight w:val="none"/>
              </w:rPr>
            </w:pPr>
          </w:p>
        </w:tc>
        <w:tc>
          <w:tcPr>
            <w:tcW w:w="1984" w:type="dxa"/>
            <w:vAlign w:val="center"/>
          </w:tcPr>
          <w:p>
            <w:pPr>
              <w:keepNext w:val="0"/>
              <w:keepLines w:val="0"/>
              <w:widowControl/>
              <w:suppressLineNumbers w:val="0"/>
              <w:spacing w:before="0" w:beforeAutospacing="0" w:afterAutospacing="0"/>
              <w:ind w:left="0" w:right="0"/>
              <w:jc w:val="center"/>
              <w:rPr>
                <w:rFonts w:hint="default"/>
                <w:color w:val="auto"/>
                <w:highlight w:val="none"/>
              </w:rPr>
            </w:pPr>
          </w:p>
        </w:tc>
        <w:tc>
          <w:tcPr>
            <w:tcW w:w="3119" w:type="dxa"/>
            <w:vAlign w:val="center"/>
          </w:tcPr>
          <w:p>
            <w:pPr>
              <w:keepNext w:val="0"/>
              <w:keepLines w:val="0"/>
              <w:widowControl/>
              <w:suppressLineNumbers w:val="0"/>
              <w:spacing w:before="0" w:beforeAutospacing="0" w:afterAutospacing="0"/>
              <w:ind w:left="0" w:right="0"/>
              <w:jc w:val="center"/>
              <w:rPr>
                <w:rFonts w:hint="default"/>
                <w:color w:val="auto"/>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534" w:type="dxa"/>
            <w:vAlign w:val="center"/>
          </w:tcPr>
          <w:p>
            <w:pPr>
              <w:keepNext w:val="0"/>
              <w:keepLines w:val="0"/>
              <w:widowControl/>
              <w:suppressLineNumbers w:val="0"/>
              <w:spacing w:before="0" w:beforeAutospacing="0" w:afterAutospacing="0"/>
              <w:ind w:left="0" w:right="0"/>
              <w:jc w:val="center"/>
              <w:rPr>
                <w:rFonts w:hint="default"/>
                <w:color w:val="auto"/>
                <w:highlight w:val="none"/>
              </w:rPr>
            </w:pPr>
          </w:p>
        </w:tc>
        <w:tc>
          <w:tcPr>
            <w:tcW w:w="1417" w:type="dxa"/>
            <w:vAlign w:val="center"/>
          </w:tcPr>
          <w:p>
            <w:pPr>
              <w:keepNext w:val="0"/>
              <w:keepLines w:val="0"/>
              <w:widowControl/>
              <w:suppressLineNumbers w:val="0"/>
              <w:spacing w:before="0" w:beforeAutospacing="0" w:afterAutospacing="0"/>
              <w:ind w:left="0" w:right="0"/>
              <w:jc w:val="center"/>
              <w:rPr>
                <w:rFonts w:hint="default"/>
                <w:color w:val="auto"/>
                <w:highlight w:val="none"/>
              </w:rPr>
            </w:pPr>
          </w:p>
        </w:tc>
        <w:tc>
          <w:tcPr>
            <w:tcW w:w="1843" w:type="dxa"/>
            <w:vAlign w:val="center"/>
          </w:tcPr>
          <w:p>
            <w:pPr>
              <w:keepNext w:val="0"/>
              <w:keepLines w:val="0"/>
              <w:widowControl/>
              <w:suppressLineNumbers w:val="0"/>
              <w:spacing w:before="0" w:beforeAutospacing="0" w:afterAutospacing="0"/>
              <w:ind w:left="0" w:right="0"/>
              <w:jc w:val="center"/>
              <w:rPr>
                <w:rFonts w:hint="default"/>
                <w:color w:val="auto"/>
                <w:highlight w:val="none"/>
              </w:rPr>
            </w:pPr>
          </w:p>
        </w:tc>
        <w:tc>
          <w:tcPr>
            <w:tcW w:w="2868" w:type="dxa"/>
            <w:vAlign w:val="center"/>
          </w:tcPr>
          <w:p>
            <w:pPr>
              <w:keepNext w:val="0"/>
              <w:keepLines w:val="0"/>
              <w:widowControl/>
              <w:suppressLineNumbers w:val="0"/>
              <w:spacing w:before="0" w:beforeAutospacing="0" w:afterAutospacing="0"/>
              <w:ind w:left="0" w:right="0"/>
              <w:jc w:val="center"/>
              <w:rPr>
                <w:rFonts w:hint="default"/>
                <w:color w:val="auto"/>
                <w:highlight w:val="none"/>
              </w:rPr>
            </w:pPr>
          </w:p>
        </w:tc>
        <w:tc>
          <w:tcPr>
            <w:tcW w:w="1217" w:type="dxa"/>
            <w:vAlign w:val="center"/>
          </w:tcPr>
          <w:p>
            <w:pPr>
              <w:keepNext w:val="0"/>
              <w:keepLines w:val="0"/>
              <w:widowControl/>
              <w:suppressLineNumbers w:val="0"/>
              <w:spacing w:before="0" w:beforeAutospacing="0" w:afterAutospacing="0"/>
              <w:ind w:left="0" w:right="0"/>
              <w:jc w:val="center"/>
              <w:rPr>
                <w:rFonts w:hint="default"/>
                <w:color w:val="auto"/>
                <w:highlight w:val="none"/>
              </w:rPr>
            </w:pPr>
          </w:p>
        </w:tc>
        <w:tc>
          <w:tcPr>
            <w:tcW w:w="1585" w:type="dxa"/>
            <w:vAlign w:val="center"/>
          </w:tcPr>
          <w:p>
            <w:pPr>
              <w:keepNext w:val="0"/>
              <w:keepLines w:val="0"/>
              <w:widowControl/>
              <w:suppressLineNumbers w:val="0"/>
              <w:spacing w:before="0" w:beforeAutospacing="0" w:afterAutospacing="0"/>
              <w:ind w:left="0" w:right="0"/>
              <w:jc w:val="center"/>
              <w:rPr>
                <w:rFonts w:hint="default"/>
                <w:color w:val="auto"/>
                <w:highlight w:val="none"/>
              </w:rPr>
            </w:pPr>
          </w:p>
        </w:tc>
        <w:tc>
          <w:tcPr>
            <w:tcW w:w="1984" w:type="dxa"/>
            <w:vAlign w:val="center"/>
          </w:tcPr>
          <w:p>
            <w:pPr>
              <w:keepNext w:val="0"/>
              <w:keepLines w:val="0"/>
              <w:widowControl/>
              <w:suppressLineNumbers w:val="0"/>
              <w:spacing w:before="0" w:beforeAutospacing="0" w:afterAutospacing="0"/>
              <w:ind w:left="0" w:right="0"/>
              <w:jc w:val="center"/>
              <w:rPr>
                <w:rFonts w:hint="default"/>
                <w:color w:val="auto"/>
                <w:highlight w:val="none"/>
              </w:rPr>
            </w:pPr>
          </w:p>
        </w:tc>
        <w:tc>
          <w:tcPr>
            <w:tcW w:w="3119" w:type="dxa"/>
            <w:vAlign w:val="center"/>
          </w:tcPr>
          <w:p>
            <w:pPr>
              <w:keepNext w:val="0"/>
              <w:keepLines w:val="0"/>
              <w:widowControl/>
              <w:suppressLineNumbers w:val="0"/>
              <w:spacing w:before="0" w:beforeAutospacing="0" w:afterAutospacing="0"/>
              <w:ind w:left="0" w:right="0"/>
              <w:jc w:val="center"/>
              <w:rPr>
                <w:rFonts w:hint="default"/>
                <w:color w:val="auto"/>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534" w:type="dxa"/>
            <w:vAlign w:val="center"/>
          </w:tcPr>
          <w:p>
            <w:pPr>
              <w:keepNext w:val="0"/>
              <w:keepLines w:val="0"/>
              <w:widowControl/>
              <w:suppressLineNumbers w:val="0"/>
              <w:spacing w:before="0" w:beforeAutospacing="0" w:afterAutospacing="0"/>
              <w:ind w:left="0" w:right="0"/>
              <w:jc w:val="center"/>
              <w:rPr>
                <w:rFonts w:hint="default"/>
                <w:color w:val="auto"/>
                <w:highlight w:val="none"/>
              </w:rPr>
            </w:pPr>
          </w:p>
        </w:tc>
        <w:tc>
          <w:tcPr>
            <w:tcW w:w="1417" w:type="dxa"/>
            <w:vAlign w:val="center"/>
          </w:tcPr>
          <w:p>
            <w:pPr>
              <w:keepNext w:val="0"/>
              <w:keepLines w:val="0"/>
              <w:widowControl/>
              <w:suppressLineNumbers w:val="0"/>
              <w:spacing w:before="0" w:beforeAutospacing="0" w:afterAutospacing="0"/>
              <w:ind w:left="0" w:right="0"/>
              <w:jc w:val="center"/>
              <w:rPr>
                <w:rFonts w:hint="default"/>
                <w:color w:val="auto"/>
                <w:highlight w:val="none"/>
              </w:rPr>
            </w:pPr>
          </w:p>
        </w:tc>
        <w:tc>
          <w:tcPr>
            <w:tcW w:w="1843" w:type="dxa"/>
            <w:vAlign w:val="center"/>
          </w:tcPr>
          <w:p>
            <w:pPr>
              <w:keepNext w:val="0"/>
              <w:keepLines w:val="0"/>
              <w:widowControl/>
              <w:suppressLineNumbers w:val="0"/>
              <w:spacing w:before="0" w:beforeAutospacing="0" w:afterAutospacing="0"/>
              <w:ind w:left="0" w:right="0"/>
              <w:jc w:val="center"/>
              <w:rPr>
                <w:rFonts w:hint="default"/>
                <w:color w:val="auto"/>
                <w:highlight w:val="none"/>
              </w:rPr>
            </w:pPr>
          </w:p>
        </w:tc>
        <w:tc>
          <w:tcPr>
            <w:tcW w:w="2868" w:type="dxa"/>
            <w:vAlign w:val="center"/>
          </w:tcPr>
          <w:p>
            <w:pPr>
              <w:keepNext w:val="0"/>
              <w:keepLines w:val="0"/>
              <w:widowControl/>
              <w:suppressLineNumbers w:val="0"/>
              <w:spacing w:before="0" w:beforeAutospacing="0" w:afterAutospacing="0"/>
              <w:ind w:left="0" w:right="0"/>
              <w:jc w:val="center"/>
              <w:rPr>
                <w:rFonts w:hint="default"/>
                <w:color w:val="auto"/>
                <w:highlight w:val="none"/>
              </w:rPr>
            </w:pPr>
          </w:p>
        </w:tc>
        <w:tc>
          <w:tcPr>
            <w:tcW w:w="1217" w:type="dxa"/>
            <w:vAlign w:val="center"/>
          </w:tcPr>
          <w:p>
            <w:pPr>
              <w:keepNext w:val="0"/>
              <w:keepLines w:val="0"/>
              <w:widowControl/>
              <w:suppressLineNumbers w:val="0"/>
              <w:spacing w:before="0" w:beforeAutospacing="0" w:afterAutospacing="0"/>
              <w:ind w:left="0" w:right="0"/>
              <w:jc w:val="center"/>
              <w:rPr>
                <w:rFonts w:hint="default"/>
                <w:color w:val="auto"/>
                <w:highlight w:val="none"/>
              </w:rPr>
            </w:pPr>
          </w:p>
        </w:tc>
        <w:tc>
          <w:tcPr>
            <w:tcW w:w="1585" w:type="dxa"/>
            <w:vAlign w:val="center"/>
          </w:tcPr>
          <w:p>
            <w:pPr>
              <w:keepNext w:val="0"/>
              <w:keepLines w:val="0"/>
              <w:widowControl/>
              <w:suppressLineNumbers w:val="0"/>
              <w:spacing w:before="0" w:beforeAutospacing="0" w:afterAutospacing="0"/>
              <w:ind w:left="0" w:right="0"/>
              <w:jc w:val="center"/>
              <w:rPr>
                <w:rFonts w:hint="default"/>
                <w:color w:val="auto"/>
                <w:highlight w:val="none"/>
              </w:rPr>
            </w:pPr>
          </w:p>
        </w:tc>
        <w:tc>
          <w:tcPr>
            <w:tcW w:w="1984" w:type="dxa"/>
            <w:vAlign w:val="center"/>
          </w:tcPr>
          <w:p>
            <w:pPr>
              <w:keepNext w:val="0"/>
              <w:keepLines w:val="0"/>
              <w:widowControl/>
              <w:suppressLineNumbers w:val="0"/>
              <w:spacing w:before="0" w:beforeAutospacing="0" w:afterAutospacing="0"/>
              <w:ind w:left="0" w:right="0"/>
              <w:jc w:val="center"/>
              <w:rPr>
                <w:rFonts w:hint="default"/>
                <w:color w:val="auto"/>
                <w:highlight w:val="none"/>
              </w:rPr>
            </w:pPr>
          </w:p>
        </w:tc>
        <w:tc>
          <w:tcPr>
            <w:tcW w:w="3119" w:type="dxa"/>
            <w:vAlign w:val="center"/>
          </w:tcPr>
          <w:p>
            <w:pPr>
              <w:keepNext w:val="0"/>
              <w:keepLines w:val="0"/>
              <w:widowControl/>
              <w:suppressLineNumbers w:val="0"/>
              <w:spacing w:before="0" w:beforeAutospacing="0" w:afterAutospacing="0"/>
              <w:ind w:left="0" w:right="0"/>
              <w:jc w:val="center"/>
              <w:rPr>
                <w:rFonts w:hint="default"/>
                <w:color w:val="auto"/>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9" w:hRule="atLeast"/>
        </w:trPr>
        <w:tc>
          <w:tcPr>
            <w:tcW w:w="6662" w:type="dxa"/>
            <w:gridSpan w:val="4"/>
            <w:vAlign w:val="center"/>
          </w:tcPr>
          <w:p>
            <w:pPr>
              <w:keepNext w:val="0"/>
              <w:keepLines w:val="0"/>
              <w:widowControl/>
              <w:suppressLineNumbers w:val="0"/>
              <w:spacing w:before="0" w:beforeAutospacing="0" w:afterAutospacing="0"/>
              <w:ind w:left="0" w:right="0"/>
              <w:jc w:val="center"/>
              <w:rPr>
                <w:rFonts w:hint="default"/>
                <w:b/>
                <w:color w:val="auto"/>
                <w:highlight w:val="none"/>
              </w:rPr>
            </w:pPr>
            <w:r>
              <w:rPr>
                <w:rFonts w:hint="eastAsia"/>
                <w:b/>
                <w:color w:val="auto"/>
                <w:highlight w:val="none"/>
              </w:rPr>
              <w:t>投标报价（小写）</w:t>
            </w:r>
          </w:p>
        </w:tc>
        <w:tc>
          <w:tcPr>
            <w:tcW w:w="7905" w:type="dxa"/>
            <w:gridSpan w:val="4"/>
            <w:vAlign w:val="center"/>
          </w:tcPr>
          <w:p>
            <w:pPr>
              <w:keepNext w:val="0"/>
              <w:keepLines w:val="0"/>
              <w:widowControl/>
              <w:suppressLineNumbers w:val="0"/>
              <w:spacing w:before="0" w:beforeAutospacing="0" w:afterAutospacing="0"/>
              <w:ind w:left="0" w:right="0"/>
              <w:jc w:val="center"/>
              <w:rPr>
                <w:rFonts w:hint="default"/>
                <w:color w:val="auto"/>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7" w:hRule="atLeast"/>
        </w:trPr>
        <w:tc>
          <w:tcPr>
            <w:tcW w:w="6662" w:type="dxa"/>
            <w:gridSpan w:val="4"/>
            <w:vAlign w:val="center"/>
          </w:tcPr>
          <w:p>
            <w:pPr>
              <w:keepNext w:val="0"/>
              <w:keepLines w:val="0"/>
              <w:widowControl/>
              <w:suppressLineNumbers w:val="0"/>
              <w:spacing w:before="0" w:beforeAutospacing="0" w:afterAutospacing="0"/>
              <w:ind w:left="0" w:right="0"/>
              <w:jc w:val="center"/>
              <w:rPr>
                <w:rFonts w:hint="default"/>
                <w:b/>
                <w:color w:val="auto"/>
                <w:highlight w:val="none"/>
              </w:rPr>
            </w:pPr>
            <w:r>
              <w:rPr>
                <w:rFonts w:hint="eastAsia"/>
                <w:b/>
                <w:color w:val="auto"/>
                <w:highlight w:val="none"/>
              </w:rPr>
              <w:t>投标报价（大写）</w:t>
            </w:r>
          </w:p>
        </w:tc>
        <w:tc>
          <w:tcPr>
            <w:tcW w:w="7905" w:type="dxa"/>
            <w:gridSpan w:val="4"/>
            <w:vAlign w:val="center"/>
          </w:tcPr>
          <w:p>
            <w:pPr>
              <w:keepNext w:val="0"/>
              <w:keepLines w:val="0"/>
              <w:widowControl/>
              <w:suppressLineNumbers w:val="0"/>
              <w:spacing w:before="0" w:beforeAutospacing="0" w:afterAutospacing="0"/>
              <w:ind w:left="0" w:right="0"/>
              <w:jc w:val="center"/>
              <w:rPr>
                <w:rFonts w:hint="default"/>
                <w:color w:val="auto"/>
                <w:highlight w:val="none"/>
              </w:rPr>
            </w:pPr>
          </w:p>
        </w:tc>
      </w:tr>
    </w:tbl>
    <w:p>
      <w:pPr>
        <w:rPr>
          <w:b/>
          <w:color w:val="auto"/>
          <w:highlight w:val="none"/>
          <w:lang w:val="zh-CN"/>
        </w:rPr>
      </w:pPr>
      <w:r>
        <w:rPr>
          <w:rFonts w:hint="eastAsia"/>
          <w:b/>
          <w:color w:val="auto"/>
          <w:highlight w:val="none"/>
          <w:lang w:val="zh-CN"/>
        </w:rPr>
        <w:t>注：</w:t>
      </w:r>
    </w:p>
    <w:p>
      <w:pPr>
        <w:rPr>
          <w:color w:val="auto"/>
          <w:highlight w:val="none"/>
          <w:lang w:val="zh-CN"/>
        </w:rPr>
      </w:pPr>
      <w:r>
        <w:rPr>
          <w:color w:val="auto"/>
          <w:highlight w:val="none"/>
          <w:lang w:val="zh-CN"/>
        </w:rPr>
        <w:t>1、投标人需按本表格式填写，不得自行更改。</w:t>
      </w:r>
      <w:r>
        <w:rPr>
          <w:color w:val="auto"/>
          <w:highlight w:val="none"/>
          <w:lang w:val="zh-CN"/>
        </w:rPr>
        <w:tab/>
      </w:r>
    </w:p>
    <w:p>
      <w:pPr>
        <w:rPr>
          <w:color w:val="auto"/>
          <w:highlight w:val="none"/>
        </w:rPr>
      </w:pPr>
      <w:r>
        <w:rPr>
          <w:color w:val="auto"/>
          <w:highlight w:val="none"/>
          <w:lang w:val="zh-CN"/>
        </w:rPr>
        <w:t>2、有关本项目实施所涉及的一切费用均计入报价。</w:t>
      </w:r>
      <w:r>
        <w:rPr>
          <w:rFonts w:hint="eastAsia"/>
          <w:b/>
          <w:color w:val="auto"/>
          <w:highlight w:val="none"/>
          <w:lang w:val="zh-CN"/>
        </w:rPr>
        <w:t>采购人将以合同形式有偿取得货物或服务，不接受投标人给予的赠品、回扣或者与采购无关的其他商品、服务</w:t>
      </w:r>
      <w:r>
        <w:rPr>
          <w:rFonts w:hint="eastAsia"/>
          <w:color w:val="auto"/>
          <w:highlight w:val="none"/>
          <w:lang w:val="zh-CN"/>
        </w:rPr>
        <w:t>，</w:t>
      </w:r>
      <w:r>
        <w:rPr>
          <w:rFonts w:hint="eastAsia"/>
          <w:b/>
          <w:color w:val="auto"/>
          <w:highlight w:val="none"/>
          <w:lang w:val="zh-CN"/>
        </w:rPr>
        <w:t>不得出现“</w:t>
      </w:r>
      <w:r>
        <w:rPr>
          <w:b/>
          <w:color w:val="auto"/>
          <w:highlight w:val="none"/>
          <w:lang w:val="zh-CN"/>
        </w:rPr>
        <w:t>0元”“免费赠送”等形式的无偿报价</w:t>
      </w:r>
      <w:r>
        <w:rPr>
          <w:rFonts w:hint="eastAsia"/>
          <w:b/>
          <w:color w:val="auto"/>
          <w:highlight w:val="none"/>
          <w:lang w:val="zh-CN"/>
        </w:rPr>
        <w:t>，</w:t>
      </w:r>
      <w:r>
        <w:rPr>
          <w:rFonts w:hint="eastAsia"/>
          <w:b/>
          <w:color w:val="auto"/>
          <w:highlight w:val="none"/>
        </w:rPr>
        <w:t>否则视为投标文件含有采购人不能接受的附加条件的，投标无效</w:t>
      </w:r>
      <w:r>
        <w:rPr>
          <w:rFonts w:hint="eastAsia"/>
          <w:b/>
          <w:color w:val="auto"/>
          <w:highlight w:val="none"/>
          <w:lang w:val="zh-CN"/>
        </w:rPr>
        <w:t>；采购内容未包含在《开标一览表（报价表）》名称栏中，投标人不能作出合理解释的，</w:t>
      </w:r>
      <w:r>
        <w:rPr>
          <w:rFonts w:hint="eastAsia"/>
          <w:b/>
          <w:color w:val="auto"/>
          <w:highlight w:val="none"/>
        </w:rPr>
        <w:t>视为投标文件含有采购人不能接受的附加条件的，投标无效。</w:t>
      </w:r>
    </w:p>
    <w:p>
      <w:pPr>
        <w:rPr>
          <w:color w:val="auto"/>
          <w:highlight w:val="none"/>
          <w:lang w:val="zh-CN"/>
        </w:rPr>
      </w:pPr>
      <w:r>
        <w:rPr>
          <w:color w:val="auto"/>
          <w:highlight w:val="none"/>
          <w:lang w:val="zh-CN"/>
        </w:rPr>
        <w:t>3、以上表格要求细分项目及报价，在“规格型号（或具体服务）”一栏中，货物类项目填写规格型号，服务类项目填写具体服务。</w:t>
      </w:r>
    </w:p>
    <w:p>
      <w:pPr>
        <w:rPr>
          <w:color w:val="auto"/>
          <w:highlight w:val="none"/>
          <w:lang w:val="zh-CN"/>
        </w:rPr>
      </w:pPr>
      <w:r>
        <w:rPr>
          <w:color w:val="auto"/>
          <w:highlight w:val="none"/>
          <w:lang w:val="zh-CN"/>
        </w:rPr>
        <w:t>4、特别提示：采购机构将对项目名称和项目编号，中标供应商名称、地址和中标金额，主要中标标的</w:t>
      </w:r>
      <w:r>
        <w:rPr>
          <w:rFonts w:hint="eastAsia"/>
          <w:color w:val="auto"/>
          <w:highlight w:val="none"/>
          <w:lang w:val="zh-CN"/>
        </w:rPr>
        <w:t>的名称、规格型号、数量、单价、服务要求等予以公示。</w:t>
      </w:r>
    </w:p>
    <w:p>
      <w:pPr>
        <w:rPr>
          <w:color w:val="auto"/>
          <w:highlight w:val="none"/>
          <w:lang w:val="zh-CN"/>
        </w:rPr>
      </w:pPr>
      <w:r>
        <w:rPr>
          <w:color w:val="auto"/>
          <w:szCs w:val="22"/>
          <w:highlight w:val="none"/>
          <w:lang w:val="zh-CN"/>
        </w:rPr>
        <w:t>5、</w:t>
      </w:r>
      <w:r>
        <w:rPr>
          <w:rFonts w:hint="eastAsia"/>
          <w:color w:val="auto"/>
          <w:highlight w:val="none"/>
          <w:lang w:val="zh-CN"/>
        </w:rPr>
        <w:t>符合招标文件中列明的可享受中小企业扶持政策的投标人，请填写中小企业声明函。注：投标人</w:t>
      </w:r>
      <w:r>
        <w:rPr>
          <w:color w:val="auto"/>
          <w:highlight w:val="none"/>
          <w:lang w:val="zh-CN"/>
        </w:rPr>
        <w:t>提供</w:t>
      </w:r>
      <w:r>
        <w:rPr>
          <w:rFonts w:hint="eastAsia"/>
          <w:color w:val="auto"/>
          <w:highlight w:val="none"/>
          <w:lang w:val="zh-CN"/>
        </w:rPr>
        <w:t>的中小企业</w:t>
      </w:r>
      <w:r>
        <w:rPr>
          <w:color w:val="auto"/>
          <w:highlight w:val="none"/>
          <w:lang w:val="zh-CN"/>
        </w:rPr>
        <w:t>声明函内容不实的，属于提供虚假材料谋取中标、成交，依照《中华人民共和国政府采购法》等国家有关规定追究相应责任。</w:t>
      </w:r>
    </w:p>
    <w:p>
      <w:pPr>
        <w:spacing w:line="360" w:lineRule="auto"/>
        <w:ind w:firstLine="482" w:firstLineChars="200"/>
        <w:rPr>
          <w:rFonts w:ascii="仿宋_GB2312" w:eastAsia="仿宋_GB2312"/>
          <w:b/>
          <w:color w:val="auto"/>
          <w:highlight w:val="none"/>
        </w:rPr>
        <w:sectPr>
          <w:pgSz w:w="16838" w:h="11906" w:orient="landscape"/>
          <w:pgMar w:top="1800" w:right="1440" w:bottom="1700" w:left="1440" w:header="851" w:footer="992" w:gutter="0"/>
          <w:cols w:space="425" w:num="1"/>
          <w:docGrid w:type="lines" w:linePitch="326" w:charSpace="0"/>
        </w:sectPr>
      </w:pPr>
    </w:p>
    <w:p>
      <w:pPr>
        <w:pStyle w:val="2"/>
        <w:rPr>
          <w:color w:val="auto"/>
          <w:highlight w:val="none"/>
        </w:rPr>
      </w:pPr>
      <w:r>
        <w:rPr>
          <w:rFonts w:hint="eastAsia" w:cs="仿宋_GB2312"/>
          <w:color w:val="auto"/>
          <w:kern w:val="2"/>
          <w:highlight w:val="none"/>
        </w:rPr>
        <w:t>二、</w:t>
      </w:r>
      <w:r>
        <w:rPr>
          <w:rFonts w:hint="eastAsia"/>
          <w:color w:val="auto"/>
          <w:highlight w:val="none"/>
        </w:rPr>
        <w:t>中小企业声明函</w:t>
      </w:r>
    </w:p>
    <w:p>
      <w:pPr>
        <w:spacing w:line="360" w:lineRule="auto"/>
        <w:ind w:firstLine="120" w:firstLineChars="50"/>
        <w:rPr>
          <w:rFonts w:ascii="仿宋_GB2312" w:eastAsia="仿宋_GB2312" w:cs="仿宋_GB2312"/>
          <w:b/>
          <w:color w:val="auto"/>
          <w:highlight w:val="none"/>
        </w:rPr>
      </w:pPr>
      <w:r>
        <w:rPr>
          <w:rFonts w:hint="eastAsia" w:ascii="仿宋_GB2312" w:eastAsia="仿宋_GB2312" w:cs="仿宋_GB2312"/>
          <w:b/>
          <w:color w:val="auto"/>
          <w:highlight w:val="none"/>
        </w:rPr>
        <w:t>[招标公告落实政府采购政策需满足的资格要求为“无”即本项目或标项未预留份额专门面向中小企业时，符合《政府采购促进中小企业发展管理办法》规定的小微企业拟享受价格扣除政策的，需提供中小企业声明函（附件</w:t>
      </w:r>
      <w:r>
        <w:rPr>
          <w:rFonts w:ascii="仿宋_GB2312" w:eastAsia="仿宋_GB2312" w:cs="仿宋_GB2312"/>
          <w:b/>
          <w:color w:val="auto"/>
          <w:highlight w:val="none"/>
        </w:rPr>
        <w:t>5）。</w:t>
      </w:r>
      <w:r>
        <w:rPr>
          <w:rFonts w:hint="eastAsia" w:ascii="仿宋_GB2312" w:eastAsia="仿宋_GB2312" w:cs="仿宋_GB2312"/>
          <w:b/>
          <w:color w:val="auto"/>
          <w:highlight w:val="none"/>
        </w:rPr>
        <w:t>]</w:t>
      </w:r>
    </w:p>
    <w:p>
      <w:pPr>
        <w:spacing w:line="276" w:lineRule="auto"/>
        <w:rPr>
          <w:rFonts w:ascii="仿宋_GB2312" w:eastAsia="仿宋_GB2312" w:cs="仿宋_GB2312"/>
          <w:b/>
          <w:color w:val="auto"/>
          <w:highlight w:val="none"/>
        </w:rPr>
      </w:pPr>
      <w:r>
        <w:rPr>
          <w:rFonts w:ascii="仿宋_GB2312" w:eastAsia="仿宋_GB2312" w:cs="仿宋_GB2312"/>
          <w:b/>
          <w:color w:val="auto"/>
          <w:highlight w:val="none"/>
        </w:rPr>
        <w:br w:type="page"/>
      </w:r>
    </w:p>
    <w:p>
      <w:pPr>
        <w:pStyle w:val="2"/>
        <w:rPr>
          <w:color w:val="auto"/>
          <w:highlight w:val="none"/>
        </w:rPr>
      </w:pPr>
      <w:r>
        <w:rPr>
          <w:rFonts w:hint="eastAsia"/>
          <w:color w:val="auto"/>
          <w:highlight w:val="none"/>
        </w:rPr>
        <w:t>政府采购支持中小企业信用融资相关事项通知</w:t>
      </w:r>
    </w:p>
    <w:p>
      <w:pPr>
        <w:rPr>
          <w:color w:val="auto"/>
          <w:highlight w:val="none"/>
          <w:lang w:val="zh-CN"/>
        </w:rPr>
      </w:pPr>
      <w:r>
        <w:rPr>
          <w:rFonts w:hint="eastAsia"/>
          <w:color w:val="auto"/>
          <w:highlight w:val="none"/>
          <w:lang w:val="zh-CN"/>
        </w:rPr>
        <w:t>为贯彻落实中央、省、市关于支持民营经济健康发展有关精神，发挥政府采购在促进中小企业发展中的政策引导作用，缓解中小企业融资难、融资贵问题，杭州市财政局、</w:t>
      </w:r>
    </w:p>
    <w:p>
      <w:pPr>
        <w:rPr>
          <w:color w:val="auto"/>
          <w:highlight w:val="none"/>
          <w:lang w:val="zh-CN"/>
        </w:rPr>
      </w:pPr>
      <w:r>
        <w:rPr>
          <w:rFonts w:hint="eastAsia"/>
          <w:color w:val="auto"/>
          <w:highlight w:val="none"/>
          <w:lang w:val="zh-CN"/>
        </w:rPr>
        <w:t>中国银保监会浙江监管局、杭州市地方金融监督管理局、杭州市经济和信息化局制定《杭州市政府采购支持中小企业信用融资管理办法》。相关事项通知如下：</w:t>
      </w:r>
    </w:p>
    <w:p>
      <w:pPr>
        <w:rPr>
          <w:b/>
          <w:color w:val="auto"/>
          <w:highlight w:val="none"/>
        </w:rPr>
      </w:pPr>
      <w:r>
        <w:rPr>
          <w:rFonts w:hint="eastAsia"/>
          <w:b/>
          <w:color w:val="auto"/>
          <w:highlight w:val="none"/>
        </w:rPr>
        <w:t>一、适用对象</w:t>
      </w:r>
    </w:p>
    <w:p>
      <w:pPr>
        <w:rPr>
          <w:color w:val="auto"/>
          <w:highlight w:val="none"/>
        </w:rPr>
      </w:pPr>
      <w:r>
        <w:rPr>
          <w:rFonts w:hint="eastAsia"/>
          <w:color w:val="auto"/>
          <w:highlight w:val="none"/>
        </w:rPr>
        <w:t>凡已在浙江政府采购网上注册入库，并取得杭州市政府采购合同的中小企业供应商（以下简称“供应商”），均可申请政府采购信用融资。</w:t>
      </w:r>
    </w:p>
    <w:p>
      <w:pPr>
        <w:rPr>
          <w:b/>
          <w:color w:val="auto"/>
          <w:highlight w:val="none"/>
        </w:rPr>
      </w:pPr>
      <w:r>
        <w:rPr>
          <w:rFonts w:hint="eastAsia"/>
          <w:b/>
          <w:color w:val="auto"/>
          <w:highlight w:val="none"/>
        </w:rPr>
        <w:t>二、相关信息获取方式</w:t>
      </w:r>
    </w:p>
    <w:p>
      <w:pPr>
        <w:rPr>
          <w:color w:val="auto"/>
          <w:highlight w:val="none"/>
        </w:rPr>
      </w:pPr>
      <w:r>
        <w:rPr>
          <w:rFonts w:hint="eastAsia"/>
          <w:color w:val="auto"/>
          <w:highlight w:val="none"/>
        </w:rPr>
        <w:t>市财政局在杭州市政府采购网上建设信用融资模块，并与“浙里办”浙江政务服务平台对接，推进政府采购中标成交信息、合同信息等信息资源共享，鼓励各银行采用线上融资模式，将银行业务系统与信用融资模块对接，实现供应商“一次也不跑”，同时提供相关的服务支持，做好协调工作。</w:t>
      </w:r>
    </w:p>
    <w:p>
      <w:pPr>
        <w:rPr>
          <w:b/>
          <w:color w:val="auto"/>
          <w:highlight w:val="none"/>
        </w:rPr>
      </w:pPr>
      <w:r>
        <w:rPr>
          <w:rFonts w:hint="eastAsia"/>
          <w:b/>
          <w:color w:val="auto"/>
          <w:highlight w:val="none"/>
        </w:rPr>
        <w:t>三、　政府采购信用融资操作流程：</w:t>
      </w:r>
    </w:p>
    <w:p>
      <w:pPr>
        <w:rPr>
          <w:color w:val="auto"/>
          <w:highlight w:val="none"/>
        </w:rPr>
      </w:pPr>
      <w:r>
        <w:rPr>
          <w:rFonts w:hint="eastAsia"/>
          <w:color w:val="auto"/>
          <w:highlight w:val="none"/>
        </w:rPr>
        <w:t>（一）线上融资模式：</w:t>
      </w:r>
    </w:p>
    <w:p>
      <w:pPr>
        <w:rPr>
          <w:color w:val="auto"/>
          <w:highlight w:val="none"/>
        </w:rPr>
      </w:pPr>
      <w:r>
        <w:rPr>
          <w:rFonts w:hint="eastAsia"/>
          <w:color w:val="auto"/>
          <w:highlight w:val="none"/>
        </w:rPr>
        <w:t>　　</w:t>
      </w:r>
      <w:r>
        <w:rPr>
          <w:color w:val="auto"/>
          <w:highlight w:val="none"/>
        </w:rPr>
        <w:t>1.供应商根据合作银行提供的方案，自行选择金融产品，并办理开户等手续；</w:t>
      </w:r>
    </w:p>
    <w:p>
      <w:pPr>
        <w:rPr>
          <w:color w:val="auto"/>
          <w:highlight w:val="none"/>
        </w:rPr>
      </w:pPr>
      <w:r>
        <w:rPr>
          <w:rFonts w:hint="eastAsia"/>
          <w:color w:val="auto"/>
          <w:highlight w:val="none"/>
        </w:rPr>
        <w:t>　　</w:t>
      </w:r>
      <w:r>
        <w:rPr>
          <w:color w:val="auto"/>
          <w:highlight w:val="none"/>
        </w:rPr>
        <w:t>2.供应商中标后，可通过杭州市政府采购网或“浙里办”测算授信额度；</w:t>
      </w:r>
    </w:p>
    <w:p>
      <w:pPr>
        <w:rPr>
          <w:color w:val="auto"/>
          <w:highlight w:val="none"/>
        </w:rPr>
      </w:pPr>
      <w:r>
        <w:rPr>
          <w:rFonts w:hint="eastAsia"/>
          <w:color w:val="auto"/>
          <w:highlight w:val="none"/>
        </w:rPr>
        <w:t>　　</w:t>
      </w:r>
      <w:r>
        <w:rPr>
          <w:color w:val="auto"/>
          <w:highlight w:val="none"/>
        </w:rPr>
        <w:t>3.采购合同签订后，供应商在杭州市政府采购网或“浙里办”向合作银行发出融资申请；</w:t>
      </w:r>
    </w:p>
    <w:p>
      <w:pPr>
        <w:rPr>
          <w:color w:val="auto"/>
          <w:highlight w:val="none"/>
        </w:rPr>
      </w:pPr>
      <w:r>
        <w:rPr>
          <w:rFonts w:hint="eastAsia"/>
          <w:color w:val="auto"/>
          <w:highlight w:val="none"/>
        </w:rPr>
        <w:t>　　</w:t>
      </w:r>
      <w:r>
        <w:rPr>
          <w:color w:val="auto"/>
          <w:highlight w:val="none"/>
        </w:rPr>
        <w:t>4.审批通过后，在线办理放贷手续。</w:t>
      </w:r>
    </w:p>
    <w:p>
      <w:pPr>
        <w:rPr>
          <w:color w:val="auto"/>
          <w:highlight w:val="none"/>
        </w:rPr>
      </w:pPr>
      <w:r>
        <w:rPr>
          <w:rFonts w:hint="eastAsia"/>
          <w:color w:val="auto"/>
          <w:highlight w:val="none"/>
        </w:rPr>
        <w:t>　　（二）线下融资模式：</w:t>
      </w:r>
    </w:p>
    <w:p>
      <w:pPr>
        <w:rPr>
          <w:color w:val="auto"/>
          <w:highlight w:val="none"/>
        </w:rPr>
      </w:pPr>
      <w:r>
        <w:rPr>
          <w:rFonts w:hint="eastAsia"/>
          <w:color w:val="auto"/>
          <w:highlight w:val="none"/>
        </w:rPr>
        <w:t>　　</w:t>
      </w:r>
      <w:r>
        <w:rPr>
          <w:color w:val="auto"/>
          <w:highlight w:val="none"/>
        </w:rPr>
        <w:t>1.供应商根据合作银行提供的方案，自行选择金融产品，向合作银行提出信用资格预审，并办理开户等手续；</w:t>
      </w:r>
    </w:p>
    <w:p>
      <w:pPr>
        <w:rPr>
          <w:color w:val="auto"/>
          <w:highlight w:val="none"/>
        </w:rPr>
      </w:pPr>
      <w:r>
        <w:rPr>
          <w:rFonts w:hint="eastAsia"/>
          <w:color w:val="auto"/>
          <w:highlight w:val="none"/>
        </w:rPr>
        <w:t>　　</w:t>
      </w:r>
      <w:r>
        <w:rPr>
          <w:color w:val="auto"/>
          <w:highlight w:val="none"/>
        </w:rPr>
        <w:t>2.采购合同签订后，供应商在杭州市政府采购网或“浙里办”向合作银行发出融资申请；</w:t>
      </w:r>
    </w:p>
    <w:p>
      <w:pPr>
        <w:rPr>
          <w:color w:val="auto"/>
          <w:highlight w:val="none"/>
        </w:rPr>
      </w:pPr>
      <w:r>
        <w:rPr>
          <w:rFonts w:hint="eastAsia"/>
          <w:color w:val="auto"/>
          <w:highlight w:val="none"/>
        </w:rPr>
        <w:t>　　</w:t>
      </w:r>
      <w:r>
        <w:rPr>
          <w:color w:val="auto"/>
          <w:highlight w:val="none"/>
        </w:rPr>
        <w:t>3.合作银行在信用融资模块受理申请后，供应商提供审批材料。合作银行应对申请信用融资的供应商及备案的政府采购合同信息进行核对和审查；</w:t>
      </w:r>
    </w:p>
    <w:p>
      <w:pPr>
        <w:rPr>
          <w:color w:val="auto"/>
          <w:highlight w:val="none"/>
        </w:rPr>
      </w:pPr>
      <w:r>
        <w:rPr>
          <w:rFonts w:hint="eastAsia"/>
          <w:color w:val="auto"/>
          <w:highlight w:val="none"/>
        </w:rPr>
        <w:t>　　</w:t>
      </w:r>
      <w:r>
        <w:rPr>
          <w:color w:val="auto"/>
          <w:highlight w:val="none"/>
        </w:rPr>
        <w:t>4.审批通过后，合作银行应按照合作备忘录中约定的审批放款期限和优惠利率及时予以放款。</w:t>
      </w:r>
    </w:p>
    <w:p>
      <w:pPr>
        <w:rPr>
          <w:b/>
          <w:bCs/>
          <w:color w:val="auto"/>
          <w:highlight w:val="none"/>
        </w:rPr>
      </w:pPr>
      <w:r>
        <w:rPr>
          <w:rFonts w:hint="eastAsia"/>
          <w:color w:val="auto"/>
          <w:highlight w:val="none"/>
        </w:rPr>
        <w:t>（三）杭州e融平台申请融资</w:t>
      </w:r>
    </w:p>
    <w:p>
      <w:pPr>
        <w:rPr>
          <w:b/>
          <w:bCs/>
          <w:color w:val="auto"/>
          <w:highlight w:val="none"/>
        </w:rPr>
      </w:pPr>
      <w:r>
        <w:rPr>
          <w:rFonts w:hint="eastAsia"/>
          <w:color w:val="auto"/>
          <w:highlight w:val="none"/>
        </w:rPr>
        <w:t>供应商通过杭州e融平台政采贷专区，自行选择金融产品，按规定手续办理贷款流程。</w:t>
      </w:r>
    </w:p>
    <w:p>
      <w:pPr>
        <w:rPr>
          <w:b/>
          <w:color w:val="auto"/>
          <w:highlight w:val="none"/>
        </w:rPr>
      </w:pPr>
      <w:r>
        <w:rPr>
          <w:rFonts w:hint="eastAsia"/>
          <w:b/>
          <w:color w:val="auto"/>
          <w:highlight w:val="none"/>
        </w:rPr>
        <w:t>四、注意事项</w:t>
      </w:r>
    </w:p>
    <w:p>
      <w:pPr>
        <w:rPr>
          <w:color w:val="auto"/>
          <w:highlight w:val="none"/>
        </w:rPr>
      </w:pPr>
      <w:r>
        <w:rPr>
          <w:color w:val="auto"/>
          <w:highlight w:val="none"/>
        </w:rPr>
        <w:t>1、</w:t>
      </w:r>
      <w:r>
        <w:rPr>
          <w:rFonts w:hint="eastAsia"/>
          <w:color w:val="auto"/>
          <w:highlight w:val="none"/>
        </w:rPr>
        <w:t>对拟用于信用融资的政府采购合同，供应商在签订合同时应当在合同中注明融资银行名称及账号，作为在该银行的唯一收款账号。</w:t>
      </w:r>
    </w:p>
    <w:p>
      <w:pPr>
        <w:rPr>
          <w:rFonts w:ascii="仿宋_GB2312" w:eastAsia="仿宋_GB2312"/>
          <w:color w:val="auto"/>
          <w:highlight w:val="none"/>
        </w:rPr>
      </w:pPr>
      <w:r>
        <w:rPr>
          <w:color w:val="auto"/>
          <w:highlight w:val="none"/>
        </w:rPr>
        <w:t>2</w:t>
      </w:r>
      <w:r>
        <w:rPr>
          <w:rFonts w:hint="eastAsia"/>
          <w:color w:val="auto"/>
          <w:highlight w:val="none"/>
        </w:rPr>
        <w:t>、供应商弄虚作假或以伪造政府采购合同等方式违规获取政府采购信用融资，或不及时还款，或出现其他违反本办法规定情形的，按融资合同约定承担违约责任；涉嫌犯罪的，移送司法机关处理</w:t>
      </w:r>
      <w:r>
        <w:rPr>
          <w:rFonts w:hint="eastAsia" w:ascii="仿宋_GB2312" w:eastAsia="仿宋_GB2312"/>
          <w:color w:val="auto"/>
          <w:highlight w:val="none"/>
        </w:rPr>
        <w:t>。</w:t>
      </w:r>
    </w:p>
    <w:p>
      <w:pPr>
        <w:spacing w:line="360" w:lineRule="auto"/>
        <w:ind w:left="5060" w:hanging="5060" w:hangingChars="2100"/>
        <w:rPr>
          <w:rFonts w:ascii="仿宋_GB2312" w:eastAsia="仿宋_GB2312" w:cs="仿宋_GB2312"/>
          <w:b/>
          <w:bCs/>
          <w:color w:val="auto"/>
          <w:highlight w:val="none"/>
        </w:rPr>
      </w:pPr>
    </w:p>
    <w:p>
      <w:pPr>
        <w:spacing w:line="360" w:lineRule="auto"/>
        <w:ind w:firstLine="120" w:firstLineChars="50"/>
        <w:rPr>
          <w:rFonts w:ascii="仿宋_GB2312" w:eastAsia="仿宋_GB2312" w:cs="仿宋_GB2312"/>
          <w:b/>
          <w:color w:val="auto"/>
          <w:highlight w:val="none"/>
        </w:rPr>
      </w:pPr>
    </w:p>
    <w:p>
      <w:pPr>
        <w:spacing w:line="360" w:lineRule="auto"/>
        <w:ind w:firstLine="482" w:firstLineChars="200"/>
        <w:rPr>
          <w:rFonts w:ascii="仿宋_GB2312" w:eastAsia="仿宋_GB2312"/>
          <w:b/>
          <w:color w:val="auto"/>
          <w:highlight w:val="none"/>
        </w:rPr>
      </w:pPr>
    </w:p>
    <w:p>
      <w:pPr>
        <w:pStyle w:val="78"/>
        <w:keepNext w:val="0"/>
        <w:pageBreakBefore w:val="0"/>
        <w:tabs>
          <w:tab w:val="clear" w:pos="720"/>
        </w:tabs>
        <w:snapToGrid w:val="0"/>
        <w:spacing w:before="120" w:after="120"/>
        <w:ind w:firstLine="643"/>
        <w:outlineLvl w:val="9"/>
        <w:rPr>
          <w:rFonts w:ascii="仿宋_GB2312" w:hAnsi="仿宋" w:eastAsia="仿宋_GB2312" w:cs="仿宋_GB2312"/>
          <w:color w:val="auto"/>
          <w:kern w:val="2"/>
          <w:sz w:val="32"/>
          <w:szCs w:val="32"/>
          <w:highlight w:val="none"/>
        </w:rPr>
      </w:pPr>
    </w:p>
    <w:p>
      <w:pPr>
        <w:spacing w:line="276" w:lineRule="auto"/>
        <w:rPr>
          <w:rFonts w:ascii="仿宋_GB2312" w:eastAsia="仿宋_GB2312" w:cs="仿宋_GB2312"/>
          <w:color w:val="auto"/>
          <w:highlight w:val="none"/>
        </w:rPr>
      </w:pPr>
      <w:r>
        <w:rPr>
          <w:rFonts w:ascii="仿宋_GB2312" w:eastAsia="仿宋_GB2312" w:cs="仿宋_GB2312"/>
          <w:color w:val="auto"/>
          <w:highlight w:val="none"/>
        </w:rPr>
        <w:br w:type="page"/>
      </w:r>
    </w:p>
    <w:p>
      <w:pPr>
        <w:pStyle w:val="3"/>
        <w:rPr>
          <w:color w:val="auto"/>
          <w:highlight w:val="none"/>
        </w:rPr>
      </w:pPr>
      <w:bookmarkStart w:id="481" w:name="_Toc465665161"/>
      <w:r>
        <w:rPr>
          <w:rFonts w:hint="eastAsia"/>
          <w:color w:val="auto"/>
          <w:highlight w:val="none"/>
        </w:rPr>
        <w:t>附件</w:t>
      </w:r>
      <w:bookmarkEnd w:id="481"/>
    </w:p>
    <w:p>
      <w:pPr>
        <w:pStyle w:val="2"/>
        <w:jc w:val="left"/>
        <w:rPr>
          <w:color w:val="auto"/>
          <w:highlight w:val="none"/>
        </w:rPr>
      </w:pPr>
      <w:r>
        <w:rPr>
          <w:rFonts w:hint="eastAsia"/>
          <w:color w:val="auto"/>
          <w:highlight w:val="none"/>
        </w:rPr>
        <w:t>附件</w:t>
      </w:r>
      <w:r>
        <w:rPr>
          <w:color w:val="auto"/>
          <w:highlight w:val="none"/>
        </w:rPr>
        <w:t>1：</w:t>
      </w:r>
      <w:r>
        <w:rPr>
          <w:rFonts w:hint="eastAsia"/>
          <w:color w:val="auto"/>
          <w:highlight w:val="none"/>
        </w:rPr>
        <w:t>残疾人福利性单位声明函</w:t>
      </w:r>
    </w:p>
    <w:p>
      <w:pPr>
        <w:spacing w:line="360" w:lineRule="auto"/>
        <w:jc w:val="center"/>
        <w:rPr>
          <w:rFonts w:ascii="仿宋_GB2312" w:eastAsia="仿宋_GB2312"/>
          <w:b/>
          <w:color w:val="auto"/>
          <w:spacing w:val="6"/>
          <w:sz w:val="32"/>
          <w:szCs w:val="32"/>
          <w:highlight w:val="none"/>
        </w:rPr>
      </w:pPr>
      <w:bookmarkStart w:id="482" w:name="OLE_LINK14"/>
      <w:bookmarkStart w:id="483" w:name="OLE_LINK13"/>
      <w:r>
        <w:rPr>
          <w:rFonts w:hint="eastAsia" w:ascii="仿宋_GB2312" w:eastAsia="仿宋_GB2312"/>
          <w:b/>
          <w:color w:val="auto"/>
          <w:spacing w:val="6"/>
          <w:sz w:val="32"/>
          <w:szCs w:val="32"/>
          <w:highlight w:val="none"/>
        </w:rPr>
        <w:t>残疾人福利性单位声明函</w:t>
      </w:r>
    </w:p>
    <w:bookmarkEnd w:id="482"/>
    <w:bookmarkEnd w:id="483"/>
    <w:p>
      <w:pPr>
        <w:spacing w:line="360" w:lineRule="auto"/>
        <w:rPr>
          <w:rFonts w:ascii="仿宋_GB2312" w:eastAsia="仿宋_GB2312"/>
          <w:b/>
          <w:color w:val="auto"/>
          <w:spacing w:val="6"/>
          <w:sz w:val="30"/>
          <w:szCs w:val="30"/>
          <w:highlight w:val="none"/>
        </w:rPr>
      </w:pPr>
    </w:p>
    <w:p>
      <w:pPr>
        <w:pStyle w:val="63"/>
        <w:rPr>
          <w:color w:val="auto"/>
          <w:highlight w:val="none"/>
        </w:rPr>
      </w:pPr>
      <w:r>
        <w:rPr>
          <w:rFonts w:hint="eastAsia"/>
          <w:color w:val="auto"/>
          <w:highlight w:val="none"/>
        </w:rPr>
        <w:t>本单位郑重声明，根据《财政部</w:t>
      </w:r>
      <w:r>
        <w:rPr>
          <w:color w:val="auto"/>
          <w:highlight w:val="none"/>
        </w:rPr>
        <w:t xml:space="preserve"> </w:t>
      </w:r>
      <w:r>
        <w:rPr>
          <w:rFonts w:hint="eastAsia"/>
          <w:color w:val="auto"/>
          <w:highlight w:val="none"/>
        </w:rPr>
        <w:t>民政部</w:t>
      </w:r>
      <w:r>
        <w:rPr>
          <w:color w:val="auto"/>
          <w:highlight w:val="none"/>
        </w:rPr>
        <w:t xml:space="preserve"> </w:t>
      </w:r>
      <w:r>
        <w:rPr>
          <w:rFonts w:hint="eastAsia"/>
          <w:color w:val="auto"/>
          <w:highlight w:val="none"/>
        </w:rPr>
        <w:t>中国残疾人联合会关于促进残疾人就业政府采购政策的通知》（财库〔</w:t>
      </w:r>
      <w:r>
        <w:rPr>
          <w:color w:val="auto"/>
          <w:highlight w:val="none"/>
        </w:rPr>
        <w:t>2017〕 141号）的规定，本单位为符合条件的残疾人福利性单位，且本单位参加______单位的______项目采购活动提供本单位制造的货物（由本单位承担工程/提供服务），或者提供其他残疾人福利性单位制造的货物（不包括使用非残疾人福利性单位注册商标的货物）。</w:t>
      </w:r>
    </w:p>
    <w:p>
      <w:pPr>
        <w:pStyle w:val="63"/>
        <w:rPr>
          <w:color w:val="auto"/>
          <w:highlight w:val="none"/>
        </w:rPr>
      </w:pPr>
      <w:r>
        <w:rPr>
          <w:rFonts w:hint="eastAsia"/>
          <w:color w:val="auto"/>
          <w:highlight w:val="none"/>
        </w:rPr>
        <w:t>本单位对上述声明的真实性负责。如有虚假，将依法承担相应责任。</w:t>
      </w:r>
    </w:p>
    <w:p>
      <w:pPr>
        <w:pStyle w:val="63"/>
        <w:rPr>
          <w:color w:val="auto"/>
          <w:highlight w:val="none"/>
        </w:rPr>
      </w:pPr>
    </w:p>
    <w:p>
      <w:pPr>
        <w:pStyle w:val="63"/>
        <w:rPr>
          <w:color w:val="auto"/>
          <w:highlight w:val="none"/>
        </w:rPr>
      </w:pPr>
    </w:p>
    <w:p>
      <w:pPr>
        <w:pStyle w:val="63"/>
        <w:jc w:val="right"/>
        <w:rPr>
          <w:color w:val="auto"/>
          <w:highlight w:val="none"/>
        </w:rPr>
      </w:pPr>
      <w:r>
        <w:rPr>
          <w:rFonts w:hint="eastAsia"/>
          <w:color w:val="auto"/>
          <w:highlight w:val="none"/>
        </w:rPr>
        <w:t>投标人名称（电子签名）：</w:t>
      </w:r>
    </w:p>
    <w:p>
      <w:pPr>
        <w:pStyle w:val="63"/>
        <w:jc w:val="right"/>
        <w:rPr>
          <w:color w:val="auto"/>
          <w:highlight w:val="none"/>
        </w:rPr>
      </w:pPr>
      <w:r>
        <w:rPr>
          <w:color w:val="auto"/>
          <w:highlight w:val="none"/>
        </w:rPr>
        <w:t>日  期：</w:t>
      </w:r>
    </w:p>
    <w:p>
      <w:pPr>
        <w:spacing w:line="276" w:lineRule="auto"/>
        <w:rPr>
          <w:rFonts w:ascii="仿宋_GB2312" w:eastAsia="仿宋_GB2312" w:cs="仿宋_GB2312"/>
          <w:color w:val="auto"/>
          <w:highlight w:val="none"/>
        </w:rPr>
      </w:pPr>
      <w:r>
        <w:rPr>
          <w:rFonts w:ascii="仿宋_GB2312" w:eastAsia="仿宋_GB2312" w:cs="仿宋_GB2312"/>
          <w:color w:val="auto"/>
          <w:highlight w:val="none"/>
        </w:rPr>
        <w:br w:type="page"/>
      </w:r>
    </w:p>
    <w:p>
      <w:pPr>
        <w:pStyle w:val="2"/>
        <w:jc w:val="left"/>
        <w:rPr>
          <w:color w:val="auto"/>
          <w:highlight w:val="none"/>
        </w:rPr>
      </w:pPr>
      <w:r>
        <w:rPr>
          <w:rFonts w:hint="eastAsia"/>
          <w:color w:val="auto"/>
          <w:highlight w:val="none"/>
        </w:rPr>
        <w:t>附件</w:t>
      </w:r>
      <w:r>
        <w:rPr>
          <w:color w:val="auto"/>
          <w:highlight w:val="none"/>
        </w:rPr>
        <w:t>2：质疑函范本及制作说明</w:t>
      </w:r>
    </w:p>
    <w:p>
      <w:pPr>
        <w:spacing w:line="360" w:lineRule="auto"/>
        <w:jc w:val="center"/>
        <w:rPr>
          <w:rFonts w:ascii="仿宋_GB2312" w:eastAsia="仿宋_GB2312"/>
          <w:b/>
          <w:color w:val="auto"/>
          <w:spacing w:val="6"/>
          <w:sz w:val="32"/>
          <w:szCs w:val="32"/>
          <w:highlight w:val="none"/>
        </w:rPr>
      </w:pPr>
      <w:r>
        <w:rPr>
          <w:rFonts w:hint="eastAsia" w:ascii="仿宋_GB2312" w:eastAsia="仿宋_GB2312"/>
          <w:b/>
          <w:color w:val="auto"/>
          <w:spacing w:val="6"/>
          <w:sz w:val="32"/>
          <w:szCs w:val="32"/>
          <w:highlight w:val="none"/>
        </w:rPr>
        <w:t>质疑函范本</w:t>
      </w:r>
    </w:p>
    <w:p>
      <w:pPr>
        <w:pStyle w:val="63"/>
        <w:rPr>
          <w:color w:val="auto"/>
          <w:highlight w:val="none"/>
        </w:rPr>
      </w:pPr>
      <w:r>
        <w:rPr>
          <w:rFonts w:hint="eastAsia"/>
          <w:color w:val="auto"/>
          <w:highlight w:val="none"/>
        </w:rPr>
        <w:t>一、质疑供应商基本信息</w:t>
      </w:r>
    </w:p>
    <w:p>
      <w:pPr>
        <w:pStyle w:val="63"/>
        <w:rPr>
          <w:color w:val="auto"/>
          <w:highlight w:val="none"/>
          <w:u w:val="dotted"/>
        </w:rPr>
      </w:pPr>
      <w:r>
        <w:rPr>
          <w:rFonts w:hint="eastAsia"/>
          <w:color w:val="auto"/>
          <w:highlight w:val="none"/>
        </w:rPr>
        <w:t>质疑供应商：</w:t>
      </w:r>
      <w:r>
        <w:rPr>
          <w:color w:val="auto"/>
          <w:highlight w:val="none"/>
          <w:u w:val="dotted"/>
        </w:rPr>
        <w:t xml:space="preserve">                                        </w:t>
      </w:r>
    </w:p>
    <w:p>
      <w:pPr>
        <w:pStyle w:val="63"/>
        <w:rPr>
          <w:color w:val="auto"/>
          <w:highlight w:val="none"/>
        </w:rPr>
      </w:pPr>
      <w:r>
        <w:rPr>
          <w:rFonts w:hint="eastAsia"/>
          <w:color w:val="auto"/>
          <w:highlight w:val="none"/>
        </w:rPr>
        <w:t>地址：</w:t>
      </w:r>
      <w:r>
        <w:rPr>
          <w:color w:val="auto"/>
          <w:highlight w:val="none"/>
          <w:u w:val="dotted"/>
        </w:rPr>
        <w:t xml:space="preserve">                          </w:t>
      </w:r>
      <w:r>
        <w:rPr>
          <w:rFonts w:hint="eastAsia"/>
          <w:color w:val="auto"/>
          <w:highlight w:val="none"/>
        </w:rPr>
        <w:t>邮编：</w:t>
      </w:r>
      <w:r>
        <w:rPr>
          <w:color w:val="auto"/>
          <w:highlight w:val="none"/>
          <w:u w:val="dotted"/>
        </w:rPr>
        <w:t xml:space="preserve">                                                   </w:t>
      </w:r>
    </w:p>
    <w:p>
      <w:pPr>
        <w:pStyle w:val="63"/>
        <w:rPr>
          <w:color w:val="auto"/>
          <w:highlight w:val="none"/>
        </w:rPr>
      </w:pPr>
      <w:r>
        <w:rPr>
          <w:rFonts w:hint="eastAsia"/>
          <w:color w:val="auto"/>
          <w:highlight w:val="none"/>
        </w:rPr>
        <w:t>联系人：</w:t>
      </w:r>
      <w:r>
        <w:rPr>
          <w:color w:val="auto"/>
          <w:highlight w:val="none"/>
          <w:u w:val="dotted"/>
        </w:rPr>
        <w:t xml:space="preserve">                      </w:t>
      </w:r>
      <w:r>
        <w:rPr>
          <w:rFonts w:hint="eastAsia"/>
          <w:color w:val="auto"/>
          <w:highlight w:val="none"/>
        </w:rPr>
        <w:t>联系电话：</w:t>
      </w:r>
      <w:r>
        <w:rPr>
          <w:color w:val="auto"/>
          <w:highlight w:val="none"/>
          <w:u w:val="dotted"/>
        </w:rPr>
        <w:t xml:space="preserve">                              </w:t>
      </w:r>
    </w:p>
    <w:p>
      <w:pPr>
        <w:pStyle w:val="63"/>
        <w:rPr>
          <w:color w:val="auto"/>
          <w:highlight w:val="none"/>
          <w:u w:val="dotted"/>
        </w:rPr>
      </w:pPr>
      <w:r>
        <w:rPr>
          <w:rFonts w:hint="eastAsia"/>
          <w:color w:val="auto"/>
          <w:highlight w:val="none"/>
        </w:rPr>
        <w:t>授权代表：</w:t>
      </w:r>
      <w:r>
        <w:rPr>
          <w:color w:val="auto"/>
          <w:highlight w:val="none"/>
          <w:u w:val="dotted"/>
        </w:rPr>
        <w:t xml:space="preserve">                                          </w:t>
      </w:r>
    </w:p>
    <w:p>
      <w:pPr>
        <w:pStyle w:val="63"/>
        <w:rPr>
          <w:color w:val="auto"/>
          <w:highlight w:val="none"/>
        </w:rPr>
      </w:pPr>
      <w:r>
        <w:rPr>
          <w:rFonts w:hint="eastAsia"/>
          <w:color w:val="auto"/>
          <w:highlight w:val="none"/>
        </w:rPr>
        <w:t>联系电话：</w:t>
      </w:r>
      <w:r>
        <w:rPr>
          <w:color w:val="auto"/>
          <w:highlight w:val="none"/>
          <w:u w:val="dotted"/>
        </w:rPr>
        <w:t xml:space="preserve">                                           </w:t>
      </w:r>
      <w:r>
        <w:rPr>
          <w:color w:val="auto"/>
          <w:highlight w:val="none"/>
        </w:rPr>
        <w:t xml:space="preserve"> </w:t>
      </w:r>
    </w:p>
    <w:p>
      <w:pPr>
        <w:pStyle w:val="63"/>
        <w:rPr>
          <w:color w:val="auto"/>
          <w:highlight w:val="none"/>
        </w:rPr>
      </w:pPr>
      <w:r>
        <w:rPr>
          <w:rFonts w:hint="eastAsia"/>
          <w:color w:val="auto"/>
          <w:highlight w:val="none"/>
        </w:rPr>
        <w:t>地址：</w:t>
      </w:r>
      <w:r>
        <w:rPr>
          <w:color w:val="auto"/>
          <w:highlight w:val="none"/>
        </w:rPr>
        <w:t xml:space="preserve"> </w:t>
      </w:r>
      <w:r>
        <w:rPr>
          <w:color w:val="auto"/>
          <w:highlight w:val="none"/>
          <w:u w:val="dotted"/>
        </w:rPr>
        <w:t xml:space="preserve">                        </w:t>
      </w:r>
      <w:r>
        <w:rPr>
          <w:rFonts w:hint="eastAsia"/>
          <w:color w:val="auto"/>
          <w:highlight w:val="none"/>
        </w:rPr>
        <w:t>邮编：</w:t>
      </w:r>
      <w:r>
        <w:rPr>
          <w:color w:val="auto"/>
          <w:highlight w:val="none"/>
          <w:u w:val="dotted"/>
        </w:rPr>
        <w:t xml:space="preserve">                                                </w:t>
      </w:r>
    </w:p>
    <w:p>
      <w:pPr>
        <w:pStyle w:val="63"/>
        <w:rPr>
          <w:color w:val="auto"/>
          <w:highlight w:val="none"/>
        </w:rPr>
      </w:pPr>
      <w:r>
        <w:rPr>
          <w:rFonts w:hint="eastAsia"/>
          <w:color w:val="auto"/>
          <w:highlight w:val="none"/>
        </w:rPr>
        <w:t>二、质疑项目基本情况</w:t>
      </w:r>
    </w:p>
    <w:p>
      <w:pPr>
        <w:pStyle w:val="63"/>
        <w:rPr>
          <w:color w:val="auto"/>
          <w:highlight w:val="none"/>
        </w:rPr>
      </w:pPr>
      <w:r>
        <w:rPr>
          <w:rFonts w:hint="eastAsia"/>
          <w:color w:val="auto"/>
          <w:highlight w:val="none"/>
        </w:rPr>
        <w:t>质疑项目的名称：</w:t>
      </w:r>
      <w:r>
        <w:rPr>
          <w:color w:val="auto"/>
          <w:highlight w:val="none"/>
          <w:u w:val="dotted"/>
        </w:rPr>
        <w:t xml:space="preserve">                                      </w:t>
      </w:r>
    </w:p>
    <w:p>
      <w:pPr>
        <w:pStyle w:val="63"/>
        <w:rPr>
          <w:color w:val="auto"/>
          <w:highlight w:val="none"/>
        </w:rPr>
      </w:pPr>
      <w:r>
        <w:rPr>
          <w:rFonts w:hint="eastAsia"/>
          <w:color w:val="auto"/>
          <w:highlight w:val="none"/>
        </w:rPr>
        <w:t>质疑项目的编号：</w:t>
      </w:r>
      <w:r>
        <w:rPr>
          <w:color w:val="auto"/>
          <w:highlight w:val="none"/>
          <w:u w:val="dotted"/>
        </w:rPr>
        <w:t xml:space="preserve">               </w:t>
      </w:r>
      <w:r>
        <w:rPr>
          <w:rFonts w:hint="eastAsia"/>
          <w:color w:val="auto"/>
          <w:highlight w:val="none"/>
        </w:rPr>
        <w:t>包号：</w:t>
      </w:r>
      <w:r>
        <w:rPr>
          <w:color w:val="auto"/>
          <w:highlight w:val="none"/>
          <w:u w:val="dotted"/>
        </w:rPr>
        <w:t xml:space="preserve">                 </w:t>
      </w:r>
    </w:p>
    <w:p>
      <w:pPr>
        <w:pStyle w:val="63"/>
        <w:rPr>
          <w:color w:val="auto"/>
          <w:highlight w:val="none"/>
          <w:u w:val="dotted"/>
        </w:rPr>
      </w:pPr>
      <w:r>
        <w:rPr>
          <w:rFonts w:hint="eastAsia"/>
          <w:color w:val="auto"/>
          <w:highlight w:val="none"/>
        </w:rPr>
        <w:t>采购人名称：</w:t>
      </w:r>
      <w:r>
        <w:rPr>
          <w:color w:val="auto"/>
          <w:highlight w:val="none"/>
          <w:u w:val="dotted"/>
        </w:rPr>
        <w:t xml:space="preserve">                                         </w:t>
      </w:r>
    </w:p>
    <w:p>
      <w:pPr>
        <w:pStyle w:val="63"/>
        <w:rPr>
          <w:color w:val="auto"/>
          <w:highlight w:val="none"/>
        </w:rPr>
      </w:pPr>
      <w:r>
        <w:rPr>
          <w:rFonts w:hint="eastAsia"/>
          <w:color w:val="auto"/>
          <w:highlight w:val="none"/>
        </w:rPr>
        <w:t>采购文件获取日期：</w:t>
      </w:r>
      <w:r>
        <w:rPr>
          <w:color w:val="auto"/>
          <w:highlight w:val="none"/>
          <w:u w:val="dotted"/>
        </w:rPr>
        <w:t xml:space="preserve">                                           </w:t>
      </w:r>
    </w:p>
    <w:p>
      <w:pPr>
        <w:pStyle w:val="63"/>
        <w:rPr>
          <w:color w:val="auto"/>
          <w:highlight w:val="none"/>
        </w:rPr>
      </w:pPr>
      <w:r>
        <w:rPr>
          <w:rFonts w:hint="eastAsia"/>
          <w:color w:val="auto"/>
          <w:highlight w:val="none"/>
        </w:rPr>
        <w:t>三、质疑事项具体内容</w:t>
      </w:r>
    </w:p>
    <w:p>
      <w:pPr>
        <w:pStyle w:val="63"/>
        <w:rPr>
          <w:color w:val="auto"/>
          <w:highlight w:val="none"/>
          <w:u w:val="dotted"/>
        </w:rPr>
      </w:pPr>
      <w:r>
        <w:rPr>
          <w:rFonts w:hint="eastAsia"/>
          <w:color w:val="auto"/>
          <w:highlight w:val="none"/>
        </w:rPr>
        <w:t>质疑事项</w:t>
      </w:r>
      <w:r>
        <w:rPr>
          <w:color w:val="auto"/>
          <w:highlight w:val="none"/>
        </w:rPr>
        <w:t>1：</w:t>
      </w:r>
      <w:r>
        <w:rPr>
          <w:color w:val="auto"/>
          <w:highlight w:val="none"/>
          <w:u w:val="dotted"/>
        </w:rPr>
        <w:t xml:space="preserve">                                         </w:t>
      </w:r>
    </w:p>
    <w:p>
      <w:pPr>
        <w:pStyle w:val="63"/>
        <w:rPr>
          <w:color w:val="auto"/>
          <w:highlight w:val="none"/>
          <w:u w:val="dotted"/>
        </w:rPr>
      </w:pPr>
      <w:r>
        <w:rPr>
          <w:rFonts w:hint="eastAsia"/>
          <w:color w:val="auto"/>
          <w:highlight w:val="none"/>
        </w:rPr>
        <w:t>事实依据：</w:t>
      </w:r>
      <w:r>
        <w:rPr>
          <w:color w:val="auto"/>
          <w:highlight w:val="none"/>
          <w:u w:val="dotted"/>
        </w:rPr>
        <w:t xml:space="preserve">                                          </w:t>
      </w:r>
    </w:p>
    <w:p>
      <w:pPr>
        <w:pStyle w:val="63"/>
        <w:rPr>
          <w:color w:val="auto"/>
          <w:highlight w:val="none"/>
        </w:rPr>
      </w:pPr>
      <w:r>
        <w:rPr>
          <w:color w:val="auto"/>
          <w:highlight w:val="none"/>
          <w:u w:val="dotted"/>
        </w:rPr>
        <w:t xml:space="preserve">                                                       </w:t>
      </w:r>
    </w:p>
    <w:p>
      <w:pPr>
        <w:pStyle w:val="63"/>
        <w:rPr>
          <w:color w:val="auto"/>
          <w:highlight w:val="none"/>
          <w:u w:val="dotted"/>
        </w:rPr>
      </w:pPr>
      <w:r>
        <w:rPr>
          <w:rFonts w:hint="eastAsia"/>
          <w:color w:val="auto"/>
          <w:highlight w:val="none"/>
        </w:rPr>
        <w:t>法律依据：</w:t>
      </w:r>
      <w:r>
        <w:rPr>
          <w:color w:val="auto"/>
          <w:highlight w:val="none"/>
          <w:u w:val="dotted"/>
        </w:rPr>
        <w:t xml:space="preserve">                                          </w:t>
      </w:r>
    </w:p>
    <w:p>
      <w:pPr>
        <w:pStyle w:val="63"/>
        <w:rPr>
          <w:color w:val="auto"/>
          <w:highlight w:val="none"/>
          <w:u w:val="dotted"/>
        </w:rPr>
      </w:pPr>
      <w:r>
        <w:rPr>
          <w:color w:val="auto"/>
          <w:highlight w:val="none"/>
          <w:u w:val="dotted"/>
        </w:rPr>
        <w:t xml:space="preserve">                                                     </w:t>
      </w:r>
    </w:p>
    <w:p>
      <w:pPr>
        <w:pStyle w:val="63"/>
        <w:rPr>
          <w:color w:val="auto"/>
          <w:highlight w:val="none"/>
          <w:u w:val="dotted"/>
        </w:rPr>
      </w:pPr>
      <w:r>
        <w:rPr>
          <w:rFonts w:hint="eastAsia"/>
          <w:color w:val="auto"/>
          <w:highlight w:val="none"/>
        </w:rPr>
        <w:t>质疑事项</w:t>
      </w:r>
      <w:r>
        <w:rPr>
          <w:color w:val="auto"/>
          <w:highlight w:val="none"/>
        </w:rPr>
        <w:t>2</w:t>
      </w:r>
    </w:p>
    <w:p>
      <w:pPr>
        <w:pStyle w:val="63"/>
        <w:rPr>
          <w:color w:val="auto"/>
          <w:highlight w:val="none"/>
        </w:rPr>
      </w:pPr>
      <w:r>
        <w:rPr>
          <w:rFonts w:hint="eastAsia"/>
          <w:color w:val="auto"/>
          <w:highlight w:val="none"/>
        </w:rPr>
        <w:t>……</w:t>
      </w:r>
    </w:p>
    <w:p>
      <w:pPr>
        <w:pStyle w:val="63"/>
        <w:rPr>
          <w:color w:val="auto"/>
          <w:highlight w:val="none"/>
        </w:rPr>
      </w:pPr>
      <w:r>
        <w:rPr>
          <w:rFonts w:hint="eastAsia"/>
          <w:color w:val="auto"/>
          <w:highlight w:val="none"/>
        </w:rPr>
        <w:t>四、与质疑事项相关的质疑请求</w:t>
      </w:r>
    </w:p>
    <w:p>
      <w:pPr>
        <w:pStyle w:val="63"/>
        <w:rPr>
          <w:color w:val="auto"/>
          <w:highlight w:val="none"/>
          <w:u w:val="dotted"/>
        </w:rPr>
      </w:pPr>
      <w:r>
        <w:rPr>
          <w:rFonts w:hint="eastAsia"/>
          <w:color w:val="auto"/>
          <w:highlight w:val="none"/>
        </w:rPr>
        <w:t>请求：</w:t>
      </w:r>
      <w:r>
        <w:rPr>
          <w:color w:val="auto"/>
          <w:highlight w:val="none"/>
          <w:u w:val="dotted"/>
        </w:rPr>
        <w:t xml:space="preserve">                                               </w:t>
      </w:r>
    </w:p>
    <w:p>
      <w:pPr>
        <w:pStyle w:val="63"/>
        <w:rPr>
          <w:color w:val="auto"/>
          <w:highlight w:val="none"/>
        </w:rPr>
      </w:pPr>
      <w:r>
        <w:rPr>
          <w:rFonts w:hint="eastAsia"/>
          <w:color w:val="auto"/>
          <w:highlight w:val="none"/>
        </w:rPr>
        <w:t>签字</w:t>
      </w:r>
      <w:r>
        <w:rPr>
          <w:color w:val="auto"/>
          <w:highlight w:val="none"/>
        </w:rPr>
        <w:t xml:space="preserve">(签章)：                   公章：                      </w:t>
      </w:r>
    </w:p>
    <w:p>
      <w:pPr>
        <w:pStyle w:val="63"/>
        <w:rPr>
          <w:color w:val="auto"/>
          <w:highlight w:val="none"/>
        </w:rPr>
      </w:pPr>
      <w:r>
        <w:rPr>
          <w:rFonts w:hint="eastAsia"/>
          <w:color w:val="auto"/>
          <w:highlight w:val="none"/>
        </w:rPr>
        <w:t>日期：</w:t>
      </w:r>
      <w:r>
        <w:rPr>
          <w:color w:val="auto"/>
          <w:highlight w:val="none"/>
        </w:rPr>
        <w:t xml:space="preserve">    </w:t>
      </w:r>
    </w:p>
    <w:p>
      <w:pPr>
        <w:spacing w:line="360" w:lineRule="auto"/>
        <w:rPr>
          <w:rFonts w:ascii="仿宋_GB2312" w:eastAsia="仿宋_GB2312"/>
          <w:b/>
          <w:color w:val="auto"/>
          <w:highlight w:val="none"/>
        </w:rPr>
      </w:pPr>
      <w:r>
        <w:rPr>
          <w:rFonts w:hint="eastAsia" w:ascii="仿宋_GB2312" w:eastAsia="仿宋_GB2312"/>
          <w:b/>
          <w:color w:val="auto"/>
          <w:highlight w:val="none"/>
        </w:rPr>
        <w:t>质疑函制作说明：</w:t>
      </w:r>
    </w:p>
    <w:p>
      <w:pPr>
        <w:pStyle w:val="63"/>
        <w:rPr>
          <w:color w:val="auto"/>
          <w:highlight w:val="none"/>
        </w:rPr>
      </w:pPr>
      <w:r>
        <w:rPr>
          <w:color w:val="auto"/>
          <w:highlight w:val="none"/>
        </w:rPr>
        <w:t>1.供应商提出质疑时，应提交质疑函和必要的证明材料。</w:t>
      </w:r>
    </w:p>
    <w:p>
      <w:pPr>
        <w:pStyle w:val="63"/>
        <w:rPr>
          <w:color w:val="auto"/>
          <w:highlight w:val="none"/>
        </w:rPr>
      </w:pPr>
      <w:r>
        <w:rPr>
          <w:color w:val="auto"/>
          <w:highlight w:val="none"/>
        </w:rPr>
        <w:t>2.质疑供应商若委托代理人进行质疑的，</w:t>
      </w:r>
      <w:r>
        <w:rPr>
          <w:rFonts w:hint="eastAsia"/>
          <w:color w:val="auto"/>
          <w:highlight w:val="none"/>
        </w:rPr>
        <w:t>质疑函应按要求列明“授权代表”的有关内容，并在附件中提交由质疑</w:t>
      </w:r>
      <w:r>
        <w:rPr>
          <w:rFonts w:hint="eastAsia" w:cs="宋体"/>
          <w:color w:val="auto"/>
          <w:highlight w:val="none"/>
        </w:rPr>
        <w:t>供应商签署的授权委托书。授权委托书应载明代理人的姓名或者名称、代理事项、具体权限、期限和相关事项。</w:t>
      </w:r>
    </w:p>
    <w:p>
      <w:pPr>
        <w:pStyle w:val="63"/>
        <w:rPr>
          <w:color w:val="auto"/>
          <w:highlight w:val="none"/>
        </w:rPr>
      </w:pPr>
      <w:r>
        <w:rPr>
          <w:color w:val="auto"/>
          <w:highlight w:val="none"/>
        </w:rPr>
        <w:t>3.质疑供应商若对项目的某一分包进行质疑，质疑函中应列明具体分包号。</w:t>
      </w:r>
    </w:p>
    <w:p>
      <w:pPr>
        <w:pStyle w:val="63"/>
        <w:rPr>
          <w:color w:val="auto"/>
          <w:highlight w:val="none"/>
        </w:rPr>
      </w:pPr>
      <w:r>
        <w:rPr>
          <w:color w:val="auto"/>
          <w:highlight w:val="none"/>
        </w:rPr>
        <w:t>4.质疑函的质疑事项应具体、明确，并有必要的事实依据和法律依据。</w:t>
      </w:r>
    </w:p>
    <w:p>
      <w:pPr>
        <w:pStyle w:val="63"/>
        <w:rPr>
          <w:color w:val="auto"/>
          <w:highlight w:val="none"/>
        </w:rPr>
      </w:pPr>
      <w:r>
        <w:rPr>
          <w:color w:val="auto"/>
          <w:highlight w:val="none"/>
        </w:rPr>
        <w:t>5.质疑函的质疑请求应与质疑事项相关。</w:t>
      </w:r>
    </w:p>
    <w:p>
      <w:pPr>
        <w:pStyle w:val="63"/>
        <w:rPr>
          <w:color w:val="auto"/>
          <w:highlight w:val="none"/>
        </w:rPr>
      </w:pPr>
      <w:r>
        <w:rPr>
          <w:color w:val="auto"/>
          <w:highlight w:val="none"/>
        </w:rPr>
        <w:t>6.质疑供应商为自然人的，</w:t>
      </w:r>
      <w:r>
        <w:rPr>
          <w:rFonts w:hint="eastAsia"/>
          <w:color w:val="auto"/>
          <w:highlight w:val="none"/>
        </w:rPr>
        <w:t>质疑函应由本人签字；质疑供应商为法人或者其他组织的，质疑函应由法定代表人、主要负责人，或者其授权代表签字或者盖章，并加盖公章。</w:t>
      </w:r>
    </w:p>
    <w:p>
      <w:pPr>
        <w:spacing w:line="360" w:lineRule="auto"/>
        <w:ind w:firstLine="600" w:firstLineChars="200"/>
        <w:rPr>
          <w:rFonts w:ascii="仿宋_GB2312" w:eastAsia="仿宋_GB2312"/>
          <w:color w:val="auto"/>
          <w:sz w:val="30"/>
          <w:szCs w:val="30"/>
          <w:highlight w:val="none"/>
        </w:rPr>
      </w:pPr>
    </w:p>
    <w:p>
      <w:pPr>
        <w:spacing w:line="360" w:lineRule="auto"/>
        <w:jc w:val="center"/>
        <w:rPr>
          <w:rFonts w:ascii="仿宋_GB2312" w:eastAsia="仿宋_GB2312"/>
          <w:b/>
          <w:color w:val="auto"/>
          <w:spacing w:val="6"/>
          <w:sz w:val="32"/>
          <w:szCs w:val="32"/>
          <w:highlight w:val="none"/>
        </w:rPr>
      </w:pPr>
    </w:p>
    <w:p>
      <w:pPr>
        <w:spacing w:line="360" w:lineRule="auto"/>
        <w:jc w:val="center"/>
        <w:rPr>
          <w:rFonts w:ascii="仿宋_GB2312" w:eastAsia="仿宋_GB2312"/>
          <w:b/>
          <w:color w:val="auto"/>
          <w:spacing w:val="6"/>
          <w:sz w:val="32"/>
          <w:szCs w:val="32"/>
          <w:highlight w:val="none"/>
        </w:rPr>
      </w:pPr>
    </w:p>
    <w:p>
      <w:pPr>
        <w:pStyle w:val="2"/>
        <w:jc w:val="left"/>
        <w:rPr>
          <w:color w:val="auto"/>
          <w:highlight w:val="none"/>
        </w:rPr>
      </w:pPr>
      <w:r>
        <w:rPr>
          <w:rFonts w:hint="eastAsia"/>
          <w:color w:val="auto"/>
          <w:highlight w:val="none"/>
        </w:rPr>
        <w:t>附件</w:t>
      </w:r>
      <w:r>
        <w:rPr>
          <w:color w:val="auto"/>
          <w:highlight w:val="none"/>
        </w:rPr>
        <w:t>3：投诉书范本及制作说明</w:t>
      </w:r>
    </w:p>
    <w:p>
      <w:pPr>
        <w:spacing w:line="360" w:lineRule="auto"/>
        <w:jc w:val="center"/>
        <w:rPr>
          <w:rFonts w:ascii="仿宋_GB2312" w:eastAsia="仿宋_GB2312"/>
          <w:b/>
          <w:color w:val="auto"/>
          <w:highlight w:val="none"/>
        </w:rPr>
      </w:pPr>
    </w:p>
    <w:p>
      <w:pPr>
        <w:spacing w:line="360" w:lineRule="auto"/>
        <w:jc w:val="center"/>
        <w:rPr>
          <w:rFonts w:ascii="仿宋_GB2312" w:eastAsia="仿宋_GB2312"/>
          <w:b/>
          <w:color w:val="auto"/>
          <w:spacing w:val="6"/>
          <w:sz w:val="32"/>
          <w:szCs w:val="32"/>
          <w:highlight w:val="none"/>
        </w:rPr>
      </w:pPr>
      <w:r>
        <w:rPr>
          <w:rFonts w:hint="eastAsia" w:ascii="仿宋_GB2312" w:eastAsia="仿宋_GB2312"/>
          <w:b/>
          <w:color w:val="auto"/>
          <w:spacing w:val="6"/>
          <w:sz w:val="32"/>
          <w:szCs w:val="32"/>
          <w:highlight w:val="none"/>
        </w:rPr>
        <w:t>投诉书范本</w:t>
      </w:r>
    </w:p>
    <w:p>
      <w:pPr>
        <w:spacing w:line="360" w:lineRule="auto"/>
        <w:rPr>
          <w:rFonts w:ascii="仿宋_GB2312" w:eastAsia="仿宋_GB2312"/>
          <w:color w:val="auto"/>
          <w:highlight w:val="none"/>
        </w:rPr>
      </w:pPr>
      <w:r>
        <w:rPr>
          <w:rFonts w:hint="eastAsia" w:ascii="仿宋_GB2312" w:eastAsia="仿宋_GB2312"/>
          <w:color w:val="auto"/>
          <w:highlight w:val="none"/>
        </w:rPr>
        <w:t>一、投诉相关主体基本情况</w:t>
      </w:r>
    </w:p>
    <w:p>
      <w:pPr>
        <w:spacing w:line="360" w:lineRule="auto"/>
        <w:rPr>
          <w:rFonts w:ascii="仿宋_GB2312" w:eastAsia="仿宋_GB2312"/>
          <w:color w:val="auto"/>
          <w:highlight w:val="none"/>
          <w:u w:val="dotted"/>
        </w:rPr>
      </w:pPr>
      <w:r>
        <w:rPr>
          <w:rFonts w:hint="eastAsia" w:ascii="仿宋_GB2312" w:eastAsia="仿宋_GB2312"/>
          <w:color w:val="auto"/>
          <w:highlight w:val="none"/>
        </w:rPr>
        <w:t>投诉人：</w:t>
      </w:r>
      <w:r>
        <w:rPr>
          <w:rFonts w:ascii="仿宋_GB2312" w:eastAsia="仿宋_GB2312"/>
          <w:color w:val="auto"/>
          <w:highlight w:val="none"/>
          <w:u w:val="dotted"/>
        </w:rPr>
        <w:t xml:space="preserve">                                               </w:t>
      </w:r>
    </w:p>
    <w:p>
      <w:pPr>
        <w:spacing w:line="360" w:lineRule="auto"/>
        <w:rPr>
          <w:rFonts w:ascii="仿宋_GB2312" w:eastAsia="仿宋_GB2312"/>
          <w:color w:val="auto"/>
          <w:highlight w:val="none"/>
          <w:u w:val="single"/>
        </w:rPr>
      </w:pPr>
      <w:r>
        <w:rPr>
          <w:rFonts w:hint="eastAsia" w:ascii="仿宋_GB2312" w:eastAsia="仿宋_GB2312"/>
          <w:color w:val="auto"/>
          <w:highlight w:val="none"/>
        </w:rPr>
        <w:t>地</w:t>
      </w:r>
      <w:r>
        <w:rPr>
          <w:rFonts w:ascii="仿宋_GB2312" w:eastAsia="仿宋_GB2312"/>
          <w:color w:val="auto"/>
          <w:highlight w:val="none"/>
        </w:rPr>
        <w:t xml:space="preserve">     </w:t>
      </w:r>
      <w:r>
        <w:rPr>
          <w:rFonts w:hint="eastAsia" w:ascii="仿宋_GB2312" w:eastAsia="仿宋_GB2312"/>
          <w:color w:val="auto"/>
          <w:highlight w:val="none"/>
        </w:rPr>
        <w:t>址：</w:t>
      </w:r>
      <w:r>
        <w:rPr>
          <w:rFonts w:ascii="仿宋_GB2312" w:eastAsia="仿宋_GB2312"/>
          <w:color w:val="auto"/>
          <w:highlight w:val="none"/>
          <w:u w:val="dotted"/>
        </w:rPr>
        <w:t xml:space="preserve">                             </w:t>
      </w:r>
      <w:r>
        <w:rPr>
          <w:rFonts w:hint="eastAsia" w:ascii="仿宋_GB2312" w:eastAsia="仿宋_GB2312"/>
          <w:color w:val="auto"/>
          <w:highlight w:val="none"/>
        </w:rPr>
        <w:t>邮编：</w:t>
      </w:r>
      <w:r>
        <w:rPr>
          <w:rFonts w:ascii="仿宋_GB2312" w:eastAsia="仿宋_GB2312"/>
          <w:color w:val="auto"/>
          <w:highlight w:val="none"/>
          <w:u w:val="dotted"/>
        </w:rPr>
        <w:t xml:space="preserve">         </w:t>
      </w:r>
      <w:r>
        <w:rPr>
          <w:rFonts w:ascii="仿宋_GB2312" w:eastAsia="仿宋_GB2312"/>
          <w:color w:val="auto"/>
          <w:highlight w:val="none"/>
          <w:u w:val="single"/>
        </w:rPr>
        <w:t xml:space="preserve">   </w:t>
      </w:r>
    </w:p>
    <w:p>
      <w:pPr>
        <w:tabs>
          <w:tab w:val="left" w:pos="6510"/>
        </w:tabs>
        <w:spacing w:line="360" w:lineRule="auto"/>
        <w:rPr>
          <w:rFonts w:ascii="仿宋_GB2312" w:eastAsia="仿宋_GB2312"/>
          <w:color w:val="auto"/>
          <w:highlight w:val="none"/>
        </w:rPr>
      </w:pPr>
      <w:r>
        <w:rPr>
          <w:rFonts w:hint="eastAsia" w:ascii="仿宋_GB2312" w:eastAsia="仿宋_GB2312"/>
          <w:color w:val="auto"/>
          <w:highlight w:val="none"/>
        </w:rPr>
        <w:t>法定代表人</w:t>
      </w:r>
      <w:r>
        <w:rPr>
          <w:rFonts w:ascii="仿宋_GB2312" w:eastAsia="仿宋_GB2312"/>
          <w:color w:val="auto"/>
          <w:highlight w:val="none"/>
        </w:rPr>
        <w:t>/主要负责人：</w:t>
      </w:r>
      <w:r>
        <w:rPr>
          <w:rFonts w:ascii="仿宋_GB2312" w:eastAsia="仿宋_GB2312"/>
          <w:color w:val="auto"/>
          <w:highlight w:val="none"/>
          <w:u w:val="dotted"/>
        </w:rPr>
        <w:t xml:space="preserve">                                   </w:t>
      </w:r>
      <w:r>
        <w:rPr>
          <w:rFonts w:ascii="仿宋_GB2312" w:eastAsia="仿宋_GB2312"/>
          <w:color w:val="auto"/>
          <w:highlight w:val="none"/>
        </w:rPr>
        <w:t xml:space="preserve">  </w:t>
      </w:r>
    </w:p>
    <w:p>
      <w:pPr>
        <w:tabs>
          <w:tab w:val="left" w:pos="6510"/>
        </w:tabs>
        <w:spacing w:line="360" w:lineRule="auto"/>
        <w:rPr>
          <w:rFonts w:ascii="仿宋_GB2312" w:eastAsia="仿宋_GB2312"/>
          <w:color w:val="auto"/>
          <w:highlight w:val="none"/>
          <w:u w:val="dotted"/>
        </w:rPr>
      </w:pPr>
      <w:r>
        <w:rPr>
          <w:rFonts w:hint="eastAsia" w:ascii="仿宋_GB2312" w:eastAsia="仿宋_GB2312"/>
          <w:color w:val="auto"/>
          <w:highlight w:val="none"/>
        </w:rPr>
        <w:t>联系电话：</w:t>
      </w:r>
      <w:r>
        <w:rPr>
          <w:rFonts w:ascii="仿宋_GB2312" w:eastAsia="仿宋_GB2312"/>
          <w:color w:val="auto"/>
          <w:highlight w:val="none"/>
          <w:u w:val="dotted"/>
        </w:rPr>
        <w:t xml:space="preserve">                                             </w:t>
      </w:r>
    </w:p>
    <w:p>
      <w:pPr>
        <w:spacing w:line="360" w:lineRule="auto"/>
        <w:rPr>
          <w:rFonts w:ascii="仿宋_GB2312" w:eastAsia="仿宋_GB2312"/>
          <w:color w:val="auto"/>
          <w:highlight w:val="none"/>
          <w:u w:val="dotted"/>
        </w:rPr>
      </w:pPr>
      <w:r>
        <w:rPr>
          <w:rFonts w:hint="eastAsia" w:ascii="仿宋_GB2312" w:eastAsia="仿宋_GB2312"/>
          <w:color w:val="auto"/>
          <w:highlight w:val="none"/>
        </w:rPr>
        <w:t>授权代表：</w:t>
      </w:r>
      <w:r>
        <w:rPr>
          <w:rFonts w:ascii="仿宋_GB2312" w:eastAsia="仿宋_GB2312"/>
          <w:color w:val="auto"/>
          <w:highlight w:val="none"/>
          <w:u w:val="dotted"/>
        </w:rPr>
        <w:t xml:space="preserve">             </w:t>
      </w:r>
      <w:r>
        <w:rPr>
          <w:rFonts w:hint="eastAsia" w:ascii="仿宋_GB2312" w:eastAsia="仿宋_GB2312"/>
          <w:color w:val="auto"/>
          <w:highlight w:val="none"/>
        </w:rPr>
        <w:t>联系电话</w:t>
      </w:r>
      <w:r>
        <w:rPr>
          <w:rFonts w:hint="eastAsia" w:ascii="仿宋_GB2312" w:eastAsia="仿宋_GB2312"/>
          <w:color w:val="auto"/>
          <w:highlight w:val="none"/>
          <w:u w:val="dotted"/>
        </w:rPr>
        <w:t>：</w:t>
      </w:r>
      <w:r>
        <w:rPr>
          <w:rFonts w:ascii="仿宋_GB2312" w:eastAsia="仿宋_GB2312"/>
          <w:color w:val="auto"/>
          <w:highlight w:val="none"/>
          <w:u w:val="dotted"/>
        </w:rPr>
        <w:t xml:space="preserve">                  </w:t>
      </w:r>
    </w:p>
    <w:p>
      <w:pPr>
        <w:spacing w:line="360" w:lineRule="auto"/>
        <w:rPr>
          <w:rFonts w:ascii="仿宋_GB2312" w:eastAsia="仿宋_GB2312"/>
          <w:color w:val="auto"/>
          <w:highlight w:val="none"/>
          <w:u w:val="dotted"/>
        </w:rPr>
      </w:pPr>
      <w:r>
        <w:rPr>
          <w:rFonts w:hint="eastAsia" w:ascii="仿宋_GB2312" w:eastAsia="仿宋_GB2312"/>
          <w:color w:val="auto"/>
          <w:highlight w:val="none"/>
        </w:rPr>
        <w:t>地</w:t>
      </w:r>
      <w:r>
        <w:rPr>
          <w:rFonts w:ascii="仿宋_GB2312" w:eastAsia="仿宋_GB2312"/>
          <w:color w:val="auto"/>
          <w:highlight w:val="none"/>
        </w:rPr>
        <w:t xml:space="preserve">     </w:t>
      </w:r>
      <w:r>
        <w:rPr>
          <w:rFonts w:hint="eastAsia" w:ascii="仿宋_GB2312" w:eastAsia="仿宋_GB2312"/>
          <w:color w:val="auto"/>
          <w:highlight w:val="none"/>
        </w:rPr>
        <w:t>址：</w:t>
      </w:r>
      <w:r>
        <w:rPr>
          <w:rFonts w:ascii="仿宋_GB2312" w:eastAsia="仿宋_GB2312"/>
          <w:color w:val="auto"/>
          <w:highlight w:val="none"/>
          <w:u w:val="dotted"/>
        </w:rPr>
        <w:t xml:space="preserve">                             </w:t>
      </w:r>
      <w:r>
        <w:rPr>
          <w:rFonts w:hint="eastAsia" w:ascii="仿宋_GB2312" w:eastAsia="仿宋_GB2312"/>
          <w:color w:val="auto"/>
          <w:highlight w:val="none"/>
        </w:rPr>
        <w:t>邮编：</w:t>
      </w:r>
      <w:r>
        <w:rPr>
          <w:rFonts w:ascii="仿宋_GB2312" w:eastAsia="仿宋_GB2312"/>
          <w:color w:val="auto"/>
          <w:highlight w:val="none"/>
          <w:u w:val="dotted"/>
        </w:rPr>
        <w:t xml:space="preserve">         </w:t>
      </w:r>
      <w:r>
        <w:rPr>
          <w:rFonts w:ascii="仿宋_GB2312" w:eastAsia="仿宋_GB2312"/>
          <w:color w:val="auto"/>
          <w:highlight w:val="none"/>
          <w:u w:val="single"/>
        </w:rPr>
        <w:t xml:space="preserve"> </w:t>
      </w:r>
      <w:r>
        <w:rPr>
          <w:rFonts w:ascii="仿宋_GB2312" w:eastAsia="仿宋_GB2312"/>
          <w:color w:val="auto"/>
          <w:highlight w:val="none"/>
          <w:u w:val="dotted"/>
        </w:rPr>
        <w:t xml:space="preserve">                   </w:t>
      </w:r>
    </w:p>
    <w:p>
      <w:pPr>
        <w:spacing w:line="360" w:lineRule="auto"/>
        <w:rPr>
          <w:rFonts w:ascii="仿宋_GB2312" w:eastAsia="仿宋_GB2312"/>
          <w:color w:val="auto"/>
          <w:highlight w:val="none"/>
          <w:u w:val="single"/>
        </w:rPr>
      </w:pPr>
      <w:r>
        <w:rPr>
          <w:rFonts w:hint="eastAsia" w:ascii="仿宋_GB2312" w:eastAsia="仿宋_GB2312"/>
          <w:color w:val="auto"/>
          <w:highlight w:val="none"/>
        </w:rPr>
        <w:t>被投诉人</w:t>
      </w:r>
      <w:r>
        <w:rPr>
          <w:rFonts w:ascii="仿宋_GB2312" w:eastAsia="仿宋_GB2312"/>
          <w:color w:val="auto"/>
          <w:highlight w:val="none"/>
        </w:rPr>
        <w:t>1：</w:t>
      </w:r>
      <w:r>
        <w:rPr>
          <w:rFonts w:ascii="仿宋_GB2312" w:eastAsia="仿宋_GB2312"/>
          <w:color w:val="auto"/>
          <w:highlight w:val="none"/>
          <w:u w:val="dotted"/>
        </w:rPr>
        <w:t xml:space="preserve">                                           </w:t>
      </w:r>
      <w:r>
        <w:rPr>
          <w:rFonts w:ascii="仿宋_GB2312" w:eastAsia="仿宋_GB2312"/>
          <w:color w:val="auto"/>
          <w:highlight w:val="none"/>
          <w:u w:val="single"/>
        </w:rPr>
        <w:t xml:space="preserve">  </w:t>
      </w:r>
    </w:p>
    <w:p>
      <w:pPr>
        <w:spacing w:line="360" w:lineRule="auto"/>
        <w:rPr>
          <w:rFonts w:ascii="仿宋_GB2312" w:eastAsia="仿宋_GB2312"/>
          <w:color w:val="auto"/>
          <w:highlight w:val="none"/>
          <w:u w:val="single"/>
        </w:rPr>
      </w:pPr>
      <w:r>
        <w:rPr>
          <w:rFonts w:hint="eastAsia" w:ascii="仿宋_GB2312" w:eastAsia="仿宋_GB2312"/>
          <w:color w:val="auto"/>
          <w:highlight w:val="none"/>
        </w:rPr>
        <w:t>地</w:t>
      </w:r>
      <w:r>
        <w:rPr>
          <w:rFonts w:ascii="仿宋_GB2312" w:eastAsia="仿宋_GB2312"/>
          <w:color w:val="auto"/>
          <w:highlight w:val="none"/>
        </w:rPr>
        <w:t xml:space="preserve">     </w:t>
      </w:r>
      <w:r>
        <w:rPr>
          <w:rFonts w:hint="eastAsia" w:ascii="仿宋_GB2312" w:eastAsia="仿宋_GB2312"/>
          <w:color w:val="auto"/>
          <w:highlight w:val="none"/>
        </w:rPr>
        <w:t>址：</w:t>
      </w:r>
      <w:r>
        <w:rPr>
          <w:rFonts w:ascii="仿宋_GB2312" w:eastAsia="仿宋_GB2312"/>
          <w:color w:val="auto"/>
          <w:highlight w:val="none"/>
          <w:u w:val="dotted"/>
        </w:rPr>
        <w:t xml:space="preserve">                             </w:t>
      </w:r>
      <w:r>
        <w:rPr>
          <w:rFonts w:hint="eastAsia" w:ascii="仿宋_GB2312" w:eastAsia="仿宋_GB2312"/>
          <w:color w:val="auto"/>
          <w:highlight w:val="none"/>
        </w:rPr>
        <w:t>邮编：</w:t>
      </w:r>
      <w:r>
        <w:rPr>
          <w:rFonts w:ascii="仿宋_GB2312" w:eastAsia="仿宋_GB2312"/>
          <w:color w:val="auto"/>
          <w:highlight w:val="none"/>
          <w:u w:val="dotted"/>
        </w:rPr>
        <w:t xml:space="preserve">          </w:t>
      </w:r>
      <w:r>
        <w:rPr>
          <w:rFonts w:ascii="仿宋_GB2312" w:eastAsia="仿宋_GB2312"/>
          <w:color w:val="auto"/>
          <w:highlight w:val="none"/>
          <w:u w:val="single"/>
        </w:rPr>
        <w:t xml:space="preserve"> </w:t>
      </w:r>
    </w:p>
    <w:p>
      <w:pPr>
        <w:spacing w:line="360" w:lineRule="auto"/>
        <w:rPr>
          <w:rFonts w:ascii="仿宋_GB2312" w:eastAsia="仿宋_GB2312"/>
          <w:color w:val="auto"/>
          <w:highlight w:val="none"/>
          <w:u w:val="single"/>
        </w:rPr>
      </w:pPr>
      <w:r>
        <w:rPr>
          <w:rFonts w:hint="eastAsia" w:ascii="仿宋_GB2312" w:eastAsia="仿宋_GB2312"/>
          <w:color w:val="auto"/>
          <w:highlight w:val="none"/>
        </w:rPr>
        <w:t>联系人：</w:t>
      </w:r>
      <w:r>
        <w:rPr>
          <w:rFonts w:ascii="仿宋_GB2312" w:eastAsia="仿宋_GB2312"/>
          <w:color w:val="auto"/>
          <w:highlight w:val="none"/>
          <w:u w:val="dotted"/>
        </w:rPr>
        <w:t xml:space="preserve">               </w:t>
      </w:r>
      <w:r>
        <w:rPr>
          <w:rFonts w:hint="eastAsia" w:ascii="仿宋_GB2312" w:eastAsia="仿宋_GB2312"/>
          <w:color w:val="auto"/>
          <w:highlight w:val="none"/>
        </w:rPr>
        <w:t>联系电话：</w:t>
      </w:r>
      <w:r>
        <w:rPr>
          <w:rFonts w:ascii="仿宋_GB2312" w:eastAsia="仿宋_GB2312"/>
          <w:color w:val="auto"/>
          <w:highlight w:val="none"/>
          <w:u w:val="dotted"/>
        </w:rPr>
        <w:t xml:space="preserve">                      </w:t>
      </w:r>
      <w:r>
        <w:rPr>
          <w:rFonts w:ascii="仿宋_GB2312" w:eastAsia="仿宋_GB2312"/>
          <w:color w:val="auto"/>
          <w:highlight w:val="none"/>
          <w:u w:val="single"/>
        </w:rPr>
        <w:t xml:space="preserve"> </w:t>
      </w:r>
    </w:p>
    <w:p>
      <w:pPr>
        <w:spacing w:line="360" w:lineRule="auto"/>
        <w:rPr>
          <w:rFonts w:ascii="仿宋_GB2312" w:eastAsia="仿宋_GB2312"/>
          <w:color w:val="auto"/>
          <w:highlight w:val="none"/>
        </w:rPr>
      </w:pPr>
      <w:r>
        <w:rPr>
          <w:rFonts w:hint="eastAsia" w:ascii="仿宋_GB2312" w:eastAsia="仿宋_GB2312"/>
          <w:color w:val="auto"/>
          <w:highlight w:val="none"/>
        </w:rPr>
        <w:t>被投诉人</w:t>
      </w:r>
      <w:r>
        <w:rPr>
          <w:rFonts w:ascii="仿宋_GB2312" w:eastAsia="仿宋_GB2312"/>
          <w:color w:val="auto"/>
          <w:highlight w:val="none"/>
        </w:rPr>
        <w:t>2</w:t>
      </w:r>
    </w:p>
    <w:p>
      <w:pPr>
        <w:spacing w:line="360" w:lineRule="auto"/>
        <w:rPr>
          <w:rFonts w:ascii="仿宋_GB2312" w:eastAsia="仿宋_GB2312"/>
          <w:color w:val="auto"/>
          <w:highlight w:val="none"/>
          <w:u w:val="dotted"/>
        </w:rPr>
      </w:pPr>
      <w:r>
        <w:rPr>
          <w:rFonts w:hint="eastAsia" w:ascii="仿宋_GB2312" w:eastAsia="仿宋_GB2312"/>
          <w:color w:val="auto"/>
          <w:highlight w:val="none"/>
        </w:rPr>
        <w:t>……</w:t>
      </w:r>
    </w:p>
    <w:p>
      <w:pPr>
        <w:spacing w:line="360" w:lineRule="auto"/>
        <w:rPr>
          <w:rFonts w:ascii="仿宋_GB2312" w:eastAsia="仿宋_GB2312"/>
          <w:color w:val="auto"/>
          <w:highlight w:val="none"/>
          <w:u w:val="single"/>
        </w:rPr>
      </w:pPr>
      <w:r>
        <w:rPr>
          <w:rFonts w:hint="eastAsia" w:ascii="仿宋_GB2312" w:eastAsia="仿宋_GB2312"/>
          <w:color w:val="auto"/>
          <w:highlight w:val="none"/>
        </w:rPr>
        <w:t>相关供应商：</w:t>
      </w:r>
      <w:r>
        <w:rPr>
          <w:rFonts w:ascii="仿宋_GB2312" w:eastAsia="仿宋_GB2312"/>
          <w:color w:val="auto"/>
          <w:highlight w:val="none"/>
          <w:u w:val="dotted"/>
        </w:rPr>
        <w:t xml:space="preserve">                                           </w:t>
      </w:r>
      <w:r>
        <w:rPr>
          <w:rFonts w:ascii="仿宋_GB2312" w:eastAsia="仿宋_GB2312"/>
          <w:color w:val="auto"/>
          <w:highlight w:val="none"/>
          <w:u w:val="single"/>
        </w:rPr>
        <w:t xml:space="preserve">    </w:t>
      </w:r>
    </w:p>
    <w:p>
      <w:pPr>
        <w:spacing w:line="360" w:lineRule="auto"/>
        <w:rPr>
          <w:rFonts w:ascii="仿宋_GB2312" w:eastAsia="仿宋_GB2312"/>
          <w:color w:val="auto"/>
          <w:highlight w:val="none"/>
          <w:u w:val="single"/>
        </w:rPr>
      </w:pPr>
      <w:r>
        <w:rPr>
          <w:rFonts w:hint="eastAsia" w:ascii="仿宋_GB2312" w:eastAsia="仿宋_GB2312"/>
          <w:color w:val="auto"/>
          <w:highlight w:val="none"/>
        </w:rPr>
        <w:t>地</w:t>
      </w:r>
      <w:r>
        <w:rPr>
          <w:rFonts w:ascii="仿宋_GB2312" w:eastAsia="仿宋_GB2312"/>
          <w:color w:val="auto"/>
          <w:highlight w:val="none"/>
        </w:rPr>
        <w:t xml:space="preserve">     </w:t>
      </w:r>
      <w:r>
        <w:rPr>
          <w:rFonts w:hint="eastAsia" w:ascii="仿宋_GB2312" w:eastAsia="仿宋_GB2312"/>
          <w:color w:val="auto"/>
          <w:highlight w:val="none"/>
        </w:rPr>
        <w:t>址：</w:t>
      </w:r>
      <w:r>
        <w:rPr>
          <w:rFonts w:ascii="仿宋_GB2312" w:eastAsia="仿宋_GB2312"/>
          <w:color w:val="auto"/>
          <w:highlight w:val="none"/>
          <w:u w:val="dotted"/>
        </w:rPr>
        <w:t xml:space="preserve">                             </w:t>
      </w:r>
      <w:r>
        <w:rPr>
          <w:rFonts w:hint="eastAsia" w:ascii="仿宋_GB2312" w:eastAsia="仿宋_GB2312"/>
          <w:color w:val="auto"/>
          <w:highlight w:val="none"/>
        </w:rPr>
        <w:t>邮编：</w:t>
      </w:r>
      <w:r>
        <w:rPr>
          <w:rFonts w:ascii="仿宋_GB2312" w:eastAsia="仿宋_GB2312"/>
          <w:color w:val="auto"/>
          <w:highlight w:val="none"/>
          <w:u w:val="dotted"/>
        </w:rPr>
        <w:t xml:space="preserve">          </w:t>
      </w:r>
      <w:r>
        <w:rPr>
          <w:rFonts w:ascii="仿宋_GB2312" w:eastAsia="仿宋_GB2312"/>
          <w:color w:val="auto"/>
          <w:highlight w:val="none"/>
          <w:u w:val="single"/>
        </w:rPr>
        <w:t xml:space="preserve"> </w:t>
      </w:r>
    </w:p>
    <w:p>
      <w:pPr>
        <w:spacing w:line="360" w:lineRule="auto"/>
        <w:rPr>
          <w:rFonts w:ascii="仿宋_GB2312" w:eastAsia="仿宋_GB2312"/>
          <w:color w:val="auto"/>
          <w:highlight w:val="none"/>
          <w:u w:val="single"/>
        </w:rPr>
      </w:pPr>
      <w:r>
        <w:rPr>
          <w:rFonts w:hint="eastAsia" w:ascii="仿宋_GB2312" w:eastAsia="仿宋_GB2312"/>
          <w:color w:val="auto"/>
          <w:highlight w:val="none"/>
        </w:rPr>
        <w:t>联系人：</w:t>
      </w:r>
      <w:r>
        <w:rPr>
          <w:rFonts w:ascii="仿宋_GB2312" w:eastAsia="仿宋_GB2312"/>
          <w:color w:val="auto"/>
          <w:highlight w:val="none"/>
          <w:u w:val="dotted"/>
        </w:rPr>
        <w:t xml:space="preserve">               </w:t>
      </w:r>
      <w:r>
        <w:rPr>
          <w:rFonts w:hint="eastAsia" w:ascii="仿宋_GB2312" w:eastAsia="仿宋_GB2312"/>
          <w:color w:val="auto"/>
          <w:highlight w:val="none"/>
        </w:rPr>
        <w:t>联系电话：</w:t>
      </w:r>
      <w:r>
        <w:rPr>
          <w:rFonts w:ascii="仿宋_GB2312" w:eastAsia="仿宋_GB2312"/>
          <w:color w:val="auto"/>
          <w:highlight w:val="none"/>
          <w:u w:val="dotted"/>
        </w:rPr>
        <w:t xml:space="preserve">                      </w:t>
      </w:r>
      <w:r>
        <w:rPr>
          <w:rFonts w:ascii="仿宋_GB2312" w:eastAsia="仿宋_GB2312"/>
          <w:color w:val="auto"/>
          <w:highlight w:val="none"/>
          <w:u w:val="single"/>
        </w:rPr>
        <w:t xml:space="preserve">      </w:t>
      </w:r>
    </w:p>
    <w:p>
      <w:pPr>
        <w:spacing w:line="360" w:lineRule="auto"/>
        <w:rPr>
          <w:rFonts w:ascii="仿宋_GB2312" w:eastAsia="仿宋_GB2312"/>
          <w:color w:val="auto"/>
          <w:highlight w:val="none"/>
        </w:rPr>
      </w:pPr>
      <w:r>
        <w:rPr>
          <w:rFonts w:hint="eastAsia" w:ascii="仿宋_GB2312" w:eastAsia="仿宋_GB2312"/>
          <w:color w:val="auto"/>
          <w:highlight w:val="none"/>
        </w:rPr>
        <w:t>二、投诉项目基本情况</w:t>
      </w:r>
    </w:p>
    <w:p>
      <w:pPr>
        <w:spacing w:line="360" w:lineRule="auto"/>
        <w:rPr>
          <w:rFonts w:ascii="仿宋_GB2312" w:eastAsia="仿宋_GB2312"/>
          <w:color w:val="auto"/>
          <w:highlight w:val="none"/>
          <w:u w:val="dotted"/>
        </w:rPr>
      </w:pPr>
      <w:r>
        <w:rPr>
          <w:rFonts w:hint="eastAsia" w:ascii="仿宋_GB2312" w:eastAsia="仿宋_GB2312"/>
          <w:color w:val="auto"/>
          <w:highlight w:val="none"/>
        </w:rPr>
        <w:t>采购项目名称：</w:t>
      </w:r>
      <w:r>
        <w:rPr>
          <w:rFonts w:ascii="仿宋_GB2312" w:eastAsia="仿宋_GB2312"/>
          <w:color w:val="auto"/>
          <w:highlight w:val="none"/>
          <w:u w:val="dotted"/>
        </w:rPr>
        <w:t xml:space="preserve">                                        </w:t>
      </w:r>
    </w:p>
    <w:p>
      <w:pPr>
        <w:spacing w:line="360" w:lineRule="auto"/>
        <w:rPr>
          <w:rFonts w:ascii="仿宋_GB2312" w:eastAsia="仿宋_GB2312"/>
          <w:color w:val="auto"/>
          <w:highlight w:val="none"/>
          <w:u w:val="single"/>
        </w:rPr>
      </w:pPr>
      <w:r>
        <w:rPr>
          <w:rFonts w:hint="eastAsia" w:ascii="仿宋_GB2312" w:eastAsia="仿宋_GB2312"/>
          <w:color w:val="auto"/>
          <w:highlight w:val="none"/>
        </w:rPr>
        <w:t>采购项目编号：</w:t>
      </w:r>
      <w:r>
        <w:rPr>
          <w:rFonts w:ascii="仿宋_GB2312" w:eastAsia="仿宋_GB2312"/>
          <w:color w:val="auto"/>
          <w:highlight w:val="none"/>
          <w:u w:val="dotted"/>
        </w:rPr>
        <w:t xml:space="preserve">                 </w:t>
      </w:r>
      <w:r>
        <w:rPr>
          <w:rFonts w:hint="eastAsia" w:ascii="仿宋_GB2312" w:eastAsia="仿宋_GB2312"/>
          <w:color w:val="auto"/>
          <w:highlight w:val="none"/>
        </w:rPr>
        <w:t>包号：</w:t>
      </w:r>
      <w:r>
        <w:rPr>
          <w:rFonts w:ascii="仿宋_GB2312" w:eastAsia="仿宋_GB2312"/>
          <w:color w:val="auto"/>
          <w:highlight w:val="none"/>
          <w:u w:val="dotted"/>
        </w:rPr>
        <w:t xml:space="preserve">              </w:t>
      </w:r>
    </w:p>
    <w:p>
      <w:pPr>
        <w:spacing w:line="360" w:lineRule="auto"/>
        <w:rPr>
          <w:rFonts w:ascii="仿宋_GB2312" w:eastAsia="仿宋_GB2312"/>
          <w:color w:val="auto"/>
          <w:highlight w:val="none"/>
        </w:rPr>
      </w:pPr>
      <w:r>
        <w:rPr>
          <w:rFonts w:hint="eastAsia" w:ascii="仿宋_GB2312" w:eastAsia="仿宋_GB2312"/>
          <w:color w:val="auto"/>
          <w:highlight w:val="none"/>
        </w:rPr>
        <w:t>采购人名称：</w:t>
      </w:r>
      <w:r>
        <w:rPr>
          <w:rFonts w:ascii="仿宋_GB2312" w:eastAsia="仿宋_GB2312"/>
          <w:color w:val="auto"/>
          <w:highlight w:val="none"/>
          <w:u w:val="dotted"/>
        </w:rPr>
        <w:t xml:space="preserve">                                           </w:t>
      </w:r>
      <w:r>
        <w:rPr>
          <w:rFonts w:ascii="仿宋_GB2312" w:eastAsia="仿宋_GB2312"/>
          <w:color w:val="auto"/>
          <w:highlight w:val="none"/>
          <w:u w:val="single"/>
        </w:rPr>
        <w:t xml:space="preserve">  </w:t>
      </w:r>
    </w:p>
    <w:p>
      <w:pPr>
        <w:spacing w:line="360" w:lineRule="auto"/>
        <w:rPr>
          <w:rFonts w:ascii="仿宋_GB2312" w:eastAsia="仿宋_GB2312"/>
          <w:color w:val="auto"/>
          <w:highlight w:val="none"/>
          <w:u w:val="single"/>
        </w:rPr>
      </w:pPr>
      <w:r>
        <w:rPr>
          <w:rFonts w:hint="eastAsia" w:ascii="仿宋_GB2312" w:eastAsia="仿宋_GB2312"/>
          <w:color w:val="auto"/>
          <w:highlight w:val="none"/>
        </w:rPr>
        <w:t>代理机构名称：</w:t>
      </w:r>
      <w:r>
        <w:rPr>
          <w:rFonts w:ascii="仿宋_GB2312" w:eastAsia="仿宋_GB2312"/>
          <w:color w:val="auto"/>
          <w:highlight w:val="none"/>
          <w:u w:val="dotted"/>
        </w:rPr>
        <w:t xml:space="preserve">                                         </w:t>
      </w:r>
    </w:p>
    <w:p>
      <w:pPr>
        <w:spacing w:line="360" w:lineRule="auto"/>
        <w:rPr>
          <w:rFonts w:ascii="仿宋_GB2312" w:eastAsia="仿宋_GB2312"/>
          <w:color w:val="auto"/>
          <w:highlight w:val="none"/>
          <w:u w:val="dotted"/>
        </w:rPr>
      </w:pPr>
      <w:r>
        <w:rPr>
          <w:rFonts w:hint="eastAsia" w:ascii="仿宋_GB2312" w:eastAsia="仿宋_GB2312"/>
          <w:color w:val="auto"/>
          <w:highlight w:val="none"/>
        </w:rPr>
        <w:t>采购文件公告</w:t>
      </w:r>
      <w:r>
        <w:rPr>
          <w:rFonts w:ascii="仿宋_GB2312" w:eastAsia="仿宋_GB2312"/>
          <w:color w:val="auto"/>
          <w:highlight w:val="none"/>
        </w:rPr>
        <w:t>:</w:t>
      </w:r>
      <w:r>
        <w:rPr>
          <w:rFonts w:hint="eastAsia" w:ascii="仿宋_GB2312" w:eastAsia="仿宋_GB2312"/>
          <w:color w:val="auto"/>
          <w:highlight w:val="none"/>
          <w:u w:val="dotted"/>
        </w:rPr>
        <w:t>是</w:t>
      </w:r>
      <w:r>
        <w:rPr>
          <w:rFonts w:ascii="仿宋_GB2312" w:eastAsia="仿宋_GB2312"/>
          <w:color w:val="auto"/>
          <w:highlight w:val="none"/>
          <w:u w:val="dotted"/>
        </w:rPr>
        <w:t xml:space="preserve">/否 </w:t>
      </w:r>
      <w:r>
        <w:rPr>
          <w:rFonts w:hint="eastAsia" w:ascii="仿宋_GB2312" w:eastAsia="仿宋_GB2312"/>
          <w:color w:val="auto"/>
          <w:highlight w:val="none"/>
        </w:rPr>
        <w:t>公告期限：</w:t>
      </w:r>
      <w:r>
        <w:rPr>
          <w:rFonts w:ascii="仿宋_GB2312" w:eastAsia="仿宋_GB2312"/>
          <w:color w:val="auto"/>
          <w:highlight w:val="none"/>
          <w:u w:val="dotted"/>
        </w:rPr>
        <w:t xml:space="preserve">                                 </w:t>
      </w:r>
    </w:p>
    <w:p>
      <w:pPr>
        <w:spacing w:line="360" w:lineRule="auto"/>
        <w:rPr>
          <w:rFonts w:ascii="仿宋_GB2312" w:eastAsia="仿宋_GB2312"/>
          <w:color w:val="auto"/>
          <w:highlight w:val="none"/>
          <w:u w:val="single"/>
        </w:rPr>
      </w:pPr>
      <w:r>
        <w:rPr>
          <w:rFonts w:hint="eastAsia" w:ascii="仿宋_GB2312" w:eastAsia="仿宋_GB2312"/>
          <w:color w:val="auto"/>
          <w:highlight w:val="none"/>
        </w:rPr>
        <w:t>采购结果公告</w:t>
      </w:r>
      <w:r>
        <w:rPr>
          <w:rFonts w:ascii="仿宋_GB2312" w:eastAsia="仿宋_GB2312"/>
          <w:color w:val="auto"/>
          <w:highlight w:val="none"/>
        </w:rPr>
        <w:t>:</w:t>
      </w:r>
      <w:r>
        <w:rPr>
          <w:rFonts w:hint="eastAsia" w:ascii="仿宋_GB2312" w:eastAsia="仿宋_GB2312"/>
          <w:color w:val="auto"/>
          <w:highlight w:val="none"/>
          <w:u w:val="dotted"/>
        </w:rPr>
        <w:t>是</w:t>
      </w:r>
      <w:r>
        <w:rPr>
          <w:rFonts w:ascii="仿宋_GB2312" w:eastAsia="仿宋_GB2312"/>
          <w:color w:val="auto"/>
          <w:highlight w:val="none"/>
          <w:u w:val="dotted"/>
        </w:rPr>
        <w:t xml:space="preserve">/否 </w:t>
      </w:r>
      <w:r>
        <w:rPr>
          <w:rFonts w:hint="eastAsia" w:ascii="仿宋_GB2312" w:eastAsia="仿宋_GB2312"/>
          <w:color w:val="auto"/>
          <w:highlight w:val="none"/>
        </w:rPr>
        <w:t>公告期限：</w:t>
      </w:r>
      <w:r>
        <w:rPr>
          <w:rFonts w:ascii="仿宋_GB2312" w:eastAsia="仿宋_GB2312"/>
          <w:color w:val="auto"/>
          <w:highlight w:val="none"/>
          <w:u w:val="dotted"/>
        </w:rPr>
        <w:t xml:space="preserve">                        </w:t>
      </w:r>
    </w:p>
    <w:p>
      <w:pPr>
        <w:spacing w:line="360" w:lineRule="auto"/>
        <w:rPr>
          <w:rFonts w:ascii="仿宋_GB2312" w:eastAsia="仿宋_GB2312"/>
          <w:color w:val="auto"/>
          <w:highlight w:val="none"/>
        </w:rPr>
      </w:pPr>
      <w:r>
        <w:rPr>
          <w:rFonts w:hint="eastAsia" w:ascii="仿宋_GB2312" w:eastAsia="仿宋_GB2312"/>
          <w:color w:val="auto"/>
          <w:highlight w:val="none"/>
        </w:rPr>
        <w:t>三、质疑基本情况</w:t>
      </w:r>
    </w:p>
    <w:p>
      <w:pPr>
        <w:spacing w:line="360" w:lineRule="auto"/>
        <w:ind w:firstLine="480" w:firstLineChars="200"/>
        <w:rPr>
          <w:rFonts w:ascii="仿宋_GB2312" w:eastAsia="仿宋_GB2312"/>
          <w:color w:val="auto"/>
          <w:highlight w:val="none"/>
          <w:u w:val="dotted"/>
        </w:rPr>
      </w:pPr>
      <w:r>
        <w:rPr>
          <w:rFonts w:hint="eastAsia" w:ascii="仿宋_GB2312" w:eastAsia="仿宋_GB2312"/>
          <w:color w:val="auto"/>
          <w:highlight w:val="none"/>
        </w:rPr>
        <w:t>投诉人于</w:t>
      </w:r>
      <w:r>
        <w:rPr>
          <w:rFonts w:ascii="仿宋_GB2312" w:eastAsia="仿宋_GB2312"/>
          <w:color w:val="auto"/>
          <w:highlight w:val="none"/>
          <w:u w:val="dotted"/>
        </w:rPr>
        <w:t xml:space="preserve">   </w:t>
      </w:r>
      <w:r>
        <w:rPr>
          <w:rFonts w:hint="eastAsia" w:ascii="仿宋_GB2312" w:eastAsia="仿宋_GB2312"/>
          <w:color w:val="auto"/>
          <w:highlight w:val="none"/>
        </w:rPr>
        <w:t>年</w:t>
      </w:r>
      <w:r>
        <w:rPr>
          <w:rFonts w:ascii="仿宋_GB2312" w:eastAsia="仿宋_GB2312"/>
          <w:color w:val="auto"/>
          <w:highlight w:val="none"/>
          <w:u w:val="dotted"/>
        </w:rPr>
        <w:t xml:space="preserve">   </w:t>
      </w:r>
      <w:r>
        <w:rPr>
          <w:rFonts w:hint="eastAsia" w:ascii="仿宋_GB2312" w:eastAsia="仿宋_GB2312"/>
          <w:color w:val="auto"/>
          <w:highlight w:val="none"/>
        </w:rPr>
        <w:t>月</w:t>
      </w:r>
      <w:r>
        <w:rPr>
          <w:rFonts w:ascii="仿宋_GB2312" w:eastAsia="仿宋_GB2312"/>
          <w:color w:val="auto"/>
          <w:highlight w:val="none"/>
          <w:u w:val="dotted"/>
        </w:rPr>
        <w:t xml:space="preserve">  </w:t>
      </w:r>
      <w:r>
        <w:rPr>
          <w:rFonts w:hint="eastAsia" w:ascii="仿宋_GB2312" w:eastAsia="仿宋_GB2312"/>
          <w:color w:val="auto"/>
          <w:highlight w:val="none"/>
        </w:rPr>
        <w:t>日</w:t>
      </w:r>
      <w:r>
        <w:rPr>
          <w:rFonts w:ascii="仿宋_GB2312" w:eastAsia="仿宋_GB2312"/>
          <w:color w:val="auto"/>
          <w:highlight w:val="none"/>
        </w:rPr>
        <w:t>,向</w:t>
      </w:r>
      <w:r>
        <w:rPr>
          <w:rFonts w:ascii="仿宋_GB2312" w:eastAsia="仿宋_GB2312"/>
          <w:color w:val="auto"/>
          <w:highlight w:val="none"/>
          <w:u w:val="dotted"/>
        </w:rPr>
        <w:t xml:space="preserve">                   </w:t>
      </w:r>
      <w:r>
        <w:rPr>
          <w:rFonts w:hint="eastAsia" w:ascii="仿宋_GB2312" w:eastAsia="仿宋_GB2312"/>
          <w:color w:val="auto"/>
          <w:highlight w:val="none"/>
        </w:rPr>
        <w:t>提出质疑，质疑事项为：</w:t>
      </w:r>
      <w:r>
        <w:rPr>
          <w:rFonts w:ascii="仿宋_GB2312" w:eastAsia="仿宋_GB2312"/>
          <w:color w:val="auto"/>
          <w:highlight w:val="none"/>
          <w:u w:val="dotted"/>
        </w:rPr>
        <w:t xml:space="preserve">                                </w:t>
      </w:r>
    </w:p>
    <w:p>
      <w:pPr>
        <w:spacing w:line="360" w:lineRule="auto"/>
        <w:rPr>
          <w:rFonts w:ascii="仿宋_GB2312" w:eastAsia="仿宋_GB2312"/>
          <w:color w:val="auto"/>
          <w:highlight w:val="none"/>
          <w:u w:val="dotted"/>
        </w:rPr>
      </w:pPr>
      <w:r>
        <w:rPr>
          <w:rFonts w:ascii="仿宋_GB2312" w:eastAsia="仿宋_GB2312"/>
          <w:color w:val="auto"/>
          <w:highlight w:val="none"/>
          <w:u w:val="dotted"/>
        </w:rPr>
        <w:t xml:space="preserve">                                                     </w:t>
      </w:r>
      <w:r>
        <w:rPr>
          <w:rFonts w:ascii="仿宋_GB2312" w:eastAsia="仿宋_GB2312"/>
          <w:color w:val="auto"/>
          <w:highlight w:val="none"/>
        </w:rPr>
        <w:t xml:space="preserve">  </w:t>
      </w:r>
    </w:p>
    <w:p>
      <w:pPr>
        <w:spacing w:line="360" w:lineRule="auto"/>
        <w:ind w:firstLine="360" w:firstLineChars="150"/>
        <w:rPr>
          <w:rFonts w:ascii="仿宋_GB2312" w:eastAsia="仿宋_GB2312"/>
          <w:color w:val="auto"/>
          <w:highlight w:val="none"/>
        </w:rPr>
      </w:pPr>
      <w:r>
        <w:rPr>
          <w:rFonts w:hint="eastAsia" w:ascii="仿宋_GB2312" w:eastAsia="仿宋_GB2312"/>
          <w:color w:val="auto"/>
          <w:highlight w:val="none"/>
          <w:u w:val="dotted"/>
        </w:rPr>
        <w:t>采购人</w:t>
      </w:r>
      <w:r>
        <w:rPr>
          <w:rFonts w:ascii="仿宋_GB2312" w:eastAsia="仿宋_GB2312"/>
          <w:color w:val="auto"/>
          <w:highlight w:val="none"/>
          <w:u w:val="dotted"/>
        </w:rPr>
        <w:t>/代理机构</w:t>
      </w:r>
      <w:r>
        <w:rPr>
          <w:rFonts w:hint="eastAsia" w:ascii="仿宋_GB2312" w:eastAsia="仿宋_GB2312"/>
          <w:color w:val="auto"/>
          <w:highlight w:val="none"/>
        </w:rPr>
        <w:t>于</w:t>
      </w:r>
      <w:r>
        <w:rPr>
          <w:rFonts w:ascii="仿宋_GB2312" w:eastAsia="仿宋_GB2312"/>
          <w:color w:val="auto"/>
          <w:highlight w:val="none"/>
          <w:u w:val="dotted"/>
        </w:rPr>
        <w:t xml:space="preserve">   </w:t>
      </w:r>
      <w:r>
        <w:rPr>
          <w:rFonts w:hint="eastAsia" w:ascii="仿宋_GB2312" w:eastAsia="仿宋_GB2312"/>
          <w:color w:val="auto"/>
          <w:highlight w:val="none"/>
        </w:rPr>
        <w:t>年</w:t>
      </w:r>
      <w:r>
        <w:rPr>
          <w:rFonts w:ascii="仿宋_GB2312" w:eastAsia="仿宋_GB2312"/>
          <w:color w:val="auto"/>
          <w:highlight w:val="none"/>
          <w:u w:val="dotted"/>
        </w:rPr>
        <w:t xml:space="preserve">   </w:t>
      </w:r>
      <w:r>
        <w:rPr>
          <w:rFonts w:hint="eastAsia" w:ascii="仿宋_GB2312" w:eastAsia="仿宋_GB2312"/>
          <w:color w:val="auto"/>
          <w:highlight w:val="none"/>
        </w:rPr>
        <w:t>月</w:t>
      </w:r>
      <w:r>
        <w:rPr>
          <w:rFonts w:ascii="仿宋_GB2312" w:eastAsia="仿宋_GB2312"/>
          <w:color w:val="auto"/>
          <w:highlight w:val="none"/>
          <w:u w:val="dotted"/>
        </w:rPr>
        <w:t xml:space="preserve">   </w:t>
      </w:r>
      <w:r>
        <w:rPr>
          <w:rFonts w:hint="eastAsia" w:ascii="仿宋_GB2312" w:eastAsia="仿宋_GB2312"/>
          <w:color w:val="auto"/>
          <w:highlight w:val="none"/>
        </w:rPr>
        <w:t>日</w:t>
      </w:r>
      <w:r>
        <w:rPr>
          <w:rFonts w:ascii="仿宋_GB2312" w:eastAsia="仿宋_GB2312"/>
          <w:color w:val="auto"/>
          <w:highlight w:val="none"/>
        </w:rPr>
        <w:t>,就质疑事项</w:t>
      </w:r>
      <w:r>
        <w:rPr>
          <w:rFonts w:hint="eastAsia" w:ascii="仿宋_GB2312" w:eastAsia="仿宋_GB2312"/>
          <w:color w:val="auto"/>
          <w:highlight w:val="none"/>
        </w:rPr>
        <w:t>作出了答复</w:t>
      </w:r>
      <w:r>
        <w:rPr>
          <w:rFonts w:ascii="仿宋_GB2312" w:eastAsia="仿宋_GB2312"/>
          <w:color w:val="auto"/>
          <w:highlight w:val="none"/>
        </w:rPr>
        <w:t>/没有在法定期限内</w:t>
      </w:r>
      <w:r>
        <w:rPr>
          <w:rFonts w:hint="eastAsia" w:ascii="仿宋_GB2312" w:eastAsia="仿宋_GB2312"/>
          <w:color w:val="auto"/>
          <w:highlight w:val="none"/>
        </w:rPr>
        <w:t>作出答复。</w:t>
      </w:r>
    </w:p>
    <w:p>
      <w:pPr>
        <w:spacing w:line="360" w:lineRule="auto"/>
        <w:rPr>
          <w:rFonts w:ascii="仿宋_GB2312" w:eastAsia="仿宋_GB2312"/>
          <w:color w:val="auto"/>
          <w:highlight w:val="none"/>
        </w:rPr>
      </w:pPr>
      <w:r>
        <w:rPr>
          <w:rFonts w:hint="eastAsia" w:ascii="仿宋_GB2312" w:eastAsia="仿宋_GB2312"/>
          <w:color w:val="auto"/>
          <w:highlight w:val="none"/>
        </w:rPr>
        <w:t>四、投诉事项具体内容</w:t>
      </w:r>
    </w:p>
    <w:p>
      <w:pPr>
        <w:spacing w:line="360" w:lineRule="auto"/>
        <w:rPr>
          <w:rFonts w:ascii="仿宋_GB2312" w:eastAsia="仿宋_GB2312"/>
          <w:color w:val="auto"/>
          <w:highlight w:val="none"/>
          <w:u w:val="single"/>
        </w:rPr>
      </w:pPr>
      <w:r>
        <w:rPr>
          <w:rFonts w:hint="eastAsia" w:ascii="仿宋_GB2312" w:eastAsia="仿宋_GB2312"/>
          <w:color w:val="auto"/>
          <w:highlight w:val="none"/>
        </w:rPr>
        <w:t>投诉事项</w:t>
      </w:r>
      <w:r>
        <w:rPr>
          <w:rFonts w:ascii="仿宋_GB2312" w:eastAsia="仿宋_GB2312"/>
          <w:color w:val="auto"/>
          <w:highlight w:val="none"/>
        </w:rPr>
        <w:t xml:space="preserve"> 1：</w:t>
      </w:r>
      <w:r>
        <w:rPr>
          <w:rFonts w:ascii="仿宋_GB2312" w:eastAsia="仿宋_GB2312"/>
          <w:color w:val="auto"/>
          <w:highlight w:val="none"/>
          <w:u w:val="dotted"/>
        </w:rPr>
        <w:t xml:space="preserve">                                       </w:t>
      </w:r>
    </w:p>
    <w:p>
      <w:pPr>
        <w:spacing w:line="360" w:lineRule="auto"/>
        <w:rPr>
          <w:rFonts w:ascii="仿宋_GB2312" w:eastAsia="仿宋_GB2312"/>
          <w:color w:val="auto"/>
          <w:highlight w:val="none"/>
        </w:rPr>
      </w:pPr>
      <w:r>
        <w:rPr>
          <w:rFonts w:hint="eastAsia" w:ascii="仿宋_GB2312" w:eastAsia="仿宋_GB2312"/>
          <w:color w:val="auto"/>
          <w:highlight w:val="none"/>
        </w:rPr>
        <w:t>事实依据：</w:t>
      </w:r>
      <w:r>
        <w:rPr>
          <w:rFonts w:ascii="仿宋_GB2312" w:eastAsia="仿宋_GB2312"/>
          <w:color w:val="auto"/>
          <w:highlight w:val="none"/>
          <w:u w:val="dotted"/>
        </w:rPr>
        <w:t xml:space="preserve">                                         </w:t>
      </w:r>
    </w:p>
    <w:p>
      <w:pPr>
        <w:spacing w:line="360" w:lineRule="auto"/>
        <w:rPr>
          <w:rFonts w:ascii="仿宋_GB2312" w:eastAsia="仿宋_GB2312"/>
          <w:color w:val="auto"/>
          <w:highlight w:val="none"/>
          <w:u w:val="dotted"/>
        </w:rPr>
      </w:pPr>
      <w:r>
        <w:rPr>
          <w:rFonts w:ascii="仿宋_GB2312" w:eastAsia="仿宋_GB2312"/>
          <w:color w:val="auto"/>
          <w:highlight w:val="none"/>
          <w:u w:val="dotted"/>
        </w:rPr>
        <w:t xml:space="preserve">                                                      </w:t>
      </w:r>
    </w:p>
    <w:p>
      <w:pPr>
        <w:spacing w:line="360" w:lineRule="auto"/>
        <w:rPr>
          <w:rFonts w:ascii="仿宋_GB2312" w:eastAsia="仿宋_GB2312"/>
          <w:color w:val="auto"/>
          <w:highlight w:val="none"/>
          <w:u w:val="single"/>
        </w:rPr>
      </w:pPr>
      <w:r>
        <w:rPr>
          <w:rFonts w:hint="eastAsia" w:ascii="仿宋_GB2312" w:eastAsia="仿宋_GB2312"/>
          <w:color w:val="auto"/>
          <w:highlight w:val="none"/>
        </w:rPr>
        <w:t>法律依据：</w:t>
      </w:r>
      <w:r>
        <w:rPr>
          <w:rFonts w:ascii="仿宋_GB2312" w:eastAsia="仿宋_GB2312"/>
          <w:color w:val="auto"/>
          <w:highlight w:val="none"/>
          <w:u w:val="dotted"/>
        </w:rPr>
        <w:t xml:space="preserve">                                          </w:t>
      </w:r>
    </w:p>
    <w:p>
      <w:pPr>
        <w:spacing w:line="360" w:lineRule="auto"/>
        <w:rPr>
          <w:rFonts w:ascii="仿宋_GB2312" w:eastAsia="仿宋_GB2312"/>
          <w:color w:val="auto"/>
          <w:highlight w:val="none"/>
          <w:u w:val="dotted"/>
        </w:rPr>
      </w:pPr>
      <w:r>
        <w:rPr>
          <w:rFonts w:ascii="仿宋_GB2312" w:eastAsia="仿宋_GB2312"/>
          <w:color w:val="auto"/>
          <w:highlight w:val="none"/>
          <w:u w:val="dotted"/>
        </w:rPr>
        <w:t xml:space="preserve">                                                      </w:t>
      </w:r>
    </w:p>
    <w:p>
      <w:pPr>
        <w:spacing w:line="360" w:lineRule="auto"/>
        <w:rPr>
          <w:rFonts w:ascii="仿宋_GB2312" w:eastAsia="仿宋_GB2312"/>
          <w:color w:val="auto"/>
          <w:highlight w:val="none"/>
        </w:rPr>
      </w:pPr>
      <w:r>
        <w:rPr>
          <w:rFonts w:hint="eastAsia" w:ascii="仿宋_GB2312" w:eastAsia="仿宋_GB2312"/>
          <w:color w:val="auto"/>
          <w:highlight w:val="none"/>
        </w:rPr>
        <w:t>投诉事项</w:t>
      </w:r>
      <w:r>
        <w:rPr>
          <w:rFonts w:ascii="仿宋_GB2312" w:eastAsia="仿宋_GB2312"/>
          <w:color w:val="auto"/>
          <w:highlight w:val="none"/>
        </w:rPr>
        <w:t>2</w:t>
      </w:r>
    </w:p>
    <w:p>
      <w:pPr>
        <w:spacing w:line="360" w:lineRule="auto"/>
        <w:rPr>
          <w:rFonts w:ascii="仿宋_GB2312" w:eastAsia="仿宋_GB2312"/>
          <w:color w:val="auto"/>
          <w:highlight w:val="none"/>
          <w:u w:val="dotted"/>
        </w:rPr>
      </w:pPr>
      <w:r>
        <w:rPr>
          <w:rFonts w:hint="eastAsia" w:ascii="仿宋_GB2312" w:eastAsia="仿宋_GB2312"/>
          <w:color w:val="auto"/>
          <w:highlight w:val="none"/>
        </w:rPr>
        <w:t>……</w:t>
      </w:r>
    </w:p>
    <w:p>
      <w:pPr>
        <w:spacing w:line="360" w:lineRule="auto"/>
        <w:rPr>
          <w:rFonts w:ascii="仿宋_GB2312" w:eastAsia="仿宋_GB2312"/>
          <w:color w:val="auto"/>
          <w:highlight w:val="none"/>
        </w:rPr>
      </w:pPr>
      <w:r>
        <w:rPr>
          <w:rFonts w:hint="eastAsia" w:ascii="仿宋_GB2312" w:eastAsia="仿宋_GB2312"/>
          <w:color w:val="auto"/>
          <w:highlight w:val="none"/>
        </w:rPr>
        <w:t>五、与投诉事项相关的投诉请求</w:t>
      </w:r>
    </w:p>
    <w:p>
      <w:pPr>
        <w:spacing w:line="360" w:lineRule="auto"/>
        <w:rPr>
          <w:rFonts w:ascii="仿宋_GB2312" w:eastAsia="仿宋_GB2312"/>
          <w:color w:val="auto"/>
          <w:highlight w:val="none"/>
        </w:rPr>
      </w:pPr>
      <w:r>
        <w:rPr>
          <w:rFonts w:hint="eastAsia" w:ascii="仿宋_GB2312" w:eastAsia="仿宋_GB2312"/>
          <w:color w:val="auto"/>
          <w:highlight w:val="none"/>
        </w:rPr>
        <w:t>请求：</w:t>
      </w:r>
      <w:r>
        <w:rPr>
          <w:rFonts w:ascii="仿宋_GB2312" w:eastAsia="仿宋_GB2312"/>
          <w:color w:val="auto"/>
          <w:highlight w:val="none"/>
          <w:u w:val="dotted"/>
        </w:rPr>
        <w:t xml:space="preserve">                                              </w:t>
      </w:r>
      <w:r>
        <w:rPr>
          <w:rFonts w:ascii="仿宋_GB2312" w:eastAsia="仿宋_GB2312"/>
          <w:color w:val="auto"/>
          <w:highlight w:val="none"/>
        </w:rPr>
        <w:t xml:space="preserve"> </w:t>
      </w:r>
    </w:p>
    <w:p>
      <w:pPr>
        <w:spacing w:line="360" w:lineRule="auto"/>
        <w:rPr>
          <w:rFonts w:ascii="仿宋_GB2312" w:eastAsia="仿宋_GB2312"/>
          <w:color w:val="auto"/>
          <w:highlight w:val="none"/>
          <w:u w:val="single"/>
        </w:rPr>
      </w:pPr>
      <w:r>
        <w:rPr>
          <w:rFonts w:ascii="仿宋_GB2312" w:eastAsia="仿宋_GB2312"/>
          <w:color w:val="auto"/>
          <w:highlight w:val="none"/>
        </w:rPr>
        <w:t xml:space="preserve">                                                                                                    </w:t>
      </w:r>
    </w:p>
    <w:p>
      <w:pPr>
        <w:spacing w:line="360" w:lineRule="auto"/>
        <w:rPr>
          <w:rFonts w:ascii="仿宋_GB2312" w:eastAsia="仿宋_GB2312"/>
          <w:color w:val="auto"/>
          <w:highlight w:val="none"/>
        </w:rPr>
      </w:pPr>
      <w:r>
        <w:rPr>
          <w:rFonts w:hint="eastAsia" w:ascii="仿宋_GB2312" w:eastAsia="仿宋_GB2312"/>
          <w:color w:val="auto"/>
          <w:highlight w:val="none"/>
        </w:rPr>
        <w:t>签字</w:t>
      </w:r>
      <w:r>
        <w:rPr>
          <w:rFonts w:ascii="仿宋_GB2312" w:eastAsia="仿宋_GB2312"/>
          <w:color w:val="auto"/>
          <w:highlight w:val="none"/>
        </w:rPr>
        <w:t xml:space="preserve">(签章)：                   公章：                      </w:t>
      </w:r>
    </w:p>
    <w:p>
      <w:pPr>
        <w:spacing w:line="360" w:lineRule="auto"/>
        <w:rPr>
          <w:rFonts w:ascii="仿宋_GB2312" w:eastAsia="仿宋_GB2312"/>
          <w:color w:val="auto"/>
          <w:highlight w:val="none"/>
        </w:rPr>
      </w:pPr>
      <w:r>
        <w:rPr>
          <w:rFonts w:hint="eastAsia" w:ascii="仿宋_GB2312" w:eastAsia="仿宋_GB2312"/>
          <w:color w:val="auto"/>
          <w:highlight w:val="none"/>
        </w:rPr>
        <w:t>日期：</w:t>
      </w:r>
      <w:r>
        <w:rPr>
          <w:rFonts w:ascii="仿宋_GB2312" w:eastAsia="仿宋_GB2312"/>
          <w:color w:val="auto"/>
          <w:highlight w:val="none"/>
        </w:rPr>
        <w:t xml:space="preserve">    </w:t>
      </w:r>
    </w:p>
    <w:p>
      <w:pPr>
        <w:spacing w:line="360" w:lineRule="auto"/>
        <w:rPr>
          <w:rFonts w:ascii="仿宋_GB2312" w:eastAsia="仿宋_GB2312"/>
          <w:b/>
          <w:color w:val="auto"/>
          <w:highlight w:val="none"/>
        </w:rPr>
      </w:pPr>
    </w:p>
    <w:p>
      <w:pPr>
        <w:spacing w:line="360" w:lineRule="auto"/>
        <w:rPr>
          <w:rFonts w:ascii="仿宋_GB2312" w:eastAsia="仿宋_GB2312"/>
          <w:b/>
          <w:color w:val="auto"/>
          <w:highlight w:val="none"/>
        </w:rPr>
      </w:pPr>
    </w:p>
    <w:p>
      <w:pPr>
        <w:spacing w:line="360" w:lineRule="auto"/>
        <w:rPr>
          <w:rFonts w:ascii="仿宋_GB2312" w:eastAsia="仿宋_GB2312"/>
          <w:b/>
          <w:color w:val="auto"/>
          <w:highlight w:val="none"/>
        </w:rPr>
      </w:pPr>
      <w:r>
        <w:rPr>
          <w:rFonts w:hint="eastAsia" w:ascii="仿宋_GB2312" w:eastAsia="仿宋_GB2312"/>
          <w:b/>
          <w:color w:val="auto"/>
          <w:highlight w:val="none"/>
        </w:rPr>
        <w:t>投诉书制作说明：</w:t>
      </w:r>
    </w:p>
    <w:p>
      <w:pPr>
        <w:spacing w:line="360" w:lineRule="auto"/>
        <w:ind w:firstLine="480" w:firstLineChars="200"/>
        <w:rPr>
          <w:rFonts w:ascii="仿宋_GB2312" w:eastAsia="仿宋_GB2312" w:cs="宋体"/>
          <w:color w:val="auto"/>
          <w:highlight w:val="none"/>
        </w:rPr>
      </w:pPr>
      <w:r>
        <w:rPr>
          <w:rFonts w:ascii="仿宋_GB2312" w:eastAsia="仿宋_GB2312"/>
          <w:color w:val="auto"/>
          <w:highlight w:val="none"/>
        </w:rPr>
        <w:t>1.投诉人提起投诉时，应当提交投诉书和必要的证明材料，并按照被投诉人和与投诉事项有关的供应商数量提供投诉书副本。</w:t>
      </w:r>
    </w:p>
    <w:p>
      <w:pPr>
        <w:spacing w:line="360" w:lineRule="auto"/>
        <w:ind w:firstLine="480" w:firstLineChars="200"/>
        <w:rPr>
          <w:rFonts w:ascii="仿宋_GB2312" w:eastAsia="仿宋_GB2312" w:cs="宋体"/>
          <w:color w:val="auto"/>
          <w:highlight w:val="none"/>
        </w:rPr>
      </w:pPr>
      <w:r>
        <w:rPr>
          <w:rFonts w:ascii="仿宋_GB2312" w:eastAsia="仿宋_GB2312"/>
          <w:color w:val="auto"/>
          <w:highlight w:val="none"/>
        </w:rPr>
        <w:t>2.投诉人若委托代理人进行投诉的，投诉书应按照要求列明“授权代表”的有关内容，并在附件中提交由</w:t>
      </w:r>
      <w:r>
        <w:rPr>
          <w:rFonts w:hint="eastAsia" w:ascii="仿宋_GB2312" w:eastAsia="仿宋_GB2312" w:cs="宋体"/>
          <w:color w:val="auto"/>
          <w:highlight w:val="none"/>
        </w:rPr>
        <w:t>投诉人签署的授权委托书。授权委托书应当载明代理人的姓名或者名称、代理事项、具体权限、期限和相关事项。</w:t>
      </w:r>
    </w:p>
    <w:p>
      <w:pPr>
        <w:spacing w:line="360" w:lineRule="auto"/>
        <w:ind w:firstLine="480" w:firstLineChars="200"/>
        <w:rPr>
          <w:rFonts w:ascii="仿宋_GB2312" w:eastAsia="仿宋_GB2312"/>
          <w:color w:val="auto"/>
          <w:highlight w:val="none"/>
        </w:rPr>
      </w:pPr>
      <w:r>
        <w:rPr>
          <w:rFonts w:ascii="仿宋_GB2312" w:eastAsia="仿宋_GB2312"/>
          <w:color w:val="auto"/>
          <w:highlight w:val="none"/>
        </w:rPr>
        <w:t>3.投诉人若对项目的某一分包进行投诉，投诉书应列明具体分包号。</w:t>
      </w:r>
    </w:p>
    <w:p>
      <w:pPr>
        <w:spacing w:line="360" w:lineRule="auto"/>
        <w:ind w:firstLine="480" w:firstLineChars="200"/>
        <w:rPr>
          <w:rFonts w:ascii="仿宋_GB2312" w:eastAsia="仿宋_GB2312"/>
          <w:color w:val="auto"/>
          <w:highlight w:val="none"/>
        </w:rPr>
      </w:pPr>
      <w:r>
        <w:rPr>
          <w:rFonts w:ascii="仿宋_GB2312" w:eastAsia="仿宋_GB2312"/>
          <w:color w:val="auto"/>
          <w:highlight w:val="none"/>
        </w:rPr>
        <w:t>4.投诉书应简要列明质疑事项，质疑函、质疑答复等作为附件材料提供。</w:t>
      </w:r>
    </w:p>
    <w:p>
      <w:pPr>
        <w:spacing w:line="360" w:lineRule="auto"/>
        <w:ind w:firstLine="480" w:firstLineChars="200"/>
        <w:rPr>
          <w:rFonts w:ascii="仿宋_GB2312" w:eastAsia="仿宋_GB2312"/>
          <w:color w:val="auto"/>
          <w:highlight w:val="none"/>
        </w:rPr>
      </w:pPr>
      <w:r>
        <w:rPr>
          <w:rFonts w:ascii="仿宋_GB2312" w:eastAsia="仿宋_GB2312"/>
          <w:color w:val="auto"/>
          <w:highlight w:val="none"/>
        </w:rPr>
        <w:t>5.投诉书的投诉事项应具体、明确，并有必要的事实依据和法律依据。</w:t>
      </w:r>
    </w:p>
    <w:p>
      <w:pPr>
        <w:spacing w:line="360" w:lineRule="auto"/>
        <w:ind w:firstLine="480" w:firstLineChars="200"/>
        <w:rPr>
          <w:rFonts w:ascii="仿宋_GB2312" w:eastAsia="仿宋_GB2312"/>
          <w:color w:val="auto"/>
          <w:highlight w:val="none"/>
        </w:rPr>
      </w:pPr>
      <w:r>
        <w:rPr>
          <w:rFonts w:ascii="仿宋_GB2312" w:eastAsia="仿宋_GB2312"/>
          <w:color w:val="auto"/>
          <w:highlight w:val="none"/>
        </w:rPr>
        <w:t>6.投诉书的投诉请求应与投诉事项相关。</w:t>
      </w:r>
    </w:p>
    <w:p>
      <w:pPr>
        <w:spacing w:line="360" w:lineRule="auto"/>
        <w:ind w:firstLine="480" w:firstLineChars="200"/>
        <w:rPr>
          <w:rFonts w:ascii="仿宋_GB2312" w:eastAsia="仿宋_GB2312" w:cs="宋体"/>
          <w:color w:val="auto"/>
          <w:highlight w:val="none"/>
        </w:rPr>
      </w:pPr>
      <w:r>
        <w:rPr>
          <w:rFonts w:ascii="仿宋_GB2312" w:eastAsia="仿宋_GB2312"/>
          <w:color w:val="auto"/>
          <w:highlight w:val="none"/>
        </w:rPr>
        <w:t>7.投诉人为自然人的，投诉书应当由本人签字；投诉人为法人或者其他组织的，投诉书应当由法定代表人、主要负责人，或者其授权代表签字或者盖章，并加盖公章。</w:t>
      </w:r>
    </w:p>
    <w:p>
      <w:pPr>
        <w:spacing w:line="276" w:lineRule="auto"/>
        <w:rPr>
          <w:rFonts w:ascii="仿宋_GB2312" w:eastAsia="仿宋_GB2312" w:cs="仿宋_GB2312"/>
          <w:b/>
          <w:color w:val="auto"/>
          <w:highlight w:val="none"/>
        </w:rPr>
      </w:pPr>
      <w:r>
        <w:rPr>
          <w:rFonts w:ascii="仿宋_GB2312" w:eastAsia="仿宋_GB2312" w:cs="仿宋_GB2312"/>
          <w:b/>
          <w:color w:val="auto"/>
          <w:highlight w:val="none"/>
        </w:rPr>
        <w:br w:type="page"/>
      </w:r>
    </w:p>
    <w:p>
      <w:pPr>
        <w:pStyle w:val="2"/>
        <w:jc w:val="left"/>
        <w:rPr>
          <w:color w:val="auto"/>
          <w:highlight w:val="none"/>
        </w:rPr>
      </w:pPr>
      <w:r>
        <w:rPr>
          <w:rFonts w:hint="eastAsia"/>
          <w:color w:val="auto"/>
          <w:spacing w:val="6"/>
          <w:highlight w:val="none"/>
        </w:rPr>
        <w:t>附件</w:t>
      </w:r>
      <w:r>
        <w:rPr>
          <w:color w:val="auto"/>
          <w:spacing w:val="6"/>
          <w:highlight w:val="none"/>
        </w:rPr>
        <w:t>4：</w:t>
      </w:r>
      <w:r>
        <w:rPr>
          <w:rFonts w:hint="eastAsia"/>
          <w:color w:val="auto"/>
          <w:highlight w:val="none"/>
        </w:rPr>
        <w:t>业务专用章使用说明函</w:t>
      </w:r>
    </w:p>
    <w:p>
      <w:pPr>
        <w:spacing w:line="276" w:lineRule="auto"/>
        <w:jc w:val="center"/>
        <w:rPr>
          <w:b/>
          <w:smallCaps/>
          <w:color w:val="auto"/>
          <w:spacing w:val="6"/>
          <w:sz w:val="36"/>
          <w:szCs w:val="28"/>
          <w:highlight w:val="none"/>
        </w:rPr>
      </w:pPr>
      <w:r>
        <w:rPr>
          <w:rFonts w:hint="eastAsia"/>
          <w:b/>
          <w:color w:val="auto"/>
          <w:sz w:val="32"/>
          <w:highlight w:val="none"/>
        </w:rPr>
        <w:t>业务专用章使用说明函</w:t>
      </w:r>
    </w:p>
    <w:p>
      <w:pPr>
        <w:spacing w:line="360" w:lineRule="auto"/>
        <w:rPr>
          <w:color w:val="auto"/>
          <w:highlight w:val="none"/>
        </w:rPr>
      </w:pPr>
      <w:r>
        <w:rPr>
          <w:rFonts w:hint="eastAsia" w:cs="仿宋_GB2312"/>
          <w:color w:val="auto"/>
          <w:highlight w:val="none"/>
          <w:u w:val="single"/>
        </w:rPr>
        <w:t>（采购人）、（采购代理机构）</w:t>
      </w:r>
    </w:p>
    <w:p>
      <w:pPr>
        <w:spacing w:line="360" w:lineRule="auto"/>
        <w:ind w:firstLine="480" w:firstLineChars="200"/>
        <w:rPr>
          <w:rFonts w:cs="宋体"/>
          <w:color w:val="auto"/>
          <w:highlight w:val="none"/>
        </w:rPr>
      </w:pPr>
      <w:r>
        <w:rPr>
          <w:rFonts w:hint="eastAsia" w:cs="仿宋_GB2312"/>
          <w:color w:val="auto"/>
          <w:highlight w:val="none"/>
          <w:lang w:val="zh-CN"/>
        </w:rPr>
        <w:t>我方</w:t>
      </w:r>
      <w:r>
        <w:rPr>
          <w:rFonts w:cs="仿宋_GB2312"/>
          <w:color w:val="auto"/>
          <w:highlight w:val="none"/>
          <w:u w:val="single"/>
          <w:lang w:val="zh-CN"/>
        </w:rPr>
        <w:t xml:space="preserve">                         </w:t>
      </w:r>
      <w:r>
        <w:rPr>
          <w:rFonts w:cs="仿宋_GB2312"/>
          <w:color w:val="auto"/>
          <w:highlight w:val="none"/>
        </w:rPr>
        <w:t>(投标人全称)</w:t>
      </w:r>
      <w:r>
        <w:rPr>
          <w:rFonts w:hint="eastAsia"/>
          <w:color w:val="auto"/>
          <w:highlight w:val="none"/>
        </w:rPr>
        <w:t>是中华人民共和国依法登记注册的合法企业，</w:t>
      </w:r>
      <w:r>
        <w:rPr>
          <w:rFonts w:hint="eastAsia" w:cs="宋体"/>
          <w:bCs/>
          <w:color w:val="auto"/>
          <w:highlight w:val="none"/>
        </w:rPr>
        <w:t>在参加</w:t>
      </w:r>
      <w:r>
        <w:rPr>
          <w:rFonts w:hint="eastAsia" w:cs="仿宋_GB2312"/>
          <w:color w:val="auto"/>
          <w:highlight w:val="none"/>
        </w:rPr>
        <w:t>你方组织的</w:t>
      </w:r>
      <w:r>
        <w:rPr>
          <w:rFonts w:hint="eastAsia" w:ascii="仿宋_GB2312" w:eastAsia="仿宋_GB2312" w:cs="仿宋_GB2312"/>
          <w:color w:val="auto"/>
          <w:highlight w:val="none"/>
        </w:rPr>
        <w:t>（项目名称）项目</w:t>
      </w:r>
      <w:r>
        <w:rPr>
          <w:rFonts w:hint="eastAsia" w:cs="仿宋_GB2312"/>
          <w:color w:val="auto"/>
          <w:highlight w:val="none"/>
        </w:rPr>
        <w:t>【招标编号：（采购编号）</w:t>
      </w:r>
      <w:r>
        <w:rPr>
          <w:rFonts w:cs="仿宋_GB2312"/>
          <w:color w:val="auto"/>
          <w:highlight w:val="none"/>
        </w:rPr>
        <w:t>】</w:t>
      </w:r>
      <w:r>
        <w:rPr>
          <w:rFonts w:hint="eastAsia" w:cs="宋体"/>
          <w:bCs/>
          <w:color w:val="auto"/>
          <w:highlight w:val="none"/>
        </w:rPr>
        <w:t>投标活动中作如下说明：</w:t>
      </w:r>
      <w:r>
        <w:rPr>
          <w:rFonts w:hint="eastAsia" w:cs="宋体"/>
          <w:color w:val="auto"/>
          <w:highlight w:val="none"/>
        </w:rPr>
        <w:t>我方所使用的“</w:t>
      </w:r>
      <w:r>
        <w:rPr>
          <w:rFonts w:cs="仿宋_GB2312"/>
          <w:color w:val="auto"/>
          <w:highlight w:val="none"/>
        </w:rPr>
        <w:t>XX</w:t>
      </w:r>
      <w:r>
        <w:rPr>
          <w:rFonts w:hint="eastAsia" w:cs="宋体"/>
          <w:color w:val="auto"/>
          <w:highlight w:val="none"/>
        </w:rPr>
        <w:t>专用章”与法定名称章具有同等的法律效力，对使用“</w:t>
      </w:r>
      <w:r>
        <w:rPr>
          <w:rFonts w:cs="仿宋_GB2312"/>
          <w:color w:val="auto"/>
          <w:highlight w:val="none"/>
        </w:rPr>
        <w:t>XX</w:t>
      </w:r>
      <w:r>
        <w:rPr>
          <w:rFonts w:hint="eastAsia" w:cs="宋体"/>
          <w:color w:val="auto"/>
          <w:highlight w:val="none"/>
        </w:rPr>
        <w:t>专用章”的行为予以完全承认，并愿意承担相应责任。</w:t>
      </w:r>
      <w:r>
        <w:rPr>
          <w:rFonts w:cs="宋体"/>
          <w:color w:val="auto"/>
          <w:highlight w:val="none"/>
        </w:rPr>
        <w:t xml:space="preserve">   </w:t>
      </w:r>
    </w:p>
    <w:p>
      <w:pPr>
        <w:spacing w:line="360" w:lineRule="auto"/>
        <w:ind w:firstLine="480" w:firstLineChars="200"/>
        <w:rPr>
          <w:rFonts w:cs="宋体"/>
          <w:color w:val="auto"/>
          <w:highlight w:val="none"/>
        </w:rPr>
      </w:pPr>
      <w:r>
        <w:rPr>
          <w:rFonts w:hint="eastAsia" w:cs="宋体"/>
          <w:color w:val="auto"/>
          <w:highlight w:val="none"/>
        </w:rPr>
        <w:t>特此说明。</w:t>
      </w:r>
    </w:p>
    <w:p>
      <w:pPr>
        <w:spacing w:line="360" w:lineRule="auto"/>
        <w:ind w:firstLine="494"/>
        <w:rPr>
          <w:rFonts w:cs="宋体"/>
          <w:color w:val="auto"/>
          <w:highlight w:val="none"/>
        </w:rPr>
      </w:pPr>
    </w:p>
    <w:p>
      <w:pPr>
        <w:spacing w:line="360" w:lineRule="auto"/>
        <w:ind w:firstLine="494"/>
        <w:rPr>
          <w:rFonts w:cs="宋体"/>
          <w:color w:val="auto"/>
          <w:highlight w:val="none"/>
        </w:rPr>
      </w:pPr>
    </w:p>
    <w:p>
      <w:pPr>
        <w:spacing w:line="360" w:lineRule="auto"/>
        <w:ind w:firstLine="494"/>
        <w:rPr>
          <w:rFonts w:cs="宋体"/>
          <w:color w:val="auto"/>
          <w:highlight w:val="none"/>
        </w:rPr>
      </w:pPr>
    </w:p>
    <w:p>
      <w:pPr>
        <w:spacing w:line="360" w:lineRule="auto"/>
        <w:ind w:firstLine="494"/>
        <w:rPr>
          <w:rFonts w:cs="宋体"/>
          <w:color w:val="auto"/>
          <w:highlight w:val="none"/>
        </w:rPr>
      </w:pPr>
    </w:p>
    <w:p>
      <w:pPr>
        <w:spacing w:line="360" w:lineRule="auto"/>
        <w:ind w:right="480" w:firstLine="4080" w:firstLineChars="1700"/>
        <w:rPr>
          <w:rFonts w:cs="宋体"/>
          <w:color w:val="auto"/>
          <w:highlight w:val="none"/>
        </w:rPr>
      </w:pPr>
      <w:r>
        <w:rPr>
          <w:rFonts w:hint="eastAsia" w:cs="宋体"/>
          <w:color w:val="auto"/>
          <w:highlight w:val="none"/>
        </w:rPr>
        <w:t>投标单位（法定名称章）：</w:t>
      </w:r>
    </w:p>
    <w:p>
      <w:pPr>
        <w:ind w:right="1440" w:firstLine="494"/>
        <w:jc w:val="center"/>
        <w:rPr>
          <w:rFonts w:cs="宋体"/>
          <w:color w:val="auto"/>
          <w:highlight w:val="none"/>
        </w:rPr>
      </w:pPr>
      <w:r>
        <w:rPr>
          <w:rFonts w:cs="宋体"/>
          <w:color w:val="auto"/>
          <w:highlight w:val="none"/>
        </w:rPr>
        <w:t xml:space="preserve">                              日期：       年     月     日</w:t>
      </w:r>
    </w:p>
    <w:p>
      <w:pPr>
        <w:rPr>
          <w:rFonts w:cs="宋体"/>
          <w:color w:val="auto"/>
          <w:highlight w:val="none"/>
        </w:rPr>
      </w:pPr>
      <w:r>
        <w:rPr>
          <w:rFonts w:hint="eastAsia" w:cs="宋体"/>
          <w:b/>
          <w:bCs/>
          <w:color w:val="auto"/>
          <w:highlight w:val="none"/>
        </w:rPr>
        <w:t>附：</w:t>
      </w:r>
    </w:p>
    <w:p>
      <w:pPr>
        <w:spacing w:line="360" w:lineRule="auto"/>
        <w:rPr>
          <w:bCs/>
          <w:color w:val="auto"/>
          <w:highlight w:val="none"/>
        </w:rPr>
      </w:pPr>
      <w:r>
        <w:rPr>
          <w:b/>
          <w:bCs/>
          <w:color w:val="auto"/>
          <w:highlight w:val="none"/>
        </w:rPr>
        <mc:AlternateContent>
          <mc:Choice Requires="wps">
            <w:drawing>
              <wp:anchor distT="0" distB="0" distL="114300" distR="114300" simplePos="0" relativeHeight="251659264" behindDoc="1" locked="0" layoutInCell="1" allowOverlap="1">
                <wp:simplePos x="0" y="0"/>
                <wp:positionH relativeFrom="column">
                  <wp:posOffset>3034030</wp:posOffset>
                </wp:positionH>
                <wp:positionV relativeFrom="paragraph">
                  <wp:posOffset>356235</wp:posOffset>
                </wp:positionV>
                <wp:extent cx="2704465" cy="2253615"/>
                <wp:effectExtent l="10160" t="13335" r="9525" b="9525"/>
                <wp:wrapNone/>
                <wp:docPr id="3" name="Rectangle 17"/>
                <wp:cNvGraphicFramePr/>
                <a:graphic xmlns:a="http://schemas.openxmlformats.org/drawingml/2006/main">
                  <a:graphicData uri="http://schemas.microsoft.com/office/word/2010/wordprocessingShape">
                    <wps:wsp>
                      <wps:cNvSpPr>
                        <a:spLocks noChangeArrowheads="1"/>
                      </wps:cNvSpPr>
                      <wps:spPr bwMode="auto">
                        <a:xfrm>
                          <a:off x="0" y="0"/>
                          <a:ext cx="2704465" cy="2253615"/>
                        </a:xfrm>
                        <a:prstGeom prst="rect">
                          <a:avLst/>
                        </a:prstGeom>
                        <a:solidFill>
                          <a:srgbClr val="FFFFFF"/>
                        </a:solidFill>
                        <a:ln w="9525">
                          <a:solidFill>
                            <a:srgbClr val="000000"/>
                          </a:solidFill>
                          <a:miter lim="200000"/>
                        </a:ln>
                      </wps:spPr>
                      <wps:txbx>
                        <w:txbxContent>
                          <w:p>
                            <w:pPr>
                              <w:jc w:val="center"/>
                            </w:pPr>
                          </w:p>
                        </w:txbxContent>
                      </wps:txbx>
                      <wps:bodyPr rot="0" vert="horz" wrap="square" lIns="91440" tIns="45720" rIns="91440" bIns="45720" anchor="t" anchorCtr="0" upright="1">
                        <a:noAutofit/>
                      </wps:bodyPr>
                    </wps:wsp>
                  </a:graphicData>
                </a:graphic>
              </wp:anchor>
            </w:drawing>
          </mc:Choice>
          <mc:Fallback>
            <w:pict>
              <v:rect id="Rectangle 17" o:spid="_x0000_s1026" o:spt="1" style="position:absolute;left:0pt;margin-left:238.9pt;margin-top:28.05pt;height:177.45pt;width:212.95pt;z-index:-251657216;mso-width-relative:page;mso-height-relative:page;" fillcolor="#FFFFFF" filled="t" stroked="t" coordsize="21600,21600" o:gfxdata="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">
                <v:fill on="t" focussize="0,0"/>
                <v:stroke color="#000000" miterlimit="2" joinstyle="miter"/>
                <v:imagedata o:title=""/>
                <o:lock v:ext="edit" aspectratio="f"/>
                <v:textbox>
                  <w:txbxContent>
                    <w:p>
                      <w:pPr>
                        <w:jc w:val="center"/>
                      </w:pPr>
                    </w:p>
                  </w:txbxContent>
                </v:textbox>
              </v:rect>
            </w:pict>
          </mc:Fallback>
        </mc:AlternateContent>
      </w:r>
      <w:r>
        <w:rPr>
          <w:b/>
          <w:bCs/>
          <w:color w:val="auto"/>
          <w:highlight w:val="none"/>
        </w:rPr>
        <mc:AlternateContent>
          <mc:Choice Requires="wps">
            <w:drawing>
              <wp:anchor distT="0" distB="0" distL="114300" distR="114300" simplePos="0" relativeHeight="251660288" behindDoc="1" locked="0" layoutInCell="1" allowOverlap="1">
                <wp:simplePos x="0" y="0"/>
                <wp:positionH relativeFrom="column">
                  <wp:posOffset>-91440</wp:posOffset>
                </wp:positionH>
                <wp:positionV relativeFrom="paragraph">
                  <wp:posOffset>384810</wp:posOffset>
                </wp:positionV>
                <wp:extent cx="2647950" cy="2253615"/>
                <wp:effectExtent l="8890" t="13335" r="10160" b="9525"/>
                <wp:wrapNone/>
                <wp:docPr id="4" name="Rectangle 16"/>
                <wp:cNvGraphicFramePr/>
                <a:graphic xmlns:a="http://schemas.openxmlformats.org/drawingml/2006/main">
                  <a:graphicData uri="http://schemas.microsoft.com/office/word/2010/wordprocessingShape">
                    <wps:wsp>
                      <wps:cNvSpPr>
                        <a:spLocks noChangeArrowheads="1"/>
                      </wps:cNvSpPr>
                      <wps:spPr bwMode="auto">
                        <a:xfrm>
                          <a:off x="0" y="0"/>
                          <a:ext cx="2647950" cy="2253615"/>
                        </a:xfrm>
                        <a:prstGeom prst="rect">
                          <a:avLst/>
                        </a:prstGeom>
                        <a:solidFill>
                          <a:srgbClr val="FFFFFF"/>
                        </a:solidFill>
                        <a:ln w="9525">
                          <a:solidFill>
                            <a:srgbClr val="000000"/>
                          </a:solidFill>
                          <a:miter lim="200000"/>
                        </a:ln>
                      </wps:spPr>
                      <wps:txbx>
                        <w:txbxContent>
                          <w:p>
                            <w:pPr>
                              <w:jc w:val="center"/>
                            </w:pPr>
                          </w:p>
                        </w:txbxContent>
                      </wps:txbx>
                      <wps:bodyPr rot="0" vert="horz" wrap="square" lIns="91440" tIns="45720" rIns="91440" bIns="45720" anchor="t" anchorCtr="0" upright="1">
                        <a:noAutofit/>
                      </wps:bodyPr>
                    </wps:wsp>
                  </a:graphicData>
                </a:graphic>
              </wp:anchor>
            </w:drawing>
          </mc:Choice>
          <mc:Fallback>
            <w:pict>
              <v:rect id="Rectangle 16" o:spid="_x0000_s1026" o:spt="1" style="position:absolute;left:0pt;margin-left:-7.2pt;margin-top:30.3pt;height:177.45pt;width:208.5pt;z-index:-251656192;mso-width-relative:page;mso-height-relative:page;" fillcolor="#FFFFFF" filled="t" stroked="t" coordsize="21600,21600" o:gfxdata="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">
                <v:fill on="t" focussize="0,0"/>
                <v:stroke color="#000000" miterlimit="2" joinstyle="miter"/>
                <v:imagedata o:title=""/>
                <o:lock v:ext="edit" aspectratio="f"/>
                <v:textbox>
                  <w:txbxContent>
                    <w:p>
                      <w:pPr>
                        <w:jc w:val="center"/>
                      </w:pPr>
                    </w:p>
                  </w:txbxContent>
                </v:textbox>
              </v:rect>
            </w:pict>
          </mc:Fallback>
        </mc:AlternateContent>
      </w:r>
      <w:r>
        <w:rPr>
          <w:rFonts w:hint="eastAsia" w:cs="宋体"/>
          <w:color w:val="auto"/>
          <w:highlight w:val="none"/>
        </w:rPr>
        <w:t>投标单位法定名称章（印模）</w:t>
      </w:r>
      <w:r>
        <w:rPr>
          <w:rFonts w:cs="宋体"/>
          <w:color w:val="auto"/>
          <w:highlight w:val="none"/>
        </w:rPr>
        <w:t xml:space="preserve">                </w:t>
      </w:r>
      <w:r>
        <w:rPr>
          <w:rFonts w:hint="eastAsia" w:cs="宋体"/>
          <w:color w:val="auto"/>
          <w:highlight w:val="none"/>
        </w:rPr>
        <w:t>投标单位“</w:t>
      </w:r>
      <w:r>
        <w:rPr>
          <w:rFonts w:cs="仿宋_GB2312"/>
          <w:color w:val="auto"/>
          <w:highlight w:val="none"/>
        </w:rPr>
        <w:t>XX</w:t>
      </w:r>
      <w:r>
        <w:rPr>
          <w:rFonts w:hint="eastAsia" w:cs="宋体"/>
          <w:color w:val="auto"/>
          <w:highlight w:val="none"/>
        </w:rPr>
        <w:t>专用章”（印模）</w:t>
      </w:r>
    </w:p>
    <w:p>
      <w:pPr>
        <w:spacing w:line="276" w:lineRule="auto"/>
        <w:rPr>
          <w:b/>
          <w:color w:val="auto"/>
          <w:spacing w:val="6"/>
          <w:sz w:val="32"/>
          <w:szCs w:val="32"/>
          <w:highlight w:val="none"/>
        </w:rPr>
      </w:pPr>
    </w:p>
    <w:p>
      <w:pPr>
        <w:spacing w:line="276" w:lineRule="auto"/>
        <w:rPr>
          <w:b/>
          <w:smallCaps/>
          <w:color w:val="auto"/>
          <w:spacing w:val="6"/>
          <w:sz w:val="28"/>
          <w:szCs w:val="28"/>
          <w:highlight w:val="none"/>
        </w:rPr>
      </w:pPr>
    </w:p>
    <w:p>
      <w:pPr>
        <w:spacing w:line="276" w:lineRule="auto"/>
        <w:rPr>
          <w:b/>
          <w:smallCaps/>
          <w:color w:val="auto"/>
          <w:spacing w:val="6"/>
          <w:sz w:val="28"/>
          <w:szCs w:val="28"/>
          <w:highlight w:val="none"/>
        </w:rPr>
      </w:pPr>
      <w:r>
        <w:rPr>
          <w:color w:val="auto"/>
          <w:spacing w:val="6"/>
          <w:highlight w:val="none"/>
        </w:rPr>
        <w:br w:type="page"/>
      </w:r>
    </w:p>
    <w:p>
      <w:pPr>
        <w:pStyle w:val="2"/>
        <w:rPr>
          <w:bCs/>
          <w:color w:val="auto"/>
          <w:highlight w:val="none"/>
        </w:rPr>
      </w:pPr>
      <w:r>
        <w:rPr>
          <w:rFonts w:hint="eastAsia"/>
          <w:color w:val="auto"/>
          <w:spacing w:val="6"/>
          <w:highlight w:val="none"/>
        </w:rPr>
        <w:t>附件</w:t>
      </w:r>
      <w:r>
        <w:rPr>
          <w:color w:val="auto"/>
          <w:spacing w:val="6"/>
          <w:highlight w:val="none"/>
        </w:rPr>
        <w:t>5</w:t>
      </w:r>
      <w:r>
        <w:rPr>
          <w:rFonts w:hint="eastAsia"/>
          <w:color w:val="auto"/>
          <w:spacing w:val="6"/>
          <w:highlight w:val="none"/>
        </w:rPr>
        <w:t>：</w:t>
      </w:r>
      <w:r>
        <w:rPr>
          <w:rFonts w:hint="eastAsia"/>
          <w:color w:val="auto"/>
          <w:highlight w:val="none"/>
        </w:rPr>
        <w:t>中小企业声明函</w:t>
      </w:r>
    </w:p>
    <w:p>
      <w:pPr>
        <w:spacing w:line="360" w:lineRule="auto"/>
        <w:jc w:val="center"/>
        <w:rPr>
          <w:rFonts w:cs="仿宋_GB2312"/>
          <w:color w:val="auto"/>
          <w:highlight w:val="none"/>
          <w:u w:val="single"/>
        </w:rPr>
      </w:pPr>
    </w:p>
    <w:p>
      <w:pPr>
        <w:spacing w:line="360" w:lineRule="auto"/>
        <w:jc w:val="center"/>
        <w:rPr>
          <w:rFonts w:ascii="仿宋_GB2312" w:hAnsi="宋体" w:eastAsia="仿宋_GB2312"/>
          <w:b/>
          <w:color w:val="auto"/>
          <w:sz w:val="32"/>
          <w:szCs w:val="32"/>
          <w:highlight w:val="none"/>
        </w:rPr>
      </w:pPr>
      <w:r>
        <w:rPr>
          <w:rFonts w:hint="eastAsia" w:ascii="仿宋_GB2312" w:hAnsi="宋体" w:eastAsia="仿宋_GB2312"/>
          <w:b/>
          <w:color w:val="auto"/>
          <w:sz w:val="32"/>
          <w:szCs w:val="32"/>
          <w:highlight w:val="none"/>
        </w:rPr>
        <w:t>中小企业声明函（货物）</w:t>
      </w:r>
    </w:p>
    <w:p>
      <w:pPr>
        <w:spacing w:line="360" w:lineRule="auto"/>
        <w:ind w:firstLine="480" w:firstLineChars="200"/>
        <w:rPr>
          <w:rFonts w:ascii="仿宋_GB2312" w:hAnsi="宋体" w:eastAsia="仿宋_GB2312"/>
          <w:color w:val="auto"/>
          <w:highlight w:val="none"/>
        </w:rPr>
      </w:pPr>
      <w:r>
        <w:rPr>
          <w:rFonts w:hint="eastAsia" w:ascii="仿宋_GB2312" w:hAnsi="宋体" w:eastAsia="仿宋_GB2312"/>
          <w:color w:val="auto"/>
          <w:highlight w:val="none"/>
        </w:rPr>
        <w:t>本公司（联合体）郑重声明，根据《政府采购促进中小企业发展管理办法》（财库</w:t>
      </w:r>
      <w:r>
        <w:rPr>
          <w:rFonts w:hint="eastAsia" w:ascii="宋体" w:hAnsi="宋体" w:cs="宋体"/>
          <w:color w:val="auto"/>
          <w:highlight w:val="none"/>
        </w:rPr>
        <w:t>﹝</w:t>
      </w:r>
      <w:r>
        <w:rPr>
          <w:rFonts w:ascii="仿宋_GB2312" w:hAnsi="宋体" w:eastAsia="仿宋_GB2312"/>
          <w:color w:val="auto"/>
          <w:highlight w:val="none"/>
        </w:rPr>
        <w:t>2020</w:t>
      </w:r>
      <w:r>
        <w:rPr>
          <w:rFonts w:hint="eastAsia" w:ascii="宋体" w:hAnsi="宋体" w:cs="宋体"/>
          <w:color w:val="auto"/>
          <w:highlight w:val="none"/>
        </w:rPr>
        <w:t>﹞</w:t>
      </w:r>
      <w:r>
        <w:rPr>
          <w:rFonts w:ascii="仿宋_GB2312" w:hAnsi="宋体" w:eastAsia="仿宋_GB2312"/>
          <w:color w:val="auto"/>
          <w:highlight w:val="none"/>
        </w:rPr>
        <w:t xml:space="preserve">46 </w:t>
      </w:r>
      <w:r>
        <w:rPr>
          <w:rFonts w:hint="eastAsia" w:ascii="仿宋_GB2312" w:hAnsi="宋体" w:eastAsia="仿宋_GB2312"/>
          <w:color w:val="auto"/>
          <w:highlight w:val="none"/>
        </w:rPr>
        <w:t>号）的规定，本公司（联合体）参加</w:t>
      </w:r>
      <w:r>
        <w:rPr>
          <w:rFonts w:ascii="仿宋_GB2312" w:hAnsi="宋体" w:eastAsia="仿宋_GB2312"/>
          <w:color w:val="auto"/>
          <w:highlight w:val="none"/>
        </w:rPr>
        <w:t xml:space="preserve"> </w:t>
      </w:r>
      <w:r>
        <w:rPr>
          <w:rFonts w:hint="eastAsia" w:ascii="仿宋_GB2312" w:hAnsi="宋体" w:eastAsia="仿宋_GB2312"/>
          <w:color w:val="auto"/>
          <w:highlight w:val="none"/>
          <w:u w:val="single"/>
        </w:rPr>
        <w:t>（单位名称）</w:t>
      </w:r>
      <w:r>
        <w:rPr>
          <w:rFonts w:ascii="仿宋_GB2312" w:hAnsi="宋体" w:eastAsia="仿宋_GB2312"/>
          <w:color w:val="auto"/>
          <w:highlight w:val="none"/>
          <w:u w:val="single"/>
        </w:rPr>
        <w:t xml:space="preserve"> </w:t>
      </w:r>
      <w:r>
        <w:rPr>
          <w:rFonts w:hint="eastAsia" w:ascii="仿宋_GB2312" w:hAnsi="宋体" w:eastAsia="仿宋_GB2312"/>
          <w:color w:val="auto"/>
          <w:highlight w:val="none"/>
        </w:rPr>
        <w:t>的</w:t>
      </w:r>
      <w:r>
        <w:rPr>
          <w:rFonts w:ascii="仿宋_GB2312" w:hAnsi="宋体" w:eastAsia="仿宋_GB2312"/>
          <w:color w:val="auto"/>
          <w:highlight w:val="none"/>
        </w:rPr>
        <w:t xml:space="preserve"> </w:t>
      </w:r>
      <w:r>
        <w:rPr>
          <w:rFonts w:hint="eastAsia" w:ascii="仿宋_GB2312" w:hAnsi="宋体" w:eastAsia="仿宋_GB2312"/>
          <w:color w:val="auto"/>
          <w:highlight w:val="none"/>
          <w:u w:val="single"/>
        </w:rPr>
        <w:t>（项目名称）</w:t>
      </w:r>
      <w:r>
        <w:rPr>
          <w:rFonts w:ascii="仿宋_GB2312" w:hAnsi="宋体" w:eastAsia="仿宋_GB2312"/>
          <w:color w:val="auto"/>
          <w:highlight w:val="none"/>
        </w:rPr>
        <w:t xml:space="preserve"> </w:t>
      </w:r>
      <w:r>
        <w:rPr>
          <w:rFonts w:hint="eastAsia" w:ascii="仿宋_GB2312" w:hAnsi="宋体" w:eastAsia="仿宋_GB2312"/>
          <w:color w:val="auto"/>
          <w:highlight w:val="none"/>
        </w:rPr>
        <w:t>采购活动，提供的货物全部由符合政策要求的中小企业制造。相关企业（含联合体中的中小企业、签订分包意向协议的中小企业）的具体情况如下：</w:t>
      </w:r>
    </w:p>
    <w:p>
      <w:pPr>
        <w:spacing w:line="360" w:lineRule="auto"/>
        <w:ind w:firstLine="480" w:firstLineChars="200"/>
        <w:rPr>
          <w:rFonts w:ascii="仿宋_GB2312" w:hAnsi="宋体" w:eastAsia="仿宋_GB2312"/>
          <w:color w:val="auto"/>
          <w:highlight w:val="none"/>
        </w:rPr>
      </w:pPr>
      <w:r>
        <w:rPr>
          <w:rFonts w:ascii="仿宋_GB2312" w:hAnsi="宋体" w:eastAsia="仿宋_GB2312"/>
          <w:color w:val="auto"/>
          <w:highlight w:val="none"/>
        </w:rPr>
        <w:t>1.</w:t>
      </w:r>
      <w:r>
        <w:rPr>
          <w:color w:val="auto"/>
          <w:highlight w:val="none"/>
        </w:rPr>
        <w:t xml:space="preserve"> </w:t>
      </w:r>
      <w:r>
        <w:rPr>
          <w:rFonts w:hint="eastAsia" w:ascii="仿宋_GB2312" w:hAnsi="宋体" w:eastAsia="仿宋_GB2312"/>
          <w:color w:val="auto"/>
          <w:highlight w:val="none"/>
          <w:u w:val="single"/>
        </w:rPr>
        <w:t>（标的名称）</w:t>
      </w:r>
      <w:r>
        <w:rPr>
          <w:rFonts w:ascii="仿宋_GB2312" w:hAnsi="宋体" w:eastAsia="仿宋_GB2312"/>
          <w:color w:val="auto"/>
          <w:highlight w:val="none"/>
        </w:rPr>
        <w:t xml:space="preserve"> ，属于 </w:t>
      </w:r>
      <w:r>
        <w:rPr>
          <w:rFonts w:hint="eastAsia" w:ascii="仿宋_GB2312" w:hAnsi="宋体" w:eastAsia="仿宋_GB2312"/>
          <w:color w:val="auto"/>
          <w:highlight w:val="none"/>
          <w:u w:val="single"/>
        </w:rPr>
        <w:t>（采购文件中明确的所属行业）</w:t>
      </w:r>
      <w:r>
        <w:rPr>
          <w:rFonts w:hint="eastAsia" w:ascii="仿宋_GB2312" w:hAnsi="宋体" w:eastAsia="仿宋_GB2312"/>
          <w:color w:val="auto"/>
          <w:highlight w:val="none"/>
        </w:rPr>
        <w:t>行业</w:t>
      </w:r>
      <w:r>
        <w:rPr>
          <w:rFonts w:ascii="仿宋_GB2312" w:hAnsi="宋体" w:eastAsia="仿宋_GB2312"/>
          <w:color w:val="auto"/>
          <w:highlight w:val="none"/>
        </w:rPr>
        <w:t xml:space="preserve"> </w:t>
      </w:r>
      <w:r>
        <w:rPr>
          <w:rFonts w:hint="eastAsia" w:ascii="仿宋_GB2312" w:hAnsi="宋体" w:eastAsia="仿宋_GB2312"/>
          <w:color w:val="auto"/>
          <w:highlight w:val="none"/>
        </w:rPr>
        <w:t>；制造商为</w:t>
      </w:r>
      <w:r>
        <w:rPr>
          <w:rFonts w:ascii="仿宋_GB2312" w:hAnsi="宋体" w:eastAsia="仿宋_GB2312"/>
          <w:color w:val="auto"/>
          <w:highlight w:val="none"/>
          <w:u w:val="single"/>
        </w:rPr>
        <w:t xml:space="preserve"> （企业名称）</w:t>
      </w:r>
      <w:r>
        <w:rPr>
          <w:rFonts w:ascii="仿宋_GB2312" w:hAnsi="宋体" w:eastAsia="仿宋_GB2312"/>
          <w:color w:val="auto"/>
          <w:highlight w:val="none"/>
        </w:rPr>
        <w:t xml:space="preserve"> ，从业人员</w:t>
      </w:r>
      <w:r>
        <w:rPr>
          <w:rFonts w:ascii="仿宋_GB2312" w:hAnsi="宋体" w:eastAsia="仿宋_GB2312"/>
          <w:color w:val="auto"/>
          <w:highlight w:val="none"/>
          <w:u w:val="single"/>
        </w:rPr>
        <w:t xml:space="preserve">  </w:t>
      </w:r>
      <w:r>
        <w:rPr>
          <w:rFonts w:hint="eastAsia" w:ascii="仿宋_GB2312" w:hAnsi="宋体" w:eastAsia="仿宋_GB2312"/>
          <w:color w:val="auto"/>
          <w:highlight w:val="none"/>
        </w:rPr>
        <w:t>人，营业收入为</w:t>
      </w:r>
      <w:r>
        <w:rPr>
          <w:rFonts w:ascii="仿宋_GB2312" w:hAnsi="宋体" w:eastAsia="仿宋_GB2312"/>
          <w:color w:val="auto"/>
          <w:highlight w:val="none"/>
          <w:u w:val="single"/>
        </w:rPr>
        <w:t xml:space="preserve">  </w:t>
      </w:r>
      <w:r>
        <w:rPr>
          <w:rFonts w:hint="eastAsia" w:ascii="仿宋_GB2312" w:hAnsi="宋体" w:eastAsia="仿宋_GB2312"/>
          <w:color w:val="auto"/>
          <w:highlight w:val="none"/>
        </w:rPr>
        <w:t>万元，资产总额为</w:t>
      </w:r>
      <w:r>
        <w:rPr>
          <w:rFonts w:ascii="仿宋_GB2312" w:hAnsi="宋体" w:eastAsia="仿宋_GB2312"/>
          <w:color w:val="auto"/>
          <w:highlight w:val="none"/>
          <w:u w:val="single"/>
        </w:rPr>
        <w:t xml:space="preserve">   </w:t>
      </w:r>
      <w:r>
        <w:rPr>
          <w:rFonts w:hint="eastAsia" w:ascii="仿宋_GB2312" w:hAnsi="宋体" w:eastAsia="仿宋_GB2312"/>
          <w:color w:val="auto"/>
          <w:highlight w:val="none"/>
        </w:rPr>
        <w:t>万元，属于</w:t>
      </w:r>
      <w:r>
        <w:rPr>
          <w:rFonts w:ascii="仿宋_GB2312" w:hAnsi="宋体" w:eastAsia="仿宋_GB2312"/>
          <w:color w:val="auto"/>
          <w:highlight w:val="none"/>
          <w:u w:val="single"/>
        </w:rPr>
        <w:t xml:space="preserve"> （中型企业、小型企业、微型企业）</w:t>
      </w:r>
      <w:r>
        <w:rPr>
          <w:rFonts w:ascii="仿宋_GB2312" w:hAnsi="宋体" w:eastAsia="仿宋_GB2312"/>
          <w:color w:val="auto"/>
          <w:highlight w:val="none"/>
        </w:rPr>
        <w:t xml:space="preserve"> ；</w:t>
      </w:r>
    </w:p>
    <w:p>
      <w:pPr>
        <w:spacing w:line="360" w:lineRule="auto"/>
        <w:ind w:firstLine="480" w:firstLineChars="200"/>
        <w:rPr>
          <w:rFonts w:ascii="仿宋_GB2312" w:hAnsi="宋体" w:eastAsia="仿宋_GB2312"/>
          <w:color w:val="auto"/>
          <w:highlight w:val="none"/>
        </w:rPr>
      </w:pPr>
      <w:r>
        <w:rPr>
          <w:rFonts w:ascii="仿宋_GB2312" w:hAnsi="宋体" w:eastAsia="仿宋_GB2312"/>
          <w:color w:val="auto"/>
          <w:highlight w:val="none"/>
        </w:rPr>
        <w:t>2.</w:t>
      </w:r>
      <w:r>
        <w:rPr>
          <w:color w:val="auto"/>
          <w:highlight w:val="none"/>
        </w:rPr>
        <w:t xml:space="preserve"> </w:t>
      </w:r>
      <w:r>
        <w:rPr>
          <w:rFonts w:hint="eastAsia" w:ascii="仿宋_GB2312" w:hAnsi="宋体" w:eastAsia="仿宋_GB2312"/>
          <w:color w:val="auto"/>
          <w:highlight w:val="none"/>
          <w:u w:val="single"/>
        </w:rPr>
        <w:t>（标的名称）</w:t>
      </w:r>
      <w:r>
        <w:rPr>
          <w:rFonts w:ascii="仿宋_GB2312" w:hAnsi="宋体" w:eastAsia="仿宋_GB2312"/>
          <w:color w:val="auto"/>
          <w:highlight w:val="none"/>
        </w:rPr>
        <w:t xml:space="preserve"> ，属于 </w:t>
      </w:r>
      <w:r>
        <w:rPr>
          <w:rFonts w:hint="eastAsia" w:ascii="仿宋_GB2312" w:hAnsi="宋体" w:eastAsia="仿宋_GB2312"/>
          <w:color w:val="auto"/>
          <w:highlight w:val="none"/>
          <w:u w:val="single"/>
        </w:rPr>
        <w:t>（采购文件中明确的所属行业）</w:t>
      </w:r>
      <w:r>
        <w:rPr>
          <w:rFonts w:hint="eastAsia" w:ascii="仿宋_GB2312" w:hAnsi="宋体" w:eastAsia="仿宋_GB2312"/>
          <w:color w:val="auto"/>
          <w:highlight w:val="none"/>
        </w:rPr>
        <w:t>行业</w:t>
      </w:r>
      <w:r>
        <w:rPr>
          <w:rFonts w:ascii="仿宋_GB2312" w:hAnsi="宋体" w:eastAsia="仿宋_GB2312"/>
          <w:color w:val="auto"/>
          <w:highlight w:val="none"/>
        </w:rPr>
        <w:t xml:space="preserve"> </w:t>
      </w:r>
      <w:r>
        <w:rPr>
          <w:rFonts w:hint="eastAsia" w:ascii="仿宋_GB2312" w:hAnsi="宋体" w:eastAsia="仿宋_GB2312"/>
          <w:color w:val="auto"/>
          <w:highlight w:val="none"/>
        </w:rPr>
        <w:t>；制造商为</w:t>
      </w:r>
      <w:r>
        <w:rPr>
          <w:rFonts w:ascii="仿宋_GB2312" w:hAnsi="宋体" w:eastAsia="仿宋_GB2312"/>
          <w:color w:val="auto"/>
          <w:highlight w:val="none"/>
          <w:u w:val="single"/>
        </w:rPr>
        <w:t xml:space="preserve"> （企业名称）</w:t>
      </w:r>
      <w:r>
        <w:rPr>
          <w:rFonts w:ascii="仿宋_GB2312" w:hAnsi="宋体" w:eastAsia="仿宋_GB2312"/>
          <w:color w:val="auto"/>
          <w:highlight w:val="none"/>
        </w:rPr>
        <w:t xml:space="preserve"> ，从业人员</w:t>
      </w:r>
      <w:r>
        <w:rPr>
          <w:rFonts w:ascii="仿宋_GB2312" w:hAnsi="宋体" w:eastAsia="仿宋_GB2312"/>
          <w:color w:val="auto"/>
          <w:highlight w:val="none"/>
          <w:u w:val="single"/>
        </w:rPr>
        <w:t xml:space="preserve">  </w:t>
      </w:r>
      <w:r>
        <w:rPr>
          <w:rFonts w:hint="eastAsia" w:ascii="仿宋_GB2312" w:hAnsi="宋体" w:eastAsia="仿宋_GB2312"/>
          <w:color w:val="auto"/>
          <w:highlight w:val="none"/>
        </w:rPr>
        <w:t>人，营业收入为</w:t>
      </w:r>
      <w:r>
        <w:rPr>
          <w:rFonts w:ascii="仿宋_GB2312" w:hAnsi="宋体" w:eastAsia="仿宋_GB2312"/>
          <w:color w:val="auto"/>
          <w:highlight w:val="none"/>
          <w:u w:val="single"/>
        </w:rPr>
        <w:t xml:space="preserve">  </w:t>
      </w:r>
      <w:r>
        <w:rPr>
          <w:rFonts w:hint="eastAsia" w:ascii="仿宋_GB2312" w:hAnsi="宋体" w:eastAsia="仿宋_GB2312"/>
          <w:color w:val="auto"/>
          <w:highlight w:val="none"/>
        </w:rPr>
        <w:t>万元，资产总额为</w:t>
      </w:r>
      <w:r>
        <w:rPr>
          <w:rFonts w:ascii="仿宋_GB2312" w:hAnsi="宋体" w:eastAsia="仿宋_GB2312"/>
          <w:color w:val="auto"/>
          <w:highlight w:val="none"/>
          <w:u w:val="single"/>
        </w:rPr>
        <w:t xml:space="preserve">   </w:t>
      </w:r>
      <w:r>
        <w:rPr>
          <w:rFonts w:hint="eastAsia" w:ascii="仿宋_GB2312" w:hAnsi="宋体" w:eastAsia="仿宋_GB2312"/>
          <w:color w:val="auto"/>
          <w:highlight w:val="none"/>
        </w:rPr>
        <w:t>万元，属于</w:t>
      </w:r>
      <w:r>
        <w:rPr>
          <w:rFonts w:ascii="仿宋_GB2312" w:hAnsi="宋体" w:eastAsia="仿宋_GB2312"/>
          <w:color w:val="auto"/>
          <w:highlight w:val="none"/>
          <w:u w:val="single"/>
        </w:rPr>
        <w:t xml:space="preserve"> （中型企业、小型企业、微型企业）</w:t>
      </w:r>
      <w:r>
        <w:rPr>
          <w:rFonts w:ascii="仿宋_GB2312" w:hAnsi="宋体" w:eastAsia="仿宋_GB2312"/>
          <w:color w:val="auto"/>
          <w:highlight w:val="none"/>
        </w:rPr>
        <w:t xml:space="preserve"> ；</w:t>
      </w:r>
    </w:p>
    <w:p>
      <w:pPr>
        <w:spacing w:line="360" w:lineRule="auto"/>
        <w:ind w:firstLine="480" w:firstLineChars="200"/>
        <w:rPr>
          <w:rFonts w:ascii="仿宋_GB2312" w:hAnsi="宋体" w:eastAsia="仿宋_GB2312"/>
          <w:color w:val="auto"/>
          <w:highlight w:val="none"/>
        </w:rPr>
      </w:pPr>
      <w:r>
        <w:rPr>
          <w:rFonts w:hint="eastAsia" w:ascii="仿宋_GB2312" w:hAnsi="宋体" w:eastAsia="仿宋_GB2312"/>
          <w:color w:val="auto"/>
          <w:highlight w:val="none"/>
        </w:rPr>
        <w:t>……</w:t>
      </w:r>
    </w:p>
    <w:p>
      <w:pPr>
        <w:spacing w:line="360" w:lineRule="auto"/>
        <w:ind w:firstLine="480" w:firstLineChars="200"/>
        <w:rPr>
          <w:rFonts w:ascii="仿宋_GB2312" w:hAnsi="宋体" w:eastAsia="仿宋_GB2312"/>
          <w:color w:val="auto"/>
          <w:highlight w:val="none"/>
        </w:rPr>
      </w:pPr>
      <w:r>
        <w:rPr>
          <w:rFonts w:hint="eastAsia" w:ascii="仿宋_GB2312" w:hAnsi="宋体" w:eastAsia="仿宋_GB2312"/>
          <w:color w:val="auto"/>
          <w:highlight w:val="none"/>
        </w:rPr>
        <w:t>以上企业，不属于大企业的分支机构，不存在控股股东为大企业的情形，也不存在与大企业的负责人为同一人的情形。</w:t>
      </w:r>
    </w:p>
    <w:p>
      <w:pPr>
        <w:spacing w:line="360" w:lineRule="auto"/>
        <w:ind w:firstLine="480" w:firstLineChars="200"/>
        <w:rPr>
          <w:rFonts w:ascii="仿宋_GB2312" w:hAnsi="宋体" w:eastAsia="仿宋_GB2312"/>
          <w:color w:val="auto"/>
          <w:highlight w:val="none"/>
        </w:rPr>
      </w:pPr>
      <w:r>
        <w:rPr>
          <w:rFonts w:hint="eastAsia" w:ascii="仿宋_GB2312" w:hAnsi="宋体" w:eastAsia="仿宋_GB2312"/>
          <w:color w:val="auto"/>
          <w:highlight w:val="none"/>
        </w:rPr>
        <w:t>本企业对上述声明内容的真实性负责。如有虚假，将依法承担相应责任。</w:t>
      </w:r>
    </w:p>
    <w:p>
      <w:pPr>
        <w:snapToGrid w:val="0"/>
        <w:spacing w:line="360" w:lineRule="auto"/>
        <w:ind w:firstLine="5160" w:firstLineChars="2150"/>
        <w:rPr>
          <w:rFonts w:ascii="仿宋_GB2312" w:eastAsia="仿宋_GB2312" w:cs="仿宋_GB2312"/>
          <w:color w:val="auto"/>
          <w:highlight w:val="none"/>
        </w:rPr>
      </w:pPr>
      <w:r>
        <w:rPr>
          <w:rFonts w:hint="eastAsia" w:ascii="仿宋_GB2312" w:eastAsia="仿宋_GB2312" w:cs="仿宋_GB2312"/>
          <w:color w:val="auto"/>
          <w:highlight w:val="none"/>
          <w:lang w:val="zh-CN"/>
        </w:rPr>
        <w:t>投标人名称</w:t>
      </w:r>
      <w:r>
        <w:rPr>
          <w:rFonts w:ascii="仿宋_GB2312" w:eastAsia="仿宋_GB2312" w:cs="仿宋_GB2312"/>
          <w:color w:val="auto"/>
          <w:highlight w:val="none"/>
          <w:lang w:val="zh-CN"/>
        </w:rPr>
        <w:t>(电子签名)：</w:t>
      </w:r>
    </w:p>
    <w:p>
      <w:pPr>
        <w:snapToGrid w:val="0"/>
        <w:spacing w:line="360" w:lineRule="auto"/>
        <w:rPr>
          <w:rFonts w:ascii="仿宋_GB2312" w:eastAsia="仿宋_GB2312" w:cs="仿宋_GB2312"/>
          <w:color w:val="auto"/>
          <w:highlight w:val="none"/>
          <w:lang w:val="zh-CN"/>
        </w:rPr>
      </w:pPr>
      <w:r>
        <w:rPr>
          <w:rFonts w:ascii="仿宋_GB2312" w:eastAsia="仿宋_GB2312" w:cs="仿宋_GB2312"/>
          <w:color w:val="auto"/>
          <w:highlight w:val="none"/>
          <w:lang w:val="zh-CN"/>
        </w:rPr>
        <w:t xml:space="preserve">                                           日期</w:t>
      </w:r>
      <w:r>
        <w:rPr>
          <w:rFonts w:hint="eastAsia" w:ascii="仿宋_GB2312" w:eastAsia="仿宋_GB2312" w:cs="仿宋_GB2312"/>
          <w:color w:val="auto"/>
          <w:highlight w:val="none"/>
        </w:rPr>
        <w:t>：</w:t>
      </w:r>
      <w:r>
        <w:rPr>
          <w:rFonts w:ascii="仿宋_GB2312" w:eastAsia="仿宋_GB2312" w:cs="仿宋_GB2312"/>
          <w:color w:val="auto"/>
          <w:highlight w:val="none"/>
        </w:rPr>
        <w:t xml:space="preserve">  年  </w:t>
      </w:r>
      <w:r>
        <w:rPr>
          <w:rFonts w:hint="eastAsia" w:ascii="仿宋_GB2312" w:eastAsia="仿宋_GB2312" w:cs="仿宋_GB2312"/>
          <w:color w:val="auto"/>
          <w:highlight w:val="none"/>
          <w:lang w:val="zh-CN"/>
        </w:rPr>
        <w:t>月</w:t>
      </w:r>
      <w:r>
        <w:rPr>
          <w:rFonts w:ascii="仿宋_GB2312" w:eastAsia="仿宋_GB2312" w:cs="仿宋_GB2312"/>
          <w:color w:val="auto"/>
          <w:highlight w:val="none"/>
        </w:rPr>
        <w:t xml:space="preserve">   </w:t>
      </w:r>
      <w:r>
        <w:rPr>
          <w:rFonts w:hint="eastAsia" w:ascii="仿宋_GB2312" w:eastAsia="仿宋_GB2312" w:cs="仿宋_GB2312"/>
          <w:color w:val="auto"/>
          <w:highlight w:val="none"/>
          <w:lang w:val="zh-CN"/>
        </w:rPr>
        <w:t>日</w:t>
      </w:r>
    </w:p>
    <w:p>
      <w:pPr>
        <w:spacing w:line="360" w:lineRule="auto"/>
        <w:rPr>
          <w:rFonts w:ascii="仿宋_GB2312" w:hAnsi="宋体" w:eastAsia="仿宋_GB2312"/>
          <w:color w:val="auto"/>
          <w:sz w:val="18"/>
          <w:szCs w:val="18"/>
          <w:highlight w:val="none"/>
        </w:rPr>
      </w:pPr>
      <w:r>
        <w:rPr>
          <w:rFonts w:hint="eastAsia" w:ascii="仿宋_GB2312" w:hAnsi="宋体" w:eastAsia="仿宋_GB2312"/>
          <w:color w:val="auto"/>
          <w:sz w:val="18"/>
          <w:szCs w:val="18"/>
          <w:highlight w:val="none"/>
        </w:rPr>
        <w:t>从业人员、营业收入、资产总额填报上一年度数据，无上一年度数据的新成立企业可不填报。</w:t>
      </w:r>
    </w:p>
    <w:p>
      <w:pPr>
        <w:spacing w:line="360" w:lineRule="auto"/>
        <w:ind w:right="420" w:firstLine="480" w:firstLineChars="200"/>
        <w:rPr>
          <w:rFonts w:ascii="仿宋_GB2312" w:eastAsia="仿宋_GB2312"/>
          <w:color w:val="auto"/>
          <w:highlight w:val="none"/>
        </w:rPr>
      </w:pPr>
      <w:r>
        <w:rPr>
          <w:rFonts w:hint="eastAsia" w:ascii="仿宋_GB2312" w:eastAsia="仿宋_GB2312" w:cs="仿宋_GB2312"/>
          <w:color w:val="auto"/>
          <w:highlight w:val="none"/>
        </w:rPr>
        <w:t>注：1、填写要求：①“</w:t>
      </w:r>
      <w:r>
        <w:rPr>
          <w:rFonts w:hint="eastAsia" w:ascii="仿宋_GB2312" w:hAnsi="宋体" w:eastAsia="仿宋_GB2312"/>
          <w:color w:val="auto"/>
          <w:highlight w:val="none"/>
        </w:rPr>
        <w:t>标的名称”、“采购文件中明确的所属行业”</w:t>
      </w:r>
      <w:r>
        <w:rPr>
          <w:rFonts w:hint="eastAsia" w:ascii="仿宋_GB2312" w:eastAsia="仿宋_GB2312" w:cs="仿宋_GB2312"/>
          <w:color w:val="auto"/>
          <w:highlight w:val="none"/>
        </w:rPr>
        <w:t>依据招标文件第二部分投标人须知前附表中“采购标的对应的中小企业划分标准所属行业”填写，不得缺漏；②</w:t>
      </w:r>
      <w:r>
        <w:rPr>
          <w:rFonts w:hint="eastAsia" w:ascii="仿宋_GB2312" w:hAnsi="宋体" w:eastAsia="仿宋_GB2312"/>
          <w:color w:val="auto"/>
          <w:highlight w:val="none"/>
        </w:rPr>
        <w:t>从业人员、营业收入、资产总额填报上一年度数据，无上一年度数据的新成立企业可不填报；</w:t>
      </w:r>
      <w:r>
        <w:rPr>
          <w:rFonts w:hint="eastAsia" w:ascii="仿宋_GB2312" w:eastAsia="仿宋_GB2312" w:cs="仿宋_GB2312"/>
          <w:color w:val="auto"/>
          <w:highlight w:val="none"/>
        </w:rPr>
        <w:t>③</w:t>
      </w:r>
      <w:r>
        <w:rPr>
          <w:rFonts w:hint="eastAsia" w:ascii="仿宋_GB2312" w:hAnsi="宋体" w:eastAsia="仿宋_GB2312"/>
          <w:color w:val="auto"/>
          <w:highlight w:val="none"/>
        </w:rPr>
        <w:t>中型企业、小型企业、微型企业等3种企业类型，结合以上数据，依据《中小企业划型标准规定》（工信部联企业〔2011〕300号）确定</w:t>
      </w:r>
      <w:r>
        <w:rPr>
          <w:rFonts w:hint="eastAsia" w:ascii="仿宋_GB2312" w:eastAsia="仿宋_GB2312" w:cs="仿宋_GB2312"/>
          <w:color w:val="auto"/>
          <w:highlight w:val="none"/>
        </w:rPr>
        <w:t>；④</w:t>
      </w:r>
      <w:r>
        <w:rPr>
          <w:rFonts w:hint="eastAsia" w:ascii="仿宋_GB2312" w:eastAsia="仿宋_GB2312"/>
          <w:color w:val="auto"/>
          <w:highlight w:val="none"/>
        </w:rPr>
        <w:t>投标人提供的《中小企业声明函》与实际情况不符的或者未按以上要求填写的，中小企业声明函无效，不享受中小企业扶持政策。声明内容不实的，属于提供虚假材料谋取中标、成交的，依法承担法律责任。</w:t>
      </w:r>
    </w:p>
    <w:p>
      <w:pPr>
        <w:spacing w:line="360" w:lineRule="auto"/>
        <w:ind w:right="420" w:firstLine="480" w:firstLineChars="200"/>
        <w:rPr>
          <w:rFonts w:ascii="仿宋_GB2312" w:eastAsia="仿宋_GB2312" w:cs="仿宋_GB2312"/>
          <w:color w:val="auto"/>
          <w:highlight w:val="none"/>
        </w:rPr>
      </w:pPr>
      <w:r>
        <w:rPr>
          <w:rFonts w:hint="eastAsia" w:ascii="仿宋_GB2312" w:eastAsia="仿宋_GB2312" w:cs="仿宋_GB2312"/>
          <w:color w:val="auto"/>
          <w:highlight w:val="none"/>
        </w:rPr>
        <w:t>2、</w:t>
      </w:r>
      <w:r>
        <w:rPr>
          <w:rFonts w:ascii="仿宋_GB2312" w:eastAsia="仿宋_GB2312" w:cs="仿宋_GB2312"/>
          <w:color w:val="auto"/>
          <w:highlight w:val="none"/>
        </w:rPr>
        <w:t>符合《关于促进残疾人就业政府采购政策的通知》（财库〔2017〕141号）规定的条件并提供《残疾人福利性单位声明函》（附件1）的残疾人福利性单位视同小型、微型企业；根据《关于政府采购支持监狱企业发展有关问题的通知》（财库[2014]68号）的规定，投标人提供由省级以上监狱管理局、戒毒管理局（含新疆生产建设兵团）出具的属于监狱企业证明文件的，视同为小型和微型企业。</w:t>
      </w:r>
    </w:p>
    <w:p>
      <w:pPr>
        <w:spacing w:line="276" w:lineRule="auto"/>
        <w:rPr>
          <w:rFonts w:ascii="仿宋_GB2312" w:eastAsia="仿宋_GB2312" w:cs="仿宋_GB2312"/>
          <w:b/>
          <w:color w:val="auto"/>
          <w:sz w:val="32"/>
          <w:szCs w:val="32"/>
          <w:highlight w:val="none"/>
        </w:rPr>
      </w:pPr>
      <w:r>
        <w:rPr>
          <w:rFonts w:ascii="仿宋_GB2312" w:eastAsia="仿宋_GB2312" w:cs="仿宋_GB2312"/>
          <w:b/>
          <w:color w:val="auto"/>
          <w:sz w:val="32"/>
          <w:szCs w:val="32"/>
          <w:highlight w:val="none"/>
        </w:rPr>
        <w:br w:type="page"/>
      </w:r>
    </w:p>
    <w:p>
      <w:pPr>
        <w:spacing w:line="360" w:lineRule="auto"/>
        <w:jc w:val="center"/>
        <w:rPr>
          <w:rFonts w:ascii="仿宋_GB2312" w:hAnsi="宋体" w:eastAsia="仿宋_GB2312"/>
          <w:b/>
          <w:color w:val="auto"/>
          <w:sz w:val="32"/>
          <w:szCs w:val="32"/>
          <w:highlight w:val="none"/>
        </w:rPr>
      </w:pPr>
      <w:r>
        <w:rPr>
          <w:rFonts w:hint="eastAsia" w:ascii="仿宋_GB2312" w:eastAsia="仿宋_GB2312" w:cs="仿宋_GB2312"/>
          <w:b/>
          <w:color w:val="auto"/>
          <w:sz w:val="32"/>
          <w:szCs w:val="32"/>
          <w:highlight w:val="none"/>
        </w:rPr>
        <w:t>中小企业声明函</w:t>
      </w:r>
      <w:r>
        <w:rPr>
          <w:rFonts w:hint="eastAsia" w:ascii="仿宋_GB2312" w:hAnsi="宋体" w:eastAsia="仿宋_GB2312"/>
          <w:b/>
          <w:color w:val="auto"/>
          <w:sz w:val="32"/>
          <w:szCs w:val="32"/>
          <w:highlight w:val="none"/>
        </w:rPr>
        <w:t>（工程、服务）</w:t>
      </w:r>
    </w:p>
    <w:p>
      <w:pPr>
        <w:spacing w:line="360" w:lineRule="auto"/>
        <w:rPr>
          <w:rFonts w:ascii="仿宋_GB2312" w:eastAsia="仿宋_GB2312"/>
          <w:color w:val="auto"/>
          <w:highlight w:val="none"/>
        </w:rPr>
      </w:pPr>
    </w:p>
    <w:p>
      <w:pPr>
        <w:spacing w:line="360" w:lineRule="auto"/>
        <w:ind w:firstLine="360" w:firstLineChars="150"/>
        <w:rPr>
          <w:rFonts w:ascii="仿宋_GB2312" w:hAnsi="宋体" w:eastAsia="仿宋_GB2312"/>
          <w:color w:val="auto"/>
          <w:highlight w:val="none"/>
        </w:rPr>
      </w:pPr>
      <w:r>
        <w:rPr>
          <w:rFonts w:hint="eastAsia" w:ascii="仿宋_GB2312" w:hAnsi="宋体" w:eastAsia="仿宋_GB2312"/>
          <w:color w:val="auto"/>
          <w:highlight w:val="none"/>
        </w:rPr>
        <w:t>本公司（联合体）郑重声明，根据《政府采购促进中小企业发展管理办法》（财库﹝</w:t>
      </w:r>
      <w:r>
        <w:rPr>
          <w:rFonts w:ascii="仿宋_GB2312" w:hAnsi="宋体" w:eastAsia="仿宋_GB2312"/>
          <w:color w:val="auto"/>
          <w:highlight w:val="none"/>
        </w:rPr>
        <w:t xml:space="preserve">2020﹞46 </w:t>
      </w:r>
      <w:r>
        <w:rPr>
          <w:rFonts w:hint="eastAsia" w:ascii="仿宋_GB2312" w:hAnsi="宋体" w:eastAsia="仿宋_GB2312"/>
          <w:color w:val="auto"/>
          <w:highlight w:val="none"/>
        </w:rPr>
        <w:t>号）的规定，本公司（联合体）参加</w:t>
      </w:r>
      <w:r>
        <w:rPr>
          <w:rFonts w:ascii="仿宋_GB2312" w:hAnsi="宋体" w:eastAsia="仿宋_GB2312"/>
          <w:color w:val="auto"/>
          <w:highlight w:val="none"/>
        </w:rPr>
        <w:t xml:space="preserve"> </w:t>
      </w:r>
      <w:r>
        <w:rPr>
          <w:rFonts w:hint="eastAsia" w:ascii="仿宋_GB2312" w:hAnsi="宋体" w:eastAsia="仿宋_GB2312"/>
          <w:color w:val="auto"/>
          <w:highlight w:val="none"/>
          <w:u w:val="single"/>
        </w:rPr>
        <w:t>（单位名称）</w:t>
      </w:r>
      <w:r>
        <w:rPr>
          <w:rFonts w:ascii="仿宋_GB2312" w:hAnsi="宋体" w:eastAsia="仿宋_GB2312"/>
          <w:color w:val="auto"/>
          <w:highlight w:val="none"/>
          <w:u w:val="single"/>
        </w:rPr>
        <w:t xml:space="preserve"> </w:t>
      </w:r>
      <w:r>
        <w:rPr>
          <w:rFonts w:hint="eastAsia" w:ascii="仿宋_GB2312" w:hAnsi="宋体" w:eastAsia="仿宋_GB2312"/>
          <w:color w:val="auto"/>
          <w:highlight w:val="none"/>
        </w:rPr>
        <w:t>的</w:t>
      </w:r>
      <w:r>
        <w:rPr>
          <w:rFonts w:ascii="仿宋_GB2312" w:hAnsi="宋体" w:eastAsia="仿宋_GB2312"/>
          <w:color w:val="auto"/>
          <w:highlight w:val="none"/>
          <w:u w:val="single"/>
        </w:rPr>
        <w:t xml:space="preserve"> </w:t>
      </w:r>
      <w:r>
        <w:rPr>
          <w:rFonts w:hint="eastAsia" w:ascii="仿宋_GB2312" w:hAnsi="宋体" w:eastAsia="仿宋_GB2312"/>
          <w:color w:val="auto"/>
          <w:highlight w:val="none"/>
          <w:u w:val="single"/>
        </w:rPr>
        <w:t>（项目名称）</w:t>
      </w:r>
      <w:r>
        <w:rPr>
          <w:rFonts w:ascii="仿宋_GB2312" w:hAnsi="宋体" w:eastAsia="仿宋_GB2312"/>
          <w:color w:val="auto"/>
          <w:highlight w:val="none"/>
          <w:u w:val="single"/>
        </w:rPr>
        <w:t xml:space="preserve"> </w:t>
      </w:r>
      <w:r>
        <w:rPr>
          <w:rFonts w:hint="eastAsia" w:ascii="仿宋_GB2312" w:hAnsi="宋体" w:eastAsia="仿宋_GB2312"/>
          <w:color w:val="auto"/>
          <w:highlight w:val="none"/>
        </w:rPr>
        <w:t>采购活动，工程的施工单位全部为符合政策要求的中小企业（或者：服务全部由符合政策要求的中小企业承接）。相关企业（含联合体中的中小企业、签订分包意向协议的中小企业）的具体情况如下：</w:t>
      </w:r>
    </w:p>
    <w:p>
      <w:pPr>
        <w:spacing w:line="360" w:lineRule="auto"/>
        <w:ind w:firstLine="480" w:firstLineChars="200"/>
        <w:rPr>
          <w:rFonts w:ascii="仿宋_GB2312" w:hAnsi="宋体" w:eastAsia="仿宋_GB2312"/>
          <w:color w:val="auto"/>
          <w:highlight w:val="none"/>
        </w:rPr>
      </w:pPr>
      <w:r>
        <w:rPr>
          <w:rFonts w:ascii="仿宋_GB2312" w:hAnsi="宋体" w:eastAsia="仿宋_GB2312"/>
          <w:color w:val="auto"/>
          <w:highlight w:val="none"/>
        </w:rPr>
        <w:t>1.</w:t>
      </w:r>
      <w:r>
        <w:rPr>
          <w:color w:val="auto"/>
          <w:highlight w:val="none"/>
        </w:rPr>
        <w:t xml:space="preserve"> </w:t>
      </w:r>
      <w:r>
        <w:rPr>
          <w:rFonts w:hint="eastAsia" w:ascii="仿宋_GB2312" w:hAnsi="宋体" w:eastAsia="仿宋_GB2312"/>
          <w:color w:val="auto"/>
          <w:highlight w:val="none"/>
          <w:u w:val="single"/>
        </w:rPr>
        <w:t>（标的名称）</w:t>
      </w:r>
      <w:r>
        <w:rPr>
          <w:rFonts w:hint="eastAsia" w:ascii="仿宋_GB2312" w:hAnsi="宋体" w:eastAsia="仿宋_GB2312"/>
          <w:color w:val="auto"/>
          <w:highlight w:val="none"/>
        </w:rPr>
        <w:t>，属于</w:t>
      </w:r>
      <w:r>
        <w:rPr>
          <w:rFonts w:ascii="仿宋_GB2312" w:hAnsi="宋体" w:eastAsia="仿宋_GB2312"/>
          <w:color w:val="auto"/>
          <w:highlight w:val="none"/>
        </w:rPr>
        <w:t xml:space="preserve"> </w:t>
      </w:r>
      <w:r>
        <w:rPr>
          <w:rFonts w:hint="eastAsia" w:ascii="仿宋_GB2312" w:hAnsi="宋体" w:eastAsia="仿宋_GB2312"/>
          <w:color w:val="auto"/>
          <w:highlight w:val="none"/>
          <w:u w:val="single"/>
        </w:rPr>
        <w:t>（采购文件中明确的所属行业）</w:t>
      </w:r>
      <w:r>
        <w:rPr>
          <w:rFonts w:ascii="仿宋_GB2312" w:hAnsi="宋体" w:eastAsia="仿宋_GB2312"/>
          <w:color w:val="auto"/>
          <w:highlight w:val="none"/>
        </w:rPr>
        <w:t xml:space="preserve"> ；承建（承接）企业为 </w:t>
      </w:r>
      <w:r>
        <w:rPr>
          <w:rFonts w:hint="eastAsia" w:ascii="仿宋_GB2312" w:hAnsi="宋体" w:eastAsia="仿宋_GB2312"/>
          <w:color w:val="auto"/>
          <w:highlight w:val="none"/>
          <w:u w:val="single"/>
        </w:rPr>
        <w:t>（企业名称）</w:t>
      </w:r>
      <w:r>
        <w:rPr>
          <w:rFonts w:ascii="仿宋_GB2312" w:hAnsi="宋体" w:eastAsia="仿宋_GB2312"/>
          <w:color w:val="auto"/>
          <w:highlight w:val="none"/>
        </w:rPr>
        <w:t xml:space="preserve"> ，从业人员</w:t>
      </w:r>
      <w:r>
        <w:rPr>
          <w:rFonts w:ascii="仿宋_GB2312" w:hAnsi="宋体" w:eastAsia="仿宋_GB2312"/>
          <w:color w:val="auto"/>
          <w:highlight w:val="none"/>
          <w:u w:val="single"/>
        </w:rPr>
        <w:t xml:space="preserve">   </w:t>
      </w:r>
      <w:r>
        <w:rPr>
          <w:rFonts w:hint="eastAsia" w:ascii="仿宋_GB2312" w:hAnsi="宋体" w:eastAsia="仿宋_GB2312"/>
          <w:color w:val="auto"/>
          <w:highlight w:val="none"/>
        </w:rPr>
        <w:t>人，营业收入为</w:t>
      </w:r>
      <w:r>
        <w:rPr>
          <w:rFonts w:ascii="仿宋_GB2312" w:hAnsi="宋体" w:eastAsia="仿宋_GB2312"/>
          <w:color w:val="auto"/>
          <w:highlight w:val="none"/>
          <w:u w:val="single"/>
        </w:rPr>
        <w:t xml:space="preserve">  </w:t>
      </w:r>
      <w:r>
        <w:rPr>
          <w:rFonts w:hint="eastAsia" w:ascii="仿宋_GB2312" w:hAnsi="宋体" w:eastAsia="仿宋_GB2312"/>
          <w:color w:val="auto"/>
          <w:highlight w:val="none"/>
        </w:rPr>
        <w:t>万元，资产总额为</w:t>
      </w:r>
      <w:r>
        <w:rPr>
          <w:rFonts w:ascii="仿宋_GB2312" w:hAnsi="宋体" w:eastAsia="仿宋_GB2312"/>
          <w:color w:val="auto"/>
          <w:highlight w:val="none"/>
          <w:u w:val="single"/>
        </w:rPr>
        <w:t xml:space="preserve">   </w:t>
      </w:r>
      <w:r>
        <w:rPr>
          <w:rFonts w:hint="eastAsia" w:ascii="仿宋_GB2312" w:hAnsi="宋体" w:eastAsia="仿宋_GB2312"/>
          <w:color w:val="auto"/>
          <w:highlight w:val="none"/>
        </w:rPr>
        <w:t>万元属于</w:t>
      </w:r>
      <w:r>
        <w:rPr>
          <w:rFonts w:ascii="仿宋_GB2312" w:hAnsi="宋体" w:eastAsia="仿宋_GB2312"/>
          <w:color w:val="auto"/>
          <w:highlight w:val="none"/>
          <w:u w:val="single"/>
        </w:rPr>
        <w:t xml:space="preserve"> （中型企业、小型企业、微型企业） </w:t>
      </w:r>
      <w:r>
        <w:rPr>
          <w:rFonts w:hint="eastAsia" w:ascii="仿宋_GB2312" w:hAnsi="宋体" w:eastAsia="仿宋_GB2312"/>
          <w:color w:val="auto"/>
          <w:highlight w:val="none"/>
        </w:rPr>
        <w:t>；</w:t>
      </w:r>
    </w:p>
    <w:p>
      <w:pPr>
        <w:spacing w:line="360" w:lineRule="auto"/>
        <w:ind w:firstLine="480" w:firstLineChars="200"/>
        <w:rPr>
          <w:rFonts w:ascii="仿宋_GB2312" w:hAnsi="宋体" w:eastAsia="仿宋_GB2312"/>
          <w:color w:val="auto"/>
          <w:highlight w:val="none"/>
        </w:rPr>
      </w:pPr>
      <w:r>
        <w:rPr>
          <w:rFonts w:ascii="仿宋_GB2312" w:hAnsi="宋体" w:eastAsia="仿宋_GB2312"/>
          <w:color w:val="auto"/>
          <w:highlight w:val="none"/>
        </w:rPr>
        <w:t>2.</w:t>
      </w:r>
      <w:r>
        <w:rPr>
          <w:color w:val="auto"/>
          <w:highlight w:val="none"/>
        </w:rPr>
        <w:t xml:space="preserve"> </w:t>
      </w:r>
      <w:r>
        <w:rPr>
          <w:rFonts w:hint="eastAsia" w:ascii="仿宋_GB2312" w:hAnsi="宋体" w:eastAsia="仿宋_GB2312"/>
          <w:color w:val="auto"/>
          <w:highlight w:val="none"/>
          <w:u w:val="single"/>
        </w:rPr>
        <w:t>（标的名称）</w:t>
      </w:r>
      <w:r>
        <w:rPr>
          <w:rFonts w:hint="eastAsia" w:ascii="仿宋_GB2312" w:hAnsi="宋体" w:eastAsia="仿宋_GB2312"/>
          <w:color w:val="auto"/>
          <w:highlight w:val="none"/>
        </w:rPr>
        <w:t>，属于</w:t>
      </w:r>
      <w:r>
        <w:rPr>
          <w:rFonts w:ascii="仿宋_GB2312" w:hAnsi="宋体" w:eastAsia="仿宋_GB2312"/>
          <w:color w:val="auto"/>
          <w:highlight w:val="none"/>
        </w:rPr>
        <w:t xml:space="preserve"> </w:t>
      </w:r>
      <w:r>
        <w:rPr>
          <w:rFonts w:hint="eastAsia" w:ascii="仿宋_GB2312" w:hAnsi="宋体" w:eastAsia="仿宋_GB2312"/>
          <w:color w:val="auto"/>
          <w:highlight w:val="none"/>
          <w:u w:val="single"/>
        </w:rPr>
        <w:t>（采购文件中明确的所属行业）</w:t>
      </w:r>
      <w:r>
        <w:rPr>
          <w:rFonts w:ascii="仿宋_GB2312" w:hAnsi="宋体" w:eastAsia="仿宋_GB2312"/>
          <w:color w:val="auto"/>
          <w:highlight w:val="none"/>
        </w:rPr>
        <w:t xml:space="preserve"> ；承建（承接）企业为 </w:t>
      </w:r>
      <w:r>
        <w:rPr>
          <w:rFonts w:hint="eastAsia" w:ascii="仿宋_GB2312" w:hAnsi="宋体" w:eastAsia="仿宋_GB2312"/>
          <w:color w:val="auto"/>
          <w:highlight w:val="none"/>
          <w:u w:val="single"/>
        </w:rPr>
        <w:t>（企业名称）</w:t>
      </w:r>
      <w:r>
        <w:rPr>
          <w:rFonts w:ascii="仿宋_GB2312" w:hAnsi="宋体" w:eastAsia="仿宋_GB2312"/>
          <w:color w:val="auto"/>
          <w:highlight w:val="none"/>
        </w:rPr>
        <w:t xml:space="preserve"> ，从业人员</w:t>
      </w:r>
      <w:r>
        <w:rPr>
          <w:rFonts w:ascii="仿宋_GB2312" w:hAnsi="宋体" w:eastAsia="仿宋_GB2312"/>
          <w:color w:val="auto"/>
          <w:highlight w:val="none"/>
          <w:u w:val="single"/>
        </w:rPr>
        <w:t xml:space="preserve">   </w:t>
      </w:r>
      <w:r>
        <w:rPr>
          <w:rFonts w:hint="eastAsia" w:ascii="仿宋_GB2312" w:hAnsi="宋体" w:eastAsia="仿宋_GB2312"/>
          <w:color w:val="auto"/>
          <w:highlight w:val="none"/>
        </w:rPr>
        <w:t>人，营业收入为</w:t>
      </w:r>
      <w:r>
        <w:rPr>
          <w:rFonts w:ascii="仿宋_GB2312" w:hAnsi="宋体" w:eastAsia="仿宋_GB2312"/>
          <w:color w:val="auto"/>
          <w:highlight w:val="none"/>
          <w:u w:val="single"/>
        </w:rPr>
        <w:t xml:space="preserve">  </w:t>
      </w:r>
      <w:r>
        <w:rPr>
          <w:rFonts w:hint="eastAsia" w:ascii="仿宋_GB2312" w:hAnsi="宋体" w:eastAsia="仿宋_GB2312"/>
          <w:color w:val="auto"/>
          <w:highlight w:val="none"/>
        </w:rPr>
        <w:t>万元，资产总额为</w:t>
      </w:r>
      <w:r>
        <w:rPr>
          <w:rFonts w:ascii="仿宋_GB2312" w:hAnsi="宋体" w:eastAsia="仿宋_GB2312"/>
          <w:color w:val="auto"/>
          <w:highlight w:val="none"/>
          <w:u w:val="single"/>
        </w:rPr>
        <w:t xml:space="preserve">   </w:t>
      </w:r>
      <w:r>
        <w:rPr>
          <w:rFonts w:hint="eastAsia" w:ascii="仿宋_GB2312" w:hAnsi="宋体" w:eastAsia="仿宋_GB2312"/>
          <w:color w:val="auto"/>
          <w:highlight w:val="none"/>
        </w:rPr>
        <w:t>万元属于</w:t>
      </w:r>
      <w:r>
        <w:rPr>
          <w:rFonts w:ascii="仿宋_GB2312" w:hAnsi="宋体" w:eastAsia="仿宋_GB2312"/>
          <w:color w:val="auto"/>
          <w:highlight w:val="none"/>
          <w:u w:val="single"/>
        </w:rPr>
        <w:t xml:space="preserve"> （中型企业、小型企业、微型企业） </w:t>
      </w:r>
      <w:r>
        <w:rPr>
          <w:rFonts w:hint="eastAsia" w:ascii="仿宋_GB2312" w:hAnsi="宋体" w:eastAsia="仿宋_GB2312"/>
          <w:color w:val="auto"/>
          <w:highlight w:val="none"/>
        </w:rPr>
        <w:t>；</w:t>
      </w:r>
    </w:p>
    <w:p>
      <w:pPr>
        <w:spacing w:line="360" w:lineRule="auto"/>
        <w:ind w:firstLine="480" w:firstLineChars="200"/>
        <w:rPr>
          <w:rFonts w:ascii="仿宋_GB2312" w:hAnsi="宋体" w:eastAsia="仿宋_GB2312"/>
          <w:color w:val="auto"/>
          <w:highlight w:val="none"/>
        </w:rPr>
      </w:pPr>
      <w:r>
        <w:rPr>
          <w:rFonts w:hint="eastAsia" w:ascii="仿宋_GB2312" w:hAnsi="宋体" w:eastAsia="仿宋_GB2312"/>
          <w:color w:val="auto"/>
          <w:highlight w:val="none"/>
        </w:rPr>
        <w:t>……</w:t>
      </w:r>
    </w:p>
    <w:p>
      <w:pPr>
        <w:spacing w:line="360" w:lineRule="auto"/>
        <w:ind w:firstLine="480" w:firstLineChars="200"/>
        <w:rPr>
          <w:rFonts w:ascii="仿宋_GB2312" w:hAnsi="宋体" w:eastAsia="仿宋_GB2312"/>
          <w:color w:val="auto"/>
          <w:highlight w:val="none"/>
        </w:rPr>
      </w:pPr>
      <w:r>
        <w:rPr>
          <w:rFonts w:hint="eastAsia" w:ascii="仿宋_GB2312" w:hAnsi="宋体" w:eastAsia="仿宋_GB2312"/>
          <w:color w:val="auto"/>
          <w:highlight w:val="none"/>
        </w:rPr>
        <w:t>以上企业，不属于大企业的分支机构，不存在控股股东为大企业的情形，也不存在与大企业的负责人为同一人的情形。</w:t>
      </w:r>
    </w:p>
    <w:p>
      <w:pPr>
        <w:spacing w:line="360" w:lineRule="auto"/>
        <w:ind w:firstLine="480" w:firstLineChars="200"/>
        <w:rPr>
          <w:rFonts w:ascii="仿宋_GB2312" w:hAnsi="宋体" w:eastAsia="仿宋_GB2312"/>
          <w:color w:val="auto"/>
          <w:highlight w:val="none"/>
        </w:rPr>
      </w:pPr>
      <w:r>
        <w:rPr>
          <w:rFonts w:hint="eastAsia" w:ascii="仿宋_GB2312" w:hAnsi="宋体" w:eastAsia="仿宋_GB2312"/>
          <w:color w:val="auto"/>
          <w:highlight w:val="none"/>
        </w:rPr>
        <w:t>本企业对上述声明内容的真实性负责。如有虚假，将依法承担相应责任。</w:t>
      </w:r>
    </w:p>
    <w:p>
      <w:pPr>
        <w:spacing w:line="360" w:lineRule="auto"/>
        <w:ind w:right="1760"/>
        <w:jc w:val="right"/>
        <w:rPr>
          <w:rFonts w:ascii="仿宋_GB2312" w:hAnsi="宋体" w:eastAsia="仿宋_GB2312"/>
          <w:color w:val="auto"/>
          <w:highlight w:val="none"/>
        </w:rPr>
      </w:pPr>
      <w:r>
        <w:rPr>
          <w:rFonts w:hint="eastAsia" w:ascii="仿宋_GB2312" w:eastAsia="仿宋_GB2312" w:cs="仿宋_GB2312"/>
          <w:color w:val="auto"/>
          <w:highlight w:val="none"/>
        </w:rPr>
        <w:t>投标人</w:t>
      </w:r>
      <w:r>
        <w:rPr>
          <w:rFonts w:hint="eastAsia" w:ascii="仿宋_GB2312" w:hAnsi="宋体" w:eastAsia="仿宋_GB2312"/>
          <w:color w:val="auto"/>
          <w:highlight w:val="none"/>
        </w:rPr>
        <w:t>名称（</w:t>
      </w:r>
      <w:r>
        <w:rPr>
          <w:rFonts w:hint="eastAsia" w:ascii="仿宋_GB2312" w:eastAsia="仿宋_GB2312" w:cs="仿宋_GB2312"/>
          <w:color w:val="auto"/>
          <w:highlight w:val="none"/>
        </w:rPr>
        <w:t>电子签名</w:t>
      </w:r>
      <w:r>
        <w:rPr>
          <w:rFonts w:hint="eastAsia" w:ascii="仿宋_GB2312" w:hAnsi="宋体" w:eastAsia="仿宋_GB2312"/>
          <w:color w:val="auto"/>
          <w:highlight w:val="none"/>
        </w:rPr>
        <w:t>）：</w:t>
      </w:r>
    </w:p>
    <w:p>
      <w:pPr>
        <w:spacing w:line="360" w:lineRule="auto"/>
        <w:ind w:right="1120" w:firstLine="4680" w:firstLineChars="1950"/>
        <w:rPr>
          <w:rFonts w:ascii="仿宋_GB2312" w:hAnsi="宋体" w:eastAsia="仿宋_GB2312"/>
          <w:color w:val="auto"/>
          <w:highlight w:val="none"/>
        </w:rPr>
      </w:pPr>
      <w:r>
        <w:rPr>
          <w:rFonts w:hint="eastAsia" w:ascii="仿宋_GB2312" w:hAnsi="宋体" w:eastAsia="仿宋_GB2312"/>
          <w:color w:val="auto"/>
          <w:highlight w:val="none"/>
        </w:rPr>
        <w:t>日</w:t>
      </w:r>
      <w:r>
        <w:rPr>
          <w:rFonts w:ascii="仿宋_GB2312" w:hAnsi="宋体" w:eastAsia="仿宋_GB2312"/>
          <w:color w:val="auto"/>
          <w:highlight w:val="none"/>
        </w:rPr>
        <w:t xml:space="preserve"> </w:t>
      </w:r>
      <w:r>
        <w:rPr>
          <w:rFonts w:hint="eastAsia" w:ascii="仿宋_GB2312" w:hAnsi="宋体" w:eastAsia="仿宋_GB2312"/>
          <w:color w:val="auto"/>
          <w:highlight w:val="none"/>
        </w:rPr>
        <w:t>期：</w:t>
      </w:r>
    </w:p>
    <w:p>
      <w:pPr>
        <w:spacing w:line="360" w:lineRule="auto"/>
        <w:ind w:firstLine="354" w:firstLineChars="147"/>
        <w:rPr>
          <w:rFonts w:ascii="仿宋_GB2312" w:hAnsi="宋体" w:eastAsia="仿宋_GB2312"/>
          <w:b/>
          <w:color w:val="auto"/>
          <w:szCs w:val="21"/>
          <w:highlight w:val="none"/>
        </w:rPr>
      </w:pPr>
      <w:r>
        <w:rPr>
          <w:rFonts w:hint="eastAsia" w:ascii="仿宋_GB2312" w:hAnsi="宋体" w:eastAsia="仿宋_GB2312"/>
          <w:b/>
          <w:color w:val="auto"/>
          <w:szCs w:val="21"/>
          <w:highlight w:val="none"/>
        </w:rPr>
        <w:t>从业人员、营业收入、资产总额填报上一年度数据，无上一年度数据的新成立企业可不填报。</w:t>
      </w:r>
    </w:p>
    <w:p>
      <w:pPr>
        <w:spacing w:line="360" w:lineRule="auto"/>
        <w:ind w:right="420"/>
        <w:rPr>
          <w:rFonts w:ascii="仿宋_GB2312" w:eastAsia="仿宋_GB2312" w:cs="仿宋_GB2312"/>
          <w:color w:val="auto"/>
          <w:highlight w:val="none"/>
        </w:rPr>
      </w:pPr>
    </w:p>
    <w:p>
      <w:pPr>
        <w:spacing w:line="360" w:lineRule="auto"/>
        <w:ind w:right="420"/>
        <w:rPr>
          <w:rFonts w:ascii="仿宋_GB2312" w:eastAsia="仿宋_GB2312" w:cs="仿宋_GB2312"/>
          <w:color w:val="auto"/>
          <w:highlight w:val="none"/>
        </w:rPr>
      </w:pPr>
      <w:r>
        <w:rPr>
          <w:rFonts w:ascii="仿宋_GB2312" w:eastAsia="仿宋_GB2312" w:cs="仿宋_GB2312"/>
          <w:color w:val="auto"/>
          <w:highlight w:val="none"/>
        </w:rPr>
        <w:t xml:space="preserve">   注：</w:t>
      </w:r>
    </w:p>
    <w:p>
      <w:pPr>
        <w:spacing w:line="360" w:lineRule="auto"/>
        <w:ind w:right="420" w:firstLine="480" w:firstLineChars="200"/>
        <w:rPr>
          <w:rFonts w:ascii="仿宋_GB2312" w:eastAsia="仿宋_GB2312"/>
          <w:color w:val="auto"/>
          <w:highlight w:val="none"/>
        </w:rPr>
      </w:pPr>
      <w:r>
        <w:rPr>
          <w:rFonts w:hint="eastAsia" w:ascii="仿宋_GB2312" w:eastAsia="仿宋_GB2312" w:cs="仿宋_GB2312"/>
          <w:color w:val="auto"/>
          <w:highlight w:val="none"/>
        </w:rPr>
        <w:t>1、填写要求：①“</w:t>
      </w:r>
      <w:r>
        <w:rPr>
          <w:rFonts w:hint="eastAsia" w:ascii="仿宋_GB2312" w:hAnsi="宋体" w:eastAsia="仿宋_GB2312"/>
          <w:color w:val="auto"/>
          <w:highlight w:val="none"/>
        </w:rPr>
        <w:t>标的名称”、“采购文件中明确的所属行业”</w:t>
      </w:r>
      <w:r>
        <w:rPr>
          <w:rFonts w:hint="eastAsia" w:ascii="仿宋_GB2312" w:eastAsia="仿宋_GB2312" w:cs="仿宋_GB2312"/>
          <w:color w:val="auto"/>
          <w:highlight w:val="none"/>
        </w:rPr>
        <w:t>依据招标文件第二部分投标人须知前附表中“采购标的对应的中小企业划分标准所属行业”填写，不得缺漏；②</w:t>
      </w:r>
      <w:r>
        <w:rPr>
          <w:rFonts w:hint="eastAsia" w:ascii="仿宋_GB2312" w:hAnsi="宋体" w:eastAsia="仿宋_GB2312"/>
          <w:color w:val="auto"/>
          <w:highlight w:val="none"/>
        </w:rPr>
        <w:t>从业人员、营业收入、资产总额填报上一年度数据，无上一年度数据的新成立企业可不填报；</w:t>
      </w:r>
      <w:r>
        <w:rPr>
          <w:rFonts w:hint="eastAsia" w:ascii="仿宋_GB2312" w:eastAsia="仿宋_GB2312" w:cs="仿宋_GB2312"/>
          <w:color w:val="auto"/>
          <w:highlight w:val="none"/>
        </w:rPr>
        <w:t>③</w:t>
      </w:r>
      <w:r>
        <w:rPr>
          <w:rFonts w:hint="eastAsia" w:ascii="仿宋_GB2312" w:hAnsi="宋体" w:eastAsia="仿宋_GB2312"/>
          <w:color w:val="auto"/>
          <w:highlight w:val="none"/>
        </w:rPr>
        <w:t>中型企业、小型企业、微型企业等3种企业类型，结合以上数据，依据《中小企业划型标准规定》（工信部联企业〔2011〕300号）确定</w:t>
      </w:r>
      <w:r>
        <w:rPr>
          <w:rFonts w:hint="eastAsia" w:ascii="仿宋_GB2312" w:eastAsia="仿宋_GB2312" w:cs="仿宋_GB2312"/>
          <w:color w:val="auto"/>
          <w:highlight w:val="none"/>
        </w:rPr>
        <w:t>；④</w:t>
      </w:r>
      <w:r>
        <w:rPr>
          <w:rFonts w:hint="eastAsia" w:ascii="仿宋_GB2312" w:eastAsia="仿宋_GB2312"/>
          <w:color w:val="auto"/>
          <w:highlight w:val="none"/>
        </w:rPr>
        <w:t>投标人提供的《中小企业声明函》与实际情况不符的或者未按以上要求填写的，中小企业声明函无效，不享受中小企业扶持政策。声明内容不实的，属于提供虚假材料谋取中标、成交的，依法承担法律责任。</w:t>
      </w:r>
    </w:p>
    <w:p>
      <w:pPr>
        <w:spacing w:line="360" w:lineRule="auto"/>
        <w:ind w:right="420" w:firstLine="720" w:firstLineChars="300"/>
        <w:rPr>
          <w:rFonts w:ascii="仿宋_GB2312" w:eastAsia="仿宋_GB2312" w:cs="仿宋_GB2312"/>
          <w:color w:val="auto"/>
          <w:highlight w:val="none"/>
        </w:rPr>
      </w:pPr>
      <w:r>
        <w:rPr>
          <w:rFonts w:hint="eastAsia" w:ascii="仿宋_GB2312" w:eastAsia="仿宋_GB2312" w:cs="仿宋_GB2312"/>
          <w:color w:val="auto"/>
          <w:highlight w:val="none"/>
        </w:rPr>
        <w:t>2、</w:t>
      </w:r>
      <w:r>
        <w:rPr>
          <w:rFonts w:ascii="仿宋_GB2312" w:eastAsia="仿宋_GB2312" w:cs="仿宋_GB2312"/>
          <w:color w:val="auto"/>
          <w:highlight w:val="none"/>
        </w:rPr>
        <w:t>符合《关于促进残疾人就业政府采购政策的通知》（财库〔2017〕141号）规定的条件并提供《残疾人福利性单位声明函》（附件1）的残疾人福利性单位视同小型、微型企业；根据《关于政府采购支持监狱企业发展有关问题的通知》（财库[2014]68号）的规定，投标人提供由省级以上监狱管理局、戒毒管理局（含新疆生产建设兵团）出具的属于监狱企业证明文件的，视同为小型和微型企业。</w:t>
      </w:r>
    </w:p>
    <w:p>
      <w:pPr>
        <w:rPr>
          <w:rFonts w:ascii="仿宋_GB2312" w:eastAsia="仿宋_GB2312" w:cs="仿宋_GB2312"/>
          <w:color w:val="auto"/>
          <w:highlight w:val="none"/>
        </w:rPr>
      </w:pPr>
      <w:r>
        <w:rPr>
          <w:rFonts w:ascii="仿宋_GB2312" w:eastAsia="仿宋_GB2312" w:cs="仿宋_GB2312"/>
          <w:color w:val="auto"/>
          <w:highlight w:val="none"/>
        </w:rPr>
        <w:br w:type="page"/>
      </w:r>
    </w:p>
    <w:p>
      <w:pPr>
        <w:pStyle w:val="2"/>
        <w:jc w:val="left"/>
        <w:rPr>
          <w:rFonts w:cs="仿宋_GB2312"/>
          <w:color w:val="auto"/>
          <w:sz w:val="24"/>
          <w:highlight w:val="none"/>
        </w:rPr>
      </w:pPr>
      <w:r>
        <w:rPr>
          <w:rFonts w:hint="eastAsia"/>
          <w:color w:val="auto"/>
          <w:highlight w:val="none"/>
        </w:rPr>
        <w:t>附件6样品（演示）授权委托书</w:t>
      </w:r>
    </w:p>
    <w:p>
      <w:pPr>
        <w:jc w:val="center"/>
        <w:rPr>
          <w:color w:val="auto"/>
          <w:sz w:val="40"/>
          <w:highlight w:val="none"/>
        </w:rPr>
      </w:pPr>
      <w:r>
        <w:rPr>
          <w:rFonts w:hint="eastAsia"/>
          <w:color w:val="auto"/>
          <w:sz w:val="40"/>
          <w:highlight w:val="none"/>
        </w:rPr>
        <w:t>样品（演示）授权委托书</w:t>
      </w:r>
    </w:p>
    <w:p>
      <w:pPr>
        <w:jc w:val="center"/>
        <w:rPr>
          <w:color w:val="auto"/>
          <w:sz w:val="40"/>
          <w:highlight w:val="none"/>
        </w:rPr>
      </w:pPr>
    </w:p>
    <w:p>
      <w:pPr>
        <w:snapToGrid w:val="0"/>
        <w:spacing w:line="360" w:lineRule="auto"/>
        <w:rPr>
          <w:rFonts w:cs="仿宋"/>
          <w:color w:val="auto"/>
          <w:highlight w:val="none"/>
        </w:rPr>
      </w:pPr>
      <w:r>
        <w:rPr>
          <w:rFonts w:hint="eastAsia" w:cs="仿宋_GB2312"/>
          <w:color w:val="auto"/>
          <w:highlight w:val="none"/>
        </w:rPr>
        <w:t>XXX（单位名称或采购机构名称）</w:t>
      </w:r>
      <w:r>
        <w:rPr>
          <w:rFonts w:hint="eastAsia" w:cs="仿宋"/>
          <w:color w:val="auto"/>
          <w:highlight w:val="none"/>
          <w:lang w:val="zh-CN"/>
        </w:rPr>
        <w:t>：</w:t>
      </w:r>
    </w:p>
    <w:p>
      <w:pPr>
        <w:snapToGrid w:val="0"/>
        <w:spacing w:line="360" w:lineRule="auto"/>
        <w:ind w:left="290" w:leftChars="121" w:firstLine="480" w:firstLineChars="200"/>
        <w:rPr>
          <w:rFonts w:cs="仿宋"/>
          <w:color w:val="auto"/>
          <w:highlight w:val="none"/>
          <w:u w:val="single"/>
          <w:lang w:val="zh-CN"/>
        </w:rPr>
      </w:pPr>
      <w:r>
        <w:rPr>
          <w:rFonts w:hint="eastAsia" w:cs="仿宋"/>
          <w:color w:val="auto"/>
          <w:highlight w:val="none"/>
          <w:lang w:val="zh-CN"/>
        </w:rPr>
        <w:t>兹委派</w:t>
      </w:r>
      <w:r>
        <w:rPr>
          <w:rFonts w:hint="eastAsia" w:cs="仿宋"/>
          <w:color w:val="auto"/>
          <w:highlight w:val="none"/>
          <w:u w:val="single"/>
          <w:lang w:val="zh-CN"/>
        </w:rPr>
        <w:t xml:space="preserve">                </w:t>
      </w:r>
      <w:r>
        <w:rPr>
          <w:rFonts w:hint="eastAsia" w:cs="仿宋"/>
          <w:color w:val="auto"/>
          <w:highlight w:val="none"/>
          <w:lang w:val="zh-CN"/>
        </w:rPr>
        <w:t>先生/女士，身份证号：</w:t>
      </w:r>
      <w:r>
        <w:rPr>
          <w:rFonts w:hint="eastAsia" w:cs="仿宋"/>
          <w:color w:val="auto"/>
          <w:highlight w:val="none"/>
          <w:u w:val="single"/>
          <w:lang w:val="zh-CN"/>
        </w:rPr>
        <w:t xml:space="preserve"> </w:t>
      </w:r>
      <w:r>
        <w:rPr>
          <w:rFonts w:cs="仿宋"/>
          <w:color w:val="auto"/>
          <w:highlight w:val="none"/>
          <w:u w:val="single"/>
          <w:lang w:val="zh-CN"/>
        </w:rPr>
        <w:t xml:space="preserve">                  </w:t>
      </w:r>
    </w:p>
    <w:p>
      <w:pPr>
        <w:snapToGrid w:val="0"/>
        <w:spacing w:line="360" w:lineRule="auto"/>
        <w:ind w:left="290" w:leftChars="121" w:firstLine="480" w:firstLineChars="200"/>
        <w:rPr>
          <w:rFonts w:cs="仿宋"/>
          <w:color w:val="auto"/>
          <w:highlight w:val="none"/>
        </w:rPr>
      </w:pPr>
      <w:r>
        <w:rPr>
          <w:rFonts w:hint="eastAsia" w:cs="仿宋"/>
          <w:color w:val="auto"/>
          <w:highlight w:val="none"/>
          <w:lang w:val="zh-CN"/>
        </w:rPr>
        <w:t>手机：</w:t>
      </w:r>
      <w:r>
        <w:rPr>
          <w:rFonts w:hint="eastAsia" w:cs="仿宋"/>
          <w:color w:val="auto"/>
          <w:highlight w:val="none"/>
          <w:u w:val="single"/>
          <w:lang w:val="zh-CN"/>
        </w:rPr>
        <w:t xml:space="preserve">      </w:t>
      </w:r>
      <w:r>
        <w:rPr>
          <w:rFonts w:cs="仿宋"/>
          <w:color w:val="auto"/>
          <w:highlight w:val="none"/>
          <w:u w:val="single"/>
          <w:lang w:val="zh-CN"/>
        </w:rPr>
        <w:t xml:space="preserve">     </w:t>
      </w:r>
      <w:r>
        <w:rPr>
          <w:rFonts w:hint="eastAsia" w:cs="仿宋"/>
          <w:color w:val="auto"/>
          <w:highlight w:val="none"/>
          <w:u w:val="single"/>
          <w:lang w:val="zh-CN"/>
        </w:rPr>
        <w:t xml:space="preserve">  </w:t>
      </w:r>
      <w:r>
        <w:rPr>
          <w:rFonts w:hint="eastAsia" w:cs="仿宋"/>
          <w:color w:val="auto"/>
          <w:highlight w:val="none"/>
          <w:lang w:val="zh-CN"/>
        </w:rPr>
        <w:t>，代表我公司前来递交</w:t>
      </w:r>
      <w:r>
        <w:rPr>
          <w:rFonts w:cs="仿宋"/>
          <w:color w:val="auto"/>
          <w:highlight w:val="none"/>
          <w:u w:val="single"/>
          <w:lang w:val="zh-CN"/>
        </w:rPr>
        <w:t xml:space="preserve">                           </w:t>
      </w:r>
      <w:r>
        <w:rPr>
          <w:rFonts w:hint="eastAsia" w:cs="仿宋"/>
          <w:color w:val="auto"/>
          <w:highlight w:val="none"/>
          <w:u w:val="single"/>
          <w:lang w:val="zh-CN"/>
        </w:rPr>
        <w:t>采购项目</w:t>
      </w:r>
      <w:r>
        <w:rPr>
          <w:rFonts w:hint="eastAsia" w:cs="仿宋"/>
          <w:color w:val="auto"/>
          <w:highlight w:val="none"/>
          <w:lang w:val="zh-CN"/>
        </w:rPr>
        <w:t>【项目编号：</w:t>
      </w:r>
      <w:r>
        <w:rPr>
          <w:rFonts w:cs="仿宋"/>
          <w:color w:val="auto"/>
          <w:highlight w:val="none"/>
          <w:lang w:val="zh-CN"/>
        </w:rPr>
        <w:t xml:space="preserve">              </w:t>
      </w:r>
      <w:r>
        <w:rPr>
          <w:rFonts w:hint="eastAsia" w:cs="仿宋"/>
          <w:color w:val="auto"/>
          <w:highlight w:val="none"/>
          <w:lang w:val="zh-CN"/>
        </w:rPr>
        <w:t xml:space="preserve">】（标项号： </w:t>
      </w:r>
      <w:r>
        <w:rPr>
          <w:rFonts w:cs="仿宋"/>
          <w:color w:val="auto"/>
          <w:highlight w:val="none"/>
          <w:lang w:val="zh-CN"/>
        </w:rPr>
        <w:t xml:space="preserve"> </w:t>
      </w:r>
      <w:r>
        <w:rPr>
          <w:rFonts w:hint="eastAsia" w:cs="仿宋"/>
          <w:color w:val="auto"/>
          <w:highlight w:val="none"/>
          <w:lang w:val="zh-CN"/>
        </w:rPr>
        <w:t>）投标样品或参加演示，并全权负责标后取回样品等其他处理事宜。</w:t>
      </w:r>
    </w:p>
    <w:p>
      <w:pPr>
        <w:snapToGrid w:val="0"/>
        <w:spacing w:line="360" w:lineRule="auto"/>
        <w:rPr>
          <w:rFonts w:cs="仿宋"/>
          <w:color w:val="auto"/>
          <w:highlight w:val="none"/>
          <w:lang w:val="zh-CN"/>
        </w:rPr>
      </w:pPr>
      <w:r>
        <w:rPr>
          <w:rFonts w:hint="eastAsia" w:cs="仿宋"/>
          <w:color w:val="auto"/>
          <w:highlight w:val="none"/>
          <w:lang w:val="zh-CN"/>
        </w:rPr>
        <w:t xml:space="preserve">  </w:t>
      </w:r>
    </w:p>
    <w:p>
      <w:pPr>
        <w:snapToGrid w:val="0"/>
        <w:spacing w:line="360" w:lineRule="auto"/>
        <w:rPr>
          <w:rFonts w:cs="仿宋"/>
          <w:color w:val="auto"/>
          <w:highlight w:val="none"/>
        </w:rPr>
      </w:pPr>
      <w:r>
        <w:rPr>
          <w:rFonts w:hint="eastAsia" w:cs="仿宋"/>
          <w:color w:val="auto"/>
          <w:highlight w:val="none"/>
          <w:lang w:val="zh-CN"/>
        </w:rPr>
        <w:t xml:space="preserve">    特此告知。</w:t>
      </w:r>
    </w:p>
    <w:p>
      <w:pPr>
        <w:snapToGrid w:val="0"/>
        <w:spacing w:line="360" w:lineRule="auto"/>
        <w:rPr>
          <w:rFonts w:cs="仿宋"/>
          <w:color w:val="auto"/>
          <w:highlight w:val="none"/>
        </w:rPr>
      </w:pPr>
      <w:r>
        <w:rPr>
          <w:rFonts w:hint="eastAsia" w:cs="仿宋"/>
          <w:color w:val="auto"/>
          <w:highlight w:val="none"/>
          <w:lang w:val="zh-CN"/>
        </w:rPr>
        <w:t xml:space="preserve">                                                  投标人名称(公章)：</w:t>
      </w:r>
    </w:p>
    <w:p>
      <w:pPr>
        <w:snapToGrid w:val="0"/>
        <w:spacing w:line="360" w:lineRule="auto"/>
        <w:rPr>
          <w:rFonts w:cs="仿宋"/>
          <w:color w:val="auto"/>
          <w:highlight w:val="none"/>
        </w:rPr>
      </w:pPr>
      <w:r>
        <w:rPr>
          <w:rFonts w:hint="eastAsia" w:cs="仿宋"/>
          <w:color w:val="auto"/>
          <w:highlight w:val="none"/>
          <w:lang w:val="zh-CN"/>
        </w:rPr>
        <w:t xml:space="preserve">                                                  </w:t>
      </w:r>
    </w:p>
    <w:p>
      <w:pPr>
        <w:snapToGrid w:val="0"/>
        <w:spacing w:line="360" w:lineRule="auto"/>
        <w:ind w:right="240"/>
        <w:jc w:val="right"/>
        <w:rPr>
          <w:rFonts w:cs="仿宋"/>
          <w:color w:val="auto"/>
          <w:highlight w:val="none"/>
          <w:lang w:val="zh-CN"/>
        </w:rPr>
      </w:pPr>
      <w:r>
        <w:rPr>
          <w:rFonts w:hint="eastAsia" w:cs="仿宋"/>
          <w:color w:val="auto"/>
          <w:highlight w:val="none"/>
          <w:lang w:val="zh-CN"/>
        </w:rPr>
        <w:t>签发日期：  年  月   日</w:t>
      </w:r>
    </w:p>
    <w:p>
      <w:pPr>
        <w:snapToGrid w:val="0"/>
        <w:spacing w:line="360" w:lineRule="auto"/>
        <w:ind w:right="240"/>
        <w:jc w:val="right"/>
        <w:rPr>
          <w:rFonts w:cs="仿宋"/>
          <w:color w:val="auto"/>
          <w:highlight w:val="none"/>
          <w:lang w:val="zh-CN"/>
        </w:rPr>
      </w:pPr>
    </w:p>
    <w:p>
      <w:pPr>
        <w:snapToGrid w:val="0"/>
        <w:spacing w:line="360" w:lineRule="auto"/>
        <w:ind w:right="1920"/>
        <w:rPr>
          <w:rFonts w:cs="仿宋"/>
          <w:color w:val="auto"/>
          <w:highlight w:val="none"/>
          <w:lang w:val="zh-CN"/>
        </w:rPr>
      </w:pPr>
    </w:p>
    <w:p>
      <w:pPr>
        <w:snapToGrid w:val="0"/>
        <w:spacing w:line="360" w:lineRule="auto"/>
        <w:ind w:right="240"/>
        <w:jc w:val="right"/>
        <w:rPr>
          <w:rFonts w:cs="仿宋"/>
          <w:color w:val="auto"/>
          <w:highlight w:val="none"/>
          <w:lang w:val="zh-CN"/>
        </w:rPr>
      </w:pPr>
    </w:p>
    <w:p>
      <w:pPr>
        <w:snapToGrid w:val="0"/>
        <w:spacing w:line="360" w:lineRule="auto"/>
        <w:ind w:right="240"/>
        <w:rPr>
          <w:rFonts w:cs="仿宋"/>
          <w:color w:val="auto"/>
          <w:highlight w:val="none"/>
          <w:lang w:val="zh-CN"/>
        </w:rPr>
      </w:pPr>
      <w:r>
        <w:rPr>
          <w:rFonts w:hint="eastAsia" w:cs="仿宋"/>
          <w:color w:val="auto"/>
          <w:highlight w:val="none"/>
        </w:rPr>
        <w:t>受委托人</w:t>
      </w:r>
      <w:r>
        <w:rPr>
          <w:rFonts w:hint="eastAsia" w:cs="仿宋"/>
          <w:color w:val="auto"/>
          <w:highlight w:val="none"/>
          <w:lang w:val="zh-CN"/>
        </w:rPr>
        <w:t>身份证复印件：</w:t>
      </w:r>
    </w:p>
    <w:p>
      <w:pPr>
        <w:snapToGrid w:val="0"/>
        <w:spacing w:line="360" w:lineRule="auto"/>
        <w:ind w:right="240"/>
        <w:rPr>
          <w:rFonts w:cs="仿宋"/>
          <w:color w:val="auto"/>
          <w:highlight w:val="none"/>
          <w:lang w:val="zh-CN"/>
        </w:rPr>
      </w:pPr>
    </w:p>
    <w:p>
      <w:pPr>
        <w:snapToGrid w:val="0"/>
        <w:spacing w:line="360" w:lineRule="auto"/>
        <w:ind w:right="240"/>
        <w:rPr>
          <w:rFonts w:cs="仿宋"/>
          <w:color w:val="auto"/>
          <w:highlight w:val="none"/>
          <w:lang w:val="zh-CN"/>
        </w:rPr>
      </w:pPr>
      <w:r>
        <w:rPr>
          <w:rFonts w:hint="eastAsia" w:cs="仿宋"/>
          <w:color w:val="auto"/>
          <w:highlight w:val="none"/>
          <w:lang w:val="zh-CN"/>
        </w:rPr>
        <w:t>说明：本委托书在有样品或演示时由受委托人携带至指定地点。</w:t>
      </w:r>
    </w:p>
    <w:p>
      <w:pPr>
        <w:spacing w:line="360" w:lineRule="auto"/>
        <w:rPr>
          <w:rFonts w:cs="仿宋_GB2312"/>
          <w:b/>
          <w:color w:val="auto"/>
          <w:highlight w:val="none"/>
        </w:rPr>
      </w:pPr>
      <w:r>
        <w:rPr>
          <w:rFonts w:cs="仿宋_GB2312"/>
          <w:b/>
          <w:color w:val="auto"/>
          <w:highlight w:val="none"/>
        </w:rPr>
        <w:t>同时有样品和演示的</w:t>
      </w:r>
      <w:r>
        <w:rPr>
          <w:rFonts w:hint="eastAsia" w:cs="仿宋_GB2312"/>
          <w:b/>
          <w:color w:val="auto"/>
          <w:highlight w:val="none"/>
        </w:rPr>
        <w:t>，</w:t>
      </w:r>
      <w:r>
        <w:rPr>
          <w:rFonts w:cs="仿宋_GB2312"/>
          <w:b/>
          <w:color w:val="auto"/>
          <w:highlight w:val="none"/>
        </w:rPr>
        <w:t>可委托不同人员</w:t>
      </w:r>
      <w:r>
        <w:rPr>
          <w:rFonts w:hint="eastAsia" w:cs="仿宋_GB2312"/>
          <w:b/>
          <w:color w:val="auto"/>
          <w:highlight w:val="none"/>
        </w:rPr>
        <w:t>。</w:t>
      </w:r>
    </w:p>
    <w:p>
      <w:pPr>
        <w:spacing w:line="360" w:lineRule="auto"/>
        <w:ind w:right="420"/>
        <w:rPr>
          <w:rFonts w:ascii="仿宋_GB2312" w:eastAsia="仿宋_GB2312" w:cs="仿宋_GB2312"/>
          <w:color w:val="auto"/>
          <w:highlight w:val="none"/>
        </w:rPr>
      </w:pPr>
    </w:p>
    <w:sectPr>
      <w:pgSz w:w="11906" w:h="16838"/>
      <w:pgMar w:top="1440" w:right="1700" w:bottom="1440" w:left="1800" w:header="851" w:footer="992" w:gutter="0"/>
      <w:cols w:space="425" w:num="1"/>
      <w:docGrid w:type="lines" w:linePitch="326"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00007A87" w:usb1="80000000" w:usb2="00000008" w:usb3="00000000" w:csb0="400001FF" w:csb1="FFFF0000"/>
  </w:font>
  <w:font w:name="宋体">
    <w:panose1 w:val="02010600030101010101"/>
    <w:charset w:val="50"/>
    <w:family w:val="auto"/>
    <w:pitch w:val="default"/>
    <w:sig w:usb0="00000003" w:usb1="080E0000" w:usb2="00000000"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00007A87" w:usb1="80000000" w:usb2="00000008" w:usb3="00000000" w:csb0="400001FF" w:csb1="FFFF0000"/>
  </w:font>
  <w:font w:name="黑体">
    <w:panose1 w:val="02010600030101010101"/>
    <w:charset w:val="86"/>
    <w:family w:val="auto"/>
    <w:pitch w:val="default"/>
    <w:sig w:usb0="00000001" w:usb1="080E0000" w:usb2="00000000" w:usb3="00000000" w:csb0="00040000" w:csb1="00000000"/>
  </w:font>
  <w:font w:name="Courier New">
    <w:panose1 w:val="02070309020205020404"/>
    <w:charset w:val="01"/>
    <w:family w:val="modern"/>
    <w:pitch w:val="default"/>
    <w:sig w:usb0="00007A87" w:usb1="80000000" w:usb2="00000008" w:usb3="00000000" w:csb0="400001FF" w:csb1="FFFF0000"/>
  </w:font>
  <w:font w:name="Symbol">
    <w:panose1 w:val="05050102010706020507"/>
    <w:charset w:val="02"/>
    <w:family w:val="roman"/>
    <w:pitch w:val="default"/>
    <w:sig w:usb0="00000000" w:usb1="00000000" w:usb2="00000000" w:usb3="00000000" w:csb0="80000000" w:csb1="00000000"/>
  </w:font>
  <w:font w:name="Calibri">
    <w:altName w:val="Lucida Sans"/>
    <w:panose1 w:val="020F0502020204030204"/>
    <w:charset w:val="00"/>
    <w:family w:val="swiss"/>
    <w:pitch w:val="default"/>
    <w:sig w:usb0="00000000" w:usb1="00000000" w:usb2="00000001" w:usb3="00000000" w:csb0="0000019F" w:csb1="00000000"/>
  </w:font>
  <w:font w:name="仿宋">
    <w:altName w:val="宋体"/>
    <w:panose1 w:val="02010609060101010101"/>
    <w:charset w:val="86"/>
    <w:family w:val="modern"/>
    <w:pitch w:val="default"/>
    <w:sig w:usb0="00000000" w:usb1="00000000" w:usb2="00000016" w:usb3="00000000" w:csb0="00040001" w:csb1="00000000"/>
  </w:font>
  <w:font w:name="仿宋_GB2312">
    <w:panose1 w:val="02010609030101010101"/>
    <w:charset w:val="86"/>
    <w:family w:val="modern"/>
    <w:pitch w:val="default"/>
    <w:sig w:usb0="00000001" w:usb1="080E0000" w:usb2="00000000" w:usb3="00000000" w:csb0="00040000" w:csb1="00000000"/>
  </w:font>
  <w:font w:name="Malgun Gothic">
    <w:altName w:val="Gulim"/>
    <w:panose1 w:val="020B0503020000020004"/>
    <w:charset w:val="81"/>
    <w:family w:val="swiss"/>
    <w:pitch w:val="default"/>
    <w:sig w:usb0="00000000" w:usb1="00000000" w:usb2="00000012" w:usb3="00000000" w:csb0="00080001" w:csb1="00000000"/>
  </w:font>
  <w:font w:name="Helvetica">
    <w:altName w:val="Arial"/>
    <w:panose1 w:val="020B0604020202020204"/>
    <w:charset w:val="00"/>
    <w:family w:val="swiss"/>
    <w:pitch w:val="default"/>
    <w:sig w:usb0="00000000" w:usb1="00000000" w:usb2="00000000" w:usb3="00000000" w:csb0="00000000" w:csb1="00000000"/>
  </w:font>
  <w:font w:name="楷体">
    <w:altName w:val="楷体_GB2312"/>
    <w:panose1 w:val="02010609060101010101"/>
    <w:charset w:val="86"/>
    <w:family w:val="modern"/>
    <w:pitch w:val="default"/>
    <w:sig w:usb0="00000000" w:usb1="00000000" w:usb2="00000016" w:usb3="00000000" w:csb0="00040001" w:csb1="00000000"/>
  </w:font>
  <w:font w:name="Lucida Sans">
    <w:panose1 w:val="020B0602030504020204"/>
    <w:charset w:val="00"/>
    <w:family w:val="auto"/>
    <w:pitch w:val="default"/>
    <w:sig w:usb0="00000000" w:usb1="00000000" w:usb2="00000000" w:usb3="00000000" w:csb0="00000000" w:csb1="00000000"/>
  </w:font>
  <w:font w:name="Gulim">
    <w:panose1 w:val="020B0600000101010101"/>
    <w:charset w:val="81"/>
    <w:family w:val="auto"/>
    <w:pitch w:val="default"/>
    <w:sig w:usb0="B00002AF" w:usb1="69D77CFB" w:usb2="00000030" w:usb3="00000000" w:csb0="4008009F" w:csb1="DFD70000"/>
  </w:font>
  <w:font w:name="楷体_GB2312">
    <w:panose1 w:val="02010609030101010101"/>
    <w:charset w:val="86"/>
    <w:family w:val="auto"/>
    <w:pitch w:val="default"/>
    <w:sig w:usb0="00000001" w:usb1="080E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9"/>
      <w:jc w:val="center"/>
      <w:rPr>
        <w:rFonts w:ascii="仿宋_GB2312" w:eastAsia="仿宋_GB2312"/>
      </w:rPr>
    </w:pPr>
    <w:r>
      <w:rPr>
        <w:rFonts w:hint="eastAsia" w:ascii="仿宋_GB2312" w:eastAsia="仿宋_GB2312"/>
      </w:rPr>
      <w:t xml:space="preserve">第 </w:t>
    </w:r>
    <w:r>
      <w:rPr>
        <w:rFonts w:hint="eastAsia" w:ascii="仿宋_GB2312" w:eastAsia="仿宋_GB2312"/>
      </w:rPr>
      <w:fldChar w:fldCharType="begin"/>
    </w:r>
    <w:r>
      <w:rPr>
        <w:rFonts w:hint="eastAsia" w:ascii="仿宋_GB2312" w:eastAsia="仿宋_GB2312"/>
      </w:rPr>
      <w:instrText xml:space="preserve"> PAGE </w:instrText>
    </w:r>
    <w:r>
      <w:rPr>
        <w:rFonts w:hint="eastAsia" w:ascii="仿宋_GB2312" w:eastAsia="仿宋_GB2312"/>
      </w:rPr>
      <w:fldChar w:fldCharType="separate"/>
    </w:r>
    <w:r>
      <w:rPr>
        <w:rFonts w:ascii="仿宋_GB2312" w:eastAsia="仿宋_GB2312"/>
      </w:rPr>
      <w:t>56</w:t>
    </w:r>
    <w:r>
      <w:rPr>
        <w:rFonts w:hint="eastAsia" w:ascii="仿宋_GB2312" w:eastAsia="仿宋_GB2312"/>
      </w:rPr>
      <w:fldChar w:fldCharType="end"/>
    </w:r>
    <w:r>
      <w:rPr>
        <w:rFonts w:hint="eastAsia" w:ascii="仿宋_GB2312" w:eastAsia="仿宋_GB2312"/>
      </w:rPr>
      <w:t xml:space="preserve"> 页 共 </w:t>
    </w:r>
    <w:r>
      <w:rPr>
        <w:rFonts w:hint="eastAsia" w:ascii="仿宋_GB2312" w:eastAsia="仿宋_GB2312"/>
      </w:rPr>
      <w:fldChar w:fldCharType="begin"/>
    </w:r>
    <w:r>
      <w:rPr>
        <w:rFonts w:hint="eastAsia" w:ascii="仿宋_GB2312" w:eastAsia="仿宋_GB2312"/>
      </w:rPr>
      <w:instrText xml:space="preserve"> NUMPAGES </w:instrText>
    </w:r>
    <w:r>
      <w:rPr>
        <w:rFonts w:hint="eastAsia" w:ascii="仿宋_GB2312" w:eastAsia="仿宋_GB2312"/>
      </w:rPr>
      <w:fldChar w:fldCharType="separate"/>
    </w:r>
    <w:r>
      <w:rPr>
        <w:rFonts w:ascii="仿宋_GB2312" w:eastAsia="仿宋_GB2312"/>
      </w:rPr>
      <w:t>77</w:t>
    </w:r>
    <w:r>
      <w:rPr>
        <w:rFonts w:hint="eastAsia" w:ascii="仿宋_GB2312" w:eastAsia="仿宋_GB2312"/>
      </w:rPr>
      <w:fldChar w:fldCharType="end"/>
    </w:r>
    <w:r>
      <w:rPr>
        <w:rFonts w:hint="eastAsia" w:ascii="仿宋_GB2312" w:eastAsia="仿宋_GB2312"/>
      </w:rPr>
      <w:t xml:space="preserve"> 页</w:t>
    </w: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2BF5020E"/>
    <w:multiLevelType w:val="multilevel"/>
    <w:tmpl w:val="2BF5020E"/>
    <w:lvl w:ilvl="0" w:tentative="0">
      <w:start w:val="1"/>
      <w:numFmt w:val="japaneseCounting"/>
      <w:lvlText w:val="%1、"/>
      <w:lvlJc w:val="left"/>
      <w:pPr>
        <w:ind w:left="630" w:hanging="630"/>
      </w:pPr>
      <w:rPr>
        <w:rFonts w:hint="default"/>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normal"/>
  <w:zoom w:percent="100"/>
  <w:bordersDoNotSurroundHeader w:val="0"/>
  <w:bordersDoNotSurroundFooter w:val="0"/>
  <w:documentProtection w:enforcement="0"/>
  <w:defaultTabStop w:val="420"/>
  <w:drawingGridHorizontalSpacing w:val="120"/>
  <w:drawingGridVerticalSpacing w:val="163"/>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jk0NTc3YjIyMWY1YmE2NmY3ZWZjNTJhZGM3MzgyZWYifQ=="/>
  </w:docVars>
  <w:rsids>
    <w:rsidRoot w:val="004A31C0"/>
    <w:rsid w:val="00040E44"/>
    <w:rsid w:val="000506FE"/>
    <w:rsid w:val="00052F13"/>
    <w:rsid w:val="00062A5D"/>
    <w:rsid w:val="00083EEE"/>
    <w:rsid w:val="000C67BA"/>
    <w:rsid w:val="000D12B1"/>
    <w:rsid w:val="000E75F8"/>
    <w:rsid w:val="00106784"/>
    <w:rsid w:val="001375DB"/>
    <w:rsid w:val="001448FA"/>
    <w:rsid w:val="001478DA"/>
    <w:rsid w:val="00173428"/>
    <w:rsid w:val="001A3CF6"/>
    <w:rsid w:val="00240685"/>
    <w:rsid w:val="0024401D"/>
    <w:rsid w:val="002534A7"/>
    <w:rsid w:val="002E02E0"/>
    <w:rsid w:val="003169BC"/>
    <w:rsid w:val="003348FB"/>
    <w:rsid w:val="0035778E"/>
    <w:rsid w:val="00372BD9"/>
    <w:rsid w:val="00380ED1"/>
    <w:rsid w:val="00381B1D"/>
    <w:rsid w:val="003A3435"/>
    <w:rsid w:val="003E199D"/>
    <w:rsid w:val="003E2487"/>
    <w:rsid w:val="004105E2"/>
    <w:rsid w:val="00424619"/>
    <w:rsid w:val="00424A1D"/>
    <w:rsid w:val="00457178"/>
    <w:rsid w:val="00462F9D"/>
    <w:rsid w:val="00497A44"/>
    <w:rsid w:val="004A31C0"/>
    <w:rsid w:val="004F46D6"/>
    <w:rsid w:val="00501CA3"/>
    <w:rsid w:val="00581054"/>
    <w:rsid w:val="005A325A"/>
    <w:rsid w:val="005A3BF2"/>
    <w:rsid w:val="0060320D"/>
    <w:rsid w:val="006511DA"/>
    <w:rsid w:val="00652051"/>
    <w:rsid w:val="0065383E"/>
    <w:rsid w:val="00661973"/>
    <w:rsid w:val="006657BD"/>
    <w:rsid w:val="006D161C"/>
    <w:rsid w:val="006F2568"/>
    <w:rsid w:val="006F282E"/>
    <w:rsid w:val="00706DC6"/>
    <w:rsid w:val="00711092"/>
    <w:rsid w:val="00716529"/>
    <w:rsid w:val="00725C59"/>
    <w:rsid w:val="00734973"/>
    <w:rsid w:val="00742C93"/>
    <w:rsid w:val="00744AB4"/>
    <w:rsid w:val="007B07B1"/>
    <w:rsid w:val="00825212"/>
    <w:rsid w:val="00843A59"/>
    <w:rsid w:val="00852E70"/>
    <w:rsid w:val="008673AD"/>
    <w:rsid w:val="00872DA1"/>
    <w:rsid w:val="00873B8A"/>
    <w:rsid w:val="008B1281"/>
    <w:rsid w:val="008C3320"/>
    <w:rsid w:val="008F729B"/>
    <w:rsid w:val="009040D0"/>
    <w:rsid w:val="009064F4"/>
    <w:rsid w:val="009112C3"/>
    <w:rsid w:val="00945503"/>
    <w:rsid w:val="009823B1"/>
    <w:rsid w:val="009863A6"/>
    <w:rsid w:val="0098739B"/>
    <w:rsid w:val="009B7259"/>
    <w:rsid w:val="009E6B47"/>
    <w:rsid w:val="00A31510"/>
    <w:rsid w:val="00A5394E"/>
    <w:rsid w:val="00A87F74"/>
    <w:rsid w:val="00A955FA"/>
    <w:rsid w:val="00AB3C03"/>
    <w:rsid w:val="00AC5A89"/>
    <w:rsid w:val="00AD3120"/>
    <w:rsid w:val="00B34428"/>
    <w:rsid w:val="00B50722"/>
    <w:rsid w:val="00B638D9"/>
    <w:rsid w:val="00B955CF"/>
    <w:rsid w:val="00BE3C05"/>
    <w:rsid w:val="00BF5FE1"/>
    <w:rsid w:val="00C555C7"/>
    <w:rsid w:val="00CA5372"/>
    <w:rsid w:val="00CA6740"/>
    <w:rsid w:val="00CB3DBC"/>
    <w:rsid w:val="00CF35F3"/>
    <w:rsid w:val="00D03E3B"/>
    <w:rsid w:val="00D73271"/>
    <w:rsid w:val="00D901E0"/>
    <w:rsid w:val="00DB2C2C"/>
    <w:rsid w:val="00DB52AF"/>
    <w:rsid w:val="00DE7F9D"/>
    <w:rsid w:val="00E01C27"/>
    <w:rsid w:val="00E0322B"/>
    <w:rsid w:val="00E20696"/>
    <w:rsid w:val="00E428C8"/>
    <w:rsid w:val="00E81776"/>
    <w:rsid w:val="00E93AFC"/>
    <w:rsid w:val="00E94AF3"/>
    <w:rsid w:val="00ED389E"/>
    <w:rsid w:val="00EE2D23"/>
    <w:rsid w:val="00F577A9"/>
    <w:rsid w:val="00F66F6C"/>
    <w:rsid w:val="00F82240"/>
    <w:rsid w:val="00F872C5"/>
    <w:rsid w:val="00F906B9"/>
    <w:rsid w:val="00FA4176"/>
    <w:rsid w:val="00FD5896"/>
    <w:rsid w:val="00FE3635"/>
    <w:rsid w:val="013E2E6E"/>
    <w:rsid w:val="019404F8"/>
    <w:rsid w:val="01AE3299"/>
    <w:rsid w:val="01DD0C8E"/>
    <w:rsid w:val="01F616F0"/>
    <w:rsid w:val="020973FA"/>
    <w:rsid w:val="021E51EC"/>
    <w:rsid w:val="025C46A3"/>
    <w:rsid w:val="031C3EE8"/>
    <w:rsid w:val="035745DA"/>
    <w:rsid w:val="0384727C"/>
    <w:rsid w:val="03886BAA"/>
    <w:rsid w:val="03A3533D"/>
    <w:rsid w:val="043478D6"/>
    <w:rsid w:val="0469490A"/>
    <w:rsid w:val="047076CE"/>
    <w:rsid w:val="047F2F9A"/>
    <w:rsid w:val="048455CD"/>
    <w:rsid w:val="04CD1C83"/>
    <w:rsid w:val="04DE0D60"/>
    <w:rsid w:val="04DF6990"/>
    <w:rsid w:val="04DF7652"/>
    <w:rsid w:val="05012DE7"/>
    <w:rsid w:val="05220F0A"/>
    <w:rsid w:val="05755FD7"/>
    <w:rsid w:val="057C398F"/>
    <w:rsid w:val="05D248F1"/>
    <w:rsid w:val="05FD27D4"/>
    <w:rsid w:val="061A271A"/>
    <w:rsid w:val="06545E4F"/>
    <w:rsid w:val="065B040D"/>
    <w:rsid w:val="065F31B9"/>
    <w:rsid w:val="069934BD"/>
    <w:rsid w:val="06AA29E1"/>
    <w:rsid w:val="072203CD"/>
    <w:rsid w:val="072529DE"/>
    <w:rsid w:val="072F64A0"/>
    <w:rsid w:val="07560ABB"/>
    <w:rsid w:val="07B26BE6"/>
    <w:rsid w:val="07BA728C"/>
    <w:rsid w:val="08462050"/>
    <w:rsid w:val="08967F6C"/>
    <w:rsid w:val="089E3554"/>
    <w:rsid w:val="09117CC5"/>
    <w:rsid w:val="09167A62"/>
    <w:rsid w:val="091D43AB"/>
    <w:rsid w:val="095D07FA"/>
    <w:rsid w:val="09876FF5"/>
    <w:rsid w:val="0994648C"/>
    <w:rsid w:val="09AD4BD6"/>
    <w:rsid w:val="09E86044"/>
    <w:rsid w:val="0A0A74D4"/>
    <w:rsid w:val="0A1D3ABE"/>
    <w:rsid w:val="0A686531"/>
    <w:rsid w:val="0A786E96"/>
    <w:rsid w:val="0AAE3187"/>
    <w:rsid w:val="0AD03EA9"/>
    <w:rsid w:val="0AD359DE"/>
    <w:rsid w:val="0B0407CB"/>
    <w:rsid w:val="0B456C44"/>
    <w:rsid w:val="0B872CDE"/>
    <w:rsid w:val="0BB449AA"/>
    <w:rsid w:val="0BB86172"/>
    <w:rsid w:val="0BCC0162"/>
    <w:rsid w:val="0BCF10FE"/>
    <w:rsid w:val="0BEF7A09"/>
    <w:rsid w:val="0C020C9B"/>
    <w:rsid w:val="0C485A4E"/>
    <w:rsid w:val="0CDB549B"/>
    <w:rsid w:val="0CDD06C4"/>
    <w:rsid w:val="0D1C1865"/>
    <w:rsid w:val="0D584A40"/>
    <w:rsid w:val="0D6328F2"/>
    <w:rsid w:val="0D8E5BA1"/>
    <w:rsid w:val="0DAB5398"/>
    <w:rsid w:val="0E3F24ED"/>
    <w:rsid w:val="0E530A9F"/>
    <w:rsid w:val="0E9D11EA"/>
    <w:rsid w:val="0EA90EC1"/>
    <w:rsid w:val="0EAE2BEF"/>
    <w:rsid w:val="0EE34F7B"/>
    <w:rsid w:val="0F067BF4"/>
    <w:rsid w:val="0F1267B5"/>
    <w:rsid w:val="0F327BC5"/>
    <w:rsid w:val="0F4A455C"/>
    <w:rsid w:val="0FA51F62"/>
    <w:rsid w:val="0FB522F1"/>
    <w:rsid w:val="0FC9372A"/>
    <w:rsid w:val="0FD403DC"/>
    <w:rsid w:val="0FD63ED8"/>
    <w:rsid w:val="100E3B5F"/>
    <w:rsid w:val="102070D9"/>
    <w:rsid w:val="10237B6B"/>
    <w:rsid w:val="1071246F"/>
    <w:rsid w:val="115A5E08"/>
    <w:rsid w:val="116A6EB4"/>
    <w:rsid w:val="11866A4D"/>
    <w:rsid w:val="119F5FCD"/>
    <w:rsid w:val="11AC2013"/>
    <w:rsid w:val="11D600BA"/>
    <w:rsid w:val="12184077"/>
    <w:rsid w:val="12317F97"/>
    <w:rsid w:val="12503FC7"/>
    <w:rsid w:val="126F0286"/>
    <w:rsid w:val="1271782B"/>
    <w:rsid w:val="12C23C18"/>
    <w:rsid w:val="12D469A6"/>
    <w:rsid w:val="12FB222C"/>
    <w:rsid w:val="132D1141"/>
    <w:rsid w:val="135A0D66"/>
    <w:rsid w:val="136F1E65"/>
    <w:rsid w:val="13C85A1E"/>
    <w:rsid w:val="141B6D13"/>
    <w:rsid w:val="143D3C3A"/>
    <w:rsid w:val="14D50FFC"/>
    <w:rsid w:val="15167252"/>
    <w:rsid w:val="151A69E4"/>
    <w:rsid w:val="151C34AE"/>
    <w:rsid w:val="151D0F3E"/>
    <w:rsid w:val="152667CF"/>
    <w:rsid w:val="153A3657"/>
    <w:rsid w:val="156C153E"/>
    <w:rsid w:val="159B1899"/>
    <w:rsid w:val="15A01E74"/>
    <w:rsid w:val="15C16817"/>
    <w:rsid w:val="15FD306B"/>
    <w:rsid w:val="164014E3"/>
    <w:rsid w:val="165F6EC5"/>
    <w:rsid w:val="16717DCF"/>
    <w:rsid w:val="167E48BF"/>
    <w:rsid w:val="16881047"/>
    <w:rsid w:val="172F4D40"/>
    <w:rsid w:val="173E16F3"/>
    <w:rsid w:val="174246C8"/>
    <w:rsid w:val="17762F89"/>
    <w:rsid w:val="178F2203"/>
    <w:rsid w:val="17DB26A9"/>
    <w:rsid w:val="17DC4F30"/>
    <w:rsid w:val="17FB03BF"/>
    <w:rsid w:val="181F41B3"/>
    <w:rsid w:val="187171ED"/>
    <w:rsid w:val="18926361"/>
    <w:rsid w:val="1897244E"/>
    <w:rsid w:val="18BC175B"/>
    <w:rsid w:val="18C876D8"/>
    <w:rsid w:val="18D00C01"/>
    <w:rsid w:val="18E86DCA"/>
    <w:rsid w:val="190A51F8"/>
    <w:rsid w:val="190F1511"/>
    <w:rsid w:val="191074A9"/>
    <w:rsid w:val="19585DE4"/>
    <w:rsid w:val="19721BBD"/>
    <w:rsid w:val="19891B32"/>
    <w:rsid w:val="19A54BF8"/>
    <w:rsid w:val="19B23864"/>
    <w:rsid w:val="19BD0194"/>
    <w:rsid w:val="1A9C68DD"/>
    <w:rsid w:val="1AC93B98"/>
    <w:rsid w:val="1B2F48D5"/>
    <w:rsid w:val="1B3E524C"/>
    <w:rsid w:val="1B8E2094"/>
    <w:rsid w:val="1BA213D0"/>
    <w:rsid w:val="1BC923CF"/>
    <w:rsid w:val="1BCE6C3C"/>
    <w:rsid w:val="1BD03DE6"/>
    <w:rsid w:val="1BFB0B2E"/>
    <w:rsid w:val="1C5A2CD8"/>
    <w:rsid w:val="1C68491F"/>
    <w:rsid w:val="1CD966DC"/>
    <w:rsid w:val="1D27235E"/>
    <w:rsid w:val="1D4F1719"/>
    <w:rsid w:val="1D664248"/>
    <w:rsid w:val="1DAE3059"/>
    <w:rsid w:val="1DC57C6E"/>
    <w:rsid w:val="1DCA215E"/>
    <w:rsid w:val="1DD34708"/>
    <w:rsid w:val="1DD95593"/>
    <w:rsid w:val="1DFD2D31"/>
    <w:rsid w:val="1E080402"/>
    <w:rsid w:val="1E26118D"/>
    <w:rsid w:val="1E2E14FD"/>
    <w:rsid w:val="1E4120DC"/>
    <w:rsid w:val="1E693D91"/>
    <w:rsid w:val="1E7F539D"/>
    <w:rsid w:val="1EA36147"/>
    <w:rsid w:val="1EB6347F"/>
    <w:rsid w:val="1EC929BF"/>
    <w:rsid w:val="1ED74500"/>
    <w:rsid w:val="1F163749"/>
    <w:rsid w:val="1F2D655A"/>
    <w:rsid w:val="1F3D6817"/>
    <w:rsid w:val="1F785840"/>
    <w:rsid w:val="1F835222"/>
    <w:rsid w:val="1F8A478E"/>
    <w:rsid w:val="1F983DF0"/>
    <w:rsid w:val="1FB45312"/>
    <w:rsid w:val="1FB957C1"/>
    <w:rsid w:val="200B084D"/>
    <w:rsid w:val="207F2647"/>
    <w:rsid w:val="209E39FB"/>
    <w:rsid w:val="20B042EF"/>
    <w:rsid w:val="20DD111C"/>
    <w:rsid w:val="20E73558"/>
    <w:rsid w:val="20F04B44"/>
    <w:rsid w:val="21266596"/>
    <w:rsid w:val="214360D0"/>
    <w:rsid w:val="21623274"/>
    <w:rsid w:val="21A914C0"/>
    <w:rsid w:val="21C30B5D"/>
    <w:rsid w:val="21C53E75"/>
    <w:rsid w:val="21C60EBB"/>
    <w:rsid w:val="21C72559"/>
    <w:rsid w:val="21CB7033"/>
    <w:rsid w:val="21CC2C97"/>
    <w:rsid w:val="221E610D"/>
    <w:rsid w:val="222C4769"/>
    <w:rsid w:val="22333EA1"/>
    <w:rsid w:val="224F7064"/>
    <w:rsid w:val="226070A3"/>
    <w:rsid w:val="226B4340"/>
    <w:rsid w:val="2290277C"/>
    <w:rsid w:val="22A656E1"/>
    <w:rsid w:val="22B85751"/>
    <w:rsid w:val="22CE00BA"/>
    <w:rsid w:val="22CE468D"/>
    <w:rsid w:val="23706277"/>
    <w:rsid w:val="23B14D6F"/>
    <w:rsid w:val="23CD5903"/>
    <w:rsid w:val="23FD7888"/>
    <w:rsid w:val="242D64E9"/>
    <w:rsid w:val="242F6195"/>
    <w:rsid w:val="24644399"/>
    <w:rsid w:val="2494620B"/>
    <w:rsid w:val="24CF7C04"/>
    <w:rsid w:val="250058EC"/>
    <w:rsid w:val="25284BBC"/>
    <w:rsid w:val="25434845"/>
    <w:rsid w:val="255F7EC5"/>
    <w:rsid w:val="25915FCE"/>
    <w:rsid w:val="25A53922"/>
    <w:rsid w:val="25BE4DA0"/>
    <w:rsid w:val="25DC728E"/>
    <w:rsid w:val="25FA0E4C"/>
    <w:rsid w:val="26317BB3"/>
    <w:rsid w:val="26400549"/>
    <w:rsid w:val="265A4FBD"/>
    <w:rsid w:val="267146F7"/>
    <w:rsid w:val="26745580"/>
    <w:rsid w:val="26901E0A"/>
    <w:rsid w:val="269E5F57"/>
    <w:rsid w:val="26D97CE4"/>
    <w:rsid w:val="26DA68E1"/>
    <w:rsid w:val="26EA0437"/>
    <w:rsid w:val="26F53B22"/>
    <w:rsid w:val="272B639D"/>
    <w:rsid w:val="272D3188"/>
    <w:rsid w:val="273726C8"/>
    <w:rsid w:val="27CD3A64"/>
    <w:rsid w:val="28502BB4"/>
    <w:rsid w:val="286A5C83"/>
    <w:rsid w:val="28C34CAD"/>
    <w:rsid w:val="29073CB8"/>
    <w:rsid w:val="292837ED"/>
    <w:rsid w:val="2979497E"/>
    <w:rsid w:val="2A633AD1"/>
    <w:rsid w:val="2A6925D2"/>
    <w:rsid w:val="2A6F7856"/>
    <w:rsid w:val="2A810863"/>
    <w:rsid w:val="2A823EEF"/>
    <w:rsid w:val="2A8A0782"/>
    <w:rsid w:val="2A953489"/>
    <w:rsid w:val="2AC624A8"/>
    <w:rsid w:val="2ADC7EF4"/>
    <w:rsid w:val="2B2632B2"/>
    <w:rsid w:val="2B5C54BF"/>
    <w:rsid w:val="2B6724C7"/>
    <w:rsid w:val="2B8D3072"/>
    <w:rsid w:val="2BF20115"/>
    <w:rsid w:val="2C0032AF"/>
    <w:rsid w:val="2C1E3906"/>
    <w:rsid w:val="2C2626DB"/>
    <w:rsid w:val="2C4E1DDF"/>
    <w:rsid w:val="2C796B86"/>
    <w:rsid w:val="2CC973C5"/>
    <w:rsid w:val="2D2158E6"/>
    <w:rsid w:val="2D2B7027"/>
    <w:rsid w:val="2D2E63F0"/>
    <w:rsid w:val="2D337076"/>
    <w:rsid w:val="2D6049F9"/>
    <w:rsid w:val="2D9F1BA9"/>
    <w:rsid w:val="2DC51026"/>
    <w:rsid w:val="2DD54DC2"/>
    <w:rsid w:val="2DE562EB"/>
    <w:rsid w:val="2DE96FCF"/>
    <w:rsid w:val="2DFF4AA8"/>
    <w:rsid w:val="2E2E2A27"/>
    <w:rsid w:val="2E30423A"/>
    <w:rsid w:val="2E3E2819"/>
    <w:rsid w:val="2E3F4DDC"/>
    <w:rsid w:val="2E6F08FA"/>
    <w:rsid w:val="2E961DF2"/>
    <w:rsid w:val="2E9F2F4C"/>
    <w:rsid w:val="2ECD7AFE"/>
    <w:rsid w:val="2F171680"/>
    <w:rsid w:val="2F577A46"/>
    <w:rsid w:val="2F7E1D1C"/>
    <w:rsid w:val="2F904FDA"/>
    <w:rsid w:val="2F966D5B"/>
    <w:rsid w:val="2FAF0127"/>
    <w:rsid w:val="2FB62698"/>
    <w:rsid w:val="2FEB0967"/>
    <w:rsid w:val="2FF63403"/>
    <w:rsid w:val="30326CFE"/>
    <w:rsid w:val="306E7DF3"/>
    <w:rsid w:val="30936404"/>
    <w:rsid w:val="310505B7"/>
    <w:rsid w:val="31183496"/>
    <w:rsid w:val="31327B33"/>
    <w:rsid w:val="316D2780"/>
    <w:rsid w:val="3182502A"/>
    <w:rsid w:val="318341F7"/>
    <w:rsid w:val="318C4CB3"/>
    <w:rsid w:val="31A538F1"/>
    <w:rsid w:val="31E71AF5"/>
    <w:rsid w:val="321514B2"/>
    <w:rsid w:val="324702C3"/>
    <w:rsid w:val="324B355B"/>
    <w:rsid w:val="324F670B"/>
    <w:rsid w:val="32744DDC"/>
    <w:rsid w:val="328F5F4B"/>
    <w:rsid w:val="32CC6F14"/>
    <w:rsid w:val="332D3AAB"/>
    <w:rsid w:val="33875B13"/>
    <w:rsid w:val="33A308F4"/>
    <w:rsid w:val="33C41E72"/>
    <w:rsid w:val="33E04D53"/>
    <w:rsid w:val="33E80872"/>
    <w:rsid w:val="340B388B"/>
    <w:rsid w:val="342E58DB"/>
    <w:rsid w:val="343A737E"/>
    <w:rsid w:val="344B2FC7"/>
    <w:rsid w:val="348476C5"/>
    <w:rsid w:val="34935A3C"/>
    <w:rsid w:val="3499201F"/>
    <w:rsid w:val="34BC06CE"/>
    <w:rsid w:val="34E3667A"/>
    <w:rsid w:val="34FA425C"/>
    <w:rsid w:val="35795010"/>
    <w:rsid w:val="35913E40"/>
    <w:rsid w:val="35A500A4"/>
    <w:rsid w:val="35E23F24"/>
    <w:rsid w:val="35F00E08"/>
    <w:rsid w:val="363D111E"/>
    <w:rsid w:val="367D2725"/>
    <w:rsid w:val="36996174"/>
    <w:rsid w:val="36E73198"/>
    <w:rsid w:val="36EF7628"/>
    <w:rsid w:val="37690B31"/>
    <w:rsid w:val="37734F06"/>
    <w:rsid w:val="378A6344"/>
    <w:rsid w:val="37A02C5A"/>
    <w:rsid w:val="37CE38E2"/>
    <w:rsid w:val="385645CC"/>
    <w:rsid w:val="386F7AC8"/>
    <w:rsid w:val="388B7121"/>
    <w:rsid w:val="38AF1986"/>
    <w:rsid w:val="38EF3C8A"/>
    <w:rsid w:val="392536DF"/>
    <w:rsid w:val="39445D84"/>
    <w:rsid w:val="3947392E"/>
    <w:rsid w:val="397D457D"/>
    <w:rsid w:val="399D6573"/>
    <w:rsid w:val="39CC65B3"/>
    <w:rsid w:val="39E57930"/>
    <w:rsid w:val="39FC1672"/>
    <w:rsid w:val="3A067E15"/>
    <w:rsid w:val="3A251D40"/>
    <w:rsid w:val="3A5B5D78"/>
    <w:rsid w:val="3A762AA6"/>
    <w:rsid w:val="3A766E08"/>
    <w:rsid w:val="3A7F199D"/>
    <w:rsid w:val="3A903749"/>
    <w:rsid w:val="3AC0626D"/>
    <w:rsid w:val="3B542A2D"/>
    <w:rsid w:val="3B552A09"/>
    <w:rsid w:val="3BA70407"/>
    <w:rsid w:val="3BC76620"/>
    <w:rsid w:val="3BCC2861"/>
    <w:rsid w:val="3BCC7737"/>
    <w:rsid w:val="3C584160"/>
    <w:rsid w:val="3C891618"/>
    <w:rsid w:val="3CBA7C50"/>
    <w:rsid w:val="3CEF37A6"/>
    <w:rsid w:val="3D0446F0"/>
    <w:rsid w:val="3D121DDE"/>
    <w:rsid w:val="3D6A35E2"/>
    <w:rsid w:val="3D9C53A3"/>
    <w:rsid w:val="3DCB6C90"/>
    <w:rsid w:val="3E213F94"/>
    <w:rsid w:val="3E60323D"/>
    <w:rsid w:val="3E6A3398"/>
    <w:rsid w:val="3E921BDD"/>
    <w:rsid w:val="3EBE3EB2"/>
    <w:rsid w:val="3EDA5409"/>
    <w:rsid w:val="3EF6618A"/>
    <w:rsid w:val="3F0809AA"/>
    <w:rsid w:val="3F4E776A"/>
    <w:rsid w:val="3F617207"/>
    <w:rsid w:val="3F790120"/>
    <w:rsid w:val="3F7B6544"/>
    <w:rsid w:val="3F9B21FA"/>
    <w:rsid w:val="3FA20876"/>
    <w:rsid w:val="3FBC2152"/>
    <w:rsid w:val="401D46AA"/>
    <w:rsid w:val="403E0ADD"/>
    <w:rsid w:val="40530957"/>
    <w:rsid w:val="405C77D9"/>
    <w:rsid w:val="405E112F"/>
    <w:rsid w:val="40742EF7"/>
    <w:rsid w:val="408847A8"/>
    <w:rsid w:val="40C536C9"/>
    <w:rsid w:val="40C75D4C"/>
    <w:rsid w:val="40D178A6"/>
    <w:rsid w:val="40FA12CA"/>
    <w:rsid w:val="41144529"/>
    <w:rsid w:val="411C1D5E"/>
    <w:rsid w:val="41225D78"/>
    <w:rsid w:val="41462E9B"/>
    <w:rsid w:val="419F513D"/>
    <w:rsid w:val="41A942CC"/>
    <w:rsid w:val="41CA6A5B"/>
    <w:rsid w:val="41CD4C0A"/>
    <w:rsid w:val="41CE26A1"/>
    <w:rsid w:val="422A4596"/>
    <w:rsid w:val="42351E59"/>
    <w:rsid w:val="423A1128"/>
    <w:rsid w:val="424F4966"/>
    <w:rsid w:val="425A5A7B"/>
    <w:rsid w:val="42643890"/>
    <w:rsid w:val="435F7B1E"/>
    <w:rsid w:val="43B7463E"/>
    <w:rsid w:val="43BC4A98"/>
    <w:rsid w:val="43C5326F"/>
    <w:rsid w:val="43E312E9"/>
    <w:rsid w:val="43FE7181"/>
    <w:rsid w:val="441879F2"/>
    <w:rsid w:val="441F5268"/>
    <w:rsid w:val="449744C6"/>
    <w:rsid w:val="44A25F38"/>
    <w:rsid w:val="44C215B8"/>
    <w:rsid w:val="44F97548"/>
    <w:rsid w:val="45AF27D7"/>
    <w:rsid w:val="45B037FB"/>
    <w:rsid w:val="45D47790"/>
    <w:rsid w:val="45DA3F3D"/>
    <w:rsid w:val="45E47A67"/>
    <w:rsid w:val="46390EAC"/>
    <w:rsid w:val="463B3DF0"/>
    <w:rsid w:val="468B4189"/>
    <w:rsid w:val="4696545C"/>
    <w:rsid w:val="46A9274E"/>
    <w:rsid w:val="46B32A22"/>
    <w:rsid w:val="46EB715E"/>
    <w:rsid w:val="46F81031"/>
    <w:rsid w:val="475B5959"/>
    <w:rsid w:val="476A5B6C"/>
    <w:rsid w:val="47861667"/>
    <w:rsid w:val="47965148"/>
    <w:rsid w:val="479B4720"/>
    <w:rsid w:val="47CB7902"/>
    <w:rsid w:val="484052AF"/>
    <w:rsid w:val="484164B8"/>
    <w:rsid w:val="484E459C"/>
    <w:rsid w:val="485C7D62"/>
    <w:rsid w:val="486E66E4"/>
    <w:rsid w:val="48A305DD"/>
    <w:rsid w:val="48BA066E"/>
    <w:rsid w:val="48F67B1D"/>
    <w:rsid w:val="491034CD"/>
    <w:rsid w:val="49147545"/>
    <w:rsid w:val="491B2797"/>
    <w:rsid w:val="492C22E6"/>
    <w:rsid w:val="49494CF1"/>
    <w:rsid w:val="49A04215"/>
    <w:rsid w:val="49A872AE"/>
    <w:rsid w:val="49FC2132"/>
    <w:rsid w:val="4A3E0E01"/>
    <w:rsid w:val="4AD75A56"/>
    <w:rsid w:val="4AE83171"/>
    <w:rsid w:val="4B211C5B"/>
    <w:rsid w:val="4B4B1E68"/>
    <w:rsid w:val="4B5A7444"/>
    <w:rsid w:val="4B702234"/>
    <w:rsid w:val="4BA5623B"/>
    <w:rsid w:val="4C453930"/>
    <w:rsid w:val="4CB2268C"/>
    <w:rsid w:val="4D701D6F"/>
    <w:rsid w:val="4D7D1D1E"/>
    <w:rsid w:val="4D8A3AD4"/>
    <w:rsid w:val="4D8C26A4"/>
    <w:rsid w:val="4DC00153"/>
    <w:rsid w:val="4DC72E16"/>
    <w:rsid w:val="4DD22011"/>
    <w:rsid w:val="4DE1684E"/>
    <w:rsid w:val="4DF00F7C"/>
    <w:rsid w:val="4E0B6ED1"/>
    <w:rsid w:val="4E13207B"/>
    <w:rsid w:val="4E380FC5"/>
    <w:rsid w:val="4E3931C0"/>
    <w:rsid w:val="4FCC14BF"/>
    <w:rsid w:val="4FD27E6F"/>
    <w:rsid w:val="4FDC4CD1"/>
    <w:rsid w:val="4FF06CC8"/>
    <w:rsid w:val="50105D65"/>
    <w:rsid w:val="50367C8C"/>
    <w:rsid w:val="50711B46"/>
    <w:rsid w:val="50BF6665"/>
    <w:rsid w:val="51166E32"/>
    <w:rsid w:val="511D6DF5"/>
    <w:rsid w:val="513068F2"/>
    <w:rsid w:val="516742F9"/>
    <w:rsid w:val="51713037"/>
    <w:rsid w:val="51A56088"/>
    <w:rsid w:val="51D34624"/>
    <w:rsid w:val="51E9011F"/>
    <w:rsid w:val="524D7600"/>
    <w:rsid w:val="525C5465"/>
    <w:rsid w:val="52992845"/>
    <w:rsid w:val="532353DA"/>
    <w:rsid w:val="537D3A52"/>
    <w:rsid w:val="538A7D94"/>
    <w:rsid w:val="53991A74"/>
    <w:rsid w:val="53A1592E"/>
    <w:rsid w:val="53BA228E"/>
    <w:rsid w:val="543B02AC"/>
    <w:rsid w:val="544F219C"/>
    <w:rsid w:val="54A20B95"/>
    <w:rsid w:val="54E515E5"/>
    <w:rsid w:val="54F3623A"/>
    <w:rsid w:val="5515701B"/>
    <w:rsid w:val="5528785F"/>
    <w:rsid w:val="555A430B"/>
    <w:rsid w:val="557E196C"/>
    <w:rsid w:val="55813176"/>
    <w:rsid w:val="558143A7"/>
    <w:rsid w:val="558D2B05"/>
    <w:rsid w:val="55C76A1C"/>
    <w:rsid w:val="55D63CB9"/>
    <w:rsid w:val="560F6F01"/>
    <w:rsid w:val="561E34F5"/>
    <w:rsid w:val="564E0866"/>
    <w:rsid w:val="568E7C21"/>
    <w:rsid w:val="56935381"/>
    <w:rsid w:val="569560EB"/>
    <w:rsid w:val="5697581B"/>
    <w:rsid w:val="56A713A7"/>
    <w:rsid w:val="56B403C9"/>
    <w:rsid w:val="57167DD7"/>
    <w:rsid w:val="575C13F8"/>
    <w:rsid w:val="579646C1"/>
    <w:rsid w:val="57B073F3"/>
    <w:rsid w:val="57B656C8"/>
    <w:rsid w:val="57CB13E8"/>
    <w:rsid w:val="57CD662A"/>
    <w:rsid w:val="58152D43"/>
    <w:rsid w:val="58397AE1"/>
    <w:rsid w:val="585052E8"/>
    <w:rsid w:val="5888691A"/>
    <w:rsid w:val="58A46E68"/>
    <w:rsid w:val="58AA7CF8"/>
    <w:rsid w:val="58E20D51"/>
    <w:rsid w:val="58FE6543"/>
    <w:rsid w:val="59297A9B"/>
    <w:rsid w:val="592B3041"/>
    <w:rsid w:val="593314C4"/>
    <w:rsid w:val="594D5706"/>
    <w:rsid w:val="59654A5F"/>
    <w:rsid w:val="59682F71"/>
    <w:rsid w:val="59963D87"/>
    <w:rsid w:val="59AE219B"/>
    <w:rsid w:val="59DF7077"/>
    <w:rsid w:val="59E6452E"/>
    <w:rsid w:val="59F10220"/>
    <w:rsid w:val="5A257B58"/>
    <w:rsid w:val="5A2E1EA2"/>
    <w:rsid w:val="5AB6627E"/>
    <w:rsid w:val="5AF336A1"/>
    <w:rsid w:val="5AF67E55"/>
    <w:rsid w:val="5AFD293B"/>
    <w:rsid w:val="5B375D34"/>
    <w:rsid w:val="5BA868A7"/>
    <w:rsid w:val="5BAE2254"/>
    <w:rsid w:val="5BB32401"/>
    <w:rsid w:val="5BB928E6"/>
    <w:rsid w:val="5BE577AA"/>
    <w:rsid w:val="5C160742"/>
    <w:rsid w:val="5C4D08A5"/>
    <w:rsid w:val="5C6F5A74"/>
    <w:rsid w:val="5C8B19FA"/>
    <w:rsid w:val="5CC76AAE"/>
    <w:rsid w:val="5CCC79CA"/>
    <w:rsid w:val="5CE9609D"/>
    <w:rsid w:val="5D4721DE"/>
    <w:rsid w:val="5D56187C"/>
    <w:rsid w:val="5D5A733B"/>
    <w:rsid w:val="5DA861F2"/>
    <w:rsid w:val="5E051F94"/>
    <w:rsid w:val="5E104C20"/>
    <w:rsid w:val="5E2223D3"/>
    <w:rsid w:val="5E2A06C9"/>
    <w:rsid w:val="5E323C36"/>
    <w:rsid w:val="5E7C7520"/>
    <w:rsid w:val="5E814102"/>
    <w:rsid w:val="5E8748E5"/>
    <w:rsid w:val="5F136BFC"/>
    <w:rsid w:val="5F236AD1"/>
    <w:rsid w:val="5F6A441A"/>
    <w:rsid w:val="5FA37A6E"/>
    <w:rsid w:val="5FC535E2"/>
    <w:rsid w:val="6007399F"/>
    <w:rsid w:val="601D4B4A"/>
    <w:rsid w:val="60C71AD4"/>
    <w:rsid w:val="61021A37"/>
    <w:rsid w:val="610349B5"/>
    <w:rsid w:val="61111AFA"/>
    <w:rsid w:val="612E6A48"/>
    <w:rsid w:val="613778A8"/>
    <w:rsid w:val="61CB3D3A"/>
    <w:rsid w:val="62142E70"/>
    <w:rsid w:val="627D76E6"/>
    <w:rsid w:val="62BE4C6B"/>
    <w:rsid w:val="63011A81"/>
    <w:rsid w:val="63145B7C"/>
    <w:rsid w:val="63885FD0"/>
    <w:rsid w:val="63D416CB"/>
    <w:rsid w:val="64005C40"/>
    <w:rsid w:val="64165C9C"/>
    <w:rsid w:val="64883F10"/>
    <w:rsid w:val="64DC25DF"/>
    <w:rsid w:val="64DC40DB"/>
    <w:rsid w:val="65047E9D"/>
    <w:rsid w:val="650869CE"/>
    <w:rsid w:val="65725D8C"/>
    <w:rsid w:val="657B71EB"/>
    <w:rsid w:val="65862C03"/>
    <w:rsid w:val="65DD2B3D"/>
    <w:rsid w:val="662B07AB"/>
    <w:rsid w:val="66312434"/>
    <w:rsid w:val="66383472"/>
    <w:rsid w:val="66410B73"/>
    <w:rsid w:val="66553FB9"/>
    <w:rsid w:val="66D12172"/>
    <w:rsid w:val="675B1E99"/>
    <w:rsid w:val="6762519F"/>
    <w:rsid w:val="67AD1FF3"/>
    <w:rsid w:val="67C13583"/>
    <w:rsid w:val="67E756FB"/>
    <w:rsid w:val="6808755D"/>
    <w:rsid w:val="683C1396"/>
    <w:rsid w:val="685272E2"/>
    <w:rsid w:val="68806EBD"/>
    <w:rsid w:val="68D94DC3"/>
    <w:rsid w:val="68E37452"/>
    <w:rsid w:val="68E378E4"/>
    <w:rsid w:val="68EA5751"/>
    <w:rsid w:val="68EB35F5"/>
    <w:rsid w:val="68F33087"/>
    <w:rsid w:val="693D6D35"/>
    <w:rsid w:val="69B866B1"/>
    <w:rsid w:val="69C847AA"/>
    <w:rsid w:val="69CB673D"/>
    <w:rsid w:val="69F12B0F"/>
    <w:rsid w:val="69FB4683"/>
    <w:rsid w:val="6A0312F9"/>
    <w:rsid w:val="6A303E0F"/>
    <w:rsid w:val="6A4274DA"/>
    <w:rsid w:val="6A9901A6"/>
    <w:rsid w:val="6A9D7A0E"/>
    <w:rsid w:val="6AC3036D"/>
    <w:rsid w:val="6AC644F1"/>
    <w:rsid w:val="6AE6461B"/>
    <w:rsid w:val="6B2C53FB"/>
    <w:rsid w:val="6B447D39"/>
    <w:rsid w:val="6BA15B6B"/>
    <w:rsid w:val="6BA47B11"/>
    <w:rsid w:val="6BBA0347"/>
    <w:rsid w:val="6BED59EC"/>
    <w:rsid w:val="6C324F69"/>
    <w:rsid w:val="6C382E5D"/>
    <w:rsid w:val="6C556A20"/>
    <w:rsid w:val="6C7B0EC6"/>
    <w:rsid w:val="6C975046"/>
    <w:rsid w:val="6CAC43F4"/>
    <w:rsid w:val="6CB93BFC"/>
    <w:rsid w:val="6CD120C1"/>
    <w:rsid w:val="6CD87249"/>
    <w:rsid w:val="6D351B3B"/>
    <w:rsid w:val="6D7350BF"/>
    <w:rsid w:val="6DA56618"/>
    <w:rsid w:val="6DDB14FD"/>
    <w:rsid w:val="6DDC4BBC"/>
    <w:rsid w:val="6DED791A"/>
    <w:rsid w:val="6E32179D"/>
    <w:rsid w:val="6E7E3FCE"/>
    <w:rsid w:val="6EA461E9"/>
    <w:rsid w:val="6EEA4202"/>
    <w:rsid w:val="6EFE59D3"/>
    <w:rsid w:val="6F7953B0"/>
    <w:rsid w:val="6FCB3CC9"/>
    <w:rsid w:val="6FDF1644"/>
    <w:rsid w:val="6FDF3D9E"/>
    <w:rsid w:val="7085715C"/>
    <w:rsid w:val="70981A40"/>
    <w:rsid w:val="709F7B6B"/>
    <w:rsid w:val="70C3178A"/>
    <w:rsid w:val="70D951F8"/>
    <w:rsid w:val="71092E34"/>
    <w:rsid w:val="713A4F1D"/>
    <w:rsid w:val="715D713A"/>
    <w:rsid w:val="716F775A"/>
    <w:rsid w:val="71813425"/>
    <w:rsid w:val="71F11EF0"/>
    <w:rsid w:val="71F30B3D"/>
    <w:rsid w:val="720971BC"/>
    <w:rsid w:val="724A19CD"/>
    <w:rsid w:val="726A16B0"/>
    <w:rsid w:val="72805F7E"/>
    <w:rsid w:val="7286637E"/>
    <w:rsid w:val="728D619B"/>
    <w:rsid w:val="729A7F93"/>
    <w:rsid w:val="72A04C05"/>
    <w:rsid w:val="733F6DEF"/>
    <w:rsid w:val="73830F52"/>
    <w:rsid w:val="7392173F"/>
    <w:rsid w:val="73CC1065"/>
    <w:rsid w:val="73EA6DC7"/>
    <w:rsid w:val="742D13F8"/>
    <w:rsid w:val="742E1003"/>
    <w:rsid w:val="743716AF"/>
    <w:rsid w:val="746F04B8"/>
    <w:rsid w:val="74930C55"/>
    <w:rsid w:val="74D91939"/>
    <w:rsid w:val="75353B7E"/>
    <w:rsid w:val="757C337D"/>
    <w:rsid w:val="7592361D"/>
    <w:rsid w:val="75962D52"/>
    <w:rsid w:val="759C103F"/>
    <w:rsid w:val="75CC611A"/>
    <w:rsid w:val="75D92DD5"/>
    <w:rsid w:val="75E16F2B"/>
    <w:rsid w:val="76815937"/>
    <w:rsid w:val="769B787E"/>
    <w:rsid w:val="76BD2FBA"/>
    <w:rsid w:val="76CA4333"/>
    <w:rsid w:val="77185671"/>
    <w:rsid w:val="772411C7"/>
    <w:rsid w:val="7758287E"/>
    <w:rsid w:val="777206C6"/>
    <w:rsid w:val="777313B4"/>
    <w:rsid w:val="77774725"/>
    <w:rsid w:val="77844C51"/>
    <w:rsid w:val="77AC5C6E"/>
    <w:rsid w:val="77AE7642"/>
    <w:rsid w:val="77B85AB5"/>
    <w:rsid w:val="77E33CFA"/>
    <w:rsid w:val="7822261E"/>
    <w:rsid w:val="784475F0"/>
    <w:rsid w:val="788E5569"/>
    <w:rsid w:val="788E57A8"/>
    <w:rsid w:val="78A54D63"/>
    <w:rsid w:val="796E35F1"/>
    <w:rsid w:val="79777A0E"/>
    <w:rsid w:val="79B00117"/>
    <w:rsid w:val="7A2522F4"/>
    <w:rsid w:val="7A30027C"/>
    <w:rsid w:val="7A697CC6"/>
    <w:rsid w:val="7A7B7337"/>
    <w:rsid w:val="7A9276FF"/>
    <w:rsid w:val="7A977CC2"/>
    <w:rsid w:val="7AAA018E"/>
    <w:rsid w:val="7AAD120F"/>
    <w:rsid w:val="7ACD2419"/>
    <w:rsid w:val="7B013F23"/>
    <w:rsid w:val="7B444BB3"/>
    <w:rsid w:val="7B4B567F"/>
    <w:rsid w:val="7B4B79CE"/>
    <w:rsid w:val="7B6F19C8"/>
    <w:rsid w:val="7B830FD4"/>
    <w:rsid w:val="7BBF371E"/>
    <w:rsid w:val="7BD50171"/>
    <w:rsid w:val="7BF15971"/>
    <w:rsid w:val="7BF837A9"/>
    <w:rsid w:val="7C222F30"/>
    <w:rsid w:val="7C4405AE"/>
    <w:rsid w:val="7C640647"/>
    <w:rsid w:val="7C6E69F8"/>
    <w:rsid w:val="7C9B013F"/>
    <w:rsid w:val="7CF85DA1"/>
    <w:rsid w:val="7D106AE5"/>
    <w:rsid w:val="7D2B5740"/>
    <w:rsid w:val="7D337C2A"/>
    <w:rsid w:val="7D5166AB"/>
    <w:rsid w:val="7D6D5AB1"/>
    <w:rsid w:val="7DBB1012"/>
    <w:rsid w:val="7DC8796B"/>
    <w:rsid w:val="7E563988"/>
    <w:rsid w:val="7E611F43"/>
    <w:rsid w:val="7E926759"/>
    <w:rsid w:val="7EB10CAA"/>
    <w:rsid w:val="7EBA3C9F"/>
    <w:rsid w:val="7EBF6402"/>
    <w:rsid w:val="7EC66796"/>
    <w:rsid w:val="7EDD5640"/>
    <w:rsid w:val="7EE8553D"/>
    <w:rsid w:val="7F143A84"/>
    <w:rsid w:val="7F27625C"/>
    <w:rsid w:val="7F54501D"/>
    <w:rsid w:val="7F8B6D81"/>
    <w:rsid w:val="7FA70134"/>
    <w:rsid w:val="7FF77FB9"/>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semiHidden="0" w:name="heading 2"/>
    <w:lsdException w:qFormat="1" w:uiPriority="9" w:semiHidden="0" w:name="heading 3"/>
    <w:lsdException w:qFormat="1" w:uiPriority="9" w:semiHidden="0" w:name="heading 4"/>
    <w:lsdException w:qFormat="1" w:uiPriority="9" w:semiHidden="0"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qFormat="1" w:unhideWhenUsed="0" w:uiPriority="0" w:semiHidden="0" w:name="Normal Indent"/>
    <w:lsdException w:uiPriority="99" w:name="footnote text"/>
    <w:lsdException w:qFormat="1" w:uiPriority="99"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qFormat="1" w:unhideWhenUsed="0" w:uiPriority="0" w:semiHidden="0" w:name="Body Text"/>
    <w:lsdException w:qFormat="1" w:unhideWhenUsed="0" w:uiPriority="0" w:semiHidden="0"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qFormat="1" w:unhideWhenUsed="0" w:uiPriority="0" w:semiHidden="0" w:name="Body Text First Indent"/>
    <w:lsdException w:qFormat="1"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qFormat="1" w:unhideWhenUsed="0" w:uiPriority="99" w:semiHidden="0"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qFormat="1" w:unhideWhenUsed="0" w:uiPriority="0" w:semiHidden="0" w:name="Plain Text"/>
    <w:lsdException w:uiPriority="99" w:name="E-mail Signature"/>
    <w:lsdException w:qFormat="1"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name="Balloon Text"/>
    <w:lsdException w:qFormat="1" w:unhideWhenUsed="0" w:uiPriority="0" w:semiHidden="0" w:name="Table Grid"/>
    <w:lsdException w:uiPriority="99" w:name="Table Theme"/>
    <w:lsdException w:qFormat="1" w:unhideWhenUsed="0" w:uiPriority="1"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qFormat="1" w:unhideWhenUsed="0" w:uiPriority="29" w:semiHidden="0" w:name="Quote"/>
    <w:lsdException w:qFormat="1" w:unhideWhenUsed="0" w:uiPriority="30" w:semiHidden="0" w:name="Intense Quote"/>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spacing w:after="200"/>
    </w:pPr>
    <w:rPr>
      <w:rFonts w:ascii="仿宋" w:hAnsi="仿宋" w:eastAsia="仿宋" w:cstheme="majorBidi"/>
      <w:sz w:val="24"/>
      <w:szCs w:val="24"/>
      <w:lang w:val="en-US" w:eastAsia="zh-CN" w:bidi="ar-SA"/>
    </w:rPr>
  </w:style>
  <w:style w:type="paragraph" w:styleId="3">
    <w:name w:val="heading 1"/>
    <w:basedOn w:val="1"/>
    <w:next w:val="1"/>
    <w:link w:val="37"/>
    <w:qFormat/>
    <w:uiPriority w:val="9"/>
    <w:pPr>
      <w:spacing w:before="480" w:after="0"/>
      <w:contextualSpacing/>
      <w:jc w:val="center"/>
      <w:outlineLvl w:val="0"/>
    </w:pPr>
    <w:rPr>
      <w:rFonts w:ascii="仿宋_GB2312" w:eastAsia="仿宋_GB2312"/>
      <w:b/>
      <w:smallCaps/>
      <w:spacing w:val="5"/>
      <w:sz w:val="36"/>
      <w:szCs w:val="36"/>
    </w:rPr>
  </w:style>
  <w:style w:type="paragraph" w:styleId="2">
    <w:name w:val="heading 2"/>
    <w:basedOn w:val="1"/>
    <w:next w:val="1"/>
    <w:link w:val="38"/>
    <w:unhideWhenUsed/>
    <w:qFormat/>
    <w:uiPriority w:val="9"/>
    <w:pPr>
      <w:spacing w:before="200" w:after="0" w:line="271" w:lineRule="auto"/>
      <w:jc w:val="center"/>
      <w:outlineLvl w:val="1"/>
    </w:pPr>
    <w:rPr>
      <w:b/>
      <w:smallCaps/>
      <w:sz w:val="28"/>
      <w:szCs w:val="28"/>
    </w:rPr>
  </w:style>
  <w:style w:type="paragraph" w:styleId="4">
    <w:name w:val="heading 3"/>
    <w:basedOn w:val="1"/>
    <w:next w:val="1"/>
    <w:link w:val="39"/>
    <w:unhideWhenUsed/>
    <w:qFormat/>
    <w:uiPriority w:val="9"/>
    <w:pPr>
      <w:outlineLvl w:val="2"/>
    </w:pPr>
    <w:rPr>
      <w:b/>
    </w:rPr>
  </w:style>
  <w:style w:type="paragraph" w:styleId="5">
    <w:name w:val="heading 4"/>
    <w:basedOn w:val="1"/>
    <w:next w:val="1"/>
    <w:link w:val="40"/>
    <w:unhideWhenUsed/>
    <w:qFormat/>
    <w:uiPriority w:val="9"/>
    <w:pPr>
      <w:spacing w:after="0" w:line="271" w:lineRule="auto"/>
      <w:outlineLvl w:val="3"/>
    </w:pPr>
    <w:rPr>
      <w:b/>
      <w:bCs/>
      <w:spacing w:val="5"/>
    </w:rPr>
  </w:style>
  <w:style w:type="paragraph" w:styleId="6">
    <w:name w:val="heading 5"/>
    <w:basedOn w:val="1"/>
    <w:next w:val="1"/>
    <w:link w:val="41"/>
    <w:unhideWhenUsed/>
    <w:qFormat/>
    <w:uiPriority w:val="9"/>
    <w:pPr>
      <w:spacing w:after="0" w:line="271" w:lineRule="auto"/>
      <w:outlineLvl w:val="4"/>
    </w:pPr>
    <w:rPr>
      <w:i/>
      <w:iCs/>
    </w:rPr>
  </w:style>
  <w:style w:type="paragraph" w:styleId="7">
    <w:name w:val="heading 6"/>
    <w:basedOn w:val="1"/>
    <w:next w:val="1"/>
    <w:link w:val="42"/>
    <w:semiHidden/>
    <w:unhideWhenUsed/>
    <w:qFormat/>
    <w:uiPriority w:val="9"/>
    <w:pPr>
      <w:shd w:val="clear" w:color="auto" w:fill="FFFFFF" w:themeFill="background1"/>
      <w:spacing w:after="0" w:line="271" w:lineRule="auto"/>
      <w:outlineLvl w:val="5"/>
    </w:pPr>
    <w:rPr>
      <w:b/>
      <w:bCs/>
      <w:color w:val="595959" w:themeColor="text1" w:themeTint="A6"/>
      <w:spacing w:val="5"/>
      <w14:textFill>
        <w14:solidFill>
          <w14:schemeClr w14:val="tx1">
            <w14:lumMod w14:val="65000"/>
            <w14:lumOff w14:val="35000"/>
          </w14:schemeClr>
        </w14:solidFill>
      </w14:textFill>
    </w:rPr>
  </w:style>
  <w:style w:type="paragraph" w:styleId="8">
    <w:name w:val="heading 7"/>
    <w:basedOn w:val="1"/>
    <w:next w:val="1"/>
    <w:link w:val="43"/>
    <w:semiHidden/>
    <w:unhideWhenUsed/>
    <w:qFormat/>
    <w:uiPriority w:val="9"/>
    <w:pPr>
      <w:spacing w:after="0"/>
      <w:outlineLvl w:val="6"/>
    </w:pPr>
    <w:rPr>
      <w:b/>
      <w:bCs/>
      <w:i/>
      <w:iCs/>
      <w:color w:val="595959" w:themeColor="text1" w:themeTint="A6"/>
      <w:sz w:val="20"/>
      <w:szCs w:val="20"/>
      <w14:textFill>
        <w14:solidFill>
          <w14:schemeClr w14:val="tx1">
            <w14:lumMod w14:val="65000"/>
            <w14:lumOff w14:val="35000"/>
          </w14:schemeClr>
        </w14:solidFill>
      </w14:textFill>
    </w:rPr>
  </w:style>
  <w:style w:type="paragraph" w:styleId="9">
    <w:name w:val="heading 8"/>
    <w:basedOn w:val="1"/>
    <w:next w:val="1"/>
    <w:link w:val="44"/>
    <w:semiHidden/>
    <w:unhideWhenUsed/>
    <w:qFormat/>
    <w:uiPriority w:val="9"/>
    <w:pPr>
      <w:spacing w:after="0"/>
      <w:outlineLvl w:val="7"/>
    </w:pPr>
    <w:rPr>
      <w:b/>
      <w:bCs/>
      <w:color w:val="808080" w:themeColor="text1" w:themeTint="80"/>
      <w:sz w:val="20"/>
      <w:szCs w:val="20"/>
      <w14:textFill>
        <w14:solidFill>
          <w14:schemeClr w14:val="tx1">
            <w14:lumMod w14:val="50000"/>
            <w14:lumOff w14:val="50000"/>
          </w14:schemeClr>
        </w14:solidFill>
      </w14:textFill>
    </w:rPr>
  </w:style>
  <w:style w:type="paragraph" w:styleId="10">
    <w:name w:val="heading 9"/>
    <w:basedOn w:val="1"/>
    <w:next w:val="1"/>
    <w:link w:val="45"/>
    <w:semiHidden/>
    <w:unhideWhenUsed/>
    <w:qFormat/>
    <w:uiPriority w:val="9"/>
    <w:pPr>
      <w:spacing w:after="0" w:line="271" w:lineRule="auto"/>
      <w:outlineLvl w:val="8"/>
    </w:pPr>
    <w:rPr>
      <w:b/>
      <w:bCs/>
      <w:i/>
      <w:iCs/>
      <w:color w:val="808080" w:themeColor="text1" w:themeTint="80"/>
      <w:sz w:val="18"/>
      <w:szCs w:val="18"/>
      <w14:textFill>
        <w14:solidFill>
          <w14:schemeClr w14:val="tx1">
            <w14:lumMod w14:val="50000"/>
            <w14:lumOff w14:val="50000"/>
          </w14:schemeClr>
        </w14:solidFill>
      </w14:textFill>
    </w:rPr>
  </w:style>
  <w:style w:type="character" w:default="1" w:styleId="28">
    <w:name w:val="Default Paragraph Font"/>
    <w:semiHidden/>
    <w:unhideWhenUsed/>
    <w:qFormat/>
    <w:uiPriority w:val="1"/>
  </w:style>
  <w:style w:type="table" w:default="1" w:styleId="26">
    <w:name w:val="Normal Table"/>
    <w:semiHidden/>
    <w:unhideWhenUsed/>
    <w:qFormat/>
    <w:uiPriority w:val="99"/>
    <w:pPr>
      <w:keepNext w:val="0"/>
      <w:keepLines w:val="0"/>
      <w:widowControl/>
      <w:suppressLineNumbers w:val="0"/>
      <w:spacing w:before="0" w:beforeAutospacing="0" w:after="0" w:afterAutospacing="0"/>
      <w:ind w:left="0" w:right="0"/>
    </w:pPr>
    <w:rPr>
      <w:rFonts w:hint="default" w:ascii="Times New Roman" w:hAnsi="Times New Roman" w:cs="Times New Roman"/>
      <w:sz w:val="20"/>
      <w:szCs w:val="20"/>
    </w:rPr>
    <w:tblPr>
      <w:tblCellMar>
        <w:top w:w="0" w:type="dxa"/>
        <w:left w:w="108" w:type="dxa"/>
        <w:bottom w:w="0" w:type="dxa"/>
        <w:right w:w="108" w:type="dxa"/>
      </w:tblCellMar>
    </w:tblPr>
  </w:style>
  <w:style w:type="paragraph" w:styleId="11">
    <w:name w:val="Normal Indent"/>
    <w:basedOn w:val="1"/>
    <w:next w:val="1"/>
    <w:link w:val="64"/>
    <w:qFormat/>
    <w:uiPriority w:val="0"/>
    <w:pPr>
      <w:adjustRightInd w:val="0"/>
      <w:snapToGrid w:val="0"/>
      <w:spacing w:after="0" w:line="480" w:lineRule="exact"/>
      <w:ind w:firstLine="567"/>
      <w:jc w:val="both"/>
    </w:pPr>
    <w:rPr>
      <w:rFonts w:ascii="宋体" w:hAnsi="Times New Roman" w:eastAsia="宋体" w:cs="Times New Roman"/>
      <w:snapToGrid w:val="0"/>
      <w:color w:val="000000"/>
      <w:kern w:val="28"/>
      <w:sz w:val="28"/>
      <w:szCs w:val="20"/>
    </w:rPr>
  </w:style>
  <w:style w:type="paragraph" w:styleId="12">
    <w:name w:val="caption"/>
    <w:basedOn w:val="1"/>
    <w:next w:val="1"/>
    <w:semiHidden/>
    <w:unhideWhenUsed/>
    <w:qFormat/>
    <w:uiPriority w:val="35"/>
    <w:rPr>
      <w:b/>
      <w:bCs/>
      <w:caps/>
      <w:sz w:val="16"/>
      <w:szCs w:val="18"/>
    </w:rPr>
  </w:style>
  <w:style w:type="paragraph" w:styleId="13">
    <w:name w:val="annotation text"/>
    <w:basedOn w:val="1"/>
    <w:semiHidden/>
    <w:unhideWhenUsed/>
    <w:qFormat/>
    <w:uiPriority w:val="99"/>
    <w:pPr>
      <w:jc w:val="left"/>
    </w:pPr>
  </w:style>
  <w:style w:type="paragraph" w:styleId="14">
    <w:name w:val="Body Text"/>
    <w:basedOn w:val="1"/>
    <w:next w:val="15"/>
    <w:qFormat/>
    <w:uiPriority w:val="0"/>
    <w:pPr>
      <w:autoSpaceDE w:val="0"/>
      <w:autoSpaceDN w:val="0"/>
      <w:spacing w:line="360" w:lineRule="auto"/>
    </w:pPr>
    <w:rPr>
      <w:rFonts w:ascii="宋体"/>
      <w:sz w:val="24"/>
      <w:szCs w:val="21"/>
      <w:lang w:val="zh-CN"/>
    </w:rPr>
  </w:style>
  <w:style w:type="paragraph" w:customStyle="1" w:styleId="15">
    <w:name w:val="_Style 2"/>
    <w:qFormat/>
    <w:uiPriority w:val="0"/>
    <w:pPr>
      <w:widowControl w:val="0"/>
      <w:jc w:val="both"/>
    </w:pPr>
    <w:rPr>
      <w:rFonts w:ascii="Times New Roman" w:hAnsi="Times New Roman" w:eastAsia="宋体" w:cs="Calibri"/>
      <w:kern w:val="2"/>
      <w:sz w:val="21"/>
      <w:szCs w:val="22"/>
      <w:lang w:val="en-US" w:eastAsia="zh-CN" w:bidi="ar-SA"/>
    </w:rPr>
  </w:style>
  <w:style w:type="paragraph" w:styleId="16">
    <w:name w:val="Body Text Indent"/>
    <w:basedOn w:val="1"/>
    <w:next w:val="11"/>
    <w:link w:val="67"/>
    <w:qFormat/>
    <w:uiPriority w:val="0"/>
    <w:pPr>
      <w:widowControl w:val="0"/>
      <w:adjustRightInd w:val="0"/>
      <w:spacing w:after="0" w:line="480" w:lineRule="exact"/>
      <w:ind w:firstLine="480" w:firstLineChars="200"/>
      <w:jc w:val="both"/>
    </w:pPr>
    <w:rPr>
      <w:rFonts w:ascii="宋体" w:hAnsi="宋体" w:eastAsia="宋体" w:cs="Times New Roman"/>
      <w:kern w:val="2"/>
    </w:rPr>
  </w:style>
  <w:style w:type="paragraph" w:styleId="17">
    <w:name w:val="Plain Text"/>
    <w:basedOn w:val="1"/>
    <w:link w:val="65"/>
    <w:qFormat/>
    <w:uiPriority w:val="0"/>
    <w:pPr>
      <w:widowControl w:val="0"/>
      <w:adjustRightInd w:val="0"/>
      <w:spacing w:after="0"/>
      <w:jc w:val="both"/>
    </w:pPr>
    <w:rPr>
      <w:rFonts w:ascii="宋体" w:hAnsi="Courier New" w:eastAsia="宋体" w:cs="Arial"/>
      <w:snapToGrid w:val="0"/>
      <w:kern w:val="2"/>
      <w:sz w:val="21"/>
      <w:szCs w:val="21"/>
    </w:rPr>
  </w:style>
  <w:style w:type="paragraph" w:styleId="18">
    <w:name w:val="Balloon Text"/>
    <w:basedOn w:val="1"/>
    <w:link w:val="79"/>
    <w:semiHidden/>
    <w:unhideWhenUsed/>
    <w:qFormat/>
    <w:uiPriority w:val="99"/>
    <w:pPr>
      <w:spacing w:after="0"/>
    </w:pPr>
    <w:rPr>
      <w:sz w:val="18"/>
      <w:szCs w:val="18"/>
    </w:rPr>
  </w:style>
  <w:style w:type="paragraph" w:styleId="19">
    <w:name w:val="footer"/>
    <w:basedOn w:val="1"/>
    <w:link w:val="36"/>
    <w:unhideWhenUsed/>
    <w:qFormat/>
    <w:uiPriority w:val="99"/>
    <w:pPr>
      <w:tabs>
        <w:tab w:val="center" w:pos="4153"/>
        <w:tab w:val="right" w:pos="8306"/>
      </w:tabs>
      <w:snapToGrid w:val="0"/>
    </w:pPr>
    <w:rPr>
      <w:sz w:val="18"/>
      <w:szCs w:val="18"/>
    </w:rPr>
  </w:style>
  <w:style w:type="paragraph" w:styleId="20">
    <w:name w:val="header"/>
    <w:basedOn w:val="1"/>
    <w:link w:val="35"/>
    <w:unhideWhenUsed/>
    <w:qFormat/>
    <w:uiPriority w:val="99"/>
    <w:pPr>
      <w:pBdr>
        <w:bottom w:val="single" w:color="auto" w:sz="6" w:space="1"/>
      </w:pBdr>
      <w:tabs>
        <w:tab w:val="center" w:pos="4153"/>
        <w:tab w:val="right" w:pos="8306"/>
      </w:tabs>
      <w:snapToGrid w:val="0"/>
      <w:jc w:val="center"/>
    </w:pPr>
    <w:rPr>
      <w:sz w:val="18"/>
      <w:szCs w:val="18"/>
    </w:rPr>
  </w:style>
  <w:style w:type="paragraph" w:styleId="21">
    <w:name w:val="Subtitle"/>
    <w:basedOn w:val="1"/>
    <w:next w:val="1"/>
    <w:link w:val="47"/>
    <w:qFormat/>
    <w:uiPriority w:val="11"/>
    <w:rPr>
      <w:i/>
      <w:iCs/>
      <w:smallCaps/>
      <w:spacing w:val="10"/>
      <w:sz w:val="28"/>
      <w:szCs w:val="28"/>
    </w:rPr>
  </w:style>
  <w:style w:type="paragraph" w:styleId="22">
    <w:name w:val="Normal (Web)"/>
    <w:basedOn w:val="1"/>
    <w:semiHidden/>
    <w:unhideWhenUsed/>
    <w:qFormat/>
    <w:uiPriority w:val="99"/>
    <w:pPr>
      <w:spacing w:beforeAutospacing="1" w:after="0" w:afterAutospacing="1"/>
    </w:pPr>
    <w:rPr>
      <w:rFonts w:cs="Times New Roman"/>
    </w:rPr>
  </w:style>
  <w:style w:type="paragraph" w:styleId="23">
    <w:name w:val="Title"/>
    <w:basedOn w:val="1"/>
    <w:next w:val="1"/>
    <w:link w:val="46"/>
    <w:qFormat/>
    <w:uiPriority w:val="10"/>
    <w:pPr>
      <w:spacing w:after="300"/>
      <w:contextualSpacing/>
    </w:pPr>
    <w:rPr>
      <w:smallCaps/>
      <w:sz w:val="52"/>
      <w:szCs w:val="52"/>
    </w:rPr>
  </w:style>
  <w:style w:type="paragraph" w:styleId="24">
    <w:name w:val="Body Text First Indent"/>
    <w:basedOn w:val="14"/>
    <w:next w:val="1"/>
    <w:qFormat/>
    <w:uiPriority w:val="0"/>
    <w:pPr>
      <w:ind w:firstLine="420"/>
    </w:pPr>
    <w:rPr>
      <w:szCs w:val="20"/>
    </w:rPr>
  </w:style>
  <w:style w:type="paragraph" w:styleId="25">
    <w:name w:val="Body Text First Indent 2"/>
    <w:basedOn w:val="16"/>
    <w:next w:val="1"/>
    <w:semiHidden/>
    <w:unhideWhenUsed/>
    <w:qFormat/>
    <w:uiPriority w:val="99"/>
    <w:pPr>
      <w:keepNext w:val="0"/>
      <w:keepLines w:val="0"/>
      <w:widowControl w:val="0"/>
      <w:suppressLineNumbers w:val="0"/>
      <w:spacing w:before="0" w:beforeAutospacing="0" w:after="120" w:afterAutospacing="0"/>
      <w:ind w:left="420" w:leftChars="200" w:right="0" w:firstLine="210" w:firstLineChars="200"/>
      <w:jc w:val="both"/>
    </w:pPr>
    <w:rPr>
      <w:rFonts w:hint="eastAsia" w:ascii="宋体" w:hAnsi="宋体" w:eastAsia="宋体" w:cs="Times New Roman"/>
      <w:kern w:val="2"/>
      <w:sz w:val="21"/>
      <w:szCs w:val="24"/>
      <w:lang w:val="en-US" w:eastAsia="zh-CN" w:bidi="ar"/>
    </w:rPr>
  </w:style>
  <w:style w:type="table" w:styleId="27">
    <w:name w:val="Table Grid"/>
    <w:basedOn w:val="26"/>
    <w:qFormat/>
    <w:uiPriority w:val="0"/>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29">
    <w:name w:val="Strong"/>
    <w:qFormat/>
    <w:uiPriority w:val="22"/>
    <w:rPr>
      <w:b/>
      <w:bCs/>
    </w:rPr>
  </w:style>
  <w:style w:type="character" w:styleId="30">
    <w:name w:val="Emphasis"/>
    <w:qFormat/>
    <w:uiPriority w:val="20"/>
    <w:rPr>
      <w:b/>
      <w:bCs/>
      <w:i/>
      <w:iCs/>
      <w:spacing w:val="10"/>
    </w:rPr>
  </w:style>
  <w:style w:type="character" w:styleId="31">
    <w:name w:val="Hyperlink"/>
    <w:qFormat/>
    <w:uiPriority w:val="99"/>
    <w:rPr>
      <w:rFonts w:ascii="Arial" w:hAnsi="Arial" w:eastAsia="黑体" w:cs="Arial"/>
      <w:snapToGrid w:val="0"/>
      <w:color w:val="000000"/>
      <w:kern w:val="0"/>
      <w:sz w:val="18"/>
      <w:szCs w:val="18"/>
      <w:u w:val="none"/>
    </w:rPr>
  </w:style>
  <w:style w:type="paragraph" w:customStyle="1" w:styleId="32">
    <w:name w:val="公文标题 3"/>
    <w:qFormat/>
    <w:uiPriority w:val="0"/>
    <w:pPr>
      <w:widowControl w:val="0"/>
      <w:spacing w:line="360" w:lineRule="auto"/>
      <w:ind w:left="561" w:firstLine="14"/>
      <w:jc w:val="both"/>
      <w:outlineLvl w:val="2"/>
    </w:pPr>
    <w:rPr>
      <w:rFonts w:ascii="宋体" w:hAnsi="宋体" w:eastAsia="Malgun Gothic" w:cs="Times New Roman"/>
      <w:lang w:val="en-US" w:eastAsia="zh-CN" w:bidi="ar-SA"/>
    </w:rPr>
  </w:style>
  <w:style w:type="paragraph" w:customStyle="1" w:styleId="33">
    <w:name w:val="段"/>
    <w:next w:val="1"/>
    <w:qFormat/>
    <w:uiPriority w:val="0"/>
    <w:pPr>
      <w:autoSpaceDE w:val="0"/>
      <w:autoSpaceDN w:val="0"/>
      <w:ind w:firstLine="200" w:firstLineChars="200"/>
      <w:jc w:val="both"/>
    </w:pPr>
    <w:rPr>
      <w:rFonts w:ascii="宋体" w:hAnsi="Times New Roman" w:eastAsia="宋体" w:cs="Times New Roman"/>
      <w:sz w:val="21"/>
      <w:lang w:val="en-US" w:eastAsia="zh-CN" w:bidi="ar-SA"/>
    </w:rPr>
  </w:style>
  <w:style w:type="paragraph" w:customStyle="1" w:styleId="34">
    <w:name w:val="正文文本首行缩进 21"/>
    <w:basedOn w:val="16"/>
    <w:qFormat/>
    <w:uiPriority w:val="99"/>
    <w:pPr>
      <w:spacing w:line="200" w:lineRule="atLeast"/>
      <w:ind w:firstLine="420"/>
    </w:pPr>
    <w:rPr>
      <w:rFonts w:hAnsi="Courier New"/>
      <w:spacing w:val="-4"/>
      <w:sz w:val="18"/>
    </w:rPr>
  </w:style>
  <w:style w:type="character" w:customStyle="1" w:styleId="35">
    <w:name w:val="页眉 字符"/>
    <w:basedOn w:val="28"/>
    <w:link w:val="20"/>
    <w:qFormat/>
    <w:uiPriority w:val="99"/>
    <w:rPr>
      <w:sz w:val="18"/>
      <w:szCs w:val="18"/>
    </w:rPr>
  </w:style>
  <w:style w:type="character" w:customStyle="1" w:styleId="36">
    <w:name w:val="页脚 字符"/>
    <w:basedOn w:val="28"/>
    <w:link w:val="19"/>
    <w:qFormat/>
    <w:uiPriority w:val="99"/>
    <w:rPr>
      <w:sz w:val="18"/>
      <w:szCs w:val="18"/>
    </w:rPr>
  </w:style>
  <w:style w:type="character" w:customStyle="1" w:styleId="37">
    <w:name w:val="标题 1 字符"/>
    <w:basedOn w:val="28"/>
    <w:link w:val="3"/>
    <w:qFormat/>
    <w:uiPriority w:val="9"/>
    <w:rPr>
      <w:rFonts w:ascii="仿宋_GB2312" w:hAnsi="仿宋" w:eastAsia="仿宋_GB2312"/>
      <w:b/>
      <w:smallCaps/>
      <w:spacing w:val="5"/>
      <w:sz w:val="36"/>
      <w:szCs w:val="36"/>
    </w:rPr>
  </w:style>
  <w:style w:type="character" w:customStyle="1" w:styleId="38">
    <w:name w:val="标题 2 字符"/>
    <w:basedOn w:val="28"/>
    <w:link w:val="2"/>
    <w:qFormat/>
    <w:uiPriority w:val="9"/>
    <w:rPr>
      <w:rFonts w:ascii="仿宋" w:hAnsi="仿宋" w:eastAsia="仿宋"/>
      <w:b/>
      <w:smallCaps/>
      <w:sz w:val="28"/>
      <w:szCs w:val="28"/>
    </w:rPr>
  </w:style>
  <w:style w:type="character" w:customStyle="1" w:styleId="39">
    <w:name w:val="标题 3 字符"/>
    <w:basedOn w:val="28"/>
    <w:link w:val="4"/>
    <w:qFormat/>
    <w:uiPriority w:val="9"/>
    <w:rPr>
      <w:rFonts w:ascii="仿宋" w:hAnsi="仿宋" w:eastAsia="仿宋"/>
      <w:b/>
      <w:sz w:val="24"/>
      <w:szCs w:val="24"/>
    </w:rPr>
  </w:style>
  <w:style w:type="character" w:customStyle="1" w:styleId="40">
    <w:name w:val="标题 4 字符"/>
    <w:basedOn w:val="28"/>
    <w:link w:val="5"/>
    <w:qFormat/>
    <w:uiPriority w:val="9"/>
    <w:rPr>
      <w:b/>
      <w:bCs/>
      <w:spacing w:val="5"/>
      <w:sz w:val="24"/>
      <w:szCs w:val="24"/>
    </w:rPr>
  </w:style>
  <w:style w:type="character" w:customStyle="1" w:styleId="41">
    <w:name w:val="标题 5 字符"/>
    <w:basedOn w:val="28"/>
    <w:link w:val="6"/>
    <w:qFormat/>
    <w:uiPriority w:val="9"/>
    <w:rPr>
      <w:i/>
      <w:iCs/>
      <w:sz w:val="24"/>
      <w:szCs w:val="24"/>
    </w:rPr>
  </w:style>
  <w:style w:type="character" w:customStyle="1" w:styleId="42">
    <w:name w:val="标题 6 字符"/>
    <w:basedOn w:val="28"/>
    <w:link w:val="7"/>
    <w:semiHidden/>
    <w:qFormat/>
    <w:uiPriority w:val="9"/>
    <w:rPr>
      <w:b/>
      <w:bCs/>
      <w:color w:val="595959" w:themeColor="text1" w:themeTint="A6"/>
      <w:spacing w:val="5"/>
      <w:shd w:val="clear" w:color="auto" w:fill="FFFFFF" w:themeFill="background1"/>
      <w14:textFill>
        <w14:solidFill>
          <w14:schemeClr w14:val="tx1">
            <w14:lumMod w14:val="65000"/>
            <w14:lumOff w14:val="35000"/>
          </w14:schemeClr>
        </w14:solidFill>
      </w14:textFill>
    </w:rPr>
  </w:style>
  <w:style w:type="character" w:customStyle="1" w:styleId="43">
    <w:name w:val="标题 7 字符"/>
    <w:basedOn w:val="28"/>
    <w:link w:val="8"/>
    <w:semiHidden/>
    <w:qFormat/>
    <w:uiPriority w:val="9"/>
    <w:rPr>
      <w:b/>
      <w:bCs/>
      <w:i/>
      <w:iCs/>
      <w:color w:val="595959" w:themeColor="text1" w:themeTint="A6"/>
      <w:sz w:val="20"/>
      <w:szCs w:val="20"/>
      <w14:textFill>
        <w14:solidFill>
          <w14:schemeClr w14:val="tx1">
            <w14:lumMod w14:val="65000"/>
            <w14:lumOff w14:val="35000"/>
          </w14:schemeClr>
        </w14:solidFill>
      </w14:textFill>
    </w:rPr>
  </w:style>
  <w:style w:type="character" w:customStyle="1" w:styleId="44">
    <w:name w:val="标题 8 字符"/>
    <w:basedOn w:val="28"/>
    <w:link w:val="9"/>
    <w:semiHidden/>
    <w:qFormat/>
    <w:uiPriority w:val="9"/>
    <w:rPr>
      <w:b/>
      <w:bCs/>
      <w:color w:val="808080" w:themeColor="text1" w:themeTint="80"/>
      <w:sz w:val="20"/>
      <w:szCs w:val="20"/>
      <w14:textFill>
        <w14:solidFill>
          <w14:schemeClr w14:val="tx1">
            <w14:lumMod w14:val="50000"/>
            <w14:lumOff w14:val="50000"/>
          </w14:schemeClr>
        </w14:solidFill>
      </w14:textFill>
    </w:rPr>
  </w:style>
  <w:style w:type="character" w:customStyle="1" w:styleId="45">
    <w:name w:val="标题 9 字符"/>
    <w:basedOn w:val="28"/>
    <w:link w:val="10"/>
    <w:semiHidden/>
    <w:qFormat/>
    <w:uiPriority w:val="9"/>
    <w:rPr>
      <w:b/>
      <w:bCs/>
      <w:i/>
      <w:iCs/>
      <w:color w:val="808080" w:themeColor="text1" w:themeTint="80"/>
      <w:sz w:val="18"/>
      <w:szCs w:val="18"/>
      <w14:textFill>
        <w14:solidFill>
          <w14:schemeClr w14:val="tx1">
            <w14:lumMod w14:val="50000"/>
            <w14:lumOff w14:val="50000"/>
          </w14:schemeClr>
        </w14:solidFill>
      </w14:textFill>
    </w:rPr>
  </w:style>
  <w:style w:type="character" w:customStyle="1" w:styleId="46">
    <w:name w:val="标题 字符"/>
    <w:basedOn w:val="28"/>
    <w:link w:val="23"/>
    <w:qFormat/>
    <w:uiPriority w:val="10"/>
    <w:rPr>
      <w:smallCaps/>
      <w:sz w:val="52"/>
      <w:szCs w:val="52"/>
    </w:rPr>
  </w:style>
  <w:style w:type="character" w:customStyle="1" w:styleId="47">
    <w:name w:val="副标题 字符"/>
    <w:basedOn w:val="28"/>
    <w:link w:val="21"/>
    <w:qFormat/>
    <w:uiPriority w:val="11"/>
    <w:rPr>
      <w:i/>
      <w:iCs/>
      <w:smallCaps/>
      <w:spacing w:val="10"/>
      <w:sz w:val="28"/>
      <w:szCs w:val="28"/>
    </w:rPr>
  </w:style>
  <w:style w:type="paragraph" w:styleId="48">
    <w:name w:val="No Spacing"/>
    <w:basedOn w:val="1"/>
    <w:link w:val="60"/>
    <w:qFormat/>
    <w:uiPriority w:val="1"/>
    <w:pPr>
      <w:spacing w:after="0"/>
    </w:pPr>
  </w:style>
  <w:style w:type="paragraph" w:styleId="49">
    <w:name w:val="List Paragraph"/>
    <w:basedOn w:val="1"/>
    <w:qFormat/>
    <w:uiPriority w:val="34"/>
    <w:pPr>
      <w:ind w:left="720"/>
      <w:contextualSpacing/>
    </w:pPr>
  </w:style>
  <w:style w:type="paragraph" w:styleId="50">
    <w:name w:val="Quote"/>
    <w:basedOn w:val="1"/>
    <w:next w:val="1"/>
    <w:link w:val="51"/>
    <w:qFormat/>
    <w:uiPriority w:val="29"/>
    <w:rPr>
      <w:i/>
      <w:iCs/>
    </w:rPr>
  </w:style>
  <w:style w:type="character" w:customStyle="1" w:styleId="51">
    <w:name w:val="引用 字符"/>
    <w:basedOn w:val="28"/>
    <w:link w:val="50"/>
    <w:qFormat/>
    <w:uiPriority w:val="29"/>
    <w:rPr>
      <w:i/>
      <w:iCs/>
    </w:rPr>
  </w:style>
  <w:style w:type="paragraph" w:styleId="52">
    <w:name w:val="Intense Quote"/>
    <w:basedOn w:val="1"/>
    <w:next w:val="1"/>
    <w:link w:val="53"/>
    <w:qFormat/>
    <w:uiPriority w:val="30"/>
    <w:pPr>
      <w:pBdr>
        <w:top w:val="single" w:color="auto" w:sz="4" w:space="10"/>
        <w:bottom w:val="single" w:color="auto" w:sz="4" w:space="10"/>
      </w:pBdr>
      <w:spacing w:before="240" w:after="240" w:line="300" w:lineRule="auto"/>
      <w:ind w:left="1152" w:right="1152"/>
      <w:jc w:val="both"/>
    </w:pPr>
    <w:rPr>
      <w:i/>
      <w:iCs/>
    </w:rPr>
  </w:style>
  <w:style w:type="character" w:customStyle="1" w:styleId="53">
    <w:name w:val="明显引用 字符"/>
    <w:basedOn w:val="28"/>
    <w:link w:val="52"/>
    <w:qFormat/>
    <w:uiPriority w:val="30"/>
    <w:rPr>
      <w:i/>
      <w:iCs/>
    </w:rPr>
  </w:style>
  <w:style w:type="character" w:customStyle="1" w:styleId="54">
    <w:name w:val="不明显强调1"/>
    <w:qFormat/>
    <w:uiPriority w:val="19"/>
    <w:rPr>
      <w:i/>
      <w:iCs/>
    </w:rPr>
  </w:style>
  <w:style w:type="character" w:customStyle="1" w:styleId="55">
    <w:name w:val="明显强调1"/>
    <w:qFormat/>
    <w:uiPriority w:val="21"/>
    <w:rPr>
      <w:b/>
      <w:bCs/>
      <w:i/>
      <w:iCs/>
    </w:rPr>
  </w:style>
  <w:style w:type="character" w:customStyle="1" w:styleId="56">
    <w:name w:val="不明显参考1"/>
    <w:basedOn w:val="28"/>
    <w:qFormat/>
    <w:uiPriority w:val="31"/>
    <w:rPr>
      <w:smallCaps/>
    </w:rPr>
  </w:style>
  <w:style w:type="character" w:customStyle="1" w:styleId="57">
    <w:name w:val="明显参考1"/>
    <w:qFormat/>
    <w:uiPriority w:val="32"/>
    <w:rPr>
      <w:b/>
      <w:bCs/>
      <w:smallCaps/>
    </w:rPr>
  </w:style>
  <w:style w:type="character" w:customStyle="1" w:styleId="58">
    <w:name w:val="书籍标题1"/>
    <w:basedOn w:val="28"/>
    <w:qFormat/>
    <w:uiPriority w:val="33"/>
    <w:rPr>
      <w:i/>
      <w:iCs/>
      <w:smallCaps/>
      <w:spacing w:val="5"/>
    </w:rPr>
  </w:style>
  <w:style w:type="paragraph" w:customStyle="1" w:styleId="59">
    <w:name w:val="TOC 标题1"/>
    <w:basedOn w:val="3"/>
    <w:next w:val="1"/>
    <w:semiHidden/>
    <w:unhideWhenUsed/>
    <w:qFormat/>
    <w:uiPriority w:val="39"/>
    <w:pPr>
      <w:outlineLvl w:val="9"/>
    </w:pPr>
    <w:rPr>
      <w:lang w:bidi="en-US"/>
    </w:rPr>
  </w:style>
  <w:style w:type="character" w:customStyle="1" w:styleId="60">
    <w:name w:val="无间隔 字符"/>
    <w:basedOn w:val="28"/>
    <w:link w:val="48"/>
    <w:qFormat/>
    <w:uiPriority w:val="1"/>
  </w:style>
  <w:style w:type="paragraph" w:customStyle="1" w:styleId="61">
    <w:name w:val="Personal Name"/>
    <w:basedOn w:val="23"/>
    <w:qFormat/>
    <w:uiPriority w:val="0"/>
    <w:rPr>
      <w:b/>
      <w:caps/>
      <w:color w:val="000000"/>
      <w:sz w:val="28"/>
      <w:szCs w:val="28"/>
    </w:rPr>
  </w:style>
  <w:style w:type="character" w:customStyle="1" w:styleId="62">
    <w:name w:val="正文2 Char Char"/>
    <w:link w:val="63"/>
    <w:qFormat/>
    <w:uiPriority w:val="0"/>
    <w:rPr>
      <w:rFonts w:ascii="仿宋" w:hAnsi="仿宋" w:eastAsia="仿宋"/>
      <w:sz w:val="24"/>
      <w:szCs w:val="24"/>
    </w:rPr>
  </w:style>
  <w:style w:type="paragraph" w:customStyle="1" w:styleId="63">
    <w:name w:val="正文2"/>
    <w:basedOn w:val="1"/>
    <w:link w:val="62"/>
    <w:qFormat/>
    <w:uiPriority w:val="0"/>
    <w:pPr>
      <w:spacing w:line="360" w:lineRule="auto"/>
    </w:pPr>
  </w:style>
  <w:style w:type="character" w:customStyle="1" w:styleId="64">
    <w:name w:val="正文缩进 字符"/>
    <w:link w:val="11"/>
    <w:qFormat/>
    <w:uiPriority w:val="0"/>
    <w:rPr>
      <w:rFonts w:ascii="宋体" w:hAnsi="Times New Roman" w:eastAsia="宋体" w:cs="Times New Roman"/>
      <w:snapToGrid w:val="0"/>
      <w:color w:val="000000"/>
      <w:kern w:val="28"/>
      <w:sz w:val="28"/>
      <w:szCs w:val="20"/>
    </w:rPr>
  </w:style>
  <w:style w:type="character" w:customStyle="1" w:styleId="65">
    <w:name w:val="纯文本 字符"/>
    <w:basedOn w:val="28"/>
    <w:link w:val="17"/>
    <w:qFormat/>
    <w:uiPriority w:val="0"/>
    <w:rPr>
      <w:rFonts w:ascii="宋体" w:hAnsi="Courier New" w:eastAsia="宋体" w:cs="Arial"/>
      <w:snapToGrid w:val="0"/>
      <w:kern w:val="2"/>
      <w:sz w:val="21"/>
      <w:szCs w:val="21"/>
    </w:rPr>
  </w:style>
  <w:style w:type="character" w:customStyle="1" w:styleId="66">
    <w:name w:val="正文文本缩进 Char"/>
    <w:basedOn w:val="28"/>
    <w:semiHidden/>
    <w:qFormat/>
    <w:uiPriority w:val="99"/>
    <w:rPr>
      <w:rFonts w:ascii="仿宋" w:hAnsi="仿宋" w:eastAsia="仿宋"/>
      <w:sz w:val="24"/>
      <w:szCs w:val="24"/>
    </w:rPr>
  </w:style>
  <w:style w:type="character" w:customStyle="1" w:styleId="67">
    <w:name w:val="正文文本缩进 字符"/>
    <w:link w:val="16"/>
    <w:qFormat/>
    <w:uiPriority w:val="0"/>
    <w:rPr>
      <w:rFonts w:ascii="宋体" w:hAnsi="宋体" w:eastAsia="宋体" w:cs="Times New Roman"/>
      <w:kern w:val="2"/>
      <w:sz w:val="24"/>
      <w:szCs w:val="24"/>
    </w:rPr>
  </w:style>
  <w:style w:type="character" w:customStyle="1" w:styleId="68">
    <w:name w:val="标题 Char2"/>
    <w:qFormat/>
    <w:uiPriority w:val="10"/>
    <w:rPr>
      <w:b/>
      <w:sz w:val="24"/>
      <w:lang w:val="en-GB"/>
    </w:rPr>
  </w:style>
  <w:style w:type="character" w:customStyle="1" w:styleId="69">
    <w:name w:val="纯文本 Char1"/>
    <w:link w:val="70"/>
    <w:qFormat/>
    <w:uiPriority w:val="0"/>
    <w:rPr>
      <w:rFonts w:ascii="宋体" w:hAnsi="Courier New"/>
    </w:rPr>
  </w:style>
  <w:style w:type="paragraph" w:customStyle="1" w:styleId="70">
    <w:name w:val="纯文本1"/>
    <w:basedOn w:val="1"/>
    <w:link w:val="69"/>
    <w:qFormat/>
    <w:uiPriority w:val="0"/>
    <w:pPr>
      <w:widowControl w:val="0"/>
      <w:spacing w:after="0"/>
      <w:jc w:val="both"/>
    </w:pPr>
    <w:rPr>
      <w:rFonts w:ascii="宋体" w:hAnsi="Courier New" w:eastAsiaTheme="majorEastAsia"/>
      <w:sz w:val="22"/>
      <w:szCs w:val="22"/>
    </w:rPr>
  </w:style>
  <w:style w:type="character" w:customStyle="1" w:styleId="71">
    <w:name w:val="页脚 Char2"/>
    <w:qFormat/>
    <w:locked/>
    <w:uiPriority w:val="99"/>
    <w:rPr>
      <w:kern w:val="2"/>
      <w:sz w:val="18"/>
      <w:szCs w:val="18"/>
    </w:rPr>
  </w:style>
  <w:style w:type="character" w:customStyle="1" w:styleId="72">
    <w:name w:val="页眉 Char2"/>
    <w:qFormat/>
    <w:uiPriority w:val="99"/>
    <w:rPr>
      <w:kern w:val="2"/>
      <w:sz w:val="18"/>
      <w:szCs w:val="18"/>
    </w:rPr>
  </w:style>
  <w:style w:type="paragraph" w:customStyle="1" w:styleId="73">
    <w:name w:val="索引 11"/>
    <w:basedOn w:val="1"/>
    <w:next w:val="1"/>
    <w:qFormat/>
    <w:uiPriority w:val="99"/>
    <w:pPr>
      <w:widowControl w:val="0"/>
      <w:spacing w:after="0" w:line="360" w:lineRule="auto"/>
      <w:jc w:val="both"/>
    </w:pPr>
    <w:rPr>
      <w:rFonts w:ascii="仿宋_GB2312" w:hAnsi="Times New Roman" w:eastAsia="仿宋_GB2312" w:cs="Times New Roman"/>
      <w:kern w:val="2"/>
      <w:szCs w:val="20"/>
    </w:rPr>
  </w:style>
  <w:style w:type="paragraph" w:customStyle="1" w:styleId="74">
    <w:name w:val="正文缩进1"/>
    <w:basedOn w:val="1"/>
    <w:next w:val="16"/>
    <w:qFormat/>
    <w:uiPriority w:val="0"/>
    <w:pPr>
      <w:widowControl w:val="0"/>
      <w:autoSpaceDE w:val="0"/>
      <w:autoSpaceDN w:val="0"/>
      <w:adjustRightInd w:val="0"/>
      <w:snapToGrid w:val="0"/>
      <w:spacing w:after="120" w:line="360" w:lineRule="auto"/>
      <w:ind w:left="420" w:leftChars="200" w:firstLine="480" w:firstLineChars="200"/>
      <w:jc w:val="both"/>
    </w:pPr>
    <w:rPr>
      <w:rFonts w:ascii="Times New Roman" w:hAnsi="Times New Roman" w:eastAsia="宋体" w:cs="Times New Roman"/>
      <w:kern w:val="2"/>
      <w:szCs w:val="21"/>
    </w:rPr>
  </w:style>
  <w:style w:type="paragraph" w:customStyle="1" w:styleId="75">
    <w:name w:val="text-tag"/>
    <w:basedOn w:val="1"/>
    <w:semiHidden/>
    <w:qFormat/>
    <w:uiPriority w:val="99"/>
    <w:pPr>
      <w:spacing w:before="100" w:beforeAutospacing="1" w:after="100" w:afterAutospacing="1"/>
    </w:pPr>
    <w:rPr>
      <w:rFonts w:ascii="宋体" w:hAnsi="宋体" w:eastAsia="宋体" w:cs="宋体"/>
    </w:rPr>
  </w:style>
  <w:style w:type="character" w:customStyle="1" w:styleId="76">
    <w:name w:val="纯文本 Char_0"/>
    <w:link w:val="77"/>
    <w:qFormat/>
    <w:uiPriority w:val="0"/>
    <w:rPr>
      <w:rFonts w:ascii="宋体" w:hAnsi="Courier New"/>
      <w:kern w:val="2"/>
      <w:sz w:val="21"/>
      <w:szCs w:val="21"/>
    </w:rPr>
  </w:style>
  <w:style w:type="paragraph" w:customStyle="1" w:styleId="77">
    <w:name w:val="纯文本_0_0"/>
    <w:basedOn w:val="1"/>
    <w:link w:val="76"/>
    <w:qFormat/>
    <w:uiPriority w:val="0"/>
    <w:pPr>
      <w:widowControl w:val="0"/>
      <w:spacing w:after="0"/>
      <w:jc w:val="both"/>
    </w:pPr>
    <w:rPr>
      <w:rFonts w:ascii="宋体" w:hAnsi="Courier New" w:eastAsiaTheme="majorEastAsia"/>
      <w:kern w:val="2"/>
      <w:sz w:val="21"/>
      <w:szCs w:val="21"/>
    </w:rPr>
  </w:style>
  <w:style w:type="paragraph" w:customStyle="1" w:styleId="78">
    <w:name w:val="部分1"/>
    <w:basedOn w:val="1"/>
    <w:qFormat/>
    <w:uiPriority w:val="0"/>
    <w:pPr>
      <w:keepNext/>
      <w:pageBreakBefore/>
      <w:widowControl w:val="0"/>
      <w:tabs>
        <w:tab w:val="left" w:pos="720"/>
      </w:tabs>
      <w:adjustRightInd w:val="0"/>
      <w:spacing w:after="0" w:line="360" w:lineRule="auto"/>
      <w:jc w:val="center"/>
      <w:outlineLvl w:val="0"/>
    </w:pPr>
    <w:rPr>
      <w:rFonts w:ascii="Times New Roman" w:hAnsi="Times New Roman" w:eastAsia="黑体" w:cs="Times New Roman"/>
      <w:b/>
      <w:kern w:val="44"/>
      <w:sz w:val="36"/>
      <w:szCs w:val="20"/>
    </w:rPr>
  </w:style>
  <w:style w:type="character" w:customStyle="1" w:styleId="79">
    <w:name w:val="批注框文本 字符"/>
    <w:basedOn w:val="28"/>
    <w:link w:val="18"/>
    <w:semiHidden/>
    <w:qFormat/>
    <w:uiPriority w:val="99"/>
    <w:rPr>
      <w:rFonts w:ascii="仿宋" w:hAnsi="仿宋" w:eastAsia="仿宋"/>
      <w:sz w:val="18"/>
      <w:szCs w:val="18"/>
    </w:rPr>
  </w:style>
  <w:style w:type="paragraph" w:customStyle="1" w:styleId="80">
    <w:name w:val="章正文"/>
    <w:basedOn w:val="1"/>
    <w:qFormat/>
    <w:uiPriority w:val="0"/>
    <w:pPr>
      <w:adjustRightInd/>
      <w:spacing w:beforeLines="50" w:after="120" w:line="300" w:lineRule="auto"/>
      <w:ind w:firstLine="480" w:firstLineChars="200"/>
    </w:pPr>
    <w:rPr>
      <w:rFonts w:ascii="Helvetica" w:hAnsi="Helvetica"/>
      <w:kern w:val="0"/>
      <w:sz w:val="24"/>
    </w:rPr>
  </w:style>
  <w:style w:type="character" w:customStyle="1" w:styleId="81">
    <w:name w:val="font01"/>
    <w:basedOn w:val="28"/>
    <w:qFormat/>
    <w:uiPriority w:val="0"/>
    <w:rPr>
      <w:rFonts w:hint="eastAsia" w:ascii="宋体" w:hAnsi="宋体" w:eastAsia="宋体" w:cs="宋体"/>
      <w:color w:val="000000"/>
      <w:sz w:val="18"/>
      <w:szCs w:val="18"/>
      <w:u w:val="none"/>
    </w:rPr>
  </w:style>
  <w:style w:type="character" w:customStyle="1" w:styleId="82">
    <w:name w:val="font131"/>
    <w:basedOn w:val="28"/>
    <w:qFormat/>
    <w:uiPriority w:val="0"/>
    <w:rPr>
      <w:rFonts w:hint="eastAsia" w:ascii="宋体" w:hAnsi="宋体" w:eastAsia="宋体" w:cs="宋体"/>
      <w:color w:val="000000"/>
      <w:sz w:val="20"/>
      <w:szCs w:val="20"/>
      <w:u w:val="none"/>
    </w:rPr>
  </w:style>
  <w:style w:type="paragraph" w:customStyle="1" w:styleId="83">
    <w:name w:val="Table Paragraph"/>
    <w:basedOn w:val="1"/>
    <w:qFormat/>
    <w:uiPriority w:val="1"/>
    <w:pPr>
      <w:autoSpaceDE w:val="0"/>
      <w:autoSpaceDN w:val="0"/>
      <w:jc w:val="left"/>
    </w:pPr>
    <w:rPr>
      <w:rFonts w:ascii="宋体" w:hAnsi="宋体" w:cs="宋体"/>
      <w:kern w:val="0"/>
      <w:sz w:val="22"/>
      <w:lang w:val="zh-CN" w:bidi="zh-CN"/>
    </w:rPr>
  </w:style>
  <w:style w:type="table" w:customStyle="1" w:styleId="84">
    <w:name w:val="Table Normal"/>
    <w:semiHidden/>
    <w:unhideWhenUsed/>
    <w:qFormat/>
    <w:uiPriority w:val="0"/>
    <w:tblPr>
      <w:tblCellMar>
        <w:top w:w="0" w:type="dxa"/>
        <w:left w:w="0" w:type="dxa"/>
        <w:bottom w:w="0" w:type="dxa"/>
        <w:right w:w="0" w:type="dxa"/>
      </w:tblCellMar>
    </w:tblPr>
  </w:style>
  <w:style w:type="paragraph" w:customStyle="1" w:styleId="85">
    <w:name w:val="表格文字"/>
    <w:basedOn w:val="1"/>
    <w:next w:val="14"/>
    <w:qFormat/>
    <w:uiPriority w:val="0"/>
    <w:pPr>
      <w:adjustRightInd/>
      <w:ind w:firstLine="200" w:firstLineChars="200"/>
    </w:pPr>
    <w:rPr>
      <w:rFonts w:ascii="Arial" w:hAnsi="Arial"/>
      <w:spacing w:val="-5"/>
      <w:kern w:val="0"/>
      <w:sz w:val="24"/>
      <w:szCs w:val="20"/>
    </w:rPr>
  </w:style>
  <w:style w:type="paragraph" w:customStyle="1" w:styleId="86">
    <w:name w:val="无间隔1"/>
    <w:basedOn w:val="1"/>
    <w:qFormat/>
    <w:uiPriority w:val="0"/>
    <w:pPr>
      <w:widowControl/>
      <w:jc w:val="left"/>
    </w:pPr>
    <w:rPr>
      <w:rFonts w:ascii="Times New Roman" w:hAnsi="Times New Roman" w:eastAsia="宋体" w:cs="Times New Roman"/>
      <w:kern w:val="0"/>
      <w:sz w:val="22"/>
    </w:rPr>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customXml" Target="../customXml/item2.xml"/><Relationship Id="rId6" Type="http://schemas.openxmlformats.org/officeDocument/2006/relationships/numbering" Target="numbering.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
    <customSectPr/>
  </customSectProps>
  <customShpExts>
    <customShpInfo spid="_x0000_s1026"/>
  </customShpExts>
</s:custom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8D6E9672-B487-489B-8A08-A21C17F143A4}">
  <ds:schemaRefs/>
</ds:datastoreItem>
</file>

<file path=docProps/app.xml><?xml version="1.0" encoding="utf-8"?>
<Properties xmlns="http://schemas.openxmlformats.org/officeDocument/2006/extended-properties" xmlns:vt="http://schemas.openxmlformats.org/officeDocument/2006/docPropsVTypes">
  <Template>Normal</Template>
  <Pages>78</Pages>
  <Words>14496</Words>
  <Characters>15794</Characters>
  <Lines>309</Lines>
  <Paragraphs>87</Paragraphs>
  <TotalTime>3</TotalTime>
  <ScaleCrop>false</ScaleCrop>
  <LinksUpToDate>false</LinksUpToDate>
  <CharactersWithSpaces>16023</CharactersWithSpaces>
  <Application>WPS Office_11.1.0.10314_F1E327BC-269C-435d-A152-05C5408002CA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2022-06-10T07:30:00Z</dcterms:created>
  <dc:creator>admin</dc:creator>
  <cp:lastModifiedBy>Administrator</cp:lastModifiedBy>
  <cp:lastPrinted>2022-06-10T09:02:00Z</cp:lastPrinted>
  <dcterms:modified xsi:type="dcterms:W3CDTF">2025-04-11T02:41:20Z</dcterms:modified>
  <cp:revision>77</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2052-11.1.0.10314</vt:lpwstr>
  </property>
  <property fmtid="{D5CDD505-2E9C-101B-9397-08002B2CF9AE}" pid="3" name="ICV">
    <vt:lpwstr>B768C1CA3FC44E3C93B93BB2DFD1C417_13</vt:lpwstr>
  </property>
  <property fmtid="{D5CDD505-2E9C-101B-9397-08002B2CF9AE}" pid="4" name="KSOTemplateDocerSaveRecord">
    <vt:lpwstr>eyJoZGlkIjoiMWFlOTJhMDdkOTE2NTgxZDE3MGE0ODdkOTI3NTk0NjAiLCJ1c2VySWQiOiIzOTczNzA3NDEifQ==</vt:lpwstr>
  </property>
</Properties>
</file>