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0AF8">
      <w:pPr>
        <w:adjustRightInd/>
        <w:spacing w:line="360" w:lineRule="auto"/>
        <w:jc w:val="center"/>
        <w:rPr>
          <w:rFonts w:hint="eastAsia" w:ascii="仿宋" w:hAnsi="仿宋" w:eastAsia="仿宋" w:cs="仿宋"/>
          <w:b/>
          <w:bCs/>
          <w:color w:val="auto"/>
          <w:sz w:val="96"/>
          <w:szCs w:val="96"/>
          <w:highlight w:val="none"/>
          <w:lang w:eastAsia="zh-CN"/>
        </w:rPr>
      </w:pPr>
      <w:bookmarkStart w:id="0" w:name="_Hlt67893495"/>
      <w:bookmarkEnd w:id="0"/>
      <w:r>
        <w:rPr>
          <w:rFonts w:hint="eastAsia" w:ascii="仿宋" w:hAnsi="仿宋" w:eastAsia="仿宋" w:cs="仿宋"/>
          <w:b/>
          <w:bCs/>
          <w:color w:val="auto"/>
          <w:sz w:val="72"/>
          <w:szCs w:val="72"/>
          <w:highlight w:val="none"/>
          <w:lang w:eastAsia="zh-CN"/>
        </w:rPr>
        <w:t>嵊州市2024年官河南路绿化提升改造项目苗木采购项目</w:t>
      </w:r>
    </w:p>
    <w:p w14:paraId="59CC6AD3">
      <w:pPr>
        <w:keepNext w:val="0"/>
        <w:keepLines w:val="0"/>
        <w:pageBreakBefore w:val="0"/>
        <w:widowControl w:val="0"/>
        <w:kinsoku/>
        <w:wordWrap/>
        <w:overflowPunct/>
        <w:topLinePunct w:val="0"/>
        <w:autoSpaceDE/>
        <w:autoSpaceDN/>
        <w:bidi w:val="0"/>
        <w:adjustRightInd w:val="0"/>
        <w:snapToGrid/>
        <w:jc w:val="center"/>
        <w:textAlignment w:val="auto"/>
        <w:outlineLvl w:val="0"/>
        <w:rPr>
          <w:rFonts w:hint="default" w:ascii="仿宋" w:hAnsi="仿宋" w:eastAsia="仿宋" w:cs="仿宋"/>
          <w:b/>
          <w:color w:val="auto"/>
          <w:sz w:val="72"/>
          <w:szCs w:val="72"/>
          <w:highlight w:val="none"/>
          <w:lang w:val="en-US" w:eastAsia="zh-CN"/>
        </w:rPr>
      </w:pPr>
      <w:r>
        <w:rPr>
          <w:rFonts w:hint="eastAsia" w:ascii="仿宋" w:hAnsi="仿宋" w:eastAsia="仿宋" w:cs="仿宋"/>
          <w:b/>
          <w:color w:val="auto"/>
          <w:sz w:val="32"/>
          <w:szCs w:val="32"/>
          <w:highlight w:val="none"/>
          <w:lang w:val="en-US" w:eastAsia="zh-CN"/>
        </w:rPr>
        <w:t>项目</w:t>
      </w: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SXPZ-H20241106QXY</w:t>
      </w:r>
    </w:p>
    <w:p w14:paraId="3FC7DF03">
      <w:pPr>
        <w:keepNext w:val="0"/>
        <w:keepLines w:val="0"/>
        <w:pageBreakBefore w:val="0"/>
        <w:widowControl w:val="0"/>
        <w:kinsoku/>
        <w:wordWrap/>
        <w:overflowPunct/>
        <w:topLinePunct w:val="0"/>
        <w:autoSpaceDE/>
        <w:autoSpaceDN/>
        <w:bidi w:val="0"/>
        <w:adjustRightInd w:val="0"/>
        <w:snapToGrid/>
        <w:spacing w:before="313" w:beforeLines="100" w:line="360" w:lineRule="auto"/>
        <w:jc w:val="center"/>
        <w:textAlignment w:val="auto"/>
        <w:outlineLvl w:val="0"/>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44"/>
          <w:szCs w:val="44"/>
          <w:highlight w:val="none"/>
          <w:lang w:eastAsia="zh-CN"/>
        </w:rPr>
        <w:t>（</w:t>
      </w:r>
      <w:r>
        <w:rPr>
          <w:rFonts w:hint="eastAsia" w:ascii="仿宋" w:hAnsi="仿宋" w:eastAsia="仿宋" w:cs="仿宋"/>
          <w:b/>
          <w:color w:val="auto"/>
          <w:sz w:val="44"/>
          <w:szCs w:val="44"/>
          <w:highlight w:val="none"/>
          <w:lang w:val="en-US" w:eastAsia="zh-CN"/>
        </w:rPr>
        <w:t>国企采购</w:t>
      </w:r>
      <w:r>
        <w:rPr>
          <w:rFonts w:hint="eastAsia" w:ascii="仿宋" w:hAnsi="仿宋" w:eastAsia="仿宋" w:cs="仿宋"/>
          <w:b/>
          <w:color w:val="auto"/>
          <w:sz w:val="44"/>
          <w:szCs w:val="44"/>
          <w:highlight w:val="none"/>
          <w:lang w:eastAsia="zh-CN"/>
        </w:rPr>
        <w:t>）</w:t>
      </w:r>
    </w:p>
    <w:p w14:paraId="62DC33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4B2E2E4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637916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7B5ABDA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25DAC3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65686B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color w:val="auto"/>
          <w:sz w:val="44"/>
          <w:szCs w:val="24"/>
          <w:highlight w:val="none"/>
        </w:rPr>
      </w:pPr>
      <w:r>
        <w:rPr>
          <w:rFonts w:hint="eastAsia" w:ascii="仿宋" w:hAnsi="仿宋" w:eastAsia="仿宋" w:cs="仿宋"/>
          <w:b/>
          <w:color w:val="auto"/>
          <w:sz w:val="72"/>
          <w:szCs w:val="72"/>
          <w:highlight w:val="none"/>
        </w:rPr>
        <w:t>件</w:t>
      </w:r>
    </w:p>
    <w:p w14:paraId="34E196A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color w:val="auto"/>
          <w:sz w:val="44"/>
          <w:szCs w:val="44"/>
          <w:highlight w:val="none"/>
        </w:rPr>
        <w:t>（电子招投标）</w:t>
      </w:r>
    </w:p>
    <w:p w14:paraId="49FD6B7A">
      <w:pPr>
        <w:keepNext w:val="0"/>
        <w:keepLines w:val="0"/>
        <w:pageBreakBefore w:val="0"/>
        <w:widowControl w:val="0"/>
        <w:kinsoku/>
        <w:wordWrap/>
        <w:overflowPunct/>
        <w:topLinePunct w:val="0"/>
        <w:autoSpaceDE/>
        <w:autoSpaceDN/>
        <w:bidi w:val="0"/>
        <w:adjustRightInd/>
        <w:snapToGrid/>
        <w:spacing w:line="360" w:lineRule="auto"/>
        <w:ind w:right="533" w:firstLine="1084" w:firstLineChars="300"/>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val="en-US" w:eastAsia="zh-CN"/>
        </w:rPr>
        <w:t>采购</w:t>
      </w:r>
      <w:r>
        <w:rPr>
          <w:rFonts w:hint="eastAsia" w:ascii="仿宋" w:hAnsi="仿宋" w:eastAsia="仿宋" w:cs="仿宋"/>
          <w:b/>
          <w:bCs/>
          <w:color w:val="auto"/>
          <w:sz w:val="36"/>
          <w:szCs w:val="36"/>
          <w:highlight w:val="none"/>
          <w:lang w:eastAsia="zh-CN"/>
        </w:rPr>
        <w:t>单位: 嵊州市养护建设有限公司</w:t>
      </w:r>
    </w:p>
    <w:p w14:paraId="737DD5F2">
      <w:pPr>
        <w:keepNext w:val="0"/>
        <w:keepLines w:val="0"/>
        <w:pageBreakBefore w:val="0"/>
        <w:widowControl w:val="0"/>
        <w:kinsoku/>
        <w:wordWrap/>
        <w:overflowPunct/>
        <w:topLinePunct w:val="0"/>
        <w:autoSpaceDE/>
        <w:autoSpaceDN/>
        <w:bidi w:val="0"/>
        <w:adjustRightInd/>
        <w:snapToGrid/>
        <w:spacing w:line="360" w:lineRule="auto"/>
        <w:ind w:right="533" w:firstLine="1084" w:firstLineChars="300"/>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 xml:space="preserve">代理机构: 绍兴平准招标代理有限公司 </w:t>
      </w:r>
    </w:p>
    <w:p w14:paraId="05739EED">
      <w:pPr>
        <w:keepNext w:val="0"/>
        <w:keepLines w:val="0"/>
        <w:pageBreakBefore w:val="0"/>
        <w:widowControl w:val="0"/>
        <w:kinsoku/>
        <w:wordWrap/>
        <w:overflowPunct/>
        <w:topLinePunct w:val="0"/>
        <w:autoSpaceDE/>
        <w:autoSpaceDN/>
        <w:bidi w:val="0"/>
        <w:adjustRightInd/>
        <w:snapToGrid/>
        <w:spacing w:line="360" w:lineRule="auto"/>
        <w:ind w:right="533" w:firstLine="1084" w:firstLineChars="300"/>
        <w:textAlignment w:val="auto"/>
        <w:rPr>
          <w:rFonts w:hint="default" w:ascii="仿宋" w:hAnsi="仿宋" w:eastAsia="仿宋" w:cs="仿宋"/>
          <w:color w:val="auto"/>
          <w:highlight w:val="none"/>
          <w:lang w:val="en-US"/>
        </w:rPr>
        <w:sectPr>
          <w:headerReference r:id="rId4" w:type="first"/>
          <w:headerReference r:id="rId3" w:type="default"/>
          <w:footerReference r:id="rId5" w:type="even"/>
          <w:pgSz w:w="11906" w:h="16838"/>
          <w:pgMar w:top="1814" w:right="1474" w:bottom="1814" w:left="1474" w:header="851" w:footer="992" w:gutter="0"/>
          <w:pgNumType w:fmt="decimal" w:start="1"/>
          <w:cols w:space="720" w:num="1"/>
          <w:titlePg/>
          <w:docGrid w:linePitch="312" w:charSpace="0"/>
        </w:sectPr>
      </w:pPr>
      <w:r>
        <w:rPr>
          <w:rFonts w:hint="eastAsia" w:ascii="仿宋" w:hAnsi="仿宋" w:eastAsia="仿宋" w:cs="仿宋"/>
          <w:b/>
          <w:bCs/>
          <w:color w:val="auto"/>
          <w:sz w:val="36"/>
          <w:szCs w:val="36"/>
          <w:highlight w:val="none"/>
          <w:lang w:eastAsia="zh-CN"/>
        </w:rPr>
        <w:t>日    期: 202</w:t>
      </w:r>
      <w:r>
        <w:rPr>
          <w:rFonts w:hint="eastAsia" w:ascii="仿宋" w:hAnsi="仿宋" w:eastAsia="仿宋" w:cs="仿宋"/>
          <w:b/>
          <w:bCs/>
          <w:color w:val="auto"/>
          <w:sz w:val="36"/>
          <w:szCs w:val="36"/>
          <w:highlight w:val="none"/>
          <w:lang w:val="en-US" w:eastAsia="zh-CN"/>
        </w:rPr>
        <w:t>4</w:t>
      </w:r>
      <w:r>
        <w:rPr>
          <w:rFonts w:hint="eastAsia" w:ascii="仿宋" w:hAnsi="仿宋" w:eastAsia="仿宋" w:cs="仿宋"/>
          <w:b/>
          <w:bCs/>
          <w:color w:val="auto"/>
          <w:sz w:val="36"/>
          <w:szCs w:val="36"/>
          <w:highlight w:val="none"/>
          <w:lang w:eastAsia="zh-CN"/>
        </w:rPr>
        <w:t>年</w:t>
      </w:r>
      <w:r>
        <w:rPr>
          <w:rFonts w:hint="eastAsia" w:ascii="仿宋" w:hAnsi="仿宋" w:eastAsia="仿宋" w:cs="仿宋"/>
          <w:b/>
          <w:bCs/>
          <w:color w:val="auto"/>
          <w:sz w:val="36"/>
          <w:szCs w:val="36"/>
          <w:highlight w:val="none"/>
          <w:lang w:val="en-US" w:eastAsia="zh-CN"/>
        </w:rPr>
        <w:t>11月</w:t>
      </w:r>
    </w:p>
    <w:p w14:paraId="2DCAE494">
      <w:pPr>
        <w:spacing w:line="360" w:lineRule="auto"/>
        <w:jc w:val="both"/>
        <w:rPr>
          <w:rFonts w:ascii="仿宋" w:hAnsi="仿宋" w:eastAsia="仿宋" w:cs="仿宋"/>
          <w:color w:val="auto"/>
          <w:sz w:val="24"/>
          <w:highlight w:val="none"/>
        </w:rPr>
      </w:pPr>
    </w:p>
    <w:p w14:paraId="0222DC7A">
      <w:pPr>
        <w:spacing w:line="360" w:lineRule="auto"/>
        <w:jc w:val="center"/>
        <w:rPr>
          <w:rFonts w:hint="eastAsia" w:ascii="仿宋" w:hAnsi="仿宋" w:eastAsia="仿宋" w:cs="仿宋"/>
          <w:b/>
          <w:color w:val="auto"/>
          <w:sz w:val="36"/>
          <w:szCs w:val="36"/>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65B51C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30" w:firstLineChars="700"/>
        <w:jc w:val="left"/>
        <w:textAlignment w:val="auto"/>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招标公告</w:t>
      </w:r>
    </w:p>
    <w:p w14:paraId="7E1A2AED">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7C26E907">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招标项目范围及要求</w:t>
      </w:r>
    </w:p>
    <w:p w14:paraId="33FEE23E">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评标方法及标准</w:t>
      </w:r>
    </w:p>
    <w:p w14:paraId="478EAFD5">
      <w:pPr>
        <w:snapToGrid w:val="0"/>
        <w:spacing w:line="360" w:lineRule="auto"/>
        <w:ind w:firstLine="2530" w:firstLineChars="7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合同的主要条款</w:t>
      </w:r>
    </w:p>
    <w:p w14:paraId="31AB3D17">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投标文件及其附件格式</w:t>
      </w:r>
    </w:p>
    <w:p w14:paraId="2F47A230">
      <w:pPr>
        <w:spacing w:line="360" w:lineRule="auto"/>
        <w:ind w:firstLine="549" w:firstLineChars="229"/>
        <w:rPr>
          <w:rFonts w:ascii="仿宋" w:hAnsi="仿宋" w:eastAsia="仿宋" w:cs="仿宋"/>
          <w:color w:val="auto"/>
          <w:sz w:val="24"/>
          <w:highlight w:val="none"/>
        </w:rPr>
      </w:pPr>
    </w:p>
    <w:p w14:paraId="3E5BFE35">
      <w:pPr>
        <w:spacing w:line="360" w:lineRule="auto"/>
        <w:ind w:firstLine="549" w:firstLineChars="229"/>
        <w:rPr>
          <w:rFonts w:ascii="仿宋" w:hAnsi="仿宋" w:eastAsia="仿宋" w:cs="仿宋"/>
          <w:color w:val="auto"/>
          <w:sz w:val="24"/>
          <w:highlight w:val="none"/>
        </w:rPr>
      </w:pPr>
    </w:p>
    <w:p w14:paraId="5F96EF58">
      <w:pPr>
        <w:spacing w:line="360" w:lineRule="auto"/>
        <w:ind w:firstLine="549" w:firstLineChars="229"/>
        <w:rPr>
          <w:rFonts w:ascii="仿宋" w:hAnsi="仿宋" w:eastAsia="仿宋" w:cs="仿宋"/>
          <w:color w:val="auto"/>
          <w:sz w:val="24"/>
          <w:highlight w:val="none"/>
        </w:rPr>
      </w:pPr>
    </w:p>
    <w:p w14:paraId="7F147EC8">
      <w:pPr>
        <w:spacing w:line="360" w:lineRule="auto"/>
        <w:ind w:firstLine="549" w:firstLineChars="229"/>
        <w:rPr>
          <w:rFonts w:ascii="仿宋" w:hAnsi="仿宋" w:eastAsia="仿宋" w:cs="仿宋"/>
          <w:color w:val="auto"/>
          <w:sz w:val="24"/>
          <w:highlight w:val="none"/>
        </w:rPr>
      </w:pPr>
    </w:p>
    <w:p w14:paraId="285ED018">
      <w:pPr>
        <w:spacing w:line="360" w:lineRule="auto"/>
        <w:ind w:firstLine="549" w:firstLineChars="229"/>
        <w:rPr>
          <w:rFonts w:ascii="仿宋" w:hAnsi="仿宋" w:eastAsia="仿宋" w:cs="仿宋"/>
          <w:color w:val="auto"/>
          <w:sz w:val="24"/>
          <w:highlight w:val="none"/>
        </w:rPr>
      </w:pPr>
    </w:p>
    <w:p w14:paraId="1D546F8A">
      <w:pPr>
        <w:spacing w:line="360" w:lineRule="auto"/>
        <w:ind w:firstLine="549" w:firstLineChars="229"/>
        <w:rPr>
          <w:rFonts w:ascii="仿宋" w:hAnsi="仿宋" w:eastAsia="仿宋" w:cs="仿宋"/>
          <w:color w:val="auto"/>
          <w:sz w:val="24"/>
          <w:highlight w:val="none"/>
        </w:rPr>
      </w:pPr>
    </w:p>
    <w:p w14:paraId="2E00385C">
      <w:pPr>
        <w:spacing w:line="360" w:lineRule="auto"/>
        <w:ind w:firstLine="549" w:firstLineChars="229"/>
        <w:rPr>
          <w:rFonts w:ascii="仿宋" w:hAnsi="仿宋" w:eastAsia="仿宋" w:cs="仿宋"/>
          <w:color w:val="auto"/>
          <w:sz w:val="24"/>
          <w:highlight w:val="none"/>
        </w:rPr>
      </w:pPr>
    </w:p>
    <w:p w14:paraId="58E2F071">
      <w:pPr>
        <w:spacing w:line="360" w:lineRule="auto"/>
        <w:ind w:firstLine="549" w:firstLineChars="229"/>
        <w:rPr>
          <w:rFonts w:ascii="仿宋" w:hAnsi="仿宋" w:eastAsia="仿宋" w:cs="仿宋"/>
          <w:color w:val="auto"/>
          <w:sz w:val="24"/>
          <w:highlight w:val="none"/>
        </w:rPr>
      </w:pPr>
    </w:p>
    <w:p w14:paraId="349FF174">
      <w:pPr>
        <w:spacing w:line="360" w:lineRule="auto"/>
        <w:ind w:firstLine="549" w:firstLineChars="229"/>
        <w:rPr>
          <w:rFonts w:ascii="仿宋" w:hAnsi="仿宋" w:eastAsia="仿宋" w:cs="仿宋"/>
          <w:color w:val="auto"/>
          <w:sz w:val="24"/>
          <w:highlight w:val="none"/>
        </w:rPr>
      </w:pPr>
    </w:p>
    <w:p w14:paraId="1F2B6750">
      <w:pPr>
        <w:spacing w:line="360" w:lineRule="auto"/>
        <w:ind w:firstLine="549" w:firstLineChars="229"/>
        <w:rPr>
          <w:rFonts w:ascii="仿宋" w:hAnsi="仿宋" w:eastAsia="仿宋" w:cs="仿宋"/>
          <w:color w:val="auto"/>
          <w:sz w:val="24"/>
          <w:highlight w:val="none"/>
        </w:rPr>
      </w:pPr>
    </w:p>
    <w:p w14:paraId="28EC0C6A">
      <w:pPr>
        <w:spacing w:line="360" w:lineRule="auto"/>
        <w:ind w:firstLine="549" w:firstLineChars="229"/>
        <w:rPr>
          <w:rFonts w:ascii="仿宋" w:hAnsi="仿宋" w:eastAsia="仿宋" w:cs="仿宋"/>
          <w:color w:val="auto"/>
          <w:sz w:val="24"/>
          <w:highlight w:val="none"/>
        </w:rPr>
      </w:pPr>
    </w:p>
    <w:p w14:paraId="2EEABC02">
      <w:pPr>
        <w:spacing w:line="360" w:lineRule="auto"/>
        <w:ind w:firstLine="549" w:firstLineChars="229"/>
        <w:rPr>
          <w:rFonts w:ascii="仿宋" w:hAnsi="仿宋" w:eastAsia="仿宋" w:cs="仿宋"/>
          <w:color w:val="auto"/>
          <w:sz w:val="24"/>
          <w:highlight w:val="none"/>
        </w:rPr>
      </w:pPr>
    </w:p>
    <w:p w14:paraId="2ED0B7BB">
      <w:pPr>
        <w:spacing w:line="360" w:lineRule="auto"/>
        <w:ind w:firstLine="549" w:firstLineChars="229"/>
        <w:rPr>
          <w:rFonts w:ascii="仿宋" w:hAnsi="仿宋" w:eastAsia="仿宋" w:cs="仿宋"/>
          <w:color w:val="auto"/>
          <w:sz w:val="24"/>
          <w:highlight w:val="none"/>
        </w:rPr>
      </w:pPr>
    </w:p>
    <w:p w14:paraId="09D65D34">
      <w:pPr>
        <w:spacing w:line="360" w:lineRule="auto"/>
        <w:rPr>
          <w:rFonts w:ascii="仿宋" w:hAnsi="仿宋" w:eastAsia="仿宋" w:cs="仿宋"/>
          <w:color w:val="auto"/>
          <w:sz w:val="24"/>
          <w:highlight w:val="none"/>
        </w:rPr>
      </w:pPr>
    </w:p>
    <w:bookmarkEnd w:id="2"/>
    <w:p w14:paraId="6C756DFB">
      <w:pPr>
        <w:adjustRightInd/>
        <w:spacing w:line="360" w:lineRule="auto"/>
        <w:jc w:val="center"/>
        <w:outlineLvl w:val="0"/>
        <w:rPr>
          <w:rFonts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fmt="decimal" w:start="1"/>
          <w:cols w:space="720" w:num="1"/>
          <w:titlePg/>
          <w:docGrid w:linePitch="312" w:charSpace="0"/>
        </w:sect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p>
    <w:p w14:paraId="6316D35C">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p>
    <w:p w14:paraId="0D3DF5E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6CDB5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嵊州市2024年官河南路绿化提升改造项目苗木采购项目</w:t>
      </w:r>
      <w:r>
        <w:rPr>
          <w:rFonts w:hint="eastAsia" w:ascii="仿宋" w:hAnsi="仿宋" w:eastAsia="仿宋" w:cs="仿宋"/>
          <w:color w:val="auto"/>
          <w:sz w:val="24"/>
          <w:highlight w:val="none"/>
        </w:rPr>
        <w:t>招标项目的潜在投标人应在乐采云平台（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仿宋" w:hAnsi="仿宋" w:eastAsia="仿宋" w:cs="仿宋"/>
          <w:snapToGrid/>
          <w:color w:val="auto"/>
          <w:kern w:val="2"/>
          <w:sz w:val="24"/>
          <w:szCs w:val="24"/>
          <w:highlight w:val="none"/>
        </w:rPr>
        <w:t>https://www.lecaiyun.com/）获取（下载）招标文件，并于</w:t>
      </w:r>
      <w:r>
        <w:rPr>
          <w:rStyle w:val="76"/>
          <w:rFonts w:hint="eastAsia" w:ascii="仿宋" w:hAnsi="仿宋" w:eastAsia="仿宋" w:cs="仿宋"/>
          <w:snapToGrid/>
          <w:color w:val="auto"/>
          <w:kern w:val="2"/>
          <w:sz w:val="24"/>
          <w:szCs w:val="24"/>
          <w:highlight w:val="none"/>
          <w:lang w:eastAsia="zh-CN"/>
        </w:rPr>
        <w:t>2024年12月2日09点00分00秒</w:t>
      </w:r>
      <w:r>
        <w:rPr>
          <w:rStyle w:val="76"/>
          <w:rFonts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6FF223A">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469BC8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lang w:eastAsia="zh-CN"/>
        </w:rPr>
        <w:t>SXPZ-H20241106QXY</w:t>
      </w:r>
    </w:p>
    <w:p w14:paraId="1E75DF4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项目名称：</w:t>
      </w:r>
      <w:r>
        <w:rPr>
          <w:rFonts w:hint="eastAsia" w:ascii="仿宋" w:hAnsi="仿宋" w:eastAsia="仿宋" w:cs="仿宋"/>
          <w:b w:val="0"/>
          <w:bCs/>
          <w:color w:val="auto"/>
          <w:sz w:val="24"/>
          <w:highlight w:val="none"/>
          <w:lang w:eastAsia="zh-CN"/>
        </w:rPr>
        <w:t>嵊州市2024年官河南路绿化提升改造项目苗木采购项目</w:t>
      </w:r>
    </w:p>
    <w:p w14:paraId="3C399C7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1242740.00</w:t>
      </w:r>
    </w:p>
    <w:p w14:paraId="2BE9D1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1093611.20（下浮12%）</w:t>
      </w:r>
    </w:p>
    <w:p w14:paraId="5F84E8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采购需求：</w:t>
      </w:r>
    </w:p>
    <w:p w14:paraId="44F3DB4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color w:val="auto"/>
          <w:sz w:val="24"/>
          <w:highlight w:val="none"/>
        </w:rPr>
      </w:pPr>
    </w:p>
    <w:p w14:paraId="1B00913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 w:val="0"/>
          <w:bCs/>
          <w:color w:val="auto"/>
          <w:sz w:val="24"/>
          <w:highlight w:val="none"/>
          <w:lang w:eastAsia="zh-CN"/>
        </w:rPr>
        <w:t>嵊州市2024年官河南路绿化提升改造项目苗木采购项目</w:t>
      </w:r>
    </w:p>
    <w:p w14:paraId="4F5462F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1项</w:t>
      </w:r>
    </w:p>
    <w:p w14:paraId="61B5AC0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w:t>
      </w:r>
      <w:r>
        <w:rPr>
          <w:rFonts w:hint="eastAsia" w:ascii="仿宋" w:hAnsi="仿宋" w:eastAsia="仿宋" w:cs="仿宋"/>
          <w:b w:val="0"/>
          <w:bCs/>
          <w:color w:val="auto"/>
          <w:sz w:val="24"/>
          <w:highlight w:val="none"/>
          <w:lang w:val="en-US" w:eastAsia="zh-CN"/>
        </w:rPr>
        <w:t>1242740.00</w:t>
      </w:r>
    </w:p>
    <w:p w14:paraId="766FFC9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b w:val="0"/>
          <w:bCs/>
          <w:color w:val="auto"/>
          <w:sz w:val="24"/>
          <w:szCs w:val="24"/>
          <w:highlight w:val="none"/>
        </w:rPr>
        <w:t>简要规格描述或项目基本概况介绍、用途：详见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r>
        <w:rPr>
          <w:rFonts w:hint="eastAsia" w:ascii="仿宋" w:hAnsi="仿宋" w:eastAsia="仿宋" w:cs="仿宋"/>
          <w:b w:val="0"/>
          <w:bCs/>
          <w:color w:val="auto"/>
          <w:sz w:val="24"/>
          <w:highlight w:val="none"/>
        </w:rPr>
        <w:t>。</w:t>
      </w:r>
    </w:p>
    <w:p w14:paraId="2864D4A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p>
    <w:p w14:paraId="7415869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合同履行期限：</w:t>
      </w:r>
      <w:r>
        <w:rPr>
          <w:rFonts w:hint="eastAsia" w:ascii="仿宋" w:hAnsi="仿宋" w:eastAsia="仿宋" w:cs="仿宋"/>
          <w:b w:val="0"/>
          <w:bCs/>
          <w:color w:val="auto"/>
          <w:sz w:val="24"/>
          <w:szCs w:val="24"/>
          <w:highlight w:val="none"/>
        </w:rPr>
        <w:t>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2E9BF72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 w:val="0"/>
          <w:bCs/>
          <w:color w:val="auto"/>
          <w:highlight w:val="none"/>
        </w:rPr>
      </w:pPr>
      <w:r>
        <w:rPr>
          <w:rFonts w:hint="eastAsia" w:ascii="仿宋" w:hAnsi="仿宋" w:eastAsia="仿宋" w:cs="仿宋"/>
          <w:b w:val="0"/>
          <w:bCs/>
          <w:color w:val="auto"/>
          <w:sz w:val="24"/>
          <w:highlight w:val="none"/>
        </w:rPr>
        <w:t>本项目接受联合体投标：</w:t>
      </w:r>
      <w:r>
        <w:rPr>
          <w:rFonts w:hint="eastAsia" w:ascii="仿宋" w:hAnsi="仿宋" w:eastAsia="仿宋" w:cs="仿宋"/>
          <w:b w:val="0"/>
          <w:bCs/>
          <w:color w:val="auto"/>
          <w:sz w:val="24"/>
          <w:szCs w:val="24"/>
          <w:highlight w:val="none"/>
          <w:lang w:eastAsia="zh-CN"/>
        </w:rPr>
        <w:t>□</w:t>
      </w:r>
      <w:r>
        <w:rPr>
          <w:rFonts w:ascii="仿宋" w:hAnsi="仿宋" w:eastAsia="仿宋" w:cs="仿宋"/>
          <w:b w:val="0"/>
          <w:bCs/>
          <w:color w:val="auto"/>
          <w:sz w:val="24"/>
          <w:highlight w:val="none"/>
        </w:rPr>
        <w:t>是，</w:t>
      </w:r>
      <w:r>
        <w:rPr>
          <w:rFonts w:hint="eastAsia" w:ascii="仿宋" w:hAnsi="仿宋" w:eastAsia="仿宋" w:cs="仿宋"/>
          <w:b w:val="0"/>
          <w:bCs/>
          <w:color w:val="auto"/>
          <w:sz w:val="24"/>
          <w:szCs w:val="24"/>
          <w:highlight w:val="none"/>
          <w:lang w:eastAsia="zh-CN"/>
        </w:rPr>
        <w:t>☑</w:t>
      </w:r>
      <w:r>
        <w:rPr>
          <w:rFonts w:ascii="仿宋" w:hAnsi="仿宋" w:eastAsia="仿宋" w:cs="仿宋"/>
          <w:b w:val="0"/>
          <w:bCs/>
          <w:color w:val="auto"/>
          <w:sz w:val="24"/>
          <w:highlight w:val="none"/>
        </w:rPr>
        <w:t>否。</w:t>
      </w:r>
    </w:p>
    <w:p w14:paraId="4CC4342B">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C807E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具备《嵊州市市属国有企业货物和服务采购管理办法（试行）》第十七条规定的条件：</w:t>
      </w:r>
    </w:p>
    <w:p w14:paraId="06E850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D16AE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w:t>
      </w:r>
    </w:p>
    <w:p w14:paraId="7A91D4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3.具有履行合同所必需的设备和专业技术，售后保障等能力；</w:t>
      </w:r>
    </w:p>
    <w:p w14:paraId="59E275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5A0CA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5.参加采购活动前三年内，没有重大违法记录，严重失信行为和行贿记录；</w:t>
      </w:r>
    </w:p>
    <w:p w14:paraId="6AAF14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5E41BA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14:paraId="350F5A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007C7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B048D9A">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3015D2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时间：</w:t>
      </w:r>
      <w:r>
        <w:rPr>
          <w:rFonts w:ascii="仿宋" w:hAnsi="仿宋" w:eastAsia="仿宋" w:cs="仿宋"/>
          <w:b w:val="0"/>
          <w:bCs/>
          <w:color w:val="auto"/>
          <w:sz w:val="24"/>
          <w:highlight w:val="none"/>
        </w:rPr>
        <w:t>/至</w:t>
      </w:r>
      <w:r>
        <w:rPr>
          <w:rFonts w:hint="eastAsia" w:ascii="仿宋" w:hAnsi="仿宋" w:eastAsia="仿宋" w:cs="仿宋"/>
          <w:b w:val="0"/>
          <w:bCs/>
          <w:color w:val="auto"/>
          <w:sz w:val="24"/>
          <w:highlight w:val="none"/>
          <w:u w:val="single"/>
          <w:lang w:val="en-US" w:eastAsia="zh-CN"/>
        </w:rPr>
        <w:t>2024年12月2日</w:t>
      </w:r>
      <w:r>
        <w:rPr>
          <w:rFonts w:hint="eastAsia" w:ascii="仿宋" w:hAnsi="仿宋" w:eastAsia="仿宋" w:cs="仿宋"/>
          <w:b w:val="0"/>
          <w:bCs/>
          <w:color w:val="auto"/>
          <w:sz w:val="24"/>
          <w:highlight w:val="none"/>
        </w:rPr>
        <w:t>，每天上午</w:t>
      </w:r>
      <w:r>
        <w:rPr>
          <w:rFonts w:ascii="仿宋" w:hAnsi="仿宋" w:eastAsia="仿宋" w:cs="仿宋"/>
          <w:b w:val="0"/>
          <w:bCs/>
          <w:color w:val="auto"/>
          <w:sz w:val="24"/>
          <w:highlight w:val="none"/>
        </w:rPr>
        <w:t xml:space="preserve">00:00至12:00 </w:t>
      </w:r>
      <w:r>
        <w:rPr>
          <w:rFonts w:hint="eastAsia" w:ascii="仿宋" w:hAnsi="仿宋" w:eastAsia="仿宋" w:cs="仿宋"/>
          <w:b w:val="0"/>
          <w:bCs/>
          <w:color w:val="auto"/>
          <w:sz w:val="24"/>
          <w:highlight w:val="none"/>
        </w:rPr>
        <w:t>，下午</w:t>
      </w:r>
      <w:r>
        <w:rPr>
          <w:rFonts w:ascii="仿宋" w:hAnsi="仿宋" w:eastAsia="仿宋" w:cs="仿宋"/>
          <w:b w:val="0"/>
          <w:bCs/>
          <w:color w:val="auto"/>
          <w:sz w:val="24"/>
          <w:highlight w:val="none"/>
        </w:rPr>
        <w:t>12:00至23:59（北京时间，线上获取法定节假日均可，线下获取文件法定节假日除外）</w:t>
      </w:r>
    </w:p>
    <w:p w14:paraId="179DDE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地点（网址）：乐采云平台（</w:t>
      </w:r>
      <w:r>
        <w:rPr>
          <w:rFonts w:ascii="仿宋" w:hAnsi="仿宋" w:eastAsia="仿宋" w:cs="仿宋"/>
          <w:b w:val="0"/>
          <w:bCs/>
          <w:color w:val="auto"/>
          <w:sz w:val="24"/>
          <w:highlight w:val="none"/>
        </w:rPr>
        <w:t xml:space="preserve">https://www.lecaiyun.com/） </w:t>
      </w:r>
    </w:p>
    <w:p w14:paraId="1154C1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方式：供应商登录乐采云平台</w:t>
      </w:r>
      <w:r>
        <w:rPr>
          <w:rFonts w:ascii="仿宋" w:hAnsi="仿宋" w:eastAsia="仿宋" w:cs="仿宋"/>
          <w:b w:val="0"/>
          <w:bCs/>
          <w:color w:val="auto"/>
          <w:sz w:val="24"/>
          <w:highlight w:val="none"/>
        </w:rPr>
        <w:t xml:space="preserve">https://www.lecaiyun.com/在线申请获取采购文件（进入“项目采购”应用，在获取采购文件菜单中选择项目，申请获取采购文件）。 </w:t>
      </w:r>
    </w:p>
    <w:p w14:paraId="4D0FCA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售价（元）：</w:t>
      </w:r>
      <w:r>
        <w:rPr>
          <w:rFonts w:ascii="仿宋" w:hAnsi="仿宋" w:eastAsia="仿宋" w:cs="仿宋"/>
          <w:b w:val="0"/>
          <w:bCs/>
          <w:color w:val="auto"/>
          <w:sz w:val="24"/>
          <w:highlight w:val="none"/>
        </w:rPr>
        <w:t xml:space="preserve">0 </w:t>
      </w:r>
      <w:r>
        <w:rPr>
          <w:rFonts w:ascii="仿宋" w:hAnsi="仿宋" w:eastAsia="仿宋" w:cs="仿宋"/>
          <w:b w:val="0"/>
          <w:bCs/>
          <w:color w:val="auto"/>
          <w:sz w:val="24"/>
          <w:highlight w:val="none"/>
        </w:rPr>
        <w:tab/>
      </w:r>
    </w:p>
    <w:p w14:paraId="7EDA35DD">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jc w:val="left"/>
        <w:textAlignment w:val="auto"/>
        <w:rPr>
          <w:rFonts w:hint="eastAsia" w:ascii="仿宋" w:eastAsia="仿宋" w:cs="仿宋"/>
          <w:b w:val="0"/>
          <w:bCs w:val="0"/>
          <w:color w:val="auto"/>
          <w:sz w:val="24"/>
          <w:szCs w:val="28"/>
          <w:highlight w:val="none"/>
          <w:lang w:val="en-US" w:eastAsia="zh-CN"/>
        </w:rPr>
      </w:pPr>
      <w:r>
        <w:rPr>
          <w:rFonts w:hint="eastAsia" w:ascii="仿宋" w:eastAsia="仿宋" w:cs="仿宋"/>
          <w:b w:val="0"/>
          <w:bCs w:val="0"/>
          <w:color w:val="auto"/>
          <w:sz w:val="24"/>
          <w:szCs w:val="28"/>
          <w:highlight w:val="none"/>
          <w:lang w:val="en-US" w:eastAsia="zh-CN"/>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1287ADE3">
      <w:pPr>
        <w:keepNext w:val="0"/>
        <w:keepLines w:val="0"/>
        <w:pageBreakBefore w:val="0"/>
        <w:widowControl w:val="0"/>
        <w:shd w:val="clear" w:color="auto" w:fill="auto"/>
        <w:kinsoku/>
        <w:wordWrap/>
        <w:overflowPunct/>
        <w:topLinePunct w:val="0"/>
        <w:autoSpaceDE/>
        <w:autoSpaceDN/>
        <w:bidi w:val="0"/>
        <w:adjustRightInd w:val="0"/>
        <w:snapToGrid/>
        <w:spacing w:line="360" w:lineRule="auto"/>
        <w:ind w:firstLine="480" w:firstLineChars="200"/>
        <w:jc w:val="left"/>
        <w:textAlignment w:val="auto"/>
        <w:rPr>
          <w:rFonts w:hint="eastAsia" w:ascii="仿宋" w:eastAsia="仿宋" w:cs="仿宋"/>
          <w:b w:val="0"/>
          <w:bCs w:val="0"/>
          <w:color w:val="auto"/>
          <w:sz w:val="24"/>
          <w:szCs w:val="28"/>
          <w:highlight w:val="none"/>
          <w:lang w:val="en-US" w:eastAsia="zh-CN"/>
        </w:rPr>
      </w:pPr>
      <w:r>
        <w:rPr>
          <w:rFonts w:hint="eastAsia" w:ascii="仿宋" w:eastAsia="仿宋" w:cs="仿宋"/>
          <w:b w:val="0"/>
          <w:bCs w:val="0"/>
          <w:color w:val="auto"/>
          <w:sz w:val="24"/>
          <w:szCs w:val="28"/>
          <w:highlight w:val="none"/>
          <w:lang w:val="en-US" w:eastAsia="zh-CN"/>
        </w:rPr>
        <w:t>注：请供应商按上述要求获取招标文件，如未在“乐采云”系统内完成相关流程，引起的投标无效责任自负。</w:t>
      </w:r>
    </w:p>
    <w:p w14:paraId="000BD3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color w:val="auto"/>
          <w:sz w:val="24"/>
          <w:highlight w:val="none"/>
        </w:rPr>
      </w:pPr>
      <w:r>
        <w:rPr>
          <w:rFonts w:hint="eastAsia" w:ascii="仿宋" w:eastAsia="仿宋" w:cs="仿宋"/>
          <w:b w:val="0"/>
          <w:bCs w:val="0"/>
          <w:color w:val="auto"/>
          <w:sz w:val="24"/>
          <w:szCs w:val="28"/>
          <w:highlight w:val="none"/>
          <w:lang w:val="en-US" w:eastAsia="zh-CN"/>
        </w:rPr>
        <w:t>6.公告信息及更正补充公告请自行登录浙江政府采购网，在采购公告及更正公告页面中下载。</w:t>
      </w:r>
    </w:p>
    <w:p w14:paraId="0E35E5A6">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EF4DCF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strike w:val="0"/>
          <w:dstrike w:val="0"/>
          <w:color w:val="auto"/>
          <w:sz w:val="24"/>
          <w:highlight w:val="none"/>
          <w:u w:val="none"/>
          <w:lang w:val="en-US" w:eastAsia="zh-CN"/>
        </w:rPr>
        <w:t>2024年12月2日09点00分00秒</w:t>
      </w:r>
      <w:r>
        <w:rPr>
          <w:rFonts w:hint="eastAsia" w:ascii="仿宋" w:hAnsi="仿宋" w:eastAsia="仿宋" w:cs="仿宋"/>
          <w:strike w:val="0"/>
          <w:dstrike w:val="0"/>
          <w:color w:val="auto"/>
          <w:sz w:val="24"/>
          <w:highlight w:val="none"/>
          <w:u w:val="none"/>
        </w:rPr>
        <w:t>（北京时间）</w:t>
      </w:r>
    </w:p>
    <w:p w14:paraId="6786A6DD">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 xml:space="preserve">https://www.lecaiyun.com/） </w:t>
      </w:r>
    </w:p>
    <w:p w14:paraId="0466A19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none"/>
          <w:lang w:val="en-US" w:eastAsia="zh-CN"/>
        </w:rPr>
        <w:t>2024年12月2日09点00分00秒</w:t>
      </w:r>
      <w:r>
        <w:rPr>
          <w:rFonts w:hint="eastAsia" w:ascii="仿宋" w:hAnsi="仿宋" w:eastAsia="仿宋" w:cs="仿宋"/>
          <w:color w:val="auto"/>
          <w:sz w:val="24"/>
          <w:highlight w:val="none"/>
          <w:u w:val="none"/>
        </w:rPr>
        <w:t>（北京时间）</w:t>
      </w:r>
    </w:p>
    <w:p w14:paraId="41A4DB1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https://www.lecaiyun.com/）</w:t>
      </w:r>
    </w:p>
    <w:p w14:paraId="4EBD0B45">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20FF775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ascii="仿宋" w:hAnsi="仿宋" w:eastAsia="仿宋" w:cs="仿宋"/>
          <w:color w:val="auto"/>
          <w:sz w:val="24"/>
          <w:highlight w:val="none"/>
        </w:rPr>
        <w:t>5个工作日。</w:t>
      </w:r>
    </w:p>
    <w:p w14:paraId="0E66D8EA">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27095BC">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5478E569">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0381268C">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605C31AF">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4.投标供应商应当在投标截止时间前，将生成的“电子加密投标文件”上传至“乐采云平台”。投标截止时间以后上传递交的投标文件将被“乐采云平台”拒收。</w:t>
      </w:r>
    </w:p>
    <w:p w14:paraId="7C981816">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3AD901D0">
      <w:pPr>
        <w:keepNext w:val="0"/>
        <w:keepLines w:val="0"/>
        <w:pageBreakBefore w:val="0"/>
        <w:widowControl w:val="0"/>
        <w:kinsoku/>
        <w:wordWrap/>
        <w:overflowPunct/>
        <w:topLinePunct w:val="0"/>
        <w:autoSpaceDE/>
        <w:autoSpaceDN/>
        <w:bidi w:val="0"/>
        <w:adjustRightInd w:val="0"/>
        <w:snapToGrid w:val="0"/>
        <w:spacing w:before="0" w:after="0" w:line="360" w:lineRule="auto"/>
        <w:ind w:firstLine="504" w:firstLineChars="200"/>
        <w:jc w:val="both"/>
        <w:textAlignment w:val="auto"/>
        <w:rPr>
          <w:rFonts w:hint="eastAsia" w:ascii="仿宋" w:hAnsi="仿宋" w:eastAsia="仿宋" w:cs="仿宋"/>
          <w:color w:val="auto"/>
          <w:spacing w:val="6"/>
          <w:kern w:val="1"/>
          <w:sz w:val="24"/>
          <w:szCs w:val="24"/>
          <w:highlight w:val="none"/>
          <w:lang w:val="en-US" w:eastAsia="zh-CN" w:bidi="ar-SA"/>
        </w:rPr>
      </w:pPr>
      <w:r>
        <w:rPr>
          <w:rFonts w:hint="eastAsia" w:ascii="仿宋" w:hAnsi="仿宋" w:eastAsia="仿宋" w:cs="仿宋"/>
          <w:color w:val="auto"/>
          <w:spacing w:val="6"/>
          <w:kern w:val="1"/>
          <w:sz w:val="24"/>
          <w:szCs w:val="24"/>
          <w:highlight w:val="none"/>
          <w:lang w:val="en-US" w:eastAsia="zh-CN" w:bidi="ar-SA"/>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199AFBCF">
      <w:pPr>
        <w:keepNext w:val="0"/>
        <w:keepLines w:val="0"/>
        <w:pageBreakBefore w:val="0"/>
        <w:widowControl w:val="0"/>
        <w:kinsoku/>
        <w:wordWrap/>
        <w:overflowPunct/>
        <w:topLinePunct w:val="0"/>
        <w:autoSpaceDE/>
        <w:autoSpaceDN/>
        <w:bidi w:val="0"/>
        <w:adjustRightInd w:val="0"/>
        <w:spacing w:line="360" w:lineRule="auto"/>
        <w:ind w:firstLine="504" w:firstLineChars="200"/>
        <w:textAlignment w:val="auto"/>
        <w:rPr>
          <w:rFonts w:ascii="仿宋" w:hAnsi="仿宋" w:eastAsia="仿宋" w:cs="仿宋"/>
          <w:color w:val="auto"/>
          <w:sz w:val="24"/>
          <w:highlight w:val="none"/>
        </w:rPr>
      </w:pPr>
      <w:r>
        <w:rPr>
          <w:rFonts w:hint="eastAsia" w:ascii="仿宋" w:hAnsi="仿宋" w:eastAsia="仿宋" w:cs="仿宋"/>
          <w:color w:val="auto"/>
          <w:spacing w:val="6"/>
          <w:kern w:val="1"/>
          <w:sz w:val="24"/>
          <w:szCs w:val="24"/>
          <w:highlight w:val="none"/>
          <w:lang w:val="en-US" w:eastAsia="zh-CN" w:bidi="ar-SA"/>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szCs w:val="24"/>
          <w:highlight w:val="none"/>
          <w:lang w:val="zh-CN" w:eastAsia="zh-CN" w:bidi="ar-SA"/>
        </w:rPr>
        <w:t>为准，</w:t>
      </w:r>
      <w:r>
        <w:rPr>
          <w:rFonts w:hint="eastAsia" w:ascii="仿宋" w:hAnsi="仿宋" w:eastAsia="仿宋" w:cs="仿宋"/>
          <w:color w:val="auto"/>
          <w:spacing w:val="6"/>
          <w:kern w:val="1"/>
          <w:sz w:val="24"/>
          <w:szCs w:val="24"/>
          <w:highlight w:val="none"/>
          <w:lang w:val="en-US" w:eastAsia="zh-CN" w:bidi="ar-SA"/>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030424FB">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B2C5F1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1.采购人信息</w:t>
      </w:r>
    </w:p>
    <w:p w14:paraId="0415D4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嵊州市养护建设有限公司</w:t>
      </w:r>
    </w:p>
    <w:p w14:paraId="1399AD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地    址：嵊州市剡湖街道龙盛路188号</w:t>
      </w:r>
    </w:p>
    <w:p w14:paraId="3023B053">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sz w:val="24"/>
        </w:rPr>
      </w:pPr>
      <w:r>
        <w:rPr>
          <w:rFonts w:hint="eastAsia" w:ascii="仿宋" w:hAnsi="仿宋" w:eastAsia="仿宋" w:cs="仿宋"/>
          <w:color w:val="auto"/>
          <w:sz w:val="24"/>
        </w:rPr>
        <w:t>传    真： /</w:t>
      </w:r>
    </w:p>
    <w:p w14:paraId="6FD8293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李先生</w:t>
      </w:r>
    </w:p>
    <w:p w14:paraId="5A04891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default" w:ascii="仿宋" w:hAnsi="仿宋" w:eastAsia="仿宋" w:cs="仿宋"/>
          <w:color w:val="auto"/>
          <w:sz w:val="24"/>
          <w:lang w:val="en-US"/>
        </w:rPr>
      </w:pPr>
      <w:r>
        <w:rPr>
          <w:rFonts w:hint="eastAsia" w:ascii="仿宋" w:hAnsi="仿宋" w:eastAsia="仿宋" w:cs="仿宋"/>
          <w:color w:val="auto"/>
          <w:sz w:val="24"/>
        </w:rPr>
        <w:t>项目联系方式（询问）：0575-81393108</w:t>
      </w:r>
    </w:p>
    <w:p w14:paraId="48E66B4C">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sz w:val="24"/>
        </w:rPr>
      </w:pPr>
      <w:r>
        <w:rPr>
          <w:rFonts w:hint="eastAsia" w:ascii="仿宋" w:hAnsi="仿宋" w:eastAsia="仿宋" w:cs="仿宋"/>
          <w:color w:val="auto"/>
          <w:sz w:val="24"/>
        </w:rPr>
        <w:t xml:space="preserve">2.采购代理机构信息            </w:t>
      </w:r>
    </w:p>
    <w:p w14:paraId="79E1679D">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绍兴平准招标代理有限公司</w:t>
      </w:r>
    </w:p>
    <w:p w14:paraId="0964B8CA">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auto"/>
          <w:sz w:val="24"/>
          <w:lang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嵊州市三江街道官河路南333号商会大厦十四层1407室</w:t>
      </w:r>
    </w:p>
    <w:p w14:paraId="5825E6E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052605C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邱</w:t>
      </w:r>
      <w:r>
        <w:rPr>
          <w:rFonts w:hint="eastAsia" w:ascii="仿宋" w:hAnsi="仿宋" w:eastAsia="仿宋" w:cs="仿宋"/>
          <w:color w:val="auto"/>
          <w:sz w:val="24"/>
          <w:lang w:eastAsia="zh-CN"/>
        </w:rPr>
        <w:t>女士</w:t>
      </w:r>
      <w:r>
        <w:rPr>
          <w:rFonts w:hint="eastAsia" w:ascii="仿宋" w:hAnsi="仿宋" w:eastAsia="仿宋" w:cs="仿宋"/>
          <w:color w:val="auto"/>
          <w:sz w:val="24"/>
        </w:rPr>
        <w:t xml:space="preserve">         </w:t>
      </w:r>
    </w:p>
    <w:p w14:paraId="73675BF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eastAsia="zh-CN"/>
        </w:rPr>
        <w:t>0575-83176688</w:t>
      </w:r>
    </w:p>
    <w:p w14:paraId="5106F29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竺女士</w:t>
      </w:r>
      <w:r>
        <w:rPr>
          <w:rFonts w:hint="eastAsia" w:ascii="仿宋" w:hAnsi="仿宋" w:eastAsia="仿宋" w:cs="仿宋"/>
          <w:color w:val="auto"/>
          <w:sz w:val="24"/>
        </w:rPr>
        <w:t xml:space="preserve">             </w:t>
      </w:r>
    </w:p>
    <w:p w14:paraId="5C950B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lang w:eastAsia="zh-CN"/>
        </w:rPr>
        <w:t>0575-83176688</w:t>
      </w:r>
      <w:r>
        <w:rPr>
          <w:rFonts w:hint="eastAsia" w:ascii="仿宋" w:hAnsi="仿宋" w:eastAsia="仿宋" w:cs="仿宋"/>
          <w:color w:val="auto"/>
          <w:sz w:val="24"/>
        </w:rPr>
        <w:t xml:space="preserve">  </w:t>
      </w:r>
    </w:p>
    <w:p w14:paraId="3DA1EDCE">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rPr>
        <w:t>乐采云服务热线</w:t>
      </w:r>
      <w:r>
        <w:rPr>
          <w:rFonts w:ascii="仿宋" w:hAnsi="仿宋" w:eastAsia="仿宋" w:cs="仿宋"/>
          <w:color w:val="auto"/>
          <w:sz w:val="24"/>
          <w:highlight w:val="none"/>
        </w:rPr>
        <w:t xml:space="preserve">95763获取热线服务帮助。  </w:t>
      </w:r>
      <w:r>
        <w:rPr>
          <w:rFonts w:hint="eastAsia" w:ascii="仿宋" w:hAnsi="仿宋" w:eastAsia="仿宋" w:cs="仿宋"/>
          <w:color w:val="auto"/>
          <w:sz w:val="24"/>
          <w:highlight w:val="none"/>
        </w:rPr>
        <w:t>    </w:t>
      </w:r>
    </w:p>
    <w:p w14:paraId="31395B5E">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CA问题联系电话（人工）：汇信CA 400-888-4636；天谷CA 400-087-8198。</w:t>
      </w:r>
    </w:p>
    <w:p w14:paraId="7ACD99A5">
      <w:pPr>
        <w:widowControl/>
        <w:adjustRightInd/>
        <w:jc w:val="left"/>
        <w:rPr>
          <w:rFonts w:ascii="仿宋" w:hAnsi="仿宋" w:eastAsia="仿宋" w:cs="仿宋"/>
          <w:snapToGrid w:val="0"/>
          <w:color w:val="auto"/>
          <w:highlight w:val="none"/>
        </w:rPr>
      </w:pPr>
      <w:r>
        <w:rPr>
          <w:rFonts w:ascii="仿宋" w:hAnsi="仿宋" w:eastAsia="仿宋" w:cs="仿宋"/>
          <w:b/>
          <w:color w:val="auto"/>
          <w:sz w:val="36"/>
          <w:szCs w:val="20"/>
          <w:highlight w:val="none"/>
        </w:rPr>
        <w:br w:type="page"/>
      </w:r>
    </w:p>
    <w:bookmarkEnd w:id="7"/>
    <w:bookmarkEnd w:id="8"/>
    <w:p w14:paraId="27418FE8">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投标须知</w:t>
      </w:r>
    </w:p>
    <w:p w14:paraId="7083C697">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0115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DFD6E2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序号</w:t>
            </w:r>
          </w:p>
        </w:tc>
        <w:tc>
          <w:tcPr>
            <w:tcW w:w="8789" w:type="dxa"/>
            <w:gridSpan w:val="2"/>
            <w:vAlign w:val="center"/>
          </w:tcPr>
          <w:p w14:paraId="009A506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8DB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149641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8789" w:type="dxa"/>
            <w:gridSpan w:val="2"/>
            <w:vAlign w:val="center"/>
          </w:tcPr>
          <w:p w14:paraId="23463E26">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197F57FB">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A54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53C12DC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8789" w:type="dxa"/>
            <w:gridSpan w:val="2"/>
            <w:vAlign w:val="center"/>
          </w:tcPr>
          <w:p w14:paraId="6FFC7AD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val="0"/>
                <w:color w:val="auto"/>
                <w:sz w:val="24"/>
                <w:highlight w:val="none"/>
              </w:rPr>
            </w:pPr>
            <w:r>
              <w:rPr>
                <w:rFonts w:hint="eastAsia" w:ascii="仿宋" w:hAnsi="仿宋" w:eastAsia="仿宋" w:cs="仿宋"/>
                <w:b/>
                <w:bCs w:val="0"/>
                <w:color w:val="auto"/>
                <w:sz w:val="24"/>
                <w:highlight w:val="none"/>
              </w:rPr>
              <w:t>资格审查方式：</w:t>
            </w:r>
          </w:p>
          <w:p w14:paraId="4CDEEBE9">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val="0"/>
                <w:color w:val="auto"/>
                <w:sz w:val="24"/>
                <w:highlight w:val="none"/>
              </w:rPr>
            </w:pPr>
            <w:r>
              <w:rPr>
                <w:rFonts w:ascii="仿宋" w:hAnsi="仿宋" w:eastAsia="仿宋" w:cs="仿宋"/>
                <w:b/>
                <w:bCs w:val="0"/>
                <w:color w:val="auto"/>
                <w:sz w:val="24"/>
                <w:highlight w:val="none"/>
              </w:rPr>
              <w:t>1.资格后审。</w:t>
            </w:r>
          </w:p>
          <w:p w14:paraId="1A64ED29">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ascii="仿宋" w:hAnsi="仿宋" w:eastAsia="仿宋" w:cs="仿宋"/>
                <w:b/>
                <w:bCs w:val="0"/>
                <w:color w:val="auto"/>
                <w:sz w:val="24"/>
                <w:highlight w:val="none"/>
              </w:rPr>
              <w:t>2.法定代表人的被</w:t>
            </w:r>
            <w:r>
              <w:rPr>
                <w:rFonts w:hint="eastAsia" w:ascii="仿宋" w:hAnsi="仿宋" w:eastAsia="仿宋" w:cs="仿宋"/>
                <w:b/>
                <w:bCs w:val="0"/>
                <w:color w:val="auto"/>
                <w:sz w:val="24"/>
                <w:highlight w:val="none"/>
              </w:rPr>
              <w:t>授权</w:t>
            </w:r>
            <w:r>
              <w:rPr>
                <w:rFonts w:ascii="仿宋" w:hAnsi="仿宋" w:eastAsia="仿宋" w:cs="仿宋"/>
                <w:b/>
                <w:bCs w:val="0"/>
                <w:color w:val="auto"/>
                <w:sz w:val="24"/>
                <w:highlight w:val="none"/>
              </w:rPr>
              <w:t>委托人必须是投标单位职工。</w:t>
            </w:r>
            <w:r>
              <w:rPr>
                <w:rFonts w:hint="eastAsia" w:ascii="仿宋" w:hAnsi="仿宋" w:eastAsia="仿宋" w:cs="仿宋"/>
                <w:b/>
                <w:bCs w:val="0"/>
                <w:color w:val="auto"/>
                <w:sz w:val="24"/>
                <w:highlight w:val="none"/>
              </w:rPr>
              <w:t>需在投标文件内提供由社保机构出具的该授权代表的社保证明（1.如该授权代表为离退休返聘人员的，需提供退休证明及单位聘用证明;2.如由第三方代理社保事项的，则需提供加盖投标人公章的委托代理协议复印件）</w:t>
            </w:r>
            <w:r>
              <w:rPr>
                <w:rFonts w:ascii="仿宋" w:hAnsi="仿宋" w:eastAsia="仿宋" w:cs="仿宋"/>
                <w:b/>
                <w:bCs w:val="0"/>
                <w:color w:val="auto"/>
                <w:sz w:val="24"/>
                <w:highlight w:val="none"/>
              </w:rPr>
              <w:t>。</w:t>
            </w:r>
          </w:p>
        </w:tc>
      </w:tr>
      <w:tr w14:paraId="72D1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4D2FFB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8789" w:type="dxa"/>
            <w:gridSpan w:val="2"/>
            <w:vAlign w:val="center"/>
          </w:tcPr>
          <w:p w14:paraId="0D75FA23">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w:t>
            </w:r>
            <w:r>
              <w:rPr>
                <w:rFonts w:ascii="仿宋" w:hAnsi="仿宋" w:eastAsia="仿宋" w:cs="仿宋"/>
                <w:color w:val="auto"/>
                <w:sz w:val="24"/>
                <w:highlight w:val="none"/>
              </w:rPr>
              <w:t>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5564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51FB98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789" w:type="dxa"/>
            <w:gridSpan w:val="2"/>
            <w:vAlign w:val="center"/>
          </w:tcPr>
          <w:p w14:paraId="45CDE037">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5CAB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7F01C3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8789" w:type="dxa"/>
            <w:gridSpan w:val="2"/>
            <w:vAlign w:val="center"/>
          </w:tcPr>
          <w:p w14:paraId="6CEC215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7D4A1E6F">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026D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C30814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8789" w:type="dxa"/>
            <w:gridSpan w:val="2"/>
            <w:vAlign w:val="center"/>
          </w:tcPr>
          <w:p w14:paraId="1B6BA27E">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投标保证金1万元（电汇、转账、网上银行）</w:t>
            </w:r>
          </w:p>
          <w:p w14:paraId="731601A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公司名称: 绍兴平准招标代理有限公司</w:t>
            </w:r>
          </w:p>
          <w:p w14:paraId="5007644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开户银行:建设银行嵊州新城支行</w:t>
            </w:r>
          </w:p>
          <w:p w14:paraId="37BE617C">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银行账号：33050165655009888888</w:t>
            </w:r>
          </w:p>
          <w:p w14:paraId="6E1C7048">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缴纳时间：在2024年12月1日16:00前将投标保证金以电汇、转账、网上银行形式汇入指定帐户，以实际到账时间为准。</w:t>
            </w:r>
          </w:p>
          <w:p w14:paraId="1C164C4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1.投标人须按规定提交投标保证金，否则，其投标将被视为无效。</w:t>
            </w:r>
          </w:p>
          <w:p w14:paraId="719C3F1C">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2.投标人有下列情形之一的，投标保证金将不予退还：</w:t>
            </w:r>
          </w:p>
          <w:p w14:paraId="65D6170D">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（1）投标人在投标有效期内撤回投标文件的；</w:t>
            </w:r>
          </w:p>
          <w:p w14:paraId="75F01CF5">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（2）未按规定提交履约保证金的；</w:t>
            </w:r>
          </w:p>
          <w:p w14:paraId="1A305392">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（3）投标人在投标过程中弄虚作假，提供虚假材料的；</w:t>
            </w:r>
          </w:p>
          <w:p w14:paraId="6673AB4B">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（4）中标供应商无正当理由不与采购人签订合同的；</w:t>
            </w:r>
          </w:p>
          <w:p w14:paraId="12C3C9A0">
            <w:pPr>
              <w:keepNext w:val="0"/>
              <w:keepLines w:val="0"/>
              <w:pageBreakBefore w:val="0"/>
              <w:tabs>
                <w:tab w:val="left" w:pos="3780"/>
              </w:tabs>
              <w:kinsoku/>
              <w:wordWrap/>
              <w:overflowPunct/>
              <w:topLinePunct w:val="0"/>
              <w:bidi w:val="0"/>
              <w:adjustRightInd/>
              <w:spacing w:line="440" w:lineRule="exact"/>
              <w:ind w:left="0" w:leftChars="0" w:firstLine="0" w:firstLineChars="0"/>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（5）其他严重扰乱招投标程序的。</w:t>
            </w:r>
          </w:p>
        </w:tc>
      </w:tr>
      <w:tr w14:paraId="4685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1234FF2">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8789" w:type="dxa"/>
            <w:gridSpan w:val="2"/>
            <w:vAlign w:val="center"/>
          </w:tcPr>
          <w:p w14:paraId="5244AD09">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6BF0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97E281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8789" w:type="dxa"/>
            <w:gridSpan w:val="2"/>
            <w:vAlign w:val="center"/>
          </w:tcPr>
          <w:p w14:paraId="560A01C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4487ADB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b w:val="0"/>
                <w:bCs/>
                <w:color w:val="auto"/>
                <w:sz w:val="24"/>
                <w:highlight w:val="none"/>
                <w:lang w:val="en-US" w:eastAsia="zh-CN"/>
              </w:rPr>
              <w:t>不集中组织。投标人</w:t>
            </w:r>
            <w:r>
              <w:rPr>
                <w:rFonts w:hint="eastAsia" w:ascii="仿宋" w:hAnsi="仿宋" w:eastAsia="仿宋" w:cs="仿宋"/>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highlight w:val="none"/>
              </w:rPr>
              <w:t>。</w:t>
            </w:r>
          </w:p>
          <w:p w14:paraId="0F55C55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5E1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598EB12A">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8789" w:type="dxa"/>
            <w:gridSpan w:val="2"/>
            <w:vAlign w:val="center"/>
          </w:tcPr>
          <w:p w14:paraId="50C4553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color w:val="auto"/>
                <w:sz w:val="24"/>
                <w:highlight w:val="none"/>
              </w:rPr>
              <w:t>样</w:t>
            </w:r>
            <w:r>
              <w:rPr>
                <w:rFonts w:hint="eastAsia" w:ascii="仿宋" w:hAnsi="仿宋" w:eastAsia="仿宋" w:cs="仿宋"/>
                <w:b/>
                <w:bCs w:val="0"/>
                <w:color w:val="auto"/>
                <w:sz w:val="24"/>
                <w:highlight w:val="none"/>
              </w:rPr>
              <w:t>品提供：</w:t>
            </w:r>
          </w:p>
          <w:p w14:paraId="1A332032">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CC385C5">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B要求提供，</w:t>
            </w:r>
          </w:p>
          <w:p w14:paraId="42F07E93">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样品</w:t>
            </w:r>
            <w:r>
              <w:rPr>
                <w:rFonts w:hint="eastAsia" w:ascii="仿宋" w:hAnsi="仿宋" w:eastAsia="仿宋" w:cs="仿宋"/>
                <w:snapToGrid w:val="0"/>
                <w:color w:val="auto"/>
                <w:kern w:val="28"/>
                <w:sz w:val="24"/>
                <w:highlight w:val="none"/>
                <w:u w:val="none"/>
              </w:rPr>
              <w:t>：</w:t>
            </w:r>
            <w:r>
              <w:rPr>
                <w:rFonts w:hint="eastAsia" w:ascii="仿宋" w:hAnsi="仿宋" w:eastAsia="仿宋" w:cs="仿宋"/>
                <w:snapToGrid w:val="0"/>
                <w:color w:val="auto"/>
                <w:kern w:val="28"/>
                <w:sz w:val="24"/>
                <w:highlight w:val="none"/>
                <w:u w:val="single"/>
                <w:lang w:val="en-US" w:eastAsia="zh-CN"/>
              </w:rPr>
              <w:t xml:space="preserve">   /   </w:t>
            </w:r>
            <w:r>
              <w:rPr>
                <w:rFonts w:hint="eastAsia" w:ascii="仿宋" w:hAnsi="仿宋" w:eastAsia="仿宋" w:cs="仿宋"/>
                <w:color w:val="auto"/>
                <w:kern w:val="0"/>
                <w:sz w:val="24"/>
                <w:highlight w:val="none"/>
              </w:rPr>
              <w:t>；</w:t>
            </w:r>
          </w:p>
          <w:p w14:paraId="55568F1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none"/>
              </w:rPr>
              <w:t>：</w:t>
            </w:r>
            <w:r>
              <w:rPr>
                <w:rFonts w:hint="eastAsia" w:ascii="仿宋" w:hAnsi="仿宋" w:eastAsia="仿宋" w:cs="仿宋"/>
                <w:snapToGrid w:val="0"/>
                <w:color w:val="auto"/>
                <w:kern w:val="28"/>
                <w:sz w:val="24"/>
                <w:highlight w:val="none"/>
                <w:u w:val="single"/>
                <w:lang w:val="en-US" w:eastAsia="zh-CN"/>
              </w:rPr>
              <w:t xml:space="preserve">   /   </w:t>
            </w:r>
            <w:r>
              <w:rPr>
                <w:rFonts w:hint="eastAsia" w:ascii="仿宋" w:hAnsi="仿宋" w:eastAsia="仿宋" w:cs="仿宋"/>
                <w:color w:val="auto"/>
                <w:kern w:val="0"/>
                <w:sz w:val="24"/>
                <w:highlight w:val="none"/>
              </w:rPr>
              <w:t>；</w:t>
            </w:r>
          </w:p>
          <w:p w14:paraId="0B9CE349">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E803F2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4）是否需要随样品</w:t>
            </w:r>
            <w:r>
              <w:rPr>
                <w:rFonts w:hint="eastAsia" w:ascii="仿宋" w:hAnsi="仿宋" w:eastAsia="仿宋" w:cs="仿宋"/>
                <w:color w:val="auto"/>
                <w:sz w:val="24"/>
                <w:highlight w:val="none"/>
              </w:rPr>
              <w:t>提交</w:t>
            </w:r>
            <w:r>
              <w:rPr>
                <w:rFonts w:ascii="仿宋" w:hAnsi="仿宋" w:eastAsia="仿宋" w:cs="仿宋"/>
                <w:color w:val="auto"/>
                <w:kern w:val="0"/>
                <w:sz w:val="24"/>
                <w:highlight w:val="none"/>
              </w:rPr>
              <w:t>检测报告：</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w:t>
            </w:r>
          </w:p>
          <w:p w14:paraId="0D12E9CB">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none"/>
              </w:rPr>
              <w:t>：</w:t>
            </w:r>
            <w:r>
              <w:rPr>
                <w:rFonts w:hint="eastAsia" w:ascii="仿宋" w:hAnsi="仿宋" w:eastAsia="仿宋" w:cs="仿宋"/>
                <w:color w:val="auto"/>
                <w:kern w:val="28"/>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kern w:val="28"/>
                <w:sz w:val="24"/>
                <w:highlight w:val="none"/>
                <w:u w:val="single"/>
                <w:lang w:val="en-US" w:eastAsia="zh-CN"/>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6230B8F">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采购活动结束后，</w:t>
            </w:r>
            <w:r>
              <w:rPr>
                <w:rFonts w:hint="eastAsia" w:ascii="仿宋" w:hAnsi="仿宋" w:eastAsia="仿宋" w:cs="仿宋"/>
                <w:color w:val="auto"/>
                <w:sz w:val="24"/>
                <w:highlight w:val="none"/>
              </w:rPr>
              <w:t>对于</w:t>
            </w:r>
            <w:r>
              <w:rPr>
                <w:rFonts w:ascii="仿宋" w:hAnsi="仿宋" w:eastAsia="仿宋" w:cs="仿宋"/>
                <w:color w:val="auto"/>
                <w:sz w:val="24"/>
                <w:highlight w:val="none"/>
              </w:rPr>
              <w:t>未中标人提供的样品，采购人、采购机构将通知未中标人在规定的时间内取回，逾期未取回的，采购人、采购机构不负保管义务；对于中标人提供的样品，采购人将进行保管、封存，并作为履约验收的参考。</w:t>
            </w:r>
          </w:p>
          <w:p w14:paraId="7D98D9D5">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7）制作、运输、安装和</w:t>
            </w:r>
            <w:r>
              <w:rPr>
                <w:rFonts w:hint="eastAsia" w:ascii="仿宋" w:hAnsi="仿宋" w:eastAsia="仿宋" w:cs="仿宋"/>
                <w:color w:val="auto"/>
                <w:sz w:val="24"/>
                <w:highlight w:val="none"/>
              </w:rPr>
              <w:t>保管</w:t>
            </w:r>
            <w:r>
              <w:rPr>
                <w:rFonts w:ascii="仿宋" w:hAnsi="仿宋" w:eastAsia="仿宋" w:cs="仿宋"/>
                <w:color w:val="auto"/>
                <w:sz w:val="24"/>
                <w:highlight w:val="none"/>
              </w:rPr>
              <w:t>样品所发生的一切费用由投标人自理。</w:t>
            </w:r>
          </w:p>
        </w:tc>
      </w:tr>
      <w:tr w14:paraId="1E5F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06DFE89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8789" w:type="dxa"/>
            <w:gridSpan w:val="2"/>
            <w:vAlign w:val="center"/>
          </w:tcPr>
          <w:p w14:paraId="5A523FAE">
            <w:pPr>
              <w:keepNext w:val="0"/>
              <w:keepLines w:val="0"/>
              <w:pageBreakBefore w:val="0"/>
              <w:widowControl w:val="0"/>
              <w:kinsoku/>
              <w:wordWrap/>
              <w:overflowPunct/>
              <w:topLinePunct w:val="0"/>
              <w:bidi w:val="0"/>
              <w:adjustRightInd w:val="0"/>
              <w:spacing w:line="440" w:lineRule="exact"/>
              <w:ind w:right="0" w:rightChars="0"/>
              <w:rPr>
                <w:rFonts w:ascii="仿宋_GB2312" w:hAnsi="宋体" w:eastAsia="仿宋_GB2312"/>
                <w:b/>
                <w:color w:val="auto"/>
                <w:sz w:val="24"/>
                <w:highlight w:val="none"/>
              </w:rPr>
            </w:pPr>
            <w:r>
              <w:rPr>
                <w:rFonts w:hint="eastAsia" w:ascii="仿宋_GB2312" w:hAnsi="宋体" w:eastAsia="仿宋_GB2312"/>
                <w:b/>
                <w:bCs w:val="0"/>
                <w:color w:val="auto"/>
                <w:sz w:val="24"/>
                <w:highlight w:val="none"/>
              </w:rPr>
              <w:t>方案</w:t>
            </w:r>
            <w:r>
              <w:rPr>
                <w:rFonts w:hint="eastAsia" w:ascii="仿宋" w:hAnsi="仿宋" w:eastAsia="仿宋" w:cs="仿宋"/>
                <w:b/>
                <w:bCs w:val="0"/>
                <w:color w:val="auto"/>
                <w:sz w:val="24"/>
                <w:highlight w:val="none"/>
              </w:rPr>
              <w:t>讲解</w:t>
            </w:r>
            <w:r>
              <w:rPr>
                <w:rFonts w:hint="eastAsia" w:ascii="仿宋_GB2312" w:hAnsi="宋体" w:eastAsia="仿宋_GB2312"/>
                <w:b/>
                <w:bCs w:val="0"/>
                <w:color w:val="auto"/>
                <w:sz w:val="24"/>
                <w:highlight w:val="none"/>
              </w:rPr>
              <w:t>演示</w:t>
            </w:r>
            <w:r>
              <w:rPr>
                <w:rFonts w:hint="eastAsia" w:ascii="仿宋_GB2312" w:hAnsi="宋体" w:eastAsia="仿宋_GB2312"/>
                <w:b/>
                <w:color w:val="auto"/>
                <w:sz w:val="24"/>
                <w:highlight w:val="none"/>
              </w:rPr>
              <w:t>：</w:t>
            </w:r>
          </w:p>
          <w:p w14:paraId="5981101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A无方案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46992CD9">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B有方案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023555C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1）在评标时安排每个供应商进行方案讲解演示。</w:t>
            </w:r>
            <w:r>
              <w:rPr>
                <w:rFonts w:hint="eastAsia" w:ascii="仿宋" w:hAnsi="仿宋" w:eastAsia="仿宋" w:cs="仿宋"/>
                <w:color w:val="auto"/>
                <w:sz w:val="24"/>
                <w:highlight w:val="none"/>
                <w:lang w:val="zh-CN"/>
              </w:rPr>
              <w:t>每个供应商时间不超过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sz w:val="24"/>
                <w:highlight w:val="none"/>
                <w:lang w:val="zh-CN"/>
              </w:rPr>
              <w:t>分钟（编制时可根据项目情况进行调整），讲解次序以投标文件解密时间先后次序为准。讲解演示结束后按要求解答评标委员会提问。</w:t>
            </w:r>
          </w:p>
          <w:p w14:paraId="1EC8191F">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2）方案讲解演示可选择以下其中一种方式：</w:t>
            </w:r>
          </w:p>
          <w:p w14:paraId="5097D55C">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05643AC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（编制时可根据项目情况进行调整）</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6F765979">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lang w:val="zh-CN"/>
              </w:rPr>
              <w:t>《浙江省政府采购项目电子交易管理暂行办法》相关规定执行。</w:t>
            </w:r>
          </w:p>
        </w:tc>
      </w:tr>
      <w:tr w14:paraId="6EC6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5D7F6E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066" w:type="dxa"/>
            <w:vAlign w:val="center"/>
          </w:tcPr>
          <w:p w14:paraId="0F57CE5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723" w:type="dxa"/>
            <w:vAlign w:val="center"/>
          </w:tcPr>
          <w:p w14:paraId="735B9791">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5BEF8B27">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color w:val="auto"/>
                <w:kern w:val="0"/>
                <w:sz w:val="24"/>
                <w:highlight w:val="none"/>
              </w:rPr>
              <w:t>原因，仍有满足需求的国内产品要求参与采购竞争的，采购人及其委托的采购代理机构不对其加以限制，将按照公平竞争原则实施采购。</w:t>
            </w:r>
          </w:p>
        </w:tc>
      </w:tr>
      <w:tr w14:paraId="345A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3E55A1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066" w:type="dxa"/>
            <w:vAlign w:val="center"/>
          </w:tcPr>
          <w:p w14:paraId="74563E51">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723" w:type="dxa"/>
            <w:vAlign w:val="center"/>
          </w:tcPr>
          <w:p w14:paraId="2DAD0A3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sz w:val="24"/>
                <w:highlight w:val="none"/>
              </w:rPr>
              <w:t>。</w:t>
            </w:r>
          </w:p>
          <w:p w14:paraId="0063B4C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1EA9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252687A0">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066" w:type="dxa"/>
            <w:vMerge w:val="restart"/>
            <w:vAlign w:val="center"/>
          </w:tcPr>
          <w:p w14:paraId="05F46BE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723" w:type="dxa"/>
            <w:vAlign w:val="center"/>
          </w:tcPr>
          <w:p w14:paraId="45DDBEB5">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采购人或采购代理机构将通过“信用中国”网站</w:t>
            </w:r>
            <w:r>
              <w:rPr>
                <w:rFonts w:ascii="仿宋" w:hAnsi="仿宋" w:eastAsia="仿宋" w:cs="仿宋"/>
                <w:color w:val="auto"/>
                <w:sz w:val="24"/>
                <w:highlight w:val="none"/>
              </w:rPr>
              <w:t>(www.creditchina.gov.cn)、中国政府采购网(www.ccgp.gov.cn)渠道查询投标人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1BA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81ABE8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p>
        </w:tc>
        <w:tc>
          <w:tcPr>
            <w:tcW w:w="1066" w:type="dxa"/>
            <w:vMerge w:val="continue"/>
            <w:vAlign w:val="center"/>
          </w:tcPr>
          <w:p w14:paraId="2488F422">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2AAFC3F6">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采购人或采购代理机构现场查询投标人的信用记录，查询结果经确认后与采购文件一起存档。</w:t>
            </w:r>
          </w:p>
        </w:tc>
      </w:tr>
      <w:tr w14:paraId="5F50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18138F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p>
        </w:tc>
        <w:tc>
          <w:tcPr>
            <w:tcW w:w="1066" w:type="dxa"/>
            <w:vMerge w:val="continue"/>
            <w:vAlign w:val="center"/>
          </w:tcPr>
          <w:p w14:paraId="77654B85">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200C8126">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b/>
                <w:color w:val="auto"/>
                <w:sz w:val="24"/>
                <w:highlight w:val="none"/>
              </w:rPr>
              <w:t>信用信息的</w:t>
            </w:r>
            <w:r>
              <w:rPr>
                <w:rFonts w:hint="eastAsia" w:ascii="仿宋" w:hAnsi="仿宋" w:eastAsia="仿宋" w:cs="仿宋"/>
                <w:b/>
                <w:bCs/>
                <w:color w:val="auto"/>
                <w:sz w:val="24"/>
                <w:highlight w:val="none"/>
              </w:rPr>
              <w:t>使用</w:t>
            </w:r>
            <w:r>
              <w:rPr>
                <w:rFonts w:hint="eastAsia" w:ascii="仿宋" w:hAnsi="仿宋" w:eastAsia="仿宋" w:cs="仿宋"/>
                <w:b/>
                <w:color w:val="auto"/>
                <w:sz w:val="24"/>
                <w:highlight w:val="none"/>
              </w:rPr>
              <w:t>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76B19DB5">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748C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57AB9467">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8789" w:type="dxa"/>
            <w:gridSpan w:val="2"/>
            <w:vAlign w:val="center"/>
          </w:tcPr>
          <w:p w14:paraId="3F37FAE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52E8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1EC1C905">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15                                                                                                                                                                                                                                                                                                                                                                                                                                                                                                                                                                                                                                                                                                                                                                                                                                                                                                                                                                                                                                                                                                                                                                                                                                                                                                                                        </w:t>
            </w:r>
          </w:p>
        </w:tc>
        <w:tc>
          <w:tcPr>
            <w:tcW w:w="8789" w:type="dxa"/>
            <w:gridSpan w:val="2"/>
            <w:vAlign w:val="center"/>
          </w:tcPr>
          <w:p w14:paraId="205854D0">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4260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C0BA5ED">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8789" w:type="dxa"/>
            <w:gridSpan w:val="2"/>
            <w:vAlign w:val="center"/>
          </w:tcPr>
          <w:p w14:paraId="34E16ECD">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投标与开标注意事项：</w:t>
            </w:r>
          </w:p>
          <w:p w14:paraId="2C3D9CA3">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1.本项目实行网上</w:t>
            </w:r>
            <w:r>
              <w:rPr>
                <w:rFonts w:hint="eastAsia" w:ascii="仿宋" w:hAnsi="仿宋" w:eastAsia="仿宋" w:cs="仿宋"/>
                <w:color w:val="auto"/>
                <w:sz w:val="24"/>
                <w:highlight w:val="none"/>
              </w:rPr>
              <w:t>投标</w:t>
            </w:r>
            <w:r>
              <w:rPr>
                <w:rFonts w:ascii="仿宋" w:hAnsi="仿宋" w:eastAsia="仿宋" w:cs="仿宋"/>
                <w:color w:val="auto"/>
                <w:sz w:val="24"/>
                <w:highlight w:val="none"/>
              </w:rPr>
              <w:t>，采用电子投标文件。若供应商参与投标，自行承担投标一切费用。</w:t>
            </w:r>
          </w:p>
          <w:p w14:paraId="108D3C6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2.标前准备：各供应商应在开标前完成CA数字证书办理。供应商将</w:t>
            </w:r>
            <w:r>
              <w:rPr>
                <w:rFonts w:hint="eastAsia" w:ascii="仿宋" w:hAnsi="仿宋" w:eastAsia="仿宋" w:cs="仿宋"/>
                <w:color w:val="auto"/>
                <w:sz w:val="24"/>
                <w:highlight w:val="none"/>
              </w:rPr>
              <w:t>乐采云电子交易客户端下载、安装完成后，可通过账号密码或</w:t>
            </w:r>
            <w:r>
              <w:rPr>
                <w:rFonts w:ascii="仿宋" w:hAnsi="仿宋" w:eastAsia="仿宋" w:cs="仿宋"/>
                <w:color w:val="auto"/>
                <w:sz w:val="24"/>
                <w:highlight w:val="none"/>
              </w:rPr>
              <w:t>CA登录客户端进行投标文件制作。在使用</w:t>
            </w:r>
            <w:r>
              <w:rPr>
                <w:rFonts w:hint="eastAsia" w:ascii="仿宋" w:hAnsi="仿宋" w:eastAsia="仿宋" w:cs="仿宋"/>
                <w:color w:val="auto"/>
                <w:sz w:val="24"/>
                <w:highlight w:val="none"/>
              </w:rPr>
              <w:t>乐采云投标客户端时，建议使用</w:t>
            </w:r>
            <w:r>
              <w:rPr>
                <w:rFonts w:ascii="仿宋" w:hAnsi="仿宋" w:eastAsia="仿宋" w:cs="仿宋"/>
                <w:color w:val="auto"/>
                <w:sz w:val="24"/>
                <w:highlight w:val="none"/>
              </w:rPr>
              <w:t>WIN7及以上操作系统。</w:t>
            </w:r>
          </w:p>
          <w:p w14:paraId="321D420F">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注：供应商</w:t>
            </w:r>
            <w:r>
              <w:rPr>
                <w:rFonts w:ascii="仿宋" w:hAnsi="仿宋" w:eastAsia="仿宋" w:cs="仿宋"/>
                <w:color w:val="auto"/>
                <w:sz w:val="24"/>
                <w:highlight w:val="none"/>
              </w:rPr>
              <w:t>CA相关操作可参考</w:t>
            </w:r>
            <w:r>
              <w:rPr>
                <w:rFonts w:hint="eastAsia" w:ascii="仿宋" w:hAnsi="仿宋" w:eastAsia="仿宋" w:cs="仿宋"/>
                <w:color w:val="auto"/>
                <w:sz w:val="24"/>
                <w:highlight w:val="none"/>
              </w:rPr>
              <w:t>乐采云平台</w:t>
            </w:r>
            <w:r>
              <w:rPr>
                <w:rFonts w:ascii="仿宋" w:hAnsi="仿宋" w:eastAsia="仿宋" w:cs="仿宋"/>
                <w:color w:val="auto"/>
                <w:highlight w:val="none"/>
              </w:rPr>
              <w:t>https://www.lecaiyun.com/</w:t>
            </w:r>
            <w:r>
              <w:rPr>
                <w:rFonts w:hint="eastAsia" w:ascii="仿宋" w:hAnsi="仿宋" w:eastAsia="仿宋" w:cs="仿宋"/>
                <w:color w:val="auto"/>
                <w:sz w:val="24"/>
                <w:highlight w:val="none"/>
              </w:rPr>
              <w:t>《</w:t>
            </w:r>
            <w:r>
              <w:rPr>
                <w:rFonts w:ascii="仿宋" w:hAnsi="仿宋" w:eastAsia="仿宋" w:cs="仿宋"/>
                <w:color w:val="auto"/>
                <w:sz w:val="24"/>
                <w:highlight w:val="none"/>
              </w:rPr>
              <w:t>CA申领操作指南》和《CA管理</w:t>
            </w:r>
            <w:r>
              <w:rPr>
                <w:rFonts w:hint="eastAsia" w:ascii="仿宋" w:hAnsi="仿宋" w:eastAsia="仿宋" w:cs="仿宋"/>
                <w:color w:val="auto"/>
                <w:sz w:val="24"/>
                <w:highlight w:val="none"/>
              </w:rPr>
              <w:t>操作</w:t>
            </w:r>
            <w:r>
              <w:rPr>
                <w:rFonts w:ascii="仿宋" w:hAnsi="仿宋" w:eastAsia="仿宋" w:cs="仿宋"/>
                <w:color w:val="auto"/>
                <w:sz w:val="24"/>
                <w:highlight w:val="none"/>
              </w:rPr>
              <w:t>指南》。完成CA数字证书办理在资料齐全的情况下预计7个工作日左右，建议供应商获取招标文件后立即办理。</w:t>
            </w:r>
          </w:p>
          <w:p w14:paraId="25DAD46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3.投标文件制作、递交、解密：</w:t>
            </w:r>
          </w:p>
          <w:p w14:paraId="252E603A">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3.1应按照本项目</w:t>
            </w:r>
            <w:r>
              <w:rPr>
                <w:rFonts w:hint="eastAsia" w:ascii="仿宋" w:hAnsi="仿宋" w:eastAsia="仿宋" w:cs="仿宋"/>
                <w:color w:val="auto"/>
                <w:sz w:val="24"/>
                <w:highlight w:val="none"/>
              </w:rPr>
              <w:t>招标</w:t>
            </w:r>
            <w:r>
              <w:rPr>
                <w:rFonts w:ascii="仿宋" w:hAnsi="仿宋" w:eastAsia="仿宋" w:cs="仿宋"/>
                <w:color w:val="auto"/>
                <w:sz w:val="24"/>
                <w:highlight w:val="none"/>
              </w:rPr>
              <w:t>文件和</w:t>
            </w:r>
            <w:r>
              <w:rPr>
                <w:rFonts w:hint="eastAsia" w:ascii="仿宋" w:hAnsi="仿宋" w:eastAsia="仿宋" w:cs="仿宋"/>
                <w:color w:val="auto"/>
                <w:sz w:val="24"/>
                <w:highlight w:val="none"/>
              </w:rPr>
              <w:t>乐采云平台的要求编制、加密传输投标文件。供应商在使用系统进行投标的过程中遇到涉及平台使用的任何问题，可致电乐采云平台技术支持热线咨询，联系方式：</w:t>
            </w:r>
            <w:r>
              <w:rPr>
                <w:rFonts w:ascii="仿宋" w:hAnsi="仿宋" w:eastAsia="仿宋" w:cs="仿宋"/>
                <w:color w:val="auto"/>
                <w:sz w:val="24"/>
                <w:highlight w:val="none"/>
              </w:rPr>
              <w:t>95763。</w:t>
            </w:r>
          </w:p>
          <w:p w14:paraId="214363FB">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3.2投标人通过“</w:t>
            </w:r>
            <w:r>
              <w:rPr>
                <w:rFonts w:hint="eastAsia" w:ascii="仿宋" w:hAnsi="仿宋" w:eastAsia="仿宋" w:cs="仿宋"/>
                <w:color w:val="auto"/>
                <w:sz w:val="24"/>
                <w:highlight w:val="none"/>
              </w:rPr>
              <w:t>乐采云”平台制作电子投标文件，投标文件制作详见“供应商</w:t>
            </w:r>
            <w:r>
              <w:rPr>
                <w:rFonts w:ascii="仿宋" w:hAnsi="仿宋" w:eastAsia="仿宋" w:cs="仿宋"/>
                <w:color w:val="auto"/>
                <w:sz w:val="24"/>
                <w:highlight w:val="none"/>
              </w:rPr>
              <w:t>-采购项目电子交易操作指南。</w:t>
            </w:r>
          </w:p>
          <w:p w14:paraId="6C8638CE">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ascii="仿宋" w:hAnsi="仿宋" w:eastAsia="仿宋" w:cs="仿宋"/>
                <w:color w:val="auto"/>
                <w:sz w:val="24"/>
                <w:highlight w:val="none"/>
              </w:rPr>
              <w:t>3.3开标时间后30</w:t>
            </w:r>
            <w:r>
              <w:rPr>
                <w:rFonts w:hint="eastAsia" w:ascii="仿宋" w:hAnsi="仿宋" w:eastAsia="仿宋" w:cs="仿宋"/>
                <w:color w:val="auto"/>
                <w:sz w:val="24"/>
                <w:highlight w:val="none"/>
              </w:rPr>
              <w:t>分钟</w:t>
            </w:r>
            <w:r>
              <w:rPr>
                <w:rFonts w:ascii="仿宋" w:hAnsi="仿宋" w:eastAsia="仿宋" w:cs="仿宋"/>
                <w:color w:val="auto"/>
                <w:sz w:val="24"/>
                <w:highlight w:val="none"/>
              </w:rPr>
              <w:t>内供应商可以登录“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312F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vAlign w:val="center"/>
          </w:tcPr>
          <w:p w14:paraId="0DD16F66">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8789" w:type="dxa"/>
            <w:gridSpan w:val="2"/>
            <w:vAlign w:val="center"/>
          </w:tcPr>
          <w:p w14:paraId="39424E2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备份投标文件:</w:t>
            </w:r>
          </w:p>
          <w:p w14:paraId="30A99E2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snapToGrid w:val="0"/>
                <w:color w:val="auto"/>
                <w:kern w:val="28"/>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在“乐采云平台”完成电子加密“</w:t>
            </w:r>
            <w:r>
              <w:rPr>
                <w:rFonts w:hint="eastAsia" w:ascii="仿宋" w:hAnsi="仿宋" w:eastAsia="仿宋" w:cs="仿宋"/>
                <w:snapToGrid w:val="0"/>
                <w:color w:val="auto"/>
                <w:kern w:val="28"/>
                <w:sz w:val="24"/>
                <w:szCs w:val="24"/>
                <w:highlight w:val="none"/>
                <w:lang w:val="en-US" w:eastAsia="zh-CN" w:bidi="ar-SA"/>
              </w:rPr>
              <w:t>投标</w:t>
            </w:r>
            <w:r>
              <w:rPr>
                <w:rFonts w:hint="eastAsia" w:ascii="仿宋" w:hAnsi="仿宋" w:eastAsia="仿宋" w:cs="仿宋"/>
                <w:color w:val="auto"/>
                <w:kern w:val="2"/>
                <w:sz w:val="24"/>
                <w:szCs w:val="24"/>
                <w:highlight w:val="none"/>
                <w:lang w:val="en-US" w:eastAsia="zh-CN" w:bidi="ar-SA"/>
              </w:rPr>
              <w:t>文件”的在线传输递交后，还可以在投标截止时间前通过EMS、顺丰邮寄等形式送达以介质存储的数据电文形式的“备份投标文件”。</w:t>
            </w:r>
            <w:r>
              <w:rPr>
                <w:rFonts w:hint="eastAsia" w:ascii="仿宋" w:hAnsi="仿宋" w:eastAsia="仿宋" w:cs="仿宋"/>
                <w:b/>
                <w:bCs/>
                <w:color w:val="auto"/>
                <w:kern w:val="2"/>
                <w:sz w:val="24"/>
                <w:szCs w:val="24"/>
                <w:highlight w:val="none"/>
                <w:lang w:val="en-US" w:eastAsia="zh-CN" w:bidi="ar-SA"/>
              </w:rPr>
              <w:t>“备份投标文件”由投标人自愿提交，采购文件不作强制性要求</w:t>
            </w:r>
            <w:r>
              <w:rPr>
                <w:rFonts w:hint="eastAsia" w:ascii="仿宋" w:hAnsi="仿宋" w:eastAsia="仿宋" w:cs="仿宋"/>
                <w:color w:val="auto"/>
                <w:kern w:val="2"/>
                <w:sz w:val="24"/>
                <w:szCs w:val="24"/>
                <w:highlight w:val="none"/>
                <w:lang w:val="en-US" w:eastAsia="zh-CN" w:bidi="ar-SA"/>
              </w:rPr>
              <w:t>，但供应商仅递交了“备份投标文件”的，投标无效。</w:t>
            </w:r>
          </w:p>
          <w:p w14:paraId="6CE9D079">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both"/>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(2)备份投标文件:密封包装后（建议以EMS、顺丰邮寄等形式）投标截止时间前（送达时间以采购组织机构实际签收时间为准）送达（一份）（邮寄地址：</w:t>
            </w:r>
            <w:r>
              <w:rPr>
                <w:rFonts w:hint="eastAsia" w:ascii="仿宋" w:hAnsi="仿宋" w:eastAsia="仿宋" w:cs="仿宋"/>
                <w:color w:val="auto"/>
                <w:kern w:val="1"/>
                <w:sz w:val="24"/>
                <w:szCs w:val="24"/>
                <w:highlight w:val="none"/>
                <w:lang w:eastAsia="zh-CN"/>
              </w:rPr>
              <w:t>嵊州市三江街道官河路南333号商会大厦十四层1407室</w:t>
            </w:r>
            <w:r>
              <w:rPr>
                <w:rFonts w:hint="eastAsia" w:ascii="仿宋" w:hAnsi="仿宋" w:eastAsia="仿宋" w:cs="仿宋"/>
                <w:color w:val="auto"/>
                <w:kern w:val="2"/>
                <w:sz w:val="24"/>
                <w:szCs w:val="24"/>
                <w:highlight w:val="none"/>
                <w:lang w:val="en-US" w:eastAsia="zh-CN" w:bidi="ar-SA"/>
              </w:rPr>
              <w:t>，竺女士，</w:t>
            </w:r>
            <w:r>
              <w:rPr>
                <w:rFonts w:hint="eastAsia" w:ascii="仿宋" w:hAnsi="仿宋" w:eastAsia="仿宋" w:cs="仿宋"/>
                <w:color w:val="auto"/>
                <w:kern w:val="1"/>
                <w:sz w:val="24"/>
                <w:szCs w:val="24"/>
                <w:highlight w:val="none"/>
                <w:lang w:eastAsia="zh-CN"/>
              </w:rPr>
              <w:t>0575-83176688</w:t>
            </w:r>
            <w:r>
              <w:rPr>
                <w:rFonts w:hint="eastAsia" w:ascii="仿宋" w:hAnsi="仿宋" w:eastAsia="仿宋" w:cs="仿宋"/>
                <w:color w:val="auto"/>
                <w:kern w:val="2"/>
                <w:sz w:val="24"/>
                <w:szCs w:val="24"/>
                <w:highlight w:val="none"/>
                <w:lang w:val="en-US" w:eastAsia="zh-CN" w:bidi="ar-SA"/>
              </w:rPr>
              <w:t>）。</w:t>
            </w:r>
          </w:p>
          <w:p w14:paraId="43EEFCF6">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08D3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7CE57C8">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8789" w:type="dxa"/>
            <w:gridSpan w:val="2"/>
            <w:vAlign w:val="center"/>
          </w:tcPr>
          <w:p w14:paraId="6AFB751F">
            <w:pPr>
              <w:spacing w:line="440" w:lineRule="exact"/>
              <w:rPr>
                <w:rFonts w:hint="eastAsia" w:ascii="仿宋" w:hAnsi="仿宋" w:eastAsia="仿宋" w:cs="仿宋"/>
                <w:snapToGrid w:val="0"/>
                <w:color w:val="auto"/>
                <w:kern w:val="28"/>
                <w:sz w:val="24"/>
              </w:rPr>
            </w:pPr>
            <w:r>
              <w:rPr>
                <w:rFonts w:hint="eastAsia" w:ascii="仿宋" w:hAnsi="仿宋" w:eastAsia="仿宋" w:cs="仿宋"/>
                <w:b/>
                <w:bCs/>
                <w:snapToGrid w:val="0"/>
                <w:color w:val="auto"/>
                <w:kern w:val="28"/>
                <w:sz w:val="24"/>
              </w:rPr>
              <w:t>采购代理服务费：</w:t>
            </w:r>
          </w:p>
          <w:p w14:paraId="10833FAF">
            <w:pPr>
              <w:spacing w:line="44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中标单位须向招标代理机构按如下标准和规定交纳中标服务费，请在投标报价中自行考虑：</w:t>
            </w:r>
          </w:p>
          <w:p w14:paraId="792710E9">
            <w:pPr>
              <w:spacing w:line="440" w:lineRule="exact"/>
              <w:rPr>
                <w:rFonts w:hint="eastAsia" w:ascii="仿宋" w:hAnsi="仿宋" w:eastAsia="仿宋" w:cs="仿宋"/>
                <w:color w:val="auto"/>
                <w:sz w:val="24"/>
              </w:rPr>
            </w:pPr>
            <w:r>
              <w:rPr>
                <w:rFonts w:hint="eastAsia" w:ascii="仿宋" w:hAnsi="仿宋" w:eastAsia="仿宋" w:cs="仿宋"/>
                <w:snapToGrid w:val="0"/>
                <w:color w:val="auto"/>
                <w:kern w:val="28"/>
                <w:sz w:val="24"/>
              </w:rPr>
              <w:t>①本项目代理服务费按照以下标准</w:t>
            </w:r>
            <w:r>
              <w:rPr>
                <w:rFonts w:hint="eastAsia" w:ascii="仿宋" w:hAnsi="仿宋" w:eastAsia="仿宋" w:cs="仿宋"/>
                <w:snapToGrid w:val="0"/>
                <w:color w:val="auto"/>
                <w:kern w:val="28"/>
                <w:sz w:val="24"/>
                <w:lang w:eastAsia="zh-CN"/>
              </w:rPr>
              <w:t>下浮</w:t>
            </w:r>
            <w:r>
              <w:rPr>
                <w:rFonts w:hint="eastAsia" w:ascii="仿宋" w:hAnsi="仿宋" w:eastAsia="仿宋" w:cs="仿宋"/>
                <w:snapToGrid w:val="0"/>
                <w:color w:val="auto"/>
                <w:kern w:val="28"/>
                <w:sz w:val="24"/>
                <w:lang w:val="en-US" w:eastAsia="zh-CN"/>
              </w:rPr>
              <w:t>40%</w:t>
            </w:r>
            <w:r>
              <w:rPr>
                <w:rFonts w:hint="eastAsia" w:ascii="仿宋" w:hAnsi="仿宋" w:eastAsia="仿宋" w:cs="仿宋"/>
                <w:snapToGrid w:val="0"/>
                <w:color w:val="auto"/>
                <w:kern w:val="28"/>
                <w:sz w:val="24"/>
              </w:rPr>
              <w:t>收取（招标代理费按差额定率累进法计算）</w:t>
            </w:r>
          </w:p>
          <w:tbl>
            <w:tblPr>
              <w:tblStyle w:val="62"/>
              <w:tblpPr w:leftFromText="180" w:rightFromText="180" w:vertAnchor="text" w:horzAnchor="page" w:tblpX="210" w:tblpY="20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96"/>
              <w:gridCol w:w="1176"/>
            </w:tblGrid>
            <w:tr w14:paraId="3C0D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696"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2879A7C">
                  <w:pPr>
                    <w:keepNext w:val="0"/>
                    <w:keepLines w:val="0"/>
                    <w:pageBreakBefore w:val="0"/>
                    <w:widowControl/>
                    <w:suppressLineNumbers w:val="0"/>
                    <w:kinsoku/>
                    <w:wordWrap/>
                    <w:overflowPunct/>
                    <w:topLinePunct w:val="0"/>
                    <w:autoSpaceDE w:val="0"/>
                    <w:autoSpaceDN w:val="0"/>
                    <w:bidi w:val="0"/>
                    <w:adjustRightInd/>
                    <w:snapToGrid/>
                    <w:spacing w:line="38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0C71156">
                  <w:pPr>
                    <w:keepNext w:val="0"/>
                    <w:keepLines w:val="0"/>
                    <w:pageBreakBefore w:val="0"/>
                    <w:widowControl/>
                    <w:suppressLineNumbers w:val="0"/>
                    <w:kinsoku/>
                    <w:wordWrap/>
                    <w:overflowPunct/>
                    <w:topLinePunct w:val="0"/>
                    <w:autoSpaceDE w:val="0"/>
                    <w:autoSpaceDN w:val="0"/>
                    <w:bidi w:val="0"/>
                    <w:adjustRightInd/>
                    <w:snapToGrid/>
                    <w:spacing w:line="38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7294FAFB">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r>
            <w:tr w14:paraId="26B1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6" w:type="dxa"/>
                  <w:tcBorders>
                    <w:top w:val="single" w:color="000000" w:sz="4" w:space="0"/>
                    <w:left w:val="single" w:color="000000" w:sz="4" w:space="0"/>
                    <w:bottom w:val="single" w:color="000000" w:sz="4" w:space="0"/>
                    <w:right w:val="single" w:color="000000" w:sz="4" w:space="0"/>
                  </w:tcBorders>
                  <w:noWrap/>
                  <w:vAlign w:val="center"/>
                </w:tcPr>
                <w:p w14:paraId="474FECE7">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6505D9F7">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1D7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6" w:type="dxa"/>
                  <w:tcBorders>
                    <w:top w:val="single" w:color="000000" w:sz="4" w:space="0"/>
                    <w:left w:val="single" w:color="000000" w:sz="4" w:space="0"/>
                    <w:bottom w:val="single" w:color="000000" w:sz="4" w:space="0"/>
                    <w:right w:val="single" w:color="000000" w:sz="4" w:space="0"/>
                  </w:tcBorders>
                  <w:noWrap/>
                  <w:vAlign w:val="center"/>
                </w:tcPr>
                <w:p w14:paraId="275F7606">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6D29A150">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bl>
          <w:p w14:paraId="1F0BC018">
            <w:pPr>
              <w:spacing w:line="440" w:lineRule="exact"/>
              <w:rPr>
                <w:rFonts w:hint="eastAsia" w:ascii="仿宋" w:hAnsi="仿宋" w:eastAsia="仿宋" w:cs="仿宋"/>
                <w:snapToGrid w:val="0"/>
                <w:color w:val="auto"/>
                <w:kern w:val="28"/>
                <w:sz w:val="24"/>
              </w:rPr>
            </w:pPr>
          </w:p>
          <w:p w14:paraId="1A361DD0">
            <w:pPr>
              <w:spacing w:line="440" w:lineRule="exact"/>
              <w:rPr>
                <w:rFonts w:hint="eastAsia" w:ascii="仿宋" w:hAnsi="仿宋" w:eastAsia="仿宋" w:cs="仿宋"/>
                <w:snapToGrid w:val="0"/>
                <w:color w:val="auto"/>
                <w:kern w:val="28"/>
                <w:sz w:val="24"/>
              </w:rPr>
            </w:pPr>
          </w:p>
          <w:p w14:paraId="14020C11">
            <w:pPr>
              <w:spacing w:line="440" w:lineRule="exact"/>
              <w:rPr>
                <w:rFonts w:hint="eastAsia" w:ascii="仿宋" w:hAnsi="仿宋" w:eastAsia="仿宋" w:cs="仿宋"/>
                <w:snapToGrid w:val="0"/>
                <w:color w:val="auto"/>
                <w:kern w:val="28"/>
                <w:sz w:val="24"/>
              </w:rPr>
            </w:pPr>
          </w:p>
          <w:p w14:paraId="1125331B">
            <w:pPr>
              <w:spacing w:line="440" w:lineRule="exact"/>
              <w:jc w:val="both"/>
              <w:rPr>
                <w:rFonts w:hint="eastAsia" w:ascii="仿宋" w:hAnsi="仿宋" w:eastAsia="仿宋" w:cs="仿宋"/>
                <w:snapToGrid w:val="0"/>
                <w:color w:val="auto"/>
                <w:kern w:val="28"/>
                <w:sz w:val="24"/>
              </w:rPr>
            </w:pPr>
          </w:p>
          <w:p w14:paraId="440906FF">
            <w:pPr>
              <w:pStyle w:val="24"/>
              <w:rPr>
                <w:rFonts w:hint="eastAsia"/>
              </w:rPr>
            </w:pPr>
          </w:p>
          <w:p w14:paraId="76FA3595">
            <w:pPr>
              <w:spacing w:line="440" w:lineRule="exact"/>
              <w:jc w:val="both"/>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②用银行支票、电汇、现金等付款方式直接交纳代理服务费。</w:t>
            </w:r>
          </w:p>
          <w:p w14:paraId="23380AC7">
            <w:pPr>
              <w:spacing w:line="440" w:lineRule="exact"/>
              <w:rPr>
                <w:rFonts w:hint="eastAsia" w:ascii="仿宋" w:hAnsi="仿宋" w:eastAsia="仿宋" w:cs="仿宋"/>
                <w:snapToGrid w:val="0"/>
                <w:color w:val="auto"/>
                <w:kern w:val="28"/>
                <w:sz w:val="24"/>
                <w:lang w:eastAsia="zh-CN"/>
              </w:rPr>
            </w:pPr>
            <w:r>
              <w:rPr>
                <w:rFonts w:hint="eastAsia" w:ascii="仿宋" w:hAnsi="仿宋" w:eastAsia="仿宋" w:cs="仿宋"/>
                <w:snapToGrid w:val="0"/>
                <w:color w:val="auto"/>
                <w:kern w:val="28"/>
                <w:sz w:val="24"/>
              </w:rPr>
              <w:t xml:space="preserve">公司名称: </w:t>
            </w:r>
            <w:r>
              <w:rPr>
                <w:rFonts w:hint="eastAsia" w:ascii="仿宋" w:hAnsi="仿宋" w:eastAsia="仿宋" w:cs="仿宋"/>
                <w:snapToGrid w:val="0"/>
                <w:color w:val="auto"/>
                <w:kern w:val="28"/>
                <w:sz w:val="24"/>
                <w:lang w:eastAsia="zh-CN"/>
              </w:rPr>
              <w:t>绍兴平准招标代理有限公司</w:t>
            </w:r>
          </w:p>
          <w:p w14:paraId="66FFD4B1">
            <w:pPr>
              <w:spacing w:line="44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开户银行：建设银行嵊州新城支行</w:t>
            </w:r>
          </w:p>
          <w:p w14:paraId="481C8DA4">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kern w:val="0"/>
                <w:sz w:val="24"/>
                <w:szCs w:val="21"/>
                <w:highlight w:val="none"/>
              </w:rPr>
            </w:pPr>
            <w:r>
              <w:rPr>
                <w:rFonts w:hint="eastAsia" w:ascii="仿宋" w:hAnsi="仿宋" w:eastAsia="仿宋" w:cs="仿宋"/>
                <w:snapToGrid w:val="0"/>
                <w:color w:val="auto"/>
                <w:kern w:val="28"/>
                <w:sz w:val="24"/>
              </w:rPr>
              <w:t>银行账号：33050165655009888888</w:t>
            </w:r>
          </w:p>
        </w:tc>
      </w:tr>
      <w:tr w14:paraId="411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A6620F4">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w:t>
            </w:r>
          </w:p>
        </w:tc>
        <w:tc>
          <w:tcPr>
            <w:tcW w:w="8789" w:type="dxa"/>
            <w:gridSpan w:val="2"/>
            <w:vAlign w:val="center"/>
          </w:tcPr>
          <w:p w14:paraId="3AFA3D9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推荐中标候选人数量</w:t>
            </w:r>
            <w:r>
              <w:rPr>
                <w:rFonts w:hint="eastAsia" w:ascii="仿宋" w:hAnsi="仿宋" w:eastAsia="仿宋" w:cs="仿宋"/>
                <w:b/>
                <w:bCs/>
                <w:color w:val="auto"/>
                <w:sz w:val="24"/>
                <w:highlight w:val="none"/>
                <w:lang w:eastAsia="zh-CN"/>
              </w:rPr>
              <w:t>：</w:t>
            </w:r>
            <w:r>
              <w:rPr>
                <w:rFonts w:hint="eastAsia" w:ascii="仿宋" w:hAnsi="仿宋" w:eastAsia="仿宋" w:cs="仿宋"/>
                <w:b w:val="0"/>
                <w:bCs w:val="0"/>
                <w:color w:val="auto"/>
                <w:sz w:val="24"/>
                <w:highlight w:val="none"/>
                <w:lang w:eastAsia="zh-CN"/>
              </w:rPr>
              <w:t>1名</w:t>
            </w:r>
          </w:p>
        </w:tc>
      </w:tr>
      <w:tr w14:paraId="2AF9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5CDE98C">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8789" w:type="dxa"/>
            <w:gridSpan w:val="2"/>
            <w:vAlign w:val="center"/>
          </w:tcPr>
          <w:p w14:paraId="3A034A8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48C0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31153B37">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解释：凡涉及本招标文件的解释权属于招标采购单位和采购代理机构。</w:t>
            </w:r>
          </w:p>
        </w:tc>
      </w:tr>
      <w:tr w14:paraId="58CF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54B3A9A8">
            <w:pPr>
              <w:keepNext w:val="0"/>
              <w:keepLines w:val="0"/>
              <w:pageBreakBefore w:val="0"/>
              <w:widowControl w:val="0"/>
              <w:kinsoku/>
              <w:wordWrap/>
              <w:overflowPunct/>
              <w:topLinePunct w:val="0"/>
              <w:bidi w:val="0"/>
              <w:adjustRightInd w:val="0"/>
              <w:spacing w:line="440" w:lineRule="exact"/>
              <w:ind w:right="0" w:rightChars="0"/>
              <w:rPr>
                <w:rFonts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9"/>
    </w:tbl>
    <w:p w14:paraId="13B32884">
      <w:pPr>
        <w:pageBreakBefore/>
        <w:adjustRightInd/>
        <w:spacing w:line="360" w:lineRule="auto"/>
        <w:jc w:val="center"/>
        <w:outlineLvl w:val="0"/>
        <w:rPr>
          <w:rFonts w:ascii="仿宋" w:hAnsi="仿宋" w:eastAsia="仿宋" w:cs="仿宋"/>
          <w:b/>
          <w:color w:val="auto"/>
          <w:sz w:val="32"/>
          <w:szCs w:val="32"/>
          <w:highlight w:val="none"/>
        </w:rPr>
      </w:pPr>
      <w:bookmarkStart w:id="10" w:name="_Hlt74729768"/>
      <w:bookmarkEnd w:id="10"/>
      <w:bookmarkStart w:id="11" w:name="_Hlt74707468"/>
      <w:bookmarkEnd w:id="11"/>
      <w:bookmarkStart w:id="12" w:name="_Hlt68403820"/>
      <w:bookmarkEnd w:id="12"/>
      <w:bookmarkStart w:id="13" w:name="_Hlt75236101"/>
      <w:bookmarkEnd w:id="13"/>
      <w:bookmarkStart w:id="14" w:name="_Hlt68072990"/>
      <w:bookmarkEnd w:id="14"/>
      <w:bookmarkStart w:id="15" w:name="_Hlt74730295"/>
      <w:bookmarkEnd w:id="15"/>
      <w:bookmarkStart w:id="16" w:name="_Hlt68072998"/>
      <w:bookmarkEnd w:id="16"/>
      <w:bookmarkStart w:id="17" w:name="_Hlt68057669"/>
      <w:bookmarkEnd w:id="17"/>
      <w:bookmarkStart w:id="18" w:name="_Hlt68073093"/>
      <w:bookmarkEnd w:id="18"/>
      <w:bookmarkStart w:id="19" w:name="_Hlt75236290"/>
      <w:bookmarkEnd w:id="19"/>
      <w:bookmarkStart w:id="20" w:name="_Hlt74714665"/>
      <w:bookmarkEnd w:id="20"/>
      <w:bookmarkStart w:id="21" w:name="_Hlt75236011"/>
      <w:bookmarkEnd w:id="21"/>
      <w:bookmarkStart w:id="22" w:name="_Toc164416483"/>
      <w:bookmarkStart w:id="23" w:name="第三部分"/>
      <w:r>
        <w:rPr>
          <w:rFonts w:hint="eastAsia" w:ascii="仿宋" w:hAnsi="仿宋" w:eastAsia="仿宋" w:cs="仿宋"/>
          <w:b/>
          <w:color w:val="auto"/>
          <w:sz w:val="32"/>
          <w:szCs w:val="32"/>
          <w:highlight w:val="none"/>
        </w:rPr>
        <w:t>一、总则</w:t>
      </w:r>
    </w:p>
    <w:p w14:paraId="506E1DAF">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ascii="仿宋" w:hAnsi="仿宋" w:eastAsia="仿宋" w:cs="仿宋"/>
          <w:b/>
          <w:color w:val="auto"/>
          <w:sz w:val="24"/>
          <w:highlight w:val="none"/>
        </w:rPr>
      </w:pPr>
      <w:r>
        <w:rPr>
          <w:rFonts w:ascii="仿宋" w:hAnsi="仿宋" w:eastAsia="仿宋" w:cs="仿宋"/>
          <w:b/>
          <w:color w:val="auto"/>
          <w:sz w:val="24"/>
          <w:highlight w:val="none"/>
        </w:rPr>
        <w:t>1.适用范围</w:t>
      </w:r>
    </w:p>
    <w:p w14:paraId="07A80AC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83DCA12">
      <w:pPr>
        <w:keepNext w:val="0"/>
        <w:keepLines w:val="0"/>
        <w:pageBreakBefore w:val="0"/>
        <w:widowControl w:val="0"/>
        <w:kinsoku/>
        <w:wordWrap/>
        <w:overflowPunct/>
        <w:topLinePunct w:val="0"/>
        <w:autoSpaceDE/>
        <w:autoSpaceDN/>
        <w:bidi w:val="0"/>
        <w:adjustRightInd/>
        <w:spacing w:line="440" w:lineRule="exact"/>
        <w:textAlignment w:val="auto"/>
        <w:outlineLvl w:val="0"/>
        <w:rPr>
          <w:rFonts w:ascii="仿宋" w:hAnsi="仿宋" w:eastAsia="仿宋" w:cs="仿宋"/>
          <w:b/>
          <w:color w:val="auto"/>
          <w:sz w:val="24"/>
          <w:highlight w:val="none"/>
        </w:rPr>
      </w:pPr>
      <w:r>
        <w:rPr>
          <w:rFonts w:ascii="仿宋" w:hAnsi="仿宋" w:eastAsia="仿宋" w:cs="仿宋"/>
          <w:b/>
          <w:color w:val="auto"/>
          <w:sz w:val="24"/>
          <w:highlight w:val="none"/>
        </w:rPr>
        <w:t>2.定义</w:t>
      </w:r>
    </w:p>
    <w:p w14:paraId="55CCAA9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2.1</w:t>
      </w:r>
      <w:r>
        <w:rPr>
          <w:rFonts w:hint="eastAsia" w:ascii="仿宋" w:hAnsi="仿宋" w:eastAsia="仿宋" w:cs="仿宋"/>
          <w:color w:val="auto"/>
          <w:sz w:val="24"/>
          <w:highlight w:val="none"/>
        </w:rPr>
        <w:t>“采购人”系指招标公告中载明的本项目的采购人。</w:t>
      </w:r>
    </w:p>
    <w:p w14:paraId="775EB08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2.2</w:t>
      </w:r>
      <w:r>
        <w:rPr>
          <w:rFonts w:hint="eastAsia" w:ascii="仿宋" w:hAnsi="仿宋" w:eastAsia="仿宋" w:cs="仿宋"/>
          <w:color w:val="auto"/>
          <w:sz w:val="24"/>
          <w:highlight w:val="none"/>
        </w:rPr>
        <w:t>“采购代理机构”系指招标公告中载明的本项目的采购代理机构。</w:t>
      </w:r>
    </w:p>
    <w:p w14:paraId="664D730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2.3</w:t>
      </w:r>
      <w:r>
        <w:rPr>
          <w:rFonts w:hint="eastAsia" w:ascii="仿宋" w:hAnsi="仿宋" w:eastAsia="仿宋" w:cs="仿宋"/>
          <w:color w:val="auto"/>
          <w:sz w:val="24"/>
          <w:highlight w:val="none"/>
        </w:rPr>
        <w:t>“投标人”“供应商”系指是指响应招标、参加投标竞争的法人、其他组织或者自然人。</w:t>
      </w:r>
    </w:p>
    <w:p w14:paraId="5D06C5B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2.4“监督单位”系指</w:t>
      </w:r>
      <w:r>
        <w:rPr>
          <w:rFonts w:hint="eastAsia" w:ascii="仿宋" w:hAnsi="仿宋" w:eastAsia="仿宋" w:cs="仿宋"/>
          <w:color w:val="auto"/>
          <w:sz w:val="24"/>
          <w:highlight w:val="none"/>
        </w:rPr>
        <w:t>招标公告中载明的本项目的</w:t>
      </w:r>
      <w:r>
        <w:rPr>
          <w:rFonts w:ascii="仿宋" w:hAnsi="仿宋" w:eastAsia="仿宋" w:cs="仿宋"/>
          <w:color w:val="auto"/>
          <w:sz w:val="24"/>
          <w:highlight w:val="none"/>
        </w:rPr>
        <w:t>监督管理部门。</w:t>
      </w:r>
    </w:p>
    <w:p w14:paraId="2399D38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2.5</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6FB27F2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w:t>
      </w:r>
    </w:p>
    <w:p w14:paraId="160B144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2.7“电子交易平台”系指本项目采购活动所依托的乐采云平台（https://www.lecaiyun.com/）。</w:t>
      </w:r>
    </w:p>
    <w:p w14:paraId="59D223D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2.8“★”系指实质性指标要求条款，“▲”</w:t>
      </w:r>
      <w:r>
        <w:rPr>
          <w:rFonts w:hint="eastAsia" w:ascii="仿宋" w:hAnsi="仿宋" w:eastAsia="仿宋" w:cs="仿宋"/>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auto"/>
          <w:sz w:val="24"/>
          <w:highlight w:val="none"/>
        </w:rPr>
        <w:t>☑</w:t>
      </w:r>
      <w:r>
        <w:rPr>
          <w:rFonts w:hint="eastAsia" w:ascii="仿宋" w:hAnsi="仿宋" w:eastAsia="仿宋" w:cs="仿宋"/>
          <w:color w:val="auto"/>
          <w:sz w:val="24"/>
          <w:highlight w:val="none"/>
        </w:rPr>
        <w:t>”系指适用本项目的要求，“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系指不适用本项目的要求。</w:t>
      </w:r>
    </w:p>
    <w:p w14:paraId="688018D6">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2.9其他定义</w:t>
      </w:r>
    </w:p>
    <w:p w14:paraId="410AA9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_GB2312" w:hAnsi="仿宋" w:eastAsia="仿宋_GB2312"/>
          <w:b/>
          <w:color w:val="auto"/>
          <w:sz w:val="24"/>
          <w:highlight w:val="none"/>
          <w:lang w:val="en-US" w:eastAsia="zh-CN"/>
        </w:rPr>
      </w:pPr>
      <w:r>
        <w:rPr>
          <w:rFonts w:hint="eastAsia" w:ascii="仿宋" w:hAnsi="仿宋" w:eastAsia="仿宋" w:cs="仿宋"/>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0D94341F">
      <w:pPr>
        <w:keepNext w:val="0"/>
        <w:keepLines w:val="0"/>
        <w:pageBreakBefore w:val="0"/>
        <w:widowControl w:val="0"/>
        <w:kinsoku/>
        <w:wordWrap/>
        <w:overflowPunct/>
        <w:topLinePunct w:val="0"/>
        <w:autoSpaceDE/>
        <w:autoSpaceDN/>
        <w:bidi w:val="0"/>
        <w:spacing w:line="440" w:lineRule="exact"/>
        <w:textAlignment w:val="auto"/>
        <w:rPr>
          <w:rFonts w:ascii="仿宋_GB2312" w:hAnsi="仿宋" w:eastAsia="仿宋_GB2312"/>
          <w:b/>
          <w:color w:val="auto"/>
          <w:sz w:val="24"/>
          <w:highlight w:val="none"/>
        </w:rPr>
      </w:pPr>
      <w:r>
        <w:rPr>
          <w:rFonts w:ascii="仿宋_GB2312" w:hAnsi="仿宋" w:eastAsia="仿宋_GB2312"/>
          <w:b/>
          <w:color w:val="auto"/>
          <w:sz w:val="24"/>
          <w:highlight w:val="none"/>
        </w:rPr>
        <w:t>3.采购项目需要落实的采购政策</w:t>
      </w:r>
    </w:p>
    <w:p w14:paraId="7FFB6F6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1ED2FA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14:paraId="628FC22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7B313CB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支持科技创新发展</w:t>
      </w:r>
    </w:p>
    <w:p w14:paraId="47EDD8D8">
      <w:pPr>
        <w:keepNext w:val="0"/>
        <w:keepLines w:val="0"/>
        <w:pageBreakBefore w:val="0"/>
        <w:kinsoku/>
        <w:wordWrap/>
        <w:overflowPunct/>
        <w:topLinePunct w:val="0"/>
        <w:bidi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对省级以上主管部门认定的首台套产品，自纳入《省推广应用指导目录》起三年内参加采购活动，视同已具备相应销售业绩，业绩分为满分。</w:t>
      </w:r>
    </w:p>
    <w:p w14:paraId="00B0BD9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rPr>
        <w:t>平等对待内外资企业和符合条件的破产重整企业</w:t>
      </w:r>
    </w:p>
    <w:p w14:paraId="25C9D019">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86A61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ascii="仿宋_GB2312" w:hAnsi="仿宋" w:eastAsia="仿宋_GB2312"/>
          <w:color w:val="auto"/>
          <w:sz w:val="24"/>
          <w:highlight w:val="none"/>
        </w:rPr>
        <w:t>4.特别说明：</w:t>
      </w:r>
    </w:p>
    <w:p w14:paraId="75BBFF7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14:paraId="1DEAAAC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76A96D8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4.3供应商在投标活动中提供任何虚假材料,其投标无效，并报监管部门查处；中标后</w:t>
      </w:r>
      <w:r>
        <w:rPr>
          <w:rFonts w:hint="eastAsia" w:ascii="仿宋_GB2312" w:hAnsi="仿宋" w:eastAsia="仿宋_GB2312"/>
          <w:color w:val="auto"/>
          <w:sz w:val="24"/>
          <w:highlight w:val="none"/>
        </w:rPr>
        <w:t>发现的</w:t>
      </w:r>
      <w:r>
        <w:rPr>
          <w:rFonts w:ascii="仿宋_GB2312" w:hAnsi="仿宋" w:eastAsia="仿宋_GB2312"/>
          <w:color w:val="auto"/>
          <w:sz w:val="24"/>
          <w:highlight w:val="none"/>
        </w:rPr>
        <w:t>,中标人须依照《中华人民共和国消费者权益保护法》规定赔偿采购人，且民事赔偿并不免除违法供应商的行政与刑事责任。</w:t>
      </w:r>
    </w:p>
    <w:p w14:paraId="4A09E5B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_GB2312" w:hAnsi="仿宋" w:eastAsia="仿宋_GB2312"/>
          <w:color w:val="auto"/>
          <w:sz w:val="24"/>
          <w:highlight w:val="none"/>
        </w:rPr>
      </w:pPr>
      <w:r>
        <w:rPr>
          <w:rFonts w:hint="eastAsia" w:ascii="仿宋_GB2312" w:hAnsi="仿宋" w:eastAsia="仿宋_GB2312"/>
          <w:b/>
          <w:bCs/>
          <w:color w:val="auto"/>
          <w:sz w:val="24"/>
          <w:highlight w:val="none"/>
          <w:lang w:val="en-US" w:eastAsia="zh-CN"/>
        </w:rPr>
        <w:t>5.</w:t>
      </w:r>
      <w:r>
        <w:rPr>
          <w:rFonts w:hint="eastAsia" w:ascii="仿宋_GB2312" w:hAnsi="仿宋" w:eastAsia="仿宋_GB2312"/>
          <w:b/>
          <w:bCs/>
          <w:color w:val="auto"/>
          <w:sz w:val="24"/>
          <w:highlight w:val="none"/>
        </w:rPr>
        <w:t>特殊投标人投标规定</w:t>
      </w:r>
    </w:p>
    <w:p w14:paraId="118F59F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E3C46CD">
      <w:pPr>
        <w:pStyle w:val="131"/>
        <w:keepNext w:val="0"/>
        <w:keepLines w:val="0"/>
        <w:pageBreakBefore w:val="0"/>
        <w:kinsoku/>
        <w:wordWrap/>
        <w:overflowPunct/>
        <w:topLinePunct w:val="0"/>
        <w:bidi w:val="0"/>
        <w:snapToGrid w:val="0"/>
        <w:spacing w:before="0" w:line="440" w:lineRule="exact"/>
        <w:ind w:firstLine="640"/>
        <w:textAlignment w:val="auto"/>
        <w:rPr>
          <w:rFonts w:ascii="仿宋" w:hAnsi="仿宋" w:eastAsia="仿宋" w:cs="仿宋"/>
          <w:color w:val="auto"/>
          <w:sz w:val="32"/>
          <w:szCs w:val="32"/>
          <w:highlight w:val="none"/>
        </w:rPr>
      </w:pPr>
    </w:p>
    <w:p w14:paraId="3197C59A">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34BB189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招标方式</w:t>
      </w:r>
    </w:p>
    <w:p w14:paraId="681EDC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1.1</w:t>
      </w:r>
      <w:r>
        <w:rPr>
          <w:rFonts w:hint="eastAsia" w:ascii="仿宋" w:hAnsi="仿宋" w:eastAsia="仿宋" w:cs="仿宋"/>
          <w:color w:val="auto"/>
          <w:sz w:val="24"/>
          <w:highlight w:val="none"/>
        </w:rPr>
        <w:t>本次招标采用公开招标方式进行。</w:t>
      </w:r>
    </w:p>
    <w:p w14:paraId="531C82A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1.2</w:t>
      </w:r>
      <w:r>
        <w:rPr>
          <w:rFonts w:hint="eastAsia" w:ascii="仿宋" w:hAnsi="仿宋" w:eastAsia="仿宋" w:cs="仿宋"/>
          <w:color w:val="auto"/>
          <w:sz w:val="24"/>
          <w:highlight w:val="none"/>
        </w:rPr>
        <w:t>如某一标项投标人或实质性响应招标文件的投标人不足三家时，由采购人重新组织招标或按有关规定实施。</w:t>
      </w:r>
    </w:p>
    <w:p w14:paraId="057E8CE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本次招标设定限价，即招标公告中公布的各标项预算金额或最高限价。</w:t>
      </w:r>
    </w:p>
    <w:p w14:paraId="658495C1">
      <w:pPr>
        <w:pStyle w:val="25"/>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highlight w:val="none"/>
        </w:rPr>
      </w:pPr>
      <w:r>
        <w:rPr>
          <w:rFonts w:ascii="仿宋" w:hAnsi="仿宋" w:eastAsia="仿宋" w:cs="仿宋"/>
          <w:b/>
          <w:color w:val="auto"/>
          <w:highlight w:val="none"/>
        </w:rPr>
        <w:t>2.授权委托</w:t>
      </w:r>
    </w:p>
    <w:p w14:paraId="6A7DBD1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58BE394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投标费用</w:t>
      </w:r>
    </w:p>
    <w:p w14:paraId="3E31DD4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对上述费用不负任何责任。</w:t>
      </w:r>
    </w:p>
    <w:p w14:paraId="12D93D9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招标文件的修改</w:t>
      </w:r>
    </w:p>
    <w:p w14:paraId="2CCBFC6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4.1招标文件包括本招标文件及所有的招标答疑记录（澄清、修改）和发出的补充通知。</w:t>
      </w:r>
    </w:p>
    <w:p w14:paraId="1A3D85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4.2招标文件的澄清 </w:t>
      </w:r>
    </w:p>
    <w:p w14:paraId="488B592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w:t>
      </w:r>
      <w:r>
        <w:rPr>
          <w:rFonts w:ascii="仿宋" w:hAnsi="仿宋" w:eastAsia="仿宋" w:cs="仿宋"/>
          <w:color w:val="auto"/>
          <w:sz w:val="24"/>
          <w:highlight w:val="none"/>
        </w:rPr>
        <w:t>(包括电报、电传、传真、电子数据交换和电子邮件）)等通知</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，但通知不得迟于开标前7日使</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收到，</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将用书面形式予以答复。如有必要，可将不说明来源的答复发给所有投标人。</w:t>
      </w:r>
    </w:p>
    <w:p w14:paraId="561A47E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4.3招标文件的修改</w:t>
      </w:r>
    </w:p>
    <w:p w14:paraId="68884C2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4.3.1在投标截止时间前，</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有权修改招标文件，并以书面形式通知所有投标人，通知中没有注明更改投标截止时间的视为截止时间不变。修改的文件作为招标文件的补充和组成部分，对所有投标人均有约束力。投标人应在两天内以书面形式确认</w:t>
      </w:r>
      <w:r>
        <w:rPr>
          <w:rFonts w:hint="eastAsia" w:ascii="仿宋" w:hAnsi="仿宋" w:eastAsia="仿宋" w:cs="仿宋"/>
          <w:color w:val="auto"/>
          <w:sz w:val="24"/>
          <w:highlight w:val="none"/>
        </w:rPr>
        <w:t>已收到的修改文件，并需附法定代表人或其授权代表的签字加盖公章，逾期不确认的视同认可。</w:t>
      </w:r>
    </w:p>
    <w:p w14:paraId="648EE0F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4.3.2为使投标人有足够的时间按修改文件要求修正投标文件，</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可酌情推迟投标截止时间和开标时间，并将此变更通知投标人。在这种情况下，</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与投标人以前在投标截止期方面的全部权力、责任和义务，将适用于延长后新的投标截止期。</w:t>
      </w:r>
    </w:p>
    <w:p w14:paraId="2C34DEEF">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ascii="仿宋" w:hAnsi="仿宋" w:eastAsia="仿宋" w:cs="仿宋"/>
          <w:b/>
          <w:color w:val="auto"/>
          <w:sz w:val="24"/>
          <w:highlight w:val="none"/>
        </w:rPr>
      </w:pPr>
      <w:r>
        <w:rPr>
          <w:rFonts w:ascii="仿宋" w:hAnsi="仿宋" w:eastAsia="仿宋" w:cs="仿宋"/>
          <w:b/>
          <w:color w:val="auto"/>
          <w:sz w:val="24"/>
          <w:highlight w:val="none"/>
        </w:rPr>
        <w:t>5.参考品牌</w:t>
      </w:r>
    </w:p>
    <w:p w14:paraId="0DF8C6B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44750CED">
      <w:pPr>
        <w:pStyle w:val="23"/>
        <w:keepNext w:val="0"/>
        <w:keepLines w:val="0"/>
        <w:pageBreakBefore w:val="0"/>
        <w:kinsoku/>
        <w:wordWrap/>
        <w:overflowPunct/>
        <w:topLinePunct w:val="0"/>
        <w:bidi w:val="0"/>
        <w:spacing w:line="440" w:lineRule="exact"/>
        <w:textAlignment w:val="auto"/>
        <w:rPr>
          <w:rFonts w:ascii="仿宋" w:hAnsi="仿宋" w:eastAsia="仿宋" w:cs="仿宋"/>
          <w:color w:val="auto"/>
          <w:sz w:val="32"/>
          <w:szCs w:val="32"/>
          <w:highlight w:val="none"/>
          <w:lang w:val="en-US"/>
        </w:rPr>
      </w:pPr>
    </w:p>
    <w:p w14:paraId="7280C8A9">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61CF0F51">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bCs/>
          <w:color w:val="auto"/>
          <w:sz w:val="24"/>
          <w:highlight w:val="none"/>
        </w:rPr>
      </w:pPr>
      <w:r>
        <w:rPr>
          <w:rFonts w:ascii="仿宋" w:hAnsi="仿宋" w:eastAsia="仿宋" w:cs="仿宋"/>
          <w:b/>
          <w:bCs/>
          <w:color w:val="auto"/>
          <w:sz w:val="24"/>
          <w:highlight w:val="none"/>
        </w:rPr>
        <w:t>1.投标文件的语言、计量单位、形式及效力</w:t>
      </w:r>
    </w:p>
    <w:p w14:paraId="6A0E0C7C">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1.1投标人应仔细阅读招标文件中的所有内容，按照招标文件要求，详细编制投标文件，并保证投标文件的正确性和真实性。</w:t>
      </w:r>
    </w:p>
    <w:p w14:paraId="211DA10F">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投标文件以及投标方与招标方就有关投标事宜的所有来往函电，均应以中文书写（技术术语除外）。</w:t>
      </w:r>
    </w:p>
    <w:p w14:paraId="71A648C0">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投标计量单位，除招标文件中有特殊要求外，应采用中华人民共和国法定计量单位，货币单位：人民币元。</w:t>
      </w:r>
    </w:p>
    <w:p w14:paraId="44942721">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1.4不按招标文件的要求提供的投标文件可能导致被拒绝。</w:t>
      </w:r>
    </w:p>
    <w:p w14:paraId="755465A0">
      <w:pPr>
        <w:keepNext w:val="0"/>
        <w:keepLines w:val="0"/>
        <w:pageBreakBefore w:val="0"/>
        <w:kinsoku/>
        <w:wordWrap/>
        <w:overflowPunct/>
        <w:topLinePunct w:val="0"/>
        <w:bidi w:val="0"/>
        <w:snapToGrid w:val="0"/>
        <w:spacing w:line="440" w:lineRule="exact"/>
        <w:ind w:firstLine="482" w:firstLineChars="2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1.5投标文件的形式和效力</w:t>
      </w:r>
    </w:p>
    <w:p w14:paraId="2F27B581">
      <w:pPr>
        <w:keepNext w:val="0"/>
        <w:keepLines w:val="0"/>
        <w:pageBreakBefore w:val="0"/>
        <w:kinsoku/>
        <w:wordWrap/>
        <w:overflowPunct/>
        <w:topLinePunct w:val="0"/>
        <w:bidi w:val="0"/>
        <w:snapToGrid w:val="0"/>
        <w:spacing w:line="440" w:lineRule="exact"/>
        <w:ind w:firstLine="723" w:firstLineChars="300"/>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rPr>
        <w:t>乐采云供应商项目采购</w:t>
      </w:r>
      <w:r>
        <w:rPr>
          <w:rFonts w:ascii="仿宋" w:hAnsi="仿宋" w:eastAsia="仿宋" w:cs="仿宋"/>
          <w:b/>
          <w:color w:val="auto"/>
          <w:sz w:val="24"/>
          <w:highlight w:val="none"/>
        </w:rPr>
        <w:t>-电子招投标操作指南”及本招标文件要求制作、加密传输。</w:t>
      </w:r>
    </w:p>
    <w:p w14:paraId="5CB49C43">
      <w:pPr>
        <w:keepNext w:val="0"/>
        <w:keepLines w:val="0"/>
        <w:pageBreakBefore w:val="0"/>
        <w:kinsoku/>
        <w:wordWrap/>
        <w:overflowPunct/>
        <w:topLinePunct w:val="0"/>
        <w:bidi w:val="0"/>
        <w:snapToGrid w:val="0"/>
        <w:spacing w:line="440" w:lineRule="exact"/>
        <w:ind w:firstLine="723" w:firstLineChars="300"/>
        <w:jc w:val="left"/>
        <w:textAlignment w:val="auto"/>
        <w:rPr>
          <w:rFonts w:ascii="仿宋" w:hAnsi="仿宋" w:eastAsia="仿宋" w:cs="仿宋"/>
          <w:b/>
          <w:color w:val="auto"/>
          <w:sz w:val="24"/>
          <w:highlight w:val="none"/>
          <w:u w:val="single"/>
        </w:rPr>
      </w:pPr>
      <w:r>
        <w:rPr>
          <w:rFonts w:ascii="仿宋" w:hAnsi="仿宋" w:eastAsia="仿宋" w:cs="仿宋"/>
          <w:b/>
          <w:color w:val="auto"/>
          <w:sz w:val="24"/>
          <w:highlight w:val="none"/>
          <w:u w:val="single"/>
        </w:rPr>
        <w:t>1.5.2投标文件的效力：</w:t>
      </w:r>
    </w:p>
    <w:p w14:paraId="223F13D1">
      <w:pPr>
        <w:keepNext w:val="0"/>
        <w:keepLines w:val="0"/>
        <w:pageBreakBefore w:val="0"/>
        <w:kinsoku/>
        <w:wordWrap/>
        <w:overflowPunct/>
        <w:topLinePunct w:val="0"/>
        <w:bidi w:val="0"/>
        <w:snapToGrid w:val="0"/>
        <w:spacing w:line="440" w:lineRule="exact"/>
        <w:ind w:firstLine="723" w:firstLineChars="300"/>
        <w:jc w:val="left"/>
        <w:textAlignment w:val="auto"/>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1810CD14">
      <w:pPr>
        <w:pStyle w:val="33"/>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投标文件的组成</w:t>
      </w:r>
    </w:p>
    <w:p w14:paraId="61BD00AF">
      <w:pPr>
        <w:keepNext w:val="0"/>
        <w:keepLines w:val="0"/>
        <w:pageBreakBefore w:val="0"/>
        <w:kinsoku/>
        <w:wordWrap/>
        <w:overflowPunct/>
        <w:topLinePunct w:val="0"/>
        <w:bidi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61029FA9">
      <w:pPr>
        <w:keepNext w:val="0"/>
        <w:keepLines w:val="0"/>
        <w:pageBreakBefore w:val="0"/>
        <w:kinsoku/>
        <w:wordWrap/>
        <w:overflowPunct/>
        <w:topLinePunct w:val="0"/>
        <w:bidi w:val="0"/>
        <w:snapToGrid w:val="0"/>
        <w:spacing w:line="440" w:lineRule="exact"/>
        <w:ind w:firstLine="482" w:firstLineChars="200"/>
        <w:textAlignment w:val="auto"/>
        <w:rPr>
          <w:rFonts w:ascii="仿宋" w:hAnsi="仿宋" w:eastAsia="仿宋" w:cs="仿宋"/>
          <w:b/>
          <w:color w:val="auto"/>
          <w:sz w:val="24"/>
          <w:highlight w:val="none"/>
          <w:lang w:val="zh-CN"/>
        </w:rPr>
      </w:pPr>
      <w:r>
        <w:rPr>
          <w:rFonts w:ascii="仿宋" w:hAnsi="仿宋" w:eastAsia="仿宋" w:cs="仿宋"/>
          <w:b/>
          <w:color w:val="auto"/>
          <w:sz w:val="24"/>
          <w:highlight w:val="none"/>
        </w:rPr>
        <w:t>2</w:t>
      </w:r>
      <w:r>
        <w:rPr>
          <w:rFonts w:ascii="仿宋" w:hAnsi="仿宋" w:eastAsia="仿宋" w:cs="仿宋"/>
          <w:b/>
          <w:color w:val="auto"/>
          <w:sz w:val="24"/>
          <w:highlight w:val="none"/>
          <w:lang w:val="zh-CN"/>
        </w:rPr>
        <w:t>.1资格文件：</w:t>
      </w:r>
    </w:p>
    <w:p w14:paraId="2B3C652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4EDD27B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rPr>
        <w:t>法定代表人身份证明书；</w:t>
      </w:r>
    </w:p>
    <w:p w14:paraId="1ECBC90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0985FB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符合参加采购活动应当具备的一般条件的承诺函；</w:t>
      </w:r>
    </w:p>
    <w:p w14:paraId="0ACE203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lang w:eastAsia="zh-CN"/>
        </w:rPr>
        <w:t>单位负责人为同一人或者存在直接控股、管理关系的不同供应商，不得参加同一合同项下的采购活动（开标后提供《</w:t>
      </w:r>
      <w:r>
        <w:rPr>
          <w:rFonts w:hint="eastAsia" w:ascii="仿宋" w:hAnsi="仿宋" w:eastAsia="仿宋" w:cs="仿宋"/>
          <w:color w:val="auto"/>
          <w:kern w:val="0"/>
          <w:sz w:val="24"/>
          <w:highlight w:val="none"/>
        </w:rPr>
        <w:t>政企</w:t>
      </w:r>
      <w:r>
        <w:rPr>
          <w:rFonts w:hint="eastAsia" w:ascii="仿宋" w:hAnsi="仿宋" w:eastAsia="仿宋" w:cs="仿宋"/>
          <w:color w:val="auto"/>
          <w:sz w:val="24"/>
          <w:highlight w:val="none"/>
          <w:lang w:eastAsia="zh-CN"/>
        </w:rPr>
        <w:t>采购活动现场确认声明书》（PDF格式），发送至邮箱</w:t>
      </w:r>
      <w:r>
        <w:rPr>
          <w:rStyle w:val="76"/>
          <w:rFonts w:hint="eastAsia" w:ascii="仿宋" w:hAnsi="仿宋" w:eastAsia="仿宋" w:cs="仿宋"/>
          <w:color w:val="auto"/>
          <w:kern w:val="0"/>
          <w:sz w:val="24"/>
          <w:szCs w:val="24"/>
          <w:highlight w:val="none"/>
          <w:u w:val="none"/>
          <w:lang w:eastAsia="zh-CN"/>
        </w:rPr>
        <w:t>1132452991@qq.com</w:t>
      </w:r>
      <w:r>
        <w:rPr>
          <w:rFonts w:hint="eastAsia" w:ascii="仿宋" w:hAnsi="仿宋" w:eastAsia="仿宋" w:cs="仿宋"/>
          <w:color w:val="auto"/>
          <w:sz w:val="24"/>
          <w:highlight w:val="none"/>
          <w:lang w:eastAsia="zh-CN"/>
        </w:rPr>
        <w:t>）；</w:t>
      </w:r>
    </w:p>
    <w:p w14:paraId="6C5CD218">
      <w:pPr>
        <w:keepNext w:val="0"/>
        <w:keepLines w:val="0"/>
        <w:pageBreakBefore w:val="0"/>
        <w:kinsoku/>
        <w:wordWrap/>
        <w:overflowPunct/>
        <w:topLinePunct w:val="0"/>
        <w:bidi w:val="0"/>
        <w:snapToGrid w:val="0"/>
        <w:spacing w:line="440" w:lineRule="exact"/>
        <w:ind w:firstLine="482" w:firstLineChars="200"/>
        <w:textAlignment w:val="auto"/>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w:t>
      </w:r>
      <w:r>
        <w:rPr>
          <w:rFonts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6ACA6B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bookmarkStart w:id="24" w:name="OLE_LINK4"/>
      <w:r>
        <w:rPr>
          <w:rFonts w:hint="eastAsia" w:ascii="仿宋" w:hAnsi="仿宋" w:eastAsia="仿宋" w:cs="仿宋"/>
          <w:color w:val="auto"/>
          <w:sz w:val="24"/>
          <w:szCs w:val="24"/>
          <w:highlight w:val="none"/>
          <w:lang w:eastAsia="zh-CN"/>
        </w:rPr>
        <w:t>2.2.1营业执照扫描件；</w:t>
      </w:r>
    </w:p>
    <w:p w14:paraId="1E699F5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2.2.2投标函；</w:t>
      </w:r>
      <w:r>
        <w:rPr>
          <w:rFonts w:hint="eastAsia" w:ascii="仿宋" w:hAnsi="仿宋" w:eastAsia="仿宋" w:cs="仿宋"/>
          <w:color w:val="auto"/>
          <w:sz w:val="24"/>
          <w:szCs w:val="24"/>
          <w:highlight w:val="none"/>
          <w:lang w:val="zh-CN" w:eastAsia="zh-CN"/>
        </w:rPr>
        <w:t xml:space="preserve"> </w:t>
      </w:r>
    </w:p>
    <w:p w14:paraId="7A25C11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2.2.3法定代表人身份证明书；</w:t>
      </w:r>
    </w:p>
    <w:p w14:paraId="30BDA45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2.2.4法定代表人授权委托书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授权代表社保证明（</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434CE70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eastAsia="仿宋" w:cs="仿宋"/>
          <w:color w:val="auto"/>
          <w:sz w:val="24"/>
          <w:szCs w:val="24"/>
          <w:highlight w:val="none"/>
          <w:lang w:val="en-US" w:eastAsia="zh-CN"/>
        </w:rPr>
        <w:t>评分索引表；</w:t>
      </w:r>
    </w:p>
    <w:p w14:paraId="28C320A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2.2.6采购供应商廉洁自律承诺书；</w:t>
      </w:r>
    </w:p>
    <w:p w14:paraId="3E2FC72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2.2.7资信及商务响应表</w:t>
      </w:r>
      <w:r>
        <w:rPr>
          <w:rFonts w:hint="eastAsia" w:ascii="仿宋" w:eastAsia="仿宋" w:cs="仿宋"/>
          <w:color w:val="auto"/>
          <w:sz w:val="24"/>
          <w:szCs w:val="24"/>
          <w:highlight w:val="none"/>
          <w:lang w:val="en-US" w:eastAsia="zh-CN"/>
        </w:rPr>
        <w:t>；</w:t>
      </w:r>
    </w:p>
    <w:p w14:paraId="0D700B8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2.2.8生产基地情况</w:t>
      </w:r>
      <w:r>
        <w:rPr>
          <w:rFonts w:hint="eastAsia" w:ascii="仿宋" w:hAnsi="仿宋" w:eastAsia="仿宋" w:cs="仿宋"/>
          <w:color w:val="auto"/>
          <w:kern w:val="0"/>
          <w:sz w:val="24"/>
          <w:szCs w:val="24"/>
          <w:highlight w:val="none"/>
          <w:lang w:eastAsia="zh-CN"/>
        </w:rPr>
        <w:t>；</w:t>
      </w:r>
    </w:p>
    <w:p w14:paraId="2558AB5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kern w:val="2"/>
          <w:sz w:val="24"/>
          <w:szCs w:val="24"/>
          <w:highlight w:val="none"/>
          <w:lang w:val="en-US" w:eastAsia="zh-CN" w:bidi="ar-SA"/>
        </w:rPr>
        <w:t>同类业绩</w:t>
      </w:r>
      <w:r>
        <w:rPr>
          <w:rFonts w:hint="eastAsia" w:ascii="仿宋" w:hAnsi="仿宋" w:eastAsia="仿宋" w:cs="仿宋"/>
          <w:color w:val="auto"/>
          <w:sz w:val="24"/>
          <w:szCs w:val="24"/>
          <w:highlight w:val="none"/>
          <w:lang w:val="en-US" w:eastAsia="zh-CN"/>
        </w:rPr>
        <w:t>；</w:t>
      </w:r>
    </w:p>
    <w:p w14:paraId="5B358E3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2.2.10</w:t>
      </w:r>
      <w:r>
        <w:rPr>
          <w:rFonts w:hint="eastAsia" w:ascii="仿宋" w:hAnsi="仿宋" w:eastAsia="仿宋" w:cs="仿宋"/>
          <w:snapToGrid w:val="0"/>
          <w:color w:val="auto"/>
          <w:sz w:val="24"/>
          <w:szCs w:val="24"/>
          <w:highlight w:val="none"/>
          <w:lang w:val="en-US" w:eastAsia="zh-CN"/>
        </w:rPr>
        <w:t>人员配置</w:t>
      </w:r>
      <w:r>
        <w:rPr>
          <w:rFonts w:hint="eastAsia" w:ascii="仿宋" w:hAnsi="仿宋" w:eastAsia="仿宋" w:cs="仿宋"/>
          <w:color w:val="auto"/>
          <w:sz w:val="24"/>
          <w:szCs w:val="24"/>
          <w:highlight w:val="none"/>
          <w:lang w:val="en-US" w:eastAsia="zh-CN"/>
        </w:rPr>
        <w:t>；</w:t>
      </w:r>
    </w:p>
    <w:p w14:paraId="51E2D27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2.2.11供货方案；</w:t>
      </w:r>
    </w:p>
    <w:p w14:paraId="306909B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2.2.12质量保障；</w:t>
      </w:r>
    </w:p>
    <w:p w14:paraId="3976810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2.2.13实施方案；</w:t>
      </w:r>
    </w:p>
    <w:p w14:paraId="3DB95F9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2.2.14应急预案；</w:t>
      </w:r>
    </w:p>
    <w:p w14:paraId="72AB228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2.2.15售后服务；</w:t>
      </w:r>
    </w:p>
    <w:p w14:paraId="2351CD4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color w:val="auto"/>
          <w:highlight w:val="none"/>
          <w:lang w:val="zh-CN"/>
        </w:rPr>
      </w:pPr>
      <w:r>
        <w:rPr>
          <w:rFonts w:hint="eastAsia" w:ascii="仿宋" w:hAnsi="仿宋" w:eastAsia="仿宋" w:cs="仿宋"/>
          <w:color w:val="auto"/>
          <w:sz w:val="24"/>
          <w:szCs w:val="24"/>
          <w:highlight w:val="none"/>
          <w:lang w:val="en-US" w:eastAsia="zh-CN"/>
        </w:rPr>
        <w:t>2.2.16投标人需要说</w:t>
      </w:r>
      <w:r>
        <w:rPr>
          <w:rFonts w:ascii="仿宋" w:hAnsi="仿宋" w:eastAsia="仿宋" w:cs="仿宋"/>
          <w:color w:val="auto"/>
          <w:sz w:val="24"/>
          <w:highlight w:val="none"/>
        </w:rPr>
        <w:t>明的其他文件和说明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w:t>
      </w:r>
    </w:p>
    <w:bookmarkEnd w:id="24"/>
    <w:p w14:paraId="3541ADF2">
      <w:pPr>
        <w:keepNext w:val="0"/>
        <w:keepLines w:val="0"/>
        <w:pageBreakBefore w:val="0"/>
        <w:kinsoku/>
        <w:wordWrap/>
        <w:overflowPunct/>
        <w:topLinePunct w:val="0"/>
        <w:bidi w:val="0"/>
        <w:snapToGrid w:val="0"/>
        <w:spacing w:line="440" w:lineRule="exact"/>
        <w:ind w:firstLine="482" w:firstLineChars="200"/>
        <w:textAlignment w:val="auto"/>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2.3报价文件：</w:t>
      </w:r>
    </w:p>
    <w:p w14:paraId="61973034">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w:t>
      </w:r>
      <w:r>
        <w:rPr>
          <w:rFonts w:hint="eastAsia" w:ascii="仿宋" w:hAnsi="仿宋" w:eastAsia="仿宋" w:cs="仿宋"/>
          <w:color w:val="auto"/>
          <w:sz w:val="24"/>
          <w:highlight w:val="none"/>
        </w:rPr>
        <w:t>开标一览表</w:t>
      </w:r>
      <w:r>
        <w:rPr>
          <w:rFonts w:hint="eastAsia" w:ascii="仿宋" w:hAnsi="仿宋" w:eastAsia="仿宋" w:cs="仿宋"/>
          <w:color w:val="auto"/>
          <w:sz w:val="24"/>
          <w:highlight w:val="none"/>
          <w:lang w:eastAsia="zh-CN"/>
        </w:rPr>
        <w:t>；</w:t>
      </w:r>
    </w:p>
    <w:p w14:paraId="7969175D">
      <w:pPr>
        <w:keepNext w:val="0"/>
        <w:keepLines w:val="0"/>
        <w:pageBreakBefore w:val="0"/>
        <w:kinsoku/>
        <w:wordWrap/>
        <w:overflowPunct/>
        <w:topLinePunct w:val="0"/>
        <w:bidi w:val="0"/>
        <w:snapToGrid w:val="0"/>
        <w:spacing w:line="440" w:lineRule="exact"/>
        <w:ind w:firstLine="720" w:firstLineChars="3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p>
    <w:p w14:paraId="5ACC9BFB">
      <w:pPr>
        <w:keepNext w:val="0"/>
        <w:keepLines w:val="0"/>
        <w:pageBreakBefore w:val="0"/>
        <w:kinsoku/>
        <w:wordWrap/>
        <w:overflowPunct/>
        <w:topLinePunct w:val="0"/>
        <w:bidi w:val="0"/>
        <w:snapToGrid w:val="0"/>
        <w:spacing w:line="440" w:lineRule="exact"/>
        <w:textAlignment w:val="auto"/>
        <w:rPr>
          <w:rFonts w:ascii="仿宋" w:hAnsi="仿宋" w:eastAsia="仿宋" w:cs="仿宋"/>
          <w:b/>
          <w:bCs/>
          <w:color w:val="auto"/>
          <w:sz w:val="32"/>
          <w:highlight w:val="none"/>
        </w:rPr>
      </w:pPr>
      <w:r>
        <w:rPr>
          <w:rFonts w:ascii="仿宋" w:hAnsi="仿宋" w:eastAsia="仿宋" w:cs="仿宋"/>
          <w:b/>
          <w:bCs/>
          <w:color w:val="auto"/>
          <w:sz w:val="24"/>
          <w:szCs w:val="20"/>
          <w:highlight w:val="none"/>
        </w:rPr>
        <w:t>3.投标报价</w:t>
      </w:r>
    </w:p>
    <w:p w14:paraId="7E674234">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4D78BE52">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3.2投标报价是履行合同的最终价格，即完成本项目服务内容和要求所产生的所有费用，包括货款、包装、装卸、验收、技术培训、售后服务、税金、代理服务费等一切与本项目相关的费用。</w:t>
      </w:r>
    </w:p>
    <w:p w14:paraId="0989139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264A3028">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4</w:t>
      </w:r>
      <w:r>
        <w:rPr>
          <w:rFonts w:hint="default" w:ascii="仿宋" w:hAnsi="仿宋" w:eastAsia="仿宋" w:cs="仿宋"/>
          <w:color w:val="auto"/>
          <w:sz w:val="24"/>
          <w:highlight w:val="none"/>
          <w:lang w:val="en-US" w:eastAsia="zh-CN"/>
        </w:rPr>
        <w:t>招标文件未列明，而供应商认为必需的费用也需列入报价。</w:t>
      </w:r>
    </w:p>
    <w:p w14:paraId="02D37627">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val="en-US" w:eastAsia="zh-CN"/>
        </w:rPr>
        <w:t>5</w:t>
      </w:r>
      <w:r>
        <w:rPr>
          <w:rFonts w:hint="default" w:ascii="仿宋" w:hAnsi="仿宋" w:eastAsia="仿宋" w:cs="仿宋"/>
          <w:b/>
          <w:bCs/>
          <w:color w:val="auto"/>
          <w:sz w:val="24"/>
          <w:highlight w:val="none"/>
          <w:lang w:val="en-US" w:eastAsia="zh-CN"/>
        </w:rPr>
        <w:t>投标报价只允许有一个报价，有选择的报价将不予接受（除指定外）</w:t>
      </w:r>
      <w:r>
        <w:rPr>
          <w:rFonts w:hint="default" w:ascii="仿宋" w:hAnsi="仿宋" w:eastAsia="仿宋" w:cs="仿宋"/>
          <w:b/>
          <w:bCs/>
          <w:color w:val="auto"/>
          <w:sz w:val="24"/>
          <w:highlight w:val="none"/>
          <w:lang w:val="en-US"/>
        </w:rPr>
        <w:t>。</w:t>
      </w:r>
    </w:p>
    <w:p w14:paraId="20ADAB21">
      <w:pPr>
        <w:keepNext w:val="0"/>
        <w:keepLines w:val="0"/>
        <w:pageBreakBefore w:val="0"/>
        <w:widowControl w:val="0"/>
        <w:kinsoku/>
        <w:wordWrap/>
        <w:overflowPunct/>
        <w:topLinePunct w:val="0"/>
        <w:autoSpaceDE/>
        <w:autoSpaceDN/>
        <w:bidi w:val="0"/>
        <w:adjustRightInd w:val="0"/>
        <w:snapToGrid w:val="0"/>
        <w:spacing w:line="440" w:lineRule="exact"/>
        <w:ind w:firstLine="723" w:firstLineChars="300"/>
        <w:textAlignment w:val="auto"/>
        <w:rPr>
          <w:rFonts w:ascii="仿宋" w:hAnsi="仿宋" w:eastAsia="仿宋" w:cs="仿宋"/>
          <w:b/>
          <w:color w:val="auto"/>
          <w:sz w:val="32"/>
          <w:highlight w:val="none"/>
        </w:rPr>
      </w:pPr>
      <w:r>
        <w:rPr>
          <w:rFonts w:hint="eastAsia" w:ascii="仿宋" w:hAnsi="仿宋" w:eastAsia="仿宋" w:cs="仿宋"/>
          <w:b/>
          <w:bCs/>
          <w:color w:val="auto"/>
          <w:sz w:val="24"/>
          <w:highlight w:val="none"/>
          <w:lang w:val="en-US" w:eastAsia="zh-CN"/>
        </w:rPr>
        <w:t>3.6《资格文件》和《商务技术文件》中不得出现本项目投标报价，否则投标无效。</w:t>
      </w:r>
    </w:p>
    <w:p w14:paraId="085CA4E8">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ascii="仿宋" w:hAnsi="仿宋" w:eastAsia="仿宋" w:cs="仿宋"/>
          <w:b/>
          <w:color w:val="auto"/>
          <w:sz w:val="32"/>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7</w:t>
      </w:r>
      <w:r>
        <w:rPr>
          <w:rFonts w:ascii="仿宋" w:hAnsi="仿宋" w:eastAsia="仿宋" w:cs="仿宋"/>
          <w:color w:val="auto"/>
          <w:sz w:val="24"/>
          <w:highlight w:val="none"/>
        </w:rPr>
        <w:t>投标人提供虚假材料投标的，投标无效。</w:t>
      </w:r>
    </w:p>
    <w:p w14:paraId="1D7F1EAF">
      <w:pPr>
        <w:pStyle w:val="131"/>
        <w:keepNext w:val="0"/>
        <w:keepLines w:val="0"/>
        <w:pageBreakBefore w:val="0"/>
        <w:kinsoku/>
        <w:wordWrap/>
        <w:overflowPunct/>
        <w:topLinePunct w:val="0"/>
        <w:bidi w:val="0"/>
        <w:snapToGrid w:val="0"/>
        <w:spacing w:before="0" w:line="440" w:lineRule="exact"/>
        <w:ind w:firstLine="0" w:firstLineChars="0"/>
        <w:textAlignment w:val="auto"/>
        <w:outlineLvl w:val="0"/>
        <w:rPr>
          <w:rFonts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0A72238F">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w:t>
      </w:r>
      <w:r>
        <w:rPr>
          <w:rFonts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6DB665">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.2投标人进行电子投标应安装客户端软件—“</w:t>
      </w:r>
      <w:r>
        <w:rPr>
          <w:rFonts w:hint="eastAsia" w:ascii="仿宋" w:hAnsi="仿宋" w:eastAsia="仿宋" w:cs="仿宋"/>
          <w:color w:val="auto"/>
          <w:sz w:val="24"/>
          <w:highlight w:val="none"/>
          <w:lang w:val="zh-CN"/>
        </w:rPr>
        <w:t>乐采云电子交易客户端”，并按照招标文件和电子交易平台的要求编制并加密投标文件。投标人未按规定加密的投标文件，电子交易平台将拒收并提示。</w:t>
      </w:r>
    </w:p>
    <w:p w14:paraId="2EA4F43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.3使用“</w:t>
      </w:r>
      <w:r>
        <w:rPr>
          <w:rFonts w:hint="eastAsia" w:ascii="仿宋" w:hAnsi="仿宋" w:eastAsia="仿宋" w:cs="仿宋"/>
          <w:color w:val="auto"/>
          <w:sz w:val="24"/>
          <w:highlight w:val="none"/>
          <w:lang w:val="zh-CN"/>
        </w:rPr>
        <w:t>乐采云电子交易客户端”需要提前申领</w:t>
      </w:r>
      <w:r>
        <w:rPr>
          <w:rFonts w:ascii="仿宋" w:hAnsi="仿宋" w:eastAsia="仿宋" w:cs="仿宋"/>
          <w:color w:val="auto"/>
          <w:sz w:val="24"/>
          <w:highlight w:val="none"/>
          <w:lang w:val="zh-CN"/>
        </w:rPr>
        <w:t>CA数字证书，申领流程请自行前往“浙江政府采购网-下载专区-电子交易客户端-CA驱动和申领流程”进行查阅。</w:t>
      </w:r>
    </w:p>
    <w:p w14:paraId="5B56E54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3AE43ECC">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46B9431A">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31192129">
      <w:pPr>
        <w:pStyle w:val="131"/>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ascii="仿宋" w:hAnsi="仿宋" w:eastAsia="仿宋" w:cs="仿宋"/>
          <w:b/>
          <w:color w:val="auto"/>
          <w:szCs w:val="24"/>
          <w:highlight w:val="none"/>
        </w:rPr>
        <w:t>5.投标文件的提交、补充、修改、撤回</w:t>
      </w:r>
    </w:p>
    <w:p w14:paraId="5CCE143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EA8EA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117B085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79E5EE2D">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5.4备份投标文件</w:t>
      </w:r>
    </w:p>
    <w:p w14:paraId="2996D042">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5.4.1投标人在电子交易平台传输递交投标文件后，还可以在投标截止时间前以EMS、顺丰邮寄等形式递交备份投标文件1份，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6869DBFF">
      <w:pPr>
        <w:pStyle w:val="33"/>
        <w:keepNext w:val="0"/>
        <w:keepLines w:val="0"/>
        <w:pageBreakBefore w:val="0"/>
        <w:kinsoku/>
        <w:wordWrap/>
        <w:overflowPunct/>
        <w:topLinePunct w:val="0"/>
        <w:bidi w:val="0"/>
        <w:spacing w:line="440" w:lineRule="exact"/>
        <w:ind w:firstLine="720" w:firstLineChars="3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2备份投标文件须在“</w:t>
      </w:r>
      <w:r>
        <w:rPr>
          <w:rFonts w:hint="eastAsia" w:ascii="仿宋" w:hAnsi="仿宋" w:eastAsia="仿宋" w:cs="仿宋"/>
          <w:color w:val="auto"/>
          <w:sz w:val="24"/>
          <w:szCs w:val="24"/>
          <w:highlight w:val="none"/>
          <w:lang w:val="en-US" w:eastAsia="zh-CN"/>
        </w:rPr>
        <w:t>乐采云</w:t>
      </w:r>
      <w:r>
        <w:rPr>
          <w:rFonts w:hint="eastAsia" w:ascii="仿宋" w:hAnsi="仿宋" w:eastAsia="仿宋" w:cs="仿宋"/>
          <w:color w:val="auto"/>
          <w:sz w:val="24"/>
          <w:szCs w:val="24"/>
          <w:highlight w:val="none"/>
        </w:rPr>
        <w:t>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754BFF9">
      <w:pPr>
        <w:pStyle w:val="33"/>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27AB130F">
      <w:pPr>
        <w:pStyle w:val="33"/>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5395057">
      <w:pPr>
        <w:pStyle w:val="33"/>
        <w:keepNext w:val="0"/>
        <w:keepLines w:val="0"/>
        <w:pageBreakBefore w:val="0"/>
        <w:kinsoku/>
        <w:wordWrap/>
        <w:overflowPunct/>
        <w:topLinePunct w:val="0"/>
        <w:bidi w:val="0"/>
        <w:spacing w:line="440" w:lineRule="exact"/>
        <w:ind w:firstLine="479" w:firstLineChars="199"/>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5.4.</w:t>
      </w:r>
      <w:r>
        <w:rPr>
          <w:rFonts w:hint="eastAsia" w:ascii="仿宋" w:hAnsi="仿宋" w:eastAsia="仿宋" w:cs="仿宋"/>
          <w:b/>
          <w:bCs/>
          <w:color w:val="auto"/>
          <w:sz w:val="24"/>
          <w:szCs w:val="24"/>
          <w:highlight w:val="none"/>
        </w:rPr>
        <w:t>5投标人仅提交备份投标文件，没有在电子交易平台传输递交投标文件的，投标无效。</w:t>
      </w:r>
    </w:p>
    <w:p w14:paraId="4303723D">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highlight w:val="none"/>
        </w:rPr>
      </w:pPr>
      <w:r>
        <w:rPr>
          <w:rFonts w:ascii="仿宋" w:hAnsi="仿宋" w:eastAsia="仿宋" w:cs="仿宋"/>
          <w:b/>
          <w:bCs/>
          <w:color w:val="auto"/>
          <w:sz w:val="24"/>
          <w:highlight w:val="none"/>
        </w:rPr>
        <w:t>6.投标有效期</w:t>
      </w:r>
    </w:p>
    <w:p w14:paraId="2F655D3B">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32"/>
          <w:highlight w:val="none"/>
        </w:rPr>
      </w:pPr>
      <w:r>
        <w:rPr>
          <w:rFonts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2C1AF76D">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32"/>
          <w:highlight w:val="none"/>
        </w:rPr>
      </w:pPr>
      <w:r>
        <w:rPr>
          <w:rFonts w:ascii="仿宋" w:hAnsi="仿宋" w:eastAsia="仿宋" w:cs="仿宋"/>
          <w:color w:val="auto"/>
          <w:sz w:val="24"/>
          <w:highlight w:val="none"/>
        </w:rPr>
        <w:t>6.2投标文件合格投递后，自投标截止日期起，在投标有效期内有效。</w:t>
      </w:r>
    </w:p>
    <w:p w14:paraId="120BB6FE">
      <w:pPr>
        <w:pStyle w:val="131"/>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szCs w:val="24"/>
          <w:highlight w:val="none"/>
        </w:rPr>
      </w:pPr>
      <w:r>
        <w:rPr>
          <w:rFonts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44207CFB">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0" w:firstLineChars="0"/>
        <w:textAlignment w:val="auto"/>
        <w:rPr>
          <w:rFonts w:hint="eastAsia" w:ascii="仿宋" w:hAnsi="仿宋" w:eastAsia="仿宋" w:cs="仿宋"/>
          <w:b w:val="0"/>
          <w:bCs/>
          <w:color w:val="auto"/>
          <w:sz w:val="24"/>
          <w:szCs w:val="16"/>
          <w:highlight w:val="none"/>
        </w:rPr>
      </w:pPr>
      <w:r>
        <w:rPr>
          <w:rFonts w:hint="eastAsia" w:ascii="仿宋" w:hAnsi="仿宋" w:eastAsia="仿宋" w:cs="仿宋"/>
          <w:b/>
          <w:bCs w:val="0"/>
          <w:color w:val="auto"/>
          <w:sz w:val="24"/>
          <w:szCs w:val="16"/>
          <w:highlight w:val="none"/>
          <w:lang w:val="en-US" w:eastAsia="zh-CN"/>
        </w:rPr>
        <w:t>7.</w:t>
      </w:r>
      <w:r>
        <w:rPr>
          <w:rFonts w:hint="eastAsia" w:ascii="仿宋" w:hAnsi="仿宋" w:eastAsia="仿宋" w:cs="仿宋"/>
          <w:b/>
          <w:bCs w:val="0"/>
          <w:color w:val="auto"/>
          <w:sz w:val="24"/>
          <w:szCs w:val="16"/>
          <w:highlight w:val="none"/>
        </w:rPr>
        <w:t>关联投标人投标限制</w:t>
      </w:r>
    </w:p>
    <w:p w14:paraId="2FA2E35C">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本采购文件所称“关联企业”，是指存在关联关系的企业；“关联关系”的界定适用《中华人民共和国公司法》217条之规定。</w:t>
      </w:r>
    </w:p>
    <w:p w14:paraId="66670595">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7.1</w:t>
      </w:r>
      <w:r>
        <w:rPr>
          <w:rFonts w:hint="eastAsia" w:ascii="仿宋" w:hAnsi="仿宋" w:eastAsia="仿宋" w:cs="仿宋"/>
          <w:b w:val="0"/>
          <w:bCs/>
          <w:color w:val="auto"/>
          <w:sz w:val="24"/>
          <w:szCs w:val="16"/>
          <w:highlight w:val="none"/>
        </w:rPr>
        <w:t>单位负责人为同一人或者存在直接控股、管理关系的不同投标人参加同一合同项下的采购活动的，相关投标人均作资格无效处理。</w:t>
      </w:r>
    </w:p>
    <w:p w14:paraId="07EF51EE">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7.2</w:t>
      </w:r>
      <w:r>
        <w:rPr>
          <w:rFonts w:hint="eastAsia" w:ascii="仿宋" w:hAnsi="仿宋" w:eastAsia="仿宋" w:cs="仿宋"/>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39E1ECF8">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（1）法定代表人或负责人或实际控制人是夫妻关系；</w:t>
      </w:r>
    </w:p>
    <w:p w14:paraId="4FC6AFFD">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（2）法定代表人或负责人或实际控制人是直系血亲关系；</w:t>
      </w:r>
    </w:p>
    <w:p w14:paraId="6B92DD11">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（3）法定代表人或负责人或实际控制人存在三代以内旁系血亲关系；</w:t>
      </w:r>
    </w:p>
    <w:p w14:paraId="1DB900FC">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（4）法定代表人或负责人或实际控制人存在近姻亲关系；</w:t>
      </w:r>
    </w:p>
    <w:p w14:paraId="0B634FE9">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（5）法定代表人或负责人或实际控制人存在股份控制或实际控制关系；</w:t>
      </w:r>
    </w:p>
    <w:p w14:paraId="6D5BC195">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（6）存在共同直接或间接投资设立子公司、联营企业和合营企业情况；</w:t>
      </w:r>
    </w:p>
    <w:p w14:paraId="00C2A000">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13B070DE">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7.3</w:t>
      </w:r>
      <w:r>
        <w:rPr>
          <w:rFonts w:hint="eastAsia" w:ascii="仿宋" w:hAnsi="仿宋" w:eastAsia="仿宋" w:cs="仿宋"/>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78D052D4">
      <w:pPr>
        <w:pStyle w:val="131"/>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7.4</w:t>
      </w:r>
      <w:r>
        <w:rPr>
          <w:rFonts w:hint="eastAsia" w:ascii="仿宋" w:hAnsi="仿宋" w:eastAsia="仿宋" w:cs="仿宋"/>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E384EA9">
      <w:pPr>
        <w:pStyle w:val="131"/>
        <w:keepNext w:val="0"/>
        <w:keepLines w:val="0"/>
        <w:pageBreakBefore w:val="0"/>
        <w:kinsoku/>
        <w:wordWrap/>
        <w:overflowPunct/>
        <w:topLinePunct w:val="0"/>
        <w:bidi w:val="0"/>
        <w:spacing w:before="0" w:line="440" w:lineRule="exact"/>
        <w:ind w:firstLine="643"/>
        <w:textAlignment w:val="auto"/>
        <w:rPr>
          <w:rFonts w:ascii="仿宋" w:hAnsi="仿宋" w:eastAsia="仿宋" w:cs="仿宋"/>
          <w:b/>
          <w:color w:val="auto"/>
          <w:sz w:val="32"/>
          <w:highlight w:val="none"/>
        </w:rPr>
      </w:pPr>
      <w:r>
        <w:rPr>
          <w:rFonts w:hint="eastAsia" w:ascii="仿宋" w:hAnsi="仿宋" w:eastAsia="仿宋" w:cs="仿宋"/>
          <w:b w:val="0"/>
          <w:bCs/>
          <w:color w:val="auto"/>
          <w:sz w:val="24"/>
          <w:szCs w:val="16"/>
          <w:highlight w:val="none"/>
          <w:lang w:val="en-US" w:eastAsia="zh-CN"/>
        </w:rPr>
        <w:t>7.5</w:t>
      </w:r>
      <w:r>
        <w:rPr>
          <w:rFonts w:hint="eastAsia" w:ascii="仿宋" w:hAnsi="仿宋" w:eastAsia="仿宋" w:cs="仿宋"/>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6B52E88D">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b/>
          <w:color w:val="auto"/>
          <w:sz w:val="32"/>
          <w:szCs w:val="32"/>
          <w:highlight w:val="none"/>
        </w:rPr>
      </w:pPr>
      <w:bookmarkStart w:id="25" w:name="_Toc91899903"/>
    </w:p>
    <w:p w14:paraId="0D800DD9">
      <w:pPr>
        <w:keepNext w:val="0"/>
        <w:keepLines w:val="0"/>
        <w:pageBreakBefore w:val="0"/>
        <w:kinsoku/>
        <w:wordWrap/>
        <w:overflowPunct/>
        <w:topLinePunct w:val="0"/>
        <w:bidi w:val="0"/>
        <w:spacing w:line="440" w:lineRule="exact"/>
        <w:jc w:val="center"/>
        <w:textAlignment w:val="auto"/>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4511E0E6">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电子招投标开标及评审程序</w:t>
      </w:r>
    </w:p>
    <w:p w14:paraId="1CBF572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1.1投标截止时间后，主持人宣布开标会开始。</w:t>
      </w:r>
    </w:p>
    <w:p w14:paraId="0F64CB3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1.2投标人登录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-开标评标”功能对电子投标文件进行在线解密。在线解密电子投标文件时间为开标时间起30分钟内。</w:t>
      </w:r>
    </w:p>
    <w:p w14:paraId="2728C480">
      <w:pPr>
        <w:keepNext w:val="0"/>
        <w:keepLines w:val="0"/>
        <w:pageBreakBefore w:val="0"/>
        <w:kinsoku/>
        <w:wordWrap/>
        <w:overflowPunct/>
        <w:topLinePunct w:val="0"/>
        <w:bidi w:val="0"/>
        <w:snapToGrid w:val="0"/>
        <w:spacing w:line="440" w:lineRule="exact"/>
        <w:ind w:firstLine="480" w:firstLineChars="200"/>
        <w:jc w:val="left"/>
        <w:textAlignment w:val="auto"/>
        <w:rPr>
          <w:rFonts w:hint="default" w:ascii="仿宋" w:hAnsi="仿宋" w:eastAsia="仿宋" w:cs="仿宋"/>
          <w:color w:val="auto"/>
          <w:sz w:val="24"/>
          <w:highlight w:val="none"/>
          <w:lang w:val="en-US" w:eastAsia="zh-CN"/>
        </w:rPr>
      </w:pPr>
      <w:r>
        <w:rPr>
          <w:rFonts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采购人或采购代理机构对招标文件资格进行审查。</w:t>
      </w:r>
    </w:p>
    <w:p w14:paraId="59C6577A">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ascii="仿宋" w:hAnsi="仿宋" w:eastAsia="仿宋" w:cs="仿宋"/>
          <w:color w:val="auto"/>
          <w:sz w:val="24"/>
          <w:highlight w:val="none"/>
        </w:rPr>
        <w:t>评标委员会对</w:t>
      </w:r>
      <w:r>
        <w:rPr>
          <w:rFonts w:hint="eastAsia" w:ascii="仿宋" w:hAnsi="仿宋" w:eastAsia="仿宋" w:cs="仿宋"/>
          <w:color w:val="auto"/>
          <w:sz w:val="24"/>
          <w:highlight w:val="none"/>
          <w:lang w:val="en-US" w:eastAsia="zh-CN"/>
        </w:rPr>
        <w:t>招标文件符合性进行审查，对符合性通过的商务技术文件进行评审</w:t>
      </w:r>
      <w:r>
        <w:rPr>
          <w:rFonts w:ascii="仿宋" w:hAnsi="仿宋" w:eastAsia="仿宋" w:cs="仿宋"/>
          <w:color w:val="auto"/>
          <w:sz w:val="24"/>
          <w:highlight w:val="none"/>
        </w:rPr>
        <w:t>。</w:t>
      </w:r>
    </w:p>
    <w:p w14:paraId="2012FB6C">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主持人宣布商务技术得分及无效（废）投标情形（如有），公布经商务技术（资信）评审符合招标文件要求的投标人名单及其商务技术得分。</w:t>
      </w:r>
    </w:p>
    <w:p w14:paraId="5EC61B0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启封报价文件资料。</w:t>
      </w:r>
    </w:p>
    <w:p w14:paraId="7C3D5E5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ascii="仿宋" w:hAnsi="仿宋" w:eastAsia="仿宋" w:cs="仿宋"/>
          <w:color w:val="auto"/>
          <w:sz w:val="24"/>
          <w:highlight w:val="none"/>
        </w:rPr>
        <w:t>评标委员会对投标文件报价文件资料进行评审，核准投标报价及计算价格分，汇总商务技术分、价格分，根据得分排序确定中标候选人。</w:t>
      </w:r>
    </w:p>
    <w:p w14:paraId="529A221C">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ascii="仿宋" w:hAnsi="仿宋" w:eastAsia="仿宋" w:cs="仿宋"/>
          <w:color w:val="auto"/>
          <w:sz w:val="24"/>
          <w:highlight w:val="none"/>
        </w:rPr>
        <w:t>主持人公布评标结果。</w:t>
      </w:r>
    </w:p>
    <w:p w14:paraId="7B0C897D">
      <w:pPr>
        <w:keepNext w:val="0"/>
        <w:keepLines w:val="0"/>
        <w:pageBreakBefore w:val="0"/>
        <w:kinsoku/>
        <w:wordWrap/>
        <w:overflowPunct/>
        <w:topLinePunct w:val="0"/>
        <w:bidi w:val="0"/>
        <w:snapToGrid w:val="0"/>
        <w:spacing w:line="440" w:lineRule="exact"/>
        <w:ind w:firstLine="482" w:firstLineChars="200"/>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00F7AA11">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1BF90C0C">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2.1电子交易平台发生故障而无法登录访问的； </w:t>
      </w:r>
    </w:p>
    <w:p w14:paraId="51C41240">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2.2电子交易平台应用或数据库出现错误，不能进行正常操作的；</w:t>
      </w:r>
    </w:p>
    <w:p w14:paraId="126303C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2.3电子交易平台发现严重安全漏洞，有潜在泄密危险的；</w:t>
      </w:r>
    </w:p>
    <w:p w14:paraId="670DA3C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2.4病毒发作导致不能进行正常操作的； </w:t>
      </w:r>
    </w:p>
    <w:p w14:paraId="7A363506">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2.5其他无法保证电子交易的公平、公正和安全的情况。</w:t>
      </w:r>
    </w:p>
    <w:p w14:paraId="2738AF5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2A7DBC4">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评标</w:t>
      </w:r>
    </w:p>
    <w:p w14:paraId="0EAF87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3.1评标委员会由招标采购单位依法组建，负责评标活动。评标委员会遵循公开、公平、公正、科学合理、竞争择优的原则。</w:t>
      </w:r>
    </w:p>
    <w:p w14:paraId="541A53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3.2</w:t>
      </w:r>
      <w:r>
        <w:rPr>
          <w:rFonts w:hint="eastAsia" w:ascii="仿宋" w:hAnsi="仿宋" w:eastAsia="仿宋" w:cs="仿宋"/>
          <w:color w:val="auto"/>
          <w:sz w:val="24"/>
          <w:highlight w:val="none"/>
        </w:rPr>
        <w:t>评标工作由评标委员会负责。评标委员会按有关规定产生。评标委员会由采购人代表和评审专家组成，成员人员为5人（含）以上单数。</w:t>
      </w:r>
    </w:p>
    <w:p w14:paraId="5662B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ascii="仿宋" w:hAnsi="仿宋" w:eastAsia="仿宋" w:cs="仿宋"/>
          <w:color w:val="auto"/>
          <w:sz w:val="24"/>
          <w:highlight w:val="none"/>
        </w:rPr>
        <w:t>评标委员会可以要求投标人对其投标文件中含义不明确的内容作必要的澄清或者说明，但澄清或者说明不得超过投标文件的范围或者改变投标文件的实质性内容。</w:t>
      </w:r>
    </w:p>
    <w:p w14:paraId="48B859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1DCCFD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64B6351F">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ascii="仿宋" w:hAnsi="仿宋" w:eastAsia="仿宋" w:cs="仿宋"/>
          <w:color w:val="auto"/>
          <w:sz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w:t>
      </w:r>
      <w:r>
        <w:rPr>
          <w:rFonts w:hint="eastAsia" w:ascii="仿宋" w:hAnsi="仿宋" w:eastAsia="仿宋" w:cs="仿宋"/>
          <w:color w:val="auto"/>
          <w:sz w:val="24"/>
          <w:highlight w:val="none"/>
        </w:rPr>
        <w:t>审、修改记录应保留原件，随项目其他资料一并存档。</w:t>
      </w:r>
    </w:p>
    <w:p w14:paraId="40FF282E">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评标委员会对投标文件的判定，只依据投标文件和招标文件内容本身，不依据任何外来证明。</w:t>
      </w:r>
    </w:p>
    <w:p w14:paraId="188446B1">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评标委员会不向落标方解释落标的原因。</w:t>
      </w:r>
    </w:p>
    <w:p w14:paraId="76B65F16">
      <w:pPr>
        <w:keepNext w:val="0"/>
        <w:keepLines w:val="0"/>
        <w:pageBreakBefore w:val="0"/>
        <w:kinsoku/>
        <w:wordWrap/>
        <w:overflowPunct/>
        <w:topLinePunct w:val="0"/>
        <w:bidi w:val="0"/>
        <w:snapToGrid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投标文件的初审鉴定</w:t>
      </w:r>
    </w:p>
    <w:p w14:paraId="6092DB4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4.1资格性审查</w:t>
      </w:r>
    </w:p>
    <w:p w14:paraId="267CCAA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4.1.1依据法律、法规和招标文件规定，采购人或采购人代表对投标人进行资格审查，以确定投标人是否具备投标资格。</w:t>
      </w:r>
    </w:p>
    <w:p w14:paraId="06D972CC">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4.2符合性审查</w:t>
      </w:r>
    </w:p>
    <w:p w14:paraId="45E7125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63FFE2B">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29009306">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kern w:val="0"/>
          <w:sz w:val="24"/>
          <w:highlight w:val="none"/>
        </w:rPr>
        <w:t>5</w:t>
      </w:r>
      <w:r>
        <w:rPr>
          <w:rFonts w:hint="eastAsia" w:ascii="仿宋" w:hAnsi="仿宋" w:eastAsia="仿宋" w:cs="仿宋"/>
          <w:b/>
          <w:color w:val="auto"/>
          <w:kern w:val="0"/>
          <w:sz w:val="24"/>
          <w:highlight w:val="none"/>
          <w:lang w:val="en-US" w:eastAsia="zh-CN"/>
        </w:rPr>
        <w:t>.</w:t>
      </w:r>
      <w:r>
        <w:rPr>
          <w:rFonts w:hint="eastAsia" w:ascii="仿宋" w:hAnsi="仿宋" w:eastAsia="仿宋" w:cs="仿宋"/>
          <w:b/>
          <w:color w:val="auto"/>
          <w:sz w:val="24"/>
          <w:highlight w:val="none"/>
        </w:rPr>
        <w:t>投标文件报价出现前后不一致的，按照下列规定修正：</w:t>
      </w:r>
    </w:p>
    <w:p w14:paraId="3F7C56E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5.1投标文件中开标一览表（报价表）内容与投标文件中相应内容不一致的，以开标一览表（报价表）为准；</w:t>
      </w:r>
    </w:p>
    <w:p w14:paraId="399FEFA3">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5.2大写金额和小写金额不一致的，以大写金额为准；</w:t>
      </w:r>
    </w:p>
    <w:p w14:paraId="154CB8F0">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5.3单价金额小数点或者百分比有明显错位的，以开标一览表的总价为准，并修改单价；</w:t>
      </w:r>
    </w:p>
    <w:p w14:paraId="009D03F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5.4总价金额与按单价汇总金额不一致的，以单价金额计算结果为准。</w:t>
      </w:r>
    </w:p>
    <w:p w14:paraId="4637C44A">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w:t>
      </w:r>
      <w:r>
        <w:rPr>
          <w:rFonts w:hint="eastAsia" w:ascii="仿宋" w:hAnsi="仿宋" w:eastAsia="仿宋" w:cs="仿宋"/>
          <w:color w:val="auto"/>
          <w:sz w:val="24"/>
          <w:highlight w:val="none"/>
          <w:lang w:val="en-US" w:eastAsia="zh-CN"/>
        </w:rPr>
        <w:t>参照相关</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仿宋" w:hAnsi="仿宋" w:eastAsia="仿宋" w:cs="仿宋"/>
          <w:color w:val="auto"/>
          <w:sz w:val="24"/>
          <w:highlight w:val="none"/>
        </w:rPr>
        <w:t>经投标人确认后产生约束力，投标人不确认的，其投标无效。</w:t>
      </w:r>
    </w:p>
    <w:p w14:paraId="751A9817">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6.投标文件的评审、比较和否决</w:t>
      </w:r>
    </w:p>
    <w:p w14:paraId="0E596CA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6.1评标委员会将对在实质上响应招标文件要求的投标文件进行评估和比较。</w:t>
      </w:r>
    </w:p>
    <w:p w14:paraId="30F6CBC9">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6.2在评审过程中，评标委员会可以书面形式要求投标人就投标文件含义不明确的内容可对其通过</w:t>
      </w:r>
      <w:r>
        <w:rPr>
          <w:rFonts w:hint="eastAsia" w:ascii="仿宋" w:hAnsi="仿宋" w:eastAsia="仿宋" w:cs="仿宋"/>
          <w:color w:val="auto"/>
          <w:sz w:val="24"/>
          <w:highlight w:val="none"/>
        </w:rPr>
        <w:t>乐采云平台进行书面说明并提供相关材料，但不得超过投标文件的范围或者改变投标文件的实质性内容。</w:t>
      </w:r>
    </w:p>
    <w:p w14:paraId="27691E7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6.3在评标过程中，如发现与招标文件要求相偏离的，评标委员会可对其偏离情形进行必要的核实。</w:t>
      </w:r>
    </w:p>
    <w:p w14:paraId="0311C805">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6.4在评审过程中，如属于实质性偏离或符合无效响应条件的，应当询问相关投标人，并可对其通过</w:t>
      </w:r>
      <w:r>
        <w:rPr>
          <w:rFonts w:hint="eastAsia" w:ascii="仿宋" w:hAnsi="仿宋" w:eastAsia="仿宋" w:cs="仿宋"/>
          <w:color w:val="auto"/>
          <w:sz w:val="24"/>
          <w:highlight w:val="none"/>
        </w:rPr>
        <w:t>乐采云平台进行线上确认，但不允许对偏离条款进行补充、修正或撤回。</w:t>
      </w:r>
    </w:p>
    <w:p w14:paraId="2B35914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6.5比较与评价。评标委员会应当按照评标标准，对符合性审查合格的投标文件进行商务和技术评估，综合比较与评价。</w:t>
      </w:r>
    </w:p>
    <w:p w14:paraId="51F2B402">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4E72EE90">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 xml:space="preserve">6.7 </w:t>
      </w:r>
      <w:r>
        <w:rPr>
          <w:rFonts w:hint="eastAsia" w:ascii="仿宋" w:hAnsi="仿宋" w:eastAsia="仿宋" w:cs="仿宋"/>
          <w:color w:val="auto"/>
          <w:sz w:val="24"/>
          <w:highlight w:val="none"/>
        </w:rPr>
        <w:t>报价审核。对符合采购需求且通过商务技术（资信）评审的投标人的报价的合理性、准确性等进行审查核实。</w:t>
      </w:r>
    </w:p>
    <w:p w14:paraId="27ACDBB6">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color w:val="auto"/>
          <w:sz w:val="24"/>
          <w:highlight w:val="none"/>
        </w:rPr>
        <w:t>乐采云平台提供线上说明，必要时提交相关证明材料。</w:t>
      </w:r>
    </w:p>
    <w:p w14:paraId="06294E07">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6.7.</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如需投标价格修正，按</w:t>
      </w:r>
      <w:r>
        <w:rPr>
          <w:rFonts w:hint="eastAsia" w:ascii="仿宋" w:hAnsi="仿宋" w:eastAsia="仿宋" w:cs="仿宋"/>
          <w:color w:val="auto"/>
          <w:sz w:val="24"/>
          <w:highlight w:val="none"/>
          <w:lang w:val="en-US" w:eastAsia="zh-CN"/>
        </w:rPr>
        <w:t>招标文件</w:t>
      </w:r>
      <w:r>
        <w:rPr>
          <w:rFonts w:ascii="仿宋" w:hAnsi="仿宋" w:eastAsia="仿宋" w:cs="仿宋"/>
          <w:color w:val="auto"/>
          <w:sz w:val="24"/>
          <w:highlight w:val="none"/>
        </w:rPr>
        <w:t>规定对投标价格进行修正。</w:t>
      </w:r>
    </w:p>
    <w:p w14:paraId="328D7840">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65DAF938">
      <w:pPr>
        <w:pStyle w:val="15"/>
        <w:keepNext w:val="0"/>
        <w:keepLines w:val="0"/>
        <w:pageBreakBefore w:val="0"/>
        <w:widowControl w:val="0"/>
        <w:tabs>
          <w:tab w:val="clear" w:pos="390"/>
          <w:tab w:val="clear" w:pos="454"/>
        </w:tabs>
        <w:kinsoku/>
        <w:wordWrap/>
        <w:overflowPunct/>
        <w:topLinePunct w:val="0"/>
        <w:bidi w:val="0"/>
        <w:spacing w:after="120" w:line="440" w:lineRule="exact"/>
        <w:ind w:left="0" w:firstLine="0"/>
        <w:textAlignment w:val="auto"/>
        <w:rPr>
          <w:rFonts w:ascii="仿宋" w:hAnsi="仿宋" w:eastAsia="仿宋" w:cs="仿宋"/>
          <w:b/>
          <w:color w:val="auto"/>
          <w:highlight w:val="none"/>
        </w:rPr>
      </w:pPr>
      <w:r>
        <w:rPr>
          <w:rFonts w:ascii="仿宋" w:hAnsi="仿宋" w:eastAsia="仿宋" w:cs="仿宋"/>
          <w:b/>
          <w:color w:val="auto"/>
          <w:highlight w:val="none"/>
        </w:rPr>
        <w:t>7.投标文件的澄清</w:t>
      </w:r>
    </w:p>
    <w:p w14:paraId="4F8E3B31">
      <w:pPr>
        <w:pStyle w:val="15"/>
        <w:keepNext w:val="0"/>
        <w:keepLines w:val="0"/>
        <w:pageBreakBefore w:val="0"/>
        <w:widowControl w:val="0"/>
        <w:tabs>
          <w:tab w:val="clear" w:pos="390"/>
          <w:tab w:val="clear" w:pos="454"/>
        </w:tabs>
        <w:kinsoku/>
        <w:wordWrap/>
        <w:overflowPunct/>
        <w:topLinePunct w:val="0"/>
        <w:bidi w:val="0"/>
        <w:spacing w:after="120" w:line="440" w:lineRule="exact"/>
        <w:ind w:left="0" w:firstLine="480" w:firstLineChars="200"/>
        <w:textAlignment w:val="auto"/>
        <w:rPr>
          <w:rFonts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1263DB00">
      <w:pPr>
        <w:pStyle w:val="3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仿宋"/>
          <w:b/>
          <w:color w:val="auto"/>
          <w:sz w:val="24"/>
          <w:szCs w:val="24"/>
          <w:highlight w:val="none"/>
        </w:rPr>
      </w:pPr>
      <w:r>
        <w:rPr>
          <w:rFonts w:ascii="仿宋" w:hAnsi="仿宋" w:eastAsia="仿宋" w:cs="仿宋"/>
          <w:b/>
          <w:color w:val="auto"/>
          <w:sz w:val="24"/>
          <w:szCs w:val="24"/>
          <w:highlight w:val="none"/>
        </w:rPr>
        <w:t>8.无效投标的情形</w:t>
      </w:r>
    </w:p>
    <w:p w14:paraId="4166F6BD">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4388B9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8.1投标人不具备招标文件中规定的资格要求的（投标人未提供有效的资格文件的，视为投标人不具备招标文件中规定的资格要求）；</w:t>
      </w:r>
    </w:p>
    <w:p w14:paraId="664FAE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8.2未按照招标文件规定要求签字或盖章的；</w:t>
      </w:r>
    </w:p>
    <w:p w14:paraId="1D20C8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8.3</w:t>
      </w:r>
      <w:r>
        <w:rPr>
          <w:rFonts w:hint="eastAsia" w:ascii="仿宋" w:hAnsi="仿宋" w:eastAsia="仿宋" w:cs="仿宋"/>
          <w:b w:val="0"/>
          <w:bCs w:val="0"/>
          <w:color w:val="auto"/>
          <w:sz w:val="24"/>
          <w:highlight w:val="none"/>
        </w:rPr>
        <w:t>单位负责人为同一人或者存在直接控股、管理关系的不同供应商参加同一合同项下的采购活动的（均无效）；</w:t>
      </w:r>
    </w:p>
    <w:p w14:paraId="65575B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 xml:space="preserve">为采购项目提供整体设计、规范编制或者项目管理、监理、检测等服务的供应商参加该采购项目的其他采购活动的； </w:t>
      </w:r>
    </w:p>
    <w:p w14:paraId="6F2549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8.5《法定代表人身份证明书》与提供的身份证复印件信息不符的；《法定代表人授权委托书》与提供的身份证复印件信息不符的；</w:t>
      </w:r>
    </w:p>
    <w:p w14:paraId="3BF03F3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8.6《法定代表人授权委托书》或《法定代表人身份证明书》填写不全、错误、</w:t>
      </w:r>
      <w:r>
        <w:rPr>
          <w:rFonts w:hint="eastAsia" w:ascii="仿宋" w:hAnsi="仿宋" w:eastAsia="仿宋" w:cs="仿宋"/>
          <w:b w:val="0"/>
          <w:bCs w:val="0"/>
          <w:color w:val="auto"/>
          <w:sz w:val="24"/>
          <w:highlight w:val="none"/>
          <w:lang w:val="en-US" w:eastAsia="zh-CN"/>
        </w:rPr>
        <w:t>或授权代表未经有效授权的</w:t>
      </w:r>
      <w:r>
        <w:rPr>
          <w:rFonts w:hint="eastAsia" w:ascii="仿宋" w:hAnsi="仿宋" w:eastAsia="仿宋" w:cs="仿宋"/>
          <w:b w:val="0"/>
          <w:bCs w:val="0"/>
          <w:color w:val="auto"/>
          <w:sz w:val="24"/>
          <w:highlight w:val="none"/>
        </w:rPr>
        <w:t>；</w:t>
      </w:r>
    </w:p>
    <w:p w14:paraId="43417E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8.7授权代表非投标单位正式职工的（以社保证明为准，如授权代表为离退休返聘人员的，需提供退休证明及单位聘用证明），法定代表人及个体工商户除外；</w:t>
      </w:r>
    </w:p>
    <w:p w14:paraId="28591C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8.8投标文件中承诺的投标有效期少于招标文件中载明的投标有效期的；</w:t>
      </w:r>
    </w:p>
    <w:p w14:paraId="63D1D8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8.9报价一经涂改，未在涂改处加盖投标单位公章或者未经法定代表人或其授权代表签字或盖章的；</w:t>
      </w:r>
    </w:p>
    <w:p w14:paraId="20C6D5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8.10未按招标文件规定的格式填写，或对招标服务或技术或产品等要求未详细应答或应答内容不全、有缺失的,经评标委员会认定为无法评审的；</w:t>
      </w:r>
    </w:p>
    <w:p w14:paraId="258A34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296AC1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8.12</w:t>
      </w:r>
      <w:r>
        <w:rPr>
          <w:rFonts w:hint="eastAsia" w:ascii="仿宋" w:hAnsi="仿宋" w:eastAsia="仿宋" w:cs="仿宋"/>
          <w:b w:val="0"/>
          <w:bCs w:val="0"/>
          <w:color w:val="auto"/>
          <w:sz w:val="24"/>
          <w:highlight w:val="none"/>
          <w:lang w:val="en-US" w:eastAsia="zh-CN"/>
        </w:rPr>
        <w:t>投标有效期、服务期、付款方式、履约保证金等商务条款不能满足招标文件要求的</w:t>
      </w:r>
      <w:r>
        <w:rPr>
          <w:rFonts w:hint="eastAsia" w:ascii="仿宋" w:hAnsi="仿宋" w:eastAsia="仿宋" w:cs="仿宋"/>
          <w:b w:val="0"/>
          <w:bCs w:val="0"/>
          <w:color w:val="auto"/>
          <w:sz w:val="24"/>
          <w:highlight w:val="none"/>
        </w:rPr>
        <w:t>；</w:t>
      </w:r>
    </w:p>
    <w:p w14:paraId="6D5AA1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8.13投标文件含有采购人不能接受的附加条件；</w:t>
      </w:r>
    </w:p>
    <w:p w14:paraId="0801DB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val="0"/>
          <w:color w:val="auto"/>
          <w:sz w:val="24"/>
          <w:highlight w:val="none"/>
          <w:lang w:eastAsia="zh-CN"/>
        </w:rPr>
        <w:t>；</w:t>
      </w:r>
    </w:p>
    <w:p w14:paraId="67DCB9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8.15报价超过招标文件中规定的预算金额或最高限价的；</w:t>
      </w:r>
    </w:p>
    <w:p w14:paraId="4ABF1B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8.16投标文件“商务技术（资信）文件资料”部分中出现《开标一览表》相关内容的；</w:t>
      </w:r>
    </w:p>
    <w:p w14:paraId="5C4C598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评标委员会</w:t>
      </w:r>
      <w:r>
        <w:rPr>
          <w:rFonts w:hint="eastAsia" w:ascii="仿宋" w:hAnsi="仿宋" w:eastAsia="仿宋" w:cs="仿宋"/>
          <w:color w:val="auto"/>
          <w:sz w:val="24"/>
          <w:szCs w:val="24"/>
          <w:highlight w:val="none"/>
        </w:rPr>
        <w:t>认定有重大偏差或</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实质性不响应</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文件要求的</w:t>
      </w:r>
      <w:r>
        <w:rPr>
          <w:rFonts w:hint="eastAsia" w:ascii="仿宋" w:hAnsi="仿宋" w:eastAsia="仿宋" w:cs="仿宋"/>
          <w:color w:val="auto"/>
          <w:sz w:val="24"/>
          <w:szCs w:val="24"/>
          <w:highlight w:val="none"/>
          <w:lang w:eastAsia="zh-CN"/>
        </w:rPr>
        <w:t>；</w:t>
      </w:r>
    </w:p>
    <w:p w14:paraId="792A61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8.18</w:t>
      </w:r>
      <w:r>
        <w:rPr>
          <w:rFonts w:hint="eastAsia" w:ascii="仿宋" w:hAnsi="仿宋" w:eastAsia="仿宋" w:cs="仿宋"/>
          <w:b w:val="0"/>
          <w:bCs w:val="0"/>
          <w:color w:val="auto"/>
          <w:sz w:val="24"/>
          <w:highlight w:val="none"/>
        </w:rPr>
        <w:t>《开标一览表》填写不完整或字迹不能辨认或有漏项的，经评标委员会认定属于重大偏差的；</w:t>
      </w:r>
    </w:p>
    <w:p w14:paraId="7B475B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en-US" w:eastAsia="zh-CN"/>
        </w:rPr>
        <w:t>19</w:t>
      </w:r>
      <w:r>
        <w:rPr>
          <w:rFonts w:hint="eastAsia" w:ascii="仿宋" w:hAnsi="仿宋" w:eastAsia="仿宋" w:cs="仿宋"/>
          <w:b w:val="0"/>
          <w:bCs w:val="0"/>
          <w:color w:val="auto"/>
          <w:sz w:val="24"/>
          <w:highlight w:val="none"/>
        </w:rPr>
        <w:t>投标人对根据修正原则修正后的报价不确认的；</w:t>
      </w:r>
    </w:p>
    <w:p w14:paraId="216898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color w:val="auto"/>
          <w:kern w:val="0"/>
          <w:sz w:val="24"/>
          <w:szCs w:val="24"/>
          <w:highlight w:val="none"/>
          <w:lang w:val="en-US" w:eastAsia="zh-CN"/>
        </w:rPr>
        <w:t>8.20</w:t>
      </w:r>
      <w:r>
        <w:rPr>
          <w:rFonts w:hint="eastAsia" w:ascii="仿宋" w:hAnsi="仿宋" w:eastAsia="仿宋" w:cs="仿宋"/>
          <w:b w:val="0"/>
          <w:bCs w:val="0"/>
          <w:color w:val="auto"/>
          <w:sz w:val="24"/>
          <w:highlight w:val="none"/>
        </w:rPr>
        <w:t>投标人</w:t>
      </w:r>
      <w:r>
        <w:rPr>
          <w:rFonts w:hint="eastAsia" w:ascii="仿宋" w:hAnsi="仿宋" w:eastAsia="仿宋" w:cs="仿宋"/>
          <w:b w:val="0"/>
          <w:bCs/>
          <w:color w:val="auto"/>
          <w:sz w:val="24"/>
          <w:szCs w:val="24"/>
          <w:highlight w:val="none"/>
        </w:rPr>
        <w:t>递交两份或两份以上内容不同的</w:t>
      </w:r>
      <w:r>
        <w:rPr>
          <w:rFonts w:hint="eastAsia" w:ascii="仿宋" w:hAnsi="仿宋" w:eastAsia="仿宋" w:cs="仿宋"/>
          <w:b w:val="0"/>
          <w:bCs/>
          <w:color w:val="auto"/>
          <w:sz w:val="24"/>
          <w:szCs w:val="24"/>
          <w:highlight w:val="none"/>
          <w:lang w:val="en-US" w:eastAsia="zh-CN"/>
        </w:rPr>
        <w:t>投标</w:t>
      </w:r>
      <w:r>
        <w:rPr>
          <w:rFonts w:hint="eastAsia" w:ascii="仿宋" w:hAnsi="仿宋" w:eastAsia="仿宋" w:cs="仿宋"/>
          <w:b w:val="0"/>
          <w:bCs/>
          <w:color w:val="auto"/>
          <w:sz w:val="24"/>
          <w:szCs w:val="24"/>
          <w:highlight w:val="none"/>
        </w:rPr>
        <w:t>文件，且未声明哪一份有效的；</w:t>
      </w:r>
    </w:p>
    <w:p w14:paraId="1A506A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投标人提供虚假材料投标的（包括但不限于以下情节）</w:t>
      </w:r>
      <w:r>
        <w:rPr>
          <w:rFonts w:hint="eastAsia" w:ascii="仿宋" w:hAnsi="仿宋" w:eastAsia="仿宋" w:cs="仿宋"/>
          <w:b w:val="0"/>
          <w:bCs w:val="0"/>
          <w:color w:val="auto"/>
          <w:sz w:val="24"/>
          <w:highlight w:val="none"/>
          <w:lang w:eastAsia="zh-CN"/>
        </w:rPr>
        <w:t>：</w:t>
      </w:r>
    </w:p>
    <w:p w14:paraId="4718A2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.1使用伪造、变造的许可证件；</w:t>
      </w:r>
    </w:p>
    <w:p w14:paraId="07D079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.2提供虚假的财务状况或者业绩；</w:t>
      </w:r>
    </w:p>
    <w:p w14:paraId="4DE230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.3提供虚假的项目负责人或者主要技术人员简历、劳动关系证明；</w:t>
      </w:r>
    </w:p>
    <w:p w14:paraId="64F0FF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.4提供虚假的信用状况；</w:t>
      </w:r>
    </w:p>
    <w:p w14:paraId="64F379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.5其他弄虚作假的行为。</w:t>
      </w:r>
    </w:p>
    <w:p w14:paraId="27C813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下列情形之一的，视为投标人串通投标，其投标无效：</w:t>
      </w:r>
    </w:p>
    <w:p w14:paraId="57B57BC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.1不同投标人的投标文件由同一单位或者个人编制；</w:t>
      </w:r>
    </w:p>
    <w:p w14:paraId="5B0661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.2不同投标人委托同一单位或者个人办理投标事宜；</w:t>
      </w:r>
    </w:p>
    <w:p w14:paraId="5C1E78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.3不同投标人的投标文件载明的项目管理成员或者联系人员为同一人；</w:t>
      </w:r>
    </w:p>
    <w:p w14:paraId="5DF7E1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.4不同投标人的投标文件异常一致或者投标报价呈规律性差异；</w:t>
      </w:r>
    </w:p>
    <w:p w14:paraId="07F927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.5不同投标人的投标文件相互混装；</w:t>
      </w:r>
    </w:p>
    <w:p w14:paraId="714B31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1A027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有下列情形之一的，属于恶意串通，其投标无效：</w:t>
      </w:r>
    </w:p>
    <w:p w14:paraId="5CEF1E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.1供应商直接或者间接从采购人或者采购机构处获得其他供应商的相关情况并修改其投标文件或者响应文件；</w:t>
      </w:r>
    </w:p>
    <w:p w14:paraId="6AE315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.2供应商按照采购人或者采购机构的授意撤换、修改投标文件或者响应文件；</w:t>
      </w:r>
    </w:p>
    <w:p w14:paraId="3F9497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.3供应商之间协商报价、技术方案等投标文件或者响应文件的实质性内容；</w:t>
      </w:r>
    </w:p>
    <w:p w14:paraId="2ADC66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.4属于同一集团、协会、商会等组织成员的供应商按照该组织要求协同参加采购活动；</w:t>
      </w:r>
    </w:p>
    <w:p w14:paraId="597BA6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.5供应商之间事先约定由某一特定供应商中标、成交；</w:t>
      </w:r>
    </w:p>
    <w:p w14:paraId="6901C4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.6供应商之间商定部分供应商放弃参加采购活动或者放弃中标、成交；</w:t>
      </w:r>
    </w:p>
    <w:p w14:paraId="592B56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.7供应商与采购人或者采购机构之间、供应商相互之间，为谋求特定供应商中标、成交或者排斥其他供应商的其他串通行为。</w:t>
      </w:r>
    </w:p>
    <w:p w14:paraId="371E1B2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评标委员会认定有重大偏差或实质性不响应招标文件要求的；</w:t>
      </w:r>
    </w:p>
    <w:p w14:paraId="3D9437B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8.2</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投标文件出现不是唯一的、有选择性投标报价的；</w:t>
      </w:r>
    </w:p>
    <w:p w14:paraId="68B1DE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ascii="仿宋" w:hAnsi="仿宋" w:eastAsia="仿宋" w:cs="仿宋"/>
          <w:color w:val="auto"/>
          <w:highlight w:val="none"/>
        </w:rPr>
      </w:pPr>
      <w:r>
        <w:rPr>
          <w:rFonts w:hint="eastAsia" w:ascii="仿宋" w:hAnsi="仿宋" w:eastAsia="仿宋" w:cs="仿宋"/>
          <w:b w:val="0"/>
          <w:bCs/>
          <w:color w:val="auto"/>
          <w:sz w:val="24"/>
          <w:highlight w:val="none"/>
        </w:rPr>
        <w:t>8.2</w:t>
      </w: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其他违反法律、法规的情形。</w:t>
      </w:r>
    </w:p>
    <w:p w14:paraId="496F0A9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9.废标的情形</w:t>
      </w:r>
    </w:p>
    <w:p w14:paraId="33B5BFE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在招标采购中，出现下列情形之一的，应予废标：</w:t>
      </w:r>
    </w:p>
    <w:p w14:paraId="48FFAE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9.1符合专业条件的投标人或者对招标文件作实质性响应的投标人不足三家的；</w:t>
      </w:r>
    </w:p>
    <w:p w14:paraId="5C22D6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9.2出现影响采购公正的违法、违规行为的；</w:t>
      </w:r>
    </w:p>
    <w:p w14:paraId="792C7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9.3投标人的报价均超过了采购预算，采购人不能支付的；</w:t>
      </w:r>
    </w:p>
    <w:p w14:paraId="6ED1C5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b/>
          <w:color w:val="auto"/>
          <w:kern w:val="0"/>
          <w:sz w:val="24"/>
          <w:highlight w:val="none"/>
        </w:rPr>
      </w:pPr>
      <w:r>
        <w:rPr>
          <w:rFonts w:hint="eastAsia" w:ascii="仿宋" w:hAnsi="仿宋" w:eastAsia="仿宋" w:cs="仿宋"/>
          <w:b w:val="0"/>
          <w:bCs/>
          <w:color w:val="auto"/>
          <w:kern w:val="0"/>
          <w:sz w:val="24"/>
          <w:highlight w:val="none"/>
          <w:lang w:val="en-US" w:eastAsia="zh-CN"/>
        </w:rPr>
        <w:t>9.4因重大变故，采购任务取消的。</w:t>
      </w:r>
    </w:p>
    <w:p w14:paraId="7737C1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10</w:t>
      </w:r>
      <w:r>
        <w:rPr>
          <w:rFonts w:ascii="仿宋" w:hAnsi="仿宋" w:eastAsia="仿宋" w:cs="仿宋"/>
          <w:b/>
          <w:color w:val="auto"/>
          <w:kern w:val="0"/>
          <w:sz w:val="24"/>
          <w:highlight w:val="none"/>
        </w:rPr>
        <w:t>.</w:t>
      </w:r>
      <w:r>
        <w:rPr>
          <w:rFonts w:hint="eastAsia" w:ascii="仿宋" w:hAnsi="仿宋" w:eastAsia="仿宋" w:cs="仿宋"/>
          <w:b/>
          <w:color w:val="auto"/>
          <w:kern w:val="0"/>
          <w:sz w:val="24"/>
          <w:highlight w:val="none"/>
        </w:rPr>
        <w:t>评标过程保密</w:t>
      </w:r>
    </w:p>
    <w:p w14:paraId="3BD6F0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46F8E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rPr>
        <w:t>在评标期间，投标人企图影响</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7B8C68CE">
      <w:pPr>
        <w:keepNext w:val="0"/>
        <w:keepLines w:val="0"/>
        <w:pageBreakBefore w:val="0"/>
        <w:kinsoku/>
        <w:wordWrap/>
        <w:overflowPunct/>
        <w:topLinePunct w:val="0"/>
        <w:bidi w:val="0"/>
        <w:snapToGrid w:val="0"/>
        <w:spacing w:line="440" w:lineRule="exact"/>
        <w:ind w:firstLine="482" w:firstLineChars="150"/>
        <w:jc w:val="center"/>
        <w:textAlignment w:val="auto"/>
        <w:rPr>
          <w:rFonts w:ascii="仿宋" w:hAnsi="仿宋" w:eastAsia="仿宋" w:cs="仿宋"/>
          <w:b/>
          <w:color w:val="auto"/>
          <w:sz w:val="32"/>
          <w:highlight w:val="none"/>
        </w:rPr>
      </w:pPr>
    </w:p>
    <w:bookmarkEnd w:id="25"/>
    <w:p w14:paraId="60C10663">
      <w:pPr>
        <w:pStyle w:val="33"/>
        <w:keepNext w:val="0"/>
        <w:keepLines w:val="0"/>
        <w:pageBreakBefore w:val="0"/>
        <w:kinsoku/>
        <w:wordWrap/>
        <w:overflowPunct/>
        <w:topLinePunct w:val="0"/>
        <w:bidi w:val="0"/>
        <w:spacing w:line="440" w:lineRule="exact"/>
        <w:ind w:firstLine="726"/>
        <w:jc w:val="center"/>
        <w:textAlignment w:val="auto"/>
        <w:rPr>
          <w:rFonts w:ascii="仿宋" w:hAnsi="仿宋" w:eastAsia="仿宋" w:cs="仿宋"/>
          <w:b/>
          <w:color w:val="auto"/>
          <w:sz w:val="32"/>
          <w:szCs w:val="32"/>
          <w:highlight w:val="none"/>
        </w:rPr>
      </w:pPr>
      <w:bookmarkStart w:id="26" w:name="_Toc81372953"/>
      <w:bookmarkStart w:id="27" w:name="_Toc81372776"/>
      <w:bookmarkStart w:id="28" w:name="_Toc84325929"/>
      <w:r>
        <w:rPr>
          <w:rFonts w:hint="eastAsia" w:ascii="仿宋" w:hAnsi="仿宋" w:eastAsia="仿宋" w:cs="仿宋"/>
          <w:b/>
          <w:color w:val="auto"/>
          <w:sz w:val="32"/>
          <w:szCs w:val="32"/>
          <w:highlight w:val="none"/>
        </w:rPr>
        <w:t>五、授予合同</w:t>
      </w:r>
    </w:p>
    <w:bookmarkEnd w:id="26"/>
    <w:bookmarkEnd w:id="27"/>
    <w:bookmarkEnd w:id="28"/>
    <w:p w14:paraId="50D9A024">
      <w:pPr>
        <w:pStyle w:val="15"/>
        <w:keepNext w:val="0"/>
        <w:keepLines w:val="0"/>
        <w:pageBreakBefore w:val="0"/>
        <w:tabs>
          <w:tab w:val="clear" w:pos="390"/>
          <w:tab w:val="clear" w:pos="454"/>
        </w:tabs>
        <w:kinsoku/>
        <w:wordWrap/>
        <w:overflowPunct/>
        <w:topLinePunct w:val="0"/>
        <w:bidi w:val="0"/>
        <w:spacing w:after="120" w:line="440" w:lineRule="exact"/>
        <w:ind w:left="0" w:firstLine="0"/>
        <w:textAlignment w:val="auto"/>
        <w:rPr>
          <w:rFonts w:ascii="仿宋" w:hAnsi="仿宋" w:eastAsia="仿宋" w:cs="仿宋"/>
          <w:b/>
          <w:color w:val="auto"/>
          <w:szCs w:val="24"/>
          <w:highlight w:val="none"/>
        </w:rPr>
      </w:pPr>
      <w:r>
        <w:rPr>
          <w:rFonts w:ascii="仿宋" w:hAnsi="仿宋" w:eastAsia="仿宋" w:cs="仿宋"/>
          <w:b/>
          <w:color w:val="auto"/>
          <w:szCs w:val="24"/>
          <w:highlight w:val="none"/>
        </w:rPr>
        <w:t>1.中标条件</w:t>
      </w:r>
    </w:p>
    <w:p w14:paraId="7F5457D8">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1.1投标文件基本符合招标文件要求；</w:t>
      </w:r>
    </w:p>
    <w:p w14:paraId="1239B021">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1.2投标人有很好的执行合同的能力；</w:t>
      </w:r>
    </w:p>
    <w:p w14:paraId="0318CBBE">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1.3实施方案最合理并对</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最为有利，最大限度满足招标文件的要求；</w:t>
      </w:r>
    </w:p>
    <w:p w14:paraId="0AC88ECB">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1.4投标人能够提供质量技术、商务经济占综合优势的系统及服务。</w:t>
      </w:r>
    </w:p>
    <w:p w14:paraId="3DA48126">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1.5</w:t>
      </w:r>
      <w:r>
        <w:rPr>
          <w:rFonts w:hint="eastAsia" w:ascii="仿宋" w:hAnsi="仿宋" w:eastAsia="仿宋" w:cs="仿宋"/>
          <w:color w:val="auto"/>
          <w:sz w:val="24"/>
          <w:highlight w:val="none"/>
          <w:lang w:eastAsia="zh-CN"/>
        </w:rPr>
        <w:t>采购人</w:t>
      </w:r>
      <w:r>
        <w:rPr>
          <w:rFonts w:ascii="仿宋" w:hAnsi="仿宋" w:eastAsia="仿宋" w:cs="仿宋"/>
          <w:color w:val="auto"/>
          <w:sz w:val="24"/>
          <w:highlight w:val="none"/>
        </w:rPr>
        <w:t>将把中标通知书授予最佳投标者，但最低价不是中标的绝对保证。</w:t>
      </w:r>
    </w:p>
    <w:p w14:paraId="175F3218">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2.中标确认</w:t>
      </w:r>
    </w:p>
    <w:p w14:paraId="1FDEE4BF">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2.1采购人应当自收到评标报告之日起５个工作日内，在评标报告确定的中标候选人名单中按顺序确定中标人。</w:t>
      </w:r>
    </w:p>
    <w:p w14:paraId="1FA972B9">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6AB0EC6F">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2.3采购人应在确认中标人前再次对资格条件和相关证件材料进一步查验核实。</w:t>
      </w:r>
    </w:p>
    <w:p w14:paraId="6E4ADC73">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中标通知</w:t>
      </w:r>
    </w:p>
    <w:p w14:paraId="13E57C42">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3.1采购代理机构对中标结果在指定媒体（浙江政府采购网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仿宋" w:hAnsi="仿宋" w:eastAsia="仿宋" w:cs="仿宋"/>
          <w:color w:val="auto"/>
          <w:sz w:val="24"/>
          <w:highlight w:val="none"/>
        </w:rPr>
        <w:t>http://zfcg.czt.zj.gov.cn/</w: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w:t>
      </w:r>
      <w:r>
        <w:rPr>
          <w:rFonts w:ascii="仿宋" w:hAnsi="仿宋" w:eastAsia="仿宋" w:cs="仿宋"/>
          <w:color w:val="auto"/>
          <w:sz w:val="24"/>
          <w:highlight w:val="none"/>
        </w:rPr>
        <w:t>1个工作日。</w:t>
      </w:r>
    </w:p>
    <w:p w14:paraId="11B604A0">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lang w:val="zh-CN"/>
        </w:rPr>
      </w:pPr>
      <w:r>
        <w:rPr>
          <w:rFonts w:ascii="仿宋" w:hAnsi="仿宋" w:eastAsia="仿宋" w:cs="仿宋"/>
          <w:color w:val="auto"/>
          <w:sz w:val="24"/>
          <w:highlight w:val="none"/>
        </w:rPr>
        <w:t>3.2</w:t>
      </w: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59341C37">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3.3采购代理机构对中标结果不作任何说明和解释，也不回答任何提问。</w:t>
      </w:r>
    </w:p>
    <w:p w14:paraId="09161FFE">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履约保证金</w:t>
      </w:r>
    </w:p>
    <w:p w14:paraId="2DD3C4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4.1中标单位按照招标文件规定递交履约保证金。</w:t>
      </w:r>
    </w:p>
    <w:p w14:paraId="0F8A12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4.2签订合同后，如中标单位不按双方合同约定履约，则没收其全部履约保证金，履约保证金不足以赔偿损失的，按实际损失赔偿。</w:t>
      </w:r>
    </w:p>
    <w:p w14:paraId="625F1483">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4.3中标单位如未按时交纳履约保证金，采购人有权撤销其中标资格，报请批准后另行采购。</w:t>
      </w:r>
    </w:p>
    <w:p w14:paraId="4E30DE37">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w:t>
      </w:r>
      <w:r>
        <w:rPr>
          <w:rFonts w:ascii="仿宋" w:hAnsi="仿宋" w:eastAsia="仿宋" w:cs="仿宋"/>
          <w:b/>
          <w:color w:val="auto"/>
          <w:sz w:val="24"/>
          <w:highlight w:val="none"/>
        </w:rPr>
        <w:t>合同签订及备案</w:t>
      </w:r>
    </w:p>
    <w:p w14:paraId="010758BD">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lang w:val="en-US" w:eastAsia="zh-CN"/>
        </w:rPr>
        <w:t>中标人应当在中标通知书发出之日起30天内</w:t>
      </w:r>
      <w:r>
        <w:rPr>
          <w:rFonts w:hint="eastAsia" w:ascii="仿宋" w:hAnsi="仿宋" w:eastAsia="仿宋" w:cs="仿宋"/>
          <w:color w:val="auto"/>
          <w:sz w:val="24"/>
          <w:szCs w:val="24"/>
          <w:highlight w:val="none"/>
        </w:rPr>
        <w:t>（投诉处理等原因导致签订合同延误的除外）</w:t>
      </w:r>
      <w:r>
        <w:rPr>
          <w:rFonts w:hint="eastAsia" w:ascii="仿宋" w:hAnsi="仿宋" w:eastAsia="仿宋" w:cs="仿宋"/>
          <w:color w:val="auto"/>
          <w:sz w:val="24"/>
          <w:highlight w:val="none"/>
          <w:lang w:val="en-US" w:eastAsia="zh-CN"/>
        </w:rPr>
        <w:t>与采购人签订合同</w:t>
      </w:r>
      <w:r>
        <w:rPr>
          <w:rFonts w:ascii="仿宋" w:hAnsi="仿宋" w:eastAsia="仿宋" w:cs="仿宋"/>
          <w:color w:val="auto"/>
          <w:sz w:val="24"/>
          <w:highlight w:val="none"/>
        </w:rPr>
        <w:t>，自采购合同签订之日起</w:t>
      </w:r>
      <w:r>
        <w:rPr>
          <w:rFonts w:ascii="仿宋" w:hAnsi="仿宋" w:eastAsia="仿宋" w:cs="仿宋"/>
          <w:b w:val="0"/>
          <w:bCs w:val="0"/>
          <w:color w:val="auto"/>
          <w:sz w:val="24"/>
          <w:highlight w:val="none"/>
        </w:rPr>
        <w:t>3个工作日内</w:t>
      </w:r>
      <w:r>
        <w:rPr>
          <w:rFonts w:hint="eastAsia" w:ascii="仿宋" w:hAnsi="仿宋" w:eastAsia="仿宋" w:cs="仿宋"/>
          <w:color w:val="auto"/>
          <w:sz w:val="24"/>
          <w:highlight w:val="none"/>
        </w:rPr>
        <w:t>，通过电子交易平台进行备案。</w:t>
      </w:r>
    </w:p>
    <w:p w14:paraId="0022E9C9">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5.2如中标人为联合体的，由联合体成员各方法定代表人或其授权代表与采购人代表签订合同。</w:t>
      </w:r>
    </w:p>
    <w:p w14:paraId="45CC1EE3">
      <w:pPr>
        <w:keepNext w:val="0"/>
        <w:keepLines w:val="0"/>
        <w:pageBreakBefore w:val="0"/>
        <w:kinsoku/>
        <w:wordWrap/>
        <w:overflowPunct/>
        <w:topLinePunct w:val="0"/>
        <w:bidi w:val="0"/>
        <w:spacing w:line="440" w:lineRule="exact"/>
        <w:jc w:val="left"/>
        <w:textAlignment w:val="auto"/>
        <w:rPr>
          <w:rFonts w:ascii="仿宋" w:hAnsi="仿宋" w:eastAsia="仿宋" w:cs="仿宋"/>
          <w:b/>
          <w:color w:val="auto"/>
          <w:sz w:val="24"/>
          <w:highlight w:val="none"/>
        </w:rPr>
      </w:pPr>
      <w:r>
        <w:rPr>
          <w:rFonts w:ascii="仿宋" w:hAnsi="仿宋" w:eastAsia="仿宋" w:cs="仿宋"/>
          <w:b/>
          <w:color w:val="auto"/>
          <w:sz w:val="24"/>
          <w:highlight w:val="none"/>
        </w:rPr>
        <w:t>6.验收</w:t>
      </w:r>
    </w:p>
    <w:p w14:paraId="083FE1CD">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B1B451D">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highlight w:val="none"/>
        </w:rPr>
      </w:pPr>
      <w:r>
        <w:rPr>
          <w:rFonts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706B58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5336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7CAD237">
      <w:pPr>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6.5采购人负责加强对中标人的履约管理，并按照采购合同约定，及时向中标人支付采购资金。对于中标人违反采购合同约定的行为，采购人应当及时处理，依法追究其违约责任。</w:t>
      </w:r>
    </w:p>
    <w:p w14:paraId="65AC70DC">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32"/>
          <w:highlight w:val="none"/>
        </w:rPr>
      </w:pPr>
    </w:p>
    <w:p w14:paraId="77DF7D8B">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ascii="仿宋" w:hAnsi="仿宋" w:eastAsia="仿宋" w:cs="仿宋"/>
          <w:b/>
          <w:bCs/>
          <w:color w:val="auto"/>
          <w:sz w:val="32"/>
          <w:szCs w:val="20"/>
          <w:highlight w:val="none"/>
        </w:rPr>
        <w:t>询问、质疑与投诉</w:t>
      </w:r>
    </w:p>
    <w:p w14:paraId="77933E34">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szCs w:val="20"/>
          <w:highlight w:val="none"/>
        </w:rPr>
        <w:t>1.在线询问、质疑、投诉</w:t>
      </w:r>
    </w:p>
    <w:p w14:paraId="7C3506E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3AA908FF">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highlight w:val="none"/>
        </w:rPr>
        <w:t>2. 供应商询问</w:t>
      </w:r>
    </w:p>
    <w:p w14:paraId="3A9B1893">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ascii="仿宋" w:hAnsi="仿宋" w:eastAsia="仿宋" w:cs="仿宋"/>
          <w:b/>
          <w:color w:val="auto"/>
          <w:sz w:val="32"/>
          <w:szCs w:val="32"/>
          <w:highlight w:val="none"/>
        </w:rPr>
      </w:pPr>
      <w:r>
        <w:rPr>
          <w:rFonts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ABB6C4">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highlight w:val="none"/>
        </w:rPr>
        <w:t>3.供应商质疑</w:t>
      </w:r>
    </w:p>
    <w:p w14:paraId="08FE98CE">
      <w:pPr>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sz w:val="24"/>
          <w:szCs w:val="20"/>
          <w:highlight w:val="none"/>
        </w:rPr>
        <w:t>.1质疑提出时效</w:t>
      </w:r>
    </w:p>
    <w:p w14:paraId="58870B6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68BA79C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b w:val="0"/>
          <w:bCs w:val="0"/>
          <w:i w:val="0"/>
          <w:iCs w:val="0"/>
          <w:color w:val="auto"/>
          <w:kern w:val="2"/>
          <w:sz w:val="24"/>
          <w:szCs w:val="20"/>
          <w:highlight w:val="none"/>
          <w:vertAlign w:val="baseline"/>
          <w:lang w:val="en-US" w:eastAsia="zh-CN" w:bidi="ar-SA"/>
        </w:rPr>
        <w:t>一次性</w:t>
      </w:r>
      <w:r>
        <w:rPr>
          <w:rFonts w:hint="default" w:ascii="仿宋" w:hAnsi="仿宋" w:eastAsia="仿宋" w:cs="仿宋"/>
          <w:b w:val="0"/>
          <w:bCs w:val="0"/>
          <w:i w:val="0"/>
          <w:iCs w:val="0"/>
          <w:color w:val="auto"/>
          <w:kern w:val="2"/>
          <w:sz w:val="24"/>
          <w:szCs w:val="20"/>
          <w:highlight w:val="none"/>
          <w:vertAlign w:val="baseline"/>
          <w:lang w:val="en-US" w:eastAsia="zh-CN" w:bidi="ar-SA"/>
        </w:rPr>
        <w:t>提出质疑，否则，采购人或者采购代理机构不予受理</w:t>
      </w:r>
      <w:r>
        <w:rPr>
          <w:rFonts w:hint="eastAsia" w:ascii="仿宋" w:hAnsi="仿宋" w:eastAsia="仿宋" w:cs="仿宋"/>
          <w:b w:val="0"/>
          <w:bCs w:val="0"/>
          <w:i w:val="0"/>
          <w:iCs w:val="0"/>
          <w:color w:val="auto"/>
          <w:kern w:val="2"/>
          <w:sz w:val="24"/>
          <w:szCs w:val="20"/>
          <w:highlight w:val="none"/>
          <w:vertAlign w:val="baseline"/>
          <w:lang w:val="en-US" w:eastAsia="zh-CN" w:bidi="ar-SA"/>
        </w:rPr>
        <w:t>：</w:t>
      </w:r>
    </w:p>
    <w:p w14:paraId="750ED13E">
      <w:pPr>
        <w:keepNext w:val="0"/>
        <w:keepLines w:val="0"/>
        <w:pageBreakBefore w:val="0"/>
        <w:widowControl/>
        <w:kinsoku/>
        <w:wordWrap/>
        <w:overflowPunct/>
        <w:topLinePunct w:val="0"/>
        <w:bidi w:val="0"/>
        <w:adjustRightInd w:val="0"/>
        <w:snapToGrid w:val="0"/>
        <w:spacing w:line="440" w:lineRule="exact"/>
        <w:ind w:firstLine="434" w:firstLineChars="181"/>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29B6133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4DD29FD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0146074">
      <w:pPr>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仿宋" w:hAnsi="仿宋" w:eastAsia="仿宋" w:cs="仿宋"/>
          <w:b/>
          <w:color w:val="auto"/>
          <w:kern w:val="0"/>
          <w:sz w:val="24"/>
          <w:szCs w:val="24"/>
          <w:highlight w:val="none"/>
          <w:lang w:val="en-US" w:eastAsia="zh-CN" w:bidi="ar-SA"/>
        </w:rPr>
        <w:t>（即针对同一采购程序环节的质疑采购人或采购代理机构仅受理一次），逾期提出或针对同一采购程序环节多次提出的质疑将不予受理、答复</w:t>
      </w:r>
      <w:r>
        <w:rPr>
          <w:rFonts w:hint="default" w:ascii="仿宋" w:hAnsi="仿宋" w:eastAsia="仿宋" w:cs="仿宋"/>
          <w:b/>
          <w:bCs/>
          <w:i w:val="0"/>
          <w:iCs w:val="0"/>
          <w:color w:val="auto"/>
          <w:kern w:val="2"/>
          <w:sz w:val="24"/>
          <w:szCs w:val="20"/>
          <w:highlight w:val="none"/>
          <w:vertAlign w:val="baseline"/>
          <w:lang w:val="en-US" w:eastAsia="zh-CN" w:bidi="ar-SA"/>
        </w:rPr>
        <w:t>。</w:t>
      </w:r>
    </w:p>
    <w:p w14:paraId="3161E2AB">
      <w:pPr>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kern w:val="0"/>
          <w:sz w:val="24"/>
          <w:szCs w:val="20"/>
          <w:highlight w:val="none"/>
        </w:rPr>
        <w:t>2</w:t>
      </w:r>
      <w:r>
        <w:rPr>
          <w:rFonts w:ascii="仿宋" w:hAnsi="仿宋" w:eastAsia="仿宋" w:cs="仿宋"/>
          <w:b/>
          <w:bCs/>
          <w:color w:val="auto"/>
          <w:kern w:val="0"/>
          <w:sz w:val="24"/>
          <w:szCs w:val="20"/>
          <w:highlight w:val="none"/>
          <w:lang w:val="zh-CN"/>
        </w:rPr>
        <w:t>质疑函</w:t>
      </w:r>
    </w:p>
    <w:p w14:paraId="73DAA709">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3.2.1供应商提出质疑应当提交质疑函和必要的证明材料。质疑函应当包括下列内容：</w:t>
      </w:r>
    </w:p>
    <w:p w14:paraId="5700451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供应商的姓名或者名称、地址、邮编、联系人及联系电话；</w:t>
      </w:r>
    </w:p>
    <w:p w14:paraId="7576F54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质疑项目的名称、编号；</w:t>
      </w:r>
    </w:p>
    <w:p w14:paraId="7152F33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具体、明确的质疑事项和与质疑事项相关的请求；</w:t>
      </w:r>
    </w:p>
    <w:p w14:paraId="33890E2D">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事实依据；</w:t>
      </w:r>
    </w:p>
    <w:p w14:paraId="41F91D6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必要的法律依据；</w:t>
      </w:r>
    </w:p>
    <w:p w14:paraId="36C0CF69">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highlight w:val="none"/>
        </w:rPr>
        <w:t>提出质疑的日期。</w:t>
      </w:r>
    </w:p>
    <w:p w14:paraId="6B96B99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r>
        <w:rPr>
          <w:rFonts w:hint="default" w:ascii="仿宋" w:hAnsi="仿宋" w:eastAsia="仿宋" w:cs="仿宋"/>
          <w:b w:val="0"/>
          <w:bCs w:val="0"/>
          <w:i w:val="0"/>
          <w:iCs w:val="0"/>
          <w:color w:val="auto"/>
          <w:kern w:val="2"/>
          <w:sz w:val="24"/>
          <w:szCs w:val="20"/>
          <w:highlight w:val="none"/>
          <w:vertAlign w:val="baseline"/>
          <w:lang w:val="en-US" w:eastAsia="zh-CN" w:bidi="ar-SA"/>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bCs/>
          <w:i w:val="0"/>
          <w:iCs w:val="0"/>
          <w:color w:val="auto"/>
          <w:kern w:val="2"/>
          <w:sz w:val="24"/>
          <w:szCs w:val="20"/>
          <w:highlight w:val="none"/>
          <w:vertAlign w:val="baseline"/>
          <w:lang w:val="en-US" w:eastAsia="zh-CN" w:bidi="ar-SA"/>
        </w:rPr>
        <w:t>质疑函不符合相关规定的，应在规定期限内补齐的，招标方自收到补齐材料之日起受理；逾期未补齐的，按自动撤回质疑处理。</w:t>
      </w:r>
    </w:p>
    <w:p w14:paraId="16B5A0D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b w:val="0"/>
          <w:bCs w:val="0"/>
          <w:color w:val="auto"/>
          <w:sz w:val="24"/>
          <w:szCs w:val="20"/>
          <w:highlight w:val="none"/>
        </w:rPr>
        <w:t>质疑函范本及制作说明详见附件1。</w:t>
      </w:r>
    </w:p>
    <w:p w14:paraId="7225E21D">
      <w:pPr>
        <w:keepNext w:val="0"/>
        <w:keepLines w:val="0"/>
        <w:pageBreakBefore w:val="0"/>
        <w:kinsoku/>
        <w:wordWrap/>
        <w:overflowPunct/>
        <w:topLinePunct w:val="0"/>
        <w:bidi w:val="0"/>
        <w:spacing w:line="440" w:lineRule="exact"/>
        <w:textAlignment w:val="auto"/>
        <w:rPr>
          <w:rFonts w:ascii="仿宋" w:hAnsi="仿宋" w:eastAsia="仿宋" w:cs="仿宋"/>
          <w:b/>
          <w:color w:val="auto"/>
          <w:sz w:val="32"/>
          <w:szCs w:val="32"/>
          <w:highlight w:val="none"/>
        </w:rPr>
      </w:pPr>
      <w:r>
        <w:rPr>
          <w:rFonts w:ascii="仿宋" w:hAnsi="仿宋" w:eastAsia="仿宋" w:cs="仿宋"/>
          <w:b/>
          <w:bCs/>
          <w:color w:val="auto"/>
          <w:sz w:val="24"/>
          <w:highlight w:val="none"/>
        </w:rPr>
        <w:t>4.供应商投诉</w:t>
      </w:r>
    </w:p>
    <w:p w14:paraId="57081204">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4.1质疑供应商对采购人或采购代理机构的答复不满意或者采购人、采购代理机构未在规定的时间内作出答复的，可以在答复期满后十五个工作日内向采购监督管理部门提出投诉。</w:t>
      </w:r>
    </w:p>
    <w:p w14:paraId="1F29E72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4.2供应商投诉的事项不得超出已质疑事项的范围，基于质疑答复内容提出的投诉事项除外。</w:t>
      </w:r>
    </w:p>
    <w:p w14:paraId="63B954F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4.3供应商投诉应当有明确的请求和必要的证明材料。</w:t>
      </w:r>
    </w:p>
    <w:p w14:paraId="1905BC9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32"/>
          <w:szCs w:val="32"/>
          <w:highlight w:val="none"/>
        </w:rPr>
      </w:pPr>
      <w:r>
        <w:rPr>
          <w:rFonts w:ascii="仿宋" w:hAnsi="仿宋" w:eastAsia="仿宋" w:cs="仿宋"/>
          <w:color w:val="auto"/>
          <w:sz w:val="24"/>
          <w:szCs w:val="20"/>
          <w:highlight w:val="none"/>
        </w:rPr>
        <w:t>4.4以联合体形式参加采购活动的，其投诉应当由组成联合体的所有供应商共同提出。</w:t>
      </w:r>
    </w:p>
    <w:p w14:paraId="782990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仿宋" w:hAnsi="仿宋" w:eastAsia="仿宋" w:cs="仿宋"/>
          <w:b w:val="0"/>
          <w:bCs w:val="0"/>
          <w:color w:val="auto"/>
          <w:sz w:val="32"/>
          <w:szCs w:val="32"/>
          <w:highlight w:val="none"/>
        </w:rPr>
      </w:pPr>
      <w:r>
        <w:rPr>
          <w:rFonts w:ascii="仿宋" w:hAnsi="仿宋" w:eastAsia="仿宋" w:cs="仿宋"/>
          <w:b w:val="0"/>
          <w:bCs w:val="0"/>
          <w:color w:val="auto"/>
          <w:sz w:val="24"/>
          <w:szCs w:val="20"/>
          <w:highlight w:val="none"/>
        </w:rPr>
        <w:t>投诉书范本及制作说明详见附件2。</w:t>
      </w:r>
    </w:p>
    <w:p w14:paraId="51387219">
      <w:pPr>
        <w:pStyle w:val="23"/>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p>
    <w:bookmarkEnd w:id="22"/>
    <w:bookmarkEnd w:id="23"/>
    <w:p w14:paraId="26ABBB33">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29" w:name="第五部分"/>
      <w:bookmarkStart w:id="30" w:name="_Toc86217003"/>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招标项目范围及要求</w:t>
      </w:r>
      <w:bookmarkStart w:id="31" w:name="_Toc530673191"/>
      <w:bookmarkStart w:id="32" w:name="_Toc526685588"/>
      <w:bookmarkStart w:id="33" w:name="_Toc13920"/>
      <w:bookmarkStart w:id="34" w:name="OLE_LINK6"/>
    </w:p>
    <w:p w14:paraId="458408BA">
      <w:pPr>
        <w:keepNext w:val="0"/>
        <w:keepLines w:val="0"/>
        <w:pageBreakBefore w:val="0"/>
        <w:numPr>
          <w:ilvl w:val="0"/>
          <w:numId w:val="0"/>
        </w:numPr>
        <w:kinsoku/>
        <w:wordWrap/>
        <w:overflowPunct/>
        <w:topLinePunct w:val="0"/>
        <w:bidi w:val="0"/>
        <w:snapToGrid/>
        <w:spacing w:line="400" w:lineRule="exact"/>
        <w:ind w:firstLine="482" w:firstLineChars="200"/>
        <w:jc w:val="both"/>
        <w:outlineLvl w:val="0"/>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一、总体要求</w:t>
      </w:r>
    </w:p>
    <w:p w14:paraId="3CB23F12">
      <w:pPr>
        <w:keepNext w:val="0"/>
        <w:keepLines w:val="0"/>
        <w:pageBreakBefore w:val="0"/>
        <w:widowControl/>
        <w:kinsoku/>
        <w:wordWrap/>
        <w:overflowPunct/>
        <w:topLinePunct w:val="0"/>
        <w:autoSpaceDE w:val="0"/>
        <w:autoSpaceDN w:val="0"/>
        <w:bidi w:val="0"/>
        <w:snapToGrid/>
        <w:spacing w:line="400" w:lineRule="exact"/>
        <w:ind w:right="-53" w:rightChars="-25" w:firstLine="480"/>
        <w:textAlignment w:val="bottom"/>
        <w:outlineLvl w:val="9"/>
        <w:rPr>
          <w:rFonts w:hint="eastAsia" w:ascii="仿宋" w:hAnsi="仿宋" w:eastAsia="仿宋" w:cs="仿宋"/>
          <w:color w:val="auto"/>
          <w:sz w:val="24"/>
          <w:lang w:eastAsia="zh-CN"/>
        </w:rPr>
      </w:pPr>
      <w:r>
        <w:rPr>
          <w:rFonts w:hint="eastAsia" w:ascii="仿宋" w:hAnsi="仿宋" w:eastAsia="仿宋" w:cs="仿宋"/>
          <w:color w:val="auto"/>
          <w:sz w:val="24"/>
        </w:rPr>
        <w:t>嵊州市2024年官河南路绿化提升改造项目苗木采购项目，预算金额</w:t>
      </w:r>
      <w:r>
        <w:rPr>
          <w:rFonts w:hint="eastAsia" w:ascii="仿宋" w:hAnsi="仿宋" w:eastAsia="仿宋" w:cs="仿宋"/>
          <w:b w:val="0"/>
          <w:bCs/>
          <w:color w:val="auto"/>
          <w:sz w:val="24"/>
          <w:highlight w:val="none"/>
          <w:lang w:val="en-US" w:eastAsia="zh-CN"/>
        </w:rPr>
        <w:t>1242740.00</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最高限价为</w:t>
      </w:r>
      <w:r>
        <w:rPr>
          <w:rFonts w:hint="eastAsia" w:ascii="仿宋" w:hAnsi="仿宋" w:eastAsia="仿宋" w:cs="仿宋"/>
          <w:b w:val="0"/>
          <w:bCs/>
          <w:color w:val="auto"/>
          <w:sz w:val="24"/>
          <w:highlight w:val="none"/>
          <w:lang w:val="en-US" w:eastAsia="zh-CN"/>
        </w:rPr>
        <w:t>1093611.20元（下浮12%）</w:t>
      </w:r>
      <w:r>
        <w:rPr>
          <w:rFonts w:hint="eastAsia" w:ascii="仿宋" w:hAnsi="仿宋" w:eastAsia="仿宋" w:cs="仿宋"/>
          <w:color w:val="auto"/>
          <w:sz w:val="24"/>
        </w:rPr>
        <w:t>，采用单价招标，数量按实结算。本项目</w:t>
      </w:r>
      <w:r>
        <w:rPr>
          <w:rFonts w:hint="eastAsia" w:ascii="仿宋" w:hAnsi="仿宋" w:eastAsia="仿宋" w:cs="仿宋"/>
          <w:b w:val="0"/>
          <w:bCs w:val="0"/>
          <w:color w:val="auto"/>
          <w:sz w:val="24"/>
          <w:szCs w:val="24"/>
          <w:highlight w:val="none"/>
          <w:lang w:val="en-US" w:eastAsia="zh-CN"/>
        </w:rPr>
        <w:t>服务期自合同签订后至项目完工结束，具体时间根据业主要求(合同期最长不超过一年)</w:t>
      </w:r>
      <w:r>
        <w:rPr>
          <w:rFonts w:hint="eastAsia" w:ascii="仿宋" w:hAnsi="仿宋" w:eastAsia="仿宋" w:cs="仿宋"/>
          <w:color w:val="auto"/>
          <w:sz w:val="24"/>
        </w:rPr>
        <w:t>，具体规格和最高单价限价详见以下清单</w:t>
      </w:r>
      <w:r>
        <w:rPr>
          <w:rFonts w:hint="eastAsia" w:ascii="仿宋" w:hAnsi="仿宋" w:eastAsia="仿宋" w:cs="仿宋"/>
          <w:color w:val="auto"/>
          <w:sz w:val="24"/>
          <w:lang w:eastAsia="zh-CN"/>
        </w:rPr>
        <w:t>。</w:t>
      </w:r>
    </w:p>
    <w:bookmarkEnd w:id="31"/>
    <w:bookmarkEnd w:id="32"/>
    <w:bookmarkEnd w:id="33"/>
    <w:p w14:paraId="60DB2C8D">
      <w:pPr>
        <w:keepNext w:val="0"/>
        <w:keepLines w:val="0"/>
        <w:pageBreakBefore w:val="0"/>
        <w:widowControl/>
        <w:kinsoku/>
        <w:wordWrap/>
        <w:overflowPunct/>
        <w:topLinePunct w:val="0"/>
        <w:autoSpaceDE w:val="0"/>
        <w:autoSpaceDN w:val="0"/>
        <w:bidi w:val="0"/>
        <w:adjustRightInd/>
        <w:snapToGrid/>
        <w:spacing w:line="400" w:lineRule="exact"/>
        <w:ind w:right="-53" w:rightChars="-25" w:firstLine="482"/>
        <w:textAlignment w:val="bottom"/>
        <w:outlineLvl w:val="1"/>
        <w:rPr>
          <w:rFonts w:hint="default" w:ascii="仿宋" w:hAnsi="仿宋" w:eastAsia="仿宋" w:cs="仿宋"/>
          <w:b/>
          <w:color w:val="auto"/>
          <w:sz w:val="24"/>
          <w:szCs w:val="20"/>
          <w:lang w:val="en-US" w:eastAsia="zh-CN"/>
        </w:rPr>
      </w:pPr>
      <w:bookmarkStart w:id="35" w:name="_Toc20558"/>
      <w:r>
        <w:rPr>
          <w:rFonts w:hint="eastAsia" w:ascii="仿宋" w:hAnsi="仿宋" w:eastAsia="仿宋" w:cs="仿宋"/>
          <w:b/>
          <w:color w:val="auto"/>
          <w:sz w:val="24"/>
          <w:szCs w:val="20"/>
          <w:lang w:val="en-US" w:eastAsia="zh-CN"/>
        </w:rPr>
        <w:t>二、采购清单</w:t>
      </w:r>
    </w:p>
    <w:tbl>
      <w:tblPr>
        <w:tblStyle w:val="62"/>
        <w:tblW w:w="925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485"/>
        <w:gridCol w:w="2618"/>
        <w:gridCol w:w="695"/>
        <w:gridCol w:w="846"/>
        <w:gridCol w:w="1434"/>
        <w:gridCol w:w="1390"/>
      </w:tblGrid>
      <w:tr w14:paraId="5F84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1" w:type="dxa"/>
            <w:tcBorders>
              <w:top w:val="single" w:color="000000" w:sz="4" w:space="0"/>
              <w:left w:val="single" w:color="000000" w:sz="4" w:space="0"/>
              <w:bottom w:val="single" w:color="000000" w:sz="4" w:space="0"/>
              <w:right w:val="nil"/>
            </w:tcBorders>
            <w:shd w:val="clear" w:color="auto" w:fill="auto"/>
            <w:noWrap/>
            <w:vAlign w:val="center"/>
          </w:tcPr>
          <w:p w14:paraId="59174FC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1B8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  称</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5B4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   格</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EBC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14:paraId="6A03F58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暂估数量</w:t>
            </w:r>
          </w:p>
        </w:tc>
        <w:tc>
          <w:tcPr>
            <w:tcW w:w="1434" w:type="dxa"/>
            <w:tcBorders>
              <w:top w:val="single" w:color="000000" w:sz="4" w:space="0"/>
              <w:left w:val="nil"/>
              <w:bottom w:val="single" w:color="000000" w:sz="4" w:space="0"/>
              <w:right w:val="single" w:color="000000" w:sz="4" w:space="0"/>
            </w:tcBorders>
            <w:shd w:val="clear" w:color="auto" w:fill="auto"/>
            <w:noWrap/>
            <w:vAlign w:val="center"/>
          </w:tcPr>
          <w:p w14:paraId="3880899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最高限价单价（元）</w:t>
            </w:r>
          </w:p>
        </w:tc>
        <w:tc>
          <w:tcPr>
            <w:tcW w:w="1390" w:type="dxa"/>
            <w:tcBorders>
              <w:top w:val="single" w:color="000000" w:sz="4" w:space="0"/>
              <w:left w:val="nil"/>
              <w:bottom w:val="single" w:color="000000" w:sz="4" w:space="0"/>
              <w:right w:val="single" w:color="000000" w:sz="4" w:space="0"/>
            </w:tcBorders>
            <w:shd w:val="clear" w:color="auto" w:fill="auto"/>
            <w:noWrap/>
            <w:vAlign w:val="center"/>
          </w:tcPr>
          <w:p w14:paraId="08E128F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备注</w:t>
            </w:r>
          </w:p>
        </w:tc>
      </w:tr>
      <w:tr w14:paraId="6D6A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07D446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34F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丛生紫薇</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061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H＞150cm*P＞120cm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8BA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41A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EA1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56.88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0D7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85C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1E7B67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F94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亮晶塔形</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1B9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AH180cm*P120cm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F36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48B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F129">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550.00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7B2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278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3DACCA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91A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亮晶塔形</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8AD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BH150cm*P100cm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FC8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F1E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AC8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8DA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E82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58FBFF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E62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苏铁</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84A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BH130cm*P110cm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8F8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CE5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40D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145.66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C9E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A5F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E95B02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85" w:type="dxa"/>
            <w:tcBorders>
              <w:top w:val="single" w:color="000000" w:sz="4" w:space="0"/>
              <w:left w:val="single" w:color="000000" w:sz="4" w:space="0"/>
              <w:bottom w:val="nil"/>
              <w:right w:val="single" w:color="000000" w:sz="4" w:space="0"/>
            </w:tcBorders>
            <w:shd w:val="clear" w:color="auto" w:fill="auto"/>
            <w:noWrap/>
            <w:vAlign w:val="center"/>
          </w:tcPr>
          <w:p w14:paraId="1279A9C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造型亮晶桩B丛生</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E13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H220cm*P150cm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415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B3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989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D8A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FA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0FC716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4C5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造型亮晶桩</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9A4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AH250cm*P200cm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A6B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5B1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F76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BA0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063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E2FC96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318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紫玉兰</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B349">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12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03A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761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A57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1015.05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B34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48F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5865B2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4F8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造型亮晶桩</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82F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SH250cm*P300cm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A68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0E8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601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C64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63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99B6B6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86D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紫玉兰A</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32F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H＞350cm*P＞300cm</w:t>
            </w:r>
          </w:p>
          <w:p w14:paraId="4BE7FAF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FCF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A03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672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2119.85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007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CE2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F8C269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197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丝兰</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346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H60cm*P60cm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BDE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54F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E951">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10.10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9FE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DDF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BF9B65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67D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千年木</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5D8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H120-150cm*P400cm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5A7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6B9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0F5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CD9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058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3F768B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0D0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变叶木</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3A3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H60cm*P60cm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F56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632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422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9FB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BAB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AE5291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C56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小叶赤楠球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387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H40cm*P50cm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0FD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D28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585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46.79</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23D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6FB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0599AA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D74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毛鹃球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150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H50cm*P50cm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083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723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389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DC8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897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9F76B0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4C1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金边丝兰</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F89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H35-40cm*P35-40cm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643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183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E44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FB2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838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09B42E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663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鹤望兰</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41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BH100cm*P50cm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C0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027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1E1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93D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827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E03A3E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AC6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蒲葵</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161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H90cm*P70cm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4C3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DFF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A9B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2E5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A9A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789AE2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3B8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亮晶女贞球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12E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H80cm*P100cm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D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607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541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410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E72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F05580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8E1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构骨塔形</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D1B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H＞100cm* P=100cm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028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275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5D5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110.06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057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562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0690CF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983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水果兰</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467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H70cm*P100cm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DB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174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FCC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96.86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68C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F01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8E622C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1E6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红花继木球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D95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CH＞80cm*P100cm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BA9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AC9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DF4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AB7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ED7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08DEF8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B1C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金森女贞球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E1A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CH＞120cm*P120cm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3FE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29C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E2B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91.74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553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36B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69F39D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3C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金边黄杨球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72BE">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H＞70cm*P100cm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C4E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665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5A6A">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105.50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8D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EDC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6DA625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F9A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金边黄杨球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384C">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H＞70cm*P＜120cm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1A2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674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2C1D">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155.50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E01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AAD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10AC02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79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银姬小蜡球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C51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H80cm*P100cm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237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F8F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E6B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48.47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C68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05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DECCAF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1EC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鼠刺</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B06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H120-125cm*P100-110cm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0A9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F65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E66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BBA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928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655941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6CE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海桐球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E8D0">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CH＞120cm*P150cm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1A5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51C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701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18E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0F3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59113B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F03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红叶石楠球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6973">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DH＞100cm*P150cm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4C2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8A1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BF4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483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2F1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AF57A1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E90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红花继木球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DBE6">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BH＞120cm*P＜150cm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42C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59A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35A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594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E51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136438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7CE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金叶女贞球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490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H＞100cm*P150cm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6B3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268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02B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F8C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B6F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C09761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41C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金叶女贞球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1668">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CH＞100cm*P130cm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37E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299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AFD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62E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4F6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6544A3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973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金森女贞球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0963">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BH＞100cm*P≤130cm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E76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F60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5FB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41A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5D3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6B25B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ABA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映山红</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482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H200-250cm*P150-200cm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DA8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B92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0F65">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5B7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9F1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00D310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BB7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海桐球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C80D">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BH＞150cm*P200cm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201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40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FEE1">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548.00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933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967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63B54B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C07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金叶女贞球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37ED">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AH＞130cm*P170cm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8F1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F56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2A13">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231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5F0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1991A6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91D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红花继木</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B4E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H30-35cm*P35cm</w:t>
            </w:r>
          </w:p>
          <w:p w14:paraId="7EB0E72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81株/㎡</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095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22A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A65B">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40.50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AB2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0F0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2E9434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526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亮晶女贞</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4E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H35-40cm*P20cm</w:t>
            </w:r>
          </w:p>
          <w:p w14:paraId="4B8FBE0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64株/㎡</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618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EF4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046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64.64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167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B4B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756BB5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8C9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阔叶麦冬</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7FB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H15-20cm*P20-25cm</w:t>
            </w:r>
          </w:p>
          <w:p w14:paraId="38DDB7A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64株/㎡</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E88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B3C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C71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BFC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BF7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A5E105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F95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佛甲草满铺</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666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627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4A6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CE3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94.08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B0C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78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02E4DE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039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矮麦冬</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472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H10-15cm*P10-15cm</w:t>
            </w:r>
          </w:p>
          <w:p w14:paraId="5E9A21B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64株/㎡</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422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074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48A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26.46</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05D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245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23D590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ED1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石竹</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8D5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H10-15cm*P10-15cm</w:t>
            </w:r>
          </w:p>
          <w:p w14:paraId="5EFDE35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121株/㎡</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86F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9BC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9134">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133.10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378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213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2CEE1E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70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翡翠草满铺</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A30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7B8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23C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855A">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680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6FE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1BA256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315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D2B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rPr>
              <w:t>时令花卉H20</w:t>
            </w:r>
            <w:r>
              <w:rPr>
                <w:rFonts w:hint="eastAsia" w:ascii="仿宋" w:hAnsi="仿宋" w:eastAsia="仿宋" w:cs="仿宋"/>
                <w:i w:val="0"/>
                <w:iCs w:val="0"/>
                <w:color w:val="auto"/>
                <w:sz w:val="24"/>
                <w:szCs w:val="24"/>
                <w:u w:val="none"/>
                <w:lang w:val="en-US" w:eastAsia="zh-CN"/>
              </w:rPr>
              <w:t>cm*</w:t>
            </w:r>
            <w:r>
              <w:rPr>
                <w:rFonts w:hint="eastAsia" w:ascii="仿宋" w:hAnsi="仿宋" w:eastAsia="仿宋" w:cs="仿宋"/>
                <w:i w:val="0"/>
                <w:iCs w:val="0"/>
                <w:color w:val="auto"/>
                <w:sz w:val="24"/>
                <w:szCs w:val="24"/>
                <w:u w:val="none"/>
              </w:rPr>
              <w:t>W25</w:t>
            </w:r>
            <w:r>
              <w:rPr>
                <w:rFonts w:hint="eastAsia" w:ascii="仿宋" w:hAnsi="仿宋" w:eastAsia="仿宋" w:cs="仿宋"/>
                <w:i w:val="0"/>
                <w:iCs w:val="0"/>
                <w:color w:val="auto"/>
                <w:sz w:val="24"/>
                <w:szCs w:val="24"/>
                <w:u w:val="none"/>
                <w:lang w:val="en-US" w:eastAsia="zh-CN"/>
              </w:rPr>
              <w:t>cm</w:t>
            </w:r>
          </w:p>
          <w:p w14:paraId="7F70BBA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auto"/>
                <w:sz w:val="24"/>
                <w:szCs w:val="24"/>
                <w:u w:val="none"/>
              </w:rPr>
              <w:t>64株/</w:t>
            </w:r>
            <w:r>
              <w:rPr>
                <w:rFonts w:hint="eastAsia" w:ascii="仿宋" w:hAnsi="仿宋" w:eastAsia="仿宋" w:cs="仿宋"/>
                <w:i w:val="0"/>
                <w:iCs w:val="0"/>
                <w:color w:val="auto"/>
                <w:sz w:val="24"/>
                <w:szCs w:val="24"/>
                <w:u w:val="none"/>
                <w:lang w:eastAsia="zh-CN"/>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80C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E33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2CE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446F">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120杯以上杯苗</w:t>
            </w:r>
          </w:p>
        </w:tc>
      </w:tr>
      <w:tr w14:paraId="009C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C54C2E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D0E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5D2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H30-35cm*P30cm</w:t>
            </w:r>
          </w:p>
          <w:p w14:paraId="19FC594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81株/㎡</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F1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4A9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395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50.22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A51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484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B6D67E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B40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天堂鸟</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C7C5">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H＞120cm*P＞70cm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38B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058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E981">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806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97E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678E9D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B13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细叶美女樱</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4E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49株/㎡</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5E2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DE7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732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370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763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99733F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220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常绿鸢尾</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18F7">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H40-50cm*P20-25cm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4BF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60E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904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06B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17B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DA3945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F2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德国鸢尾</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F38C">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H25-30cm*P25-30cm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C97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2AB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89D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7F1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75D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79B8E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68A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再力花</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281C">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H40-45cm*P20-25cm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445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2E6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04D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6CD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90B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52D126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A6D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八宝景天</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2EEA">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H20-25cm*P10-15cm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0E9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087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1A4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0A9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173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E8376D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C62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天门冬</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6F58">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H20-25cm*P60-70cm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703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2D7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FA55">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0A8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569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50EE54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AB3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火星花</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664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H50-55cm*P35-40cm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788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AE5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CEDD">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84A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E2F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088606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0FE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白麦冬</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31A5">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H20-25cm*P20-25cm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AA1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A81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E796">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492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E1B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D681EB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6C0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蓝羊茅</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EE56">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lang w:val="en-US"/>
              </w:rPr>
            </w:pPr>
            <w:r>
              <w:rPr>
                <w:rFonts w:hint="eastAsia" w:ascii="仿宋" w:hAnsi="仿宋" w:eastAsia="仿宋" w:cs="仿宋"/>
                <w:i w:val="0"/>
                <w:iCs w:val="0"/>
                <w:color w:val="000000"/>
                <w:kern w:val="0"/>
                <w:sz w:val="24"/>
                <w:szCs w:val="24"/>
                <w:u w:val="none"/>
                <w:lang w:val="en-US" w:eastAsia="zh-CN" w:bidi="ar"/>
              </w:rPr>
              <w:t>H15-20cm*P15-20cm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ED2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364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930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B89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D41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67F00D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A23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金叶锦带</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31CD">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H70-90cm*P60-70cm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697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5EA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A7C3">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B5F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5F7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A0C355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60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五色梅</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B26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H25-30cm*P25-30cm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F8F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2DE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C1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287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CF2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7883E1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890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六月雪</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DFF9">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lang w:val="en-US"/>
              </w:rPr>
            </w:pPr>
            <w:r>
              <w:rPr>
                <w:rFonts w:hint="eastAsia" w:ascii="仿宋" w:hAnsi="仿宋" w:eastAsia="仿宋" w:cs="仿宋"/>
                <w:i w:val="0"/>
                <w:iCs w:val="0"/>
                <w:color w:val="000000"/>
                <w:kern w:val="0"/>
                <w:sz w:val="24"/>
                <w:szCs w:val="24"/>
                <w:u w:val="none"/>
                <w:lang w:val="en-US" w:eastAsia="zh-CN" w:bidi="ar"/>
              </w:rPr>
              <w:t>H40-45cm*P30-35cm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45A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669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4DA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D9B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3759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F9DE0B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6CE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兰花三七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5E3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H15-20cm*P20-25cm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082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673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6A4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ED2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AD5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9211E6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14F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品种绣球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5928">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H50-60cm*P50-60cm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7DC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AE6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96B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91.74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EBF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2A8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4DF25A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B2A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圆锥绣球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6F49">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H30-40cm*P30-40cm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DEC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755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88D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42B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DFA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5F80C3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E1D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在一起绣球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BEF9">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H30-40cm*P30-40cm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4EA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89C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658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59A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0C9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7AA4545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E2C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夏洛特公主绣球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0815">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H40-50cm*P40-50cm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AA7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64D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66E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CF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3B0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447689E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676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大吴风草</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2EE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H20-25cm*P20-25cm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A92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446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B421">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91A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ED0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145F95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ED3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安酷杜鹃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A3C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H70-80cm*P70-75cm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6B9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E1D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35D8">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280.00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733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9F0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9120DD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1CD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旋转木马绣球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A8E6">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H30-40cm*P30-40cm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F30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8FD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89D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DEB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C8E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4E97D8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3CF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无尽夏绣球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8EF7">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H35-40cm*P35-40cm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AF8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760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0BC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566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178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82F506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2A6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无尽夏绣球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B61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H40-50cm*P40-50cm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704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A4D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A5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93E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57A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5DEB3B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14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春泥绣球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27DE">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H50-60cm*P50-60cm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D2D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A18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2B96">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39.00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BCF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CBB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FDAD80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CA3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F24E">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H30-40cm*P40-50cm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D6C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329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8537">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39.00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769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68B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321995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1AF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毛地黄吊钟柳</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7F8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H35-40cm*P20-25cm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815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23B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C7D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D16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B72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4C24B4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899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玉簪</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518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H20-25cm*P25-30cm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2C7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AC1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5DD9">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F5D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529D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2AA6E0A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A6E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玉簪</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3C5E">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H20-25cm*P40-50cm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E89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1FF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B034">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9EE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D72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B04D1F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F58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玫瑰荚蒾绣球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BE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H70-90cm*P50-60cm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DA7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EC6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C89C">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39.00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9AC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0102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E32C0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4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B1424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白芨</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9AF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H25-30cm，P20-25cm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523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964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FB80">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166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634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CC679F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48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81CB88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紫娇花</w:t>
            </w:r>
          </w:p>
        </w:tc>
        <w:tc>
          <w:tcPr>
            <w:tcW w:w="26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466EA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H30-40cm，P15-20cm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E2B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D79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EE4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3.89</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1F9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D34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auto" w:sz="4" w:space="0"/>
              <w:left w:val="single" w:color="000000" w:sz="4" w:space="0"/>
              <w:bottom w:val="nil"/>
              <w:right w:val="single" w:color="000000" w:sz="4" w:space="0"/>
            </w:tcBorders>
            <w:shd w:val="clear" w:color="auto" w:fill="auto"/>
            <w:noWrap/>
            <w:vAlign w:val="center"/>
          </w:tcPr>
          <w:p w14:paraId="71A6D43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4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76567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紫穗狼尾草</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8DA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H40-45cm*P20-25cm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AB4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80F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B69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591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941F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0BE2FC1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84F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红花郁李</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F0A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H130-135cm*P130-135cm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C77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E4C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B2FD">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350.00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F6E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BA3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3D5B622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5A0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芍药</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F93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H80-90cm*P60-70cm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060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5DA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0188">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3C8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7FD1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782434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A6B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花宝绣球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B90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H25-30cm*P30-35cm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59C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C49F">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9A5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59A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AC2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8B918F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D19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花烟草</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72B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H40-45cm*P25-30cm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688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AF7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5DFF">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720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249F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9BEFAB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A1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蓝山鼠尾草</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6BE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H30-40cm*P20-25cm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199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BAE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149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19A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D0E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3942B3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939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贝拉安娜绣球</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87C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H50-60cm*P50-60cm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253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AA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887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91.74</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AFB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F7A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1823143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276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贯众蕨</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9413">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H30-40cm*P50-60cm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420C">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F22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AD9E">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80.00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254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9AF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5984808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B25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金线菖蒲</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0A12">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H20-25cm*P15-20cm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D6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315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BA6E">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DC4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15A8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nil"/>
              <w:right w:val="single" w:color="000000" w:sz="4" w:space="0"/>
            </w:tcBorders>
            <w:shd w:val="clear" w:color="auto" w:fill="auto"/>
            <w:noWrap/>
            <w:vAlign w:val="center"/>
          </w:tcPr>
          <w:p w14:paraId="6C7C40A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0897">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风雨兰</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90E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H15-20cm*P20-25cm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EF5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6B72">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ABF7">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15.00</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840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6CB5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C473FD">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4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4BA4B8">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大吴风草</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F39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36棵/㎡</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80B1">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29BE">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BFE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0.97</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DAB4">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14:paraId="4B0A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C7DA056">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48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3AFEF6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百慕大</w:t>
            </w:r>
          </w:p>
        </w:tc>
        <w:tc>
          <w:tcPr>
            <w:tcW w:w="26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079F9B5">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p>
        </w:tc>
        <w:tc>
          <w:tcPr>
            <w:tcW w:w="69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FA4DC0">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AC3B">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1439">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9.91</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FD7A">
            <w:pPr>
              <w:keepNext w:val="0"/>
              <w:keepLines w:val="0"/>
              <w:pageBreakBefore w:val="0"/>
              <w:widowControl/>
              <w:suppressLineNumbers w:val="0"/>
              <w:kinsoku/>
              <w:wordWrap/>
              <w:overflowPunct/>
              <w:topLinePunct w:val="0"/>
              <w:bidi w:val="0"/>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bookmarkEnd w:id="34"/>
      <w:bookmarkEnd w:id="35"/>
    </w:tbl>
    <w:p w14:paraId="0E248B86">
      <w:pPr>
        <w:keepNext w:val="0"/>
        <w:keepLines w:val="0"/>
        <w:pageBreakBefore w:val="0"/>
        <w:kinsoku/>
        <w:wordWrap/>
        <w:overflowPunct/>
        <w:topLinePunct w:val="0"/>
        <w:bidi w:val="0"/>
        <w:snapToGrid/>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eastAsia="zh-CN"/>
        </w:rPr>
        <w:t>注：</w:t>
      </w:r>
      <w:r>
        <w:rPr>
          <w:rFonts w:hint="eastAsia" w:ascii="仿宋" w:hAnsi="仿宋" w:eastAsia="仿宋" w:cs="仿宋"/>
          <w:color w:val="auto"/>
          <w:sz w:val="24"/>
          <w:szCs w:val="24"/>
          <w:highlight w:val="none"/>
        </w:rPr>
        <w:t>1、上述</w:t>
      </w:r>
      <w:r>
        <w:rPr>
          <w:rFonts w:hint="eastAsia" w:ascii="仿宋" w:hAnsi="仿宋" w:eastAsia="仿宋" w:cs="仿宋"/>
          <w:color w:val="auto"/>
          <w:sz w:val="24"/>
          <w:szCs w:val="24"/>
          <w:highlight w:val="none"/>
          <w:lang w:val="en-US" w:eastAsia="zh-CN"/>
        </w:rPr>
        <w:t>价格包含</w:t>
      </w:r>
      <w:r>
        <w:rPr>
          <w:rFonts w:hint="eastAsia" w:ascii="仿宋" w:hAnsi="仿宋" w:eastAsia="仿宋" w:cs="仿宋"/>
          <w:b/>
          <w:color w:val="auto"/>
          <w:sz w:val="24"/>
          <w:szCs w:val="24"/>
          <w:highlight w:val="none"/>
        </w:rPr>
        <w:t>苗木价、税、运费</w:t>
      </w:r>
      <w:r>
        <w:rPr>
          <w:rFonts w:hint="eastAsia" w:ascii="仿宋" w:hAnsi="仿宋" w:eastAsia="仿宋" w:cs="仿宋"/>
          <w:b/>
          <w:color w:val="auto"/>
          <w:sz w:val="24"/>
          <w:szCs w:val="24"/>
          <w:highlight w:val="none"/>
          <w:lang w:val="en-US" w:eastAsia="zh-CN"/>
        </w:rPr>
        <w:t>等</w:t>
      </w:r>
      <w:r>
        <w:rPr>
          <w:rFonts w:hint="eastAsia" w:ascii="仿宋" w:hAnsi="仿宋" w:eastAsia="仿宋" w:cs="仿宋"/>
          <w:color w:val="auto"/>
          <w:sz w:val="24"/>
          <w:szCs w:val="24"/>
          <w:highlight w:val="none"/>
        </w:rPr>
        <w:t>的价格，实际</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数量以业主要求为准；</w:t>
      </w:r>
    </w:p>
    <w:p w14:paraId="28C01FF5">
      <w:pPr>
        <w:keepNext w:val="0"/>
        <w:keepLines w:val="0"/>
        <w:pageBreakBefore w:val="0"/>
        <w:kinsoku/>
        <w:wordWrap/>
        <w:overflowPunct/>
        <w:topLinePunct w:val="0"/>
        <w:bidi w:val="0"/>
        <w:snapToGrid/>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2、本项目采用统一折扣率报价，投标报价单价=</w:t>
      </w:r>
      <w:r>
        <w:rPr>
          <w:rFonts w:hint="eastAsia" w:ascii="仿宋" w:hAnsi="仿宋" w:eastAsia="仿宋" w:cs="仿宋"/>
          <w:color w:val="auto"/>
          <w:sz w:val="24"/>
          <w:szCs w:val="24"/>
          <w:highlight w:val="none"/>
          <w:lang w:val="en-US" w:eastAsia="zh-CN"/>
        </w:rPr>
        <w:t>预算</w:t>
      </w:r>
      <w:r>
        <w:rPr>
          <w:rFonts w:hint="eastAsia" w:ascii="仿宋" w:hAnsi="仿宋" w:eastAsia="仿宋" w:cs="仿宋"/>
          <w:color w:val="auto"/>
          <w:sz w:val="24"/>
          <w:szCs w:val="24"/>
          <w:highlight w:val="none"/>
        </w:rPr>
        <w:t>单价×</w:t>
      </w:r>
      <w:r>
        <w:rPr>
          <w:rFonts w:hint="eastAsia" w:ascii="仿宋" w:hAnsi="仿宋" w:eastAsia="仿宋" w:cs="仿宋"/>
          <w:color w:val="auto"/>
          <w:sz w:val="24"/>
          <w:szCs w:val="24"/>
          <w:highlight w:val="none"/>
          <w:lang w:val="en-US" w:eastAsia="zh-CN"/>
        </w:rPr>
        <w:t>统一</w:t>
      </w:r>
      <w:r>
        <w:rPr>
          <w:rFonts w:hint="eastAsia" w:ascii="仿宋" w:hAnsi="仿宋" w:eastAsia="仿宋" w:cs="仿宋"/>
          <w:color w:val="auto"/>
          <w:sz w:val="24"/>
          <w:szCs w:val="24"/>
          <w:highlight w:val="none"/>
        </w:rPr>
        <w:t>折扣率。</w:t>
      </w:r>
    </w:p>
    <w:p w14:paraId="7A05AEFA">
      <w:pPr>
        <w:keepNext w:val="0"/>
        <w:keepLines w:val="0"/>
        <w:pageBreakBefore w:val="0"/>
        <w:kinsoku/>
        <w:wordWrap/>
        <w:overflowPunct/>
        <w:topLinePunct w:val="0"/>
        <w:bidi w:val="0"/>
        <w:snapToGrid/>
        <w:spacing w:line="400" w:lineRule="exact"/>
        <w:ind w:firstLine="480" w:firstLineChars="20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3、上述价格按折扣率同比例折扣确定结算价款。</w:t>
      </w:r>
    </w:p>
    <w:p w14:paraId="61C13C8E">
      <w:pPr>
        <w:keepNext w:val="0"/>
        <w:keepLines w:val="0"/>
        <w:pageBreakBefore w:val="0"/>
        <w:kinsoku/>
        <w:wordWrap/>
        <w:overflowPunct/>
        <w:topLinePunct w:val="0"/>
        <w:bidi w:val="0"/>
        <w:snapToGrid/>
        <w:spacing w:line="400" w:lineRule="exact"/>
        <w:ind w:firstLine="480" w:firstLineChars="20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φ—胸径（指离土球表面120cm处树杆直径）；H—苗木的高度；P—冠径；D—地径（指离地30cm处尺寸）；</w:t>
      </w:r>
      <w:r>
        <w:rPr>
          <w:rFonts w:hint="eastAsia" w:ascii="仿宋" w:hAnsi="仿宋" w:eastAsia="仿宋" w:cs="仿宋"/>
          <w:b w:val="0"/>
          <w:bCs w:val="0"/>
          <w:color w:val="auto"/>
          <w:sz w:val="24"/>
          <w:szCs w:val="24"/>
          <w:lang w:val="en-US" w:eastAsia="zh-CN"/>
        </w:rPr>
        <w:t>W</w:t>
      </w:r>
      <w:r>
        <w:rPr>
          <w:rFonts w:hint="eastAsia" w:ascii="仿宋" w:hAnsi="仿宋" w:eastAsia="仿宋" w:cs="仿宋"/>
          <w:b w:val="0"/>
          <w:bCs w:val="0"/>
          <w:color w:val="auto"/>
          <w:sz w:val="24"/>
          <w:szCs w:val="24"/>
          <w:lang w:eastAsia="zh-CN"/>
        </w:rPr>
        <w:t>—冠幅。</w:t>
      </w:r>
    </w:p>
    <w:p w14:paraId="5DF25663">
      <w:pPr>
        <w:keepNext w:val="0"/>
        <w:keepLines w:val="0"/>
        <w:pageBreakBefore w:val="0"/>
        <w:kinsoku/>
        <w:wordWrap/>
        <w:overflowPunct/>
        <w:topLinePunct w:val="0"/>
        <w:bidi w:val="0"/>
        <w:spacing w:line="40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质量要求</w:t>
      </w:r>
    </w:p>
    <w:p w14:paraId="355B3DCF">
      <w:pPr>
        <w:keepNext w:val="0"/>
        <w:keepLines w:val="0"/>
        <w:pageBreakBefore w:val="0"/>
        <w:kinsoku/>
        <w:wordWrap/>
        <w:overflowPunct/>
        <w:topLinePunct w:val="0"/>
        <w:bidi w:val="0"/>
        <w:spacing w:line="4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提供的苗木要求生长良好且无病虫害并做到：</w:t>
      </w:r>
    </w:p>
    <w:p w14:paraId="15B04954">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保证苗木质量按合同约定质量标准执行并符合</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规定的要求，</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对苗木质量负完全责任。</w:t>
      </w:r>
    </w:p>
    <w:p w14:paraId="041DDD34">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2、桩木类做到</w:t>
      </w:r>
      <w:r>
        <w:rPr>
          <w:rFonts w:hint="eastAsia" w:ascii="仿宋" w:hAnsi="仿宋" w:eastAsia="仿宋" w:cs="仿宋"/>
          <w:b w:val="0"/>
          <w:bCs w:val="0"/>
          <w:color w:val="auto"/>
          <w:sz w:val="24"/>
          <w:szCs w:val="24"/>
        </w:rPr>
        <w:t>造型优美</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整体形象</w:t>
      </w:r>
      <w:r>
        <w:rPr>
          <w:rFonts w:hint="eastAsia" w:ascii="仿宋" w:hAnsi="仿宋" w:eastAsia="仿宋" w:cs="仿宋"/>
          <w:b w:val="0"/>
          <w:bCs w:val="0"/>
          <w:color w:val="auto"/>
          <w:sz w:val="24"/>
          <w:szCs w:val="24"/>
        </w:rPr>
        <w:t>饱满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枝叶</w:t>
      </w:r>
      <w:r>
        <w:rPr>
          <w:rFonts w:hint="eastAsia" w:ascii="仿宋" w:hAnsi="仿宋" w:eastAsia="仿宋" w:cs="仿宋"/>
          <w:b w:val="0"/>
          <w:bCs w:val="0"/>
          <w:color w:val="auto"/>
          <w:sz w:val="24"/>
          <w:szCs w:val="24"/>
          <w:lang w:val="en-US" w:eastAsia="zh-CN"/>
        </w:rPr>
        <w:t>规范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无病虫害</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品种纯正</w:t>
      </w:r>
      <w:r>
        <w:rPr>
          <w:rFonts w:hint="eastAsia" w:ascii="仿宋" w:hAnsi="仿宋" w:eastAsia="仿宋" w:cs="仿宋"/>
          <w:b w:val="0"/>
          <w:bCs w:val="0"/>
          <w:color w:val="auto"/>
          <w:sz w:val="24"/>
          <w:szCs w:val="24"/>
          <w:lang w:eastAsia="zh-CN"/>
        </w:rPr>
        <w:t>。</w:t>
      </w:r>
    </w:p>
    <w:p w14:paraId="3DF44122">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lang w:val="en-US" w:eastAsia="zh-CN"/>
        </w:rPr>
        <w:t>中标人提供</w:t>
      </w:r>
      <w:r>
        <w:rPr>
          <w:rFonts w:hint="eastAsia" w:ascii="仿宋" w:hAnsi="仿宋" w:eastAsia="仿宋" w:cs="仿宋"/>
          <w:b w:val="0"/>
          <w:bCs w:val="0"/>
          <w:color w:val="auto"/>
          <w:sz w:val="24"/>
          <w:szCs w:val="24"/>
        </w:rPr>
        <w:t>规范的苗木标签、出圃单、苗木质检报告、无检疫对象证明。</w:t>
      </w:r>
    </w:p>
    <w:p w14:paraId="18C3465B">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乔木均为全冠精品苗，三级分叉以上，分支点高度基本一致，10cm以上乔木分支点高度要求在</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m以上；要求生长良好且无病虫害且树干通直，泥球按规范要求定大小且结实不松散，树冠四面匀称（达不到要求的乔木全部按退货处理，退货三次以上</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有权单方面解除合同）；</w:t>
      </w:r>
      <w:r>
        <w:rPr>
          <w:rFonts w:hint="eastAsia" w:ascii="仿宋" w:hAnsi="仿宋" w:eastAsia="仿宋" w:cs="仿宋"/>
          <w:b w:val="0"/>
          <w:bCs w:val="0"/>
          <w:color w:val="auto"/>
          <w:sz w:val="24"/>
          <w:szCs w:val="24"/>
          <w:lang w:eastAsia="zh-CN"/>
        </w:rPr>
        <w:t>草坪要求根部土厚</w:t>
      </w:r>
      <w:r>
        <w:rPr>
          <w:rFonts w:hint="eastAsia" w:ascii="仿宋" w:hAnsi="仿宋" w:eastAsia="仿宋" w:cs="仿宋"/>
          <w:b w:val="0"/>
          <w:bCs w:val="0"/>
          <w:color w:val="auto"/>
          <w:sz w:val="24"/>
          <w:szCs w:val="24"/>
          <w:lang w:val="en-US" w:eastAsia="zh-CN"/>
        </w:rPr>
        <w:t>2-3cm，高度3cm以上，茂盛无枯叶。</w:t>
      </w:r>
    </w:p>
    <w:p w14:paraId="6DD5F38E">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灌木冠形密实匀称，泥球好；</w:t>
      </w:r>
    </w:p>
    <w:p w14:paraId="31BF8BB8">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草皮纯净度在98%以上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草皮底部带土厚度均匀且不小于3</w:t>
      </w:r>
      <w:r>
        <w:rPr>
          <w:rFonts w:hint="eastAsia" w:ascii="仿宋" w:hAnsi="仿宋" w:eastAsia="仿宋" w:cs="仿宋"/>
          <w:color w:val="auto"/>
          <w:sz w:val="24"/>
          <w:szCs w:val="24"/>
          <w:highlight w:val="none"/>
        </w:rPr>
        <w:t>cm；</w:t>
      </w:r>
    </w:p>
    <w:p w14:paraId="1624DBE8">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7、</w:t>
      </w:r>
      <w:r>
        <w:rPr>
          <w:rFonts w:hint="eastAsia" w:ascii="仿宋" w:hAnsi="仿宋" w:eastAsia="仿宋" w:cs="仿宋"/>
          <w:b w:val="0"/>
          <w:bCs w:val="0"/>
          <w:color w:val="auto"/>
          <w:sz w:val="24"/>
          <w:szCs w:val="24"/>
          <w:lang w:val="en-US" w:eastAsia="zh-CN"/>
        </w:rPr>
        <w:t>苗</w:t>
      </w:r>
      <w:r>
        <w:rPr>
          <w:rFonts w:hint="eastAsia" w:ascii="仿宋" w:hAnsi="仿宋" w:eastAsia="仿宋" w:cs="仿宋"/>
          <w:b w:val="0"/>
          <w:bCs w:val="0"/>
          <w:color w:val="auto"/>
          <w:sz w:val="24"/>
          <w:szCs w:val="24"/>
        </w:rPr>
        <w:t>木起吊上车，树皮要求完好不破损；</w:t>
      </w:r>
    </w:p>
    <w:p w14:paraId="0D625E80">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8、苗木</w:t>
      </w:r>
      <w:r>
        <w:rPr>
          <w:rFonts w:hint="eastAsia" w:ascii="仿宋" w:hAnsi="仿宋" w:eastAsia="仿宋" w:cs="仿宋"/>
          <w:b w:val="0"/>
          <w:bCs w:val="0"/>
          <w:color w:val="auto"/>
          <w:sz w:val="24"/>
          <w:szCs w:val="24"/>
        </w:rPr>
        <w:t>规格</w:t>
      </w:r>
      <w:r>
        <w:rPr>
          <w:rFonts w:hint="eastAsia" w:ascii="仿宋" w:hAnsi="仿宋" w:eastAsia="仿宋" w:cs="仿宋"/>
          <w:b w:val="0"/>
          <w:bCs w:val="0"/>
          <w:color w:val="auto"/>
          <w:sz w:val="24"/>
          <w:szCs w:val="24"/>
          <w:lang w:eastAsia="zh-CN"/>
        </w:rPr>
        <w:t>不</w:t>
      </w:r>
      <w:r>
        <w:rPr>
          <w:rFonts w:hint="eastAsia" w:ascii="仿宋" w:hAnsi="仿宋" w:eastAsia="仿宋" w:cs="仿宋"/>
          <w:b w:val="0"/>
          <w:bCs w:val="0"/>
          <w:color w:val="auto"/>
          <w:sz w:val="24"/>
          <w:szCs w:val="24"/>
        </w:rPr>
        <w:t>允许下浮</w:t>
      </w:r>
      <w:r>
        <w:rPr>
          <w:rFonts w:hint="eastAsia" w:ascii="仿宋" w:hAnsi="仿宋" w:eastAsia="仿宋" w:cs="仿宋"/>
          <w:b w:val="0"/>
          <w:bCs w:val="0"/>
          <w:color w:val="auto"/>
          <w:sz w:val="24"/>
          <w:szCs w:val="24"/>
          <w:lang w:eastAsia="zh-CN"/>
        </w:rPr>
        <w:t>，只能比要求规格大</w:t>
      </w:r>
      <w:r>
        <w:rPr>
          <w:rFonts w:hint="eastAsia" w:ascii="仿宋" w:hAnsi="仿宋" w:eastAsia="仿宋" w:cs="仿宋"/>
          <w:b w:val="0"/>
          <w:bCs w:val="0"/>
          <w:color w:val="auto"/>
          <w:sz w:val="24"/>
          <w:szCs w:val="24"/>
        </w:rPr>
        <w:t>。</w:t>
      </w:r>
    </w:p>
    <w:p w14:paraId="04DDA1C7">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以上质量要求得到保证，</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予以验收合格。</w:t>
      </w:r>
    </w:p>
    <w:p w14:paraId="64FE93CE">
      <w:pPr>
        <w:keepNext w:val="0"/>
        <w:keepLines w:val="0"/>
        <w:pageBreakBefore w:val="0"/>
        <w:numPr>
          <w:ilvl w:val="0"/>
          <w:numId w:val="0"/>
        </w:numPr>
        <w:kinsoku/>
        <w:wordWrap/>
        <w:overflowPunct/>
        <w:topLinePunct w:val="0"/>
        <w:bidi w:val="0"/>
        <w:spacing w:line="40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乔木部分未注明的均为全冠苗。</w:t>
      </w:r>
    </w:p>
    <w:p w14:paraId="649A1D33">
      <w:pPr>
        <w:keepNext w:val="0"/>
        <w:keepLines w:val="0"/>
        <w:pageBreakBefore w:val="0"/>
        <w:numPr>
          <w:ilvl w:val="0"/>
          <w:numId w:val="0"/>
        </w:numPr>
        <w:kinsoku/>
        <w:wordWrap/>
        <w:overflowPunct/>
        <w:topLinePunct w:val="0"/>
        <w:bidi w:val="0"/>
        <w:spacing w:line="40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特别注意：所报单价包含苗木价、税、运费等完成本项目涉及的所有费用。</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应充分考虑本项目应急补种特殊情况，充分考虑因多次少量运输而产生的成本。中标人必须无条件响应招标人的发货要求。苗木单价为到场价，在本项目供苗期内中标单价不做调整。</w:t>
      </w:r>
    </w:p>
    <w:p w14:paraId="40E41A07">
      <w:pPr>
        <w:keepNext w:val="0"/>
        <w:keepLines w:val="0"/>
        <w:pageBreakBefore w:val="0"/>
        <w:numPr>
          <w:ilvl w:val="0"/>
          <w:numId w:val="0"/>
        </w:numPr>
        <w:kinsoku/>
        <w:wordWrap/>
        <w:overflowPunct/>
        <w:topLinePunct w:val="0"/>
        <w:bidi w:val="0"/>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商务要求</w:t>
      </w:r>
    </w:p>
    <w:tbl>
      <w:tblPr>
        <w:tblStyle w:val="62"/>
        <w:tblW w:w="911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7510"/>
      </w:tblGrid>
      <w:tr w14:paraId="3990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noWrap w:val="0"/>
            <w:vAlign w:val="center"/>
          </w:tcPr>
          <w:p w14:paraId="0B753A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供货</w:t>
            </w:r>
            <w:r>
              <w:rPr>
                <w:rFonts w:hint="eastAsia" w:ascii="仿宋" w:hAnsi="仿宋" w:eastAsia="仿宋" w:cs="仿宋"/>
                <w:b w:val="0"/>
                <w:bCs w:val="0"/>
                <w:color w:val="auto"/>
                <w:sz w:val="24"/>
                <w:szCs w:val="24"/>
                <w:highlight w:val="none"/>
                <w:u w:val="none"/>
                <w:lang w:eastAsia="zh-CN"/>
              </w:rPr>
              <w:t>地点</w:t>
            </w:r>
          </w:p>
        </w:tc>
        <w:tc>
          <w:tcPr>
            <w:tcW w:w="7510" w:type="dxa"/>
            <w:noWrap w:val="0"/>
            <w:vAlign w:val="top"/>
          </w:tcPr>
          <w:p w14:paraId="5E955D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highlight w:val="none"/>
                <w:u w:val="none"/>
                <w:lang w:eastAsia="zh-CN"/>
              </w:rPr>
              <w:t>嵊州全市范围内，</w:t>
            </w:r>
            <w:r>
              <w:rPr>
                <w:rFonts w:hint="eastAsia" w:ascii="仿宋" w:hAnsi="仿宋" w:eastAsia="仿宋" w:cs="仿宋"/>
                <w:b w:val="0"/>
                <w:bCs w:val="0"/>
                <w:color w:val="auto"/>
                <w:sz w:val="24"/>
                <w:szCs w:val="24"/>
                <w:highlight w:val="none"/>
                <w:u w:val="none"/>
                <w:lang w:val="en-US" w:eastAsia="zh-CN"/>
              </w:rPr>
              <w:t>采购人</w:t>
            </w:r>
            <w:r>
              <w:rPr>
                <w:rFonts w:hint="eastAsia" w:ascii="仿宋" w:hAnsi="仿宋" w:eastAsia="仿宋" w:cs="仿宋"/>
                <w:b w:val="0"/>
                <w:bCs w:val="0"/>
                <w:color w:val="auto"/>
                <w:sz w:val="24"/>
                <w:szCs w:val="24"/>
                <w:highlight w:val="none"/>
                <w:u w:val="none"/>
              </w:rPr>
              <w:t>指定地点</w:t>
            </w:r>
            <w:r>
              <w:rPr>
                <w:rFonts w:hint="eastAsia" w:ascii="仿宋" w:hAnsi="仿宋" w:eastAsia="仿宋" w:cs="仿宋"/>
                <w:b w:val="0"/>
                <w:bCs w:val="0"/>
                <w:color w:val="auto"/>
                <w:sz w:val="24"/>
                <w:szCs w:val="24"/>
                <w:highlight w:val="none"/>
              </w:rPr>
              <w:t>。</w:t>
            </w:r>
          </w:p>
        </w:tc>
      </w:tr>
      <w:tr w14:paraId="68EC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4" w:type="dxa"/>
            <w:vMerge w:val="restart"/>
            <w:noWrap w:val="0"/>
            <w:vAlign w:val="center"/>
          </w:tcPr>
          <w:p w14:paraId="036A8A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eastAsia="zh-CN"/>
              </w:rPr>
              <w:t>供货要求</w:t>
            </w:r>
          </w:p>
        </w:tc>
        <w:tc>
          <w:tcPr>
            <w:tcW w:w="7510" w:type="dxa"/>
            <w:noWrap w:val="0"/>
            <w:vAlign w:val="center"/>
          </w:tcPr>
          <w:p w14:paraId="3112193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right="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服务期自合同签订后至项目完工结束，具体时间根据业主要求(合同期最长不超过一年)。</w:t>
            </w:r>
          </w:p>
        </w:tc>
      </w:tr>
      <w:tr w14:paraId="46C8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4" w:type="dxa"/>
            <w:vMerge w:val="continue"/>
            <w:noWrap w:val="0"/>
            <w:vAlign w:val="center"/>
          </w:tcPr>
          <w:p w14:paraId="4BB41E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eastAsia="zh-CN"/>
              </w:rPr>
            </w:pPr>
          </w:p>
        </w:tc>
        <w:tc>
          <w:tcPr>
            <w:tcW w:w="7510" w:type="dxa"/>
            <w:noWrap w:val="0"/>
            <w:vAlign w:val="center"/>
          </w:tcPr>
          <w:p w14:paraId="145061F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right="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lang w:val="en-US" w:eastAsia="zh-CN"/>
              </w:rPr>
              <w:t>采用分批次供货，接到采购人通知后，7天内送至采购人指定地点，中标人未能按时供货，采购人有权另行采购，由此给采购人造成的损失由中标人承担，在履约保证金中扣除。</w:t>
            </w:r>
          </w:p>
        </w:tc>
      </w:tr>
      <w:tr w14:paraId="30DA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4" w:type="dxa"/>
            <w:vMerge w:val="continue"/>
            <w:noWrap w:val="0"/>
            <w:vAlign w:val="center"/>
          </w:tcPr>
          <w:p w14:paraId="36CD25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eastAsia="zh-CN"/>
              </w:rPr>
            </w:pPr>
          </w:p>
        </w:tc>
        <w:tc>
          <w:tcPr>
            <w:tcW w:w="7510" w:type="dxa"/>
            <w:noWrap w:val="0"/>
            <w:vAlign w:val="center"/>
          </w:tcPr>
          <w:p w14:paraId="608274D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right="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苗木质量不合格</w:t>
            </w:r>
            <w:r>
              <w:rPr>
                <w:rFonts w:hint="eastAsia" w:ascii="仿宋" w:hAnsi="仿宋" w:eastAsia="仿宋" w:cs="仿宋"/>
                <w:color w:val="auto"/>
                <w:sz w:val="24"/>
                <w:szCs w:val="24"/>
                <w:highlight w:val="none"/>
                <w:lang w:val="en-US" w:eastAsia="zh-CN"/>
              </w:rPr>
              <w:t>，每批退货率超过5%，首次扣款2000元，第二次扣款3000元，第三次扣款5000元。</w:t>
            </w:r>
          </w:p>
          <w:p w14:paraId="3B48362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right="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highlight w:val="none"/>
                <w:lang w:val="en-US" w:eastAsia="zh-CN"/>
              </w:rPr>
              <w:t>三次之后或</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无故不响应</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采购人有权解除合同并要求中标人赔偿损失。</w:t>
            </w:r>
          </w:p>
        </w:tc>
      </w:tr>
      <w:tr w14:paraId="2A8E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04" w:type="dxa"/>
            <w:noWrap w:val="0"/>
            <w:vAlign w:val="center"/>
          </w:tcPr>
          <w:p w14:paraId="28AD5A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履约保证金</w:t>
            </w:r>
          </w:p>
        </w:tc>
        <w:tc>
          <w:tcPr>
            <w:tcW w:w="7510" w:type="dxa"/>
            <w:noWrap w:val="0"/>
            <w:vAlign w:val="center"/>
          </w:tcPr>
          <w:p w14:paraId="2F482D53">
            <w:pPr>
              <w:keepNext w:val="0"/>
              <w:keepLines w:val="0"/>
              <w:pageBreakBefore w:val="0"/>
              <w:kinsoku/>
              <w:wordWrap/>
              <w:overflowPunct/>
              <w:topLinePunct w:val="0"/>
              <w:autoSpaceDE w:val="0"/>
              <w:autoSpaceDN w:val="0"/>
              <w:bidi w:val="0"/>
              <w:adjustRightInd/>
              <w:spacing w:line="400" w:lineRule="exact"/>
              <w:textAlignment w:val="bottom"/>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履约保证金支付方式：</w:t>
            </w:r>
            <w:r>
              <w:rPr>
                <w:rFonts w:hint="eastAsia" w:ascii="仿宋" w:hAnsi="仿宋" w:eastAsia="仿宋" w:cs="仿宋"/>
                <w:b w:val="0"/>
                <w:bCs w:val="0"/>
                <w:color w:val="auto"/>
                <w:sz w:val="24"/>
                <w:szCs w:val="24"/>
                <w:highlight w:val="none"/>
              </w:rPr>
              <w:t>网上银行、电汇、汇票或转帐形式。</w:t>
            </w:r>
          </w:p>
          <w:p w14:paraId="7E1146B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履约保证金：</w:t>
            </w:r>
            <w:r>
              <w:rPr>
                <w:rFonts w:hint="eastAsia" w:ascii="仿宋" w:hAnsi="仿宋" w:eastAsia="仿宋" w:cs="仿宋"/>
                <w:b w:val="0"/>
                <w:bCs w:val="0"/>
                <w:color w:val="auto"/>
                <w:sz w:val="24"/>
                <w:szCs w:val="24"/>
                <w:highlight w:val="none"/>
                <w:lang w:val="en-US" w:eastAsia="zh-CN"/>
              </w:rPr>
              <w:t>1万元整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服务期满后</w:t>
            </w:r>
            <w:r>
              <w:rPr>
                <w:rFonts w:hint="eastAsia" w:ascii="仿宋" w:hAnsi="仿宋" w:eastAsia="仿宋" w:cs="仿宋"/>
                <w:b w:val="0"/>
                <w:bCs w:val="0"/>
                <w:color w:val="auto"/>
                <w:sz w:val="24"/>
                <w:szCs w:val="24"/>
                <w:highlight w:val="none"/>
              </w:rPr>
              <w:t>10日内无息返还。</w:t>
            </w:r>
          </w:p>
          <w:p w14:paraId="7452AF1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right="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highlight w:val="none"/>
              </w:rPr>
              <w:t>如中标单位未能履行合同规定的义务，业主有权</w:t>
            </w:r>
            <w:r>
              <w:rPr>
                <w:rFonts w:hint="eastAsia" w:ascii="仿宋" w:hAnsi="仿宋" w:eastAsia="仿宋" w:cs="仿宋"/>
                <w:b w:val="0"/>
                <w:bCs w:val="0"/>
                <w:color w:val="auto"/>
                <w:sz w:val="24"/>
                <w:szCs w:val="24"/>
                <w:highlight w:val="none"/>
                <w:lang w:val="en-US" w:eastAsia="zh-CN"/>
              </w:rPr>
              <w:t>没收</w:t>
            </w:r>
            <w:r>
              <w:rPr>
                <w:rFonts w:hint="eastAsia" w:ascii="仿宋" w:hAnsi="仿宋" w:eastAsia="仿宋" w:cs="仿宋"/>
                <w:b w:val="0"/>
                <w:bCs w:val="0"/>
                <w:color w:val="auto"/>
                <w:sz w:val="24"/>
                <w:szCs w:val="24"/>
                <w:highlight w:val="none"/>
              </w:rPr>
              <w:t>履约保证金。</w:t>
            </w:r>
          </w:p>
        </w:tc>
      </w:tr>
      <w:tr w14:paraId="6DE5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04" w:type="dxa"/>
            <w:noWrap w:val="0"/>
            <w:vAlign w:val="center"/>
          </w:tcPr>
          <w:p w14:paraId="042F07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付款方式</w:t>
            </w:r>
          </w:p>
        </w:tc>
        <w:tc>
          <w:tcPr>
            <w:tcW w:w="7510" w:type="dxa"/>
            <w:noWrap w:val="0"/>
            <w:vAlign w:val="center"/>
          </w:tcPr>
          <w:p w14:paraId="2494A1B6">
            <w:pPr>
              <w:keepNext w:val="0"/>
              <w:keepLines w:val="0"/>
              <w:pageBreakBefore w:val="0"/>
              <w:numPr>
                <w:ilvl w:val="0"/>
                <w:numId w:val="0"/>
              </w:numPr>
              <w:kinsoku/>
              <w:wordWrap/>
              <w:overflowPunct/>
              <w:topLinePunct w:val="0"/>
              <w:bidi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eastAsia="zh-CN"/>
              </w:rPr>
              <w:t>按业主要求的苗木分批次到货，每批次验收合格</w:t>
            </w:r>
            <w:r>
              <w:rPr>
                <w:rFonts w:hint="eastAsia" w:ascii="仿宋" w:hAnsi="仿宋" w:eastAsia="仿宋" w:cs="仿宋"/>
                <w:b w:val="0"/>
                <w:bCs w:val="0"/>
                <w:color w:val="auto"/>
                <w:sz w:val="24"/>
                <w:szCs w:val="24"/>
                <w:highlight w:val="none"/>
                <w:lang w:val="en-US" w:eastAsia="zh-CN"/>
              </w:rPr>
              <w:t>次</w:t>
            </w:r>
            <w:r>
              <w:rPr>
                <w:rFonts w:hint="eastAsia" w:ascii="仿宋" w:hAnsi="仿宋" w:eastAsia="仿宋" w:cs="仿宋"/>
                <w:b w:val="0"/>
                <w:bCs w:val="0"/>
                <w:color w:val="auto"/>
                <w:sz w:val="24"/>
                <w:szCs w:val="24"/>
                <w:highlight w:val="none"/>
                <w:lang w:eastAsia="zh-CN"/>
              </w:rPr>
              <w:t>月支付该批次苗木款的100%（例：1月份验收的苗木，于</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月份结算支付；2月份验收的苗木，于</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月份结算支付，以此类推)。</w:t>
            </w:r>
          </w:p>
        </w:tc>
      </w:tr>
      <w:tr w14:paraId="10A6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04" w:type="dxa"/>
            <w:noWrap w:val="0"/>
            <w:vAlign w:val="center"/>
          </w:tcPr>
          <w:p w14:paraId="02DD03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验收</w:t>
            </w:r>
          </w:p>
        </w:tc>
        <w:tc>
          <w:tcPr>
            <w:tcW w:w="7510" w:type="dxa"/>
            <w:noWrap w:val="0"/>
            <w:vAlign w:val="top"/>
          </w:tcPr>
          <w:p w14:paraId="5933E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eastAsia="zh-CN"/>
              </w:rPr>
              <w:t>按苗木到货时间分批次验收，在货到后</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个工作日内，业主对苗木进行验收，苗木验收不合格，予以退苗处理，造成的一切损失有中标方承担。</w:t>
            </w:r>
          </w:p>
        </w:tc>
      </w:tr>
      <w:tr w14:paraId="463F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04" w:type="dxa"/>
            <w:noWrap w:val="0"/>
            <w:vAlign w:val="center"/>
          </w:tcPr>
          <w:p w14:paraId="7F5A8D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eastAsia="zh-CN"/>
              </w:rPr>
              <w:t>安全要求</w:t>
            </w:r>
          </w:p>
        </w:tc>
        <w:tc>
          <w:tcPr>
            <w:tcW w:w="7510" w:type="dxa"/>
            <w:noWrap w:val="0"/>
            <w:vAlign w:val="top"/>
          </w:tcPr>
          <w:p w14:paraId="4786621B">
            <w:pPr>
              <w:pStyle w:val="70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8"/>
                <w:sz w:val="24"/>
                <w:szCs w:val="24"/>
                <w:lang w:val="en-US" w:eastAsia="zh-CN"/>
              </w:rPr>
              <w:t>签订合同后，</w:t>
            </w:r>
            <w:r>
              <w:rPr>
                <w:rFonts w:hint="eastAsia" w:ascii="仿宋" w:hAnsi="仿宋" w:eastAsia="仿宋" w:cs="仿宋"/>
                <w:b w:val="0"/>
                <w:bCs w:val="0"/>
                <w:color w:val="auto"/>
                <w:sz w:val="24"/>
                <w:szCs w:val="24"/>
                <w:lang w:val="en-US" w:eastAsia="zh-CN"/>
              </w:rPr>
              <w:t>中标人需为项目人员办理</w:t>
            </w:r>
            <w:r>
              <w:rPr>
                <w:rFonts w:hint="eastAsia" w:ascii="仿宋" w:hAnsi="仿宋" w:eastAsia="仿宋" w:cs="仿宋"/>
                <w:color w:val="auto"/>
                <w:sz w:val="24"/>
                <w:szCs w:val="24"/>
                <w:highlight w:val="none"/>
              </w:rPr>
              <w:t>人身意外伤害险</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在生产运营过程中发生的一切安全生产事故与意外事故费用均由</w:t>
            </w:r>
            <w:r>
              <w:rPr>
                <w:rFonts w:hint="eastAsia" w:ascii="仿宋" w:hAnsi="仿宋" w:eastAsia="仿宋" w:cs="仿宋"/>
                <w:b w:val="0"/>
                <w:bCs w:val="0"/>
                <w:color w:val="auto"/>
                <w:sz w:val="24"/>
                <w:szCs w:val="24"/>
                <w:lang w:eastAsia="zh-CN"/>
              </w:rPr>
              <w:t>中标人</w:t>
            </w:r>
            <w:r>
              <w:rPr>
                <w:rFonts w:hint="eastAsia" w:ascii="仿宋" w:hAnsi="仿宋" w:eastAsia="仿宋" w:cs="仿宋"/>
                <w:b w:val="0"/>
                <w:bCs w:val="0"/>
                <w:color w:val="auto"/>
                <w:sz w:val="24"/>
                <w:szCs w:val="24"/>
              </w:rPr>
              <w:t>自理。</w:t>
            </w:r>
          </w:p>
        </w:tc>
      </w:tr>
      <w:tr w14:paraId="0272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04" w:type="dxa"/>
            <w:noWrap w:val="0"/>
            <w:vAlign w:val="center"/>
          </w:tcPr>
          <w:p w14:paraId="185148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其他</w:t>
            </w:r>
          </w:p>
        </w:tc>
        <w:tc>
          <w:tcPr>
            <w:tcW w:w="7510" w:type="dxa"/>
            <w:noWrap w:val="0"/>
            <w:vAlign w:val="top"/>
          </w:tcPr>
          <w:p w14:paraId="779EAF7F">
            <w:pPr>
              <w:pStyle w:val="70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供应商应按采购人提供的清单中列出的项目填报</w:t>
            </w:r>
            <w:r>
              <w:rPr>
                <w:rFonts w:hint="eastAsia" w:ascii="仿宋" w:hAnsi="仿宋" w:eastAsia="仿宋" w:cs="仿宋"/>
                <w:b w:val="0"/>
                <w:bCs w:val="0"/>
                <w:color w:val="auto"/>
                <w:sz w:val="24"/>
                <w:szCs w:val="24"/>
                <w:lang w:val="en-US" w:eastAsia="zh-CN"/>
              </w:rPr>
              <w:t>统一折扣率</w:t>
            </w:r>
            <w:r>
              <w:rPr>
                <w:rFonts w:hint="eastAsia" w:ascii="仿宋" w:hAnsi="仿宋" w:eastAsia="仿宋" w:cs="仿宋"/>
                <w:b w:val="0"/>
                <w:bCs w:val="0"/>
                <w:color w:val="auto"/>
                <w:sz w:val="24"/>
                <w:szCs w:val="24"/>
              </w:rPr>
              <w:t>。本工程相关费用一次性包干，可能增加的成本各投标人自行考虑并计入投标报价。</w:t>
            </w:r>
          </w:p>
        </w:tc>
      </w:tr>
    </w:tbl>
    <w:p w14:paraId="0A06561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2579B36">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评标方法及标准</w:t>
      </w:r>
    </w:p>
    <w:p w14:paraId="220F09C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评标方法：</w:t>
      </w:r>
    </w:p>
    <w:p w14:paraId="05FF768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308C42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highlight w:val="none"/>
          <w:lang w:val="en-US" w:eastAsia="zh-CN"/>
        </w:rPr>
        <w:t>2.定标办法：</w:t>
      </w:r>
    </w:p>
    <w:p w14:paraId="4D3907A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jc w:val="left"/>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76AE96AF">
      <w:pPr>
        <w:spacing w:line="44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3365B5E7">
      <w:pPr>
        <w:spacing w:line="440" w:lineRule="exact"/>
        <w:rPr>
          <w:rFonts w:hint="eastAsia" w:ascii="仿宋" w:hAnsi="仿宋" w:eastAsia="仿宋" w:cs="仿宋"/>
          <w:color w:val="auto"/>
          <w:sz w:val="24"/>
          <w:szCs w:val="24"/>
          <w:highlight w:val="none"/>
          <w:shd w:val="clear" w:color="auto" w:fill="FFFFFF"/>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.1商务技术分（</w:t>
      </w:r>
      <w:r>
        <w:rPr>
          <w:rFonts w:hint="eastAsia" w:ascii="仿宋" w:hAnsi="仿宋" w:eastAsia="仿宋" w:cs="仿宋"/>
          <w:b/>
          <w:bCs/>
          <w:iCs/>
          <w:color w:val="auto"/>
          <w:sz w:val="24"/>
          <w:highlight w:val="none"/>
          <w:lang w:val="en-US" w:eastAsia="zh-CN"/>
        </w:rPr>
        <w:t>70</w:t>
      </w:r>
      <w:r>
        <w:rPr>
          <w:rFonts w:hint="eastAsia" w:ascii="仿宋" w:hAnsi="仿宋" w:eastAsia="仿宋" w:cs="仿宋"/>
          <w:b/>
          <w:bCs/>
          <w:iCs/>
          <w:color w:val="auto"/>
          <w:sz w:val="24"/>
          <w:highlight w:val="none"/>
        </w:rPr>
        <w:t>分）</w:t>
      </w:r>
    </w:p>
    <w:tbl>
      <w:tblPr>
        <w:tblStyle w:val="62"/>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15"/>
        <w:gridCol w:w="660"/>
        <w:gridCol w:w="5849"/>
      </w:tblGrid>
      <w:tr w14:paraId="2D61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0" w:type="dxa"/>
            <w:noWrap w:val="0"/>
            <w:vAlign w:val="center"/>
          </w:tcPr>
          <w:p w14:paraId="66923DFF">
            <w:pPr>
              <w:spacing w:line="36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序号</w:t>
            </w:r>
          </w:p>
        </w:tc>
        <w:tc>
          <w:tcPr>
            <w:tcW w:w="1215" w:type="dxa"/>
            <w:noWrap w:val="0"/>
            <w:vAlign w:val="center"/>
          </w:tcPr>
          <w:p w14:paraId="0F7E02AC">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评审项目</w:t>
            </w:r>
          </w:p>
        </w:tc>
        <w:tc>
          <w:tcPr>
            <w:tcW w:w="660" w:type="dxa"/>
            <w:noWrap w:val="0"/>
            <w:vAlign w:val="center"/>
          </w:tcPr>
          <w:p w14:paraId="77086942">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5849" w:type="dxa"/>
            <w:noWrap w:val="0"/>
            <w:vAlign w:val="center"/>
          </w:tcPr>
          <w:p w14:paraId="3E9709FA">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r>
      <w:tr w14:paraId="3463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0" w:type="dxa"/>
            <w:noWrap w:val="0"/>
            <w:vAlign w:val="center"/>
          </w:tcPr>
          <w:p w14:paraId="4E247203">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1215" w:type="dxa"/>
            <w:noWrap w:val="0"/>
            <w:vAlign w:val="center"/>
          </w:tcPr>
          <w:p w14:paraId="52DAA61F">
            <w:pPr>
              <w:pStyle w:val="970"/>
              <w:spacing w:beforeLines="0" w:after="0" w:afterLines="0" w:line="360" w:lineRule="auto"/>
              <w:ind w:firstLine="0" w:firstLineChars="0"/>
              <w:jc w:val="center"/>
              <w:rPr>
                <w:rFonts w:hint="eastAsia" w:ascii="仿宋" w:hAnsi="仿宋" w:eastAsia="仿宋" w:cs="仿宋"/>
                <w:color w:val="auto"/>
                <w:sz w:val="24"/>
                <w:szCs w:val="24"/>
              </w:rPr>
            </w:pPr>
          </w:p>
          <w:p w14:paraId="14ECB154">
            <w:pPr>
              <w:pStyle w:val="970"/>
              <w:spacing w:beforeLines="0" w:after="0" w:afterLines="0" w:line="36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生产</w:t>
            </w:r>
            <w:r>
              <w:rPr>
                <w:rFonts w:hint="eastAsia" w:ascii="仿宋" w:hAnsi="仿宋" w:eastAsia="仿宋" w:cs="仿宋"/>
                <w:color w:val="auto"/>
                <w:sz w:val="24"/>
                <w:szCs w:val="24"/>
              </w:rPr>
              <w:t>基地情况</w:t>
            </w:r>
          </w:p>
        </w:tc>
        <w:tc>
          <w:tcPr>
            <w:tcW w:w="660" w:type="dxa"/>
            <w:noWrap w:val="0"/>
            <w:vAlign w:val="center"/>
          </w:tcPr>
          <w:p w14:paraId="4D49B4CA">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5849" w:type="dxa"/>
            <w:noWrap w:val="0"/>
            <w:vAlign w:val="center"/>
          </w:tcPr>
          <w:p w14:paraId="40C1171C">
            <w:pPr>
              <w:pStyle w:val="602"/>
              <w:snapToGrid w:val="0"/>
              <w:spacing w:line="360" w:lineRule="auto"/>
              <w:ind w:firstLine="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投标人苗圃基地面积达到100亩的得2分，每增加50亩得1分，此项最高得6分。</w:t>
            </w:r>
          </w:p>
          <w:p w14:paraId="444F0850">
            <w:pPr>
              <w:pStyle w:val="602"/>
              <w:snapToGrid w:val="0"/>
              <w:spacing w:line="360" w:lineRule="auto"/>
              <w:ind w:firstLine="0" w:firstLineChars="0"/>
              <w:rPr>
                <w:rFonts w:hint="eastAsia" w:ascii="仿宋" w:hAnsi="仿宋" w:eastAsia="仿宋" w:cs="仿宋"/>
                <w:color w:val="auto"/>
                <w:kern w:val="0"/>
                <w:sz w:val="24"/>
                <w:szCs w:val="24"/>
                <w:lang w:val="en-US" w:eastAsia="zh-CN" w:bidi="ar-SA"/>
              </w:rPr>
            </w:pPr>
            <w:r>
              <w:rPr>
                <w:rFonts w:hint="eastAsia" w:ascii="仿宋" w:hAnsi="仿宋" w:eastAsia="仿宋" w:cs="仿宋"/>
                <w:b/>
                <w:bCs/>
                <w:color w:val="auto"/>
                <w:sz w:val="24"/>
                <w:szCs w:val="24"/>
                <w:highlight w:val="none"/>
                <w:lang w:val="en-US" w:eastAsia="zh-CN"/>
              </w:rPr>
              <w:t>注：100亩以下不得分，提供苗圃实景及土地自有或租赁协议扫描件并加盖CA签章，要求在扫描件内显示亩数否则不得分。</w:t>
            </w:r>
          </w:p>
        </w:tc>
      </w:tr>
      <w:tr w14:paraId="11A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0" w:type="dxa"/>
            <w:noWrap w:val="0"/>
            <w:vAlign w:val="center"/>
          </w:tcPr>
          <w:p w14:paraId="36EB2B88">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1215" w:type="dxa"/>
            <w:noWrap w:val="0"/>
            <w:vAlign w:val="center"/>
          </w:tcPr>
          <w:p w14:paraId="52D39BEE">
            <w:pPr>
              <w:pStyle w:val="970"/>
              <w:spacing w:beforeLines="0" w:after="0" w:afterLines="0"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同类</w:t>
            </w:r>
            <w:r>
              <w:rPr>
                <w:rFonts w:hint="eastAsia" w:ascii="仿宋" w:hAnsi="仿宋" w:eastAsia="仿宋" w:cs="仿宋"/>
                <w:color w:val="auto"/>
                <w:sz w:val="24"/>
                <w:szCs w:val="24"/>
              </w:rPr>
              <w:t>业绩</w:t>
            </w:r>
          </w:p>
        </w:tc>
        <w:tc>
          <w:tcPr>
            <w:tcW w:w="660" w:type="dxa"/>
            <w:noWrap w:val="0"/>
            <w:vAlign w:val="center"/>
          </w:tcPr>
          <w:p w14:paraId="2E10FA90">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5849" w:type="dxa"/>
            <w:noWrap w:val="0"/>
            <w:vAlign w:val="center"/>
          </w:tcPr>
          <w:p w14:paraId="079E1275">
            <w:pPr>
              <w:pStyle w:val="602"/>
              <w:snapToGrid w:val="0"/>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投标人自20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月1日以来（以合同签订时间为准）类似本项目的苗木供应业绩的，每个业绩得1分，</w:t>
            </w:r>
            <w:r>
              <w:rPr>
                <w:rFonts w:hint="eastAsia" w:ascii="仿宋" w:hAnsi="仿宋" w:eastAsia="仿宋" w:cs="仿宋"/>
                <w:color w:val="auto"/>
                <w:sz w:val="24"/>
                <w:szCs w:val="24"/>
                <w:lang w:eastAsia="zh-CN"/>
              </w:rPr>
              <w:t>此项最高</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1D00C6BC">
            <w:pPr>
              <w:pStyle w:val="602"/>
              <w:snapToGrid w:val="0"/>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rPr>
              <w:t>提供合同</w:t>
            </w:r>
            <w:r>
              <w:rPr>
                <w:rFonts w:hint="eastAsia" w:ascii="仿宋" w:hAnsi="仿宋" w:eastAsia="仿宋" w:cs="仿宋"/>
                <w:color w:val="auto"/>
                <w:sz w:val="24"/>
                <w:szCs w:val="24"/>
                <w:lang w:eastAsia="zh-CN"/>
              </w:rPr>
              <w:t>扫描件并加盖</w:t>
            </w:r>
            <w:r>
              <w:rPr>
                <w:rFonts w:hint="eastAsia" w:ascii="仿宋" w:hAnsi="仿宋" w:eastAsia="仿宋" w:cs="仿宋"/>
                <w:color w:val="auto"/>
                <w:sz w:val="24"/>
                <w:szCs w:val="24"/>
                <w:lang w:val="en-US" w:eastAsia="zh-CN"/>
              </w:rPr>
              <w:t>CA签章</w:t>
            </w:r>
          </w:p>
        </w:tc>
      </w:tr>
      <w:tr w14:paraId="5823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90" w:type="dxa"/>
            <w:vMerge w:val="restart"/>
            <w:noWrap w:val="0"/>
            <w:vAlign w:val="center"/>
          </w:tcPr>
          <w:p w14:paraId="15FBB21C">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w:t>
            </w:r>
          </w:p>
        </w:tc>
        <w:tc>
          <w:tcPr>
            <w:tcW w:w="1215" w:type="dxa"/>
            <w:vMerge w:val="restart"/>
            <w:noWrap w:val="0"/>
            <w:vAlign w:val="center"/>
          </w:tcPr>
          <w:p w14:paraId="745838DE">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eastAsia="zh-CN"/>
              </w:rPr>
              <w:t>人员配置</w:t>
            </w:r>
          </w:p>
        </w:tc>
        <w:tc>
          <w:tcPr>
            <w:tcW w:w="660" w:type="dxa"/>
            <w:noWrap w:val="0"/>
            <w:vAlign w:val="center"/>
          </w:tcPr>
          <w:p w14:paraId="1D1C1498">
            <w:pPr>
              <w:spacing w:line="360" w:lineRule="auto"/>
              <w:jc w:val="center"/>
              <w:rPr>
                <w:rFonts w:hint="default" w:ascii="仿宋" w:hAnsi="仿宋" w:eastAsia="仿宋" w:cs="仿宋"/>
                <w:color w:val="auto"/>
                <w:spacing w:val="4"/>
                <w:kern w:val="2"/>
                <w:sz w:val="24"/>
                <w:szCs w:val="24"/>
                <w:lang w:val="en-US" w:eastAsia="zh-CN" w:bidi="ar-SA"/>
              </w:rPr>
            </w:pPr>
            <w:r>
              <w:rPr>
                <w:rFonts w:hint="eastAsia" w:ascii="仿宋" w:hAnsi="仿宋" w:eastAsia="仿宋" w:cs="仿宋"/>
                <w:color w:val="auto"/>
                <w:spacing w:val="4"/>
                <w:kern w:val="2"/>
                <w:sz w:val="24"/>
                <w:szCs w:val="24"/>
                <w:lang w:val="en-US" w:eastAsia="zh-CN" w:bidi="ar-SA"/>
              </w:rPr>
              <w:t>5</w:t>
            </w:r>
          </w:p>
        </w:tc>
        <w:tc>
          <w:tcPr>
            <w:tcW w:w="5849" w:type="dxa"/>
            <w:noWrap w:val="0"/>
            <w:vAlign w:val="center"/>
          </w:tcPr>
          <w:p w14:paraId="644CC55E">
            <w:pPr>
              <w:pStyle w:val="602"/>
              <w:spacing w:line="360" w:lineRule="auto"/>
              <w:ind w:firstLine="0" w:firstLineChars="0"/>
              <w:rPr>
                <w:rFonts w:hint="eastAsia" w:ascii="仿宋" w:hAnsi="仿宋" w:eastAsia="仿宋" w:cs="仿宋"/>
                <w:color w:val="auto"/>
                <w:spacing w:val="4"/>
                <w:kern w:val="2"/>
                <w:sz w:val="24"/>
                <w:szCs w:val="24"/>
                <w:lang w:val="en-US" w:eastAsia="zh-CN" w:bidi="ar-SA"/>
              </w:rPr>
            </w:pPr>
            <w:r>
              <w:rPr>
                <w:rFonts w:hint="eastAsia" w:ascii="仿宋" w:hAnsi="仿宋" w:eastAsia="仿宋" w:cs="仿宋"/>
                <w:color w:val="auto"/>
                <w:spacing w:val="4"/>
                <w:kern w:val="2"/>
                <w:sz w:val="24"/>
                <w:szCs w:val="24"/>
                <w:lang w:val="en-US" w:eastAsia="zh-CN" w:bidi="ar-SA"/>
              </w:rPr>
              <w:t>投标人拟投入本项目项目负责人具有中级园林工程师的得3分,具有高级园林工程师的得5分，此项最高得5分。</w:t>
            </w:r>
          </w:p>
          <w:p w14:paraId="66B54BDE">
            <w:pPr>
              <w:pStyle w:val="602"/>
              <w:spacing w:line="360" w:lineRule="auto"/>
              <w:ind w:firstLine="0" w:firstLineChars="0"/>
              <w:rPr>
                <w:rFonts w:hint="default" w:ascii="仿宋" w:hAnsi="仿宋" w:eastAsia="仿宋" w:cs="仿宋"/>
                <w:color w:val="auto"/>
                <w:spacing w:val="4"/>
                <w:kern w:val="2"/>
                <w:sz w:val="24"/>
                <w:szCs w:val="24"/>
                <w:lang w:val="en-US" w:eastAsia="zh-CN" w:bidi="ar-SA"/>
              </w:rPr>
            </w:pPr>
            <w:r>
              <w:rPr>
                <w:rFonts w:hint="eastAsia" w:ascii="仿宋" w:hAnsi="仿宋" w:eastAsia="仿宋" w:cs="仿宋"/>
                <w:color w:val="auto"/>
                <w:spacing w:val="4"/>
                <w:kern w:val="2"/>
                <w:sz w:val="24"/>
                <w:szCs w:val="24"/>
                <w:lang w:val="en-US" w:eastAsia="zh-CN" w:bidi="ar-SA"/>
              </w:rPr>
              <w:t>注：提供以上人员证书扫描件以及在本单位近3个月社保证明扫描件并加盖CA签章。</w:t>
            </w:r>
          </w:p>
        </w:tc>
      </w:tr>
      <w:tr w14:paraId="0655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90" w:type="dxa"/>
            <w:vMerge w:val="continue"/>
            <w:shd w:val="clear" w:color="auto" w:fill="auto"/>
            <w:noWrap w:val="0"/>
            <w:vAlign w:val="center"/>
          </w:tcPr>
          <w:p w14:paraId="6670F916">
            <w:pPr>
              <w:pStyle w:val="602"/>
              <w:spacing w:line="360" w:lineRule="auto"/>
              <w:ind w:firstLine="0" w:firstLineChars="0"/>
              <w:jc w:val="center"/>
              <w:rPr>
                <w:rFonts w:hint="eastAsia" w:ascii="仿宋" w:hAnsi="仿宋" w:eastAsia="仿宋" w:cs="仿宋"/>
                <w:bCs/>
                <w:color w:val="auto"/>
                <w:kern w:val="2"/>
                <w:sz w:val="24"/>
                <w:szCs w:val="24"/>
                <w:lang w:val="en-US" w:eastAsia="zh-CN" w:bidi="ar-SA"/>
              </w:rPr>
            </w:pPr>
          </w:p>
        </w:tc>
        <w:tc>
          <w:tcPr>
            <w:tcW w:w="1215" w:type="dxa"/>
            <w:vMerge w:val="continue"/>
            <w:noWrap w:val="0"/>
            <w:vAlign w:val="center"/>
          </w:tcPr>
          <w:p w14:paraId="41589E3F">
            <w:pPr>
              <w:pStyle w:val="602"/>
              <w:spacing w:line="360" w:lineRule="auto"/>
              <w:ind w:firstLine="0" w:firstLineChars="0"/>
              <w:jc w:val="center"/>
            </w:pPr>
          </w:p>
        </w:tc>
        <w:tc>
          <w:tcPr>
            <w:tcW w:w="660" w:type="dxa"/>
            <w:noWrap w:val="0"/>
            <w:vAlign w:val="center"/>
          </w:tcPr>
          <w:p w14:paraId="61104CC0">
            <w:pPr>
              <w:pStyle w:val="602"/>
              <w:spacing w:line="360" w:lineRule="auto"/>
              <w:ind w:firstLine="0" w:firstLineChars="0"/>
              <w:jc w:val="center"/>
              <w:rPr>
                <w:rFonts w:hint="default" w:ascii="仿宋" w:hAnsi="仿宋" w:eastAsia="仿宋" w:cs="仿宋"/>
                <w:color w:val="auto"/>
                <w:spacing w:val="4"/>
                <w:kern w:val="2"/>
                <w:sz w:val="24"/>
                <w:szCs w:val="24"/>
                <w:lang w:val="en-US" w:eastAsia="zh-CN" w:bidi="ar-SA"/>
              </w:rPr>
            </w:pPr>
            <w:r>
              <w:rPr>
                <w:rFonts w:hint="eastAsia" w:ascii="仿宋" w:hAnsi="仿宋" w:eastAsia="仿宋" w:cs="仿宋"/>
                <w:color w:val="auto"/>
                <w:spacing w:val="4"/>
                <w:kern w:val="2"/>
                <w:sz w:val="24"/>
                <w:szCs w:val="24"/>
                <w:lang w:val="en-US" w:eastAsia="zh-CN" w:bidi="ar-SA"/>
              </w:rPr>
              <w:t>4</w:t>
            </w:r>
          </w:p>
        </w:tc>
        <w:tc>
          <w:tcPr>
            <w:tcW w:w="5849" w:type="dxa"/>
            <w:noWrap w:val="0"/>
            <w:vAlign w:val="center"/>
          </w:tcPr>
          <w:p w14:paraId="43056416">
            <w:pPr>
              <w:pStyle w:val="602"/>
              <w:spacing w:line="360" w:lineRule="auto"/>
              <w:ind w:firstLine="0" w:firstLineChars="0"/>
              <w:rPr>
                <w:rFonts w:hint="eastAsia" w:ascii="仿宋" w:hAnsi="仿宋" w:eastAsia="仿宋" w:cs="仿宋"/>
                <w:color w:val="auto"/>
                <w:spacing w:val="4"/>
                <w:kern w:val="2"/>
                <w:sz w:val="24"/>
                <w:szCs w:val="24"/>
                <w:lang w:val="en-US" w:eastAsia="zh-CN" w:bidi="ar-SA"/>
              </w:rPr>
            </w:pPr>
            <w:r>
              <w:rPr>
                <w:rFonts w:hint="eastAsia" w:ascii="仿宋" w:hAnsi="仿宋" w:eastAsia="仿宋" w:cs="仿宋"/>
                <w:color w:val="auto"/>
                <w:spacing w:val="4"/>
                <w:kern w:val="2"/>
                <w:sz w:val="24"/>
                <w:szCs w:val="24"/>
                <w:lang w:val="en-US" w:eastAsia="zh-CN" w:bidi="ar-SA"/>
              </w:rPr>
              <w:t>根据投标人劳动力投入情况进行综合评审：每提供一个人员的得1分，此项最高得4分。</w:t>
            </w:r>
          </w:p>
          <w:p w14:paraId="1605FAC1">
            <w:pPr>
              <w:pStyle w:val="602"/>
              <w:spacing w:line="360" w:lineRule="auto"/>
              <w:ind w:firstLine="0" w:firstLineChars="0"/>
              <w:rPr>
                <w:rFonts w:hint="eastAsia" w:ascii="仿宋" w:hAnsi="仿宋" w:eastAsia="仿宋" w:cs="仿宋"/>
                <w:color w:val="auto"/>
                <w:spacing w:val="4"/>
                <w:kern w:val="2"/>
                <w:sz w:val="24"/>
                <w:szCs w:val="24"/>
                <w:lang w:val="en-US" w:eastAsia="zh-CN" w:bidi="ar-SA"/>
              </w:rPr>
            </w:pPr>
            <w:r>
              <w:rPr>
                <w:rFonts w:hint="eastAsia" w:ascii="仿宋" w:hAnsi="仿宋" w:eastAsia="仿宋" w:cs="仿宋"/>
                <w:color w:val="auto"/>
                <w:spacing w:val="4"/>
                <w:kern w:val="2"/>
                <w:sz w:val="24"/>
                <w:szCs w:val="24"/>
                <w:lang w:val="en-US" w:eastAsia="zh-CN" w:bidi="ar-SA"/>
              </w:rPr>
              <w:t>注：提供以上人员在本单位近3个月社保证明扫描件并加盖CA签章。</w:t>
            </w:r>
          </w:p>
        </w:tc>
      </w:tr>
      <w:tr w14:paraId="1FF5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790" w:type="dxa"/>
            <w:noWrap w:val="0"/>
            <w:vAlign w:val="center"/>
          </w:tcPr>
          <w:p w14:paraId="045A68BE">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15" w:type="dxa"/>
            <w:noWrap w:val="0"/>
            <w:vAlign w:val="center"/>
          </w:tcPr>
          <w:p w14:paraId="6A22F4E6">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供货方案</w:t>
            </w:r>
          </w:p>
        </w:tc>
        <w:tc>
          <w:tcPr>
            <w:tcW w:w="660" w:type="dxa"/>
            <w:noWrap w:val="0"/>
            <w:vAlign w:val="center"/>
          </w:tcPr>
          <w:p w14:paraId="48E94D32">
            <w:pPr>
              <w:spacing w:line="360" w:lineRule="auto"/>
              <w:jc w:val="center"/>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7</w:t>
            </w:r>
          </w:p>
        </w:tc>
        <w:tc>
          <w:tcPr>
            <w:tcW w:w="5849" w:type="dxa"/>
            <w:noWrap w:val="0"/>
            <w:vAlign w:val="center"/>
          </w:tcPr>
          <w:p w14:paraId="4DEB1DF9">
            <w:pPr>
              <w:pStyle w:val="602"/>
              <w:spacing w:line="360" w:lineRule="auto"/>
              <w:ind w:firstLine="0" w:firstLineChars="0"/>
              <w:rPr>
                <w:rFonts w:hint="eastAsia" w:ascii="仿宋" w:hAnsi="仿宋" w:eastAsia="仿宋" w:cs="仿宋"/>
                <w:color w:val="auto"/>
                <w:spacing w:val="4"/>
                <w:kern w:val="2"/>
                <w:sz w:val="24"/>
                <w:szCs w:val="24"/>
              </w:rPr>
            </w:pPr>
            <w:r>
              <w:rPr>
                <w:rFonts w:hint="eastAsia" w:ascii="仿宋" w:hAnsi="仿宋" w:eastAsia="仿宋" w:cs="仿宋"/>
                <w:color w:val="auto"/>
                <w:spacing w:val="4"/>
                <w:kern w:val="2"/>
                <w:sz w:val="24"/>
                <w:szCs w:val="24"/>
              </w:rPr>
              <w:t>投标人拟实施的供货源与采购计划从以下几个方面进行评分：</w:t>
            </w:r>
          </w:p>
          <w:p w14:paraId="396040A0">
            <w:pPr>
              <w:pStyle w:val="602"/>
              <w:spacing w:line="360" w:lineRule="auto"/>
              <w:ind w:firstLine="0" w:firstLineChars="0"/>
              <w:rPr>
                <w:rFonts w:hint="eastAsia" w:ascii="仿宋" w:hAnsi="仿宋" w:eastAsia="仿宋" w:cs="仿宋"/>
                <w:color w:val="auto"/>
                <w:spacing w:val="4"/>
                <w:kern w:val="2"/>
                <w:sz w:val="24"/>
                <w:szCs w:val="24"/>
              </w:rPr>
            </w:pPr>
            <w:r>
              <w:rPr>
                <w:rFonts w:hint="eastAsia" w:ascii="仿宋" w:hAnsi="仿宋" w:eastAsia="仿宋" w:cs="仿宋"/>
                <w:color w:val="auto"/>
                <w:spacing w:val="4"/>
                <w:kern w:val="2"/>
                <w:sz w:val="24"/>
                <w:szCs w:val="24"/>
                <w:lang w:val="en-US" w:eastAsia="zh-CN"/>
              </w:rPr>
              <w:t>1.</w:t>
            </w:r>
            <w:r>
              <w:rPr>
                <w:rFonts w:hint="eastAsia" w:ascii="仿宋" w:hAnsi="仿宋" w:eastAsia="仿宋" w:cs="仿宋"/>
                <w:color w:val="auto"/>
                <w:spacing w:val="4"/>
                <w:kern w:val="2"/>
                <w:sz w:val="24"/>
                <w:szCs w:val="24"/>
              </w:rPr>
              <w:t>供货源选择与评估</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0-2分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rPr>
              <w:t>；</w:t>
            </w:r>
          </w:p>
          <w:p w14:paraId="642E0FC1">
            <w:pPr>
              <w:pStyle w:val="602"/>
              <w:spacing w:line="360" w:lineRule="auto"/>
              <w:ind w:firstLine="0" w:firstLineChars="0"/>
              <w:rPr>
                <w:rFonts w:hint="eastAsia" w:ascii="仿宋" w:hAnsi="仿宋" w:eastAsia="仿宋" w:cs="仿宋"/>
                <w:color w:val="auto"/>
                <w:spacing w:val="4"/>
                <w:kern w:val="2"/>
                <w:sz w:val="24"/>
                <w:szCs w:val="24"/>
              </w:rPr>
            </w:pPr>
            <w:r>
              <w:rPr>
                <w:rFonts w:hint="eastAsia" w:ascii="仿宋" w:hAnsi="仿宋" w:eastAsia="仿宋" w:cs="仿宋"/>
                <w:color w:val="auto"/>
                <w:spacing w:val="4"/>
                <w:kern w:val="2"/>
                <w:sz w:val="24"/>
                <w:szCs w:val="24"/>
                <w:lang w:val="en-US" w:eastAsia="zh-CN"/>
              </w:rPr>
              <w:t>2.</w:t>
            </w:r>
            <w:r>
              <w:rPr>
                <w:rFonts w:hint="eastAsia" w:ascii="仿宋" w:hAnsi="仿宋" w:eastAsia="仿宋" w:cs="仿宋"/>
                <w:color w:val="auto"/>
                <w:spacing w:val="4"/>
                <w:kern w:val="2"/>
                <w:sz w:val="24"/>
                <w:szCs w:val="24"/>
              </w:rPr>
              <w:t>采购计划与流程</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0-2分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rPr>
              <w:t>；</w:t>
            </w:r>
          </w:p>
          <w:p w14:paraId="0D7A12C9">
            <w:pPr>
              <w:pStyle w:val="602"/>
              <w:spacing w:line="360" w:lineRule="auto"/>
              <w:ind w:firstLine="0" w:firstLineChars="0"/>
              <w:rPr>
                <w:rFonts w:hint="eastAsia" w:ascii="仿宋" w:hAnsi="仿宋" w:eastAsia="仿宋" w:cs="仿宋"/>
                <w:color w:val="auto"/>
                <w:spacing w:val="4"/>
                <w:kern w:val="2"/>
                <w:sz w:val="24"/>
                <w:szCs w:val="24"/>
              </w:rPr>
            </w:pPr>
            <w:r>
              <w:rPr>
                <w:rFonts w:hint="eastAsia" w:ascii="仿宋" w:hAnsi="仿宋" w:eastAsia="仿宋" w:cs="仿宋"/>
                <w:color w:val="auto"/>
                <w:spacing w:val="4"/>
                <w:kern w:val="2"/>
                <w:sz w:val="24"/>
                <w:szCs w:val="24"/>
                <w:lang w:val="en-US" w:eastAsia="zh-CN"/>
              </w:rPr>
              <w:t>3.</w:t>
            </w:r>
            <w:r>
              <w:rPr>
                <w:rFonts w:hint="eastAsia" w:ascii="仿宋" w:hAnsi="仿宋" w:eastAsia="仿宋" w:cs="仿宋"/>
                <w:color w:val="auto"/>
                <w:spacing w:val="4"/>
                <w:kern w:val="2"/>
                <w:sz w:val="24"/>
                <w:szCs w:val="24"/>
              </w:rPr>
              <w:t>供应商管理与合作机制</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0-1分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rPr>
              <w:t>；</w:t>
            </w:r>
          </w:p>
          <w:p w14:paraId="48F75148">
            <w:pPr>
              <w:pStyle w:val="602"/>
              <w:spacing w:line="360" w:lineRule="auto"/>
              <w:ind w:firstLine="0" w:firstLineChars="0"/>
              <w:rPr>
                <w:rFonts w:hint="eastAsia" w:ascii="仿宋" w:hAnsi="仿宋" w:eastAsia="仿宋" w:cs="仿宋"/>
                <w:color w:val="auto"/>
                <w:spacing w:val="4"/>
                <w:kern w:val="2"/>
                <w:sz w:val="24"/>
                <w:szCs w:val="24"/>
                <w:lang w:eastAsia="zh-CN"/>
              </w:rPr>
            </w:pPr>
            <w:r>
              <w:rPr>
                <w:rFonts w:hint="eastAsia" w:ascii="仿宋" w:hAnsi="仿宋" w:eastAsia="仿宋" w:cs="仿宋"/>
                <w:color w:val="auto"/>
                <w:spacing w:val="4"/>
                <w:kern w:val="2"/>
                <w:sz w:val="24"/>
                <w:szCs w:val="24"/>
                <w:lang w:val="en-US" w:eastAsia="zh-CN"/>
              </w:rPr>
              <w:t>4.</w:t>
            </w:r>
            <w:r>
              <w:rPr>
                <w:rFonts w:hint="eastAsia" w:ascii="仿宋" w:hAnsi="仿宋" w:eastAsia="仿宋" w:cs="仿宋"/>
                <w:color w:val="auto"/>
                <w:spacing w:val="4"/>
                <w:kern w:val="2"/>
                <w:sz w:val="24"/>
                <w:szCs w:val="24"/>
              </w:rPr>
              <w:t>选苗方案</w:t>
            </w:r>
            <w:r>
              <w:rPr>
                <w:rFonts w:hint="eastAsia" w:ascii="仿宋" w:hAnsi="仿宋" w:eastAsia="仿宋" w:cs="仿宋"/>
                <w:color w:val="auto"/>
                <w:kern w:val="0"/>
                <w:sz w:val="24"/>
                <w:szCs w:val="24"/>
              </w:rPr>
              <w:t>（包含苗木的株形、形状、生长健康状况、损伤情况等详细描述）</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0-2分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rPr>
              <w:t>。</w:t>
            </w:r>
          </w:p>
        </w:tc>
      </w:tr>
      <w:tr w14:paraId="63E7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90" w:type="dxa"/>
            <w:noWrap w:val="0"/>
            <w:vAlign w:val="center"/>
          </w:tcPr>
          <w:p w14:paraId="76417338">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15" w:type="dxa"/>
            <w:shd w:val="clear" w:color="auto" w:fill="auto"/>
            <w:noWrap w:val="0"/>
            <w:vAlign w:val="center"/>
          </w:tcPr>
          <w:p w14:paraId="28D8170D">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bidi="ar"/>
              </w:rPr>
              <w:t>质量</w:t>
            </w:r>
            <w:r>
              <w:rPr>
                <w:rFonts w:hint="eastAsia" w:ascii="仿宋" w:hAnsi="仿宋" w:eastAsia="仿宋" w:cs="仿宋"/>
                <w:color w:val="auto"/>
                <w:sz w:val="24"/>
                <w:szCs w:val="24"/>
                <w:lang w:bidi="ar"/>
              </w:rPr>
              <w:t>保障</w:t>
            </w:r>
          </w:p>
        </w:tc>
        <w:tc>
          <w:tcPr>
            <w:tcW w:w="660" w:type="dxa"/>
            <w:shd w:val="clear" w:color="auto" w:fill="auto"/>
            <w:noWrap w:val="0"/>
            <w:vAlign w:val="center"/>
          </w:tcPr>
          <w:p w14:paraId="23465D98">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4"/>
                <w:sz w:val="24"/>
                <w:szCs w:val="24"/>
                <w:lang w:val="en-US" w:eastAsia="zh-CN"/>
              </w:rPr>
              <w:t>12</w:t>
            </w:r>
          </w:p>
        </w:tc>
        <w:tc>
          <w:tcPr>
            <w:tcW w:w="5849" w:type="dxa"/>
            <w:shd w:val="clear" w:color="auto" w:fill="auto"/>
            <w:noWrap w:val="0"/>
            <w:vAlign w:val="center"/>
          </w:tcPr>
          <w:p w14:paraId="4C26F747">
            <w:pPr>
              <w:pStyle w:val="602"/>
              <w:spacing w:line="360" w:lineRule="auto"/>
              <w:ind w:firstLine="0" w:firstLineChars="0"/>
              <w:rPr>
                <w:rFonts w:hint="eastAsia" w:ascii="仿宋" w:hAnsi="仿宋" w:eastAsia="仿宋" w:cs="仿宋"/>
                <w:color w:val="auto"/>
                <w:spacing w:val="4"/>
                <w:kern w:val="2"/>
                <w:sz w:val="24"/>
                <w:szCs w:val="24"/>
                <w:lang w:eastAsia="zh-CN"/>
              </w:rPr>
            </w:pPr>
            <w:r>
              <w:rPr>
                <w:rFonts w:hint="eastAsia" w:ascii="仿宋" w:hAnsi="仿宋" w:eastAsia="仿宋" w:cs="仿宋"/>
                <w:color w:val="auto"/>
                <w:spacing w:val="4"/>
                <w:kern w:val="2"/>
                <w:sz w:val="24"/>
                <w:szCs w:val="24"/>
                <w:lang w:eastAsia="zh-CN"/>
              </w:rPr>
              <w:t>苗木的质量控制与检验流程从以下几个方面进行评分：</w:t>
            </w:r>
          </w:p>
          <w:p w14:paraId="7B19C81C">
            <w:pPr>
              <w:pStyle w:val="602"/>
              <w:spacing w:line="360" w:lineRule="auto"/>
              <w:ind w:firstLine="0" w:firstLineChars="0"/>
              <w:rPr>
                <w:rFonts w:hint="eastAsia" w:ascii="仿宋" w:hAnsi="仿宋" w:eastAsia="仿宋" w:cs="仿宋"/>
                <w:color w:val="auto"/>
                <w:spacing w:val="4"/>
                <w:kern w:val="2"/>
                <w:sz w:val="24"/>
                <w:szCs w:val="24"/>
                <w:lang w:eastAsia="zh-CN"/>
              </w:rPr>
            </w:pPr>
            <w:r>
              <w:rPr>
                <w:rFonts w:hint="eastAsia" w:ascii="仿宋" w:hAnsi="仿宋" w:eastAsia="仿宋" w:cs="仿宋"/>
                <w:color w:val="auto"/>
                <w:spacing w:val="4"/>
                <w:kern w:val="2"/>
                <w:sz w:val="24"/>
                <w:szCs w:val="24"/>
                <w:lang w:val="en-US" w:eastAsia="zh-CN"/>
              </w:rPr>
              <w:t>1.</w:t>
            </w:r>
            <w:r>
              <w:rPr>
                <w:rFonts w:hint="eastAsia" w:ascii="仿宋" w:hAnsi="仿宋" w:eastAsia="仿宋" w:cs="仿宋"/>
                <w:color w:val="auto"/>
                <w:spacing w:val="4"/>
                <w:kern w:val="2"/>
                <w:sz w:val="24"/>
                <w:szCs w:val="24"/>
                <w:lang w:eastAsia="zh-CN"/>
              </w:rPr>
              <w:t>质量控制措施与实施（包括选苗、苗木出圃、起苗、包装、运输、装卸车等全环节）（</w:t>
            </w:r>
            <w:r>
              <w:rPr>
                <w:rFonts w:hint="eastAsia" w:ascii="仿宋" w:hAnsi="仿宋" w:eastAsia="仿宋" w:cs="仿宋"/>
                <w:color w:val="auto"/>
                <w:spacing w:val="4"/>
                <w:kern w:val="2"/>
                <w:sz w:val="24"/>
                <w:szCs w:val="24"/>
                <w:lang w:val="en-US" w:eastAsia="zh-CN"/>
              </w:rPr>
              <w:t>0-6分</w:t>
            </w:r>
            <w:r>
              <w:rPr>
                <w:rFonts w:hint="eastAsia" w:ascii="仿宋" w:hAnsi="仿宋" w:eastAsia="仿宋" w:cs="仿宋"/>
                <w:color w:val="auto"/>
                <w:spacing w:val="4"/>
                <w:kern w:val="2"/>
                <w:sz w:val="24"/>
                <w:szCs w:val="24"/>
                <w:lang w:eastAsia="zh-CN"/>
              </w:rPr>
              <w:t>）；</w:t>
            </w:r>
          </w:p>
          <w:p w14:paraId="129421A4">
            <w:pPr>
              <w:pStyle w:val="602"/>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4"/>
                <w:kern w:val="2"/>
                <w:sz w:val="24"/>
                <w:szCs w:val="24"/>
                <w:lang w:val="en-US" w:eastAsia="zh-CN"/>
              </w:rPr>
              <w:t>2.</w:t>
            </w:r>
            <w:r>
              <w:rPr>
                <w:rFonts w:hint="eastAsia" w:ascii="仿宋" w:hAnsi="仿宋" w:eastAsia="仿宋" w:cs="仿宋"/>
                <w:color w:val="auto"/>
                <w:sz w:val="24"/>
                <w:szCs w:val="24"/>
                <w:highlight w:val="none"/>
                <w:lang w:val="en-US" w:eastAsia="zh-CN"/>
              </w:rPr>
              <w:t>苗木成活率保障措施（0-2分）；</w:t>
            </w:r>
          </w:p>
          <w:p w14:paraId="7CE5C1BA">
            <w:pPr>
              <w:pStyle w:val="602"/>
              <w:spacing w:line="360" w:lineRule="auto"/>
              <w:ind w:firstLine="0" w:firstLineChars="0"/>
              <w:rPr>
                <w:rFonts w:hint="eastAsia" w:ascii="仿宋" w:hAnsi="仿宋" w:eastAsia="仿宋" w:cs="仿宋"/>
                <w:color w:val="auto"/>
                <w:spacing w:val="4"/>
                <w:kern w:val="2"/>
                <w:sz w:val="24"/>
                <w:szCs w:val="24"/>
                <w:lang w:eastAsia="zh-CN"/>
              </w:rPr>
            </w:pPr>
            <w:r>
              <w:rPr>
                <w:rFonts w:hint="eastAsia" w:ascii="仿宋" w:hAnsi="仿宋" w:eastAsia="仿宋" w:cs="仿宋"/>
                <w:color w:val="auto"/>
                <w:spacing w:val="4"/>
                <w:kern w:val="2"/>
                <w:sz w:val="24"/>
                <w:szCs w:val="24"/>
                <w:lang w:val="en-US" w:eastAsia="zh-CN"/>
              </w:rPr>
              <w:t>3.</w:t>
            </w:r>
            <w:r>
              <w:rPr>
                <w:rFonts w:hint="eastAsia" w:ascii="仿宋" w:hAnsi="仿宋" w:eastAsia="仿宋" w:cs="仿宋"/>
                <w:color w:val="auto"/>
                <w:spacing w:val="4"/>
                <w:kern w:val="2"/>
                <w:sz w:val="24"/>
                <w:szCs w:val="24"/>
                <w:lang w:eastAsia="zh-CN"/>
              </w:rPr>
              <w:t>苗木质量检验标准（</w:t>
            </w:r>
            <w:r>
              <w:rPr>
                <w:rFonts w:hint="eastAsia" w:ascii="仿宋" w:hAnsi="仿宋" w:eastAsia="仿宋" w:cs="仿宋"/>
                <w:color w:val="auto"/>
                <w:spacing w:val="4"/>
                <w:kern w:val="2"/>
                <w:sz w:val="24"/>
                <w:szCs w:val="24"/>
                <w:lang w:val="en-US" w:eastAsia="zh-CN"/>
              </w:rPr>
              <w:t>0-2分</w:t>
            </w:r>
            <w:r>
              <w:rPr>
                <w:rFonts w:hint="eastAsia" w:ascii="仿宋" w:hAnsi="仿宋" w:eastAsia="仿宋" w:cs="仿宋"/>
                <w:color w:val="auto"/>
                <w:spacing w:val="4"/>
                <w:kern w:val="2"/>
                <w:sz w:val="24"/>
                <w:szCs w:val="24"/>
                <w:lang w:eastAsia="zh-CN"/>
              </w:rPr>
              <w:t>）；</w:t>
            </w:r>
          </w:p>
          <w:p w14:paraId="2B4B0C3F">
            <w:pPr>
              <w:pStyle w:val="602"/>
              <w:spacing w:line="360" w:lineRule="auto"/>
              <w:ind w:firstLine="0" w:firstLineChars="0"/>
              <w:rPr>
                <w:rFonts w:hint="eastAsia" w:ascii="仿宋" w:hAnsi="仿宋" w:eastAsia="仿宋" w:cs="仿宋"/>
                <w:color w:val="auto"/>
                <w:spacing w:val="4"/>
                <w:kern w:val="2"/>
                <w:sz w:val="24"/>
                <w:szCs w:val="24"/>
                <w:lang w:val="en-US" w:eastAsia="zh-CN" w:bidi="ar-SA"/>
              </w:rPr>
            </w:pPr>
            <w:r>
              <w:rPr>
                <w:rFonts w:hint="eastAsia" w:ascii="仿宋" w:hAnsi="仿宋" w:eastAsia="仿宋" w:cs="仿宋"/>
                <w:color w:val="auto"/>
                <w:spacing w:val="4"/>
                <w:kern w:val="2"/>
                <w:sz w:val="24"/>
                <w:szCs w:val="24"/>
                <w:lang w:val="en-US" w:eastAsia="zh-CN"/>
              </w:rPr>
              <w:t>4.</w:t>
            </w:r>
            <w:r>
              <w:rPr>
                <w:rFonts w:hint="eastAsia" w:ascii="仿宋" w:hAnsi="仿宋" w:eastAsia="仿宋" w:cs="仿宋"/>
                <w:color w:val="auto"/>
                <w:spacing w:val="4"/>
                <w:kern w:val="2"/>
                <w:sz w:val="24"/>
                <w:szCs w:val="24"/>
                <w:lang w:eastAsia="zh-CN"/>
              </w:rPr>
              <w:t>检验流程与验收标准（</w:t>
            </w:r>
            <w:r>
              <w:rPr>
                <w:rFonts w:hint="eastAsia" w:ascii="仿宋" w:hAnsi="仿宋" w:eastAsia="仿宋" w:cs="仿宋"/>
                <w:color w:val="auto"/>
                <w:spacing w:val="4"/>
                <w:kern w:val="2"/>
                <w:sz w:val="24"/>
                <w:szCs w:val="24"/>
                <w:lang w:val="en-US" w:eastAsia="zh-CN"/>
              </w:rPr>
              <w:t>0-2分</w:t>
            </w:r>
            <w:r>
              <w:rPr>
                <w:rFonts w:hint="eastAsia" w:ascii="仿宋" w:hAnsi="仿宋" w:eastAsia="仿宋" w:cs="仿宋"/>
                <w:color w:val="auto"/>
                <w:spacing w:val="4"/>
                <w:kern w:val="2"/>
                <w:sz w:val="24"/>
                <w:szCs w:val="24"/>
                <w:lang w:eastAsia="zh-CN"/>
              </w:rPr>
              <w:t>）。</w:t>
            </w:r>
            <w:bookmarkStart w:id="57" w:name="_GoBack"/>
            <w:bookmarkEnd w:id="57"/>
          </w:p>
        </w:tc>
      </w:tr>
      <w:tr w14:paraId="1783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90" w:type="dxa"/>
            <w:noWrap w:val="0"/>
            <w:vAlign w:val="center"/>
          </w:tcPr>
          <w:p w14:paraId="1267D64F">
            <w:pPr>
              <w:pStyle w:val="602"/>
              <w:spacing w:line="360" w:lineRule="auto"/>
              <w:ind w:firstLine="0" w:firstLineChars="0"/>
              <w:jc w:val="center"/>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6</w:t>
            </w:r>
          </w:p>
        </w:tc>
        <w:tc>
          <w:tcPr>
            <w:tcW w:w="1215" w:type="dxa"/>
            <w:shd w:val="clear" w:color="auto" w:fill="auto"/>
            <w:noWrap w:val="0"/>
            <w:vAlign w:val="center"/>
          </w:tcPr>
          <w:p w14:paraId="28B9B2CD">
            <w:pPr>
              <w:pStyle w:val="602"/>
              <w:spacing w:line="360" w:lineRule="auto"/>
              <w:ind w:firstLine="0" w:firstLineChars="0"/>
              <w:jc w:val="center"/>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实施方案</w:t>
            </w:r>
          </w:p>
        </w:tc>
        <w:tc>
          <w:tcPr>
            <w:tcW w:w="660" w:type="dxa"/>
            <w:shd w:val="clear" w:color="auto" w:fill="auto"/>
            <w:noWrap w:val="0"/>
            <w:vAlign w:val="center"/>
          </w:tcPr>
          <w:p w14:paraId="56790C5F">
            <w:pPr>
              <w:pStyle w:val="602"/>
              <w:spacing w:line="360" w:lineRule="auto"/>
              <w:ind w:firstLine="0" w:firstLineChars="0"/>
              <w:jc w:val="center"/>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15</w:t>
            </w:r>
          </w:p>
        </w:tc>
        <w:tc>
          <w:tcPr>
            <w:tcW w:w="5849" w:type="dxa"/>
            <w:shd w:val="clear" w:color="auto" w:fill="auto"/>
            <w:noWrap w:val="0"/>
            <w:vAlign w:val="center"/>
          </w:tcPr>
          <w:p w14:paraId="5B6A1093">
            <w:pPr>
              <w:pStyle w:val="602"/>
              <w:spacing w:line="360" w:lineRule="auto"/>
              <w:ind w:firstLine="0" w:firstLineChars="0"/>
              <w:rPr>
                <w:rFonts w:hint="eastAsia" w:ascii="仿宋" w:hAnsi="仿宋" w:eastAsia="仿宋" w:cs="仿宋"/>
                <w:color w:val="auto"/>
                <w:spacing w:val="4"/>
                <w:kern w:val="2"/>
                <w:sz w:val="24"/>
                <w:szCs w:val="24"/>
                <w:lang w:val="en-US" w:eastAsia="zh-CN"/>
              </w:rPr>
            </w:pPr>
            <w:r>
              <w:rPr>
                <w:rFonts w:hint="eastAsia" w:ascii="仿宋" w:hAnsi="仿宋" w:eastAsia="仿宋" w:cs="仿宋"/>
                <w:color w:val="auto"/>
                <w:spacing w:val="4"/>
                <w:kern w:val="2"/>
                <w:sz w:val="24"/>
                <w:szCs w:val="24"/>
                <w:lang w:val="en-US" w:eastAsia="zh-CN"/>
              </w:rPr>
              <w:t>苗木的包装、运输与配送方案从以下几个方面进行评分：</w:t>
            </w:r>
          </w:p>
          <w:p w14:paraId="620A3672">
            <w:pPr>
              <w:pStyle w:val="602"/>
              <w:spacing w:line="360" w:lineRule="auto"/>
              <w:ind w:firstLine="0" w:firstLineChars="0"/>
              <w:rPr>
                <w:rFonts w:hint="eastAsia" w:ascii="仿宋" w:hAnsi="仿宋" w:eastAsia="仿宋" w:cs="仿宋"/>
                <w:color w:val="auto"/>
                <w:spacing w:val="4"/>
                <w:kern w:val="2"/>
                <w:sz w:val="24"/>
                <w:szCs w:val="24"/>
                <w:lang w:val="en-US" w:eastAsia="zh-CN"/>
              </w:rPr>
            </w:pPr>
            <w:r>
              <w:rPr>
                <w:rFonts w:hint="eastAsia" w:ascii="仿宋" w:hAnsi="仿宋" w:eastAsia="仿宋" w:cs="仿宋"/>
                <w:color w:val="auto"/>
                <w:spacing w:val="4"/>
                <w:kern w:val="2"/>
                <w:sz w:val="24"/>
                <w:szCs w:val="24"/>
                <w:lang w:val="en-US" w:eastAsia="zh-CN"/>
              </w:rPr>
              <w:t>1.包装方案</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0-3分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w:t>
            </w:r>
          </w:p>
          <w:p w14:paraId="58B006E4">
            <w:pPr>
              <w:pStyle w:val="602"/>
              <w:spacing w:line="360" w:lineRule="auto"/>
              <w:ind w:firstLine="0" w:firstLineChars="0"/>
              <w:rPr>
                <w:rFonts w:hint="eastAsia" w:ascii="仿宋" w:hAnsi="仿宋" w:eastAsia="仿宋" w:cs="仿宋"/>
                <w:color w:val="auto"/>
                <w:spacing w:val="4"/>
                <w:kern w:val="2"/>
                <w:sz w:val="24"/>
                <w:szCs w:val="24"/>
                <w:lang w:val="en-US" w:eastAsia="zh-CN"/>
              </w:rPr>
            </w:pPr>
            <w:r>
              <w:rPr>
                <w:rFonts w:hint="eastAsia" w:ascii="仿宋" w:hAnsi="仿宋" w:eastAsia="仿宋" w:cs="仿宋"/>
                <w:color w:val="auto"/>
                <w:spacing w:val="4"/>
                <w:kern w:val="2"/>
                <w:sz w:val="24"/>
                <w:szCs w:val="24"/>
                <w:lang w:val="en-US" w:eastAsia="zh-CN"/>
              </w:rPr>
              <w:t>2.装车方案</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0-3分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w:t>
            </w:r>
          </w:p>
          <w:p w14:paraId="5656E541">
            <w:pPr>
              <w:pStyle w:val="602"/>
              <w:spacing w:line="360" w:lineRule="auto"/>
              <w:ind w:firstLine="0" w:firstLineChars="0"/>
              <w:rPr>
                <w:rFonts w:hint="eastAsia" w:ascii="仿宋" w:hAnsi="仿宋" w:eastAsia="仿宋" w:cs="仿宋"/>
                <w:color w:val="auto"/>
                <w:spacing w:val="4"/>
                <w:kern w:val="2"/>
                <w:sz w:val="24"/>
                <w:szCs w:val="24"/>
                <w:lang w:val="en-US" w:eastAsia="zh-CN"/>
              </w:rPr>
            </w:pPr>
            <w:r>
              <w:rPr>
                <w:rFonts w:hint="eastAsia" w:ascii="仿宋" w:hAnsi="仿宋" w:eastAsia="仿宋" w:cs="仿宋"/>
                <w:color w:val="auto"/>
                <w:spacing w:val="4"/>
                <w:kern w:val="2"/>
                <w:sz w:val="24"/>
                <w:szCs w:val="24"/>
                <w:lang w:val="en-US" w:eastAsia="zh-CN"/>
              </w:rPr>
              <w:t>3.运输方案（包括运输方式、运输工具及运输路线等）</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0-3分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w:t>
            </w:r>
          </w:p>
          <w:p w14:paraId="69CC0228">
            <w:pPr>
              <w:pStyle w:val="602"/>
              <w:spacing w:line="360" w:lineRule="auto"/>
              <w:ind w:firstLine="0" w:firstLineChars="0"/>
              <w:rPr>
                <w:rFonts w:hint="eastAsia" w:ascii="仿宋" w:hAnsi="仿宋" w:eastAsia="仿宋" w:cs="仿宋"/>
                <w:color w:val="auto"/>
                <w:spacing w:val="4"/>
                <w:kern w:val="2"/>
                <w:sz w:val="24"/>
                <w:szCs w:val="24"/>
                <w:lang w:val="en-US" w:eastAsia="zh-CN"/>
              </w:rPr>
            </w:pPr>
            <w:r>
              <w:rPr>
                <w:rFonts w:hint="eastAsia" w:ascii="仿宋" w:hAnsi="仿宋" w:eastAsia="仿宋" w:cs="仿宋"/>
                <w:color w:val="auto"/>
                <w:spacing w:val="4"/>
                <w:kern w:val="2"/>
                <w:sz w:val="24"/>
                <w:szCs w:val="24"/>
                <w:lang w:val="en-US" w:eastAsia="zh-CN"/>
              </w:rPr>
              <w:t>4.运输过程中的苗木保护措施</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0-3分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w:t>
            </w:r>
          </w:p>
          <w:p w14:paraId="550289DD">
            <w:pPr>
              <w:pStyle w:val="602"/>
              <w:spacing w:line="360" w:lineRule="auto"/>
              <w:ind w:firstLine="0" w:firstLineChars="0"/>
              <w:rPr>
                <w:rFonts w:hint="eastAsia" w:ascii="仿宋" w:hAnsi="仿宋" w:eastAsia="仿宋" w:cs="仿宋"/>
                <w:color w:val="auto"/>
                <w:spacing w:val="4"/>
                <w:kern w:val="2"/>
                <w:sz w:val="24"/>
                <w:szCs w:val="24"/>
                <w:lang w:val="en-US" w:eastAsia="zh-CN"/>
              </w:rPr>
            </w:pPr>
            <w:r>
              <w:rPr>
                <w:rFonts w:hint="eastAsia" w:ascii="仿宋" w:hAnsi="仿宋" w:eastAsia="仿宋" w:cs="仿宋"/>
                <w:color w:val="auto"/>
                <w:spacing w:val="4"/>
                <w:kern w:val="2"/>
                <w:sz w:val="24"/>
                <w:szCs w:val="24"/>
                <w:lang w:val="en-US" w:eastAsia="zh-CN"/>
              </w:rPr>
              <w:t>5.苗木下车、包装物拆除及处置方案</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0-3分</w:t>
            </w:r>
            <w:r>
              <w:rPr>
                <w:rFonts w:hint="eastAsia" w:ascii="仿宋" w:hAnsi="仿宋" w:eastAsia="仿宋" w:cs="仿宋"/>
                <w:color w:val="auto"/>
                <w:spacing w:val="4"/>
                <w:kern w:val="2"/>
                <w:sz w:val="24"/>
                <w:szCs w:val="24"/>
                <w:lang w:eastAsia="zh-CN"/>
              </w:rPr>
              <w:t>）</w:t>
            </w:r>
            <w:r>
              <w:rPr>
                <w:rFonts w:hint="eastAsia" w:ascii="仿宋" w:hAnsi="仿宋" w:eastAsia="仿宋" w:cs="仿宋"/>
                <w:color w:val="auto"/>
                <w:spacing w:val="4"/>
                <w:kern w:val="2"/>
                <w:sz w:val="24"/>
                <w:szCs w:val="24"/>
                <w:lang w:val="en-US" w:eastAsia="zh-CN"/>
              </w:rPr>
              <w:t>。</w:t>
            </w:r>
          </w:p>
        </w:tc>
      </w:tr>
      <w:tr w14:paraId="4DAB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90" w:type="dxa"/>
            <w:vMerge w:val="restart"/>
            <w:shd w:val="clear" w:color="auto" w:fill="auto"/>
            <w:noWrap w:val="0"/>
            <w:vAlign w:val="center"/>
          </w:tcPr>
          <w:p w14:paraId="34BC3A59">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215" w:type="dxa"/>
            <w:vMerge w:val="restart"/>
            <w:noWrap w:val="0"/>
            <w:vAlign w:val="center"/>
          </w:tcPr>
          <w:p w14:paraId="2561C52C">
            <w:pPr>
              <w:tabs>
                <w:tab w:val="left" w:pos="0"/>
              </w:tabs>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应急预案</w:t>
            </w:r>
          </w:p>
        </w:tc>
        <w:tc>
          <w:tcPr>
            <w:tcW w:w="660" w:type="dxa"/>
            <w:noWrap w:val="0"/>
            <w:vAlign w:val="center"/>
          </w:tcPr>
          <w:p w14:paraId="14B26292">
            <w:pPr>
              <w:spacing w:line="360" w:lineRule="auto"/>
              <w:jc w:val="center"/>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lang w:val="en-US" w:eastAsia="zh-CN"/>
              </w:rPr>
              <w:t>6</w:t>
            </w:r>
          </w:p>
        </w:tc>
        <w:tc>
          <w:tcPr>
            <w:tcW w:w="5849" w:type="dxa"/>
            <w:noWrap w:val="0"/>
            <w:vAlign w:val="center"/>
          </w:tcPr>
          <w:p w14:paraId="42DE1B5C">
            <w:pPr>
              <w:spacing w:line="360" w:lineRule="auto"/>
              <w:rPr>
                <w:rFonts w:hint="eastAsia" w:ascii="仿宋" w:hAnsi="仿宋" w:eastAsia="仿宋" w:cs="仿宋"/>
                <w:color w:val="auto"/>
                <w:spacing w:val="4"/>
                <w:sz w:val="24"/>
                <w:szCs w:val="24"/>
                <w:lang w:val="en-US"/>
              </w:rPr>
            </w:pPr>
            <w:r>
              <w:rPr>
                <w:rFonts w:hint="eastAsia" w:ascii="仿宋" w:hAnsi="仿宋" w:eastAsia="仿宋" w:cs="仿宋"/>
                <w:color w:val="auto"/>
                <w:sz w:val="24"/>
                <w:szCs w:val="24"/>
                <w:highlight w:val="none"/>
                <w:shd w:val="clear" w:color="auto" w:fill="auto"/>
                <w:lang w:eastAsia="zh-CN"/>
              </w:rPr>
              <w:t>根据投标人</w:t>
            </w:r>
            <w:r>
              <w:rPr>
                <w:rFonts w:hint="eastAsia" w:ascii="仿宋" w:hAnsi="仿宋" w:eastAsia="仿宋" w:cs="仿宋"/>
                <w:color w:val="auto"/>
                <w:sz w:val="24"/>
                <w:szCs w:val="24"/>
                <w:highlight w:val="none"/>
                <w:shd w:val="clear" w:color="auto" w:fill="auto"/>
                <w:lang w:val="en-US" w:eastAsia="zh-CN"/>
              </w:rPr>
              <w:t>提供的应急</w:t>
            </w:r>
            <w:r>
              <w:rPr>
                <w:rFonts w:hint="eastAsia" w:ascii="仿宋" w:hAnsi="仿宋" w:eastAsia="仿宋" w:cs="仿宋"/>
                <w:color w:val="auto"/>
                <w:sz w:val="24"/>
                <w:szCs w:val="24"/>
                <w:highlight w:val="none"/>
                <w:shd w:val="clear" w:color="auto" w:fill="auto"/>
                <w:lang w:eastAsia="zh-CN"/>
              </w:rPr>
              <w:t>服务</w:t>
            </w:r>
            <w:r>
              <w:rPr>
                <w:rFonts w:hint="eastAsia" w:ascii="仿宋" w:hAnsi="仿宋" w:eastAsia="仿宋" w:cs="仿宋"/>
                <w:color w:val="auto"/>
                <w:sz w:val="24"/>
                <w:szCs w:val="24"/>
              </w:rPr>
              <w:t>预案</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highlight w:val="none"/>
                <w:shd w:val="clear" w:color="auto" w:fill="auto"/>
                <w:lang w:eastAsia="zh-CN"/>
              </w:rPr>
              <w:t>打分</w:t>
            </w:r>
            <w:r>
              <w:rPr>
                <w:rFonts w:hint="eastAsia" w:ascii="仿宋" w:hAnsi="仿宋" w:eastAsia="仿宋" w:cs="仿宋"/>
                <w:color w:val="auto"/>
                <w:sz w:val="24"/>
                <w:szCs w:val="24"/>
                <w:highlight w:val="none"/>
                <w:shd w:val="clear" w:color="auto" w:fill="auto"/>
                <w:lang w:val="en-US" w:eastAsia="zh-CN"/>
              </w:rPr>
              <w:t>（包括但不限于防汛、防台、重要活动保障等），不提供不得分。</w:t>
            </w:r>
          </w:p>
        </w:tc>
      </w:tr>
      <w:tr w14:paraId="0C1A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90" w:type="dxa"/>
            <w:vMerge w:val="continue"/>
            <w:shd w:val="clear" w:color="auto" w:fill="auto"/>
            <w:noWrap w:val="0"/>
            <w:vAlign w:val="center"/>
          </w:tcPr>
          <w:p w14:paraId="62197BF3">
            <w:pPr>
              <w:spacing w:line="360" w:lineRule="auto"/>
              <w:jc w:val="center"/>
              <w:rPr>
                <w:rFonts w:hint="default" w:ascii="仿宋" w:hAnsi="仿宋" w:eastAsia="仿宋" w:cs="仿宋"/>
                <w:color w:val="auto"/>
                <w:kern w:val="2"/>
                <w:sz w:val="24"/>
                <w:szCs w:val="24"/>
                <w:lang w:val="en-US" w:eastAsia="zh-CN" w:bidi="ar-SA"/>
              </w:rPr>
            </w:pPr>
          </w:p>
        </w:tc>
        <w:tc>
          <w:tcPr>
            <w:tcW w:w="1215" w:type="dxa"/>
            <w:vMerge w:val="continue"/>
            <w:noWrap w:val="0"/>
            <w:vAlign w:val="center"/>
          </w:tcPr>
          <w:p w14:paraId="5CE184BC">
            <w:pPr>
              <w:spacing w:line="360" w:lineRule="auto"/>
              <w:jc w:val="center"/>
              <w:rPr>
                <w:rFonts w:hint="eastAsia" w:ascii="仿宋" w:hAnsi="仿宋" w:eastAsia="仿宋" w:cs="仿宋"/>
                <w:sz w:val="24"/>
                <w:szCs w:val="24"/>
              </w:rPr>
            </w:pPr>
          </w:p>
        </w:tc>
        <w:tc>
          <w:tcPr>
            <w:tcW w:w="660" w:type="dxa"/>
            <w:noWrap w:val="0"/>
            <w:vAlign w:val="center"/>
          </w:tcPr>
          <w:p w14:paraId="5C831334">
            <w:pPr>
              <w:spacing w:line="360" w:lineRule="auto"/>
              <w:jc w:val="center"/>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lang w:val="en-US" w:eastAsia="zh-CN"/>
              </w:rPr>
              <w:t>3</w:t>
            </w:r>
          </w:p>
        </w:tc>
        <w:tc>
          <w:tcPr>
            <w:tcW w:w="5849" w:type="dxa"/>
            <w:noWrap w:val="0"/>
            <w:vAlign w:val="center"/>
          </w:tcPr>
          <w:p w14:paraId="571CA25C">
            <w:pPr>
              <w:spacing w:line="360" w:lineRule="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eastAsia="zh-CN"/>
              </w:rPr>
              <w:t>根据投标人</w:t>
            </w:r>
            <w:r>
              <w:rPr>
                <w:rFonts w:hint="eastAsia" w:ascii="仿宋" w:hAnsi="仿宋" w:eastAsia="仿宋" w:cs="仿宋"/>
                <w:color w:val="auto"/>
                <w:sz w:val="24"/>
                <w:szCs w:val="24"/>
                <w:highlight w:val="none"/>
                <w:shd w:val="clear" w:color="auto" w:fill="auto"/>
                <w:lang w:val="en-US" w:eastAsia="zh-CN"/>
              </w:rPr>
              <w:t>承诺的应急响应时间：2小时及以内的得3分，8小时以内的得2分，12小时以内的得1分，大于12小时的不得分。</w:t>
            </w:r>
          </w:p>
          <w:p w14:paraId="05E902CE">
            <w:pPr>
              <w:spacing w:line="360" w:lineRule="auto"/>
              <w:rPr>
                <w:rFonts w:hint="eastAsia" w:ascii="仿宋" w:hAnsi="仿宋" w:eastAsia="仿宋" w:cs="仿宋"/>
                <w:color w:val="auto"/>
                <w:spacing w:val="4"/>
                <w:sz w:val="24"/>
                <w:szCs w:val="24"/>
                <w:lang w:eastAsia="zh-CN"/>
              </w:rPr>
            </w:pPr>
            <w:r>
              <w:rPr>
                <w:rFonts w:hint="eastAsia" w:ascii="仿宋" w:hAnsi="仿宋" w:eastAsia="仿宋" w:cs="仿宋"/>
                <w:color w:val="auto"/>
                <w:sz w:val="24"/>
                <w:szCs w:val="24"/>
                <w:highlight w:val="none"/>
                <w:shd w:val="clear" w:color="auto" w:fill="auto"/>
                <w:lang w:val="en-US" w:eastAsia="zh-CN"/>
              </w:rPr>
              <w:t>注：投标人可在此基础上提供更及时有效的响应时间及措施。</w:t>
            </w:r>
          </w:p>
        </w:tc>
      </w:tr>
      <w:tr w14:paraId="46CC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90" w:type="dxa"/>
            <w:vMerge w:val="continue"/>
            <w:shd w:val="clear" w:color="auto" w:fill="auto"/>
            <w:noWrap w:val="0"/>
            <w:vAlign w:val="center"/>
          </w:tcPr>
          <w:p w14:paraId="716FBCC0">
            <w:pPr>
              <w:spacing w:line="360" w:lineRule="auto"/>
            </w:pPr>
          </w:p>
        </w:tc>
        <w:tc>
          <w:tcPr>
            <w:tcW w:w="1215" w:type="dxa"/>
            <w:vMerge w:val="continue"/>
            <w:noWrap w:val="0"/>
            <w:vAlign w:val="center"/>
          </w:tcPr>
          <w:p w14:paraId="4247C558">
            <w:pPr>
              <w:spacing w:line="360" w:lineRule="auto"/>
            </w:pPr>
          </w:p>
        </w:tc>
        <w:tc>
          <w:tcPr>
            <w:tcW w:w="660" w:type="dxa"/>
            <w:noWrap w:val="0"/>
            <w:vAlign w:val="center"/>
          </w:tcPr>
          <w:p w14:paraId="02C51F5F">
            <w:pPr>
              <w:spacing w:line="360" w:lineRule="auto"/>
              <w:jc w:val="center"/>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4</w:t>
            </w:r>
          </w:p>
        </w:tc>
        <w:tc>
          <w:tcPr>
            <w:tcW w:w="5849" w:type="dxa"/>
            <w:noWrap w:val="0"/>
            <w:vAlign w:val="center"/>
          </w:tcPr>
          <w:p w14:paraId="2542B5EA">
            <w:pPr>
              <w:spacing w:line="360" w:lineRule="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根据投标人承诺的应急供货时间：在原基础上每提前一天增加1分，此项最高得4分。</w:t>
            </w:r>
          </w:p>
        </w:tc>
      </w:tr>
      <w:tr w14:paraId="7733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90" w:type="dxa"/>
            <w:shd w:val="clear" w:color="auto" w:fill="auto"/>
            <w:noWrap w:val="0"/>
            <w:vAlign w:val="center"/>
          </w:tcPr>
          <w:p w14:paraId="7747C810">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215" w:type="dxa"/>
            <w:noWrap w:val="0"/>
            <w:vAlign w:val="center"/>
          </w:tcPr>
          <w:p w14:paraId="3029C059">
            <w:pPr>
              <w:tabs>
                <w:tab w:val="left" w:pos="0"/>
              </w:tabs>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w:t>
            </w:r>
          </w:p>
        </w:tc>
        <w:tc>
          <w:tcPr>
            <w:tcW w:w="660" w:type="dxa"/>
            <w:noWrap w:val="0"/>
            <w:vAlign w:val="center"/>
          </w:tcPr>
          <w:p w14:paraId="561E0C45">
            <w:pPr>
              <w:spacing w:line="360" w:lineRule="auto"/>
              <w:jc w:val="center"/>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5</w:t>
            </w:r>
          </w:p>
        </w:tc>
        <w:tc>
          <w:tcPr>
            <w:tcW w:w="5849" w:type="dxa"/>
            <w:noWrap w:val="0"/>
            <w:vAlign w:val="center"/>
          </w:tcPr>
          <w:p w14:paraId="10B0BAC6">
            <w:pPr>
              <w:spacing w:line="360" w:lineRule="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根据投标人提供的售后服务方案（苗木补给、苗木补救措施等）进行打分。</w:t>
            </w:r>
          </w:p>
        </w:tc>
      </w:tr>
    </w:tbl>
    <w:p w14:paraId="108EEB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shd w:val="clear" w:color="auto" w:fill="FFFFFF"/>
        </w:rPr>
        <w:t>签订合同前，采购人有权对中标候选人所投产品进行参数验证，如有虚假应标，按照相关规定取消中标候选人中标资格并按规定处罚。</w:t>
      </w:r>
      <w:r>
        <w:rPr>
          <w:rFonts w:hint="eastAsia" w:ascii="仿宋" w:hAnsi="仿宋" w:eastAsia="仿宋" w:cs="仿宋"/>
          <w:color w:val="auto"/>
          <w:sz w:val="24"/>
          <w:highlight w:val="none"/>
        </w:rPr>
        <w:t> </w:t>
      </w:r>
    </w:p>
    <w:p w14:paraId="40B00EE2">
      <w:pPr>
        <w:keepNext w:val="0"/>
        <w:keepLines w:val="0"/>
        <w:pageBreakBefore w:val="0"/>
        <w:widowControl w:val="0"/>
        <w:kinsoku/>
        <w:wordWrap/>
        <w:overflowPunct/>
        <w:topLinePunct w:val="0"/>
        <w:bidi w:val="0"/>
        <w:adjustRightInd w:val="0"/>
        <w:spacing w:line="440" w:lineRule="exact"/>
        <w:textAlignment w:val="auto"/>
        <w:rPr>
          <w:rFonts w:ascii="仿宋" w:hAnsi="仿宋" w:eastAsia="仿宋" w:cs="仿宋"/>
          <w:b/>
          <w:bCs/>
          <w:iCs/>
          <w:color w:val="auto"/>
          <w:sz w:val="24"/>
          <w:highlight w:val="none"/>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.2价格分（</w:t>
      </w:r>
      <w:r>
        <w:rPr>
          <w:rFonts w:hint="eastAsia" w:ascii="仿宋" w:hAnsi="仿宋" w:eastAsia="仿宋" w:cs="仿宋"/>
          <w:b/>
          <w:bCs/>
          <w:iCs/>
          <w:color w:val="auto"/>
          <w:sz w:val="24"/>
          <w:highlight w:val="none"/>
          <w:lang w:val="en-US" w:eastAsia="zh-CN"/>
        </w:rPr>
        <w:t>30</w:t>
      </w:r>
      <w:r>
        <w:rPr>
          <w:rFonts w:hint="eastAsia" w:ascii="仿宋" w:hAnsi="仿宋" w:eastAsia="仿宋" w:cs="仿宋"/>
          <w:b/>
          <w:bCs/>
          <w:iCs/>
          <w:color w:val="auto"/>
          <w:sz w:val="24"/>
          <w:highlight w:val="none"/>
        </w:rPr>
        <w:t>分）</w:t>
      </w:r>
    </w:p>
    <w:p w14:paraId="6EAFA74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.2.1评标基准价：以有效投标价中的最低折扣率为评标基准价，其价格分为满分。</w:t>
      </w:r>
    </w:p>
    <w:p w14:paraId="135179C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.2.2其他投标人的价格分统一按照下列公式计算：</w:t>
      </w:r>
    </w:p>
    <w:p w14:paraId="64CB8BA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77CD2EF8">
      <w:pPr>
        <w:pStyle w:val="24"/>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hint="eastAsia"/>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30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2F84E43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D2E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hint="eastAsia" w:ascii="仿宋" w:hAnsi="仿宋" w:eastAsia="仿宋" w:cs="仿宋"/>
          <w:b w:val="0"/>
          <w:bCs/>
          <w:color w:val="auto"/>
          <w:sz w:val="36"/>
          <w:szCs w:val="36"/>
          <w:highlight w:val="none"/>
        </w:rPr>
      </w:pPr>
      <w:r>
        <w:rPr>
          <w:rFonts w:hint="eastAsia" w:ascii="仿宋" w:hAnsi="仿宋" w:eastAsia="仿宋" w:cs="仿宋"/>
          <w:b/>
          <w:bCs w:val="0"/>
          <w:iCs/>
          <w:color w:val="auto"/>
          <w:sz w:val="24"/>
          <w:szCs w:val="24"/>
          <w:highlight w:val="none"/>
          <w:lang w:eastAsia="zh-CN"/>
        </w:rPr>
        <w:t>本项目的最高限价为</w:t>
      </w:r>
      <w:r>
        <w:rPr>
          <w:rFonts w:hint="eastAsia" w:ascii="仿宋" w:hAnsi="仿宋" w:eastAsia="仿宋" w:cs="仿宋"/>
          <w:b/>
          <w:bCs w:val="0"/>
          <w:iCs/>
          <w:color w:val="auto"/>
          <w:sz w:val="24"/>
          <w:szCs w:val="24"/>
          <w:highlight w:val="none"/>
          <w:lang w:val="en-US" w:eastAsia="zh-CN"/>
        </w:rPr>
        <w:t>88%，若超出按无效标处理。</w:t>
      </w:r>
      <w:r>
        <w:rPr>
          <w:rFonts w:hint="eastAsia" w:ascii="仿宋" w:hAnsi="仿宋" w:eastAsia="仿宋" w:cs="仿宋"/>
          <w:b w:val="0"/>
          <w:bCs/>
          <w:iCs/>
          <w:color w:val="auto"/>
          <w:sz w:val="24"/>
          <w:szCs w:val="24"/>
          <w:highlight w:val="none"/>
        </w:rPr>
        <w:t>本项目风险控制价为80%（折扣率），若中标人低于该风险控制价中标的，中标人必须额外补交中标价净值与风险控制价之差额，中标人不提交的视为放弃中标。在风险控制价的基础上，每下降1%，缴纳差额保证金1万元</w:t>
      </w: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rPr>
        <w:t>不足1%按1%计算。保证金待项目履约完成后7个工作日内无息退还。差额保证金待项目完成后7个工作日内无息退还。（差额保证金应在中标通知书发出后10个工作日内交至采购单位，以现金、电汇、转账等方式交</w:t>
      </w:r>
      <w:r>
        <w:rPr>
          <w:rFonts w:hint="eastAsia" w:ascii="仿宋" w:hAnsi="仿宋" w:eastAsia="仿宋" w:cs="仿宋"/>
          <w:b w:val="0"/>
          <w:bCs/>
          <w:color w:val="auto"/>
          <w:sz w:val="24"/>
          <w:szCs w:val="24"/>
          <w:highlight w:val="none"/>
        </w:rPr>
        <w:t>纳。)</w:t>
      </w:r>
    </w:p>
    <w:p w14:paraId="6F65914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A222301">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14:paraId="674FE25B">
      <w:pPr>
        <w:kinsoku/>
        <w:wordWrap/>
        <w:overflowPunct/>
        <w:topLinePunct w:val="0"/>
        <w:bidi w:val="0"/>
        <w:spacing w:line="440" w:lineRule="exact"/>
        <w:jc w:val="center"/>
        <w:outlineLvl w:val="9"/>
        <w:rPr>
          <w:rFonts w:hint="eastAsia" w:ascii="仿宋" w:hAnsi="仿宋" w:eastAsia="仿宋" w:cs="仿宋"/>
          <w:b/>
          <w:color w:val="auto"/>
          <w:sz w:val="36"/>
          <w:szCs w:val="36"/>
        </w:rPr>
      </w:pPr>
      <w:r>
        <w:rPr>
          <w:rFonts w:hint="eastAsia" w:ascii="仿宋" w:hAnsi="仿宋" w:eastAsia="仿宋" w:cs="仿宋"/>
          <w:b/>
          <w:color w:val="auto"/>
          <w:sz w:val="36"/>
          <w:szCs w:val="36"/>
        </w:rPr>
        <w:t>采购合同参考范本</w:t>
      </w:r>
    </w:p>
    <w:p w14:paraId="51296500">
      <w:pPr>
        <w:pStyle w:val="701"/>
        <w:kinsoku/>
        <w:wordWrap/>
        <w:overflowPunct/>
        <w:topLinePunct w:val="0"/>
        <w:bidi w:val="0"/>
        <w:spacing w:line="440" w:lineRule="exact"/>
        <w:outlineLvl w:val="9"/>
        <w:rPr>
          <w:rFonts w:hint="eastAsia" w:ascii="仿宋" w:hAnsi="仿宋" w:eastAsia="仿宋" w:cs="仿宋"/>
          <w:color w:val="auto"/>
          <w:szCs w:val="24"/>
        </w:rPr>
      </w:pPr>
    </w:p>
    <w:p w14:paraId="1892FBEF">
      <w:pPr>
        <w:pStyle w:val="701"/>
        <w:kinsoku/>
        <w:wordWrap/>
        <w:overflowPunct/>
        <w:topLinePunct w:val="0"/>
        <w:bidi w:val="0"/>
        <w:spacing w:line="440" w:lineRule="exact"/>
        <w:outlineLvl w:val="9"/>
        <w:rPr>
          <w:rFonts w:hint="eastAsia" w:ascii="仿宋" w:hAnsi="仿宋" w:eastAsia="仿宋" w:cs="仿宋"/>
          <w:color w:val="auto"/>
          <w:szCs w:val="24"/>
        </w:rPr>
      </w:pPr>
    </w:p>
    <w:p w14:paraId="61081433">
      <w:pPr>
        <w:pStyle w:val="701"/>
        <w:kinsoku/>
        <w:wordWrap/>
        <w:overflowPunct/>
        <w:topLinePunct w:val="0"/>
        <w:bidi w:val="0"/>
        <w:spacing w:line="440" w:lineRule="exact"/>
        <w:jc w:val="center"/>
        <w:outlineLvl w:val="9"/>
        <w:rPr>
          <w:rFonts w:hint="eastAsia" w:ascii="仿宋" w:hAnsi="仿宋" w:eastAsia="仿宋" w:cs="仿宋"/>
          <w:color w:val="auto"/>
          <w:szCs w:val="24"/>
        </w:rPr>
      </w:pPr>
    </w:p>
    <w:p w14:paraId="43BE3E15">
      <w:pPr>
        <w:pStyle w:val="701"/>
        <w:kinsoku/>
        <w:wordWrap/>
        <w:overflowPunct/>
        <w:topLinePunct w:val="0"/>
        <w:bidi w:val="0"/>
        <w:spacing w:line="440" w:lineRule="exact"/>
        <w:ind w:firstLine="2843" w:firstLineChars="1180"/>
        <w:outlineLvl w:val="9"/>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205916AF">
      <w:pPr>
        <w:pStyle w:val="701"/>
        <w:kinsoku/>
        <w:wordWrap/>
        <w:overflowPunct/>
        <w:topLinePunct w:val="0"/>
        <w:bidi w:val="0"/>
        <w:spacing w:line="440" w:lineRule="exact"/>
        <w:outlineLvl w:val="9"/>
        <w:rPr>
          <w:rFonts w:hint="eastAsia" w:ascii="仿宋" w:hAnsi="仿宋" w:eastAsia="仿宋" w:cs="仿宋"/>
          <w:color w:val="auto"/>
          <w:szCs w:val="24"/>
        </w:rPr>
      </w:pPr>
    </w:p>
    <w:p w14:paraId="2D660583">
      <w:pPr>
        <w:pStyle w:val="701"/>
        <w:kinsoku/>
        <w:wordWrap/>
        <w:overflowPunct/>
        <w:topLinePunct w:val="0"/>
        <w:bidi w:val="0"/>
        <w:spacing w:line="440" w:lineRule="exact"/>
        <w:outlineLvl w:val="9"/>
        <w:rPr>
          <w:rFonts w:hint="eastAsia" w:ascii="仿宋" w:hAnsi="仿宋" w:eastAsia="仿宋" w:cs="仿宋"/>
          <w:color w:val="auto"/>
          <w:szCs w:val="24"/>
        </w:rPr>
      </w:pPr>
    </w:p>
    <w:p w14:paraId="5F7D4185">
      <w:pPr>
        <w:kinsoku/>
        <w:wordWrap/>
        <w:overflowPunct/>
        <w:topLinePunct w:val="0"/>
        <w:bidi w:val="0"/>
        <w:spacing w:before="120" w:line="440" w:lineRule="exact"/>
        <w:outlineLvl w:val="9"/>
        <w:rPr>
          <w:rFonts w:hint="eastAsia" w:ascii="仿宋" w:hAnsi="仿宋" w:eastAsia="仿宋" w:cs="仿宋"/>
          <w:color w:val="auto"/>
          <w:sz w:val="24"/>
        </w:rPr>
      </w:pPr>
    </w:p>
    <w:p w14:paraId="5DD77681">
      <w:pPr>
        <w:kinsoku/>
        <w:wordWrap/>
        <w:overflowPunct/>
        <w:topLinePunct w:val="0"/>
        <w:bidi w:val="0"/>
        <w:spacing w:before="120" w:line="440" w:lineRule="exact"/>
        <w:ind w:left="960"/>
        <w:outlineLvl w:val="9"/>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02A4D2AA">
      <w:pPr>
        <w:pStyle w:val="598"/>
        <w:kinsoku/>
        <w:wordWrap/>
        <w:overflowPunct/>
        <w:topLinePunct w:val="0"/>
        <w:bidi w:val="0"/>
        <w:spacing w:before="120" w:line="440" w:lineRule="exact"/>
        <w:outlineLvl w:val="9"/>
        <w:rPr>
          <w:rFonts w:hint="eastAsia" w:ascii="仿宋" w:hAnsi="仿宋" w:eastAsia="仿宋" w:cs="仿宋"/>
          <w:color w:val="auto"/>
          <w:szCs w:val="24"/>
        </w:rPr>
      </w:pPr>
    </w:p>
    <w:p w14:paraId="2A58B5C2">
      <w:pPr>
        <w:pStyle w:val="598"/>
        <w:kinsoku/>
        <w:wordWrap/>
        <w:overflowPunct/>
        <w:topLinePunct w:val="0"/>
        <w:bidi w:val="0"/>
        <w:spacing w:before="120" w:line="440" w:lineRule="exact"/>
        <w:outlineLvl w:val="9"/>
        <w:rPr>
          <w:rFonts w:hint="eastAsia" w:ascii="仿宋" w:hAnsi="仿宋" w:eastAsia="仿宋" w:cs="仿宋"/>
          <w:color w:val="auto"/>
          <w:szCs w:val="24"/>
        </w:rPr>
      </w:pPr>
    </w:p>
    <w:p w14:paraId="1A02F672">
      <w:pPr>
        <w:kinsoku/>
        <w:wordWrap/>
        <w:overflowPunct/>
        <w:topLinePunct w:val="0"/>
        <w:bidi w:val="0"/>
        <w:spacing w:line="440" w:lineRule="exact"/>
        <w:outlineLvl w:val="9"/>
        <w:rPr>
          <w:rFonts w:hint="eastAsia" w:ascii="仿宋" w:hAnsi="仿宋" w:eastAsia="仿宋" w:cs="仿宋"/>
          <w:color w:val="auto"/>
          <w:sz w:val="24"/>
        </w:rPr>
      </w:pPr>
    </w:p>
    <w:p w14:paraId="537E2934">
      <w:pPr>
        <w:kinsoku/>
        <w:wordWrap/>
        <w:overflowPunct/>
        <w:topLinePunct w:val="0"/>
        <w:bidi w:val="0"/>
        <w:spacing w:before="120" w:line="440" w:lineRule="exact"/>
        <w:ind w:left="960"/>
        <w:outlineLvl w:val="9"/>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7C6CA163">
      <w:pPr>
        <w:kinsoku/>
        <w:wordWrap/>
        <w:overflowPunct/>
        <w:topLinePunct w:val="0"/>
        <w:bidi w:val="0"/>
        <w:spacing w:before="120" w:line="440" w:lineRule="exact"/>
        <w:outlineLvl w:val="9"/>
        <w:rPr>
          <w:rFonts w:hint="eastAsia" w:ascii="仿宋" w:hAnsi="仿宋" w:eastAsia="仿宋" w:cs="仿宋"/>
          <w:color w:val="auto"/>
          <w:sz w:val="24"/>
        </w:rPr>
      </w:pPr>
    </w:p>
    <w:p w14:paraId="7E70F139">
      <w:pPr>
        <w:kinsoku/>
        <w:wordWrap/>
        <w:overflowPunct/>
        <w:topLinePunct w:val="0"/>
        <w:bidi w:val="0"/>
        <w:spacing w:before="120" w:line="440" w:lineRule="exact"/>
        <w:ind w:left="960"/>
        <w:outlineLvl w:val="9"/>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57E94635">
      <w:pPr>
        <w:kinsoku/>
        <w:wordWrap/>
        <w:overflowPunct/>
        <w:topLinePunct w:val="0"/>
        <w:bidi w:val="0"/>
        <w:spacing w:before="120" w:line="440" w:lineRule="exact"/>
        <w:outlineLvl w:val="9"/>
        <w:rPr>
          <w:rFonts w:hint="eastAsia" w:ascii="仿宋" w:hAnsi="仿宋" w:eastAsia="仿宋" w:cs="仿宋"/>
          <w:color w:val="auto"/>
          <w:sz w:val="24"/>
        </w:rPr>
      </w:pPr>
    </w:p>
    <w:p w14:paraId="091E629A">
      <w:pPr>
        <w:kinsoku/>
        <w:wordWrap/>
        <w:overflowPunct/>
        <w:topLinePunct w:val="0"/>
        <w:bidi w:val="0"/>
        <w:spacing w:before="120" w:line="440" w:lineRule="exact"/>
        <w:ind w:firstLine="1440" w:firstLineChars="600"/>
        <w:outlineLvl w:val="9"/>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29BC263">
      <w:pPr>
        <w:kinsoku/>
        <w:wordWrap/>
        <w:overflowPunct/>
        <w:topLinePunct w:val="0"/>
        <w:bidi w:val="0"/>
        <w:spacing w:before="120" w:line="440" w:lineRule="exact"/>
        <w:outlineLvl w:val="9"/>
        <w:rPr>
          <w:rFonts w:hint="eastAsia" w:ascii="仿宋" w:hAnsi="仿宋" w:eastAsia="仿宋" w:cs="仿宋"/>
          <w:color w:val="auto"/>
          <w:sz w:val="24"/>
        </w:rPr>
      </w:pPr>
    </w:p>
    <w:p w14:paraId="0C2F89FD">
      <w:pPr>
        <w:kinsoku/>
        <w:wordWrap/>
        <w:overflowPunct/>
        <w:topLinePunct w:val="0"/>
        <w:bidi w:val="0"/>
        <w:spacing w:before="120" w:line="440" w:lineRule="exact"/>
        <w:ind w:firstLine="1440" w:firstLineChars="600"/>
        <w:outlineLvl w:val="9"/>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022AE243">
      <w:pPr>
        <w:widowControl/>
        <w:kinsoku/>
        <w:wordWrap/>
        <w:overflowPunct/>
        <w:topLinePunct w:val="0"/>
        <w:bidi w:val="0"/>
        <w:spacing w:line="440" w:lineRule="exact"/>
        <w:jc w:val="left"/>
        <w:outlineLvl w:val="9"/>
        <w:rPr>
          <w:rFonts w:hint="eastAsia" w:ascii="仿宋" w:hAnsi="仿宋" w:eastAsia="仿宋" w:cs="仿宋"/>
          <w:color w:val="auto"/>
          <w:kern w:val="0"/>
          <w:sz w:val="24"/>
        </w:rPr>
        <w:sectPr>
          <w:headerReference r:id="rId13" w:type="default"/>
          <w:footerReference r:id="rId14" w:type="default"/>
          <w:pgSz w:w="11907" w:h="16840"/>
          <w:pgMar w:top="1474" w:right="1814" w:bottom="1474" w:left="1814" w:header="851" w:footer="851" w:gutter="0"/>
          <w:pgNumType w:fmt="decimal"/>
          <w:cols w:space="720" w:num="1"/>
        </w:sectPr>
      </w:pPr>
    </w:p>
    <w:p w14:paraId="156066C6">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645C46F">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0"/>
        <w:rPr>
          <w:rFonts w:hint="eastAsia" w:ascii="仿宋" w:hAnsi="仿宋" w:eastAsia="仿宋" w:cs="仿宋"/>
          <w:color w:val="auto"/>
          <w:sz w:val="24"/>
          <w:highlight w:val="none"/>
        </w:rPr>
      </w:pPr>
      <w:bookmarkStart w:id="36" w:name="_Toc15367"/>
      <w:bookmarkStart w:id="37" w:name="_Toc19273"/>
      <w:bookmarkStart w:id="38" w:name="_Toc22967"/>
      <w:bookmarkStart w:id="39" w:name="_Toc20421"/>
      <w:bookmarkStart w:id="40" w:name="_Toc28855"/>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合同组成部分</w:t>
      </w:r>
      <w:bookmarkEnd w:id="36"/>
      <w:bookmarkEnd w:id="37"/>
      <w:bookmarkEnd w:id="38"/>
      <w:bookmarkEnd w:id="39"/>
      <w:bookmarkEnd w:id="40"/>
    </w:p>
    <w:p w14:paraId="33ED8A73">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3BF018">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7CFC9C10">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中标或者成交通知书；</w:t>
      </w:r>
    </w:p>
    <w:p w14:paraId="1AF9534B">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投标或者响应文件（含澄清或者说明文件）；</w:t>
      </w:r>
    </w:p>
    <w:p w14:paraId="791BA5B1">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采购文件（含澄清或者修改文件）；</w:t>
      </w:r>
    </w:p>
    <w:p w14:paraId="3D9E4AC5">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Style w:val="967"/>
          <w:rFonts w:hint="eastAsia" w:ascii="仿宋" w:hAnsi="仿宋" w:eastAsia="仿宋" w:cs="仿宋"/>
          <w:color w:val="auto"/>
          <w:sz w:val="24"/>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其他相关采购文件。</w:t>
      </w:r>
      <w:r>
        <w:rPr>
          <w:rStyle w:val="967"/>
          <w:rFonts w:hint="eastAsia" w:ascii="仿宋" w:hAnsi="仿宋" w:eastAsia="仿宋" w:cs="仿宋"/>
          <w:color w:val="auto"/>
          <w:sz w:val="24"/>
        </w:rPr>
        <w:t xml:space="preserve">    </w:t>
      </w:r>
    </w:p>
    <w:p w14:paraId="3A42B38C">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Style w:val="967"/>
          <w:rFonts w:hint="eastAsia" w:ascii="仿宋" w:hAnsi="仿宋" w:eastAsia="仿宋" w:cs="仿宋"/>
          <w:color w:val="auto"/>
          <w:sz w:val="24"/>
        </w:rPr>
      </w:pPr>
      <w:r>
        <w:rPr>
          <w:rFonts w:hint="eastAsia" w:ascii="仿宋" w:hAnsi="仿宋" w:eastAsia="仿宋" w:cs="仿宋"/>
          <w:b/>
          <w:bCs/>
          <w:color w:val="auto"/>
          <w:kern w:val="0"/>
          <w:sz w:val="24"/>
          <w:lang w:val="en-US" w:eastAsia="zh-CN"/>
        </w:rPr>
        <w:t>二、采购清单及合同价格</w:t>
      </w:r>
      <w:r>
        <w:rPr>
          <w:rStyle w:val="967"/>
          <w:rFonts w:hint="eastAsia" w:ascii="仿宋" w:hAnsi="仿宋" w:eastAsia="仿宋" w:cs="仿宋"/>
          <w:color w:val="auto"/>
          <w:sz w:val="24"/>
        </w:rPr>
        <w:t xml:space="preserve">                    </w:t>
      </w:r>
    </w:p>
    <w:tbl>
      <w:tblPr>
        <w:tblStyle w:val="62"/>
        <w:tblW w:w="8510" w:type="dxa"/>
        <w:jc w:val="center"/>
        <w:tblLayout w:type="fixed"/>
        <w:tblCellMar>
          <w:top w:w="0" w:type="dxa"/>
          <w:left w:w="108" w:type="dxa"/>
          <w:bottom w:w="0" w:type="dxa"/>
          <w:right w:w="108" w:type="dxa"/>
        </w:tblCellMar>
      </w:tblPr>
      <w:tblGrid>
        <w:gridCol w:w="855"/>
        <w:gridCol w:w="2830"/>
        <w:gridCol w:w="1800"/>
        <w:gridCol w:w="2160"/>
        <w:gridCol w:w="865"/>
      </w:tblGrid>
      <w:tr w14:paraId="2FBF9432">
        <w:tblPrEx>
          <w:tblCellMar>
            <w:top w:w="0" w:type="dxa"/>
            <w:left w:w="108" w:type="dxa"/>
            <w:bottom w:w="0" w:type="dxa"/>
            <w:right w:w="108" w:type="dxa"/>
          </w:tblCellMar>
        </w:tblPrEx>
        <w:trPr>
          <w:trHeight w:val="418" w:hRule="atLeast"/>
          <w:jc w:val="center"/>
        </w:trPr>
        <w:tc>
          <w:tcPr>
            <w:tcW w:w="855" w:type="dxa"/>
            <w:tcBorders>
              <w:top w:val="single" w:color="auto" w:sz="6" w:space="0"/>
              <w:left w:val="single" w:color="auto" w:sz="6" w:space="0"/>
              <w:bottom w:val="single" w:color="auto" w:sz="6" w:space="0"/>
              <w:right w:val="single" w:color="auto" w:sz="6" w:space="0"/>
            </w:tcBorders>
            <w:noWrap w:val="0"/>
            <w:vAlign w:val="center"/>
          </w:tcPr>
          <w:p w14:paraId="3FBB3C75">
            <w:pPr>
              <w:autoSpaceDE w:val="0"/>
              <w:autoSpaceDN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w:t>
            </w:r>
            <w:r>
              <w:rPr>
                <w:rFonts w:hint="eastAsia" w:ascii="仿宋" w:hAnsi="仿宋" w:eastAsia="仿宋" w:cs="仿宋"/>
                <w:color w:val="auto"/>
                <w:sz w:val="24"/>
                <w:szCs w:val="24"/>
                <w:cs/>
                <w:lang w:val="zh-CN"/>
              </w:rPr>
              <w:t>号</w:t>
            </w:r>
          </w:p>
        </w:tc>
        <w:tc>
          <w:tcPr>
            <w:tcW w:w="2830" w:type="dxa"/>
            <w:tcBorders>
              <w:top w:val="single" w:color="auto" w:sz="6" w:space="0"/>
              <w:left w:val="single" w:color="auto" w:sz="6" w:space="0"/>
              <w:bottom w:val="single" w:color="auto" w:sz="6" w:space="0"/>
              <w:right w:val="single" w:color="auto" w:sz="4" w:space="0"/>
            </w:tcBorders>
            <w:noWrap w:val="0"/>
            <w:vAlign w:val="center"/>
          </w:tcPr>
          <w:p w14:paraId="4E484E7E">
            <w:pPr>
              <w:autoSpaceDE w:val="0"/>
              <w:autoSpaceDN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名称</w:t>
            </w:r>
          </w:p>
        </w:tc>
        <w:tc>
          <w:tcPr>
            <w:tcW w:w="1800" w:type="dxa"/>
            <w:tcBorders>
              <w:top w:val="single" w:color="auto" w:sz="6" w:space="0"/>
              <w:left w:val="single" w:color="auto" w:sz="4" w:space="0"/>
              <w:bottom w:val="single" w:color="auto" w:sz="6" w:space="0"/>
              <w:right w:val="single" w:color="auto" w:sz="6" w:space="0"/>
            </w:tcBorders>
            <w:noWrap w:val="0"/>
            <w:vAlign w:val="center"/>
          </w:tcPr>
          <w:p w14:paraId="02279EF0">
            <w:pPr>
              <w:autoSpaceDE w:val="0"/>
              <w:autoSpaceDN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规格</w:t>
            </w:r>
          </w:p>
        </w:tc>
        <w:tc>
          <w:tcPr>
            <w:tcW w:w="2160" w:type="dxa"/>
            <w:tcBorders>
              <w:top w:val="single" w:color="auto" w:sz="6" w:space="0"/>
              <w:left w:val="single" w:color="auto" w:sz="6" w:space="0"/>
              <w:bottom w:val="single" w:color="auto" w:sz="6" w:space="0"/>
              <w:right w:val="single" w:color="auto" w:sz="6" w:space="0"/>
            </w:tcBorders>
            <w:noWrap w:val="0"/>
            <w:vAlign w:val="center"/>
          </w:tcPr>
          <w:p w14:paraId="307FBC38">
            <w:pPr>
              <w:autoSpaceDE w:val="0"/>
              <w:autoSpaceDN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cs/>
                <w:lang w:val="zh-CN"/>
              </w:rPr>
              <w:t>单</w:t>
            </w:r>
            <w:r>
              <w:rPr>
                <w:rFonts w:hint="eastAsia" w:ascii="仿宋" w:hAnsi="仿宋" w:eastAsia="仿宋" w:cs="仿宋"/>
                <w:color w:val="auto"/>
                <w:sz w:val="24"/>
                <w:szCs w:val="24"/>
                <w:lang w:val="zh-CN"/>
              </w:rPr>
              <w:t>价</w:t>
            </w:r>
          </w:p>
        </w:tc>
        <w:tc>
          <w:tcPr>
            <w:tcW w:w="865" w:type="dxa"/>
            <w:tcBorders>
              <w:top w:val="single" w:color="auto" w:sz="6" w:space="0"/>
              <w:left w:val="single" w:color="auto" w:sz="6" w:space="0"/>
              <w:bottom w:val="single" w:color="auto" w:sz="6" w:space="0"/>
              <w:right w:val="single" w:color="auto" w:sz="6" w:space="0"/>
            </w:tcBorders>
            <w:noWrap w:val="0"/>
            <w:vAlign w:val="center"/>
          </w:tcPr>
          <w:p w14:paraId="5D99663D">
            <w:pPr>
              <w:autoSpaceDE w:val="0"/>
              <w:autoSpaceDN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4758FBB4">
        <w:tblPrEx>
          <w:tblCellMar>
            <w:top w:w="0" w:type="dxa"/>
            <w:left w:w="30" w:type="dxa"/>
            <w:bottom w:w="0" w:type="dxa"/>
            <w:right w:w="30" w:type="dxa"/>
          </w:tblCellMar>
        </w:tblPrEx>
        <w:trPr>
          <w:trHeight w:val="593" w:hRule="atLeast"/>
          <w:jc w:val="center"/>
        </w:trPr>
        <w:tc>
          <w:tcPr>
            <w:tcW w:w="855" w:type="dxa"/>
            <w:tcBorders>
              <w:top w:val="single" w:color="auto" w:sz="6" w:space="0"/>
              <w:left w:val="single" w:color="auto" w:sz="6" w:space="0"/>
              <w:bottom w:val="single" w:color="auto" w:sz="6" w:space="0"/>
              <w:right w:val="single" w:color="auto" w:sz="6" w:space="0"/>
            </w:tcBorders>
            <w:noWrap w:val="0"/>
            <w:vAlign w:val="center"/>
          </w:tcPr>
          <w:p w14:paraId="1434D994">
            <w:pPr>
              <w:autoSpaceDE w:val="0"/>
              <w:autoSpaceDN w:val="0"/>
              <w:spacing w:line="360" w:lineRule="auto"/>
              <w:jc w:val="center"/>
              <w:rPr>
                <w:rFonts w:hint="eastAsia" w:ascii="仿宋" w:hAnsi="仿宋" w:eastAsia="仿宋" w:cs="仿宋"/>
                <w:color w:val="auto"/>
                <w:sz w:val="24"/>
                <w:szCs w:val="24"/>
                <w:lang w:val="zh-CN"/>
              </w:rPr>
            </w:pPr>
          </w:p>
        </w:tc>
        <w:tc>
          <w:tcPr>
            <w:tcW w:w="2830" w:type="dxa"/>
            <w:tcBorders>
              <w:top w:val="single" w:color="auto" w:sz="6" w:space="0"/>
              <w:left w:val="single" w:color="auto" w:sz="6" w:space="0"/>
              <w:bottom w:val="single" w:color="auto" w:sz="6" w:space="0"/>
              <w:right w:val="single" w:color="auto" w:sz="4" w:space="0"/>
            </w:tcBorders>
            <w:noWrap w:val="0"/>
            <w:vAlign w:val="center"/>
          </w:tcPr>
          <w:p w14:paraId="4D955251">
            <w:pPr>
              <w:autoSpaceDE w:val="0"/>
              <w:autoSpaceDN w:val="0"/>
              <w:spacing w:line="360" w:lineRule="auto"/>
              <w:jc w:val="center"/>
              <w:rPr>
                <w:rFonts w:hint="eastAsia" w:ascii="仿宋" w:hAnsi="仿宋" w:eastAsia="仿宋" w:cs="仿宋"/>
                <w:color w:val="auto"/>
                <w:sz w:val="24"/>
                <w:szCs w:val="24"/>
                <w:lang w:val="zh-CN"/>
              </w:rPr>
            </w:pPr>
          </w:p>
        </w:tc>
        <w:tc>
          <w:tcPr>
            <w:tcW w:w="1800" w:type="dxa"/>
            <w:tcBorders>
              <w:top w:val="single" w:color="auto" w:sz="6" w:space="0"/>
              <w:left w:val="single" w:color="auto" w:sz="4" w:space="0"/>
              <w:bottom w:val="single" w:color="auto" w:sz="6" w:space="0"/>
              <w:right w:val="single" w:color="auto" w:sz="6" w:space="0"/>
            </w:tcBorders>
            <w:noWrap w:val="0"/>
            <w:vAlign w:val="center"/>
          </w:tcPr>
          <w:p w14:paraId="1005E1FA">
            <w:pPr>
              <w:autoSpaceDE w:val="0"/>
              <w:autoSpaceDN w:val="0"/>
              <w:spacing w:line="360" w:lineRule="auto"/>
              <w:jc w:val="center"/>
              <w:rPr>
                <w:rFonts w:hint="eastAsia" w:ascii="仿宋" w:hAnsi="仿宋" w:eastAsia="仿宋" w:cs="仿宋"/>
                <w:color w:val="auto"/>
                <w:sz w:val="24"/>
                <w:szCs w:val="24"/>
                <w:lang w:val="zh-CN"/>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14:paraId="2DF131B1">
            <w:pPr>
              <w:autoSpaceDE w:val="0"/>
              <w:autoSpaceDN w:val="0"/>
              <w:spacing w:line="360" w:lineRule="auto"/>
              <w:jc w:val="center"/>
              <w:rPr>
                <w:rFonts w:hint="eastAsia" w:ascii="仿宋" w:hAnsi="仿宋" w:eastAsia="仿宋" w:cs="仿宋"/>
                <w:color w:val="auto"/>
                <w:sz w:val="24"/>
                <w:szCs w:val="24"/>
                <w:lang w:val="zh-CN"/>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035A4457">
            <w:pPr>
              <w:autoSpaceDE w:val="0"/>
              <w:autoSpaceDN w:val="0"/>
              <w:spacing w:line="360" w:lineRule="auto"/>
              <w:jc w:val="center"/>
              <w:rPr>
                <w:rFonts w:hint="eastAsia" w:ascii="仿宋" w:hAnsi="仿宋" w:eastAsia="仿宋" w:cs="仿宋"/>
                <w:color w:val="auto"/>
                <w:sz w:val="24"/>
                <w:szCs w:val="24"/>
                <w:lang w:val="zh-CN"/>
              </w:rPr>
            </w:pPr>
          </w:p>
        </w:tc>
      </w:tr>
      <w:tr w14:paraId="3D7C2851">
        <w:tblPrEx>
          <w:tblCellMar>
            <w:top w:w="0" w:type="dxa"/>
            <w:left w:w="30" w:type="dxa"/>
            <w:bottom w:w="0" w:type="dxa"/>
            <w:right w:w="30" w:type="dxa"/>
          </w:tblCellMar>
        </w:tblPrEx>
        <w:trPr>
          <w:trHeight w:val="593" w:hRule="atLeast"/>
          <w:jc w:val="center"/>
        </w:trPr>
        <w:tc>
          <w:tcPr>
            <w:tcW w:w="855" w:type="dxa"/>
            <w:tcBorders>
              <w:top w:val="single" w:color="auto" w:sz="6" w:space="0"/>
              <w:left w:val="single" w:color="auto" w:sz="6" w:space="0"/>
              <w:bottom w:val="single" w:color="auto" w:sz="6" w:space="0"/>
              <w:right w:val="single" w:color="auto" w:sz="6" w:space="0"/>
            </w:tcBorders>
            <w:noWrap w:val="0"/>
            <w:vAlign w:val="center"/>
          </w:tcPr>
          <w:p w14:paraId="76E4849E">
            <w:pPr>
              <w:autoSpaceDE w:val="0"/>
              <w:autoSpaceDN w:val="0"/>
              <w:spacing w:line="360" w:lineRule="auto"/>
              <w:jc w:val="center"/>
              <w:rPr>
                <w:rFonts w:hint="eastAsia" w:ascii="仿宋" w:hAnsi="仿宋" w:eastAsia="仿宋" w:cs="仿宋"/>
                <w:color w:val="auto"/>
                <w:sz w:val="24"/>
                <w:szCs w:val="24"/>
              </w:rPr>
            </w:pPr>
          </w:p>
        </w:tc>
        <w:tc>
          <w:tcPr>
            <w:tcW w:w="2830" w:type="dxa"/>
            <w:tcBorders>
              <w:top w:val="single" w:color="auto" w:sz="6" w:space="0"/>
              <w:left w:val="single" w:color="auto" w:sz="6" w:space="0"/>
              <w:bottom w:val="single" w:color="auto" w:sz="6" w:space="0"/>
              <w:right w:val="single" w:color="auto" w:sz="4" w:space="0"/>
            </w:tcBorders>
            <w:noWrap w:val="0"/>
            <w:vAlign w:val="center"/>
          </w:tcPr>
          <w:p w14:paraId="6169B99C">
            <w:pPr>
              <w:autoSpaceDE w:val="0"/>
              <w:autoSpaceDN w:val="0"/>
              <w:spacing w:line="360" w:lineRule="auto"/>
              <w:jc w:val="center"/>
              <w:rPr>
                <w:rFonts w:hint="eastAsia" w:ascii="仿宋" w:hAnsi="仿宋" w:eastAsia="仿宋" w:cs="仿宋"/>
                <w:color w:val="auto"/>
                <w:sz w:val="24"/>
                <w:szCs w:val="24"/>
              </w:rPr>
            </w:pPr>
          </w:p>
        </w:tc>
        <w:tc>
          <w:tcPr>
            <w:tcW w:w="1800" w:type="dxa"/>
            <w:tcBorders>
              <w:top w:val="single" w:color="auto" w:sz="6" w:space="0"/>
              <w:left w:val="single" w:color="auto" w:sz="4" w:space="0"/>
              <w:bottom w:val="single" w:color="auto" w:sz="6" w:space="0"/>
              <w:right w:val="single" w:color="auto" w:sz="6" w:space="0"/>
            </w:tcBorders>
            <w:noWrap w:val="0"/>
            <w:vAlign w:val="center"/>
          </w:tcPr>
          <w:p w14:paraId="6207ACCB">
            <w:pPr>
              <w:autoSpaceDE w:val="0"/>
              <w:autoSpaceDN w:val="0"/>
              <w:spacing w:line="360" w:lineRule="auto"/>
              <w:jc w:val="center"/>
              <w:rPr>
                <w:rFonts w:hint="eastAsia" w:ascii="仿宋" w:hAnsi="仿宋" w:eastAsia="仿宋" w:cs="仿宋"/>
                <w:color w:val="auto"/>
                <w:sz w:val="24"/>
                <w:szCs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14:paraId="383FDE1F">
            <w:pPr>
              <w:autoSpaceDE w:val="0"/>
              <w:autoSpaceDN w:val="0"/>
              <w:spacing w:line="360" w:lineRule="auto"/>
              <w:jc w:val="center"/>
              <w:rPr>
                <w:rFonts w:hint="eastAsia" w:ascii="仿宋" w:hAnsi="仿宋" w:eastAsia="仿宋" w:cs="仿宋"/>
                <w:color w:val="auto"/>
                <w:sz w:val="24"/>
                <w:szCs w:val="24"/>
              </w:rPr>
            </w:pPr>
          </w:p>
        </w:tc>
        <w:tc>
          <w:tcPr>
            <w:tcW w:w="865" w:type="dxa"/>
            <w:tcBorders>
              <w:top w:val="single" w:color="auto" w:sz="6" w:space="0"/>
              <w:left w:val="single" w:color="auto" w:sz="6" w:space="0"/>
              <w:bottom w:val="single" w:color="auto" w:sz="6" w:space="0"/>
              <w:right w:val="single" w:color="auto" w:sz="6" w:space="0"/>
            </w:tcBorders>
            <w:noWrap w:val="0"/>
            <w:vAlign w:val="center"/>
          </w:tcPr>
          <w:p w14:paraId="6E2F313C">
            <w:pPr>
              <w:autoSpaceDE w:val="0"/>
              <w:autoSpaceDN w:val="0"/>
              <w:spacing w:line="360" w:lineRule="auto"/>
              <w:jc w:val="center"/>
              <w:rPr>
                <w:rFonts w:hint="eastAsia" w:ascii="仿宋" w:hAnsi="仿宋" w:eastAsia="仿宋" w:cs="仿宋"/>
                <w:color w:val="auto"/>
                <w:sz w:val="24"/>
                <w:szCs w:val="24"/>
              </w:rPr>
            </w:pPr>
          </w:p>
        </w:tc>
      </w:tr>
      <w:tr w14:paraId="74D0C71D">
        <w:tblPrEx>
          <w:tblCellMar>
            <w:top w:w="0" w:type="dxa"/>
            <w:left w:w="30" w:type="dxa"/>
            <w:bottom w:w="0" w:type="dxa"/>
            <w:right w:w="30" w:type="dxa"/>
          </w:tblCellMar>
        </w:tblPrEx>
        <w:trPr>
          <w:trHeight w:val="945" w:hRule="atLeast"/>
          <w:jc w:val="center"/>
        </w:trPr>
        <w:tc>
          <w:tcPr>
            <w:tcW w:w="8510" w:type="dxa"/>
            <w:gridSpan w:val="5"/>
            <w:tcBorders>
              <w:top w:val="single" w:color="auto" w:sz="6" w:space="0"/>
              <w:left w:val="single" w:color="auto" w:sz="6" w:space="0"/>
              <w:bottom w:val="single" w:color="auto" w:sz="4" w:space="0"/>
              <w:right w:val="single" w:color="auto" w:sz="6" w:space="0"/>
            </w:tcBorders>
            <w:noWrap w:val="0"/>
            <w:vAlign w:val="center"/>
          </w:tcPr>
          <w:p w14:paraId="24AFAB21">
            <w:pPr>
              <w:autoSpaceDE w:val="0"/>
              <w:autoSpaceDN w:val="0"/>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Cs/>
                <w:color w:val="auto"/>
                <w:sz w:val="24"/>
                <w:szCs w:val="24"/>
                <w:lang w:val="en-US" w:eastAsia="zh-CN"/>
              </w:rPr>
              <w:t>统一折扣率：</w:t>
            </w:r>
          </w:p>
        </w:tc>
      </w:tr>
    </w:tbl>
    <w:p w14:paraId="7103A2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注：1、本项目</w:t>
      </w:r>
      <w:r>
        <w:rPr>
          <w:rFonts w:hint="eastAsia" w:ascii="仿宋" w:hAnsi="仿宋" w:eastAsia="仿宋" w:cs="仿宋"/>
          <w:b w:val="0"/>
          <w:bCs w:val="0"/>
          <w:color w:val="auto"/>
          <w:sz w:val="24"/>
          <w:szCs w:val="24"/>
          <w:highlight w:val="none"/>
          <w:lang w:val="en-US" w:eastAsia="zh-CN"/>
        </w:rPr>
        <w:t>服务期自合同签订后至项目完工结束，具体时间根据甲方要求(合同期最长不超过一年)</w:t>
      </w:r>
      <w:r>
        <w:rPr>
          <w:rStyle w:val="967"/>
          <w:rFonts w:hint="eastAsia" w:ascii="仿宋" w:hAnsi="仿宋" w:eastAsia="仿宋" w:cs="仿宋"/>
          <w:color w:val="auto"/>
          <w:sz w:val="24"/>
        </w:rPr>
        <w:t>。</w:t>
      </w:r>
    </w:p>
    <w:p w14:paraId="45EE1F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2、上述价格包含苗木价、税、运费等的价格，实际采购数量以业主要求为准；</w:t>
      </w:r>
    </w:p>
    <w:p w14:paraId="4F15D0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3、本项目采用统一折扣率报价，投标报价单价=预算单价×统一折扣率。</w:t>
      </w:r>
    </w:p>
    <w:p w14:paraId="3CD468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default" w:ascii="仿宋" w:hAnsi="仿宋" w:eastAsia="仿宋" w:cs="仿宋"/>
          <w:color w:val="00B050"/>
          <w:sz w:val="24"/>
          <w:lang w:val="en-US" w:eastAsia="zh-CN"/>
        </w:rPr>
      </w:pPr>
      <w:r>
        <w:rPr>
          <w:rStyle w:val="967"/>
          <w:rFonts w:hint="eastAsia" w:ascii="仿宋" w:hAnsi="仿宋" w:eastAsia="仿宋" w:cs="仿宋"/>
          <w:color w:val="auto"/>
          <w:sz w:val="24"/>
        </w:rPr>
        <w:t>4、上述价格按折扣率同比例折扣确定结算价款。</w:t>
      </w:r>
    </w:p>
    <w:p w14:paraId="56807AE6">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9"/>
        <w:rPr>
          <w:rStyle w:val="967"/>
          <w:rFonts w:hint="eastAsia" w:ascii="仿宋" w:hAnsi="仿宋" w:eastAsia="仿宋" w:cs="仿宋"/>
          <w:b/>
          <w:bCs/>
          <w:color w:val="auto"/>
          <w:sz w:val="24"/>
          <w:lang w:eastAsia="zh-CN"/>
        </w:rPr>
      </w:pPr>
      <w:r>
        <w:rPr>
          <w:rStyle w:val="967"/>
          <w:rFonts w:hint="eastAsia" w:ascii="仿宋" w:hAnsi="仿宋" w:eastAsia="仿宋" w:cs="仿宋"/>
          <w:b/>
          <w:bCs/>
          <w:color w:val="auto"/>
          <w:sz w:val="24"/>
        </w:rPr>
        <w:t>三、</w:t>
      </w:r>
      <w:r>
        <w:rPr>
          <w:rStyle w:val="967"/>
          <w:rFonts w:hint="eastAsia" w:ascii="仿宋" w:hAnsi="仿宋" w:eastAsia="仿宋" w:cs="仿宋"/>
          <w:b/>
          <w:bCs/>
          <w:color w:val="auto"/>
          <w:sz w:val="24"/>
          <w:lang w:eastAsia="zh-CN"/>
        </w:rPr>
        <w:t>质量要求</w:t>
      </w:r>
    </w:p>
    <w:p w14:paraId="2781780D">
      <w:pPr>
        <w:keepNext w:val="0"/>
        <w:keepLines w:val="0"/>
        <w:pageBreakBefore w:val="0"/>
        <w:kinsoku/>
        <w:wordWrap/>
        <w:overflowPunct/>
        <w:topLinePunct w:val="0"/>
        <w:bidi w:val="0"/>
        <w:spacing w:line="40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提供的苗木要求生长良好且无病虫害并做到：</w:t>
      </w:r>
    </w:p>
    <w:p w14:paraId="34E0A91F">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auto"/>
          <w:sz w:val="24"/>
          <w:szCs w:val="24"/>
          <w:lang w:eastAsia="zh-CN"/>
        </w:rPr>
        <w:t>乙方</w:t>
      </w:r>
      <w:r>
        <w:rPr>
          <w:rFonts w:hint="eastAsia" w:ascii="仿宋" w:hAnsi="仿宋" w:eastAsia="仿宋" w:cs="仿宋"/>
          <w:b w:val="0"/>
          <w:bCs w:val="0"/>
          <w:color w:val="auto"/>
          <w:sz w:val="24"/>
          <w:szCs w:val="24"/>
        </w:rPr>
        <w:t>保证苗木质量按合同约定质量标准执行并符合</w:t>
      </w:r>
      <w:r>
        <w:rPr>
          <w:rFonts w:hint="eastAsia" w:ascii="仿宋" w:hAnsi="仿宋" w:eastAsia="仿宋" w:cs="仿宋"/>
          <w:b w:val="0"/>
          <w:bCs w:val="0"/>
          <w:color w:val="auto"/>
          <w:sz w:val="24"/>
          <w:szCs w:val="24"/>
          <w:lang w:eastAsia="zh-CN"/>
        </w:rPr>
        <w:t>采购人</w:t>
      </w:r>
      <w:r>
        <w:rPr>
          <w:rFonts w:hint="eastAsia" w:ascii="仿宋" w:hAnsi="仿宋" w:eastAsia="仿宋" w:cs="仿宋"/>
          <w:b w:val="0"/>
          <w:bCs w:val="0"/>
          <w:color w:val="auto"/>
          <w:sz w:val="24"/>
          <w:szCs w:val="24"/>
        </w:rPr>
        <w:t>规定的要求，</w:t>
      </w:r>
      <w:r>
        <w:rPr>
          <w:rFonts w:hint="eastAsia" w:ascii="仿宋" w:hAnsi="仿宋" w:eastAsia="仿宋" w:cs="仿宋"/>
          <w:b w:val="0"/>
          <w:bCs w:val="0"/>
          <w:color w:val="auto"/>
          <w:sz w:val="24"/>
          <w:szCs w:val="24"/>
          <w:lang w:eastAsia="zh-CN"/>
        </w:rPr>
        <w:t>乙方</w:t>
      </w:r>
      <w:r>
        <w:rPr>
          <w:rFonts w:hint="eastAsia" w:ascii="仿宋" w:hAnsi="仿宋" w:eastAsia="仿宋" w:cs="仿宋"/>
          <w:b w:val="0"/>
          <w:bCs w:val="0"/>
          <w:color w:val="auto"/>
          <w:sz w:val="24"/>
          <w:szCs w:val="24"/>
        </w:rPr>
        <w:t>对苗木质量负完全责任。</w:t>
      </w:r>
    </w:p>
    <w:p w14:paraId="561A8219">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2、桩木类做到</w:t>
      </w:r>
      <w:r>
        <w:rPr>
          <w:rFonts w:hint="eastAsia" w:ascii="仿宋" w:hAnsi="仿宋" w:eastAsia="仿宋" w:cs="仿宋"/>
          <w:b w:val="0"/>
          <w:bCs w:val="0"/>
          <w:color w:val="auto"/>
          <w:sz w:val="24"/>
          <w:szCs w:val="24"/>
        </w:rPr>
        <w:t>造型优美</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整体形象</w:t>
      </w:r>
      <w:r>
        <w:rPr>
          <w:rFonts w:hint="eastAsia" w:ascii="仿宋" w:hAnsi="仿宋" w:eastAsia="仿宋" w:cs="仿宋"/>
          <w:b w:val="0"/>
          <w:bCs w:val="0"/>
          <w:color w:val="auto"/>
          <w:sz w:val="24"/>
          <w:szCs w:val="24"/>
        </w:rPr>
        <w:t>饱满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枝叶</w:t>
      </w:r>
      <w:r>
        <w:rPr>
          <w:rFonts w:hint="eastAsia" w:ascii="仿宋" w:hAnsi="仿宋" w:eastAsia="仿宋" w:cs="仿宋"/>
          <w:b w:val="0"/>
          <w:bCs w:val="0"/>
          <w:color w:val="auto"/>
          <w:sz w:val="24"/>
          <w:szCs w:val="24"/>
          <w:lang w:val="en-US" w:eastAsia="zh-CN"/>
        </w:rPr>
        <w:t>规范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无病虫害</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品种纯正</w:t>
      </w:r>
      <w:r>
        <w:rPr>
          <w:rFonts w:hint="eastAsia" w:ascii="仿宋" w:hAnsi="仿宋" w:eastAsia="仿宋" w:cs="仿宋"/>
          <w:b w:val="0"/>
          <w:bCs w:val="0"/>
          <w:color w:val="auto"/>
          <w:sz w:val="24"/>
          <w:szCs w:val="24"/>
          <w:lang w:eastAsia="zh-CN"/>
        </w:rPr>
        <w:t>。</w:t>
      </w:r>
    </w:p>
    <w:p w14:paraId="0B42035B">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kern w:val="2"/>
          <w:sz w:val="24"/>
          <w:szCs w:val="24"/>
          <w:lang w:val="en-US" w:eastAsia="zh-CN" w:bidi="ar-SA"/>
        </w:rPr>
        <w:t>3、</w:t>
      </w:r>
      <w:r>
        <w:rPr>
          <w:rFonts w:hint="eastAsia" w:ascii="仿宋" w:hAnsi="仿宋" w:eastAsia="仿宋" w:cs="仿宋"/>
          <w:b w:val="0"/>
          <w:bCs w:val="0"/>
          <w:color w:val="auto"/>
          <w:sz w:val="24"/>
          <w:szCs w:val="24"/>
          <w:lang w:val="en-US" w:eastAsia="zh-CN"/>
        </w:rPr>
        <w:t>乙方提供</w:t>
      </w:r>
      <w:r>
        <w:rPr>
          <w:rFonts w:hint="eastAsia" w:ascii="仿宋" w:hAnsi="仿宋" w:eastAsia="仿宋" w:cs="仿宋"/>
          <w:b w:val="0"/>
          <w:bCs w:val="0"/>
          <w:color w:val="auto"/>
          <w:sz w:val="24"/>
          <w:szCs w:val="24"/>
        </w:rPr>
        <w:t>规范的苗木标签、出圃单、苗木质检报告、无检疫对象证明。</w:t>
      </w:r>
    </w:p>
    <w:p w14:paraId="63702BE3">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0000FF"/>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乔木均为全冠精品苗，三级分叉以上，分支点高度基本一致，10cm以上乔木分支点高度要求在</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m以上；要求生长良好且无病虫害且树干通直，泥球按规范要求定大小且结实不松散，树冠四面匀称（达不到要求的乔木全部按退货处理，退货三次以上甲方有权单方面解除合同）；</w:t>
      </w:r>
      <w:r>
        <w:rPr>
          <w:rFonts w:hint="eastAsia" w:ascii="仿宋" w:hAnsi="仿宋" w:eastAsia="仿宋" w:cs="仿宋"/>
          <w:b w:val="0"/>
          <w:bCs w:val="0"/>
          <w:color w:val="auto"/>
          <w:sz w:val="24"/>
          <w:szCs w:val="24"/>
          <w:lang w:eastAsia="zh-CN"/>
        </w:rPr>
        <w:t>草坪要求根部土厚</w:t>
      </w:r>
      <w:r>
        <w:rPr>
          <w:rFonts w:hint="eastAsia" w:ascii="仿宋" w:hAnsi="仿宋" w:eastAsia="仿宋" w:cs="仿宋"/>
          <w:b w:val="0"/>
          <w:bCs w:val="0"/>
          <w:color w:val="auto"/>
          <w:sz w:val="24"/>
          <w:szCs w:val="24"/>
          <w:lang w:val="en-US" w:eastAsia="zh-CN"/>
        </w:rPr>
        <w:t>2-3cm，高度3cm以上，茂盛无枯叶。</w:t>
      </w:r>
    </w:p>
    <w:p w14:paraId="6FF1DECD">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灌木冠形密实匀称，泥球好；</w:t>
      </w:r>
    </w:p>
    <w:p w14:paraId="347B2FF6">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草皮纯净度在98%以上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草皮底部带土厚度均匀且不小于3</w:t>
      </w:r>
      <w:r>
        <w:rPr>
          <w:rFonts w:hint="eastAsia" w:ascii="仿宋" w:hAnsi="仿宋" w:eastAsia="仿宋" w:cs="仿宋"/>
          <w:color w:val="auto"/>
          <w:sz w:val="24"/>
          <w:szCs w:val="24"/>
          <w:highlight w:val="none"/>
        </w:rPr>
        <w:t>cm；</w:t>
      </w:r>
    </w:p>
    <w:p w14:paraId="43B5B4C9">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7、苗木起吊上车，树皮要求完好不破损；</w:t>
      </w:r>
    </w:p>
    <w:p w14:paraId="238E8C1C">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8、苗木规格不允许下浮，只能比要求规格大。</w:t>
      </w:r>
    </w:p>
    <w:p w14:paraId="122334BB">
      <w:pPr>
        <w:keepNext w:val="0"/>
        <w:keepLines w:val="0"/>
        <w:pageBreakBefore w:val="0"/>
        <w:numPr>
          <w:ilvl w:val="0"/>
          <w:numId w:val="0"/>
        </w:numPr>
        <w:kinsoku/>
        <w:wordWrap/>
        <w:overflowPunct/>
        <w:topLinePunct w:val="0"/>
        <w:bidi w:val="0"/>
        <w:spacing w:line="400" w:lineRule="exact"/>
        <w:ind w:firstLine="480" w:firstLineChars="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9、以上质量要求得到保证，甲方予以验收合格。</w:t>
      </w:r>
    </w:p>
    <w:p w14:paraId="70DEF55A">
      <w:pPr>
        <w:keepNext w:val="0"/>
        <w:keepLines w:val="0"/>
        <w:pageBreakBefore w:val="0"/>
        <w:numPr>
          <w:ilvl w:val="0"/>
          <w:numId w:val="0"/>
        </w:numPr>
        <w:kinsoku/>
        <w:wordWrap/>
        <w:overflowPunct/>
        <w:topLinePunct w:val="0"/>
        <w:bidi w:val="0"/>
        <w:spacing w:line="400" w:lineRule="exact"/>
        <w:ind w:firstLine="480" w:firstLineChars="0"/>
        <w:rPr>
          <w:rStyle w:val="967"/>
          <w:rFonts w:hint="eastAsia" w:ascii="仿宋" w:hAnsi="仿宋" w:eastAsia="仿宋" w:cs="仿宋"/>
          <w:b w:val="0"/>
          <w:bCs w:val="0"/>
          <w:color w:val="auto"/>
          <w:sz w:val="24"/>
        </w:rPr>
      </w:pPr>
      <w:r>
        <w:rPr>
          <w:rFonts w:hint="eastAsia" w:ascii="仿宋" w:hAnsi="仿宋" w:eastAsia="仿宋" w:cs="仿宋"/>
          <w:b w:val="0"/>
          <w:bCs w:val="0"/>
          <w:color w:val="auto"/>
          <w:kern w:val="2"/>
          <w:sz w:val="24"/>
          <w:szCs w:val="24"/>
          <w:lang w:val="en-US" w:eastAsia="zh-CN" w:bidi="ar-SA"/>
        </w:rPr>
        <w:t>10、乔木部分未注明的均为全冠苗。</w:t>
      </w:r>
    </w:p>
    <w:p w14:paraId="0648F8F2">
      <w:pPr>
        <w:keepNext w:val="0"/>
        <w:keepLines w:val="0"/>
        <w:pageBreakBefore w:val="0"/>
        <w:numPr>
          <w:ilvl w:val="0"/>
          <w:numId w:val="0"/>
        </w:numPr>
        <w:kinsoku/>
        <w:wordWrap/>
        <w:overflowPunct/>
        <w:topLinePunct w:val="0"/>
        <w:bidi w:val="0"/>
        <w:spacing w:line="400" w:lineRule="exact"/>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特别注意：所报单价包含苗木价、税、运费等完成本项目涉及的所有费用。</w:t>
      </w:r>
      <w:r>
        <w:rPr>
          <w:rFonts w:hint="eastAsia" w:ascii="仿宋" w:hAnsi="仿宋" w:eastAsia="仿宋" w:cs="仿宋"/>
          <w:b w:val="0"/>
          <w:bCs w:val="0"/>
          <w:color w:val="auto"/>
          <w:sz w:val="24"/>
          <w:szCs w:val="24"/>
          <w:lang w:eastAsia="zh-CN"/>
        </w:rPr>
        <w:t>乙方</w:t>
      </w:r>
      <w:r>
        <w:rPr>
          <w:rFonts w:hint="eastAsia" w:ascii="仿宋" w:hAnsi="仿宋" w:eastAsia="仿宋" w:cs="仿宋"/>
          <w:b w:val="0"/>
          <w:bCs w:val="0"/>
          <w:color w:val="auto"/>
          <w:sz w:val="24"/>
          <w:szCs w:val="24"/>
        </w:rPr>
        <w:t>应充分考虑本项目应急补种特殊情况，充分考虑因多次少量运输而产生的成本。</w:t>
      </w:r>
      <w:r>
        <w:rPr>
          <w:rFonts w:hint="eastAsia" w:ascii="仿宋" w:hAnsi="仿宋" w:eastAsia="仿宋" w:cs="仿宋"/>
          <w:b w:val="0"/>
          <w:bCs w:val="0"/>
          <w:color w:val="auto"/>
          <w:sz w:val="24"/>
          <w:szCs w:val="24"/>
          <w:lang w:eastAsia="zh-CN"/>
        </w:rPr>
        <w:t>乙方</w:t>
      </w:r>
      <w:r>
        <w:rPr>
          <w:rFonts w:hint="eastAsia" w:ascii="仿宋" w:hAnsi="仿宋" w:eastAsia="仿宋" w:cs="仿宋"/>
          <w:b w:val="0"/>
          <w:bCs w:val="0"/>
          <w:color w:val="auto"/>
          <w:sz w:val="24"/>
          <w:szCs w:val="24"/>
        </w:rPr>
        <w:t>必须无条件响应</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的发货要求。苗木单价为到场价，在本项目供苗期内中标单价不做调整。</w:t>
      </w:r>
    </w:p>
    <w:p w14:paraId="0EF0BB6A">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outlineLvl w:val="9"/>
        <w:rPr>
          <w:rStyle w:val="967"/>
          <w:rFonts w:hint="eastAsia" w:ascii="仿宋" w:hAnsi="仿宋" w:eastAsia="仿宋" w:cs="仿宋"/>
          <w:color w:val="auto"/>
          <w:sz w:val="24"/>
          <w:lang w:eastAsia="zh-CN"/>
        </w:rPr>
      </w:pPr>
      <w:r>
        <w:rPr>
          <w:rStyle w:val="967"/>
          <w:rFonts w:hint="eastAsia" w:ascii="仿宋" w:hAnsi="仿宋" w:eastAsia="仿宋" w:cs="仿宋"/>
          <w:b/>
          <w:bCs/>
          <w:color w:val="auto"/>
          <w:sz w:val="24"/>
          <w:lang w:val="en-US" w:eastAsia="zh-CN"/>
        </w:rPr>
        <w:t>四、</w:t>
      </w:r>
      <w:r>
        <w:rPr>
          <w:rStyle w:val="967"/>
          <w:rFonts w:hint="eastAsia" w:ascii="仿宋" w:hAnsi="仿宋" w:eastAsia="仿宋" w:cs="仿宋"/>
          <w:b/>
          <w:bCs/>
          <w:color w:val="auto"/>
          <w:sz w:val="24"/>
          <w:lang w:eastAsia="zh-CN"/>
        </w:rPr>
        <w:t>供货要求</w:t>
      </w:r>
    </w:p>
    <w:p w14:paraId="6748CFB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1、服务期自合同签订后至项目完工结束，具体时间根据甲方要求(合同期最长不超过一年)。</w:t>
      </w:r>
    </w:p>
    <w:p w14:paraId="78B8519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2、采用分批次供货，接到</w:t>
      </w:r>
      <w:r>
        <w:rPr>
          <w:rStyle w:val="967"/>
          <w:rFonts w:hint="eastAsia" w:ascii="仿宋" w:hAnsi="仿宋" w:eastAsia="仿宋" w:cs="仿宋"/>
          <w:color w:val="auto"/>
          <w:sz w:val="24"/>
          <w:lang w:eastAsia="zh-CN"/>
        </w:rPr>
        <w:t>甲方</w:t>
      </w:r>
      <w:r>
        <w:rPr>
          <w:rStyle w:val="967"/>
          <w:rFonts w:hint="eastAsia" w:ascii="仿宋" w:hAnsi="仿宋" w:eastAsia="仿宋" w:cs="仿宋"/>
          <w:color w:val="auto"/>
          <w:sz w:val="24"/>
        </w:rPr>
        <w:t>通知后，</w:t>
      </w:r>
      <w:r>
        <w:rPr>
          <w:rStyle w:val="967"/>
          <w:rFonts w:hint="eastAsia" w:ascii="仿宋" w:hAnsi="仿宋" w:eastAsia="仿宋" w:cs="仿宋"/>
          <w:color w:val="auto"/>
          <w:sz w:val="24"/>
          <w:lang w:val="en-US" w:eastAsia="zh-CN"/>
        </w:rPr>
        <w:t>7</w:t>
      </w:r>
      <w:r>
        <w:rPr>
          <w:rStyle w:val="967"/>
          <w:rFonts w:hint="eastAsia" w:ascii="仿宋" w:hAnsi="仿宋" w:eastAsia="仿宋" w:cs="仿宋"/>
          <w:color w:val="auto"/>
          <w:sz w:val="24"/>
        </w:rPr>
        <w:t>天内送至</w:t>
      </w:r>
      <w:r>
        <w:rPr>
          <w:rStyle w:val="967"/>
          <w:rFonts w:hint="eastAsia" w:ascii="仿宋" w:hAnsi="仿宋" w:eastAsia="仿宋" w:cs="仿宋"/>
          <w:color w:val="auto"/>
          <w:sz w:val="24"/>
          <w:lang w:eastAsia="zh-CN"/>
        </w:rPr>
        <w:t>甲方</w:t>
      </w:r>
      <w:r>
        <w:rPr>
          <w:rStyle w:val="967"/>
          <w:rFonts w:hint="eastAsia" w:ascii="仿宋" w:hAnsi="仿宋" w:eastAsia="仿宋" w:cs="仿宋"/>
          <w:color w:val="auto"/>
          <w:sz w:val="24"/>
        </w:rPr>
        <w:t>指定地点，</w:t>
      </w:r>
      <w:r>
        <w:rPr>
          <w:rStyle w:val="967"/>
          <w:rFonts w:hint="eastAsia" w:ascii="仿宋" w:hAnsi="仿宋" w:eastAsia="仿宋" w:cs="仿宋"/>
          <w:color w:val="auto"/>
          <w:sz w:val="24"/>
          <w:lang w:eastAsia="zh-CN"/>
        </w:rPr>
        <w:t>乙方</w:t>
      </w:r>
      <w:r>
        <w:rPr>
          <w:rStyle w:val="967"/>
          <w:rFonts w:hint="eastAsia" w:ascii="仿宋" w:hAnsi="仿宋" w:eastAsia="仿宋" w:cs="仿宋"/>
          <w:color w:val="auto"/>
          <w:sz w:val="24"/>
        </w:rPr>
        <w:t>未能按时供货，</w:t>
      </w:r>
      <w:r>
        <w:rPr>
          <w:rStyle w:val="967"/>
          <w:rFonts w:hint="eastAsia" w:ascii="仿宋" w:hAnsi="仿宋" w:eastAsia="仿宋" w:cs="仿宋"/>
          <w:color w:val="auto"/>
          <w:sz w:val="24"/>
          <w:lang w:eastAsia="zh-CN"/>
        </w:rPr>
        <w:t>甲方</w:t>
      </w:r>
      <w:r>
        <w:rPr>
          <w:rStyle w:val="967"/>
          <w:rFonts w:hint="eastAsia" w:ascii="仿宋" w:hAnsi="仿宋" w:eastAsia="仿宋" w:cs="仿宋"/>
          <w:color w:val="auto"/>
          <w:sz w:val="24"/>
        </w:rPr>
        <w:t>有权另行采购，由此给</w:t>
      </w:r>
      <w:r>
        <w:rPr>
          <w:rStyle w:val="967"/>
          <w:rFonts w:hint="eastAsia" w:ascii="仿宋" w:hAnsi="仿宋" w:eastAsia="仿宋" w:cs="仿宋"/>
          <w:color w:val="auto"/>
          <w:sz w:val="24"/>
          <w:lang w:eastAsia="zh-CN"/>
        </w:rPr>
        <w:t>甲方</w:t>
      </w:r>
      <w:r>
        <w:rPr>
          <w:rStyle w:val="967"/>
          <w:rFonts w:hint="eastAsia" w:ascii="仿宋" w:hAnsi="仿宋" w:eastAsia="仿宋" w:cs="仿宋"/>
          <w:color w:val="auto"/>
          <w:sz w:val="24"/>
        </w:rPr>
        <w:t>造成的损失由</w:t>
      </w:r>
      <w:r>
        <w:rPr>
          <w:rStyle w:val="967"/>
          <w:rFonts w:hint="eastAsia" w:ascii="仿宋" w:hAnsi="仿宋" w:eastAsia="仿宋" w:cs="仿宋"/>
          <w:color w:val="auto"/>
          <w:sz w:val="24"/>
          <w:lang w:eastAsia="zh-CN"/>
        </w:rPr>
        <w:t>乙方</w:t>
      </w:r>
      <w:r>
        <w:rPr>
          <w:rStyle w:val="967"/>
          <w:rFonts w:hint="eastAsia" w:ascii="仿宋" w:hAnsi="仿宋" w:eastAsia="仿宋" w:cs="仿宋"/>
          <w:color w:val="auto"/>
          <w:sz w:val="24"/>
        </w:rPr>
        <w:t>承担，在履约保证金中扣除。</w:t>
      </w:r>
    </w:p>
    <w:p w14:paraId="0102F47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3、地点：嵊州全市范围内，</w:t>
      </w:r>
      <w:r>
        <w:rPr>
          <w:rStyle w:val="967"/>
          <w:rFonts w:hint="eastAsia" w:ascii="仿宋" w:hAnsi="仿宋" w:eastAsia="仿宋" w:cs="仿宋"/>
          <w:color w:val="auto"/>
          <w:sz w:val="24"/>
          <w:lang w:eastAsia="zh-CN"/>
        </w:rPr>
        <w:t>甲方</w:t>
      </w:r>
      <w:r>
        <w:rPr>
          <w:rStyle w:val="967"/>
          <w:rFonts w:hint="eastAsia" w:ascii="仿宋" w:hAnsi="仿宋" w:eastAsia="仿宋" w:cs="仿宋"/>
          <w:color w:val="auto"/>
          <w:sz w:val="24"/>
        </w:rPr>
        <w:t>指定地点。</w:t>
      </w:r>
    </w:p>
    <w:p w14:paraId="3310A23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Style w:val="967"/>
          <w:rFonts w:hint="default" w:ascii="仿宋" w:hAnsi="仿宋" w:eastAsia="仿宋" w:cs="仿宋"/>
          <w:b/>
          <w:bCs/>
          <w:color w:val="auto"/>
          <w:sz w:val="24"/>
          <w:lang w:val="en-US" w:eastAsia="zh-CN"/>
        </w:rPr>
      </w:pPr>
      <w:r>
        <w:rPr>
          <w:rStyle w:val="967"/>
          <w:rFonts w:hint="eastAsia" w:ascii="仿宋" w:hAnsi="仿宋" w:eastAsia="仿宋" w:cs="仿宋"/>
          <w:b/>
          <w:bCs/>
          <w:color w:val="auto"/>
          <w:sz w:val="24"/>
          <w:lang w:val="en-US" w:eastAsia="zh-CN"/>
        </w:rPr>
        <w:t>五、履约保证金</w:t>
      </w:r>
    </w:p>
    <w:p w14:paraId="61EF99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b w:val="0"/>
          <w:bCs w:val="0"/>
          <w:color w:val="auto"/>
          <w:sz w:val="24"/>
        </w:rPr>
      </w:pPr>
      <w:r>
        <w:rPr>
          <w:rStyle w:val="967"/>
          <w:rFonts w:hint="eastAsia" w:ascii="仿宋" w:hAnsi="仿宋" w:eastAsia="仿宋" w:cs="仿宋"/>
          <w:b w:val="0"/>
          <w:bCs w:val="0"/>
          <w:color w:val="auto"/>
          <w:sz w:val="24"/>
        </w:rPr>
        <w:t>履约保证金支付方式：网上银行、电汇、汇票或转帐形式。</w:t>
      </w:r>
    </w:p>
    <w:p w14:paraId="4E3697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b w:val="0"/>
          <w:bCs w:val="0"/>
          <w:color w:val="auto"/>
          <w:sz w:val="24"/>
        </w:rPr>
      </w:pPr>
      <w:r>
        <w:rPr>
          <w:rStyle w:val="967"/>
          <w:rFonts w:hint="eastAsia" w:ascii="仿宋" w:hAnsi="仿宋" w:eastAsia="仿宋" w:cs="仿宋"/>
          <w:b w:val="0"/>
          <w:bCs w:val="0"/>
          <w:color w:val="auto"/>
          <w:sz w:val="24"/>
        </w:rPr>
        <w:t>履约保证金：</w:t>
      </w:r>
      <w:r>
        <w:rPr>
          <w:rStyle w:val="967"/>
          <w:rFonts w:hint="eastAsia" w:ascii="仿宋" w:hAnsi="仿宋" w:eastAsia="仿宋" w:cs="仿宋"/>
          <w:b w:val="0"/>
          <w:bCs w:val="0"/>
          <w:color w:val="auto"/>
          <w:sz w:val="24"/>
          <w:lang w:val="en-US" w:eastAsia="zh-CN"/>
        </w:rPr>
        <w:t>1万元整，</w:t>
      </w:r>
      <w:r>
        <w:rPr>
          <w:rStyle w:val="967"/>
          <w:rFonts w:hint="eastAsia" w:ascii="仿宋" w:hAnsi="仿宋" w:eastAsia="仿宋" w:cs="仿宋"/>
          <w:b w:val="0"/>
          <w:bCs w:val="0"/>
          <w:color w:val="auto"/>
          <w:sz w:val="24"/>
        </w:rPr>
        <w:t>服务期满后10日内无息返还。</w:t>
      </w:r>
    </w:p>
    <w:p w14:paraId="027397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b/>
          <w:bCs/>
          <w:color w:val="auto"/>
          <w:sz w:val="24"/>
        </w:rPr>
      </w:pPr>
      <w:r>
        <w:rPr>
          <w:rStyle w:val="967"/>
          <w:rFonts w:hint="eastAsia" w:ascii="仿宋" w:hAnsi="仿宋" w:eastAsia="仿宋" w:cs="仿宋"/>
          <w:b w:val="0"/>
          <w:bCs w:val="0"/>
          <w:color w:val="auto"/>
          <w:sz w:val="24"/>
        </w:rPr>
        <w:t>如</w:t>
      </w:r>
      <w:r>
        <w:rPr>
          <w:rStyle w:val="967"/>
          <w:rFonts w:hint="eastAsia" w:ascii="仿宋" w:hAnsi="仿宋" w:eastAsia="仿宋" w:cs="仿宋"/>
          <w:b w:val="0"/>
          <w:bCs w:val="0"/>
          <w:color w:val="auto"/>
          <w:sz w:val="24"/>
          <w:lang w:eastAsia="zh-CN"/>
        </w:rPr>
        <w:t>乙方</w:t>
      </w:r>
      <w:r>
        <w:rPr>
          <w:rStyle w:val="967"/>
          <w:rFonts w:hint="eastAsia" w:ascii="仿宋" w:hAnsi="仿宋" w:eastAsia="仿宋" w:cs="仿宋"/>
          <w:b w:val="0"/>
          <w:bCs w:val="0"/>
          <w:color w:val="auto"/>
          <w:sz w:val="24"/>
        </w:rPr>
        <w:t>未能履行合同规定的义务，</w:t>
      </w:r>
      <w:r>
        <w:rPr>
          <w:rStyle w:val="967"/>
          <w:rFonts w:hint="eastAsia" w:ascii="仿宋" w:hAnsi="仿宋" w:eastAsia="仿宋" w:cs="仿宋"/>
          <w:b w:val="0"/>
          <w:bCs w:val="0"/>
          <w:color w:val="auto"/>
          <w:sz w:val="24"/>
          <w:lang w:eastAsia="zh-CN"/>
        </w:rPr>
        <w:t>甲方</w:t>
      </w:r>
      <w:r>
        <w:rPr>
          <w:rStyle w:val="967"/>
          <w:rFonts w:hint="eastAsia" w:ascii="仿宋" w:hAnsi="仿宋" w:eastAsia="仿宋" w:cs="仿宋"/>
          <w:b w:val="0"/>
          <w:bCs w:val="0"/>
          <w:color w:val="auto"/>
          <w:sz w:val="24"/>
        </w:rPr>
        <w:t>有权</w:t>
      </w:r>
      <w:r>
        <w:rPr>
          <w:rFonts w:hint="eastAsia" w:ascii="仿宋" w:hAnsi="仿宋" w:eastAsia="仿宋" w:cs="仿宋"/>
          <w:b w:val="0"/>
          <w:bCs w:val="0"/>
          <w:color w:val="auto"/>
          <w:sz w:val="24"/>
          <w:szCs w:val="24"/>
          <w:highlight w:val="none"/>
          <w:lang w:val="en-US" w:eastAsia="zh-CN"/>
        </w:rPr>
        <w:t>没收</w:t>
      </w:r>
      <w:r>
        <w:rPr>
          <w:rFonts w:hint="eastAsia" w:ascii="仿宋" w:hAnsi="仿宋" w:eastAsia="仿宋" w:cs="仿宋"/>
          <w:b w:val="0"/>
          <w:bCs w:val="0"/>
          <w:color w:val="auto"/>
          <w:sz w:val="24"/>
          <w:szCs w:val="24"/>
          <w:highlight w:val="none"/>
        </w:rPr>
        <w:t>履约保证金</w:t>
      </w:r>
      <w:r>
        <w:rPr>
          <w:rStyle w:val="967"/>
          <w:rFonts w:hint="eastAsia" w:ascii="仿宋" w:hAnsi="仿宋" w:eastAsia="仿宋" w:cs="仿宋"/>
          <w:b w:val="0"/>
          <w:bCs w:val="0"/>
          <w:color w:val="auto"/>
          <w:sz w:val="24"/>
        </w:rPr>
        <w:t>。</w:t>
      </w:r>
    </w:p>
    <w:p w14:paraId="29FFEA64">
      <w:pPr>
        <w:keepNext w:val="0"/>
        <w:keepLines w:val="0"/>
        <w:pageBreakBefore w:val="0"/>
        <w:kinsoku/>
        <w:wordWrap/>
        <w:overflowPunct/>
        <w:topLinePunct w:val="0"/>
        <w:autoSpaceDE/>
        <w:autoSpaceDN/>
        <w:bidi w:val="0"/>
        <w:adjustRightInd/>
        <w:snapToGrid/>
        <w:spacing w:line="440" w:lineRule="exact"/>
        <w:ind w:firstLine="482" w:firstLineChars="200"/>
        <w:textAlignment w:val="auto"/>
        <w:outlineLvl w:val="9"/>
        <w:rPr>
          <w:rStyle w:val="967"/>
          <w:rFonts w:hint="eastAsia" w:ascii="仿宋" w:hAnsi="仿宋" w:eastAsia="仿宋" w:cs="仿宋"/>
          <w:color w:val="auto"/>
          <w:sz w:val="24"/>
          <w:lang w:val="en-US" w:eastAsia="zh-CN"/>
        </w:rPr>
      </w:pPr>
      <w:r>
        <w:rPr>
          <w:rStyle w:val="967"/>
          <w:rFonts w:hint="eastAsia" w:ascii="仿宋" w:hAnsi="仿宋" w:eastAsia="仿宋" w:cs="仿宋"/>
          <w:b/>
          <w:bCs/>
          <w:color w:val="auto"/>
          <w:sz w:val="24"/>
          <w:lang w:val="en-US" w:eastAsia="zh-CN"/>
        </w:rPr>
        <w:t>六、付款方式</w:t>
      </w:r>
    </w:p>
    <w:p w14:paraId="6ADA6B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按甲方要求的苗木分批次到货，每批次验收合格</w:t>
      </w:r>
      <w:r>
        <w:rPr>
          <w:rFonts w:hint="eastAsia" w:ascii="仿宋" w:hAnsi="仿宋" w:eastAsia="仿宋" w:cs="仿宋"/>
          <w:b w:val="0"/>
          <w:bCs w:val="0"/>
          <w:color w:val="auto"/>
          <w:sz w:val="24"/>
          <w:szCs w:val="24"/>
          <w:highlight w:val="none"/>
          <w:lang w:val="en-US" w:eastAsia="zh-CN"/>
        </w:rPr>
        <w:t>次</w:t>
      </w:r>
      <w:r>
        <w:rPr>
          <w:rFonts w:hint="eastAsia" w:ascii="仿宋" w:hAnsi="仿宋" w:eastAsia="仿宋" w:cs="仿宋"/>
          <w:b w:val="0"/>
          <w:bCs w:val="0"/>
          <w:color w:val="auto"/>
          <w:sz w:val="24"/>
          <w:szCs w:val="24"/>
          <w:highlight w:val="none"/>
          <w:lang w:eastAsia="zh-CN"/>
        </w:rPr>
        <w:t>月支付该批次苗木款的100%（例：1月份验收的苗木，于</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月份结算支付；2月份验收的苗木，于</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月份结算支付，以此类推)。</w:t>
      </w:r>
    </w:p>
    <w:p w14:paraId="14259C5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Style w:val="967"/>
          <w:rFonts w:hint="eastAsia" w:ascii="仿宋" w:hAnsi="仿宋" w:eastAsia="仿宋" w:cs="仿宋"/>
          <w:b/>
          <w:bCs/>
          <w:color w:val="auto"/>
          <w:sz w:val="24"/>
          <w:lang w:val="en-US" w:eastAsia="zh-CN"/>
        </w:rPr>
      </w:pPr>
      <w:r>
        <w:rPr>
          <w:rStyle w:val="967"/>
          <w:rFonts w:hint="eastAsia" w:ascii="仿宋" w:hAnsi="仿宋" w:eastAsia="仿宋" w:cs="仿宋"/>
          <w:b/>
          <w:bCs/>
          <w:color w:val="auto"/>
          <w:sz w:val="24"/>
          <w:lang w:val="en-US" w:eastAsia="zh-CN"/>
        </w:rPr>
        <w:t>七、验收</w:t>
      </w:r>
    </w:p>
    <w:p w14:paraId="276DFD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b/>
          <w:bCs/>
          <w:color w:val="auto"/>
          <w:sz w:val="24"/>
        </w:rPr>
      </w:pPr>
      <w:r>
        <w:rPr>
          <w:rFonts w:hint="eastAsia" w:ascii="仿宋" w:hAnsi="仿宋" w:eastAsia="仿宋" w:cs="仿宋"/>
          <w:b w:val="0"/>
          <w:bCs w:val="0"/>
          <w:color w:val="auto"/>
          <w:sz w:val="24"/>
          <w:szCs w:val="24"/>
          <w:lang w:eastAsia="zh-CN"/>
        </w:rPr>
        <w:t>按苗木到货时间分批次验收，在货到后</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个工作日内，</w:t>
      </w:r>
      <w:r>
        <w:rPr>
          <w:rFonts w:hint="eastAsia" w:ascii="仿宋" w:hAnsi="仿宋" w:eastAsia="仿宋" w:cs="仿宋"/>
          <w:b w:val="0"/>
          <w:bCs w:val="0"/>
          <w:color w:val="auto"/>
          <w:sz w:val="24"/>
          <w:szCs w:val="24"/>
          <w:lang w:eastAsia="zh-CN"/>
        </w:rPr>
        <w:t>甲方</w:t>
      </w:r>
      <w:r>
        <w:rPr>
          <w:rFonts w:hint="eastAsia" w:ascii="仿宋" w:hAnsi="仿宋" w:eastAsia="仿宋" w:cs="仿宋"/>
          <w:b w:val="0"/>
          <w:bCs w:val="0"/>
          <w:color w:val="auto"/>
          <w:sz w:val="24"/>
          <w:szCs w:val="24"/>
        </w:rPr>
        <w:t>对苗木进行验收，苗木验收不合格，予以退苗处理，造成的一切损失有</w:t>
      </w:r>
      <w:r>
        <w:rPr>
          <w:rFonts w:hint="eastAsia" w:ascii="仿宋" w:hAnsi="仿宋" w:eastAsia="仿宋" w:cs="仿宋"/>
          <w:b w:val="0"/>
          <w:bCs w:val="0"/>
          <w:color w:val="auto"/>
          <w:sz w:val="24"/>
          <w:szCs w:val="24"/>
          <w:lang w:eastAsia="zh-CN"/>
        </w:rPr>
        <w:t>乙方</w:t>
      </w:r>
      <w:r>
        <w:rPr>
          <w:rFonts w:hint="eastAsia" w:ascii="仿宋" w:hAnsi="仿宋" w:eastAsia="仿宋" w:cs="仿宋"/>
          <w:b w:val="0"/>
          <w:bCs w:val="0"/>
          <w:color w:val="auto"/>
          <w:sz w:val="24"/>
          <w:szCs w:val="24"/>
        </w:rPr>
        <w:t>承担</w:t>
      </w:r>
      <w:r>
        <w:rPr>
          <w:rStyle w:val="967"/>
          <w:rFonts w:hint="eastAsia" w:ascii="仿宋" w:hAnsi="仿宋" w:eastAsia="仿宋" w:cs="仿宋"/>
          <w:b w:val="0"/>
          <w:bCs w:val="0"/>
          <w:color w:val="auto"/>
          <w:sz w:val="24"/>
        </w:rPr>
        <w:t>。</w:t>
      </w:r>
    </w:p>
    <w:p w14:paraId="4FB5878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Style w:val="967"/>
          <w:rFonts w:hint="eastAsia" w:ascii="仿宋" w:hAnsi="仿宋" w:eastAsia="仿宋" w:cs="仿宋"/>
          <w:b/>
          <w:bCs/>
          <w:color w:val="auto"/>
          <w:sz w:val="24"/>
          <w:lang w:val="en-US" w:eastAsia="zh-CN"/>
        </w:rPr>
      </w:pPr>
      <w:r>
        <w:rPr>
          <w:rStyle w:val="967"/>
          <w:rFonts w:hint="eastAsia" w:ascii="仿宋" w:hAnsi="仿宋" w:eastAsia="仿宋" w:cs="仿宋"/>
          <w:b/>
          <w:bCs/>
          <w:color w:val="auto"/>
          <w:sz w:val="24"/>
          <w:lang w:val="en-US" w:eastAsia="zh-CN"/>
        </w:rPr>
        <w:t>八、安全要求</w:t>
      </w:r>
    </w:p>
    <w:p w14:paraId="46BD43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Cs/>
          <w:color w:val="auto"/>
          <w:kern w:val="28"/>
          <w:sz w:val="24"/>
          <w:szCs w:val="24"/>
          <w:lang w:val="en-US" w:eastAsia="zh-CN"/>
        </w:rPr>
        <w:t>签订合同后，</w:t>
      </w:r>
      <w:r>
        <w:rPr>
          <w:rFonts w:hint="eastAsia" w:ascii="仿宋" w:hAnsi="仿宋" w:eastAsia="仿宋" w:cs="仿宋"/>
          <w:b w:val="0"/>
          <w:bCs w:val="0"/>
          <w:color w:val="auto"/>
          <w:sz w:val="24"/>
          <w:szCs w:val="24"/>
          <w:lang w:val="en-US" w:eastAsia="zh-CN"/>
        </w:rPr>
        <w:t>乙方需为项目人员办理</w:t>
      </w:r>
      <w:r>
        <w:rPr>
          <w:rFonts w:hint="eastAsia" w:ascii="仿宋" w:hAnsi="仿宋" w:eastAsia="仿宋" w:cs="仿宋"/>
          <w:color w:val="auto"/>
          <w:sz w:val="24"/>
          <w:szCs w:val="24"/>
          <w:highlight w:val="none"/>
        </w:rPr>
        <w:t>人身意外伤害险</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乙方在生产运营过程中发生的一切安全生产事故与意外事故费用均由乙方自理。</w:t>
      </w:r>
    </w:p>
    <w:p w14:paraId="66A26C9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Style w:val="967"/>
          <w:rFonts w:hint="eastAsia" w:ascii="仿宋" w:hAnsi="仿宋" w:eastAsia="仿宋" w:cs="仿宋"/>
          <w:b/>
          <w:bCs/>
          <w:color w:val="auto"/>
          <w:sz w:val="24"/>
          <w:lang w:val="en-US" w:eastAsia="zh-CN"/>
        </w:rPr>
      </w:pPr>
      <w:r>
        <w:rPr>
          <w:rStyle w:val="967"/>
          <w:rFonts w:hint="eastAsia" w:ascii="仿宋" w:hAnsi="仿宋" w:eastAsia="仿宋" w:cs="仿宋"/>
          <w:b/>
          <w:bCs/>
          <w:color w:val="auto"/>
          <w:sz w:val="24"/>
          <w:lang w:val="en-US" w:eastAsia="zh-CN"/>
        </w:rPr>
        <w:t>九、其他</w:t>
      </w:r>
    </w:p>
    <w:p w14:paraId="0978F9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b/>
          <w:bCs/>
          <w:color w:val="auto"/>
          <w:sz w:val="24"/>
        </w:rPr>
      </w:pPr>
      <w:r>
        <w:rPr>
          <w:rFonts w:hint="eastAsia" w:ascii="仿宋" w:hAnsi="仿宋" w:eastAsia="仿宋" w:cs="仿宋"/>
          <w:color w:val="auto"/>
          <w:sz w:val="24"/>
          <w:szCs w:val="24"/>
          <w:lang w:val="en-US" w:eastAsia="zh-CN"/>
        </w:rPr>
        <w:t>乙方应按甲方提供的清单中列出的项目填报统一折扣率。本工程相关费用一次性包干，可能增加的成本乙方自行考虑并计入投标报价。</w:t>
      </w:r>
    </w:p>
    <w:p w14:paraId="6C3DA862">
      <w:pPr>
        <w:pStyle w:val="140"/>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color w:val="auto"/>
          <w:sz w:val="24"/>
          <w:szCs w:val="24"/>
          <w:highlight w:val="none"/>
        </w:rPr>
      </w:pPr>
      <w:r>
        <w:rPr>
          <w:rStyle w:val="967"/>
          <w:rFonts w:hint="eastAsia" w:ascii="仿宋" w:hAnsi="仿宋" w:eastAsia="仿宋" w:cs="仿宋"/>
          <w:b/>
          <w:bCs/>
          <w:color w:val="auto"/>
          <w:sz w:val="24"/>
          <w:lang w:val="en-US" w:eastAsia="zh-CN"/>
        </w:rPr>
        <w:t>十、</w:t>
      </w:r>
      <w:r>
        <w:rPr>
          <w:rFonts w:hint="eastAsia" w:ascii="仿宋" w:hAnsi="仿宋" w:eastAsia="仿宋" w:cs="仿宋"/>
          <w:b/>
          <w:color w:val="auto"/>
          <w:sz w:val="24"/>
          <w:szCs w:val="24"/>
          <w:highlight w:val="none"/>
        </w:rPr>
        <w:t>转包或分包</w:t>
      </w:r>
    </w:p>
    <w:p w14:paraId="67E81B29">
      <w:pPr>
        <w:pStyle w:val="140"/>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kern w:val="0"/>
          <w:sz w:val="24"/>
        </w:rPr>
        <w:t>本合同范围的</w:t>
      </w:r>
      <w:r>
        <w:rPr>
          <w:rFonts w:hint="eastAsia" w:ascii="仿宋" w:hAnsi="仿宋" w:eastAsia="仿宋" w:cs="仿宋"/>
          <w:b w:val="0"/>
          <w:bCs w:val="0"/>
          <w:color w:val="auto"/>
          <w:kern w:val="0"/>
          <w:sz w:val="24"/>
          <w:lang w:val="en-US" w:eastAsia="zh-CN"/>
        </w:rPr>
        <w:t>货物</w:t>
      </w:r>
      <w:r>
        <w:rPr>
          <w:rFonts w:hint="eastAsia" w:ascii="仿宋" w:hAnsi="仿宋" w:eastAsia="仿宋" w:cs="仿宋"/>
          <w:b w:val="0"/>
          <w:bCs w:val="0"/>
          <w:color w:val="auto"/>
          <w:kern w:val="0"/>
          <w:sz w:val="24"/>
        </w:rPr>
        <w:t>，应由乙方直接供应，不得转让他人供应</w:t>
      </w:r>
      <w:r>
        <w:rPr>
          <w:rFonts w:hint="eastAsia" w:ascii="仿宋" w:hAnsi="仿宋" w:eastAsia="仿宋" w:cs="仿宋"/>
          <w:color w:val="auto"/>
          <w:sz w:val="24"/>
          <w:szCs w:val="24"/>
          <w:highlight w:val="none"/>
        </w:rPr>
        <w:t>；</w:t>
      </w:r>
    </w:p>
    <w:p w14:paraId="4CD6D00D">
      <w:pPr>
        <w:pStyle w:val="140"/>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lang w:val="en-US" w:eastAsia="zh-CN"/>
        </w:rPr>
        <w:t>除非得到甲方的书面同意，乙方不得将本合同范围的货物全部或部分分包给他人供应</w:t>
      </w:r>
      <w:r>
        <w:rPr>
          <w:rFonts w:hint="eastAsia" w:ascii="仿宋" w:hAnsi="仿宋" w:eastAsia="仿宋" w:cs="仿宋"/>
          <w:color w:val="auto"/>
          <w:sz w:val="24"/>
          <w:szCs w:val="24"/>
          <w:highlight w:val="none"/>
        </w:rPr>
        <w:t>；</w:t>
      </w:r>
    </w:p>
    <w:p w14:paraId="6242B850">
      <w:pPr>
        <w:pStyle w:val="140"/>
        <w:keepNext w:val="0"/>
        <w:keepLines w:val="0"/>
        <w:pageBreakBefore w:val="0"/>
        <w:kinsoku/>
        <w:wordWrap/>
        <w:overflowPunct/>
        <w:topLinePunct w:val="0"/>
        <w:autoSpaceDE/>
        <w:autoSpaceDN/>
        <w:bidi w:val="0"/>
        <w:spacing w:line="440" w:lineRule="exact"/>
        <w:ind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kern w:val="0"/>
          <w:sz w:val="24"/>
          <w:lang w:val="en-US" w:eastAsia="zh-CN"/>
        </w:rPr>
        <w:t>如有转让和未经甲方同意的分包行为，甲方有权解除合同，并追究乙方的违约责任</w:t>
      </w:r>
      <w:r>
        <w:rPr>
          <w:rFonts w:hint="eastAsia" w:ascii="仿宋" w:hAnsi="仿宋" w:eastAsia="仿宋" w:cs="仿宋"/>
          <w:color w:val="auto"/>
          <w:sz w:val="24"/>
          <w:szCs w:val="24"/>
          <w:highlight w:val="none"/>
        </w:rPr>
        <w:t>。</w:t>
      </w:r>
      <w:bookmarkStart w:id="41" w:name="_Toc8586"/>
      <w:bookmarkStart w:id="42" w:name="_Toc24662"/>
      <w:bookmarkStart w:id="43" w:name="_Toc3079"/>
      <w:bookmarkStart w:id="44" w:name="_Toc5698"/>
      <w:bookmarkStart w:id="45" w:name="_Toc2375"/>
    </w:p>
    <w:p w14:paraId="20C33A33">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szCs w:val="24"/>
          <w:highlight w:val="none"/>
        </w:rPr>
        <w:t>违约责任</w:t>
      </w:r>
    </w:p>
    <w:bookmarkEnd w:id="41"/>
    <w:bookmarkEnd w:id="42"/>
    <w:bookmarkEnd w:id="43"/>
    <w:bookmarkEnd w:id="44"/>
    <w:bookmarkEnd w:id="45"/>
    <w:p w14:paraId="5BED609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lang w:eastAsia="zh-CN"/>
        </w:rPr>
      </w:pPr>
      <w:bookmarkStart w:id="46" w:name="_Toc18683"/>
      <w:bookmarkStart w:id="47" w:name="_Toc30329"/>
      <w:bookmarkStart w:id="48" w:name="_Toc32454"/>
      <w:bookmarkStart w:id="49" w:name="_Toc9497"/>
      <w:bookmarkStart w:id="50" w:name="_Toc26807"/>
      <w:r>
        <w:rPr>
          <w:rFonts w:hint="eastAsia" w:ascii="仿宋" w:hAnsi="仿宋" w:eastAsia="仿宋" w:cs="仿宋"/>
          <w:color w:val="auto"/>
          <w:sz w:val="24"/>
        </w:rPr>
        <w:t>1.甲方无正当理由拒收货物的，甲方向乙方偿付拒收货款总值的百分之一违约金</w:t>
      </w:r>
      <w:r>
        <w:rPr>
          <w:rFonts w:hint="eastAsia" w:ascii="仿宋" w:hAnsi="仿宋" w:eastAsia="仿宋" w:cs="仿宋"/>
          <w:color w:val="auto"/>
          <w:sz w:val="24"/>
          <w:lang w:eastAsia="zh-CN"/>
        </w:rPr>
        <w:t>；</w:t>
      </w:r>
    </w:p>
    <w:p w14:paraId="37D9FB4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2.甲方无故逾期验收和办理货款支付手续的，甲方应按逾期付款总额每日万分之五向乙方支付违约金</w:t>
      </w:r>
      <w:r>
        <w:rPr>
          <w:rFonts w:hint="eastAsia" w:ascii="仿宋" w:hAnsi="仿宋" w:eastAsia="仿宋" w:cs="仿宋"/>
          <w:color w:val="auto"/>
          <w:sz w:val="24"/>
          <w:lang w:eastAsia="zh-CN"/>
        </w:rPr>
        <w:t>；</w:t>
      </w:r>
    </w:p>
    <w:p w14:paraId="11C81CA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乙方逾期交付货物的，乙方应按逾期交货总额每日百分之一向甲方支付违约金，由甲方从待付货款中扣除。逾期超过约定日期10个工作日不能交货与安装的，甲方可解除本合同。乙方因逾期交货或因其他违约行为导致甲方解除合同的，乙方应向甲方支付合同总值百分之五的违约金，如造成甲方损失超过违约金的，超出部分由乙方继续承担赔偿责任</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14:paraId="43EE7EE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4.</w:t>
      </w:r>
      <w:r>
        <w:rPr>
          <w:rStyle w:val="967"/>
          <w:rFonts w:hint="eastAsia" w:ascii="仿宋" w:hAnsi="仿宋" w:eastAsia="仿宋" w:cs="仿宋"/>
          <w:b/>
          <w:bCs/>
          <w:color w:val="auto"/>
          <w:sz w:val="24"/>
        </w:rPr>
        <w:t>苗木质量不合格，每批退货率超过5%，首次</w:t>
      </w:r>
      <w:r>
        <w:rPr>
          <w:rStyle w:val="967"/>
          <w:rFonts w:hint="eastAsia" w:ascii="仿宋" w:hAnsi="仿宋" w:eastAsia="仿宋" w:cs="仿宋"/>
          <w:b/>
          <w:bCs/>
          <w:color w:val="auto"/>
          <w:sz w:val="24"/>
          <w:lang w:eastAsia="zh-CN"/>
        </w:rPr>
        <w:t>扣款</w:t>
      </w:r>
      <w:r>
        <w:rPr>
          <w:rStyle w:val="967"/>
          <w:rFonts w:hint="eastAsia" w:ascii="仿宋" w:hAnsi="仿宋" w:eastAsia="仿宋" w:cs="仿宋"/>
          <w:b/>
          <w:bCs/>
          <w:color w:val="auto"/>
          <w:sz w:val="24"/>
        </w:rPr>
        <w:t>2000元，第二次</w:t>
      </w:r>
      <w:r>
        <w:rPr>
          <w:rStyle w:val="967"/>
          <w:rFonts w:hint="eastAsia" w:ascii="仿宋" w:hAnsi="仿宋" w:eastAsia="仿宋" w:cs="仿宋"/>
          <w:b/>
          <w:bCs/>
          <w:color w:val="auto"/>
          <w:sz w:val="24"/>
          <w:lang w:eastAsia="zh-CN"/>
        </w:rPr>
        <w:t>扣</w:t>
      </w:r>
      <w:r>
        <w:rPr>
          <w:rStyle w:val="967"/>
          <w:rFonts w:hint="eastAsia" w:ascii="仿宋" w:hAnsi="仿宋" w:eastAsia="仿宋" w:cs="仿宋"/>
          <w:b/>
          <w:bCs/>
          <w:color w:val="auto"/>
          <w:sz w:val="24"/>
        </w:rPr>
        <w:t>款3000元，第三次</w:t>
      </w:r>
      <w:r>
        <w:rPr>
          <w:rStyle w:val="967"/>
          <w:rFonts w:hint="eastAsia" w:ascii="仿宋" w:hAnsi="仿宋" w:eastAsia="仿宋" w:cs="仿宋"/>
          <w:b/>
          <w:bCs/>
          <w:color w:val="auto"/>
          <w:sz w:val="24"/>
          <w:lang w:eastAsia="zh-CN"/>
        </w:rPr>
        <w:t>扣</w:t>
      </w:r>
      <w:r>
        <w:rPr>
          <w:rStyle w:val="967"/>
          <w:rFonts w:hint="eastAsia" w:ascii="仿宋" w:hAnsi="仿宋" w:eastAsia="仿宋" w:cs="仿宋"/>
          <w:b/>
          <w:bCs/>
          <w:color w:val="auto"/>
          <w:sz w:val="24"/>
        </w:rPr>
        <w:t>款5000元。三次之后或乙方无故不响应甲方两次，甲方</w:t>
      </w:r>
      <w:r>
        <w:rPr>
          <w:rFonts w:hint="eastAsia" w:ascii="仿宋" w:hAnsi="仿宋" w:eastAsia="仿宋" w:cs="仿宋"/>
          <w:b/>
          <w:bCs/>
          <w:color w:val="auto"/>
          <w:sz w:val="24"/>
          <w:szCs w:val="24"/>
          <w:highlight w:val="none"/>
          <w:lang w:val="en-US" w:eastAsia="zh-CN"/>
        </w:rPr>
        <w:t>有权解除合同并要求乙方赔偿损失。</w:t>
      </w:r>
    </w:p>
    <w:p w14:paraId="2BEDF56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由此造成的损失由乙方承担</w:t>
      </w:r>
      <w:r>
        <w:rPr>
          <w:rFonts w:hint="eastAsia" w:ascii="仿宋" w:hAnsi="仿宋" w:eastAsia="仿宋" w:cs="仿宋"/>
          <w:color w:val="auto"/>
          <w:sz w:val="24"/>
          <w:lang w:eastAsia="zh-CN"/>
        </w:rPr>
        <w:t>；</w:t>
      </w:r>
    </w:p>
    <w:p w14:paraId="559C730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1AED0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46"/>
    <w:bookmarkEnd w:id="47"/>
    <w:bookmarkEnd w:id="48"/>
    <w:bookmarkEnd w:id="49"/>
    <w:bookmarkEnd w:id="50"/>
    <w:p w14:paraId="5BEC0EEB">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十二、</w:t>
      </w:r>
      <w:r>
        <w:rPr>
          <w:rFonts w:hint="eastAsia" w:ascii="仿宋" w:hAnsi="仿宋" w:eastAsia="仿宋" w:cs="仿宋"/>
          <w:b/>
          <w:color w:val="auto"/>
          <w:sz w:val="24"/>
          <w:szCs w:val="24"/>
          <w:highlight w:val="none"/>
        </w:rPr>
        <w:t>不可抗力事件处理</w:t>
      </w:r>
    </w:p>
    <w:p w14:paraId="70E0C61F">
      <w:pPr>
        <w:pStyle w:val="140"/>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在合同有效期内，任何一方因不可抗力事件导致不能履行合同，则合同履行期可延长，其延长期与不可抗力影响期相同。</w:t>
      </w:r>
    </w:p>
    <w:p w14:paraId="299330CE">
      <w:pPr>
        <w:pStyle w:val="140"/>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不可抗力事件发生后，应立即通知对方，并寄送有关权威机构出具的证明。</w:t>
      </w:r>
    </w:p>
    <w:p w14:paraId="70672BE2">
      <w:pPr>
        <w:keepNext w:val="0"/>
        <w:keepLines w:val="0"/>
        <w:pageBreakBefore w:val="0"/>
        <w:widowControl w:val="0"/>
        <w:kinsoku/>
        <w:wordWrap/>
        <w:overflowPunct/>
        <w:topLinePunct w:val="0"/>
        <w:autoSpaceDE/>
        <w:autoSpaceDN/>
        <w:bidi w:val="0"/>
        <w:adjustRightInd w:val="0"/>
        <w:snapToGrid/>
        <w:spacing w:line="440" w:lineRule="exact"/>
        <w:ind w:right="0" w:rightChars="0" w:firstLine="47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不可抗力事件延续120天以上，双方应通过友好协商，确定是否继续履行合同。</w:t>
      </w:r>
    </w:p>
    <w:p w14:paraId="5C1D838B">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十三、</w:t>
      </w:r>
      <w:r>
        <w:rPr>
          <w:rFonts w:hint="eastAsia" w:ascii="仿宋" w:hAnsi="仿宋" w:eastAsia="仿宋" w:cs="仿宋"/>
          <w:b/>
          <w:bCs/>
          <w:color w:val="auto"/>
          <w:kern w:val="0"/>
          <w:sz w:val="24"/>
        </w:rPr>
        <w:t>税费</w:t>
      </w:r>
    </w:p>
    <w:p w14:paraId="48CF51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Style w:val="967"/>
          <w:rFonts w:hint="eastAsia" w:ascii="仿宋" w:hAnsi="仿宋" w:eastAsia="仿宋" w:cs="仿宋"/>
          <w:color w:val="auto"/>
          <w:sz w:val="24"/>
        </w:rPr>
      </w:pPr>
      <w:r>
        <w:rPr>
          <w:rFonts w:hint="eastAsia" w:ascii="仿宋" w:hAnsi="仿宋" w:eastAsia="仿宋" w:cs="仿宋"/>
          <w:color w:val="auto"/>
          <w:kern w:val="0"/>
          <w:sz w:val="24"/>
        </w:rPr>
        <w:t>本合同执行中相关的一切税费均由乙方负担。</w:t>
      </w:r>
    </w:p>
    <w:p w14:paraId="08C11A13">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0"/>
        <w:rPr>
          <w:rFonts w:hint="default" w:ascii="仿宋" w:hAnsi="仿宋" w:eastAsia="仿宋" w:cs="仿宋"/>
          <w:b/>
          <w:color w:val="auto"/>
          <w:sz w:val="24"/>
          <w:highlight w:val="none"/>
          <w:lang w:val="en-US" w:eastAsia="zh-CN"/>
        </w:rPr>
      </w:pPr>
      <w:bookmarkStart w:id="51" w:name="_Toc15322"/>
      <w:bookmarkStart w:id="52" w:name="_Toc7245"/>
      <w:bookmarkStart w:id="53" w:name="_Toc11173"/>
      <w:r>
        <w:rPr>
          <w:rFonts w:hint="eastAsia" w:ascii="仿宋" w:hAnsi="仿宋" w:eastAsia="仿宋" w:cs="仿宋"/>
          <w:b/>
          <w:color w:val="auto"/>
          <w:sz w:val="24"/>
          <w:highlight w:val="none"/>
          <w:lang w:val="en-US" w:eastAsia="zh-CN"/>
        </w:rPr>
        <w:t>十四、合同争议的解决</w:t>
      </w:r>
    </w:p>
    <w:p w14:paraId="3EEB2B02">
      <w:pPr>
        <w:pStyle w:val="140"/>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条款规定的方式解决：</w:t>
      </w:r>
    </w:p>
    <w:p w14:paraId="0F10C0B9">
      <w:pPr>
        <w:pStyle w:val="140"/>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仲裁委员会依申请仲裁时其现行有效的仲裁规则裁决；</w:t>
      </w:r>
    </w:p>
    <w:p w14:paraId="49A23F01">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人民法院起诉。</w:t>
      </w:r>
    </w:p>
    <w:p w14:paraId="3474C2E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十五、</w:t>
      </w:r>
      <w:r>
        <w:rPr>
          <w:rFonts w:hint="eastAsia" w:ascii="仿宋" w:hAnsi="仿宋" w:eastAsia="仿宋" w:cs="仿宋"/>
          <w:b/>
          <w:color w:val="auto"/>
          <w:sz w:val="24"/>
          <w:szCs w:val="24"/>
          <w:highlight w:val="none"/>
        </w:rPr>
        <w:t>合同生效及其它</w:t>
      </w:r>
    </w:p>
    <w:p w14:paraId="44999FDE">
      <w:pPr>
        <w:pStyle w:val="140"/>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合同经双方法定代表人或授权代表签字并加盖单位公章后生效。</w:t>
      </w:r>
    </w:p>
    <w:p w14:paraId="140D53F8">
      <w:pPr>
        <w:pStyle w:val="140"/>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14:paraId="663F290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本合同正本一式肆份，具有同等法律效力，甲乙双方各执贰份。</w:t>
      </w:r>
    </w:p>
    <w:bookmarkEnd w:id="51"/>
    <w:bookmarkEnd w:id="52"/>
    <w:bookmarkEnd w:id="53"/>
    <w:p w14:paraId="52B9735B">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十六、未尽事宜</w:t>
      </w:r>
    </w:p>
    <w:p w14:paraId="1D0D5A37">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outlineLvl w:val="0"/>
        <w:rPr>
          <w:rStyle w:val="967"/>
          <w:rFonts w:hint="eastAsia" w:ascii="仿宋" w:hAnsi="仿宋" w:eastAsia="仿宋" w:cs="仿宋"/>
          <w:color w:val="auto"/>
          <w:sz w:val="24"/>
        </w:rPr>
      </w:pPr>
      <w:r>
        <w:rPr>
          <w:rFonts w:hint="eastAsia" w:ascii="仿宋" w:hAnsi="仿宋" w:eastAsia="仿宋" w:cs="仿宋"/>
          <w:color w:val="auto"/>
          <w:sz w:val="24"/>
          <w:highlight w:val="none"/>
          <w:lang w:val="en-US" w:eastAsia="zh-CN"/>
        </w:rPr>
        <w:t>本合同若有未尽事宜，双方同意通过友好协商并签署书面文件确定。</w:t>
      </w:r>
    </w:p>
    <w:p w14:paraId="5F16D598">
      <w:pPr>
        <w:kinsoku/>
        <w:wordWrap/>
        <w:overflowPunct/>
        <w:topLinePunct w:val="0"/>
        <w:bidi w:val="0"/>
        <w:spacing w:line="440" w:lineRule="exact"/>
        <w:ind w:firstLine="240" w:firstLineChars="100"/>
        <w:outlineLvl w:val="9"/>
        <w:rPr>
          <w:rStyle w:val="967"/>
          <w:rFonts w:hint="eastAsia" w:ascii="仿宋" w:hAnsi="仿宋" w:eastAsia="仿宋" w:cs="仿宋"/>
          <w:color w:val="auto"/>
          <w:sz w:val="24"/>
        </w:rPr>
      </w:pPr>
    </w:p>
    <w:p w14:paraId="5A7A20A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甲方（盖章）：                    　　乙方（盖章）：</w:t>
      </w:r>
    </w:p>
    <w:p w14:paraId="6DCA437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lang w:eastAsia="zh-CN"/>
        </w:rPr>
      </w:pPr>
      <w:r>
        <w:rPr>
          <w:rStyle w:val="967"/>
          <w:rFonts w:hint="eastAsia" w:ascii="仿宋" w:hAnsi="仿宋" w:eastAsia="仿宋" w:cs="仿宋"/>
          <w:color w:val="auto"/>
          <w:sz w:val="24"/>
        </w:rPr>
        <w:t>法定代表人或受委托人（签字）</w:t>
      </w:r>
      <w:r>
        <w:rPr>
          <w:rStyle w:val="967"/>
          <w:rFonts w:hint="eastAsia" w:ascii="仿宋" w:hAnsi="仿宋" w:eastAsia="仿宋" w:cs="仿宋"/>
          <w:color w:val="auto"/>
          <w:sz w:val="24"/>
          <w:lang w:eastAsia="zh-CN"/>
        </w:rPr>
        <w:t>：</w:t>
      </w:r>
      <w:r>
        <w:rPr>
          <w:rStyle w:val="967"/>
          <w:rFonts w:hint="eastAsia" w:ascii="仿宋" w:hAnsi="仿宋" w:eastAsia="仿宋" w:cs="仿宋"/>
          <w:color w:val="auto"/>
          <w:sz w:val="24"/>
        </w:rPr>
        <w:t xml:space="preserve">        法定代表人或受委托人（签字） </w:t>
      </w:r>
      <w:r>
        <w:rPr>
          <w:rStyle w:val="967"/>
          <w:rFonts w:hint="eastAsia" w:ascii="仿宋" w:hAnsi="仿宋" w:eastAsia="仿宋" w:cs="仿宋"/>
          <w:color w:val="auto"/>
          <w:sz w:val="24"/>
          <w:lang w:eastAsia="zh-CN"/>
        </w:rPr>
        <w:t>：</w:t>
      </w:r>
      <w:r>
        <w:rPr>
          <w:rStyle w:val="967"/>
          <w:rFonts w:hint="eastAsia" w:ascii="仿宋" w:hAnsi="仿宋" w:eastAsia="仿宋" w:cs="仿宋"/>
          <w:color w:val="auto"/>
          <w:sz w:val="24"/>
        </w:rPr>
        <w:t xml:space="preserve">                  </w:t>
      </w:r>
    </w:p>
    <w:p w14:paraId="259E4E6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地址：                               地址：　　</w:t>
      </w:r>
    </w:p>
    <w:p w14:paraId="3919A84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邮编：                               邮编：　</w:t>
      </w:r>
    </w:p>
    <w:p w14:paraId="6AAF91F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电话：                               电话：　</w:t>
      </w:r>
    </w:p>
    <w:p w14:paraId="34AFBCF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传真：                               传真：　</w:t>
      </w:r>
    </w:p>
    <w:p w14:paraId="68B8D66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开户银行：                           开户银行：</w:t>
      </w:r>
    </w:p>
    <w:p w14:paraId="3BE3EB0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Style w:val="967"/>
          <w:rFonts w:hint="eastAsia" w:ascii="仿宋" w:hAnsi="仿宋" w:eastAsia="仿宋" w:cs="仿宋"/>
          <w:color w:val="auto"/>
          <w:sz w:val="24"/>
        </w:rPr>
      </w:pPr>
      <w:r>
        <w:rPr>
          <w:rStyle w:val="967"/>
          <w:rFonts w:hint="eastAsia" w:ascii="仿宋" w:hAnsi="仿宋" w:eastAsia="仿宋" w:cs="仿宋"/>
          <w:color w:val="auto"/>
          <w:sz w:val="24"/>
        </w:rPr>
        <w:t>帐号：                               帐号：</w:t>
      </w:r>
    </w:p>
    <w:p w14:paraId="718D2512">
      <w:pPr>
        <w:pStyle w:val="80"/>
        <w:rPr>
          <w:color w:val="auto"/>
          <w:highlight w:val="none"/>
        </w:rPr>
      </w:pPr>
    </w:p>
    <w:p w14:paraId="0D3881C7">
      <w:pPr>
        <w:pStyle w:val="81"/>
        <w:rPr>
          <w:rFonts w:eastAsia="仿宋"/>
          <w:color w:val="auto"/>
          <w:highlight w:val="none"/>
        </w:rPr>
      </w:pPr>
    </w:p>
    <w:p w14:paraId="6EB57A24">
      <w:pPr>
        <w:spacing w:line="360" w:lineRule="auto"/>
        <w:ind w:left="720" w:firstLine="723" w:firstLineChars="200"/>
        <w:outlineLvl w:val="0"/>
        <w:rPr>
          <w:rFonts w:ascii="仿宋" w:hAnsi="仿宋" w:eastAsia="仿宋" w:cs="仿宋"/>
          <w:b/>
          <w:color w:val="auto"/>
          <w:sz w:val="36"/>
          <w:szCs w:val="20"/>
          <w:highlight w:val="none"/>
        </w:rPr>
      </w:pPr>
    </w:p>
    <w:p w14:paraId="06AF31D5">
      <w:pPr>
        <w:spacing w:line="360" w:lineRule="auto"/>
        <w:ind w:left="720" w:firstLine="723" w:firstLineChars="200"/>
        <w:outlineLvl w:val="0"/>
        <w:rPr>
          <w:rFonts w:ascii="仿宋" w:hAnsi="仿宋" w:eastAsia="仿宋" w:cs="仿宋"/>
          <w:b/>
          <w:color w:val="auto"/>
          <w:sz w:val="36"/>
          <w:szCs w:val="20"/>
          <w:highlight w:val="none"/>
        </w:rPr>
      </w:pPr>
    </w:p>
    <w:p w14:paraId="179E4521">
      <w:pPr>
        <w:jc w:val="center"/>
        <w:rPr>
          <w:rFonts w:hint="eastAsia" w:ascii="仿宋" w:hAnsi="仿宋" w:eastAsia="仿宋" w:cs="仿宋"/>
          <w:b/>
          <w:color w:val="auto"/>
          <w:sz w:val="36"/>
          <w:szCs w:val="20"/>
          <w:highlight w:val="none"/>
        </w:rPr>
      </w:pPr>
    </w:p>
    <w:p w14:paraId="07561E49">
      <w:pPr>
        <w:jc w:val="center"/>
        <w:rPr>
          <w:rFonts w:hint="eastAsia" w:ascii="仿宋" w:hAnsi="仿宋" w:eastAsia="仿宋" w:cs="仿宋"/>
          <w:b/>
          <w:color w:val="auto"/>
          <w:sz w:val="36"/>
          <w:szCs w:val="20"/>
          <w:highlight w:val="none"/>
        </w:rPr>
      </w:pPr>
    </w:p>
    <w:p w14:paraId="264C6FD2">
      <w:pPr>
        <w:jc w:val="center"/>
        <w:rPr>
          <w:rFonts w:hint="eastAsia" w:ascii="仿宋" w:hAnsi="仿宋" w:eastAsia="仿宋" w:cs="仿宋"/>
          <w:b/>
          <w:color w:val="auto"/>
          <w:sz w:val="36"/>
          <w:szCs w:val="20"/>
          <w:highlight w:val="none"/>
        </w:rPr>
      </w:pPr>
    </w:p>
    <w:p w14:paraId="31598B1B">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723431B">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投标文件及其附件格式</w:t>
      </w:r>
    </w:p>
    <w:p w14:paraId="44D4CCBD">
      <w:pPr>
        <w:spacing w:line="360" w:lineRule="auto"/>
        <w:jc w:val="center"/>
        <w:outlineLvl w:val="0"/>
        <w:rPr>
          <w:rFonts w:hint="eastAsia" w:ascii="仿宋" w:hAnsi="仿宋" w:eastAsia="仿宋" w:cs="仿宋"/>
          <w:b/>
          <w:color w:val="auto"/>
          <w:kern w:val="0"/>
          <w:sz w:val="36"/>
          <w:szCs w:val="36"/>
          <w:highlight w:val="none"/>
        </w:rPr>
      </w:pPr>
    </w:p>
    <w:p w14:paraId="6F8407D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6CF7CB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5BADB92">
      <w:pPr>
        <w:spacing w:line="360" w:lineRule="auto"/>
        <w:jc w:val="center"/>
        <w:outlineLvl w:val="0"/>
        <w:rPr>
          <w:rFonts w:hint="eastAsia" w:ascii="仿宋" w:hAnsi="仿宋" w:eastAsia="仿宋" w:cs="仿宋"/>
          <w:b/>
          <w:color w:val="auto"/>
          <w:kern w:val="0"/>
          <w:sz w:val="36"/>
          <w:szCs w:val="36"/>
          <w:highlight w:val="none"/>
        </w:rPr>
      </w:pPr>
    </w:p>
    <w:p w14:paraId="0C89A1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40A0EDA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7D84FFD">
      <w:pPr>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C8B61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符合参加采购活动应当具备的一般条件的承诺函</w:t>
      </w:r>
      <w:r>
        <w:rPr>
          <w:rFonts w:hint="eastAsia" w:ascii="仿宋" w:hAnsi="仿宋" w:eastAsia="仿宋" w:cs="仿宋"/>
          <w:color w:val="auto"/>
          <w:sz w:val="24"/>
          <w:highlight w:val="none"/>
        </w:rPr>
        <w:t>……………………………（页码）</w:t>
      </w:r>
    </w:p>
    <w:p w14:paraId="5CBA9F23">
      <w:pPr>
        <w:snapToGrid w:val="0"/>
        <w:spacing w:line="360" w:lineRule="auto"/>
        <w:ind w:firstLine="480" w:firstLineChars="200"/>
        <w:rPr>
          <w:rFonts w:hint="eastAsia" w:ascii="仿宋" w:hAnsi="仿宋" w:eastAsia="仿宋" w:cs="仿宋"/>
          <w:color w:val="auto"/>
          <w:sz w:val="24"/>
          <w:highlight w:val="none"/>
        </w:rPr>
      </w:pPr>
    </w:p>
    <w:p w14:paraId="27773DC4">
      <w:pPr>
        <w:spacing w:line="360" w:lineRule="auto"/>
        <w:ind w:firstLine="480" w:firstLineChars="200"/>
        <w:rPr>
          <w:rFonts w:hint="eastAsia" w:ascii="仿宋" w:hAnsi="仿宋" w:eastAsia="仿宋" w:cs="仿宋"/>
          <w:color w:val="auto"/>
          <w:sz w:val="24"/>
          <w:highlight w:val="none"/>
        </w:rPr>
      </w:pPr>
    </w:p>
    <w:p w14:paraId="237456A7">
      <w:pPr>
        <w:snapToGrid w:val="0"/>
        <w:spacing w:line="360" w:lineRule="auto"/>
        <w:ind w:right="480"/>
        <w:jc w:val="both"/>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val="en-US" w:eastAsia="zh-CN"/>
        </w:rPr>
        <w:t>注：</w:t>
      </w:r>
      <w:r>
        <w:rPr>
          <w:rFonts w:hint="eastAsia" w:ascii="仿宋" w:hAnsi="仿宋" w:eastAsia="仿宋" w:cs="仿宋"/>
          <w:b/>
          <w:bCs/>
          <w:color w:val="auto"/>
          <w:sz w:val="22"/>
          <w:szCs w:val="22"/>
          <w:highlight w:val="none"/>
          <w:lang w:eastAsia="zh-CN"/>
        </w:rPr>
        <w:fldChar w:fldCharType="begin"/>
      </w:r>
      <w:r>
        <w:rPr>
          <w:rFonts w:hint="eastAsia" w:ascii="仿宋" w:hAnsi="仿宋" w:eastAsia="仿宋" w:cs="仿宋"/>
          <w:b/>
          <w:bCs/>
          <w:color w:val="auto"/>
          <w:sz w:val="22"/>
          <w:szCs w:val="22"/>
          <w:highlight w:val="none"/>
          <w:lang w:eastAsia="zh-CN"/>
        </w:rPr>
        <w:instrText xml:space="preserve"> HYPERLINK "mailto:在电子投标文件解密后，将《政府采购活动现场确认声明书》填写完成，通过邮箱554318517@qq.com以PDF格式传给代理公" </w:instrText>
      </w:r>
      <w:r>
        <w:rPr>
          <w:rFonts w:hint="eastAsia" w:ascii="仿宋" w:hAnsi="仿宋" w:eastAsia="仿宋" w:cs="仿宋"/>
          <w:b/>
          <w:bCs/>
          <w:color w:val="auto"/>
          <w:sz w:val="22"/>
          <w:szCs w:val="22"/>
          <w:highlight w:val="none"/>
          <w:lang w:eastAsia="zh-CN"/>
        </w:rPr>
        <w:fldChar w:fldCharType="separate"/>
      </w:r>
      <w:r>
        <w:rPr>
          <w:rStyle w:val="76"/>
          <w:rFonts w:hint="eastAsia" w:ascii="仿宋" w:hAnsi="仿宋" w:eastAsia="仿宋" w:cs="仿宋"/>
          <w:b/>
          <w:bCs/>
          <w:color w:val="auto"/>
          <w:sz w:val="22"/>
          <w:szCs w:val="22"/>
          <w:highlight w:val="none"/>
          <w:lang w:eastAsia="zh-CN"/>
        </w:rPr>
        <w:t>在电子投标文件解密后，</w:t>
      </w:r>
      <w:r>
        <w:rPr>
          <w:rStyle w:val="76"/>
          <w:rFonts w:hint="eastAsia" w:ascii="仿宋" w:hAnsi="仿宋" w:eastAsia="仿宋" w:cs="仿宋"/>
          <w:b/>
          <w:bCs/>
          <w:color w:val="auto"/>
          <w:sz w:val="22"/>
          <w:szCs w:val="22"/>
          <w:highlight w:val="none"/>
          <w:lang w:val="en-US" w:eastAsia="zh-CN"/>
        </w:rPr>
        <w:t>结合单位实际情况</w:t>
      </w:r>
      <w:r>
        <w:rPr>
          <w:rStyle w:val="76"/>
          <w:rFonts w:hint="eastAsia" w:ascii="仿宋" w:hAnsi="仿宋" w:eastAsia="仿宋" w:cs="仿宋"/>
          <w:b/>
          <w:bCs/>
          <w:color w:val="auto"/>
          <w:sz w:val="22"/>
          <w:szCs w:val="22"/>
          <w:highlight w:val="none"/>
          <w:lang w:eastAsia="zh-CN"/>
        </w:rPr>
        <w:t>将《政企采购活动现场确认声明书》填写完成，以PDF格式通过邮箱1132452991@qq.com传给代理</w:t>
      </w:r>
      <w:r>
        <w:rPr>
          <w:rFonts w:hint="eastAsia" w:ascii="仿宋" w:hAnsi="仿宋" w:eastAsia="仿宋" w:cs="仿宋"/>
          <w:b/>
          <w:bCs/>
          <w:color w:val="auto"/>
          <w:sz w:val="22"/>
          <w:szCs w:val="22"/>
          <w:highlight w:val="none"/>
          <w:lang w:val="en-US" w:eastAsia="zh-CN"/>
        </w:rPr>
        <w:t>机构</w:t>
      </w:r>
      <w:r>
        <w:rPr>
          <w:rFonts w:hint="eastAsia" w:ascii="仿宋" w:hAnsi="仿宋" w:eastAsia="仿宋" w:cs="仿宋"/>
          <w:b/>
          <w:bCs/>
          <w:color w:val="auto"/>
          <w:sz w:val="22"/>
          <w:szCs w:val="22"/>
          <w:highlight w:val="none"/>
          <w:lang w:eastAsia="zh-CN"/>
        </w:rPr>
        <w:fldChar w:fldCharType="end"/>
      </w:r>
    </w:p>
    <w:p w14:paraId="4F1AAA2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3C9FCD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营业执照扫描件</w:t>
      </w:r>
    </w:p>
    <w:p w14:paraId="4AED75CF">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12467E3F">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13C137F6">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highlight w:val="none"/>
          <w:lang w:val="en-US" w:eastAsia="zh-CN"/>
        </w:rPr>
      </w:pPr>
    </w:p>
    <w:p w14:paraId="4D08B9E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二、法定代表人身份证明书</w:t>
      </w:r>
    </w:p>
    <w:p w14:paraId="27BFFE3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2789C41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址：</w:t>
      </w:r>
      <w:r>
        <w:rPr>
          <w:rFonts w:hint="eastAsia" w:ascii="仿宋" w:hAnsi="仿宋" w:eastAsia="仿宋" w:cs="仿宋"/>
          <w:color w:val="auto"/>
          <w:sz w:val="24"/>
          <w:highlight w:val="none"/>
          <w:u w:val="single"/>
        </w:rPr>
        <w:t xml:space="preserve">                          </w:t>
      </w:r>
    </w:p>
    <w:p w14:paraId="0F64967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EF409E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643FD74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7E811A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38E99D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5DC50DC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3987D46A">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50BDEB56">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3822405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年   月   日</w:t>
      </w:r>
    </w:p>
    <w:p w14:paraId="0B6D8905">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083FB939">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76639AC2">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BE00F54">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802B5F1">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1384470">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019D1C84">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F954B2B">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6C1154BA">
      <w:pPr>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三、法定代表人授权委托书及授权代表社保证明（若委托）</w:t>
      </w:r>
    </w:p>
    <w:p w14:paraId="09D5D563">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（填写姓名）</w:t>
      </w:r>
      <w:r>
        <w:rPr>
          <w:rFonts w:hint="eastAsia" w:ascii="仿宋" w:hAnsi="仿宋" w:eastAsia="仿宋" w:cs="仿宋"/>
          <w:color w:val="auto"/>
          <w:sz w:val="24"/>
          <w:highlight w:val="none"/>
        </w:rPr>
        <w:t>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66E6AFF">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35B42E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7C799040">
      <w:pPr>
        <w:snapToGrid w:val="0"/>
        <w:spacing w:line="600" w:lineRule="exact"/>
        <w:jc w:val="left"/>
        <w:rPr>
          <w:rFonts w:hint="eastAsia" w:ascii="仿宋" w:hAnsi="仿宋" w:eastAsia="仿宋" w:cs="仿宋"/>
          <w:color w:val="auto"/>
          <w:sz w:val="24"/>
          <w:highlight w:val="none"/>
        </w:rPr>
      </w:pPr>
    </w:p>
    <w:p w14:paraId="2EDF00A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4782AD8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145001B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A16D9D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6CE4A07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2DFB477">
      <w:pPr>
        <w:spacing w:line="360" w:lineRule="exact"/>
        <w:rPr>
          <w:rFonts w:hint="eastAsia" w:ascii="仿宋" w:hAnsi="仿宋" w:eastAsia="仿宋" w:cs="仿宋"/>
          <w:color w:val="auto"/>
          <w:sz w:val="24"/>
          <w:highlight w:val="none"/>
        </w:rPr>
      </w:pPr>
    </w:p>
    <w:p w14:paraId="3F8D6C26">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429F9711">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附：法人</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身份证复印件及授权人身份证复印件。</w:t>
      </w:r>
    </w:p>
    <w:p w14:paraId="12A41BF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6872E6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F6830B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7C9754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97A09E7">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62BD227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符合参加采购活动应当具备的一般条件的承诺函</w:t>
      </w:r>
    </w:p>
    <w:p w14:paraId="7EDBB3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嵊州市养护建设有限公司、绍兴平准招标代理有限公司</w:t>
      </w:r>
      <w:r>
        <w:rPr>
          <w:rFonts w:hint="eastAsia" w:ascii="仿宋" w:hAnsi="仿宋" w:eastAsia="仿宋" w:cs="仿宋"/>
          <w:color w:val="auto"/>
          <w:sz w:val="24"/>
          <w:highlight w:val="none"/>
        </w:rPr>
        <w:t>：</w:t>
      </w:r>
    </w:p>
    <w:p w14:paraId="7D710B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嵊州市2024年官河南路绿化提升改造项目苗木采购项目 </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SXPZ-H20241106QXY</w:t>
      </w:r>
      <w:r>
        <w:rPr>
          <w:rFonts w:hint="eastAsia" w:ascii="仿宋" w:hAnsi="仿宋" w:eastAsia="仿宋" w:cs="仿宋"/>
          <w:color w:val="auto"/>
          <w:sz w:val="24"/>
          <w:highlight w:val="none"/>
        </w:rPr>
        <w:t>】采购活动，郑重承诺：</w:t>
      </w:r>
    </w:p>
    <w:p w14:paraId="6E69369E">
      <w:pPr>
        <w:snapToGrid w:val="0"/>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（一）具备《嵊州市市属国有企业货物和服务采购管理办法（试行）》第十七条规定的条件：</w:t>
      </w:r>
    </w:p>
    <w:p w14:paraId="10E79319">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p>
    <w:p w14:paraId="6ABB0C8E">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2.具有良好的商业信誉；</w:t>
      </w:r>
    </w:p>
    <w:p w14:paraId="6F86CBFF">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3.具有履行合同所必需的设备和专业技术，售后保障等能力；</w:t>
      </w:r>
    </w:p>
    <w:p w14:paraId="01A0FEAF">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14:paraId="3E2FA228">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5.参加采购活动前三年内，没有重大违法记录，严重失信行为和行贿记录；</w:t>
      </w:r>
    </w:p>
    <w:p w14:paraId="31E7E7A5">
      <w:pPr>
        <w:snapToGrid w:val="0"/>
        <w:spacing w:line="33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6.法律、行政法规规定的其他条件</w:t>
      </w:r>
      <w:r>
        <w:rPr>
          <w:rFonts w:hint="eastAsia" w:ascii="仿宋" w:hAnsi="仿宋" w:eastAsia="仿宋" w:cs="仿宋"/>
          <w:color w:val="auto"/>
          <w:kern w:val="0"/>
          <w:sz w:val="24"/>
          <w:highlight w:val="none"/>
          <w:lang w:eastAsia="zh-CN"/>
        </w:rPr>
        <w:t>。</w:t>
      </w:r>
    </w:p>
    <w:p w14:paraId="0EA03D68">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如供应商为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1DE92F52">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t>
      </w:r>
      <w:r>
        <w:rPr>
          <w:rFonts w:ascii="仿宋" w:hAnsi="仿宋" w:eastAsia="仿宋" w:cs="仿宋"/>
          <w:color w:val="auto"/>
          <w:sz w:val="24"/>
          <w:highlight w:val="none"/>
        </w:rPr>
        <w:t>www.creditchina.gov.cn)、中国政府采购网（www.ccgp.gov.cn）列入失信被执行人、重大税收违法案件当事人名单、政府采购严重违法失信行为记录名单。</w:t>
      </w:r>
    </w:p>
    <w:p w14:paraId="47208423">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6BB8C4E">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1、单位负责人为同一人或者存在直接控股、管理关系的不同供应商参加同一合同项下的采购活动的；</w:t>
      </w:r>
    </w:p>
    <w:p w14:paraId="4B53ED29">
      <w:pPr>
        <w:snapToGrid w:val="0"/>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2、为采购项目提供整体设计、规范编制或者项目管理、监理、检测等服务后再参加该采购项目的其他采购活动的。</w:t>
      </w:r>
    </w:p>
    <w:p w14:paraId="40520D5D">
      <w:pPr>
        <w:snapToGrid w:val="0"/>
        <w:spacing w:line="360" w:lineRule="auto"/>
        <w:ind w:firstLine="5520" w:firstLineChars="2300"/>
        <w:rPr>
          <w:rFonts w:hint="eastAsia" w:ascii="仿宋" w:hAnsi="仿宋" w:eastAsia="仿宋" w:cs="仿宋"/>
          <w:color w:val="auto"/>
          <w:kern w:val="0"/>
          <w:sz w:val="24"/>
          <w:highlight w:val="none"/>
          <w:lang w:val="zh-CN"/>
        </w:rPr>
      </w:pPr>
    </w:p>
    <w:p w14:paraId="0BD80DA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7CE133E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7063BDF">
      <w:pPr>
        <w:snapToGrid w:val="0"/>
        <w:spacing w:line="360" w:lineRule="auto"/>
        <w:ind w:right="480"/>
        <w:jc w:val="both"/>
        <w:rPr>
          <w:rFonts w:hint="eastAsia" w:ascii="仿宋" w:hAnsi="仿宋" w:eastAsia="仿宋" w:cs="仿宋"/>
          <w:b/>
          <w:color w:val="auto"/>
          <w:kern w:val="0"/>
          <w:sz w:val="32"/>
          <w:szCs w:val="32"/>
          <w:highlight w:val="none"/>
        </w:rPr>
      </w:pPr>
    </w:p>
    <w:p w14:paraId="19D23D5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eastAsia" w:ascii="仿宋" w:hAnsi="仿宋" w:eastAsia="仿宋" w:cs="仿宋"/>
          <w:color w:val="auto"/>
          <w:kern w:val="0"/>
          <w:sz w:val="24"/>
          <w:szCs w:val="24"/>
          <w:highlight w:val="none"/>
          <w:u w:val="single"/>
          <w:lang w:eastAsia="zh-CN"/>
        </w:rPr>
      </w:pPr>
      <w:r>
        <w:rPr>
          <w:rFonts w:hint="eastAsia" w:ascii="仿宋" w:hAnsi="仿宋" w:eastAsia="仿宋" w:cs="仿宋"/>
          <w:b/>
          <w:color w:val="auto"/>
          <w:kern w:val="0"/>
          <w:sz w:val="32"/>
          <w:szCs w:val="32"/>
          <w:highlight w:val="none"/>
        </w:rPr>
        <w:t>政企采购活动现场确认声明书</w:t>
      </w:r>
    </w:p>
    <w:p w14:paraId="227340D0">
      <w:pPr>
        <w:pStyle w:val="964"/>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lang w:eastAsia="zh-CN"/>
        </w:rPr>
        <w:t>绍兴平准招标代理有限公司</w:t>
      </w:r>
      <w:r>
        <w:rPr>
          <w:rFonts w:hint="eastAsia" w:ascii="仿宋" w:hAnsi="仿宋" w:eastAsia="仿宋" w:cs="仿宋"/>
          <w:color w:val="auto"/>
          <w:kern w:val="0"/>
          <w:sz w:val="24"/>
          <w:szCs w:val="24"/>
          <w:highlight w:val="none"/>
        </w:rPr>
        <w:t>（采购组织机构名称）：</w:t>
      </w:r>
    </w:p>
    <w:p w14:paraId="59D79880">
      <w:pPr>
        <w:pStyle w:val="964"/>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嵊州市2024年官河南路绿化提升改造项目苗木采购项目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SXPZ-H20241106QXY</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75B51486">
      <w:pPr>
        <w:pStyle w:val="965"/>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4E3E11B">
      <w:pPr>
        <w:pStyle w:val="965"/>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391A5442">
      <w:pPr>
        <w:pStyle w:val="965"/>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4F393DFC">
      <w:pPr>
        <w:pStyle w:val="965"/>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886F597">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2B7F5349">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056F67F9">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6D469FD7">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764C0B5">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1B0B86E7">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2AC32525">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54"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54"/>
    </w:p>
    <w:p w14:paraId="30E3FCD7">
      <w:pPr>
        <w:pStyle w:val="96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14A98FCD">
      <w:pPr>
        <w:pStyle w:val="964"/>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E16D515">
      <w:pPr>
        <w:pStyle w:val="965"/>
        <w:keepNext w:val="0"/>
        <w:keepLines w:val="0"/>
        <w:pageBreakBefore w:val="0"/>
        <w:widowControl/>
        <w:numPr>
          <w:ilvl w:val="0"/>
          <w:numId w:val="2"/>
        </w:numPr>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严格遵守采购法律法规和现场纪律。</w:t>
      </w:r>
    </w:p>
    <w:p w14:paraId="393B535A">
      <w:pPr>
        <w:pStyle w:val="965"/>
        <w:keepNext w:val="0"/>
        <w:keepLines w:val="0"/>
        <w:pageBreakBefore w:val="0"/>
        <w:widowControl/>
        <w:numPr>
          <w:ilvl w:val="0"/>
          <w:numId w:val="2"/>
        </w:numPr>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1121FA0F">
      <w:pPr>
        <w:pStyle w:val="964"/>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（供应商代表签名）</w:t>
      </w:r>
    </w:p>
    <w:p w14:paraId="04556593">
      <w:pPr>
        <w:pStyle w:val="964"/>
        <w:widowControl w:val="0"/>
        <w:snapToGrid w:val="0"/>
        <w:spacing w:line="440" w:lineRule="exact"/>
        <w:ind w:firstLine="480"/>
        <w:jc w:val="center"/>
        <w:outlineLvl w:val="9"/>
        <w:rPr>
          <w:rFonts w:ascii="宋体" w:hAnsi="宋体" w:cs="宋体"/>
          <w:bCs/>
          <w:color w:val="auto"/>
          <w:sz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62561B9B">
      <w:pPr>
        <w:spacing w:line="360" w:lineRule="auto"/>
        <w:jc w:val="center"/>
        <w:rPr>
          <w:rFonts w:ascii="仿宋" w:hAnsi="仿宋" w:eastAsia="仿宋" w:cs="仿宋"/>
          <w:color w:val="auto"/>
          <w:sz w:val="24"/>
          <w:highlight w:val="none"/>
        </w:rPr>
      </w:pPr>
    </w:p>
    <w:p w14:paraId="15AA0B76">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5EA00AFF">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36"/>
          <w:szCs w:val="36"/>
          <w:highlight w:val="none"/>
        </w:rPr>
        <w:t>目录</w:t>
      </w:r>
    </w:p>
    <w:p w14:paraId="7A6C2BC5">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eastAsia="zh-CN"/>
        </w:rPr>
        <w:t>营业执照扫描件</w:t>
      </w:r>
      <w:r>
        <w:rPr>
          <w:rFonts w:hint="eastAsia" w:ascii="仿宋" w:eastAsia="仿宋" w:cs="仿宋"/>
          <w:color w:val="auto"/>
          <w:highlight w:val="none"/>
        </w:rPr>
        <w:t>…………………………………………………………………（页码）</w:t>
      </w:r>
    </w:p>
    <w:p w14:paraId="3081894B">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（2）</w:t>
      </w: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157A31B9">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（3）</w:t>
      </w:r>
      <w:r>
        <w:rPr>
          <w:rFonts w:hint="eastAsia" w:ascii="仿宋" w:hAnsi="仿宋" w:eastAsia="仿宋" w:cs="仿宋"/>
          <w:color w:val="auto"/>
          <w:sz w:val="24"/>
          <w:highlight w:val="none"/>
        </w:rPr>
        <w:t>法定代表人身份证明书</w:t>
      </w:r>
      <w:r>
        <w:rPr>
          <w:rFonts w:hint="eastAsia" w:ascii="仿宋" w:eastAsia="仿宋" w:cs="仿宋"/>
          <w:color w:val="auto"/>
          <w:highlight w:val="none"/>
        </w:rPr>
        <w:t>…………………………………………………………（页码）</w:t>
      </w:r>
    </w:p>
    <w:p w14:paraId="4A7B0954">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（4）</w:t>
      </w:r>
      <w:r>
        <w:rPr>
          <w:rFonts w:hint="eastAsia" w:ascii="仿宋" w:hAnsi="仿宋" w:eastAsia="仿宋" w:cs="仿宋"/>
          <w:color w:val="auto"/>
          <w:sz w:val="24"/>
          <w:highlight w:val="none"/>
          <w:lang w:eastAsia="zh-CN"/>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lang w:eastAsia="zh-CN"/>
        </w:rPr>
        <w:t>授权代表社保证明（</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eastAsia="仿宋" w:cs="仿宋"/>
          <w:color w:val="auto"/>
          <w:highlight w:val="none"/>
        </w:rPr>
        <w:t>……………………（页码）</w:t>
      </w:r>
    </w:p>
    <w:p w14:paraId="10DBCB29">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（5）</w:t>
      </w:r>
      <w:r>
        <w:rPr>
          <w:rFonts w:hint="eastAsia" w:ascii="仿宋" w:eastAsia="仿宋" w:cs="仿宋"/>
          <w:color w:val="auto"/>
          <w:sz w:val="24"/>
          <w:szCs w:val="24"/>
          <w:highlight w:val="none"/>
          <w:lang w:val="en-US" w:eastAsia="zh-CN"/>
        </w:rPr>
        <w:t>评分索引表</w:t>
      </w:r>
      <w:r>
        <w:rPr>
          <w:rFonts w:hint="eastAsia" w:ascii="仿宋" w:eastAsia="仿宋" w:cs="仿宋"/>
          <w:color w:val="auto"/>
          <w:highlight w:val="none"/>
        </w:rPr>
        <w:t>………………………………………………………………………（页码）</w:t>
      </w:r>
    </w:p>
    <w:p w14:paraId="423CD9C0">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（6）</w:t>
      </w:r>
      <w:r>
        <w:rPr>
          <w:rFonts w:hint="eastAsia" w:ascii="仿宋" w:hAnsi="仿宋" w:eastAsia="仿宋" w:cs="仿宋"/>
          <w:color w:val="auto"/>
          <w:sz w:val="24"/>
          <w:szCs w:val="24"/>
          <w:highlight w:val="none"/>
          <w:lang w:val="en-US" w:eastAsia="zh-CN"/>
        </w:rPr>
        <w:t>采购供应商廉洁自律承诺书</w:t>
      </w:r>
      <w:r>
        <w:rPr>
          <w:rFonts w:hint="eastAsia" w:ascii="仿宋" w:eastAsia="仿宋" w:cs="仿宋"/>
          <w:color w:val="auto"/>
          <w:highlight w:val="none"/>
        </w:rPr>
        <w:t>……………………………………………………（页码）</w:t>
      </w:r>
    </w:p>
    <w:p w14:paraId="361D66D3">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（7）</w:t>
      </w:r>
      <w:r>
        <w:rPr>
          <w:rFonts w:hint="eastAsia" w:ascii="仿宋" w:eastAsia="仿宋" w:cs="仿宋"/>
          <w:color w:val="auto"/>
          <w:highlight w:val="none"/>
        </w:rPr>
        <w:t>资信及商务响应表………………………………………………………………（页码）</w:t>
      </w:r>
    </w:p>
    <w:p w14:paraId="62054DF4">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（8）</w:t>
      </w:r>
      <w:r>
        <w:rPr>
          <w:rFonts w:hint="eastAsia" w:ascii="仿宋" w:eastAsia="仿宋" w:cs="仿宋"/>
          <w:color w:val="auto"/>
          <w:sz w:val="24"/>
          <w:szCs w:val="24"/>
          <w:highlight w:val="none"/>
          <w:lang w:eastAsia="zh-CN"/>
        </w:rPr>
        <w:t>生产基地情况</w:t>
      </w:r>
      <w:r>
        <w:rPr>
          <w:rFonts w:hint="eastAsia" w:ascii="仿宋" w:eastAsia="仿宋" w:cs="仿宋"/>
          <w:color w:val="auto"/>
          <w:highlight w:val="none"/>
        </w:rPr>
        <w:t>……………………………………………………………………（页码）</w:t>
      </w:r>
    </w:p>
    <w:p w14:paraId="2C552412">
      <w:pPr>
        <w:pStyle w:val="905"/>
        <w:numPr>
          <w:ilvl w:val="0"/>
          <w:numId w:val="0"/>
        </w:numPr>
        <w:spacing w:line="336" w:lineRule="auto"/>
        <w:ind w:left="0" w:leftChars="0" w:firstLine="0" w:firstLineChars="0"/>
        <w:jc w:val="both"/>
        <w:rPr>
          <w:rFonts w:ascii="仿宋" w:eastAsia="仿宋" w:cs="仿宋"/>
          <w:color w:val="auto"/>
          <w:highlight w:val="none"/>
        </w:rPr>
      </w:pPr>
      <w:r>
        <w:rPr>
          <w:rFonts w:ascii="仿宋" w:hAnsi="仿宋" w:eastAsia="仿宋" w:cs="仿宋"/>
          <w:color w:val="auto"/>
          <w:kern w:val="2"/>
          <w:sz w:val="24"/>
          <w:szCs w:val="24"/>
          <w:lang w:val="en-US" w:eastAsia="zh-CN" w:bidi="ar-SA"/>
        </w:rPr>
        <w:t>（9）</w:t>
      </w:r>
      <w:r>
        <w:rPr>
          <w:rFonts w:hint="eastAsia" w:ascii="仿宋" w:eastAsia="仿宋" w:cs="仿宋"/>
          <w:color w:val="auto"/>
          <w:kern w:val="2"/>
          <w:sz w:val="24"/>
          <w:szCs w:val="24"/>
          <w:highlight w:val="none"/>
          <w:lang w:val="en-US" w:eastAsia="zh-CN" w:bidi="ar-SA"/>
        </w:rPr>
        <w:t>同类业绩</w:t>
      </w:r>
      <w:r>
        <w:rPr>
          <w:rFonts w:hint="eastAsia" w:ascii="仿宋" w:eastAsia="仿宋" w:cs="仿宋"/>
          <w:color w:val="auto"/>
          <w:highlight w:val="none"/>
        </w:rPr>
        <w:t>…………………………………………………………………………（页码）</w:t>
      </w:r>
    </w:p>
    <w:p w14:paraId="139D65E7">
      <w:pPr>
        <w:pStyle w:val="905"/>
        <w:numPr>
          <w:ilvl w:val="0"/>
          <w:numId w:val="0"/>
        </w:numPr>
        <w:spacing w:line="336" w:lineRule="auto"/>
        <w:ind w:left="0" w:leftChars="0" w:firstLine="0" w:firstLineChars="0"/>
        <w:jc w:val="both"/>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szCs w:val="24"/>
          <w:lang w:val="en-US" w:eastAsia="zh-CN" w:bidi="ar-SA"/>
        </w:rPr>
        <w:t>（1</w:t>
      </w:r>
      <w:r>
        <w:rPr>
          <w:rFonts w:hint="eastAsia" w:hAnsi="仿宋_GB2312" w:cs="仿宋_GB2312"/>
          <w:color w:val="auto"/>
          <w:kern w:val="0"/>
          <w:sz w:val="24"/>
          <w:szCs w:val="24"/>
          <w:lang w:val="en-US" w:eastAsia="zh-CN" w:bidi="ar-SA"/>
        </w:rPr>
        <w:t>0</w:t>
      </w:r>
      <w:r>
        <w:rPr>
          <w:rFonts w:hint="eastAsia" w:ascii="仿宋_GB2312" w:hAnsi="仿宋_GB2312" w:eastAsia="仿宋_GB2312" w:cs="仿宋_GB2312"/>
          <w:color w:val="auto"/>
          <w:kern w:val="0"/>
          <w:sz w:val="24"/>
          <w:szCs w:val="24"/>
          <w:lang w:val="en-US" w:eastAsia="zh-CN" w:bidi="ar-SA"/>
        </w:rPr>
        <w:t>）</w:t>
      </w:r>
      <w:r>
        <w:rPr>
          <w:rFonts w:hint="eastAsia" w:hAnsi="仿宋_GB2312" w:cs="仿宋_GB2312"/>
          <w:color w:val="auto"/>
          <w:kern w:val="0"/>
          <w:sz w:val="24"/>
          <w:szCs w:val="24"/>
          <w:lang w:val="en-US" w:eastAsia="zh-CN" w:bidi="ar-SA"/>
        </w:rPr>
        <w:t>人员配置</w:t>
      </w:r>
      <w:r>
        <w:rPr>
          <w:rFonts w:hint="eastAsia" w:ascii="仿宋" w:eastAsia="仿宋" w:cs="仿宋"/>
          <w:color w:val="auto"/>
          <w:highlight w:val="none"/>
        </w:rPr>
        <w:t>………………………………………………………………………（页码）</w:t>
      </w:r>
      <w:r>
        <w:rPr>
          <w:rFonts w:hint="eastAsia" w:hAnsi="仿宋_GB2312" w:cs="仿宋_GB2312"/>
          <w:color w:val="auto"/>
          <w:kern w:val="0"/>
          <w:sz w:val="24"/>
          <w:szCs w:val="24"/>
          <w:lang w:val="en-US" w:eastAsia="zh-CN" w:bidi="ar-SA"/>
        </w:rPr>
        <w:t>（11）</w:t>
      </w:r>
      <w:r>
        <w:rPr>
          <w:rFonts w:hint="eastAsia" w:ascii="仿宋" w:eastAsia="仿宋" w:cs="仿宋"/>
          <w:snapToGrid w:val="0"/>
          <w:color w:val="auto"/>
          <w:sz w:val="24"/>
          <w:szCs w:val="24"/>
          <w:highlight w:val="none"/>
          <w:lang w:val="en-US" w:eastAsia="zh-CN"/>
        </w:rPr>
        <w:t>供货</w:t>
      </w:r>
      <w:r>
        <w:rPr>
          <w:rFonts w:hint="eastAsia" w:ascii="仿宋" w:hAnsi="仿宋" w:eastAsia="仿宋" w:cs="仿宋"/>
          <w:snapToGrid w:val="0"/>
          <w:color w:val="auto"/>
          <w:sz w:val="24"/>
          <w:szCs w:val="24"/>
          <w:highlight w:val="none"/>
          <w:lang w:val="en-US" w:eastAsia="zh-CN"/>
        </w:rPr>
        <w:t>方案</w:t>
      </w:r>
      <w:r>
        <w:rPr>
          <w:rFonts w:hint="eastAsia" w:ascii="仿宋" w:eastAsia="仿宋" w:cs="仿宋"/>
          <w:color w:val="auto"/>
          <w:highlight w:val="none"/>
        </w:rPr>
        <w:t>………………………………………………………………………（页码）</w:t>
      </w:r>
    </w:p>
    <w:p w14:paraId="28B47E33">
      <w:pPr>
        <w:pStyle w:val="905"/>
        <w:numPr>
          <w:ilvl w:val="0"/>
          <w:numId w:val="0"/>
        </w:numPr>
        <w:spacing w:line="336"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color w:val="auto"/>
          <w:kern w:val="0"/>
          <w:sz w:val="24"/>
          <w:szCs w:val="24"/>
          <w:lang w:val="en-US" w:eastAsia="zh-CN" w:bidi="ar-SA"/>
        </w:rPr>
        <w:t>（1</w:t>
      </w:r>
      <w:r>
        <w:rPr>
          <w:rFonts w:hint="eastAsia" w:hAnsi="仿宋_GB2312" w:cs="仿宋_GB2312"/>
          <w:color w:val="auto"/>
          <w:kern w:val="0"/>
          <w:sz w:val="24"/>
          <w:szCs w:val="24"/>
          <w:lang w:val="en-US" w:eastAsia="zh-CN" w:bidi="ar-SA"/>
        </w:rPr>
        <w:t>2</w:t>
      </w:r>
      <w:r>
        <w:rPr>
          <w:rFonts w:hint="eastAsia" w:ascii="仿宋_GB2312" w:hAnsi="仿宋_GB2312" w:eastAsia="仿宋_GB2312" w:cs="仿宋_GB2312"/>
          <w:color w:val="auto"/>
          <w:kern w:val="0"/>
          <w:sz w:val="24"/>
          <w:szCs w:val="24"/>
          <w:lang w:val="en-US" w:eastAsia="zh-CN" w:bidi="ar-SA"/>
        </w:rPr>
        <w:t>）</w:t>
      </w:r>
      <w:r>
        <w:rPr>
          <w:rFonts w:hint="eastAsia" w:ascii="仿宋" w:eastAsia="仿宋" w:cs="仿宋"/>
          <w:color w:val="auto"/>
          <w:sz w:val="24"/>
          <w:szCs w:val="24"/>
          <w:highlight w:val="none"/>
          <w:vertAlign w:val="baseline"/>
          <w:lang w:val="en-US" w:eastAsia="zh-CN"/>
        </w:rPr>
        <w:t>质量保障</w:t>
      </w:r>
      <w:r>
        <w:rPr>
          <w:rFonts w:hint="eastAsia" w:ascii="仿宋" w:eastAsia="仿宋" w:cs="仿宋"/>
          <w:color w:val="auto"/>
          <w:highlight w:val="none"/>
        </w:rPr>
        <w:t>………………………………………………………………………（页码）</w:t>
      </w:r>
      <w:r>
        <w:rPr>
          <w:rFonts w:hint="eastAsia" w:ascii="仿宋" w:hAnsi="仿宋" w:eastAsia="仿宋" w:cs="仿宋"/>
          <w:color w:val="auto"/>
          <w:kern w:val="2"/>
          <w:sz w:val="24"/>
          <w:szCs w:val="24"/>
          <w:lang w:val="en-US" w:eastAsia="zh-CN" w:bidi="ar-SA"/>
        </w:rPr>
        <w:t>（1</w:t>
      </w:r>
      <w:r>
        <w:rPr>
          <w:rFonts w:hint="eastAsia" w:ascii="仿宋" w:eastAsia="仿宋" w:cs="仿宋"/>
          <w:color w:val="auto"/>
          <w:kern w:val="2"/>
          <w:sz w:val="24"/>
          <w:szCs w:val="24"/>
          <w:lang w:val="en-US" w:eastAsia="zh-CN" w:bidi="ar-SA"/>
        </w:rPr>
        <w:t>3</w:t>
      </w:r>
      <w:r>
        <w:rPr>
          <w:rFonts w:hint="eastAsia" w:ascii="仿宋" w:hAnsi="仿宋" w:eastAsia="仿宋" w:cs="仿宋"/>
          <w:color w:val="auto"/>
          <w:kern w:val="2"/>
          <w:sz w:val="24"/>
          <w:szCs w:val="24"/>
          <w:lang w:val="en-US" w:eastAsia="zh-CN" w:bidi="ar-SA"/>
        </w:rPr>
        <w:t>）</w:t>
      </w:r>
      <w:r>
        <w:rPr>
          <w:rFonts w:hint="eastAsia" w:ascii="仿宋" w:eastAsia="仿宋" w:cs="仿宋"/>
          <w:color w:val="auto"/>
          <w:sz w:val="24"/>
          <w:szCs w:val="24"/>
          <w:highlight w:val="none"/>
          <w:vertAlign w:val="baseline"/>
          <w:lang w:val="en-US" w:eastAsia="zh-CN"/>
        </w:rPr>
        <w:t>实施方案</w:t>
      </w:r>
      <w:r>
        <w:rPr>
          <w:rFonts w:hint="eastAsia" w:ascii="仿宋" w:eastAsia="仿宋" w:cs="仿宋"/>
          <w:color w:val="auto"/>
          <w:highlight w:val="none"/>
        </w:rPr>
        <w:t>………………………………………………………………………（页码）</w:t>
      </w:r>
    </w:p>
    <w:p w14:paraId="5EC5F6E8">
      <w:pPr>
        <w:pStyle w:val="905"/>
        <w:numPr>
          <w:ilvl w:val="0"/>
          <w:numId w:val="0"/>
        </w:numPr>
        <w:spacing w:line="336" w:lineRule="auto"/>
        <w:ind w:left="0" w:leftChars="0" w:firstLine="0" w:firstLineChars="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kern w:val="2"/>
          <w:sz w:val="24"/>
          <w:szCs w:val="24"/>
          <w:lang w:val="zh-CN" w:eastAsia="zh-CN" w:bidi="ar-SA"/>
        </w:rPr>
        <w:t>（1</w:t>
      </w:r>
      <w:r>
        <w:rPr>
          <w:rFonts w:hint="eastAsia" w:ascii="仿宋" w:eastAsia="仿宋" w:cs="仿宋"/>
          <w:color w:val="auto"/>
          <w:kern w:val="2"/>
          <w:sz w:val="24"/>
          <w:szCs w:val="24"/>
          <w:lang w:val="en-US" w:eastAsia="zh-CN" w:bidi="ar-SA"/>
        </w:rPr>
        <w:t>4</w:t>
      </w:r>
      <w:r>
        <w:rPr>
          <w:rFonts w:hint="eastAsia" w:ascii="仿宋" w:hAnsi="仿宋" w:eastAsia="仿宋" w:cs="仿宋"/>
          <w:color w:val="auto"/>
          <w:kern w:val="2"/>
          <w:sz w:val="24"/>
          <w:szCs w:val="24"/>
          <w:lang w:val="zh-CN" w:eastAsia="zh-CN" w:bidi="ar-SA"/>
        </w:rPr>
        <w:t>）</w:t>
      </w:r>
      <w:r>
        <w:rPr>
          <w:rFonts w:hint="eastAsia" w:ascii="仿宋" w:eastAsia="仿宋" w:cs="仿宋"/>
          <w:color w:val="auto"/>
          <w:sz w:val="24"/>
          <w:szCs w:val="24"/>
          <w:highlight w:val="none"/>
          <w:lang w:eastAsia="zh-CN"/>
        </w:rPr>
        <w:t>应急预案</w:t>
      </w:r>
      <w:r>
        <w:rPr>
          <w:rFonts w:hint="eastAsia" w:ascii="仿宋" w:eastAsia="仿宋" w:cs="仿宋"/>
          <w:color w:val="auto"/>
          <w:highlight w:val="none"/>
        </w:rPr>
        <w:t>………………………………………………………………………（页码）</w:t>
      </w:r>
    </w:p>
    <w:p w14:paraId="7D98613D">
      <w:pPr>
        <w:pStyle w:val="905"/>
        <w:numPr>
          <w:ilvl w:val="0"/>
          <w:numId w:val="0"/>
        </w:numPr>
        <w:spacing w:line="336" w:lineRule="auto"/>
        <w:ind w:left="0" w:leftChars="0" w:firstLine="0" w:firstLineChars="0"/>
        <w:jc w:val="both"/>
        <w:rPr>
          <w:rFonts w:hint="eastAsia" w:ascii="仿宋" w:eastAsia="仿宋" w:cs="仿宋"/>
          <w:color w:val="auto"/>
          <w:kern w:val="2"/>
          <w:sz w:val="24"/>
          <w:szCs w:val="24"/>
          <w:lang w:val="zh-CN" w:eastAsia="zh-CN" w:bidi="ar-SA"/>
        </w:rPr>
      </w:pPr>
      <w:r>
        <w:rPr>
          <w:rFonts w:hint="eastAsia" w:ascii="仿宋" w:hAnsi="仿宋" w:eastAsia="仿宋" w:cs="仿宋"/>
          <w:color w:val="auto"/>
          <w:kern w:val="2"/>
          <w:sz w:val="24"/>
          <w:szCs w:val="24"/>
          <w:lang w:val="zh-CN" w:eastAsia="zh-CN" w:bidi="ar-SA"/>
        </w:rPr>
        <w:t>（1</w:t>
      </w:r>
      <w:r>
        <w:rPr>
          <w:rFonts w:hint="eastAsia" w:ascii="仿宋" w:eastAsia="仿宋" w:cs="仿宋"/>
          <w:color w:val="auto"/>
          <w:kern w:val="2"/>
          <w:sz w:val="24"/>
          <w:szCs w:val="24"/>
          <w:lang w:val="en-US" w:eastAsia="zh-CN" w:bidi="ar-SA"/>
        </w:rPr>
        <w:t>5</w:t>
      </w:r>
      <w:r>
        <w:rPr>
          <w:rFonts w:hint="eastAsia" w:ascii="仿宋" w:hAnsi="仿宋" w:eastAsia="仿宋" w:cs="仿宋"/>
          <w:color w:val="auto"/>
          <w:kern w:val="2"/>
          <w:sz w:val="24"/>
          <w:szCs w:val="24"/>
          <w:lang w:val="zh-CN" w:eastAsia="zh-CN" w:bidi="ar-SA"/>
        </w:rPr>
        <w:t>）</w:t>
      </w:r>
      <w:r>
        <w:rPr>
          <w:rFonts w:hint="eastAsia" w:ascii="仿宋" w:eastAsia="仿宋" w:cs="仿宋"/>
          <w:color w:val="auto"/>
          <w:kern w:val="2"/>
          <w:sz w:val="24"/>
          <w:szCs w:val="24"/>
          <w:lang w:val="zh-CN" w:eastAsia="zh-CN" w:bidi="ar-SA"/>
        </w:rPr>
        <w:t>售后服务</w:t>
      </w:r>
      <w:r>
        <w:rPr>
          <w:rFonts w:hint="eastAsia" w:ascii="仿宋" w:eastAsia="仿宋" w:cs="仿宋"/>
          <w:color w:val="auto"/>
          <w:highlight w:val="none"/>
        </w:rPr>
        <w:t>………………………………………………………………………（页码）</w:t>
      </w:r>
    </w:p>
    <w:p w14:paraId="76F9BCBE">
      <w:pPr>
        <w:pStyle w:val="905"/>
        <w:numPr>
          <w:ilvl w:val="0"/>
          <w:numId w:val="0"/>
        </w:numPr>
        <w:spacing w:line="336" w:lineRule="auto"/>
        <w:ind w:left="0" w:leftChars="0" w:firstLine="0" w:firstLineChars="0"/>
        <w:jc w:val="both"/>
        <w:rPr>
          <w:rFonts w:hint="eastAsia" w:ascii="仿宋" w:hAnsi="仿宋" w:eastAsia="仿宋" w:cs="仿宋"/>
          <w:color w:val="auto"/>
          <w:sz w:val="24"/>
          <w:szCs w:val="24"/>
          <w:highlight w:val="none"/>
          <w:lang w:val="zh-CN" w:eastAsia="zh-CN"/>
        </w:rPr>
      </w:pPr>
      <w:r>
        <w:rPr>
          <w:rFonts w:hint="eastAsia" w:ascii="仿宋" w:eastAsia="仿宋" w:cs="仿宋"/>
          <w:color w:val="auto"/>
          <w:kern w:val="2"/>
          <w:sz w:val="24"/>
          <w:szCs w:val="24"/>
          <w:lang w:val="zh-CN" w:eastAsia="zh-CN" w:bidi="ar-SA"/>
        </w:rPr>
        <w:t>（</w:t>
      </w:r>
      <w:r>
        <w:rPr>
          <w:rFonts w:hint="eastAsia" w:ascii="仿宋" w:eastAsia="仿宋" w:cs="仿宋"/>
          <w:color w:val="auto"/>
          <w:kern w:val="2"/>
          <w:sz w:val="24"/>
          <w:szCs w:val="24"/>
          <w:lang w:val="en-US" w:eastAsia="zh-CN" w:bidi="ar-SA"/>
        </w:rPr>
        <w:t>16</w:t>
      </w:r>
      <w:r>
        <w:rPr>
          <w:rFonts w:hint="eastAsia" w:ascii="仿宋" w:eastAsia="仿宋" w:cs="仿宋"/>
          <w:color w:val="auto"/>
          <w:kern w:val="2"/>
          <w:sz w:val="24"/>
          <w:szCs w:val="24"/>
          <w:lang w:val="zh-CN" w:eastAsia="zh-CN" w:bidi="ar-SA"/>
        </w:rPr>
        <w:t>）</w:t>
      </w:r>
      <w:r>
        <w:rPr>
          <w:rFonts w:hint="eastAsia" w:ascii="仿宋" w:hAnsi="仿宋" w:eastAsia="仿宋" w:cs="仿宋"/>
          <w:color w:val="auto"/>
          <w:sz w:val="24"/>
          <w:szCs w:val="24"/>
          <w:highlight w:val="none"/>
          <w:lang w:val="en-US" w:eastAsia="zh-CN"/>
        </w:rPr>
        <w:t>投标人需要说明的其他文件和说明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highlight w:val="none"/>
        </w:rPr>
        <w:t>………………………………（页码）</w:t>
      </w:r>
    </w:p>
    <w:p w14:paraId="1E843538">
      <w:pPr>
        <w:snapToGrid w:val="0"/>
        <w:spacing w:line="360" w:lineRule="auto"/>
        <w:jc w:val="center"/>
        <w:rPr>
          <w:rFonts w:hint="eastAsia" w:ascii="仿宋" w:hAnsi="仿宋" w:eastAsia="仿宋" w:cs="仿宋"/>
          <w:b/>
          <w:color w:val="auto"/>
          <w:kern w:val="0"/>
          <w:sz w:val="32"/>
          <w:szCs w:val="32"/>
          <w:highlight w:val="none"/>
          <w:lang w:val="zh-CN"/>
        </w:rPr>
      </w:pPr>
    </w:p>
    <w:p w14:paraId="23B8537C">
      <w:pPr>
        <w:snapToGrid w:val="0"/>
        <w:spacing w:line="360" w:lineRule="auto"/>
        <w:jc w:val="center"/>
        <w:rPr>
          <w:rFonts w:hint="eastAsia" w:ascii="仿宋" w:hAnsi="仿宋" w:eastAsia="仿宋" w:cs="仿宋"/>
          <w:b/>
          <w:color w:val="auto"/>
          <w:kern w:val="0"/>
          <w:sz w:val="32"/>
          <w:szCs w:val="32"/>
          <w:highlight w:val="none"/>
          <w:lang w:val="zh-CN"/>
        </w:rPr>
      </w:pPr>
    </w:p>
    <w:p w14:paraId="0F06BA9C">
      <w:pPr>
        <w:snapToGrid w:val="0"/>
        <w:spacing w:line="360" w:lineRule="auto"/>
        <w:jc w:val="both"/>
        <w:rPr>
          <w:rFonts w:hint="eastAsia" w:ascii="仿宋" w:hAnsi="仿宋" w:eastAsia="仿宋" w:cs="仿宋"/>
          <w:b/>
          <w:color w:val="auto"/>
          <w:kern w:val="0"/>
          <w:sz w:val="32"/>
          <w:szCs w:val="32"/>
          <w:highlight w:val="none"/>
          <w:lang w:val="zh-CN"/>
        </w:rPr>
      </w:pPr>
    </w:p>
    <w:p w14:paraId="2C58D8F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176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center"/>
        <w:textAlignment w:val="auto"/>
        <w:outlineLvl w:val="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lang w:eastAsia="zh-CN"/>
        </w:rPr>
        <w:t>营业执照扫描件</w:t>
      </w:r>
    </w:p>
    <w:p w14:paraId="21798421">
      <w:pPr>
        <w:numPr>
          <w:ilvl w:val="0"/>
          <w:numId w:val="0"/>
        </w:numPr>
        <w:snapToGrid w:val="0"/>
        <w:spacing w:line="360" w:lineRule="auto"/>
        <w:jc w:val="both"/>
        <w:outlineLvl w:val="0"/>
        <w:rPr>
          <w:rFonts w:hint="eastAsia" w:ascii="仿宋" w:hAnsi="仿宋" w:eastAsia="仿宋" w:cs="仿宋"/>
          <w:b/>
          <w:color w:val="auto"/>
          <w:kern w:val="0"/>
          <w:sz w:val="32"/>
          <w:szCs w:val="32"/>
          <w:highlight w:val="none"/>
          <w:lang w:val="en-US" w:eastAsia="zh-CN"/>
        </w:rPr>
      </w:pPr>
    </w:p>
    <w:p w14:paraId="7174CA90">
      <w:pPr>
        <w:pStyle w:val="80"/>
        <w:rPr>
          <w:rFonts w:hint="eastAsia"/>
          <w:color w:val="auto"/>
          <w:highlight w:val="none"/>
          <w:lang w:val="en-US" w:eastAsia="zh-CN"/>
        </w:rPr>
      </w:pPr>
    </w:p>
    <w:p w14:paraId="14C085F4">
      <w:pPr>
        <w:numPr>
          <w:ilvl w:val="0"/>
          <w:numId w:val="0"/>
        </w:num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7F37FEE8">
      <w:pPr>
        <w:keepNext w:val="0"/>
        <w:keepLines w:val="0"/>
        <w:pageBreakBefore w:val="0"/>
        <w:kinsoku/>
        <w:wordWrap/>
        <w:overflowPunct/>
        <w:topLinePunct w:val="0"/>
        <w:autoSpaceDE/>
        <w:autoSpaceDN/>
        <w:bidi w:val="0"/>
        <w:snapToGrid w:val="0"/>
        <w:spacing w:line="336"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嵊州市养护建设有限公司、绍兴平准招标代理有限公司</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 xml:space="preserve"> </w:t>
      </w:r>
    </w:p>
    <w:p w14:paraId="644C85B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bCs/>
          <w:color w:val="auto"/>
          <w:sz w:val="24"/>
          <w:szCs w:val="24"/>
          <w:highlight w:val="none"/>
          <w:u w:val="single"/>
        </w:rPr>
        <w:t>（项目编号：</w:t>
      </w:r>
      <w:r>
        <w:rPr>
          <w:rFonts w:hint="eastAsia" w:ascii="仿宋" w:hAnsi="仿宋" w:eastAsia="仿宋" w:cs="仿宋"/>
          <w:b/>
          <w:bCs/>
          <w:color w:val="auto"/>
          <w:sz w:val="24"/>
          <w:szCs w:val="24"/>
          <w:highlight w:val="none"/>
          <w:u w:val="single"/>
          <w:lang w:eastAsia="zh-CN"/>
        </w:rPr>
        <w:t>SXPZ-H20241106QXY</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bCs/>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b/>
          <w:bCs/>
          <w:color w:val="auto"/>
          <w:sz w:val="24"/>
          <w:szCs w:val="24"/>
          <w:highlight w:val="none"/>
          <w:u w:val="single"/>
        </w:rPr>
        <w:t>（填写单位    、地址   ）</w:t>
      </w:r>
      <w:r>
        <w:rPr>
          <w:rFonts w:hint="eastAsia" w:ascii="仿宋" w:hAnsi="仿宋" w:eastAsia="仿宋" w:cs="仿宋"/>
          <w:color w:val="auto"/>
          <w:sz w:val="24"/>
          <w:szCs w:val="24"/>
          <w:highlight w:val="none"/>
        </w:rPr>
        <w:t>提交投标文件。</w:t>
      </w:r>
    </w:p>
    <w:p w14:paraId="0AC34D8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08255A60">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1.投标方已详细审查全部招标文件，同意招标文件的各项要求。</w:t>
      </w:r>
    </w:p>
    <w:p w14:paraId="776D406A">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2.我方向贵方提交的所有投标文件、资料都是准确的和真实的。</w:t>
      </w:r>
    </w:p>
    <w:p w14:paraId="0ABF17AE">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3.若中标，我方将按招标文件规定履行合同责任和义务。</w:t>
      </w:r>
    </w:p>
    <w:p w14:paraId="712185AB">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4.我方不是采购人的附属机构；在获知本项目采购信息后，与采购人聘请的为此项目提供咨询服务的公司及其附属机构没有任何联系。</w:t>
      </w:r>
    </w:p>
    <w:p w14:paraId="563FA910">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5.投标书自开标日起有效期为90天。</w:t>
      </w:r>
    </w:p>
    <w:p w14:paraId="2E4E102E">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6.以上事项如有虚假或隐瞒，我方愿意承担一切后果，并不再寻求任何旨在减轻或免除法律责任的辩解。</w:t>
      </w:r>
    </w:p>
    <w:p w14:paraId="68AC0102">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p>
    <w:p w14:paraId="67DDA51A">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36445378">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6FE5CF42">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6B6056A7">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28354EBF">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14:paraId="178B31D5">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szCs w:val="24"/>
          <w:highlight w:val="none"/>
        </w:rPr>
        <w:t xml:space="preserve">)：　　　　　　　　　日期：  </w:t>
      </w:r>
    </w:p>
    <w:p w14:paraId="7DD7AAAA">
      <w:pPr>
        <w:pStyle w:val="80"/>
        <w:rPr>
          <w:rFonts w:hint="eastAsia" w:ascii="仿宋" w:hAnsi="仿宋" w:eastAsia="仿宋" w:cs="仿宋"/>
          <w:color w:val="auto"/>
          <w:sz w:val="24"/>
          <w:szCs w:val="24"/>
          <w:highlight w:val="none"/>
        </w:rPr>
      </w:pPr>
    </w:p>
    <w:p w14:paraId="00767FA0">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仿宋" w:hAnsi="仿宋" w:eastAsia="仿宋" w:cs="仿宋"/>
          <w:b/>
          <w:color w:val="auto"/>
          <w:kern w:val="0"/>
          <w:sz w:val="32"/>
          <w:szCs w:val="32"/>
          <w:highlight w:val="none"/>
          <w:lang w:val="en-US" w:eastAsia="zh-CN"/>
        </w:rPr>
      </w:pPr>
    </w:p>
    <w:p w14:paraId="46F0108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三、法定代表人身份证明书</w:t>
      </w:r>
    </w:p>
    <w:p w14:paraId="19DAC7C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65D91EB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5B19002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1F35692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42D7368">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1F5F4C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的法定代表人。</w:t>
      </w:r>
    </w:p>
    <w:p w14:paraId="499CE65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06248A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p>
    <w:p w14:paraId="7C88A930">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072FE20C">
      <w:pPr>
        <w:keepNext w:val="0"/>
        <w:keepLines w:val="0"/>
        <w:pageBreakBefore w:val="0"/>
        <w:widowControl w:val="0"/>
        <w:kinsoku/>
        <w:wordWrap/>
        <w:overflowPunct/>
        <w:topLinePunct w:val="0"/>
        <w:autoSpaceDE/>
        <w:autoSpaceDN/>
        <w:bidi w:val="0"/>
        <w:adjustRightInd w:val="0"/>
        <w:spacing w:line="360" w:lineRule="auto"/>
        <w:jc w:val="righ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法定代表人（签字或盖章）：        </w:t>
      </w:r>
    </w:p>
    <w:p w14:paraId="66C05A28">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年   月   日</w:t>
      </w:r>
    </w:p>
    <w:p w14:paraId="68E2547D">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31A884C4">
      <w:pPr>
        <w:snapToGrid w:val="0"/>
        <w:spacing w:line="360" w:lineRule="auto"/>
        <w:ind w:right="480"/>
        <w:jc w:val="both"/>
        <w:rPr>
          <w:rFonts w:hint="eastAsia" w:ascii="仿宋" w:hAnsi="仿宋" w:eastAsia="仿宋" w:cs="仿宋"/>
          <w:b/>
          <w:color w:val="auto"/>
          <w:kern w:val="0"/>
          <w:sz w:val="32"/>
          <w:szCs w:val="32"/>
          <w:highlight w:val="none"/>
          <w:lang w:val="en-US" w:eastAsia="zh-CN"/>
        </w:rPr>
      </w:pPr>
    </w:p>
    <w:p w14:paraId="5E8ECDB0">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5855988A">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四、法定代表人授权委托书及授权代表社保证明（若委托）</w:t>
      </w:r>
    </w:p>
    <w:p w14:paraId="31744A0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3AB24F0">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3A15B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15ACB01B">
      <w:pPr>
        <w:snapToGrid w:val="0"/>
        <w:spacing w:line="600" w:lineRule="exact"/>
        <w:jc w:val="left"/>
        <w:rPr>
          <w:rFonts w:hint="eastAsia" w:ascii="仿宋" w:hAnsi="仿宋" w:eastAsia="仿宋" w:cs="仿宋"/>
          <w:color w:val="auto"/>
          <w:sz w:val="24"/>
          <w:highlight w:val="none"/>
        </w:rPr>
      </w:pPr>
    </w:p>
    <w:p w14:paraId="50A13DB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144E654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02E9392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212310D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7C3B810A">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4FF36E9C">
      <w:pPr>
        <w:spacing w:line="360" w:lineRule="exact"/>
        <w:rPr>
          <w:rFonts w:hint="eastAsia" w:ascii="仿宋" w:hAnsi="仿宋" w:eastAsia="仿宋" w:cs="仿宋"/>
          <w:color w:val="auto"/>
          <w:sz w:val="24"/>
          <w:highlight w:val="none"/>
        </w:rPr>
      </w:pPr>
    </w:p>
    <w:p w14:paraId="44F6512A">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57E2B4DD">
      <w:pPr>
        <w:snapToGrid w:val="0"/>
        <w:spacing w:line="360" w:lineRule="auto"/>
        <w:ind w:right="480"/>
        <w:jc w:val="both"/>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color w:val="auto"/>
          <w:sz w:val="24"/>
          <w:szCs w:val="24"/>
          <w:highlight w:val="none"/>
        </w:rPr>
        <w:t>附：法人身份证复印件及授权人身份证复印件。</w:t>
      </w:r>
    </w:p>
    <w:p w14:paraId="5FECF8D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46EC05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0D3011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18D752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2EBE4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highlight w:val="none"/>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103E0B10">
      <w:pPr>
        <w:jc w:val="center"/>
        <w:rPr>
          <w:rFonts w:hint="default"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五、评分索引表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6931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4E42BE5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77F4410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246AE49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20FB776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60FF35A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711352D4">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AAE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70DD110F">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2EFF538A">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B359BD8">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7B9CA4DE">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9CB5E1A">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B5A1ABF">
            <w:pPr>
              <w:adjustRightInd/>
              <w:spacing w:line="380" w:lineRule="exact"/>
              <w:jc w:val="center"/>
              <w:outlineLvl w:val="9"/>
              <w:rPr>
                <w:rFonts w:hint="eastAsia" w:ascii="仿宋" w:hAnsi="仿宋" w:eastAsia="仿宋" w:cs="仿宋"/>
                <w:color w:val="auto"/>
                <w:sz w:val="24"/>
                <w:szCs w:val="24"/>
                <w:highlight w:val="none"/>
              </w:rPr>
            </w:pPr>
          </w:p>
        </w:tc>
      </w:tr>
      <w:tr w14:paraId="4280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5F50A2E">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17224B65">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EB9D646">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05F0F2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7B6A0F10">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47B6F72E">
            <w:pPr>
              <w:adjustRightInd/>
              <w:spacing w:line="380" w:lineRule="exact"/>
              <w:jc w:val="center"/>
              <w:outlineLvl w:val="9"/>
              <w:rPr>
                <w:rFonts w:hint="eastAsia" w:ascii="仿宋" w:hAnsi="仿宋" w:eastAsia="仿宋" w:cs="仿宋"/>
                <w:color w:val="auto"/>
                <w:sz w:val="24"/>
                <w:szCs w:val="24"/>
                <w:highlight w:val="none"/>
              </w:rPr>
            </w:pPr>
          </w:p>
        </w:tc>
      </w:tr>
      <w:tr w14:paraId="6ECA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F18A498">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67347EF2">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7F496E2">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5076F89E">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64390B92">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622110C">
            <w:pPr>
              <w:adjustRightInd/>
              <w:spacing w:line="380" w:lineRule="exact"/>
              <w:jc w:val="center"/>
              <w:outlineLvl w:val="9"/>
              <w:rPr>
                <w:rFonts w:hint="eastAsia" w:ascii="仿宋" w:hAnsi="仿宋" w:eastAsia="仿宋" w:cs="仿宋"/>
                <w:color w:val="auto"/>
                <w:sz w:val="24"/>
                <w:szCs w:val="24"/>
                <w:highlight w:val="none"/>
              </w:rPr>
            </w:pPr>
          </w:p>
        </w:tc>
      </w:tr>
      <w:tr w14:paraId="72E1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AEDD676">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1C3A3CC8">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45B5A2D5">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5409E9DD">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455BD187">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119366B8">
            <w:pPr>
              <w:adjustRightInd/>
              <w:spacing w:line="380" w:lineRule="exact"/>
              <w:jc w:val="center"/>
              <w:outlineLvl w:val="9"/>
              <w:rPr>
                <w:rFonts w:hint="eastAsia" w:ascii="仿宋" w:hAnsi="仿宋" w:eastAsia="仿宋" w:cs="仿宋"/>
                <w:color w:val="auto"/>
                <w:sz w:val="24"/>
                <w:szCs w:val="24"/>
                <w:highlight w:val="none"/>
              </w:rPr>
            </w:pPr>
          </w:p>
        </w:tc>
      </w:tr>
      <w:tr w14:paraId="6472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95668CF">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3F160257">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68E946B5">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1AB25D2F">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2A5A35AD">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48053DDC">
            <w:pPr>
              <w:adjustRightInd/>
              <w:spacing w:line="380" w:lineRule="exact"/>
              <w:jc w:val="center"/>
              <w:outlineLvl w:val="9"/>
              <w:rPr>
                <w:rFonts w:hint="eastAsia" w:ascii="仿宋" w:hAnsi="仿宋" w:eastAsia="仿宋" w:cs="仿宋"/>
                <w:color w:val="auto"/>
                <w:sz w:val="24"/>
                <w:szCs w:val="24"/>
                <w:highlight w:val="none"/>
              </w:rPr>
            </w:pPr>
          </w:p>
        </w:tc>
      </w:tr>
    </w:tbl>
    <w:p w14:paraId="7BC2A8AF">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color w:val="auto"/>
          <w:kern w:val="0"/>
          <w:sz w:val="32"/>
          <w:szCs w:val="32"/>
          <w:highlight w:val="none"/>
          <w:lang w:eastAsia="zh-CN"/>
        </w:rPr>
      </w:pPr>
      <w:r>
        <w:rPr>
          <w:rFonts w:hint="eastAsia" w:ascii="仿宋" w:hAnsi="仿宋" w:eastAsia="仿宋" w:cs="仿宋"/>
          <w:b w:val="0"/>
          <w:bCs/>
          <w:color w:val="auto"/>
          <w:kern w:val="0"/>
          <w:sz w:val="24"/>
          <w:szCs w:val="24"/>
          <w:highlight w:val="none"/>
          <w:lang w:val="en-US" w:eastAsia="zh-CN"/>
        </w:rPr>
        <w:t>对应</w:t>
      </w:r>
      <w:r>
        <w:rPr>
          <w:rFonts w:hint="default" w:ascii="仿宋" w:hAnsi="仿宋" w:eastAsia="仿宋" w:cs="仿宋"/>
          <w:b w:val="0"/>
          <w:bCs/>
          <w:color w:val="auto"/>
          <w:kern w:val="0"/>
          <w:sz w:val="24"/>
          <w:szCs w:val="24"/>
          <w:highlight w:val="none"/>
          <w:lang w:val="en-US" w:eastAsia="zh-CN"/>
        </w:rPr>
        <w:t>第四部分评标方法及标准</w:t>
      </w:r>
      <w:r>
        <w:rPr>
          <w:rFonts w:hint="eastAsia" w:ascii="仿宋" w:hAnsi="仿宋" w:eastAsia="仿宋" w:cs="仿宋"/>
          <w:b w:val="0"/>
          <w:bCs/>
          <w:color w:val="auto"/>
          <w:kern w:val="0"/>
          <w:sz w:val="24"/>
          <w:szCs w:val="24"/>
          <w:highlight w:val="none"/>
          <w:lang w:val="en-US" w:eastAsia="zh-CN"/>
        </w:rPr>
        <w:t>（报价除外）</w:t>
      </w:r>
    </w:p>
    <w:p w14:paraId="28A7FEB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eastAsia="zh-CN"/>
        </w:rPr>
      </w:pPr>
    </w:p>
    <w:p w14:paraId="29580FC3">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3879E609">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1151E173">
      <w:pPr>
        <w:snapToGrid w:val="0"/>
        <w:spacing w:line="360" w:lineRule="auto"/>
        <w:rPr>
          <w:rFonts w:hint="eastAsia" w:ascii="仿宋" w:hAnsi="仿宋" w:eastAsia="仿宋" w:cs="仿宋"/>
          <w:color w:val="auto"/>
          <w:sz w:val="24"/>
          <w:highlight w:val="none"/>
        </w:rPr>
      </w:pPr>
    </w:p>
    <w:p w14:paraId="77FEB0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嵊州市养护建设有限公司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绍兴平准招标代理有限公司</w:t>
      </w:r>
      <w:r>
        <w:rPr>
          <w:rFonts w:hint="eastAsia" w:ascii="仿宋" w:hAnsi="仿宋" w:eastAsia="仿宋" w:cs="仿宋"/>
          <w:color w:val="auto"/>
          <w:kern w:val="0"/>
          <w:sz w:val="24"/>
          <w:highlight w:val="none"/>
          <w:lang w:val="zh-CN"/>
        </w:rPr>
        <w:t>：</w:t>
      </w:r>
    </w:p>
    <w:p w14:paraId="456D731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C8111A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CCAC2A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9EA4BC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BB496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DCC472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17458A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168575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2F0CD7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A5F16E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80E12D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0B5337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A76969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1B4104D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778246">
      <w:pPr>
        <w:spacing w:line="360" w:lineRule="auto"/>
        <w:jc w:val="center"/>
        <w:rPr>
          <w:rFonts w:hint="eastAsia" w:ascii="仿宋" w:hAnsi="仿宋" w:eastAsia="仿宋" w:cs="仿宋"/>
          <w:b/>
          <w:bCs/>
          <w:color w:val="auto"/>
          <w:sz w:val="24"/>
          <w:highlight w:val="none"/>
        </w:rPr>
      </w:pPr>
    </w:p>
    <w:p w14:paraId="22376CD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F573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5F30EB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7BE792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0490AC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资信及商务响应表</w:t>
      </w:r>
    </w:p>
    <w:p w14:paraId="318760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799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24F6E4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41406D1C">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669BFFE8">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7370BA49">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09ADD574">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7AF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0A1E0A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6F3713D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04C3503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AFEFDBD">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304B194">
            <w:pPr>
              <w:adjustRightInd/>
              <w:spacing w:line="380" w:lineRule="exact"/>
              <w:jc w:val="center"/>
              <w:outlineLvl w:val="9"/>
              <w:rPr>
                <w:rFonts w:hint="eastAsia" w:ascii="仿宋" w:hAnsi="仿宋" w:eastAsia="仿宋" w:cs="仿宋"/>
                <w:color w:val="auto"/>
                <w:sz w:val="24"/>
                <w:szCs w:val="24"/>
                <w:highlight w:val="none"/>
              </w:rPr>
            </w:pPr>
          </w:p>
        </w:tc>
      </w:tr>
      <w:tr w14:paraId="172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224952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055FFD9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6C3F3235">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5A7C18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F5C230B">
            <w:pPr>
              <w:adjustRightInd/>
              <w:spacing w:line="380" w:lineRule="exact"/>
              <w:jc w:val="center"/>
              <w:outlineLvl w:val="9"/>
              <w:rPr>
                <w:rFonts w:hint="eastAsia" w:ascii="仿宋" w:hAnsi="仿宋" w:eastAsia="仿宋" w:cs="仿宋"/>
                <w:color w:val="auto"/>
                <w:sz w:val="24"/>
                <w:szCs w:val="24"/>
                <w:highlight w:val="none"/>
              </w:rPr>
            </w:pPr>
          </w:p>
        </w:tc>
      </w:tr>
      <w:tr w14:paraId="67F5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0FA005">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vAlign w:val="center"/>
          </w:tcPr>
          <w:p w14:paraId="7501C4D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495A172">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AA2E77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EA33DC3">
            <w:pPr>
              <w:adjustRightInd/>
              <w:spacing w:line="380" w:lineRule="exact"/>
              <w:jc w:val="center"/>
              <w:outlineLvl w:val="9"/>
              <w:rPr>
                <w:rFonts w:hint="eastAsia" w:ascii="仿宋" w:hAnsi="仿宋" w:eastAsia="仿宋" w:cs="仿宋"/>
                <w:color w:val="auto"/>
                <w:sz w:val="24"/>
                <w:szCs w:val="24"/>
                <w:highlight w:val="none"/>
              </w:rPr>
            </w:pPr>
          </w:p>
        </w:tc>
      </w:tr>
      <w:tr w14:paraId="704E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D6E6D80">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417" w:type="dxa"/>
            <w:vAlign w:val="center"/>
          </w:tcPr>
          <w:p w14:paraId="3B8AB52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85518E9">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D9DB14E">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3B458077">
            <w:pPr>
              <w:adjustRightInd/>
              <w:spacing w:line="380" w:lineRule="exact"/>
              <w:jc w:val="center"/>
              <w:outlineLvl w:val="9"/>
              <w:rPr>
                <w:rFonts w:hint="eastAsia" w:ascii="仿宋" w:hAnsi="仿宋" w:eastAsia="仿宋" w:cs="仿宋"/>
                <w:color w:val="auto"/>
                <w:sz w:val="24"/>
                <w:szCs w:val="24"/>
                <w:highlight w:val="none"/>
              </w:rPr>
            </w:pPr>
          </w:p>
        </w:tc>
      </w:tr>
      <w:tr w14:paraId="605C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B59477">
            <w:pPr>
              <w:adjustRightInd/>
              <w:spacing w:line="380" w:lineRule="exact"/>
              <w:jc w:val="center"/>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417" w:type="dxa"/>
            <w:vAlign w:val="center"/>
          </w:tcPr>
          <w:p w14:paraId="0205E64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854839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AC6947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899BF62">
            <w:pPr>
              <w:adjustRightInd/>
              <w:spacing w:line="380" w:lineRule="exact"/>
              <w:jc w:val="center"/>
              <w:outlineLvl w:val="9"/>
              <w:rPr>
                <w:rFonts w:hint="eastAsia" w:ascii="仿宋" w:hAnsi="仿宋" w:eastAsia="仿宋" w:cs="仿宋"/>
                <w:color w:val="auto"/>
                <w:sz w:val="24"/>
                <w:szCs w:val="24"/>
                <w:highlight w:val="none"/>
              </w:rPr>
            </w:pPr>
          </w:p>
        </w:tc>
      </w:tr>
      <w:tr w14:paraId="7F89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C1FD52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17" w:type="dxa"/>
            <w:vAlign w:val="center"/>
          </w:tcPr>
          <w:p w14:paraId="3D18A43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6EE2404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04DDC9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2343DD5">
            <w:pPr>
              <w:adjustRightInd/>
              <w:spacing w:line="380" w:lineRule="exact"/>
              <w:jc w:val="center"/>
              <w:outlineLvl w:val="9"/>
              <w:rPr>
                <w:rFonts w:hint="eastAsia" w:ascii="仿宋" w:hAnsi="仿宋" w:eastAsia="仿宋" w:cs="仿宋"/>
                <w:color w:val="auto"/>
                <w:sz w:val="24"/>
                <w:szCs w:val="24"/>
                <w:highlight w:val="none"/>
              </w:rPr>
            </w:pPr>
          </w:p>
        </w:tc>
      </w:tr>
      <w:tr w14:paraId="74FD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E0FD142">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17" w:type="dxa"/>
            <w:vAlign w:val="center"/>
          </w:tcPr>
          <w:p w14:paraId="28B8EE0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06700AA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CC93D53">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B787474">
            <w:pPr>
              <w:adjustRightInd/>
              <w:spacing w:line="380" w:lineRule="exact"/>
              <w:jc w:val="center"/>
              <w:outlineLvl w:val="9"/>
              <w:rPr>
                <w:rFonts w:hint="eastAsia" w:ascii="仿宋" w:hAnsi="仿宋" w:eastAsia="仿宋" w:cs="仿宋"/>
                <w:color w:val="auto"/>
                <w:sz w:val="24"/>
                <w:szCs w:val="24"/>
                <w:highlight w:val="none"/>
              </w:rPr>
            </w:pPr>
          </w:p>
        </w:tc>
      </w:tr>
      <w:tr w14:paraId="6DA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5218319">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17" w:type="dxa"/>
            <w:vAlign w:val="center"/>
          </w:tcPr>
          <w:p w14:paraId="2F9C482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21B05714">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5B168F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C438C80">
            <w:pPr>
              <w:adjustRightInd/>
              <w:spacing w:line="380" w:lineRule="exact"/>
              <w:jc w:val="center"/>
              <w:outlineLvl w:val="9"/>
              <w:rPr>
                <w:rFonts w:hint="eastAsia" w:ascii="仿宋" w:hAnsi="仿宋" w:eastAsia="仿宋" w:cs="仿宋"/>
                <w:color w:val="auto"/>
                <w:sz w:val="24"/>
                <w:szCs w:val="24"/>
                <w:highlight w:val="none"/>
              </w:rPr>
            </w:pPr>
          </w:p>
        </w:tc>
      </w:tr>
      <w:tr w14:paraId="1FCA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199327B">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17" w:type="dxa"/>
            <w:vAlign w:val="center"/>
          </w:tcPr>
          <w:p w14:paraId="03D6C71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411C80C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1A78F05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03A4197">
            <w:pPr>
              <w:adjustRightInd/>
              <w:spacing w:line="380" w:lineRule="exact"/>
              <w:jc w:val="center"/>
              <w:outlineLvl w:val="9"/>
              <w:rPr>
                <w:rFonts w:hint="eastAsia" w:ascii="仿宋" w:hAnsi="仿宋" w:eastAsia="仿宋" w:cs="仿宋"/>
                <w:color w:val="auto"/>
                <w:sz w:val="24"/>
                <w:szCs w:val="24"/>
                <w:highlight w:val="none"/>
              </w:rPr>
            </w:pPr>
          </w:p>
        </w:tc>
      </w:tr>
      <w:tr w14:paraId="166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6BB1FC">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17" w:type="dxa"/>
            <w:vAlign w:val="center"/>
          </w:tcPr>
          <w:p w14:paraId="7DC4612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6C0DC23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47C23AC">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0B99513">
            <w:pPr>
              <w:adjustRightInd/>
              <w:spacing w:line="380" w:lineRule="exact"/>
              <w:jc w:val="center"/>
              <w:outlineLvl w:val="9"/>
              <w:rPr>
                <w:rFonts w:hint="eastAsia" w:ascii="仿宋" w:hAnsi="仿宋" w:eastAsia="仿宋" w:cs="仿宋"/>
                <w:color w:val="auto"/>
                <w:sz w:val="24"/>
                <w:szCs w:val="24"/>
                <w:highlight w:val="none"/>
              </w:rPr>
            </w:pPr>
          </w:p>
        </w:tc>
      </w:tr>
      <w:tr w14:paraId="3593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BA8704D">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17" w:type="dxa"/>
            <w:vAlign w:val="center"/>
          </w:tcPr>
          <w:p w14:paraId="0377F53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rPr>
            </w:pPr>
          </w:p>
        </w:tc>
        <w:tc>
          <w:tcPr>
            <w:tcW w:w="2835" w:type="dxa"/>
          </w:tcPr>
          <w:p w14:paraId="4E8B4A9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113213E1">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B6ABA03">
            <w:pPr>
              <w:adjustRightInd/>
              <w:spacing w:line="380" w:lineRule="exact"/>
              <w:jc w:val="center"/>
              <w:outlineLvl w:val="9"/>
              <w:rPr>
                <w:rFonts w:hint="eastAsia" w:ascii="仿宋" w:hAnsi="仿宋" w:eastAsia="仿宋" w:cs="仿宋"/>
                <w:color w:val="auto"/>
                <w:sz w:val="24"/>
                <w:szCs w:val="24"/>
                <w:highlight w:val="none"/>
              </w:rPr>
            </w:pPr>
          </w:p>
        </w:tc>
      </w:tr>
      <w:tr w14:paraId="018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75DC9A">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17" w:type="dxa"/>
            <w:vAlign w:val="center"/>
          </w:tcPr>
          <w:p w14:paraId="639F81B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p>
        </w:tc>
        <w:tc>
          <w:tcPr>
            <w:tcW w:w="2835" w:type="dxa"/>
          </w:tcPr>
          <w:p w14:paraId="3F9CD6E7">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32BC4E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954A753">
            <w:pPr>
              <w:adjustRightInd/>
              <w:spacing w:line="380" w:lineRule="exact"/>
              <w:jc w:val="center"/>
              <w:outlineLvl w:val="9"/>
              <w:rPr>
                <w:rFonts w:hint="eastAsia" w:ascii="仿宋" w:hAnsi="仿宋" w:eastAsia="仿宋" w:cs="仿宋"/>
                <w:color w:val="auto"/>
                <w:sz w:val="24"/>
                <w:szCs w:val="24"/>
                <w:highlight w:val="none"/>
              </w:rPr>
            </w:pPr>
          </w:p>
        </w:tc>
      </w:tr>
    </w:tbl>
    <w:p w14:paraId="606D8709">
      <w:pPr>
        <w:keepNext w:val="0"/>
        <w:keepLines w:val="0"/>
        <w:pageBreakBefore w:val="0"/>
        <w:kinsoku/>
        <w:wordWrap/>
        <w:overflowPunct/>
        <w:topLinePunct w:val="0"/>
        <w:autoSpaceDE/>
        <w:autoSpaceDN/>
        <w:bidi w:val="0"/>
        <w:spacing w:line="360" w:lineRule="auto"/>
        <w:ind w:left="0" w:leftChars="0" w:right="-21" w:rightChars="-1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投标人应根据</w:t>
      </w:r>
      <w:r>
        <w:rPr>
          <w:rFonts w:hint="eastAsia" w:ascii="仿宋" w:hAnsi="仿宋" w:eastAsia="仿宋" w:cs="仿宋"/>
          <w:color w:val="auto"/>
          <w:sz w:val="24"/>
          <w:szCs w:val="24"/>
          <w:highlight w:val="none"/>
          <w:lang w:val="en-US" w:eastAsia="zh-CN"/>
        </w:rPr>
        <w:t>相关要求</w:t>
      </w:r>
      <w:r>
        <w:rPr>
          <w:rFonts w:hint="eastAsia" w:ascii="仿宋" w:hAnsi="仿宋" w:eastAsia="仿宋" w:cs="仿宋"/>
          <w:color w:val="auto"/>
          <w:sz w:val="24"/>
          <w:szCs w:val="24"/>
          <w:highlight w:val="none"/>
        </w:rPr>
        <w:t>、对照</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要求在“偏离情况”栏注明“正偏离”、“负偏离”或“无偏离”。以上内容为实质性条款，</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“负偏离”作无效</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处理。</w:t>
      </w:r>
    </w:p>
    <w:p w14:paraId="701B85A4">
      <w:pPr>
        <w:spacing w:line="360" w:lineRule="auto"/>
        <w:ind w:right="420" w:firstLine="480" w:firstLineChars="200"/>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2.不提供此表或注明“无偏离”均将视为投标人完全响应及满足招标文件要求。</w:t>
      </w:r>
    </w:p>
    <w:p w14:paraId="74D8493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6F5D795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55B54B95">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2F5A1C1">
      <w:pPr>
        <w:spacing w:line="360" w:lineRule="auto"/>
        <w:ind w:left="4620" w:leftChars="2200"/>
        <w:rPr>
          <w:rFonts w:hint="eastAsia" w:ascii="仿宋" w:hAnsi="仿宋" w:eastAsia="仿宋" w:cs="仿宋"/>
          <w:color w:val="auto"/>
          <w:kern w:val="0"/>
          <w:sz w:val="24"/>
          <w:highlight w:val="none"/>
          <w:lang w:val="zh-CN"/>
        </w:rPr>
      </w:pPr>
    </w:p>
    <w:p w14:paraId="7E88BFFC">
      <w:pPr>
        <w:spacing w:line="360" w:lineRule="auto"/>
        <w:jc w:val="center"/>
        <w:rPr>
          <w:rFonts w:hint="eastAsia" w:ascii="仿宋_GB2312" w:hAnsi="仿宋_GB2312" w:eastAsia="仿宋_GB2312" w:cs="仿宋_GB2312"/>
          <w:b/>
          <w:bCs/>
          <w:color w:val="auto"/>
          <w:kern w:val="0"/>
          <w:sz w:val="32"/>
          <w:szCs w:val="32"/>
          <w:highlight w:val="none"/>
          <w:lang w:val="en-US" w:eastAsia="zh-CN"/>
        </w:rPr>
      </w:pPr>
    </w:p>
    <w:p w14:paraId="08E2E901">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仿宋" w:hAnsi="仿宋" w:eastAsia="仿宋" w:cs="仿宋"/>
          <w:b/>
          <w:color w:val="auto"/>
          <w:kern w:val="0"/>
          <w:sz w:val="32"/>
          <w:szCs w:val="32"/>
          <w:highlight w:val="none"/>
          <w:lang w:val="en-US" w:eastAsia="zh-CN"/>
        </w:rPr>
      </w:pPr>
    </w:p>
    <w:p w14:paraId="60D55516">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八、生产基地情况</w:t>
      </w:r>
    </w:p>
    <w:p w14:paraId="69C4A8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p w14:paraId="5B63F9D2">
      <w:pPr>
        <w:jc w:val="left"/>
        <w:rPr>
          <w:rFonts w:hint="eastAsia" w:ascii="仿宋" w:hAnsi="仿宋" w:eastAsia="仿宋" w:cs="仿宋"/>
          <w:color w:val="auto"/>
          <w:kern w:val="0"/>
          <w:sz w:val="24"/>
          <w:highlight w:val="none"/>
        </w:rPr>
      </w:pPr>
    </w:p>
    <w:p w14:paraId="48339EF2">
      <w:pPr>
        <w:spacing w:line="360" w:lineRule="auto"/>
        <w:ind w:right="420"/>
        <w:rPr>
          <w:rFonts w:hint="eastAsia" w:ascii="仿宋" w:hAnsi="仿宋" w:eastAsia="仿宋" w:cs="仿宋"/>
          <w:b/>
          <w:bCs/>
          <w:color w:val="auto"/>
          <w:sz w:val="32"/>
          <w:szCs w:val="32"/>
          <w:highlight w:val="none"/>
        </w:rPr>
      </w:pPr>
    </w:p>
    <w:p w14:paraId="680ACCD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548A8021">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07B3970">
      <w:pPr>
        <w:widowControl/>
        <w:adjustRightInd/>
        <w:jc w:val="center"/>
        <w:rPr>
          <w:rFonts w:hint="eastAsia" w:ascii="仿宋" w:hAnsi="仿宋" w:eastAsia="仿宋" w:cs="仿宋"/>
          <w:b/>
          <w:bCs/>
          <w:color w:val="auto"/>
          <w:sz w:val="32"/>
          <w:szCs w:val="32"/>
          <w:highlight w:val="none"/>
          <w:lang w:val="en-US" w:eastAsia="zh-CN"/>
        </w:rPr>
      </w:pPr>
    </w:p>
    <w:p w14:paraId="2C2AC4F6">
      <w:pP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br w:type="page"/>
      </w:r>
    </w:p>
    <w:p w14:paraId="00F12AEE">
      <w:pPr>
        <w:spacing w:line="336"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同类业绩</w:t>
      </w:r>
    </w:p>
    <w:p w14:paraId="7187B35D">
      <w:pPr>
        <w:spacing w:line="360" w:lineRule="auto"/>
        <w:ind w:firstLine="480" w:firstLineChars="200"/>
        <w:jc w:val="center"/>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7B57A1F0">
      <w:pPr>
        <w:spacing w:line="336" w:lineRule="auto"/>
        <w:ind w:firstLine="3600" w:firstLineChars="1500"/>
        <w:rPr>
          <w:rFonts w:hint="eastAsia" w:ascii="仿宋" w:hAnsi="仿宋" w:eastAsia="仿宋" w:cs="仿宋"/>
          <w:color w:val="auto"/>
          <w:sz w:val="24"/>
          <w:highlight w:val="none"/>
          <w:lang w:eastAsia="zh-CN"/>
        </w:rPr>
      </w:pPr>
    </w:p>
    <w:p w14:paraId="06F00A1B">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33D6B21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AAE3053">
      <w:pPr>
        <w:spacing w:line="336" w:lineRule="auto"/>
        <w:jc w:val="center"/>
        <w:rPr>
          <w:rFonts w:hint="eastAsia" w:ascii="仿宋_GB2312" w:hAnsi="仿宋_GB2312" w:eastAsia="仿宋_GB2312" w:cs="仿宋_GB2312"/>
          <w:b/>
          <w:bCs/>
          <w:color w:val="auto"/>
          <w:sz w:val="32"/>
          <w:szCs w:val="32"/>
          <w:highlight w:val="none"/>
          <w:lang w:eastAsia="zh-CN"/>
        </w:rPr>
      </w:pPr>
    </w:p>
    <w:p w14:paraId="510540AE">
      <w:pPr>
        <w:spacing w:line="336" w:lineRule="auto"/>
        <w:jc w:val="both"/>
        <w:rPr>
          <w:rFonts w:hint="eastAsia" w:ascii="仿宋" w:hAnsi="仿宋" w:eastAsia="仿宋" w:cs="仿宋"/>
          <w:color w:val="auto"/>
          <w:sz w:val="24"/>
          <w:highlight w:val="none"/>
        </w:rPr>
      </w:pPr>
    </w:p>
    <w:p w14:paraId="26D41B83">
      <w:pPr>
        <w:spacing w:line="336" w:lineRule="auto"/>
        <w:jc w:val="center"/>
        <w:rPr>
          <w:rFonts w:hint="eastAsia" w:ascii="仿宋_GB2312" w:hAnsi="仿宋_GB2312" w:eastAsia="仿宋_GB2312" w:cs="仿宋_GB2312"/>
          <w:b/>
          <w:bCs/>
          <w:color w:val="auto"/>
          <w:sz w:val="32"/>
          <w:szCs w:val="32"/>
          <w:highlight w:val="none"/>
          <w:lang w:eastAsia="zh-CN"/>
        </w:rPr>
      </w:pPr>
    </w:p>
    <w:p w14:paraId="10A6FD91">
      <w:pPr>
        <w:spacing w:line="336" w:lineRule="auto"/>
        <w:jc w:val="center"/>
        <w:rPr>
          <w:rFonts w:hint="default" w:ascii="仿宋" w:hAnsi="仿宋" w:eastAsia="仿宋_GB2312" w:cs="仿宋"/>
          <w:color w:val="auto"/>
          <w:sz w:val="24"/>
          <w:highlight w:val="none"/>
          <w:lang w:val="en-US" w:eastAsia="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人员配置</w:t>
      </w:r>
    </w:p>
    <w:p w14:paraId="72F5DBCB">
      <w:pPr>
        <w:autoSpaceDE w:val="0"/>
        <w:autoSpaceDN w:val="0"/>
        <w:spacing w:line="360" w:lineRule="auto"/>
        <w:jc w:val="center"/>
        <w:rPr>
          <w:rFonts w:hint="eastAsia"/>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4C5D9C2A">
      <w:pPr>
        <w:spacing w:line="336" w:lineRule="auto"/>
        <w:ind w:firstLine="3600" w:firstLineChars="1500"/>
        <w:rPr>
          <w:rFonts w:hint="eastAsia" w:ascii="仿宋" w:hAnsi="仿宋" w:eastAsia="仿宋" w:cs="仿宋"/>
          <w:color w:val="auto"/>
          <w:sz w:val="24"/>
          <w:highlight w:val="none"/>
          <w:lang w:eastAsia="zh-CN"/>
        </w:rPr>
      </w:pPr>
    </w:p>
    <w:p w14:paraId="7EF2DF21">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14A09E0F">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259BE1A">
      <w:pPr>
        <w:spacing w:line="336" w:lineRule="auto"/>
        <w:jc w:val="both"/>
        <w:rPr>
          <w:rFonts w:hint="eastAsia" w:ascii="仿宋" w:hAnsi="仿宋" w:eastAsia="仿宋" w:cs="仿宋"/>
          <w:b/>
          <w:bCs/>
          <w:color w:val="auto"/>
          <w:sz w:val="32"/>
          <w:szCs w:val="32"/>
          <w:highlight w:val="none"/>
          <w:lang w:eastAsia="zh-CN"/>
        </w:rPr>
      </w:pPr>
    </w:p>
    <w:p w14:paraId="243EBC87">
      <w:pPr>
        <w:spacing w:line="336" w:lineRule="auto"/>
        <w:jc w:val="center"/>
        <w:rPr>
          <w:rFonts w:hint="eastAsia" w:ascii="仿宋" w:hAnsi="仿宋" w:eastAsia="仿宋_GB2312" w:cs="仿宋"/>
          <w:color w:val="auto"/>
          <w:sz w:val="24"/>
          <w:highlight w:val="none"/>
          <w:lang w:eastAsia="zh-CN"/>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供货方案</w:t>
      </w:r>
    </w:p>
    <w:p w14:paraId="5F202E69">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69223BBD">
      <w:pPr>
        <w:spacing w:line="336" w:lineRule="auto"/>
        <w:ind w:firstLine="3600" w:firstLineChars="1500"/>
        <w:rPr>
          <w:rFonts w:hint="eastAsia" w:ascii="仿宋" w:hAnsi="仿宋" w:eastAsia="仿宋" w:cs="仿宋"/>
          <w:color w:val="auto"/>
          <w:sz w:val="24"/>
          <w:highlight w:val="none"/>
          <w:lang w:eastAsia="zh-CN"/>
        </w:rPr>
      </w:pPr>
    </w:p>
    <w:p w14:paraId="67A860F5">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47127862">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5089B4B3">
      <w:pPr>
        <w:spacing w:line="336" w:lineRule="auto"/>
        <w:jc w:val="center"/>
        <w:rPr>
          <w:rFonts w:hint="eastAsia" w:ascii="仿宋_GB2312" w:hAnsi="仿宋_GB2312" w:eastAsia="仿宋_GB2312" w:cs="仿宋_GB2312"/>
          <w:b/>
          <w:bCs/>
          <w:color w:val="auto"/>
          <w:sz w:val="32"/>
          <w:szCs w:val="32"/>
          <w:highlight w:val="none"/>
          <w:lang w:eastAsia="zh-CN"/>
        </w:rPr>
      </w:pPr>
    </w:p>
    <w:p w14:paraId="3F6DBECB">
      <w:pPr>
        <w:pStyle w:val="23"/>
        <w:rPr>
          <w:rFonts w:hint="eastAsia"/>
          <w:color w:val="auto"/>
          <w:highlight w:val="none"/>
          <w:lang w:eastAsia="zh-CN"/>
        </w:rPr>
      </w:pPr>
    </w:p>
    <w:p w14:paraId="2F85F990">
      <w:pPr>
        <w:numPr>
          <w:ilvl w:val="0"/>
          <w:numId w:val="0"/>
        </w:numPr>
        <w:autoSpaceDE w:val="0"/>
        <w:autoSpaceDN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kern w:val="2"/>
          <w:sz w:val="32"/>
          <w:szCs w:val="32"/>
          <w:lang w:val="en-US" w:eastAsia="zh-CN" w:bidi="ar-SA"/>
        </w:rPr>
        <w:t>十二、</w:t>
      </w:r>
      <w:r>
        <w:rPr>
          <w:rFonts w:hint="eastAsia" w:ascii="仿宋" w:hAnsi="仿宋" w:eastAsia="仿宋" w:cs="仿宋"/>
          <w:b/>
          <w:bCs/>
          <w:color w:val="auto"/>
          <w:sz w:val="32"/>
          <w:szCs w:val="32"/>
          <w:highlight w:val="none"/>
          <w:lang w:eastAsia="zh-CN"/>
        </w:rPr>
        <w:t>质量保障</w:t>
      </w:r>
    </w:p>
    <w:p w14:paraId="76FDE8EF">
      <w:pPr>
        <w:numPr>
          <w:ilvl w:val="0"/>
          <w:numId w:val="0"/>
        </w:numPr>
        <w:autoSpaceDE w:val="0"/>
        <w:autoSpaceDN w:val="0"/>
        <w:spacing w:line="360" w:lineRule="auto"/>
        <w:ind w:firstLine="1680" w:firstLineChars="700"/>
        <w:jc w:val="both"/>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02963B0E">
      <w:pPr>
        <w:spacing w:line="336" w:lineRule="auto"/>
        <w:ind w:firstLine="3600" w:firstLineChars="1500"/>
        <w:rPr>
          <w:rFonts w:hint="eastAsia" w:ascii="仿宋" w:hAnsi="仿宋" w:eastAsia="仿宋" w:cs="仿宋"/>
          <w:color w:val="auto"/>
          <w:sz w:val="24"/>
          <w:highlight w:val="none"/>
          <w:lang w:eastAsia="zh-CN"/>
        </w:rPr>
      </w:pPr>
    </w:p>
    <w:p w14:paraId="0291E3D4">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22E12FE6">
      <w:pPr>
        <w:spacing w:line="360" w:lineRule="auto"/>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5C2050A">
      <w:pPr>
        <w:keepNext w:val="0"/>
        <w:keepLines w:val="0"/>
        <w:pageBreakBefore w:val="0"/>
        <w:widowControl w:val="0"/>
        <w:kinsoku/>
        <w:wordWrap/>
        <w:overflowPunct/>
        <w:topLinePunct w:val="0"/>
        <w:autoSpaceDE/>
        <w:autoSpaceDN/>
        <w:bidi w:val="0"/>
        <w:adjustRightInd w:val="0"/>
        <w:snapToGrid/>
        <w:spacing w:line="336" w:lineRule="auto"/>
        <w:ind w:firstLine="482"/>
        <w:jc w:val="center"/>
        <w:textAlignment w:val="auto"/>
        <w:rPr>
          <w:rFonts w:hint="eastAsia" w:ascii="仿宋_GB2312" w:hAnsi="仿宋_GB2312" w:eastAsia="仿宋_GB2312" w:cs="仿宋_GB2312"/>
          <w:b/>
          <w:bCs/>
          <w:color w:val="auto"/>
          <w:sz w:val="32"/>
          <w:szCs w:val="32"/>
          <w:highlight w:val="none"/>
          <w:lang w:eastAsia="zh-CN"/>
        </w:rPr>
      </w:pPr>
    </w:p>
    <w:p w14:paraId="0A654917">
      <w:pPr>
        <w:pStyle w:val="23"/>
        <w:rPr>
          <w:rFonts w:hint="eastAsia"/>
          <w:color w:val="auto"/>
          <w:highlight w:val="none"/>
          <w:lang w:eastAsia="zh-CN"/>
        </w:rPr>
      </w:pPr>
    </w:p>
    <w:p w14:paraId="6F943F6C">
      <w:pPr>
        <w:spacing w:line="336" w:lineRule="auto"/>
        <w:jc w:val="center"/>
        <w:rPr>
          <w:rFonts w:hint="eastAsia" w:ascii="仿宋" w:hAnsi="仿宋" w:eastAsia="仿宋" w:cs="仿宋"/>
          <w:color w:val="auto"/>
          <w:sz w:val="24"/>
          <w:highlight w:val="none"/>
          <w:lang w:eastAsia="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三</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实施方案</w:t>
      </w:r>
    </w:p>
    <w:p w14:paraId="72A9336F">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23CA745E">
      <w:pPr>
        <w:spacing w:line="336" w:lineRule="auto"/>
        <w:ind w:firstLine="3600" w:firstLineChars="1500"/>
        <w:rPr>
          <w:rFonts w:hint="eastAsia" w:ascii="仿宋" w:hAnsi="仿宋" w:eastAsia="仿宋" w:cs="仿宋"/>
          <w:color w:val="auto"/>
          <w:sz w:val="24"/>
          <w:highlight w:val="none"/>
          <w:lang w:eastAsia="zh-CN"/>
        </w:rPr>
      </w:pPr>
    </w:p>
    <w:p w14:paraId="6344CCFA">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74FD6D56">
      <w:p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cs="仿宋"/>
          <w:color w:val="auto"/>
          <w:sz w:val="24"/>
          <w:highlight w:val="none"/>
        </w:rPr>
        <w:t>日期：  年   月   日</w:t>
      </w:r>
    </w:p>
    <w:p w14:paraId="77B7F97B">
      <w:pPr>
        <w:spacing w:line="336" w:lineRule="auto"/>
        <w:jc w:val="center"/>
        <w:rPr>
          <w:rFonts w:hint="eastAsia" w:ascii="仿宋_GB2312" w:hAnsi="仿宋_GB2312" w:eastAsia="仿宋_GB2312" w:cs="仿宋_GB2312"/>
          <w:b/>
          <w:bCs/>
          <w:color w:val="auto"/>
          <w:sz w:val="32"/>
          <w:szCs w:val="32"/>
          <w:highlight w:val="none"/>
          <w:lang w:eastAsia="zh-CN"/>
        </w:rPr>
      </w:pPr>
    </w:p>
    <w:p w14:paraId="29E05421">
      <w:pPr>
        <w:pStyle w:val="23"/>
        <w:rPr>
          <w:rFonts w:hint="eastAsia"/>
          <w:color w:val="auto"/>
          <w:highlight w:val="none"/>
          <w:lang w:val="en-US" w:eastAsia="zh-CN"/>
        </w:rPr>
      </w:pPr>
    </w:p>
    <w:p w14:paraId="5397F757">
      <w:pPr>
        <w:pStyle w:val="24"/>
        <w:rPr>
          <w:rFonts w:hint="eastAsia"/>
          <w:color w:val="auto"/>
          <w:highlight w:val="none"/>
          <w:lang w:val="en-US" w:eastAsia="zh-CN"/>
        </w:rPr>
      </w:pPr>
    </w:p>
    <w:p w14:paraId="1F220067">
      <w:pPr>
        <w:numPr>
          <w:ilvl w:val="0"/>
          <w:numId w:val="0"/>
        </w:num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十四、</w:t>
      </w:r>
      <w:r>
        <w:rPr>
          <w:rFonts w:hint="eastAsia" w:ascii="仿宋_GB2312" w:hAnsi="仿宋_GB2312" w:eastAsia="仿宋_GB2312" w:cs="仿宋_GB2312"/>
          <w:b/>
          <w:bCs/>
          <w:color w:val="auto"/>
          <w:sz w:val="32"/>
          <w:szCs w:val="32"/>
          <w:highlight w:val="none"/>
          <w:lang w:val="en-US" w:eastAsia="zh-CN"/>
        </w:rPr>
        <w:t>应急预案</w:t>
      </w:r>
    </w:p>
    <w:p w14:paraId="633B5245">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193D0345">
      <w:pPr>
        <w:spacing w:line="336" w:lineRule="auto"/>
        <w:ind w:firstLine="3600" w:firstLineChars="1500"/>
        <w:rPr>
          <w:rFonts w:hint="eastAsia" w:ascii="仿宋" w:hAnsi="仿宋" w:eastAsia="仿宋" w:cs="仿宋"/>
          <w:color w:val="auto"/>
          <w:sz w:val="24"/>
          <w:highlight w:val="none"/>
          <w:lang w:eastAsia="zh-CN"/>
        </w:rPr>
      </w:pPr>
    </w:p>
    <w:p w14:paraId="035E98AA">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11475C89">
      <w:p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cs="仿宋"/>
          <w:color w:val="auto"/>
          <w:sz w:val="24"/>
          <w:highlight w:val="none"/>
        </w:rPr>
        <w:t>日期：  年   月   日</w:t>
      </w:r>
    </w:p>
    <w:p w14:paraId="693F5E6C">
      <w:pPr>
        <w:numPr>
          <w:ilvl w:val="0"/>
          <w:numId w:val="0"/>
        </w:numPr>
        <w:spacing w:line="360" w:lineRule="auto"/>
        <w:jc w:val="center"/>
        <w:rPr>
          <w:rFonts w:hint="eastAsia" w:ascii="仿宋_GB2312" w:hAnsi="仿宋_GB2312" w:eastAsia="仿宋_GB2312" w:cs="仿宋_GB2312"/>
          <w:b/>
          <w:bCs/>
          <w:color w:val="auto"/>
          <w:kern w:val="2"/>
          <w:sz w:val="32"/>
          <w:szCs w:val="32"/>
          <w:lang w:val="en-US" w:eastAsia="zh-CN" w:bidi="ar-SA"/>
        </w:rPr>
      </w:pPr>
    </w:p>
    <w:p w14:paraId="36ABC4BC">
      <w:pPr>
        <w:numPr>
          <w:ilvl w:val="0"/>
          <w:numId w:val="0"/>
        </w:numPr>
        <w:spacing w:line="360" w:lineRule="auto"/>
        <w:jc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十五、售后服务</w:t>
      </w:r>
    </w:p>
    <w:p w14:paraId="42FA0928">
      <w:pPr>
        <w:autoSpaceDE w:val="0"/>
        <w:autoSpaceDN w:val="0"/>
        <w:spacing w:line="360" w:lineRule="auto"/>
        <w:jc w:val="center"/>
        <w:rPr>
          <w:rFonts w:hint="eastAsia" w:ascii="Times New Roman" w:hAnsi="Times New Roman" w:eastAsia="宋体" w:cs="Times New Roman"/>
          <w:color w:val="auto"/>
          <w:highlight w:val="none"/>
        </w:rPr>
      </w:pPr>
      <w:r>
        <w:rPr>
          <w:rFonts w:hint="eastAsia" w:ascii="仿宋_GB2312" w:hAnsi="仿宋_GB2312" w:eastAsia="仿宋_GB2312" w:cs="仿宋_GB2312"/>
          <w:color w:val="auto"/>
          <w:sz w:val="24"/>
          <w:highlight w:val="none"/>
        </w:rPr>
        <w:t>（由投标人根据采购需求及招标文件</w:t>
      </w:r>
      <w:r>
        <w:rPr>
          <w:rFonts w:hint="eastAsia" w:ascii="仿宋_GB2312" w:hAnsi="仿宋_GB2312" w:eastAsia="仿宋_GB2312" w:cs="仿宋_GB2312"/>
          <w:color w:val="auto"/>
          <w:sz w:val="24"/>
          <w:highlight w:val="none"/>
          <w:lang w:val="en-US" w:eastAsia="zh-CN"/>
        </w:rPr>
        <w:t>评分</w:t>
      </w:r>
      <w:r>
        <w:rPr>
          <w:rFonts w:hint="eastAsia" w:ascii="仿宋_GB2312" w:hAnsi="仿宋_GB2312" w:eastAsia="仿宋_GB2312" w:cs="仿宋_GB2312"/>
          <w:color w:val="auto"/>
          <w:sz w:val="24"/>
          <w:highlight w:val="none"/>
        </w:rPr>
        <w:t>要求编制）</w:t>
      </w:r>
    </w:p>
    <w:p w14:paraId="54337A3A">
      <w:pPr>
        <w:spacing w:line="336" w:lineRule="auto"/>
        <w:ind w:firstLine="3600" w:firstLineChars="1500"/>
        <w:rPr>
          <w:rFonts w:hint="eastAsia" w:ascii="仿宋" w:hAnsi="仿宋" w:eastAsia="仿宋" w:cs="仿宋"/>
          <w:color w:val="auto"/>
          <w:sz w:val="24"/>
          <w:highlight w:val="none"/>
          <w:lang w:eastAsia="zh-CN"/>
        </w:rPr>
      </w:pPr>
    </w:p>
    <w:p w14:paraId="1B77343B">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4698459D">
      <w:pPr>
        <w:spacing w:line="36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cs="仿宋"/>
          <w:color w:val="auto"/>
          <w:sz w:val="24"/>
          <w:highlight w:val="none"/>
        </w:rPr>
        <w:t>日期：  年   月   日</w:t>
      </w:r>
    </w:p>
    <w:p w14:paraId="27AFEE18">
      <w:pPr>
        <w:numPr>
          <w:ilvl w:val="0"/>
          <w:numId w:val="0"/>
        </w:numPr>
        <w:spacing w:line="360" w:lineRule="auto"/>
        <w:jc w:val="center"/>
        <w:rPr>
          <w:rFonts w:hint="eastAsia" w:ascii="仿宋_GB2312" w:hAnsi="仿宋_GB2312" w:eastAsia="仿宋_GB2312" w:cs="仿宋_GB2312"/>
          <w:b/>
          <w:bCs/>
          <w:color w:val="auto"/>
          <w:kern w:val="2"/>
          <w:sz w:val="32"/>
          <w:szCs w:val="32"/>
          <w:lang w:val="en-US" w:eastAsia="zh-CN" w:bidi="ar-SA"/>
        </w:rPr>
      </w:pPr>
    </w:p>
    <w:p w14:paraId="21D210FC">
      <w:pPr>
        <w:numPr>
          <w:ilvl w:val="0"/>
          <w:numId w:val="0"/>
        </w:num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kern w:val="2"/>
          <w:sz w:val="32"/>
          <w:szCs w:val="32"/>
          <w:lang w:val="en-US" w:eastAsia="zh-CN" w:bidi="ar-SA"/>
        </w:rPr>
        <w:t>十六、投标人需要说明的</w:t>
      </w:r>
      <w:r>
        <w:rPr>
          <w:rFonts w:hint="eastAsia" w:ascii="仿宋_GB2312" w:hAnsi="仿宋_GB2312" w:eastAsia="仿宋_GB2312" w:cs="仿宋_GB2312"/>
          <w:b/>
          <w:bCs/>
          <w:color w:val="auto"/>
          <w:sz w:val="32"/>
          <w:szCs w:val="32"/>
          <w:highlight w:val="none"/>
        </w:rPr>
        <w:t>其他文件和说明（若有）</w:t>
      </w:r>
    </w:p>
    <w:p w14:paraId="7D5EBD27">
      <w:pPr>
        <w:spacing w:line="360" w:lineRule="auto"/>
        <w:rPr>
          <w:rFonts w:ascii="仿宋_GB2312" w:hAnsi="仿宋_GB2312" w:eastAsia="仿宋_GB2312" w:cs="仿宋_GB2312"/>
          <w:color w:val="auto"/>
          <w:sz w:val="24"/>
          <w:highlight w:val="none"/>
        </w:rPr>
      </w:pPr>
    </w:p>
    <w:p w14:paraId="18801DA0">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1397AD53">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3E848A0">
      <w:pPr>
        <w:pStyle w:val="81"/>
        <w:rPr>
          <w:color w:val="auto"/>
          <w:highlight w:val="none"/>
        </w:rPr>
        <w:sectPr>
          <w:headerReference r:id="rId16" w:type="first"/>
          <w:footerReference r:id="rId18" w:type="first"/>
          <w:headerReference r:id="rId15" w:type="default"/>
          <w:footerReference r:id="rId17" w:type="default"/>
          <w:pgSz w:w="11906" w:h="16838"/>
          <w:pgMar w:top="1814" w:right="1474" w:bottom="1814" w:left="1474" w:header="851" w:footer="992" w:gutter="0"/>
          <w:pgNumType w:fmt="decimal"/>
          <w:cols w:space="720" w:num="1"/>
          <w:titlePg/>
          <w:docGrid w:linePitch="312" w:charSpace="0"/>
        </w:sectPr>
      </w:pPr>
    </w:p>
    <w:p w14:paraId="2EF5328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33EBCE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752876C">
      <w:pPr>
        <w:spacing w:line="360" w:lineRule="auto"/>
        <w:jc w:val="center"/>
        <w:outlineLvl w:val="0"/>
        <w:rPr>
          <w:rFonts w:ascii="仿宋" w:hAnsi="仿宋" w:eastAsia="仿宋" w:cs="仿宋"/>
          <w:b/>
          <w:color w:val="auto"/>
          <w:kern w:val="0"/>
          <w:sz w:val="36"/>
          <w:szCs w:val="36"/>
          <w:highlight w:val="none"/>
        </w:rPr>
      </w:pPr>
    </w:p>
    <w:p w14:paraId="061151D1">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rPr>
        <w:t>开标一览表………………………………………………………………………（页码）</w:t>
      </w:r>
    </w:p>
    <w:p w14:paraId="60EA9FC6">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若有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136EF98">
      <w:pPr>
        <w:snapToGrid w:val="0"/>
        <w:spacing w:line="360" w:lineRule="auto"/>
        <w:ind w:right="480"/>
        <w:jc w:val="center"/>
        <w:rPr>
          <w:rFonts w:ascii="仿宋" w:hAnsi="仿宋" w:eastAsia="仿宋" w:cs="仿宋"/>
          <w:b/>
          <w:color w:val="auto"/>
          <w:kern w:val="0"/>
          <w:sz w:val="32"/>
          <w:szCs w:val="32"/>
          <w:highlight w:val="none"/>
        </w:rPr>
      </w:pPr>
    </w:p>
    <w:p w14:paraId="7D69F457">
      <w:pPr>
        <w:snapToGrid w:val="0"/>
        <w:spacing w:line="360" w:lineRule="auto"/>
        <w:ind w:right="480"/>
        <w:jc w:val="center"/>
        <w:rPr>
          <w:rFonts w:ascii="仿宋" w:hAnsi="仿宋" w:eastAsia="仿宋" w:cs="仿宋"/>
          <w:b/>
          <w:color w:val="auto"/>
          <w:kern w:val="0"/>
          <w:sz w:val="32"/>
          <w:szCs w:val="32"/>
          <w:highlight w:val="none"/>
        </w:rPr>
      </w:pPr>
    </w:p>
    <w:p w14:paraId="26318902">
      <w:pPr>
        <w:snapToGrid w:val="0"/>
        <w:spacing w:line="360" w:lineRule="auto"/>
        <w:ind w:right="480"/>
        <w:jc w:val="center"/>
        <w:rPr>
          <w:rFonts w:ascii="仿宋" w:hAnsi="仿宋" w:eastAsia="仿宋" w:cs="仿宋"/>
          <w:b/>
          <w:color w:val="auto"/>
          <w:kern w:val="0"/>
          <w:sz w:val="32"/>
          <w:szCs w:val="32"/>
          <w:highlight w:val="none"/>
        </w:rPr>
      </w:pPr>
    </w:p>
    <w:p w14:paraId="25C00C32">
      <w:pPr>
        <w:snapToGrid w:val="0"/>
        <w:spacing w:line="360" w:lineRule="auto"/>
        <w:ind w:right="480"/>
        <w:jc w:val="center"/>
        <w:rPr>
          <w:rFonts w:ascii="仿宋" w:hAnsi="仿宋" w:eastAsia="仿宋" w:cs="仿宋"/>
          <w:b/>
          <w:color w:val="auto"/>
          <w:kern w:val="0"/>
          <w:sz w:val="32"/>
          <w:szCs w:val="32"/>
          <w:highlight w:val="none"/>
        </w:rPr>
      </w:pPr>
    </w:p>
    <w:p w14:paraId="0B7A889D">
      <w:pPr>
        <w:snapToGrid w:val="0"/>
        <w:spacing w:line="360" w:lineRule="auto"/>
        <w:ind w:right="480"/>
        <w:jc w:val="center"/>
        <w:rPr>
          <w:rFonts w:ascii="仿宋" w:hAnsi="仿宋" w:eastAsia="仿宋" w:cs="仿宋"/>
          <w:b/>
          <w:color w:val="auto"/>
          <w:kern w:val="0"/>
          <w:sz w:val="32"/>
          <w:szCs w:val="32"/>
          <w:highlight w:val="none"/>
        </w:rPr>
      </w:pPr>
    </w:p>
    <w:p w14:paraId="59C6BCF2">
      <w:pPr>
        <w:snapToGrid w:val="0"/>
        <w:spacing w:line="360" w:lineRule="auto"/>
        <w:ind w:right="480"/>
        <w:jc w:val="center"/>
        <w:rPr>
          <w:rFonts w:ascii="仿宋" w:hAnsi="仿宋" w:eastAsia="仿宋" w:cs="仿宋"/>
          <w:b/>
          <w:color w:val="auto"/>
          <w:kern w:val="0"/>
          <w:sz w:val="32"/>
          <w:szCs w:val="32"/>
          <w:highlight w:val="none"/>
        </w:rPr>
      </w:pPr>
    </w:p>
    <w:p w14:paraId="2514D0B8">
      <w:pPr>
        <w:snapToGrid w:val="0"/>
        <w:spacing w:line="360" w:lineRule="auto"/>
        <w:ind w:right="480"/>
        <w:jc w:val="center"/>
        <w:rPr>
          <w:rFonts w:ascii="仿宋" w:hAnsi="仿宋" w:eastAsia="仿宋" w:cs="仿宋"/>
          <w:b/>
          <w:color w:val="auto"/>
          <w:kern w:val="0"/>
          <w:sz w:val="32"/>
          <w:szCs w:val="32"/>
          <w:highlight w:val="none"/>
        </w:rPr>
      </w:pPr>
    </w:p>
    <w:p w14:paraId="30F157F9">
      <w:pPr>
        <w:snapToGrid w:val="0"/>
        <w:spacing w:line="360" w:lineRule="auto"/>
        <w:ind w:right="480"/>
        <w:jc w:val="center"/>
        <w:rPr>
          <w:rFonts w:ascii="仿宋" w:hAnsi="仿宋" w:eastAsia="仿宋" w:cs="仿宋"/>
          <w:b/>
          <w:color w:val="auto"/>
          <w:kern w:val="0"/>
          <w:sz w:val="32"/>
          <w:szCs w:val="32"/>
          <w:highlight w:val="none"/>
        </w:rPr>
      </w:pPr>
    </w:p>
    <w:p w14:paraId="0F3CCC95">
      <w:pPr>
        <w:snapToGrid w:val="0"/>
        <w:spacing w:line="360" w:lineRule="auto"/>
        <w:ind w:right="480"/>
        <w:jc w:val="center"/>
        <w:rPr>
          <w:rFonts w:ascii="仿宋" w:hAnsi="仿宋" w:eastAsia="仿宋" w:cs="仿宋"/>
          <w:b/>
          <w:color w:val="auto"/>
          <w:kern w:val="0"/>
          <w:sz w:val="32"/>
          <w:szCs w:val="32"/>
          <w:highlight w:val="none"/>
        </w:rPr>
      </w:pPr>
    </w:p>
    <w:p w14:paraId="4B7B7D4F">
      <w:pPr>
        <w:snapToGrid w:val="0"/>
        <w:spacing w:line="360" w:lineRule="auto"/>
        <w:ind w:right="480"/>
        <w:jc w:val="center"/>
        <w:rPr>
          <w:rFonts w:ascii="仿宋" w:hAnsi="仿宋" w:eastAsia="仿宋" w:cs="仿宋"/>
          <w:b/>
          <w:color w:val="auto"/>
          <w:kern w:val="0"/>
          <w:sz w:val="32"/>
          <w:szCs w:val="32"/>
          <w:highlight w:val="none"/>
        </w:rPr>
      </w:pPr>
    </w:p>
    <w:p w14:paraId="6D59917C">
      <w:pPr>
        <w:snapToGrid w:val="0"/>
        <w:spacing w:line="360" w:lineRule="auto"/>
        <w:ind w:right="480"/>
        <w:jc w:val="center"/>
        <w:rPr>
          <w:rFonts w:ascii="仿宋" w:hAnsi="仿宋" w:eastAsia="仿宋" w:cs="仿宋"/>
          <w:b/>
          <w:color w:val="auto"/>
          <w:kern w:val="0"/>
          <w:sz w:val="32"/>
          <w:szCs w:val="32"/>
          <w:highlight w:val="none"/>
        </w:rPr>
      </w:pPr>
    </w:p>
    <w:p w14:paraId="63A3D635">
      <w:pPr>
        <w:snapToGrid w:val="0"/>
        <w:spacing w:line="360" w:lineRule="auto"/>
        <w:ind w:right="480"/>
        <w:jc w:val="center"/>
        <w:rPr>
          <w:rFonts w:ascii="仿宋" w:hAnsi="仿宋" w:eastAsia="仿宋" w:cs="仿宋"/>
          <w:b/>
          <w:color w:val="auto"/>
          <w:kern w:val="0"/>
          <w:sz w:val="32"/>
          <w:szCs w:val="32"/>
          <w:highlight w:val="none"/>
        </w:rPr>
      </w:pPr>
    </w:p>
    <w:p w14:paraId="7E09448A">
      <w:pPr>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br w:type="page"/>
      </w:r>
    </w:p>
    <w:p w14:paraId="30CE008F">
      <w:pPr>
        <w:kinsoku/>
        <w:wordWrap/>
        <w:overflowPunct/>
        <w:topLinePunct w:val="0"/>
        <w:bidi w:val="0"/>
        <w:spacing w:line="440" w:lineRule="exact"/>
        <w:ind w:firstLine="0" w:firstLineChars="0"/>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开标一览表</w:t>
      </w:r>
    </w:p>
    <w:p w14:paraId="5453DC37">
      <w:pPr>
        <w:kinsoku/>
        <w:wordWrap/>
        <w:overflowPunct/>
        <w:topLinePunct w:val="0"/>
        <w:bidi w:val="0"/>
        <w:spacing w:line="440" w:lineRule="exact"/>
        <w:ind w:firstLine="420"/>
        <w:jc w:val="center"/>
        <w:outlineLvl w:val="9"/>
        <w:rPr>
          <w:rFonts w:hint="eastAsia" w:ascii="仿宋" w:hAnsi="仿宋" w:eastAsia="仿宋" w:cs="仿宋"/>
          <w:color w:val="auto"/>
        </w:rPr>
      </w:pPr>
    </w:p>
    <w:p w14:paraId="28468021">
      <w:pPr>
        <w:kinsoku/>
        <w:wordWrap/>
        <w:overflowPunct/>
        <w:topLinePunct w:val="0"/>
        <w:bidi w:val="0"/>
        <w:spacing w:line="440" w:lineRule="exact"/>
        <w:ind w:firstLine="120" w:firstLineChars="50"/>
        <w:outlineLvl w:val="9"/>
        <w:rPr>
          <w:rFonts w:hint="eastAsia" w:ascii="仿宋" w:hAnsi="仿宋" w:eastAsia="仿宋" w:cs="仿宋"/>
          <w:color w:val="auto"/>
        </w:rPr>
      </w:pPr>
      <w:r>
        <w:rPr>
          <w:rFonts w:hint="eastAsia" w:ascii="仿宋" w:hAnsi="仿宋" w:eastAsia="仿宋" w:cs="仿宋"/>
          <w:color w:val="auto"/>
          <w:sz w:val="24"/>
          <w:szCs w:val="24"/>
        </w:rPr>
        <w:t>项目名称：                                    项目编号：</w:t>
      </w:r>
    </w:p>
    <w:tbl>
      <w:tblPr>
        <w:tblStyle w:val="62"/>
        <w:tblpPr w:leftFromText="180" w:rightFromText="180" w:vertAnchor="text" w:horzAnchor="page" w:tblpXSpec="center" w:tblpY="4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540"/>
        <w:gridCol w:w="2250"/>
        <w:gridCol w:w="1535"/>
      </w:tblGrid>
      <w:tr w14:paraId="67BE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91" w:type="dxa"/>
            <w:noWrap w:val="0"/>
            <w:vAlign w:val="center"/>
          </w:tcPr>
          <w:p w14:paraId="28886CA6">
            <w:pPr>
              <w:widowControl/>
              <w:kinsoku/>
              <w:wordWrap/>
              <w:overflowPunct/>
              <w:topLinePunct w:val="0"/>
              <w:bidi w:val="0"/>
              <w:spacing w:line="440" w:lineRule="exact"/>
              <w:ind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rPr>
              <w:t>序号</w:t>
            </w:r>
          </w:p>
        </w:tc>
        <w:tc>
          <w:tcPr>
            <w:tcW w:w="3540" w:type="dxa"/>
            <w:noWrap w:val="0"/>
            <w:vAlign w:val="center"/>
          </w:tcPr>
          <w:p w14:paraId="1E4A4DE7">
            <w:pPr>
              <w:widowControl/>
              <w:kinsoku/>
              <w:wordWrap/>
              <w:overflowPunct/>
              <w:topLinePunct w:val="0"/>
              <w:bidi w:val="0"/>
              <w:spacing w:line="440" w:lineRule="exact"/>
              <w:ind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rPr>
              <w:t>项目名称</w:t>
            </w:r>
          </w:p>
        </w:tc>
        <w:tc>
          <w:tcPr>
            <w:tcW w:w="2250" w:type="dxa"/>
            <w:noWrap w:val="0"/>
            <w:vAlign w:val="center"/>
          </w:tcPr>
          <w:p w14:paraId="26F0F7D6">
            <w:pPr>
              <w:widowControl/>
              <w:kinsoku/>
              <w:wordWrap/>
              <w:overflowPunct/>
              <w:topLinePunct w:val="0"/>
              <w:bidi w:val="0"/>
              <w:spacing w:line="440" w:lineRule="exact"/>
              <w:ind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eastAsia="zh-CN"/>
              </w:rPr>
              <w:t>统一折扣率</w:t>
            </w:r>
            <w:r>
              <w:rPr>
                <w:rFonts w:hint="eastAsia" w:ascii="仿宋" w:hAnsi="仿宋" w:eastAsia="仿宋" w:cs="仿宋"/>
                <w:color w:val="auto"/>
                <w:sz w:val="24"/>
              </w:rPr>
              <w:t>（</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p>
        </w:tc>
        <w:tc>
          <w:tcPr>
            <w:tcW w:w="1535" w:type="dxa"/>
            <w:noWrap w:val="0"/>
            <w:vAlign w:val="center"/>
          </w:tcPr>
          <w:p w14:paraId="1E148507">
            <w:pPr>
              <w:widowControl/>
              <w:kinsoku/>
              <w:wordWrap/>
              <w:overflowPunct/>
              <w:topLinePunct w:val="0"/>
              <w:bidi w:val="0"/>
              <w:spacing w:line="44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5BF2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91" w:type="dxa"/>
            <w:noWrap w:val="0"/>
            <w:vAlign w:val="center"/>
          </w:tcPr>
          <w:p w14:paraId="6AABD8AC">
            <w:pPr>
              <w:widowControl/>
              <w:kinsoku/>
              <w:wordWrap/>
              <w:overflowPunct/>
              <w:topLinePunct w:val="0"/>
              <w:bidi w:val="0"/>
              <w:spacing w:line="440" w:lineRule="exact"/>
              <w:ind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rPr>
              <w:t>1</w:t>
            </w:r>
          </w:p>
        </w:tc>
        <w:tc>
          <w:tcPr>
            <w:tcW w:w="3540" w:type="dxa"/>
            <w:noWrap w:val="0"/>
            <w:vAlign w:val="center"/>
          </w:tcPr>
          <w:p w14:paraId="63A46FD9">
            <w:pPr>
              <w:widowControl/>
              <w:kinsoku/>
              <w:wordWrap/>
              <w:overflowPunct/>
              <w:topLinePunct w:val="0"/>
              <w:bidi w:val="0"/>
              <w:spacing w:line="440" w:lineRule="exact"/>
              <w:ind w:firstLine="0" w:firstLineChars="0"/>
              <w:jc w:val="center"/>
              <w:outlineLvl w:val="9"/>
              <w:rPr>
                <w:rFonts w:hint="eastAsia" w:ascii="仿宋" w:hAnsi="仿宋" w:eastAsia="仿宋" w:cs="仿宋"/>
                <w:color w:val="auto"/>
                <w:sz w:val="24"/>
                <w:lang w:eastAsia="zh-CN"/>
              </w:rPr>
            </w:pPr>
          </w:p>
        </w:tc>
        <w:tc>
          <w:tcPr>
            <w:tcW w:w="2250" w:type="dxa"/>
            <w:noWrap w:val="0"/>
            <w:vAlign w:val="center"/>
          </w:tcPr>
          <w:p w14:paraId="3BBFB3A2">
            <w:pPr>
              <w:widowControl/>
              <w:kinsoku/>
              <w:wordWrap/>
              <w:overflowPunct/>
              <w:topLinePunct w:val="0"/>
              <w:bidi w:val="0"/>
              <w:spacing w:line="440" w:lineRule="exact"/>
              <w:ind w:firstLine="480"/>
              <w:outlineLvl w:val="9"/>
              <w:rPr>
                <w:rFonts w:hint="eastAsia" w:ascii="仿宋" w:hAnsi="仿宋" w:eastAsia="仿宋" w:cs="仿宋"/>
                <w:color w:val="auto"/>
                <w:sz w:val="24"/>
              </w:rPr>
            </w:pPr>
          </w:p>
        </w:tc>
        <w:tc>
          <w:tcPr>
            <w:tcW w:w="1535" w:type="dxa"/>
            <w:noWrap w:val="0"/>
            <w:vAlign w:val="center"/>
          </w:tcPr>
          <w:p w14:paraId="3956A25A">
            <w:pPr>
              <w:widowControl/>
              <w:kinsoku/>
              <w:wordWrap/>
              <w:overflowPunct/>
              <w:topLinePunct w:val="0"/>
              <w:bidi w:val="0"/>
              <w:spacing w:line="440" w:lineRule="exact"/>
              <w:ind w:firstLine="0" w:firstLineChars="0"/>
              <w:jc w:val="center"/>
              <w:outlineLvl w:val="9"/>
              <w:rPr>
                <w:rFonts w:hint="eastAsia" w:ascii="仿宋" w:hAnsi="仿宋" w:eastAsia="仿宋" w:cs="仿宋"/>
                <w:color w:val="auto"/>
                <w:sz w:val="24"/>
              </w:rPr>
            </w:pPr>
          </w:p>
        </w:tc>
      </w:tr>
    </w:tbl>
    <w:p w14:paraId="42E0275A">
      <w:pPr>
        <w:kinsoku/>
        <w:wordWrap/>
        <w:overflowPunct/>
        <w:topLinePunct w:val="0"/>
        <w:bidi w:val="0"/>
        <w:spacing w:line="440" w:lineRule="exact"/>
        <w:ind w:left="0" w:leftChars="0" w:firstLine="480" w:firstLineChars="200"/>
        <w:outlineLvl w:val="9"/>
        <w:rPr>
          <w:rStyle w:val="967"/>
          <w:rFonts w:hint="eastAsia" w:ascii="仿宋" w:hAnsi="仿宋" w:eastAsia="仿宋" w:cs="仿宋"/>
          <w:color w:val="auto"/>
          <w:sz w:val="24"/>
        </w:rPr>
      </w:pPr>
      <w:r>
        <w:rPr>
          <w:rFonts w:hint="eastAsia" w:ascii="仿宋" w:hAnsi="仿宋" w:eastAsia="仿宋" w:cs="仿宋"/>
          <w:color w:val="auto"/>
          <w:sz w:val="24"/>
          <w:szCs w:val="24"/>
        </w:rPr>
        <w:t>注：1.投标报价是履行合同的最终价格，即完成本项目服务内容和要求所产生的所有费用，</w:t>
      </w:r>
      <w:r>
        <w:rPr>
          <w:rStyle w:val="967"/>
          <w:rFonts w:hint="eastAsia" w:ascii="仿宋" w:hAnsi="仿宋" w:eastAsia="仿宋" w:cs="仿宋"/>
          <w:color w:val="auto"/>
          <w:sz w:val="24"/>
        </w:rPr>
        <w:t>包括货款、包装、</w:t>
      </w:r>
      <w:r>
        <w:rPr>
          <w:rFonts w:hint="eastAsia" w:ascii="仿宋" w:hAnsi="仿宋" w:eastAsia="仿宋" w:cs="仿宋"/>
          <w:color w:val="auto"/>
          <w:kern w:val="0"/>
          <w:sz w:val="24"/>
          <w:szCs w:val="24"/>
        </w:rPr>
        <w:t>装卸、验收、技术培训、售后服务</w:t>
      </w:r>
      <w:r>
        <w:rPr>
          <w:rFonts w:hint="eastAsia" w:ascii="仿宋" w:hAnsi="仿宋" w:eastAsia="仿宋" w:cs="仿宋"/>
          <w:color w:val="auto"/>
          <w:kern w:val="0"/>
          <w:sz w:val="24"/>
          <w:szCs w:val="24"/>
          <w:lang w:val="en-US" w:eastAsia="zh-CN"/>
        </w:rPr>
        <w:t>、税金、代理服务费</w:t>
      </w:r>
      <w:r>
        <w:rPr>
          <w:rStyle w:val="967"/>
          <w:rFonts w:hint="eastAsia" w:ascii="仿宋" w:hAnsi="仿宋" w:eastAsia="仿宋" w:cs="仿宋"/>
          <w:color w:val="auto"/>
          <w:sz w:val="24"/>
        </w:rPr>
        <w:t>等一切与本项目相关的费用。</w:t>
      </w:r>
    </w:p>
    <w:p w14:paraId="52BF1CC1">
      <w:pPr>
        <w:kinsoku/>
        <w:wordWrap/>
        <w:overflowPunct/>
        <w:topLinePunct w:val="0"/>
        <w:bidi w:val="0"/>
        <w:snapToGrid w:val="0"/>
        <w:spacing w:line="440" w:lineRule="exact"/>
        <w:ind w:firstLine="480"/>
        <w:jc w:val="left"/>
        <w:outlineLvl w:val="9"/>
        <w:rPr>
          <w:rFonts w:hint="eastAsia" w:ascii="仿宋" w:hAnsi="仿宋" w:eastAsia="仿宋" w:cs="仿宋"/>
          <w:color w:val="auto"/>
          <w:sz w:val="24"/>
          <w:szCs w:val="24"/>
        </w:rPr>
      </w:pPr>
      <w:r>
        <w:rPr>
          <w:rStyle w:val="967"/>
          <w:rFonts w:hint="eastAsia" w:ascii="仿宋" w:hAnsi="仿宋" w:eastAsia="仿宋" w:cs="仿宋"/>
          <w:color w:val="auto"/>
          <w:sz w:val="24"/>
        </w:rPr>
        <w:t>2.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B7263CA">
      <w:pPr>
        <w:kinsoku/>
        <w:wordWrap/>
        <w:overflowPunct/>
        <w:topLinePunct w:val="0"/>
        <w:bidi w:val="0"/>
        <w:spacing w:line="440" w:lineRule="exact"/>
        <w:ind w:firstLine="199" w:firstLineChars="83"/>
        <w:outlineLvl w:val="9"/>
        <w:rPr>
          <w:rFonts w:hint="eastAsia" w:ascii="仿宋" w:hAnsi="仿宋" w:eastAsia="仿宋" w:cs="仿宋"/>
          <w:color w:val="auto"/>
          <w:sz w:val="24"/>
          <w:szCs w:val="24"/>
        </w:rPr>
      </w:pPr>
    </w:p>
    <w:p w14:paraId="7735A342">
      <w:pPr>
        <w:kinsoku/>
        <w:wordWrap/>
        <w:overflowPunct/>
        <w:topLinePunct w:val="0"/>
        <w:bidi w:val="0"/>
        <w:spacing w:line="440" w:lineRule="exact"/>
        <w:ind w:firstLine="480"/>
        <w:outlineLvl w:val="9"/>
        <w:rPr>
          <w:rFonts w:hint="eastAsia" w:ascii="仿宋" w:hAnsi="仿宋" w:eastAsia="仿宋" w:cs="仿宋"/>
          <w:color w:val="auto"/>
          <w:sz w:val="24"/>
          <w:szCs w:val="24"/>
        </w:rPr>
      </w:pPr>
    </w:p>
    <w:p w14:paraId="49591736">
      <w:pPr>
        <w:kinsoku/>
        <w:wordWrap/>
        <w:overflowPunct/>
        <w:topLinePunct w:val="0"/>
        <w:bidi w:val="0"/>
        <w:spacing w:line="440" w:lineRule="exact"/>
        <w:ind w:firstLine="480"/>
        <w:outlineLvl w:val="9"/>
        <w:rPr>
          <w:rFonts w:hint="eastAsia" w:ascii="仿宋" w:hAnsi="仿宋" w:eastAsia="仿宋" w:cs="仿宋"/>
          <w:color w:val="auto"/>
          <w:sz w:val="24"/>
          <w:szCs w:val="24"/>
        </w:rPr>
      </w:pPr>
    </w:p>
    <w:p w14:paraId="3FB7DDE4">
      <w:pPr>
        <w:kinsoku/>
        <w:wordWrap/>
        <w:overflowPunct/>
        <w:topLinePunct w:val="0"/>
        <w:bidi w:val="0"/>
        <w:spacing w:line="440" w:lineRule="exact"/>
        <w:ind w:right="-21" w:rightChars="-10" w:firstLine="4800" w:firstLineChars="20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0BF226C7">
      <w:pPr>
        <w:kinsoku/>
        <w:wordWrap/>
        <w:overflowPunct/>
        <w:topLinePunct w:val="0"/>
        <w:bidi w:val="0"/>
        <w:spacing w:line="440" w:lineRule="exact"/>
        <w:ind w:right="-21" w:rightChars="-10" w:firstLine="48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法定代表人（签字或盖章）：</w:t>
      </w:r>
    </w:p>
    <w:p w14:paraId="3134781E">
      <w:pPr>
        <w:keepNext/>
        <w:keepLines/>
        <w:kinsoku/>
        <w:wordWrap/>
        <w:overflowPunct/>
        <w:topLinePunct w:val="0"/>
        <w:bidi w:val="0"/>
        <w:spacing w:line="440" w:lineRule="exact"/>
        <w:ind w:firstLine="48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55" w:name="_Toc13513"/>
      <w:r>
        <w:rPr>
          <w:rFonts w:hint="eastAsia" w:ascii="仿宋" w:hAnsi="仿宋" w:eastAsia="仿宋" w:cs="仿宋"/>
          <w:color w:val="auto"/>
          <w:sz w:val="24"/>
          <w:szCs w:val="24"/>
        </w:rPr>
        <w:t>日    期：</w:t>
      </w:r>
      <w:bookmarkEnd w:id="55"/>
    </w:p>
    <w:p w14:paraId="596A99E7">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sz w:val="24"/>
          <w:szCs w:val="24"/>
        </w:rPr>
        <w:br w:type="page"/>
      </w:r>
    </w:p>
    <w:p w14:paraId="08921F72">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kern w:val="2"/>
          <w:sz w:val="28"/>
          <w:szCs w:val="28"/>
          <w:lang w:eastAsia="zh-CN"/>
        </w:rPr>
      </w:pPr>
      <w:bookmarkStart w:id="56" w:name="_Toc465665161"/>
      <w:r>
        <w:rPr>
          <w:rFonts w:hint="eastAsia" w:ascii="仿宋" w:hAnsi="仿宋" w:eastAsia="仿宋" w:cs="仿宋"/>
          <w:color w:val="auto"/>
          <w:kern w:val="2"/>
          <w:sz w:val="28"/>
          <w:szCs w:val="28"/>
          <w:lang w:eastAsia="zh-CN"/>
        </w:rPr>
        <w:t>二、投标人针对报价需要说明的其他文件和说明（</w:t>
      </w:r>
      <w:r>
        <w:rPr>
          <w:rFonts w:hint="eastAsia" w:ascii="仿宋" w:hAnsi="仿宋" w:eastAsia="仿宋" w:cs="仿宋"/>
          <w:color w:val="auto"/>
          <w:kern w:val="2"/>
          <w:sz w:val="28"/>
          <w:szCs w:val="28"/>
          <w:lang w:val="en-US" w:eastAsia="zh-CN"/>
        </w:rPr>
        <w:t>若有</w:t>
      </w:r>
      <w:r>
        <w:rPr>
          <w:rFonts w:hint="eastAsia" w:ascii="仿宋" w:hAnsi="仿宋" w:eastAsia="仿宋" w:cs="仿宋"/>
          <w:color w:val="auto"/>
          <w:kern w:val="2"/>
          <w:sz w:val="28"/>
          <w:szCs w:val="28"/>
          <w:lang w:eastAsia="zh-CN"/>
        </w:rPr>
        <w:t>）</w:t>
      </w:r>
    </w:p>
    <w:p w14:paraId="75F3ED31">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1B4364E2">
      <w:pPr>
        <w:pStyle w:val="3"/>
        <w:keepNext w:val="0"/>
        <w:keepLines w:val="0"/>
        <w:pageBreakBefore/>
        <w:widowControl/>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附件</w:t>
      </w:r>
      <w:bookmarkEnd w:id="56"/>
    </w:p>
    <w:p w14:paraId="782BC221">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1：质疑函范本及制作说明</w:t>
      </w:r>
    </w:p>
    <w:p w14:paraId="423FB83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0C66551">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6AABD8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FA847B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161F20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CBAAC5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C17F57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53127F4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E7751E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F0C53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010A05B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0334BA4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537D6F2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756D28C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E1CBAD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3443884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F1D12CA">
      <w:pPr>
        <w:snapToGrid w:val="0"/>
        <w:spacing w:line="360" w:lineRule="auto"/>
        <w:rPr>
          <w:rFonts w:ascii="仿宋" w:hAnsi="仿宋" w:eastAsia="仿宋" w:cs="仿宋"/>
          <w:color w:val="auto"/>
          <w:sz w:val="24"/>
          <w:highlight w:val="none"/>
        </w:rPr>
      </w:pPr>
    </w:p>
    <w:p w14:paraId="245B764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DE2020F">
      <w:pPr>
        <w:snapToGrid w:val="0"/>
        <w:spacing w:line="360" w:lineRule="auto"/>
        <w:rPr>
          <w:rFonts w:ascii="仿宋" w:hAnsi="仿宋" w:eastAsia="仿宋" w:cs="仿宋"/>
          <w:color w:val="auto"/>
          <w:sz w:val="24"/>
          <w:highlight w:val="none"/>
          <w:u w:val="dotted"/>
        </w:rPr>
      </w:pPr>
    </w:p>
    <w:p w14:paraId="19264D9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6C5802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8A9ABB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E5D8B8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5EA8E8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34CCFD0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150A4044">
      <w:pPr>
        <w:spacing w:line="360" w:lineRule="auto"/>
        <w:jc w:val="center"/>
        <w:rPr>
          <w:rFonts w:ascii="仿宋" w:hAnsi="仿宋" w:eastAsia="仿宋" w:cs="仿宋"/>
          <w:b/>
          <w:bCs/>
          <w:color w:val="auto"/>
          <w:sz w:val="24"/>
          <w:highlight w:val="none"/>
        </w:rPr>
      </w:pPr>
    </w:p>
    <w:p w14:paraId="75E394AA">
      <w:pPr>
        <w:spacing w:line="360" w:lineRule="auto"/>
        <w:rPr>
          <w:rFonts w:ascii="仿宋" w:hAnsi="仿宋" w:eastAsia="仿宋" w:cs="仿宋"/>
          <w:b/>
          <w:color w:val="auto"/>
          <w:sz w:val="24"/>
          <w:highlight w:val="none"/>
        </w:rPr>
      </w:pPr>
    </w:p>
    <w:p w14:paraId="4E489D87">
      <w:pPr>
        <w:spacing w:line="360" w:lineRule="auto"/>
        <w:rPr>
          <w:rFonts w:ascii="仿宋" w:hAnsi="仿宋" w:eastAsia="仿宋" w:cs="仿宋"/>
          <w:b/>
          <w:color w:val="auto"/>
          <w:sz w:val="24"/>
          <w:highlight w:val="none"/>
        </w:rPr>
      </w:pPr>
    </w:p>
    <w:p w14:paraId="4DD6EFD4">
      <w:pPr>
        <w:spacing w:line="360" w:lineRule="auto"/>
        <w:rPr>
          <w:rFonts w:ascii="仿宋" w:hAnsi="仿宋" w:eastAsia="仿宋" w:cs="仿宋"/>
          <w:b/>
          <w:color w:val="auto"/>
          <w:sz w:val="24"/>
          <w:highlight w:val="none"/>
        </w:rPr>
      </w:pPr>
    </w:p>
    <w:p w14:paraId="3D55EBE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462EA93">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1.供应商提出质疑时，应提交质疑函和必要的证明材料。</w:t>
      </w:r>
    </w:p>
    <w:p w14:paraId="015B4CD9">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CDBFBC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3.质疑供应商若对项目的某一分包进行质疑，质疑函中应列明具体分包号。</w:t>
      </w:r>
    </w:p>
    <w:p w14:paraId="42C90A52">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4.质疑函的质疑事项应具体、明确，并有必要的事实依据和法律依据。</w:t>
      </w:r>
    </w:p>
    <w:p w14:paraId="757F0AC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5.质疑函的质疑请求应与质疑事项相关。</w:t>
      </w:r>
    </w:p>
    <w:p w14:paraId="73113BFF">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82EDAD">
      <w:pPr>
        <w:widowControl/>
        <w:spacing w:line="360" w:lineRule="auto"/>
        <w:ind w:firstLine="600" w:firstLineChars="200"/>
        <w:jc w:val="left"/>
        <w:rPr>
          <w:rFonts w:ascii="仿宋" w:hAnsi="仿宋" w:eastAsia="仿宋" w:cs="仿宋"/>
          <w:color w:val="auto"/>
          <w:sz w:val="30"/>
          <w:szCs w:val="30"/>
          <w:highlight w:val="none"/>
        </w:rPr>
      </w:pPr>
    </w:p>
    <w:p w14:paraId="6B31B2BA">
      <w:pPr>
        <w:spacing w:line="360" w:lineRule="auto"/>
        <w:jc w:val="center"/>
        <w:rPr>
          <w:rFonts w:ascii="仿宋" w:hAnsi="仿宋" w:eastAsia="仿宋" w:cs="仿宋"/>
          <w:b/>
          <w:color w:val="auto"/>
          <w:spacing w:val="6"/>
          <w:sz w:val="32"/>
          <w:szCs w:val="32"/>
          <w:highlight w:val="none"/>
        </w:rPr>
      </w:pPr>
    </w:p>
    <w:p w14:paraId="3073F86F">
      <w:pPr>
        <w:pStyle w:val="80"/>
        <w:rPr>
          <w:color w:val="auto"/>
          <w:highlight w:val="none"/>
        </w:rPr>
      </w:pPr>
    </w:p>
    <w:p w14:paraId="3923EDFF">
      <w:pPr>
        <w:pStyle w:val="81"/>
        <w:rPr>
          <w:rFonts w:eastAsiaTheme="minorEastAsia"/>
          <w:color w:val="auto"/>
          <w:highlight w:val="none"/>
        </w:rPr>
      </w:pPr>
    </w:p>
    <w:p w14:paraId="35C63E56">
      <w:pPr>
        <w:rPr>
          <w:color w:val="auto"/>
          <w:highlight w:val="none"/>
        </w:rPr>
      </w:pPr>
    </w:p>
    <w:p w14:paraId="6E66A676">
      <w:pPr>
        <w:pStyle w:val="80"/>
        <w:rPr>
          <w:color w:val="auto"/>
          <w:highlight w:val="none"/>
        </w:rPr>
      </w:pPr>
    </w:p>
    <w:p w14:paraId="51C2B44D">
      <w:pPr>
        <w:pStyle w:val="81"/>
        <w:rPr>
          <w:rFonts w:eastAsia="仿宋"/>
          <w:color w:val="auto"/>
          <w:highlight w:val="none"/>
        </w:rPr>
      </w:pPr>
    </w:p>
    <w:p w14:paraId="300856A0">
      <w:pPr>
        <w:rPr>
          <w:color w:val="auto"/>
          <w:highlight w:val="none"/>
        </w:rPr>
      </w:pPr>
    </w:p>
    <w:p w14:paraId="40B590B6">
      <w:pPr>
        <w:pStyle w:val="80"/>
        <w:rPr>
          <w:color w:val="auto"/>
          <w:highlight w:val="none"/>
        </w:rPr>
      </w:pPr>
    </w:p>
    <w:p w14:paraId="1540AEA9">
      <w:pPr>
        <w:pStyle w:val="81"/>
        <w:rPr>
          <w:rFonts w:eastAsia="仿宋"/>
          <w:color w:val="auto"/>
          <w:highlight w:val="none"/>
        </w:rPr>
      </w:pPr>
    </w:p>
    <w:p w14:paraId="2FD77BFE">
      <w:pPr>
        <w:rPr>
          <w:color w:val="auto"/>
          <w:highlight w:val="none"/>
        </w:rPr>
      </w:pPr>
    </w:p>
    <w:p w14:paraId="1E5240FB">
      <w:pPr>
        <w:pStyle w:val="80"/>
        <w:rPr>
          <w:color w:val="auto"/>
          <w:highlight w:val="none"/>
        </w:rPr>
      </w:pPr>
    </w:p>
    <w:p w14:paraId="4B484CED">
      <w:pPr>
        <w:pStyle w:val="81"/>
        <w:rPr>
          <w:rFonts w:eastAsia="仿宋"/>
          <w:color w:val="auto"/>
          <w:highlight w:val="none"/>
        </w:rPr>
      </w:pPr>
    </w:p>
    <w:p w14:paraId="447851D2">
      <w:pPr>
        <w:rPr>
          <w:color w:val="auto"/>
          <w:highlight w:val="none"/>
        </w:rPr>
      </w:pPr>
    </w:p>
    <w:p w14:paraId="71DB0924">
      <w:pPr>
        <w:pStyle w:val="80"/>
        <w:rPr>
          <w:color w:val="auto"/>
          <w:highlight w:val="none"/>
        </w:rPr>
      </w:pPr>
    </w:p>
    <w:p w14:paraId="7AE30970">
      <w:pPr>
        <w:pStyle w:val="81"/>
        <w:rPr>
          <w:rFonts w:eastAsia="仿宋"/>
          <w:color w:val="auto"/>
          <w:highlight w:val="none"/>
        </w:rPr>
      </w:pPr>
    </w:p>
    <w:p w14:paraId="2AF71E55">
      <w:pPr>
        <w:rPr>
          <w:color w:val="auto"/>
          <w:highlight w:val="none"/>
        </w:rPr>
      </w:pPr>
    </w:p>
    <w:p w14:paraId="490CA29A">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2：投诉书范本及制作说明</w:t>
      </w:r>
    </w:p>
    <w:p w14:paraId="3530E0DA">
      <w:pPr>
        <w:spacing w:line="360" w:lineRule="auto"/>
        <w:jc w:val="center"/>
        <w:rPr>
          <w:rFonts w:ascii="仿宋" w:hAnsi="仿宋" w:eastAsia="仿宋" w:cs="仿宋"/>
          <w:b/>
          <w:color w:val="auto"/>
          <w:sz w:val="24"/>
          <w:highlight w:val="none"/>
        </w:rPr>
      </w:pPr>
    </w:p>
    <w:p w14:paraId="4155663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F9088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F843F9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F344D7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E3D9CE5">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/主要负责人：</w:t>
      </w:r>
    </w:p>
    <w:p w14:paraId="31B5D08A">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157FC0B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4C4D875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21D7E7A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1：</w:t>
      </w:r>
    </w:p>
    <w:p w14:paraId="411DB1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178A0FE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F03D1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2</w:t>
      </w:r>
    </w:p>
    <w:p w14:paraId="249FF3A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FCC0AB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7488A6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43FA3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C9C960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D09914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678D72E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16C8C58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FB0B58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27DA75C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0EEAE48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0BC4BE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0E1D7C4">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ascii="仿宋" w:hAnsi="仿宋" w:eastAsia="仿宋" w:cs="仿宋"/>
          <w:color w:val="auto"/>
          <w:sz w:val="24"/>
          <w:highlight w:val="none"/>
        </w:rPr>
        <w:t>,向提出质疑，质疑事项为：</w:t>
      </w:r>
    </w:p>
    <w:p w14:paraId="46948D1B">
      <w:pPr>
        <w:spacing w:line="360" w:lineRule="auto"/>
        <w:rPr>
          <w:rFonts w:ascii="仿宋" w:hAnsi="仿宋" w:eastAsia="仿宋" w:cs="仿宋"/>
          <w:color w:val="auto"/>
          <w:sz w:val="24"/>
          <w:highlight w:val="none"/>
          <w:u w:val="dotted"/>
        </w:rPr>
      </w:pPr>
    </w:p>
    <w:p w14:paraId="2DB26DB0">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w:t>
      </w:r>
      <w:r>
        <w:rPr>
          <w:rFonts w:ascii="仿宋" w:hAnsi="仿宋" w:eastAsia="仿宋" w:cs="仿宋"/>
          <w:color w:val="auto"/>
          <w:sz w:val="24"/>
          <w:highlight w:val="none"/>
          <w:u w:val="dotted"/>
        </w:rPr>
        <w:t>/代理机构</w:t>
      </w:r>
      <w:r>
        <w:rPr>
          <w:rFonts w:hint="eastAsia" w:ascii="仿宋" w:hAnsi="仿宋" w:eastAsia="仿宋" w:cs="仿宋"/>
          <w:color w:val="auto"/>
          <w:sz w:val="24"/>
          <w:highlight w:val="none"/>
        </w:rPr>
        <w:t>于年月日</w:t>
      </w:r>
      <w:r>
        <w:rPr>
          <w:rFonts w:ascii="仿宋" w:hAnsi="仿宋" w:eastAsia="仿宋" w:cs="仿宋"/>
          <w:color w:val="auto"/>
          <w:sz w:val="24"/>
          <w:highlight w:val="none"/>
        </w:rPr>
        <w:t>,就质疑事项作出了答复/没有在法定期限内作出答复。</w:t>
      </w:r>
    </w:p>
    <w:p w14:paraId="7E0159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C4DCD3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 xml:space="preserve"> 1：</w:t>
      </w:r>
    </w:p>
    <w:p w14:paraId="28B1F8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225376D6">
      <w:pPr>
        <w:spacing w:line="360" w:lineRule="auto"/>
        <w:rPr>
          <w:rFonts w:ascii="仿宋" w:hAnsi="仿宋" w:eastAsia="仿宋" w:cs="仿宋"/>
          <w:color w:val="auto"/>
          <w:sz w:val="24"/>
          <w:highlight w:val="none"/>
          <w:u w:val="dotted"/>
        </w:rPr>
      </w:pPr>
    </w:p>
    <w:p w14:paraId="7C6835F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2372453D">
      <w:pPr>
        <w:spacing w:line="360" w:lineRule="auto"/>
        <w:rPr>
          <w:rFonts w:ascii="仿宋" w:hAnsi="仿宋" w:eastAsia="仿宋" w:cs="仿宋"/>
          <w:color w:val="auto"/>
          <w:sz w:val="24"/>
          <w:highlight w:val="none"/>
          <w:u w:val="dotted"/>
        </w:rPr>
      </w:pPr>
    </w:p>
    <w:p w14:paraId="567941F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2</w:t>
      </w:r>
    </w:p>
    <w:p w14:paraId="21CE622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6B939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7E1E6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271D2D98">
      <w:pPr>
        <w:spacing w:line="360" w:lineRule="auto"/>
        <w:rPr>
          <w:rFonts w:ascii="仿宋" w:hAnsi="仿宋" w:eastAsia="仿宋" w:cs="仿宋"/>
          <w:color w:val="auto"/>
          <w:sz w:val="24"/>
          <w:highlight w:val="none"/>
          <w:u w:val="single"/>
        </w:rPr>
      </w:pPr>
    </w:p>
    <w:p w14:paraId="2A85AE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7E98BB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909C8BA">
      <w:pPr>
        <w:spacing w:line="360" w:lineRule="auto"/>
        <w:rPr>
          <w:rFonts w:ascii="仿宋" w:hAnsi="仿宋" w:eastAsia="仿宋" w:cs="仿宋"/>
          <w:b/>
          <w:color w:val="auto"/>
          <w:sz w:val="24"/>
          <w:highlight w:val="none"/>
        </w:rPr>
      </w:pPr>
    </w:p>
    <w:p w14:paraId="21AFD0FE">
      <w:pPr>
        <w:spacing w:line="360" w:lineRule="auto"/>
        <w:rPr>
          <w:rFonts w:ascii="仿宋" w:hAnsi="仿宋" w:eastAsia="仿宋" w:cs="仿宋"/>
          <w:b/>
          <w:color w:val="auto"/>
          <w:sz w:val="24"/>
          <w:highlight w:val="none"/>
        </w:rPr>
      </w:pPr>
    </w:p>
    <w:p w14:paraId="2DEF52B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E6AC016">
      <w:pPr>
        <w:widowControl/>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FB35F70">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FC671E2">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3.投诉人若对项目的某一分包进行投诉，投诉书应列明具体分包号。</w:t>
      </w:r>
    </w:p>
    <w:p w14:paraId="4D7C286C">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4.投诉书应简要列明质疑事项，质疑函、质疑答复等作为附件材料提供。</w:t>
      </w:r>
    </w:p>
    <w:p w14:paraId="72AE086D">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5.投诉书的投诉事项应具体、明确，并有必要的事实依据和法律依据。</w:t>
      </w:r>
    </w:p>
    <w:p w14:paraId="61B59D59">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6.投诉书的投诉请求应与投诉事项相关。</w:t>
      </w:r>
    </w:p>
    <w:p w14:paraId="0BDACCA6">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10F9FDA">
      <w:pPr>
        <w:spacing w:line="360" w:lineRule="auto"/>
        <w:rPr>
          <w:rFonts w:ascii="仿宋" w:hAnsi="仿宋" w:eastAsia="仿宋" w:cs="仿宋"/>
          <w:b/>
          <w:color w:val="auto"/>
          <w:sz w:val="24"/>
          <w:highlight w:val="none"/>
        </w:rPr>
      </w:pPr>
    </w:p>
    <w:p w14:paraId="7308CDDC">
      <w:pPr>
        <w:autoSpaceDE w:val="0"/>
        <w:autoSpaceDN w:val="0"/>
        <w:jc w:val="center"/>
        <w:rPr>
          <w:rFonts w:ascii="仿宋" w:hAnsi="仿宋" w:eastAsia="仿宋" w:cs="仿宋"/>
          <w:b/>
          <w:color w:val="auto"/>
          <w:spacing w:val="6"/>
          <w:sz w:val="32"/>
          <w:szCs w:val="32"/>
          <w:highlight w:val="none"/>
        </w:rPr>
      </w:pPr>
    </w:p>
    <w:p w14:paraId="5EB0171D">
      <w:pPr>
        <w:pStyle w:val="80"/>
        <w:rPr>
          <w:color w:val="auto"/>
          <w:highlight w:val="none"/>
        </w:rPr>
      </w:pPr>
    </w:p>
    <w:p w14:paraId="02157D24">
      <w:pPr>
        <w:pStyle w:val="81"/>
        <w:rPr>
          <w:rFonts w:eastAsia="仿宋"/>
          <w:color w:val="auto"/>
          <w:highlight w:val="none"/>
        </w:rPr>
      </w:pPr>
    </w:p>
    <w:p w14:paraId="51A97274">
      <w:pPr>
        <w:rPr>
          <w:color w:val="auto"/>
          <w:highlight w:val="none"/>
        </w:rPr>
      </w:pPr>
    </w:p>
    <w:p w14:paraId="7A7F2CE4">
      <w:pPr>
        <w:pStyle w:val="80"/>
        <w:rPr>
          <w:color w:val="auto"/>
          <w:highlight w:val="none"/>
        </w:rPr>
      </w:pPr>
    </w:p>
    <w:p w14:paraId="75E37820">
      <w:pPr>
        <w:pStyle w:val="81"/>
        <w:rPr>
          <w:rFonts w:eastAsia="仿宋"/>
          <w:color w:val="auto"/>
          <w:highlight w:val="none"/>
        </w:rPr>
      </w:pPr>
    </w:p>
    <w:p w14:paraId="3D1FF9C9">
      <w:pPr>
        <w:rPr>
          <w:color w:val="auto"/>
          <w:highlight w:val="none"/>
        </w:rPr>
      </w:pPr>
    </w:p>
    <w:p w14:paraId="4CCE66E0">
      <w:pPr>
        <w:pStyle w:val="80"/>
        <w:rPr>
          <w:color w:val="auto"/>
          <w:highlight w:val="none"/>
        </w:rPr>
      </w:pPr>
    </w:p>
    <w:p w14:paraId="7DB28EA3">
      <w:pPr>
        <w:pStyle w:val="81"/>
        <w:rPr>
          <w:rFonts w:eastAsia="仿宋"/>
          <w:color w:val="auto"/>
          <w:highlight w:val="none"/>
        </w:rPr>
      </w:pPr>
    </w:p>
    <w:p w14:paraId="72B78A98">
      <w:pPr>
        <w:rPr>
          <w:color w:val="auto"/>
          <w:highlight w:val="none"/>
        </w:rPr>
      </w:pPr>
    </w:p>
    <w:p w14:paraId="485B631B">
      <w:pPr>
        <w:pStyle w:val="80"/>
        <w:rPr>
          <w:color w:val="auto"/>
          <w:highlight w:val="none"/>
        </w:rPr>
      </w:pPr>
    </w:p>
    <w:p w14:paraId="6F11CFBB">
      <w:pPr>
        <w:pStyle w:val="81"/>
        <w:rPr>
          <w:rFonts w:eastAsia="仿宋"/>
          <w:color w:val="auto"/>
          <w:highlight w:val="none"/>
        </w:rPr>
      </w:pPr>
    </w:p>
    <w:p w14:paraId="37B77514">
      <w:pPr>
        <w:rPr>
          <w:color w:val="auto"/>
          <w:highlight w:val="none"/>
        </w:rPr>
      </w:pPr>
    </w:p>
    <w:p w14:paraId="7E0D03F7">
      <w:pPr>
        <w:pStyle w:val="80"/>
        <w:rPr>
          <w:color w:val="auto"/>
          <w:highlight w:val="none"/>
        </w:rPr>
      </w:pPr>
    </w:p>
    <w:p w14:paraId="4DBA1D49">
      <w:pPr>
        <w:pStyle w:val="81"/>
        <w:rPr>
          <w:rFonts w:eastAsia="仿宋"/>
          <w:color w:val="auto"/>
          <w:highlight w:val="none"/>
        </w:rPr>
      </w:pPr>
    </w:p>
    <w:p w14:paraId="5217E048">
      <w:pPr>
        <w:rPr>
          <w:color w:val="auto"/>
          <w:highlight w:val="none"/>
        </w:rPr>
      </w:pPr>
    </w:p>
    <w:p w14:paraId="62881809">
      <w:pPr>
        <w:pStyle w:val="80"/>
        <w:rPr>
          <w:color w:val="auto"/>
          <w:highlight w:val="none"/>
        </w:rPr>
      </w:pPr>
    </w:p>
    <w:p w14:paraId="169D4D6E">
      <w:pPr>
        <w:pStyle w:val="81"/>
        <w:rPr>
          <w:rFonts w:eastAsia="仿宋"/>
          <w:color w:val="auto"/>
          <w:highlight w:val="none"/>
        </w:rPr>
      </w:pPr>
    </w:p>
    <w:p w14:paraId="3238C59C">
      <w:pPr>
        <w:rPr>
          <w:color w:val="auto"/>
          <w:highlight w:val="none"/>
        </w:rPr>
      </w:pPr>
    </w:p>
    <w:p w14:paraId="7009F0FE">
      <w:pPr>
        <w:pStyle w:val="80"/>
        <w:rPr>
          <w:color w:val="auto"/>
          <w:highlight w:val="none"/>
        </w:rPr>
      </w:pPr>
    </w:p>
    <w:p w14:paraId="3F9A3BE9">
      <w:pPr>
        <w:pStyle w:val="81"/>
        <w:rPr>
          <w:rFonts w:eastAsia="仿宋"/>
          <w:color w:val="auto"/>
          <w:highlight w:val="none"/>
        </w:rPr>
      </w:pPr>
    </w:p>
    <w:p w14:paraId="3C0F33AF">
      <w:pPr>
        <w:rPr>
          <w:color w:val="auto"/>
          <w:highlight w:val="none"/>
        </w:rPr>
      </w:pPr>
    </w:p>
    <w:p w14:paraId="3C334F84">
      <w:pPr>
        <w:pStyle w:val="80"/>
        <w:rPr>
          <w:color w:val="auto"/>
          <w:highlight w:val="none"/>
        </w:rPr>
      </w:pPr>
    </w:p>
    <w:p w14:paraId="204F9AD4">
      <w:pPr>
        <w:pStyle w:val="81"/>
        <w:rPr>
          <w:rFonts w:eastAsia="仿宋"/>
          <w:color w:val="auto"/>
          <w:highlight w:val="none"/>
        </w:rPr>
      </w:pPr>
    </w:p>
    <w:p w14:paraId="6D4147CA">
      <w:pPr>
        <w:rPr>
          <w:color w:val="auto"/>
          <w:highlight w:val="none"/>
        </w:rPr>
      </w:pPr>
    </w:p>
    <w:p w14:paraId="1037B51A">
      <w:pPr>
        <w:pStyle w:val="80"/>
        <w:rPr>
          <w:color w:val="auto"/>
          <w:highlight w:val="none"/>
        </w:rPr>
      </w:pPr>
    </w:p>
    <w:p w14:paraId="3A0C7485">
      <w:pPr>
        <w:pStyle w:val="81"/>
        <w:rPr>
          <w:rFonts w:eastAsia="仿宋"/>
          <w:color w:val="auto"/>
          <w:highlight w:val="none"/>
        </w:rPr>
      </w:pPr>
    </w:p>
    <w:p w14:paraId="54DDD36A">
      <w:pPr>
        <w:rPr>
          <w:color w:val="auto"/>
          <w:highlight w:val="none"/>
        </w:rPr>
      </w:pPr>
    </w:p>
    <w:p w14:paraId="6DC16472">
      <w:pPr>
        <w:pStyle w:val="80"/>
        <w:rPr>
          <w:color w:val="auto"/>
          <w:highlight w:val="none"/>
        </w:rPr>
      </w:pPr>
    </w:p>
    <w:p w14:paraId="7CBC11E1">
      <w:pPr>
        <w:pStyle w:val="81"/>
        <w:rPr>
          <w:rFonts w:eastAsia="仿宋"/>
          <w:color w:val="auto"/>
          <w:highlight w:val="none"/>
        </w:rPr>
      </w:pPr>
    </w:p>
    <w:p w14:paraId="57D5A0F1">
      <w:pPr>
        <w:rPr>
          <w:color w:val="auto"/>
          <w:highlight w:val="none"/>
        </w:rPr>
      </w:pPr>
    </w:p>
    <w:p w14:paraId="53773EB3">
      <w:pPr>
        <w:pStyle w:val="80"/>
        <w:rPr>
          <w:color w:val="auto"/>
          <w:highlight w:val="none"/>
        </w:rPr>
      </w:pPr>
    </w:p>
    <w:p w14:paraId="26A1099C">
      <w:pPr>
        <w:pStyle w:val="81"/>
        <w:rPr>
          <w:rFonts w:eastAsia="仿宋"/>
          <w:color w:val="auto"/>
          <w:highlight w:val="none"/>
        </w:rPr>
      </w:pPr>
    </w:p>
    <w:p w14:paraId="5D08ACA2">
      <w:pPr>
        <w:rPr>
          <w:color w:val="auto"/>
          <w:highlight w:val="none"/>
        </w:rPr>
      </w:pPr>
    </w:p>
    <w:p w14:paraId="1B6BF462">
      <w:pPr>
        <w:pStyle w:val="80"/>
        <w:rPr>
          <w:color w:val="auto"/>
          <w:highlight w:val="none"/>
        </w:rPr>
      </w:pPr>
    </w:p>
    <w:p w14:paraId="55E48272">
      <w:pPr>
        <w:pStyle w:val="81"/>
        <w:rPr>
          <w:rFonts w:eastAsia="仿宋"/>
          <w:color w:val="auto"/>
          <w:highlight w:val="none"/>
        </w:rPr>
      </w:pPr>
    </w:p>
    <w:p w14:paraId="45A82812">
      <w:pPr>
        <w:rPr>
          <w:color w:val="auto"/>
          <w:highlight w:val="none"/>
        </w:rPr>
      </w:pPr>
    </w:p>
    <w:p w14:paraId="69473ECB">
      <w:pPr>
        <w:pStyle w:val="80"/>
        <w:rPr>
          <w:color w:val="auto"/>
          <w:highlight w:val="none"/>
        </w:rPr>
      </w:pPr>
    </w:p>
    <w:p w14:paraId="170F8221">
      <w:pPr>
        <w:pStyle w:val="81"/>
        <w:rPr>
          <w:rFonts w:eastAsia="仿宋"/>
          <w:color w:val="auto"/>
          <w:highlight w:val="none"/>
        </w:rPr>
      </w:pPr>
    </w:p>
    <w:p w14:paraId="0BC0814F">
      <w:pPr>
        <w:pStyle w:val="80"/>
        <w:rPr>
          <w:color w:val="auto"/>
          <w:highlight w:val="none"/>
        </w:rPr>
      </w:pPr>
    </w:p>
    <w:p w14:paraId="03F1EB90">
      <w:pPr>
        <w:pStyle w:val="81"/>
        <w:rPr>
          <w:rFonts w:eastAsia="仿宋"/>
          <w:color w:val="auto"/>
          <w:highlight w:val="none"/>
        </w:rPr>
      </w:pPr>
    </w:p>
    <w:p w14:paraId="6A1295DC">
      <w:pPr>
        <w:rPr>
          <w:color w:val="auto"/>
          <w:highlight w:val="none"/>
        </w:rPr>
      </w:pPr>
    </w:p>
    <w:p w14:paraId="29CF2204">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3：</w:t>
      </w:r>
      <w:r>
        <w:rPr>
          <w:rFonts w:hint="eastAsia" w:ascii="仿宋" w:hAnsi="仿宋" w:eastAsia="仿宋" w:cs="仿宋"/>
          <w:b/>
          <w:bCs/>
          <w:color w:val="auto"/>
          <w:sz w:val="32"/>
          <w:szCs w:val="32"/>
          <w:highlight w:val="none"/>
        </w:rPr>
        <w:t>业务专用章使用说明函</w:t>
      </w:r>
    </w:p>
    <w:p w14:paraId="3700F0E8">
      <w:pPr>
        <w:spacing w:line="360" w:lineRule="auto"/>
        <w:rPr>
          <w:rFonts w:ascii="仿宋" w:hAnsi="仿宋" w:eastAsia="仿宋" w:cs="仿宋"/>
          <w:color w:val="auto"/>
          <w:sz w:val="24"/>
          <w:highlight w:val="none"/>
          <w:u w:val="single"/>
        </w:rPr>
      </w:pPr>
    </w:p>
    <w:p w14:paraId="4CCD67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C2800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w:t>
      </w:r>
      <w:r>
        <w:rPr>
          <w:rFonts w:ascii="仿宋" w:hAnsi="仿宋" w:eastAsia="仿宋" w:cs="仿宋"/>
          <w:color w:val="auto"/>
          <w:sz w:val="24"/>
          <w:highlight w:val="none"/>
        </w:rPr>
        <w:t xml:space="preserve">XX专用章”与法定名称章具有同等的法律效力，对使用“XX专用章”的行为予以完全承认，并愿意承担相应责任。   </w:t>
      </w:r>
    </w:p>
    <w:p w14:paraId="7344B9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6E3E500">
      <w:pPr>
        <w:spacing w:line="360" w:lineRule="auto"/>
        <w:ind w:firstLine="494"/>
        <w:rPr>
          <w:rFonts w:ascii="仿宋" w:hAnsi="仿宋" w:eastAsia="仿宋" w:cs="仿宋"/>
          <w:color w:val="auto"/>
          <w:sz w:val="24"/>
          <w:highlight w:val="none"/>
        </w:rPr>
      </w:pPr>
    </w:p>
    <w:p w14:paraId="5EE08650">
      <w:pPr>
        <w:spacing w:line="360" w:lineRule="auto"/>
        <w:ind w:firstLine="494"/>
        <w:rPr>
          <w:rFonts w:ascii="仿宋" w:hAnsi="仿宋" w:eastAsia="仿宋" w:cs="仿宋"/>
          <w:color w:val="auto"/>
          <w:sz w:val="24"/>
          <w:highlight w:val="none"/>
        </w:rPr>
      </w:pPr>
    </w:p>
    <w:p w14:paraId="0BA742EC">
      <w:pPr>
        <w:spacing w:line="360" w:lineRule="auto"/>
        <w:ind w:firstLine="494"/>
        <w:rPr>
          <w:rFonts w:ascii="仿宋" w:hAnsi="仿宋" w:eastAsia="仿宋" w:cs="仿宋"/>
          <w:color w:val="auto"/>
          <w:sz w:val="24"/>
          <w:highlight w:val="none"/>
        </w:rPr>
      </w:pPr>
    </w:p>
    <w:p w14:paraId="7080A525">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CAF07AA">
      <w:pPr>
        <w:ind w:right="1440" w:firstLine="494"/>
        <w:jc w:val="center"/>
        <w:rPr>
          <w:rFonts w:ascii="仿宋" w:hAnsi="仿宋" w:eastAsia="仿宋" w:cs="仿宋"/>
          <w:color w:val="auto"/>
          <w:sz w:val="24"/>
          <w:highlight w:val="none"/>
        </w:rPr>
      </w:pPr>
      <w:r>
        <w:rPr>
          <w:rFonts w:ascii="仿宋" w:hAnsi="仿宋" w:eastAsia="仿宋" w:cs="仿宋"/>
          <w:color w:val="auto"/>
          <w:sz w:val="24"/>
          <w:highlight w:val="none"/>
        </w:rPr>
        <w:t xml:space="preserve">                              日期：       年     月     日</w:t>
      </w:r>
    </w:p>
    <w:p w14:paraId="5D3D91E7">
      <w:pPr>
        <w:pStyle w:val="80"/>
        <w:rPr>
          <w:color w:val="auto"/>
          <w:highlight w:val="none"/>
        </w:rPr>
      </w:pPr>
    </w:p>
    <w:p w14:paraId="050C3B42">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C7DC6D5">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w:t>
      </w:r>
      <w:r>
        <w:rPr>
          <w:rFonts w:ascii="仿宋" w:hAnsi="仿宋" w:eastAsia="仿宋" w:cs="仿宋"/>
          <w:color w:val="auto"/>
          <w:sz w:val="24"/>
          <w:highlight w:val="none"/>
        </w:rPr>
        <w:t>XX专用章”（印模）</w:t>
      </w:r>
    </w:p>
    <w:p w14:paraId="285D814F">
      <w:pPr>
        <w:autoSpaceDE w:val="0"/>
        <w:autoSpaceDN w:val="0"/>
        <w:jc w:val="center"/>
        <w:rPr>
          <w:rFonts w:ascii="仿宋" w:hAnsi="仿宋" w:eastAsia="仿宋" w:cs="仿宋"/>
          <w:b/>
          <w:color w:val="auto"/>
          <w:spacing w:val="6"/>
          <w:sz w:val="32"/>
          <w:szCs w:val="32"/>
          <w:highlight w:val="none"/>
        </w:rPr>
      </w:pPr>
    </w:p>
    <w:p w14:paraId="7839E679">
      <w:pPr>
        <w:autoSpaceDE w:val="0"/>
        <w:autoSpaceDN w:val="0"/>
        <w:jc w:val="center"/>
        <w:rPr>
          <w:rFonts w:ascii="仿宋" w:hAnsi="仿宋" w:eastAsia="仿宋" w:cs="仿宋"/>
          <w:b/>
          <w:color w:val="auto"/>
          <w:spacing w:val="6"/>
          <w:sz w:val="32"/>
          <w:szCs w:val="32"/>
          <w:highlight w:val="none"/>
        </w:rPr>
      </w:pPr>
    </w:p>
    <w:p w14:paraId="4970D852">
      <w:pPr>
        <w:autoSpaceDE w:val="0"/>
        <w:autoSpaceDN w:val="0"/>
        <w:jc w:val="center"/>
        <w:rPr>
          <w:rFonts w:ascii="仿宋" w:hAnsi="仿宋" w:eastAsia="仿宋" w:cs="仿宋"/>
          <w:b/>
          <w:color w:val="auto"/>
          <w:spacing w:val="6"/>
          <w:sz w:val="32"/>
          <w:szCs w:val="32"/>
          <w:highlight w:val="none"/>
        </w:rPr>
      </w:pPr>
    </w:p>
    <w:p w14:paraId="4E0BD89D">
      <w:pPr>
        <w:autoSpaceDE w:val="0"/>
        <w:autoSpaceDN w:val="0"/>
        <w:jc w:val="center"/>
        <w:rPr>
          <w:rFonts w:ascii="仿宋" w:hAnsi="仿宋" w:eastAsia="仿宋" w:cs="仿宋"/>
          <w:b/>
          <w:color w:val="auto"/>
          <w:spacing w:val="6"/>
          <w:sz w:val="32"/>
          <w:szCs w:val="32"/>
          <w:highlight w:val="none"/>
        </w:rPr>
      </w:pPr>
    </w:p>
    <w:p w14:paraId="4FDA51B5">
      <w:pPr>
        <w:autoSpaceDE w:val="0"/>
        <w:autoSpaceDN w:val="0"/>
        <w:jc w:val="center"/>
        <w:rPr>
          <w:rFonts w:ascii="仿宋" w:hAnsi="仿宋" w:eastAsia="仿宋" w:cs="仿宋"/>
          <w:b/>
          <w:color w:val="auto"/>
          <w:spacing w:val="6"/>
          <w:sz w:val="32"/>
          <w:szCs w:val="32"/>
          <w:highlight w:val="none"/>
        </w:rPr>
      </w:pPr>
    </w:p>
    <w:p w14:paraId="48EF8954">
      <w:pPr>
        <w:autoSpaceDE w:val="0"/>
        <w:autoSpaceDN w:val="0"/>
        <w:jc w:val="center"/>
        <w:rPr>
          <w:rFonts w:ascii="仿宋" w:hAnsi="仿宋" w:eastAsia="仿宋" w:cs="仿宋"/>
          <w:b/>
          <w:color w:val="auto"/>
          <w:spacing w:val="6"/>
          <w:sz w:val="32"/>
          <w:szCs w:val="32"/>
          <w:highlight w:val="none"/>
        </w:rPr>
      </w:pPr>
    </w:p>
    <w:p w14:paraId="52313533">
      <w:pPr>
        <w:autoSpaceDE w:val="0"/>
        <w:autoSpaceDN w:val="0"/>
        <w:jc w:val="center"/>
        <w:rPr>
          <w:rFonts w:ascii="仿宋" w:hAnsi="仿宋" w:eastAsia="仿宋" w:cs="仿宋"/>
          <w:b/>
          <w:color w:val="auto"/>
          <w:spacing w:val="6"/>
          <w:sz w:val="32"/>
          <w:szCs w:val="32"/>
          <w:highlight w:val="none"/>
        </w:rPr>
      </w:pPr>
    </w:p>
    <w:p w14:paraId="073BEA53">
      <w:pPr>
        <w:autoSpaceDE w:val="0"/>
        <w:autoSpaceDN w:val="0"/>
        <w:jc w:val="center"/>
        <w:rPr>
          <w:rFonts w:ascii="仿宋" w:hAnsi="仿宋" w:eastAsia="仿宋" w:cs="仿宋"/>
          <w:b/>
          <w:color w:val="auto"/>
          <w:spacing w:val="6"/>
          <w:sz w:val="32"/>
          <w:szCs w:val="32"/>
          <w:highlight w:val="none"/>
        </w:rPr>
      </w:pPr>
    </w:p>
    <w:p w14:paraId="4B1D88F2">
      <w:pPr>
        <w:autoSpaceDE w:val="0"/>
        <w:autoSpaceDN w:val="0"/>
        <w:jc w:val="center"/>
        <w:rPr>
          <w:rFonts w:ascii="仿宋" w:hAnsi="仿宋" w:eastAsia="仿宋" w:cs="仿宋"/>
          <w:b/>
          <w:color w:val="auto"/>
          <w:spacing w:val="6"/>
          <w:sz w:val="32"/>
          <w:szCs w:val="32"/>
          <w:highlight w:val="none"/>
        </w:rPr>
      </w:pPr>
    </w:p>
    <w:p w14:paraId="0C174302">
      <w:pPr>
        <w:rPr>
          <w:rFonts w:hint="eastAsia" w:ascii="仿宋" w:hAnsi="仿宋" w:eastAsia="仿宋" w:cs="仿宋"/>
          <w:b w:val="0"/>
          <w:bCs/>
          <w:color w:val="auto"/>
          <w:sz w:val="24"/>
          <w:szCs w:val="24"/>
          <w:highlight w:val="none"/>
          <w:lang w:val="en-US" w:eastAsia="zh-CN"/>
        </w:rPr>
        <w:sectPr>
          <w:headerReference r:id="rId19" w:type="default"/>
          <w:footerReference r:id="rId20" w:type="default"/>
          <w:pgSz w:w="11907" w:h="16840"/>
          <w:pgMar w:top="1814" w:right="1474" w:bottom="1814" w:left="1474" w:header="851" w:footer="851" w:gutter="0"/>
          <w:pgNumType w:fmt="decimal"/>
          <w:cols w:space="720" w:num="1"/>
        </w:sectPr>
      </w:pPr>
    </w:p>
    <w:bookmarkEnd w:id="29"/>
    <w:bookmarkEnd w:id="30"/>
    <w:p w14:paraId="2CDC272C">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EF30">
    <w:pPr>
      <w:pStyle w:val="40"/>
      <w:framePr w:wrap="around" w:vAnchor="text" w:hAnchor="margin" w:xAlign="right" w:y="1"/>
      <w:rPr>
        <w:rStyle w:val="72"/>
      </w:rPr>
    </w:pPr>
    <w:r>
      <w:fldChar w:fldCharType="begin"/>
    </w:r>
    <w:r>
      <w:rPr>
        <w:rStyle w:val="72"/>
      </w:rPr>
      <w:instrText xml:space="preserve">PAGE  </w:instrText>
    </w:r>
    <w:r>
      <w:fldChar w:fldCharType="end"/>
    </w:r>
  </w:p>
  <w:p w14:paraId="043722FC">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7C2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CEFD3">
                          <w:pPr>
                            <w:pStyle w:val="4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ECEFD3">
                    <w:pPr>
                      <w:pStyle w:val="4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259D">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4D4A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54D4A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D743">
    <w:pPr>
      <w:pStyle w:val="40"/>
      <w:framePr w:wrap="around" w:vAnchor="text" w:hAnchor="margin" w:xAlign="right" w:y="1"/>
      <w:rPr>
        <w:rStyle w:val="72"/>
      </w:rPr>
    </w:pPr>
    <w:r>
      <w:fldChar w:fldCharType="begin"/>
    </w:r>
    <w:r>
      <w:rPr>
        <w:rStyle w:val="72"/>
      </w:rPr>
      <w:instrText xml:space="preserve">PAGE  </w:instrText>
    </w:r>
    <w:r>
      <w:fldChar w:fldCharType="end"/>
    </w:r>
  </w:p>
  <w:p w14:paraId="6D0C6568">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AE81">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B7B23">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6B7B23">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C911">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BFD7F">
    <w:pPr>
      <w:pStyle w:val="40"/>
      <w:framePr w:wrap="around" w:vAnchor="text" w:hAnchor="margin" w:xAlign="right" w:y="1"/>
      <w:rPr>
        <w:rStyle w:val="72"/>
      </w:rPr>
    </w:pPr>
    <w:r>
      <w:fldChar w:fldCharType="begin"/>
    </w:r>
    <w:r>
      <w:rPr>
        <w:rStyle w:val="72"/>
      </w:rPr>
      <w:instrText xml:space="preserve">PAGE  </w:instrText>
    </w:r>
    <w:r>
      <w:fldChar w:fldCharType="end"/>
    </w:r>
  </w:p>
  <w:p w14:paraId="29300C8F">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694C">
    <w:pPr>
      <w:pStyle w:val="4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3DBD">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1884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181884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17B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F65A">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7B05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A7B05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675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E4EBE">
                          <w:pPr>
                            <w:pStyle w:val="4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7E4EBE">
                    <w:pPr>
                      <w:pStyle w:val="4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B510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75905">
                          <w:pPr>
                            <w:pStyle w:val="4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D575905">
                    <w:pPr>
                      <w:pStyle w:val="4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C87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0EF1">
    <w:pPr>
      <w:pStyle w:val="4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CA76">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D917">
    <w:pPr>
      <w:pStyle w:val="41"/>
      <w:ind w:firstLine="360" w:firstLineChars="200"/>
      <w:jc w:val="left"/>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8B38">
    <w:pPr>
      <w:pStyle w:val="41"/>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C854">
    <w:pPr>
      <w:pStyle w:val="41"/>
      <w:pBdr>
        <w:bottom w:val="single" w:color="auto" w:sz="6" w:space="4"/>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148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C1B6">
    <w:pPr>
      <w:pStyle w:val="41"/>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57C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4D1B">
    <w:pPr>
      <w:pStyle w:val="41"/>
      <w:ind w:firstLine="361" w:firstLineChars="200"/>
      <w:jc w:val="lef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BCA82"/>
    <w:multiLevelType w:val="singleLevel"/>
    <w:tmpl w:val="BA9BCA82"/>
    <w:lvl w:ilvl="0" w:tentative="0">
      <w:start w:val="3"/>
      <w:numFmt w:val="chineseCounting"/>
      <w:suff w:val="space"/>
      <w:lvlText w:val="第%1部分"/>
      <w:lvlJc w:val="left"/>
      <w:rPr>
        <w:rFonts w:hint="eastAsia"/>
      </w:rPr>
    </w:lvl>
  </w:abstractNum>
  <w:abstractNum w:abstractNumId="1">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YxN2I2Y2M4NTRiZTBjZjdhNTkwZDYwMmQwNjEifQ=="/>
    <w:docVar w:name="KSO_WPS_MARK_KEY" w:val="9d17a122-228d-40d0-9bbe-959a31fa9c6c"/>
  </w:docVars>
  <w:rsids>
    <w:rsidRoot w:val="00A91C81"/>
    <w:rsid w:val="0000631B"/>
    <w:rsid w:val="0001199A"/>
    <w:rsid w:val="00020B3B"/>
    <w:rsid w:val="000233D4"/>
    <w:rsid w:val="00064749"/>
    <w:rsid w:val="00070649"/>
    <w:rsid w:val="000827EC"/>
    <w:rsid w:val="00097A38"/>
    <w:rsid w:val="000A0F42"/>
    <w:rsid w:val="000A640B"/>
    <w:rsid w:val="000B417D"/>
    <w:rsid w:val="000B50A3"/>
    <w:rsid w:val="000C2561"/>
    <w:rsid w:val="000C3156"/>
    <w:rsid w:val="000E1B3E"/>
    <w:rsid w:val="00115871"/>
    <w:rsid w:val="00137E72"/>
    <w:rsid w:val="00140D63"/>
    <w:rsid w:val="00144B86"/>
    <w:rsid w:val="001808AF"/>
    <w:rsid w:val="00181FF2"/>
    <w:rsid w:val="001A00E8"/>
    <w:rsid w:val="001D2014"/>
    <w:rsid w:val="00206137"/>
    <w:rsid w:val="00237559"/>
    <w:rsid w:val="00241B3E"/>
    <w:rsid w:val="002758E2"/>
    <w:rsid w:val="0028101A"/>
    <w:rsid w:val="002A03F0"/>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911BC"/>
    <w:rsid w:val="004962D9"/>
    <w:rsid w:val="00497041"/>
    <w:rsid w:val="004A377A"/>
    <w:rsid w:val="004A7033"/>
    <w:rsid w:val="004B7015"/>
    <w:rsid w:val="004C140E"/>
    <w:rsid w:val="004E330F"/>
    <w:rsid w:val="004F4018"/>
    <w:rsid w:val="00550144"/>
    <w:rsid w:val="005504F8"/>
    <w:rsid w:val="005505AE"/>
    <w:rsid w:val="00586210"/>
    <w:rsid w:val="005A285C"/>
    <w:rsid w:val="0062010E"/>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82DB0"/>
    <w:rsid w:val="008B6A1F"/>
    <w:rsid w:val="008C21A0"/>
    <w:rsid w:val="008D3E5D"/>
    <w:rsid w:val="008F0F2F"/>
    <w:rsid w:val="00912C08"/>
    <w:rsid w:val="00916455"/>
    <w:rsid w:val="00923FF9"/>
    <w:rsid w:val="00932BB2"/>
    <w:rsid w:val="00940150"/>
    <w:rsid w:val="0094262F"/>
    <w:rsid w:val="00945277"/>
    <w:rsid w:val="00967DCB"/>
    <w:rsid w:val="00975D66"/>
    <w:rsid w:val="0099132D"/>
    <w:rsid w:val="0099313C"/>
    <w:rsid w:val="009C5EE9"/>
    <w:rsid w:val="009E4DD7"/>
    <w:rsid w:val="009E70F5"/>
    <w:rsid w:val="00A10D55"/>
    <w:rsid w:val="00A17AFE"/>
    <w:rsid w:val="00A25271"/>
    <w:rsid w:val="00A27C9B"/>
    <w:rsid w:val="00A44607"/>
    <w:rsid w:val="00A52D11"/>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5095E"/>
    <w:rsid w:val="00C8494E"/>
    <w:rsid w:val="00CA5593"/>
    <w:rsid w:val="00CB25BB"/>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2460"/>
    <w:rsid w:val="00F14037"/>
    <w:rsid w:val="00F21078"/>
    <w:rsid w:val="00F27E16"/>
    <w:rsid w:val="00F33F22"/>
    <w:rsid w:val="00F408CF"/>
    <w:rsid w:val="00F45F10"/>
    <w:rsid w:val="00F47484"/>
    <w:rsid w:val="00F62C11"/>
    <w:rsid w:val="00F714C4"/>
    <w:rsid w:val="00F749E4"/>
    <w:rsid w:val="00F901DA"/>
    <w:rsid w:val="00FC5095"/>
    <w:rsid w:val="01417E77"/>
    <w:rsid w:val="01433A92"/>
    <w:rsid w:val="014D4621"/>
    <w:rsid w:val="01BB7833"/>
    <w:rsid w:val="01C548DB"/>
    <w:rsid w:val="01E11FEF"/>
    <w:rsid w:val="020E1497"/>
    <w:rsid w:val="023E272A"/>
    <w:rsid w:val="027345BF"/>
    <w:rsid w:val="02A14B54"/>
    <w:rsid w:val="02B7449E"/>
    <w:rsid w:val="02F34868"/>
    <w:rsid w:val="033E089E"/>
    <w:rsid w:val="03D22630"/>
    <w:rsid w:val="03D80B70"/>
    <w:rsid w:val="03D92099"/>
    <w:rsid w:val="03E219EE"/>
    <w:rsid w:val="03FA5235"/>
    <w:rsid w:val="045F7DBD"/>
    <w:rsid w:val="046C48D8"/>
    <w:rsid w:val="05120CA5"/>
    <w:rsid w:val="051F457C"/>
    <w:rsid w:val="059D41F1"/>
    <w:rsid w:val="05F6352F"/>
    <w:rsid w:val="06391C10"/>
    <w:rsid w:val="063A78C0"/>
    <w:rsid w:val="06767758"/>
    <w:rsid w:val="067E50DF"/>
    <w:rsid w:val="067F3525"/>
    <w:rsid w:val="069036A1"/>
    <w:rsid w:val="069331B4"/>
    <w:rsid w:val="06D11E99"/>
    <w:rsid w:val="06D74677"/>
    <w:rsid w:val="070F34B1"/>
    <w:rsid w:val="07CB7A15"/>
    <w:rsid w:val="08057A5A"/>
    <w:rsid w:val="08746194"/>
    <w:rsid w:val="08A54B06"/>
    <w:rsid w:val="08CF045B"/>
    <w:rsid w:val="08EB4EA1"/>
    <w:rsid w:val="0922463B"/>
    <w:rsid w:val="09630EDC"/>
    <w:rsid w:val="0983157E"/>
    <w:rsid w:val="09A01D59"/>
    <w:rsid w:val="09A03EDE"/>
    <w:rsid w:val="09EC7123"/>
    <w:rsid w:val="09F75AC8"/>
    <w:rsid w:val="09FD136E"/>
    <w:rsid w:val="0A051F93"/>
    <w:rsid w:val="0A252635"/>
    <w:rsid w:val="0A3978F3"/>
    <w:rsid w:val="0AE27DE3"/>
    <w:rsid w:val="0AF81AF7"/>
    <w:rsid w:val="0B6251C3"/>
    <w:rsid w:val="0B66028A"/>
    <w:rsid w:val="0B6B22C9"/>
    <w:rsid w:val="0B8D04E6"/>
    <w:rsid w:val="0B955598"/>
    <w:rsid w:val="0B9730BE"/>
    <w:rsid w:val="0B9C06D5"/>
    <w:rsid w:val="0BB05F2E"/>
    <w:rsid w:val="0BF4406D"/>
    <w:rsid w:val="0C4A4D46"/>
    <w:rsid w:val="0C9D4705"/>
    <w:rsid w:val="0CA27F6D"/>
    <w:rsid w:val="0CF62067"/>
    <w:rsid w:val="0D15073F"/>
    <w:rsid w:val="0D447EB9"/>
    <w:rsid w:val="0D4728C2"/>
    <w:rsid w:val="0D651EB8"/>
    <w:rsid w:val="0DC940F3"/>
    <w:rsid w:val="0DE93979"/>
    <w:rsid w:val="0E3746E5"/>
    <w:rsid w:val="0E6B7694"/>
    <w:rsid w:val="0E7F4110"/>
    <w:rsid w:val="0E981627"/>
    <w:rsid w:val="0EC63C5E"/>
    <w:rsid w:val="0F3B6457"/>
    <w:rsid w:val="0FA0239A"/>
    <w:rsid w:val="100D1044"/>
    <w:rsid w:val="10184D42"/>
    <w:rsid w:val="10366B7F"/>
    <w:rsid w:val="103709CC"/>
    <w:rsid w:val="1043665F"/>
    <w:rsid w:val="114C66F9"/>
    <w:rsid w:val="117315F5"/>
    <w:rsid w:val="11771A06"/>
    <w:rsid w:val="1187337F"/>
    <w:rsid w:val="12525F91"/>
    <w:rsid w:val="125F245C"/>
    <w:rsid w:val="126D127D"/>
    <w:rsid w:val="12762135"/>
    <w:rsid w:val="1283439D"/>
    <w:rsid w:val="129423DF"/>
    <w:rsid w:val="12B36B62"/>
    <w:rsid w:val="13587189"/>
    <w:rsid w:val="135D2E40"/>
    <w:rsid w:val="138A175B"/>
    <w:rsid w:val="13BD568C"/>
    <w:rsid w:val="13F54E26"/>
    <w:rsid w:val="140E1C37"/>
    <w:rsid w:val="14127BE9"/>
    <w:rsid w:val="141379A2"/>
    <w:rsid w:val="142500B8"/>
    <w:rsid w:val="14327E28"/>
    <w:rsid w:val="14830684"/>
    <w:rsid w:val="14D13A6E"/>
    <w:rsid w:val="14FC5C34"/>
    <w:rsid w:val="15113EE2"/>
    <w:rsid w:val="152359C3"/>
    <w:rsid w:val="15A46B04"/>
    <w:rsid w:val="15BB209F"/>
    <w:rsid w:val="15D13671"/>
    <w:rsid w:val="15E47333"/>
    <w:rsid w:val="15EB3A81"/>
    <w:rsid w:val="15F43B8C"/>
    <w:rsid w:val="1601377E"/>
    <w:rsid w:val="162B0FD3"/>
    <w:rsid w:val="16442095"/>
    <w:rsid w:val="169E17AF"/>
    <w:rsid w:val="16A42B33"/>
    <w:rsid w:val="17155F34"/>
    <w:rsid w:val="174A7237"/>
    <w:rsid w:val="176C28C7"/>
    <w:rsid w:val="17CD3902"/>
    <w:rsid w:val="181D0DEF"/>
    <w:rsid w:val="18335F1D"/>
    <w:rsid w:val="183B17EE"/>
    <w:rsid w:val="183D6D9C"/>
    <w:rsid w:val="18793958"/>
    <w:rsid w:val="18957613"/>
    <w:rsid w:val="18BC4164"/>
    <w:rsid w:val="18CE20EA"/>
    <w:rsid w:val="19125D54"/>
    <w:rsid w:val="194B7AF0"/>
    <w:rsid w:val="197B401F"/>
    <w:rsid w:val="199926F8"/>
    <w:rsid w:val="19CF7C98"/>
    <w:rsid w:val="1A0832FB"/>
    <w:rsid w:val="1A761C17"/>
    <w:rsid w:val="1ACF5051"/>
    <w:rsid w:val="1AD10F75"/>
    <w:rsid w:val="1B155095"/>
    <w:rsid w:val="1B182386"/>
    <w:rsid w:val="1B275E89"/>
    <w:rsid w:val="1B397CEE"/>
    <w:rsid w:val="1B75684C"/>
    <w:rsid w:val="1B812D15"/>
    <w:rsid w:val="1B9B1759"/>
    <w:rsid w:val="1BD042EB"/>
    <w:rsid w:val="1BFE4A94"/>
    <w:rsid w:val="1C085913"/>
    <w:rsid w:val="1C0E2F29"/>
    <w:rsid w:val="1C252021"/>
    <w:rsid w:val="1CB33715"/>
    <w:rsid w:val="1CC037BD"/>
    <w:rsid w:val="1D1218AC"/>
    <w:rsid w:val="1D287D9C"/>
    <w:rsid w:val="1D5232E9"/>
    <w:rsid w:val="1D5D13BA"/>
    <w:rsid w:val="1DAC6862"/>
    <w:rsid w:val="1DC93146"/>
    <w:rsid w:val="1DF502FC"/>
    <w:rsid w:val="1E5666DD"/>
    <w:rsid w:val="1E601A36"/>
    <w:rsid w:val="1E610F02"/>
    <w:rsid w:val="1EDA17E8"/>
    <w:rsid w:val="1EFD54D7"/>
    <w:rsid w:val="1F02239C"/>
    <w:rsid w:val="1F1A1BE5"/>
    <w:rsid w:val="1FB060A5"/>
    <w:rsid w:val="1FD541CC"/>
    <w:rsid w:val="1FE43FA1"/>
    <w:rsid w:val="1FEB3581"/>
    <w:rsid w:val="202D79FF"/>
    <w:rsid w:val="20DF4E94"/>
    <w:rsid w:val="20E8307A"/>
    <w:rsid w:val="20ED064D"/>
    <w:rsid w:val="21D53285"/>
    <w:rsid w:val="22407BB4"/>
    <w:rsid w:val="22CA3482"/>
    <w:rsid w:val="22F62969"/>
    <w:rsid w:val="234E00AF"/>
    <w:rsid w:val="23BF7023"/>
    <w:rsid w:val="23D06D16"/>
    <w:rsid w:val="240864B0"/>
    <w:rsid w:val="245E1D27"/>
    <w:rsid w:val="24A5123F"/>
    <w:rsid w:val="24C30A24"/>
    <w:rsid w:val="24CF6FCD"/>
    <w:rsid w:val="24D12D46"/>
    <w:rsid w:val="25070E5D"/>
    <w:rsid w:val="254A1F6B"/>
    <w:rsid w:val="254C4AC2"/>
    <w:rsid w:val="254E25E8"/>
    <w:rsid w:val="25626093"/>
    <w:rsid w:val="257F6C45"/>
    <w:rsid w:val="25AF752A"/>
    <w:rsid w:val="25B74631"/>
    <w:rsid w:val="25FA62CC"/>
    <w:rsid w:val="265160C8"/>
    <w:rsid w:val="26697CF7"/>
    <w:rsid w:val="26D42FC1"/>
    <w:rsid w:val="271B299E"/>
    <w:rsid w:val="27383CA7"/>
    <w:rsid w:val="2738639A"/>
    <w:rsid w:val="273D39B0"/>
    <w:rsid w:val="27AC5CEC"/>
    <w:rsid w:val="27E965F8"/>
    <w:rsid w:val="27ED0F91"/>
    <w:rsid w:val="286D0FD7"/>
    <w:rsid w:val="28A644E9"/>
    <w:rsid w:val="2A645CAD"/>
    <w:rsid w:val="2A834F1F"/>
    <w:rsid w:val="2AAD7DB1"/>
    <w:rsid w:val="2AB949A8"/>
    <w:rsid w:val="2AE9690F"/>
    <w:rsid w:val="2B1C4DBF"/>
    <w:rsid w:val="2B82123D"/>
    <w:rsid w:val="2B870602"/>
    <w:rsid w:val="2B8F0016"/>
    <w:rsid w:val="2BB1567F"/>
    <w:rsid w:val="2BB4516F"/>
    <w:rsid w:val="2BC52ED8"/>
    <w:rsid w:val="2BDE3F9A"/>
    <w:rsid w:val="2BF44F91"/>
    <w:rsid w:val="2C4D53F9"/>
    <w:rsid w:val="2C581395"/>
    <w:rsid w:val="2CDA1498"/>
    <w:rsid w:val="2CDA6E57"/>
    <w:rsid w:val="2D0A1DB8"/>
    <w:rsid w:val="2D4B4E2D"/>
    <w:rsid w:val="2D744BB6"/>
    <w:rsid w:val="2DAF2092"/>
    <w:rsid w:val="2DBA5953"/>
    <w:rsid w:val="2DF14458"/>
    <w:rsid w:val="2E5C3FC8"/>
    <w:rsid w:val="2E884DBD"/>
    <w:rsid w:val="2EB536D8"/>
    <w:rsid w:val="2F225080"/>
    <w:rsid w:val="2F37233F"/>
    <w:rsid w:val="2F511665"/>
    <w:rsid w:val="2F6F1AD9"/>
    <w:rsid w:val="2FB90FA6"/>
    <w:rsid w:val="2FD44032"/>
    <w:rsid w:val="2FFB15BE"/>
    <w:rsid w:val="30240B15"/>
    <w:rsid w:val="30416508"/>
    <w:rsid w:val="30647164"/>
    <w:rsid w:val="308974DB"/>
    <w:rsid w:val="31183C94"/>
    <w:rsid w:val="311B4A24"/>
    <w:rsid w:val="31633586"/>
    <w:rsid w:val="317C228B"/>
    <w:rsid w:val="31D420C7"/>
    <w:rsid w:val="31FD7870"/>
    <w:rsid w:val="322C5A5F"/>
    <w:rsid w:val="331F75B5"/>
    <w:rsid w:val="335207E4"/>
    <w:rsid w:val="33A8380B"/>
    <w:rsid w:val="341B07CA"/>
    <w:rsid w:val="346E5D9C"/>
    <w:rsid w:val="34E57EFF"/>
    <w:rsid w:val="35142F3A"/>
    <w:rsid w:val="35333F91"/>
    <w:rsid w:val="35503608"/>
    <w:rsid w:val="356C257D"/>
    <w:rsid w:val="35F94371"/>
    <w:rsid w:val="36826596"/>
    <w:rsid w:val="36AA1648"/>
    <w:rsid w:val="36D822E6"/>
    <w:rsid w:val="37145AF6"/>
    <w:rsid w:val="374C10A6"/>
    <w:rsid w:val="37BC7885"/>
    <w:rsid w:val="380F5C07"/>
    <w:rsid w:val="385C0050"/>
    <w:rsid w:val="38AC78FA"/>
    <w:rsid w:val="38FF0C7D"/>
    <w:rsid w:val="39447B32"/>
    <w:rsid w:val="3958510F"/>
    <w:rsid w:val="39833969"/>
    <w:rsid w:val="39A95BE7"/>
    <w:rsid w:val="3A1A4D37"/>
    <w:rsid w:val="3A296D28"/>
    <w:rsid w:val="3A3057C7"/>
    <w:rsid w:val="3A4D2BC1"/>
    <w:rsid w:val="3A576901"/>
    <w:rsid w:val="3A810912"/>
    <w:rsid w:val="3ABE2449"/>
    <w:rsid w:val="3ACD1DA9"/>
    <w:rsid w:val="3AE315CD"/>
    <w:rsid w:val="3B343BD6"/>
    <w:rsid w:val="3B367C07"/>
    <w:rsid w:val="3B9C7128"/>
    <w:rsid w:val="3B9D5C20"/>
    <w:rsid w:val="3BBA6E0C"/>
    <w:rsid w:val="3BBC60A6"/>
    <w:rsid w:val="3BC74A4B"/>
    <w:rsid w:val="3C291261"/>
    <w:rsid w:val="3C524EA4"/>
    <w:rsid w:val="3C5801EA"/>
    <w:rsid w:val="3C5D3B38"/>
    <w:rsid w:val="3CA1704A"/>
    <w:rsid w:val="3CC176EC"/>
    <w:rsid w:val="3CCC42B8"/>
    <w:rsid w:val="3D385C00"/>
    <w:rsid w:val="3D734E8A"/>
    <w:rsid w:val="3D7B2020"/>
    <w:rsid w:val="3D7E738B"/>
    <w:rsid w:val="3DCB419E"/>
    <w:rsid w:val="3DF65F15"/>
    <w:rsid w:val="3E3143FD"/>
    <w:rsid w:val="3E6D77BE"/>
    <w:rsid w:val="3F326AC0"/>
    <w:rsid w:val="3FD66F77"/>
    <w:rsid w:val="3FE060DB"/>
    <w:rsid w:val="3FE200A5"/>
    <w:rsid w:val="40363199"/>
    <w:rsid w:val="40A34C95"/>
    <w:rsid w:val="40DE4D21"/>
    <w:rsid w:val="42204EB5"/>
    <w:rsid w:val="42293D69"/>
    <w:rsid w:val="422C5607"/>
    <w:rsid w:val="42660B19"/>
    <w:rsid w:val="439C7DF2"/>
    <w:rsid w:val="43E015BF"/>
    <w:rsid w:val="43E725FF"/>
    <w:rsid w:val="44552246"/>
    <w:rsid w:val="445D5F4C"/>
    <w:rsid w:val="453B6485"/>
    <w:rsid w:val="45B8521F"/>
    <w:rsid w:val="45C344D5"/>
    <w:rsid w:val="45D21CF5"/>
    <w:rsid w:val="45E83F3B"/>
    <w:rsid w:val="46251440"/>
    <w:rsid w:val="46761C9B"/>
    <w:rsid w:val="4685487C"/>
    <w:rsid w:val="469C5295"/>
    <w:rsid w:val="46BF6A4A"/>
    <w:rsid w:val="472D60AA"/>
    <w:rsid w:val="473A41AE"/>
    <w:rsid w:val="47CC4A9D"/>
    <w:rsid w:val="47F941DE"/>
    <w:rsid w:val="480165C3"/>
    <w:rsid w:val="48253552"/>
    <w:rsid w:val="483E6094"/>
    <w:rsid w:val="485A1120"/>
    <w:rsid w:val="486F4B51"/>
    <w:rsid w:val="492677E1"/>
    <w:rsid w:val="49334F16"/>
    <w:rsid w:val="49674C3A"/>
    <w:rsid w:val="49834D21"/>
    <w:rsid w:val="499A26B3"/>
    <w:rsid w:val="49A308A5"/>
    <w:rsid w:val="49B72FF8"/>
    <w:rsid w:val="49C55298"/>
    <w:rsid w:val="49E044F4"/>
    <w:rsid w:val="4A3A7958"/>
    <w:rsid w:val="4AB77452"/>
    <w:rsid w:val="4B2C54CC"/>
    <w:rsid w:val="4B5856BF"/>
    <w:rsid w:val="4C293ACF"/>
    <w:rsid w:val="4C6B07D4"/>
    <w:rsid w:val="4D063AEC"/>
    <w:rsid w:val="4D137AF0"/>
    <w:rsid w:val="4D7019E6"/>
    <w:rsid w:val="4D826A23"/>
    <w:rsid w:val="4DAE072C"/>
    <w:rsid w:val="4DC96B69"/>
    <w:rsid w:val="4DD61377"/>
    <w:rsid w:val="4DE4148C"/>
    <w:rsid w:val="4E075273"/>
    <w:rsid w:val="4E515B27"/>
    <w:rsid w:val="4E904545"/>
    <w:rsid w:val="4EBD7001"/>
    <w:rsid w:val="4EED0F0A"/>
    <w:rsid w:val="4F281AC6"/>
    <w:rsid w:val="4F3816D0"/>
    <w:rsid w:val="4F391364"/>
    <w:rsid w:val="4F820914"/>
    <w:rsid w:val="4FA964E9"/>
    <w:rsid w:val="4FAE554B"/>
    <w:rsid w:val="50016325"/>
    <w:rsid w:val="5038161B"/>
    <w:rsid w:val="503C735D"/>
    <w:rsid w:val="508942AC"/>
    <w:rsid w:val="50B415EA"/>
    <w:rsid w:val="50C11611"/>
    <w:rsid w:val="50C301CB"/>
    <w:rsid w:val="50E17F53"/>
    <w:rsid w:val="510D4856"/>
    <w:rsid w:val="517D5E7F"/>
    <w:rsid w:val="519F3436"/>
    <w:rsid w:val="51BF4335"/>
    <w:rsid w:val="5212481A"/>
    <w:rsid w:val="524E3378"/>
    <w:rsid w:val="5281374D"/>
    <w:rsid w:val="52D65847"/>
    <w:rsid w:val="52E50EFF"/>
    <w:rsid w:val="5376035A"/>
    <w:rsid w:val="53876B42"/>
    <w:rsid w:val="53C67F66"/>
    <w:rsid w:val="53D224B3"/>
    <w:rsid w:val="53F57F4F"/>
    <w:rsid w:val="54994D7E"/>
    <w:rsid w:val="54C65F50"/>
    <w:rsid w:val="54DC4C6B"/>
    <w:rsid w:val="550D609A"/>
    <w:rsid w:val="55717AA9"/>
    <w:rsid w:val="55D3606E"/>
    <w:rsid w:val="561D378D"/>
    <w:rsid w:val="56503DD5"/>
    <w:rsid w:val="565F3DA6"/>
    <w:rsid w:val="56665134"/>
    <w:rsid w:val="566B274A"/>
    <w:rsid w:val="566D64C3"/>
    <w:rsid w:val="56E85B49"/>
    <w:rsid w:val="570447B3"/>
    <w:rsid w:val="57783820"/>
    <w:rsid w:val="57DAE6E1"/>
    <w:rsid w:val="57F112D5"/>
    <w:rsid w:val="58134E48"/>
    <w:rsid w:val="58414447"/>
    <w:rsid w:val="58711B6E"/>
    <w:rsid w:val="588E44CE"/>
    <w:rsid w:val="58953BEB"/>
    <w:rsid w:val="58A261CC"/>
    <w:rsid w:val="58E93DFA"/>
    <w:rsid w:val="58EC0192"/>
    <w:rsid w:val="597F3501"/>
    <w:rsid w:val="5A0C7744"/>
    <w:rsid w:val="5A902780"/>
    <w:rsid w:val="5A951B44"/>
    <w:rsid w:val="5A9823E2"/>
    <w:rsid w:val="5AAC5686"/>
    <w:rsid w:val="5AAC6AAC"/>
    <w:rsid w:val="5ABF3065"/>
    <w:rsid w:val="5AD96E27"/>
    <w:rsid w:val="5B2D6220"/>
    <w:rsid w:val="5B2D7FCE"/>
    <w:rsid w:val="5B6F05E7"/>
    <w:rsid w:val="5B920268"/>
    <w:rsid w:val="5BA806D8"/>
    <w:rsid w:val="5C237883"/>
    <w:rsid w:val="5C4D676A"/>
    <w:rsid w:val="5C606182"/>
    <w:rsid w:val="5CFC40FC"/>
    <w:rsid w:val="5D3525BA"/>
    <w:rsid w:val="5D3B30F3"/>
    <w:rsid w:val="5D616655"/>
    <w:rsid w:val="5DAF116F"/>
    <w:rsid w:val="5E23390B"/>
    <w:rsid w:val="5E3873B6"/>
    <w:rsid w:val="5E587A58"/>
    <w:rsid w:val="5E6C52B2"/>
    <w:rsid w:val="5EC23124"/>
    <w:rsid w:val="5EC549C2"/>
    <w:rsid w:val="5F665FB3"/>
    <w:rsid w:val="5F7B3A7A"/>
    <w:rsid w:val="60121E89"/>
    <w:rsid w:val="606E639E"/>
    <w:rsid w:val="60912487"/>
    <w:rsid w:val="61137C66"/>
    <w:rsid w:val="612B4FB0"/>
    <w:rsid w:val="616404C2"/>
    <w:rsid w:val="619568CD"/>
    <w:rsid w:val="61CD6067"/>
    <w:rsid w:val="625B7B17"/>
    <w:rsid w:val="6268653A"/>
    <w:rsid w:val="62B334AF"/>
    <w:rsid w:val="62E419D3"/>
    <w:rsid w:val="632934FF"/>
    <w:rsid w:val="63CF256B"/>
    <w:rsid w:val="63EB4ECB"/>
    <w:rsid w:val="64137F7D"/>
    <w:rsid w:val="642152E2"/>
    <w:rsid w:val="64305A77"/>
    <w:rsid w:val="6484619F"/>
    <w:rsid w:val="648A7900"/>
    <w:rsid w:val="648D7C4D"/>
    <w:rsid w:val="64947310"/>
    <w:rsid w:val="64BB664B"/>
    <w:rsid w:val="64CC5D79"/>
    <w:rsid w:val="64E979F1"/>
    <w:rsid w:val="64FB6FA3"/>
    <w:rsid w:val="65077AE2"/>
    <w:rsid w:val="65210FA6"/>
    <w:rsid w:val="655774EE"/>
    <w:rsid w:val="663A4CEE"/>
    <w:rsid w:val="66A25B81"/>
    <w:rsid w:val="66C86279"/>
    <w:rsid w:val="66D67625"/>
    <w:rsid w:val="66DD7251"/>
    <w:rsid w:val="66F218A2"/>
    <w:rsid w:val="6755795B"/>
    <w:rsid w:val="67B101D9"/>
    <w:rsid w:val="67B664BE"/>
    <w:rsid w:val="67CE2B39"/>
    <w:rsid w:val="67D068B1"/>
    <w:rsid w:val="67EA004D"/>
    <w:rsid w:val="68215E2D"/>
    <w:rsid w:val="68555008"/>
    <w:rsid w:val="68AA7123"/>
    <w:rsid w:val="68FA3872"/>
    <w:rsid w:val="692B6A88"/>
    <w:rsid w:val="694D7BF9"/>
    <w:rsid w:val="69531548"/>
    <w:rsid w:val="69F97F6F"/>
    <w:rsid w:val="6A265D28"/>
    <w:rsid w:val="6A35094D"/>
    <w:rsid w:val="6A9F256B"/>
    <w:rsid w:val="6AAD6412"/>
    <w:rsid w:val="6AEF1016"/>
    <w:rsid w:val="6B256F14"/>
    <w:rsid w:val="6B476E8A"/>
    <w:rsid w:val="6BA11A93"/>
    <w:rsid w:val="6BB12556"/>
    <w:rsid w:val="6BC72078"/>
    <w:rsid w:val="6BEE5558"/>
    <w:rsid w:val="6C215196"/>
    <w:rsid w:val="6C272818"/>
    <w:rsid w:val="6C711CE5"/>
    <w:rsid w:val="6CDD04B7"/>
    <w:rsid w:val="6D6A50B2"/>
    <w:rsid w:val="6D777F23"/>
    <w:rsid w:val="6DA02882"/>
    <w:rsid w:val="6DAC56CB"/>
    <w:rsid w:val="6E03547A"/>
    <w:rsid w:val="6E3B6A4F"/>
    <w:rsid w:val="6E492F1A"/>
    <w:rsid w:val="6ECC76A7"/>
    <w:rsid w:val="6EE85588"/>
    <w:rsid w:val="6F5C62BD"/>
    <w:rsid w:val="6FA048A2"/>
    <w:rsid w:val="701E4DC9"/>
    <w:rsid w:val="705B6F34"/>
    <w:rsid w:val="70A628A5"/>
    <w:rsid w:val="70BF3836"/>
    <w:rsid w:val="70C25205"/>
    <w:rsid w:val="71551BD5"/>
    <w:rsid w:val="71EF202A"/>
    <w:rsid w:val="725D51E5"/>
    <w:rsid w:val="729E74BD"/>
    <w:rsid w:val="731004AA"/>
    <w:rsid w:val="73330FF6"/>
    <w:rsid w:val="73591E51"/>
    <w:rsid w:val="73727F0B"/>
    <w:rsid w:val="7399049F"/>
    <w:rsid w:val="739A5FC5"/>
    <w:rsid w:val="73D97B8A"/>
    <w:rsid w:val="73F27BAF"/>
    <w:rsid w:val="74046FBD"/>
    <w:rsid w:val="740639D9"/>
    <w:rsid w:val="741B5DCE"/>
    <w:rsid w:val="741F408E"/>
    <w:rsid w:val="74793E2D"/>
    <w:rsid w:val="74EC2851"/>
    <w:rsid w:val="74F26168"/>
    <w:rsid w:val="7519086E"/>
    <w:rsid w:val="75530B22"/>
    <w:rsid w:val="75FE283B"/>
    <w:rsid w:val="761C363F"/>
    <w:rsid w:val="766C3C49"/>
    <w:rsid w:val="77161E07"/>
    <w:rsid w:val="77304C77"/>
    <w:rsid w:val="776E39F1"/>
    <w:rsid w:val="777075F9"/>
    <w:rsid w:val="777976BA"/>
    <w:rsid w:val="777B6D0A"/>
    <w:rsid w:val="777E63ED"/>
    <w:rsid w:val="77D221D2"/>
    <w:rsid w:val="77F4039A"/>
    <w:rsid w:val="780F50C8"/>
    <w:rsid w:val="782C0658"/>
    <w:rsid w:val="78434E7D"/>
    <w:rsid w:val="78593FC6"/>
    <w:rsid w:val="78701140"/>
    <w:rsid w:val="788C2381"/>
    <w:rsid w:val="78964FAD"/>
    <w:rsid w:val="790A315A"/>
    <w:rsid w:val="791365FE"/>
    <w:rsid w:val="79B274E9"/>
    <w:rsid w:val="79FA156C"/>
    <w:rsid w:val="7A3C408A"/>
    <w:rsid w:val="7A3E3B4E"/>
    <w:rsid w:val="7A6879D2"/>
    <w:rsid w:val="7A7F28D1"/>
    <w:rsid w:val="7ACC2F08"/>
    <w:rsid w:val="7AD324E9"/>
    <w:rsid w:val="7B0E1773"/>
    <w:rsid w:val="7B5D1DB2"/>
    <w:rsid w:val="7B622650"/>
    <w:rsid w:val="7B715048"/>
    <w:rsid w:val="7B787EE6"/>
    <w:rsid w:val="7BA06164"/>
    <w:rsid w:val="7BA40029"/>
    <w:rsid w:val="7BE97AEA"/>
    <w:rsid w:val="7BF02C26"/>
    <w:rsid w:val="7C2700CB"/>
    <w:rsid w:val="7CC55E61"/>
    <w:rsid w:val="7D7C2DCD"/>
    <w:rsid w:val="7D851A94"/>
    <w:rsid w:val="7D951CD7"/>
    <w:rsid w:val="7D9D3A60"/>
    <w:rsid w:val="7E317FCB"/>
    <w:rsid w:val="7E435D95"/>
    <w:rsid w:val="7E6873EC"/>
    <w:rsid w:val="7E8D29AE"/>
    <w:rsid w:val="7EAB6311"/>
    <w:rsid w:val="7EB7B118"/>
    <w:rsid w:val="7EC12464"/>
    <w:rsid w:val="7F4DBC21"/>
    <w:rsid w:val="7F7E49ED"/>
    <w:rsid w:val="7F9676DE"/>
    <w:rsid w:val="7FA52103"/>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0"/>
    <w:qFormat/>
    <w:uiPriority w:val="0"/>
    <w:pPr>
      <w:ind w:firstLine="420"/>
    </w:pPr>
    <w:rPr>
      <w:rFonts w:hAnsi="Calibri" w:cs="Times New Roman"/>
      <w:snapToGrid/>
      <w:szCs w:val="20"/>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2"/>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Plain Text"/>
    <w:basedOn w:val="965"/>
    <w:qFormat/>
    <w:uiPriority w:val="0"/>
    <w:pPr>
      <w:widowControl/>
      <w:jc w:val="left"/>
    </w:pPr>
    <w:rPr>
      <w:rFonts w:hAnsi="Courier New"/>
    </w:rPr>
  </w:style>
  <w:style w:type="paragraph" w:customStyle="1" w:styleId="965">
    <w:name w:val="Normal"/>
    <w:basedOn w:val="1"/>
    <w:qFormat/>
    <w:uiPriority w:val="0"/>
    <w:rPr>
      <w:rFonts w:ascii="宋体" w:hAnsi="宋体" w:eastAsia="宋体" w:cs="宋体"/>
      <w:szCs w:val="21"/>
    </w:rPr>
  </w:style>
  <w:style w:type="paragraph" w:customStyle="1" w:styleId="966">
    <w:name w:val="Heading2"/>
    <w:basedOn w:val="1"/>
    <w:next w:val="1"/>
    <w:qFormat/>
    <w:uiPriority w:val="0"/>
    <w:pPr>
      <w:keepNext/>
      <w:keepLines/>
      <w:spacing w:before="260" w:after="260" w:line="413" w:lineRule="auto"/>
    </w:pPr>
    <w:rPr>
      <w:sz w:val="18"/>
      <w:szCs w:val="18"/>
    </w:rPr>
  </w:style>
  <w:style w:type="character" w:customStyle="1" w:styleId="967">
    <w:name w:val="NormalCharacter"/>
    <w:link w:val="968"/>
    <w:qFormat/>
    <w:uiPriority w:val="0"/>
    <w:rPr>
      <w:rFonts w:ascii="Times New Roman" w:hAnsi="Times New Roman" w:eastAsia="宋体"/>
      <w:szCs w:val="24"/>
    </w:rPr>
  </w:style>
  <w:style w:type="paragraph" w:customStyle="1" w:styleId="968">
    <w:name w:val="UserStyle_21"/>
    <w:basedOn w:val="1"/>
    <w:link w:val="967"/>
    <w:qFormat/>
    <w:uiPriority w:val="0"/>
    <w:pPr>
      <w:widowControl/>
      <w:spacing w:after="160" w:line="240" w:lineRule="exact"/>
      <w:textAlignment w:val="baseline"/>
    </w:pPr>
    <w:rPr>
      <w:rFonts w:ascii="Times New Roman" w:hAnsi="Times New Roman" w:eastAsia="宋体"/>
      <w:szCs w:val="24"/>
    </w:rPr>
  </w:style>
  <w:style w:type="paragraph" w:customStyle="1" w:styleId="969">
    <w:name w:val="目录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970">
    <w:name w:val="表格文本"/>
    <w:basedOn w:val="1"/>
    <w:autoRedefine/>
    <w:qFormat/>
    <w:uiPriority w:val="0"/>
    <w:pPr>
      <w:tabs>
        <w:tab w:val="left" w:pos="0"/>
      </w:tabs>
      <w:adjustRightInd w:val="0"/>
      <w:snapToGrid w:val="0"/>
      <w:spacing w:beforeLines="50" w:after="120" w:afterLines="50" w:line="360" w:lineRule="auto"/>
      <w:ind w:firstLine="200" w:firstLineChars="200"/>
      <w:jc w:val="left"/>
    </w:pPr>
    <w:rPr>
      <w:rFonts w:ascii="Arial" w:hAnsi="Arial" w:eastAsia="楷体_GB2312"/>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10591</Words>
  <Characters>11491</Characters>
  <Lines>338</Lines>
  <Paragraphs>95</Paragraphs>
  <TotalTime>53</TotalTime>
  <ScaleCrop>false</ScaleCrop>
  <LinksUpToDate>false</LinksUpToDate>
  <CharactersWithSpaces>13027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BM</cp:lastModifiedBy>
  <cp:lastPrinted>2024-11-11T05:42:06Z</cp:lastPrinted>
  <dcterms:modified xsi:type="dcterms:W3CDTF">2024-11-11T06:03:18Z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AE5E5A59DA114A02B981EDF7A655253B_13</vt:lpwstr>
  </property>
</Properties>
</file>